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footer2.xml" ContentType="application/vnd.openxmlformats-officedocument.wordprocessingml.footer+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theme/themeOverride1.xml" ContentType="application/vnd.openxmlformats-officedocument.themeOverride+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FFC1E" w14:textId="0C21A97D" w:rsidR="00943747" w:rsidRPr="004B5227" w:rsidRDefault="00943747" w:rsidP="000D6C24">
      <w:pPr>
        <w:pStyle w:val="ColorfulList-Accent11"/>
        <w:spacing w:before="60" w:after="60" w:line="240" w:lineRule="auto"/>
        <w:ind w:left="0"/>
        <w:rPr>
          <w:rFonts w:ascii="Times New Roman" w:hAnsi="Times New Roman"/>
          <w:lang w:val="en-US"/>
        </w:rPr>
      </w:pPr>
    </w:p>
    <w:p w14:paraId="2A28002A" w14:textId="77777777" w:rsidR="00943747" w:rsidRPr="00640D24" w:rsidRDefault="00943747" w:rsidP="000D6C24">
      <w:pPr>
        <w:tabs>
          <w:tab w:val="left" w:pos="0"/>
        </w:tabs>
        <w:spacing w:before="60" w:after="60" w:line="240" w:lineRule="auto"/>
        <w:ind w:right="1133" w:firstLine="567"/>
        <w:jc w:val="center"/>
        <w:rPr>
          <w:rFonts w:cs="Times New Roman"/>
          <w:b/>
          <w:sz w:val="56"/>
        </w:rPr>
      </w:pPr>
      <w:r w:rsidRPr="00640D24">
        <w:rPr>
          <w:rFonts w:cs="Times New Roman"/>
          <w:b/>
          <w:noProof/>
          <w:sz w:val="56"/>
          <w:lang w:eastAsia="lt-LT"/>
        </w:rPr>
        <w:drawing>
          <wp:inline distT="0" distB="0" distL="0" distR="0" wp14:anchorId="3ABAD160" wp14:editId="2BFF15B6">
            <wp:extent cx="1485900" cy="1228725"/>
            <wp:effectExtent l="0" t="0" r="0" b="0"/>
            <wp:docPr id="31" name="Picture 31" descr="C:\Users\SADZEV~1\AppData\Local\Temp\notes129B15\~2905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DZEV~1\AppData\Local\Temp\notes129B15\~290596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4822" cy="1227833"/>
                    </a:xfrm>
                    <a:prstGeom prst="rect">
                      <a:avLst/>
                    </a:prstGeom>
                    <a:noFill/>
                    <a:ln>
                      <a:noFill/>
                    </a:ln>
                  </pic:spPr>
                </pic:pic>
              </a:graphicData>
            </a:graphic>
          </wp:inline>
        </w:drawing>
      </w:r>
    </w:p>
    <w:p w14:paraId="5B9B0913" w14:textId="77777777" w:rsidR="00943747" w:rsidRPr="00640D24" w:rsidRDefault="00943747" w:rsidP="000D6C24">
      <w:pPr>
        <w:tabs>
          <w:tab w:val="left" w:pos="0"/>
        </w:tabs>
        <w:spacing w:before="60" w:after="60" w:line="240" w:lineRule="auto"/>
        <w:ind w:right="849"/>
        <w:jc w:val="center"/>
        <w:rPr>
          <w:rFonts w:cs="Times New Roman"/>
          <w:b/>
          <w:sz w:val="56"/>
        </w:rPr>
      </w:pPr>
    </w:p>
    <w:p w14:paraId="65B7F21F" w14:textId="77777777" w:rsidR="00943747" w:rsidRPr="00640D24" w:rsidRDefault="00943747" w:rsidP="000D6C24">
      <w:pPr>
        <w:tabs>
          <w:tab w:val="left" w:pos="0"/>
        </w:tabs>
        <w:spacing w:before="60" w:after="60" w:line="240" w:lineRule="auto"/>
        <w:ind w:right="95"/>
        <w:jc w:val="center"/>
        <w:rPr>
          <w:rFonts w:cs="Times New Roman"/>
          <w:b/>
          <w:sz w:val="56"/>
        </w:rPr>
      </w:pPr>
    </w:p>
    <w:p w14:paraId="5CD06F65" w14:textId="77777777" w:rsidR="00943747" w:rsidRPr="00640D24" w:rsidRDefault="00943747" w:rsidP="000D6C24">
      <w:pPr>
        <w:tabs>
          <w:tab w:val="left" w:pos="0"/>
          <w:tab w:val="left" w:pos="8647"/>
        </w:tabs>
        <w:spacing w:before="60" w:after="60" w:line="240" w:lineRule="auto"/>
        <w:ind w:right="-46"/>
        <w:jc w:val="center"/>
        <w:rPr>
          <w:rFonts w:cs="Times New Roman"/>
          <w:b/>
          <w:sz w:val="56"/>
        </w:rPr>
      </w:pPr>
    </w:p>
    <w:p w14:paraId="434E5141" w14:textId="77777777" w:rsidR="00943747" w:rsidRPr="00640D24" w:rsidRDefault="00943747" w:rsidP="000D6C24">
      <w:pPr>
        <w:tabs>
          <w:tab w:val="left" w:pos="0"/>
          <w:tab w:val="left" w:pos="8647"/>
        </w:tabs>
        <w:spacing w:before="60" w:after="60" w:line="240" w:lineRule="auto"/>
        <w:ind w:right="-46"/>
        <w:jc w:val="center"/>
        <w:rPr>
          <w:rFonts w:cs="Times New Roman"/>
          <w:b/>
          <w:sz w:val="56"/>
          <w:szCs w:val="56"/>
        </w:rPr>
      </w:pPr>
      <w:r w:rsidRPr="00640D24">
        <w:rPr>
          <w:rFonts w:cs="Times New Roman"/>
          <w:b/>
          <w:sz w:val="56"/>
          <w:szCs w:val="56"/>
        </w:rPr>
        <w:t>Verslo srities planuojamų finansinių priemonių išankstinis vertinimas</w:t>
      </w:r>
    </w:p>
    <w:p w14:paraId="2E90031B" w14:textId="77777777" w:rsidR="00943747" w:rsidRPr="00640D24" w:rsidRDefault="00943747" w:rsidP="000D6C24">
      <w:pPr>
        <w:tabs>
          <w:tab w:val="left" w:pos="0"/>
        </w:tabs>
        <w:spacing w:before="60" w:after="60" w:line="240" w:lineRule="auto"/>
        <w:ind w:right="-46"/>
        <w:jc w:val="center"/>
        <w:rPr>
          <w:rFonts w:cs="Times New Roman"/>
          <w:b/>
          <w:sz w:val="56"/>
        </w:rPr>
      </w:pPr>
    </w:p>
    <w:p w14:paraId="65D3EA23" w14:textId="77777777" w:rsidR="00943747" w:rsidRPr="00640D24" w:rsidRDefault="00943747" w:rsidP="000D6C24">
      <w:pPr>
        <w:tabs>
          <w:tab w:val="left" w:pos="0"/>
        </w:tabs>
        <w:spacing w:before="60" w:after="60" w:line="240" w:lineRule="auto"/>
        <w:ind w:right="1133"/>
        <w:jc w:val="center"/>
        <w:rPr>
          <w:rFonts w:cs="Times New Roman"/>
          <w:b/>
        </w:rPr>
      </w:pPr>
    </w:p>
    <w:p w14:paraId="0DCA3DEC" w14:textId="77777777" w:rsidR="00943747" w:rsidRPr="00640D24" w:rsidRDefault="00943747" w:rsidP="000D6C24">
      <w:pPr>
        <w:tabs>
          <w:tab w:val="left" w:pos="0"/>
        </w:tabs>
        <w:spacing w:before="60" w:after="60" w:line="240" w:lineRule="auto"/>
        <w:ind w:right="1133"/>
        <w:jc w:val="center"/>
        <w:rPr>
          <w:rFonts w:cs="Times New Roman"/>
          <w:b/>
        </w:rPr>
      </w:pPr>
    </w:p>
    <w:p w14:paraId="22B64E38" w14:textId="77777777" w:rsidR="00943747" w:rsidRPr="00640D24" w:rsidRDefault="00943747" w:rsidP="000D6C24">
      <w:pPr>
        <w:tabs>
          <w:tab w:val="left" w:pos="0"/>
        </w:tabs>
        <w:spacing w:before="60" w:after="60" w:line="240" w:lineRule="auto"/>
        <w:ind w:right="1133"/>
        <w:jc w:val="center"/>
        <w:rPr>
          <w:rFonts w:cs="Times New Roman"/>
          <w:b/>
        </w:rPr>
      </w:pPr>
    </w:p>
    <w:p w14:paraId="46E378C2" w14:textId="77777777" w:rsidR="00943747" w:rsidRPr="00640D24" w:rsidRDefault="00943747" w:rsidP="000D6C24">
      <w:pPr>
        <w:tabs>
          <w:tab w:val="left" w:pos="0"/>
        </w:tabs>
        <w:spacing w:before="60" w:after="60" w:line="240" w:lineRule="auto"/>
        <w:ind w:right="1133"/>
        <w:jc w:val="center"/>
        <w:rPr>
          <w:rFonts w:cs="Times New Roman"/>
          <w:b/>
        </w:rPr>
      </w:pPr>
    </w:p>
    <w:p w14:paraId="1F9C9015" w14:textId="77777777" w:rsidR="00943747" w:rsidRPr="00640D24" w:rsidRDefault="00943747" w:rsidP="000D6C24">
      <w:pPr>
        <w:tabs>
          <w:tab w:val="left" w:pos="0"/>
        </w:tabs>
        <w:spacing w:before="60" w:after="60" w:line="240" w:lineRule="auto"/>
        <w:ind w:right="1133"/>
        <w:jc w:val="center"/>
        <w:rPr>
          <w:rFonts w:cs="Times New Roman"/>
          <w:b/>
        </w:rPr>
      </w:pPr>
    </w:p>
    <w:p w14:paraId="545034CB" w14:textId="77777777" w:rsidR="00943747" w:rsidRPr="00640D24" w:rsidRDefault="00943747" w:rsidP="000D6C24">
      <w:pPr>
        <w:tabs>
          <w:tab w:val="left" w:pos="0"/>
        </w:tabs>
        <w:spacing w:before="60" w:after="60" w:line="240" w:lineRule="auto"/>
        <w:ind w:right="1133"/>
        <w:jc w:val="center"/>
        <w:rPr>
          <w:rFonts w:cs="Times New Roman"/>
          <w:b/>
        </w:rPr>
      </w:pPr>
    </w:p>
    <w:p w14:paraId="24062E4F" w14:textId="77777777" w:rsidR="00943747" w:rsidRPr="00640D24" w:rsidRDefault="00943747" w:rsidP="000D6C24">
      <w:pPr>
        <w:tabs>
          <w:tab w:val="left" w:pos="0"/>
        </w:tabs>
        <w:spacing w:before="60" w:after="60" w:line="240" w:lineRule="auto"/>
        <w:ind w:right="1133"/>
        <w:jc w:val="center"/>
        <w:rPr>
          <w:rFonts w:cs="Times New Roman"/>
          <w:b/>
        </w:rPr>
      </w:pPr>
    </w:p>
    <w:p w14:paraId="1C2B4905" w14:textId="77777777" w:rsidR="00943747" w:rsidRPr="00640D24" w:rsidRDefault="00943747" w:rsidP="000D6C24">
      <w:pPr>
        <w:tabs>
          <w:tab w:val="left" w:pos="0"/>
        </w:tabs>
        <w:spacing w:before="60" w:after="60" w:line="240" w:lineRule="auto"/>
        <w:ind w:right="1133"/>
        <w:jc w:val="center"/>
        <w:rPr>
          <w:rFonts w:cs="Times New Roman"/>
          <w:b/>
        </w:rPr>
      </w:pPr>
    </w:p>
    <w:p w14:paraId="439D00C2" w14:textId="77777777" w:rsidR="00943747" w:rsidRPr="00640D24" w:rsidRDefault="00943747" w:rsidP="000D6C24">
      <w:pPr>
        <w:tabs>
          <w:tab w:val="left" w:pos="0"/>
        </w:tabs>
        <w:spacing w:before="60" w:after="60" w:line="240" w:lineRule="auto"/>
        <w:ind w:right="1133"/>
        <w:jc w:val="center"/>
        <w:rPr>
          <w:rFonts w:cs="Times New Roman"/>
          <w:b/>
        </w:rPr>
      </w:pPr>
    </w:p>
    <w:p w14:paraId="7932F84D" w14:textId="77777777" w:rsidR="00943747" w:rsidRPr="00640D24" w:rsidRDefault="00943747" w:rsidP="000D6C24">
      <w:pPr>
        <w:tabs>
          <w:tab w:val="left" w:pos="0"/>
        </w:tabs>
        <w:spacing w:before="60" w:after="60" w:line="240" w:lineRule="auto"/>
        <w:ind w:right="1133"/>
        <w:jc w:val="center"/>
        <w:rPr>
          <w:rFonts w:cs="Times New Roman"/>
          <w:b/>
        </w:rPr>
      </w:pPr>
    </w:p>
    <w:p w14:paraId="336C9C68" w14:textId="77777777" w:rsidR="00B560FF" w:rsidRPr="00640D24" w:rsidRDefault="00B560FF" w:rsidP="000D6C24">
      <w:pPr>
        <w:tabs>
          <w:tab w:val="left" w:pos="0"/>
        </w:tabs>
        <w:spacing w:before="60" w:after="60" w:line="240" w:lineRule="auto"/>
        <w:ind w:right="1133"/>
        <w:jc w:val="center"/>
        <w:rPr>
          <w:rFonts w:cs="Times New Roman"/>
          <w:b/>
        </w:rPr>
      </w:pPr>
    </w:p>
    <w:p w14:paraId="68B91420" w14:textId="77777777" w:rsidR="00B560FF" w:rsidRPr="00640D24" w:rsidRDefault="00B560FF" w:rsidP="000D6C24">
      <w:pPr>
        <w:tabs>
          <w:tab w:val="left" w:pos="0"/>
        </w:tabs>
        <w:spacing w:before="60" w:after="60" w:line="240" w:lineRule="auto"/>
        <w:ind w:right="1133"/>
        <w:jc w:val="center"/>
        <w:rPr>
          <w:rFonts w:cs="Times New Roman"/>
          <w:b/>
        </w:rPr>
      </w:pPr>
    </w:p>
    <w:p w14:paraId="7C234280" w14:textId="07783FB3" w:rsidR="000D6C24" w:rsidRPr="00640D24" w:rsidRDefault="000D6C24" w:rsidP="641B94F2">
      <w:pPr>
        <w:spacing w:before="60" w:after="60" w:line="240" w:lineRule="auto"/>
        <w:ind w:right="1133"/>
        <w:rPr>
          <w:rFonts w:cs="Times New Roman"/>
          <w:b/>
          <w:bCs/>
        </w:rPr>
      </w:pPr>
    </w:p>
    <w:p w14:paraId="7729F4C2" w14:textId="77777777" w:rsidR="000D6C24" w:rsidRPr="00640D24" w:rsidRDefault="000D6C24" w:rsidP="00E92F97">
      <w:pPr>
        <w:spacing w:before="60" w:after="60" w:line="240" w:lineRule="auto"/>
        <w:jc w:val="center"/>
        <w:rPr>
          <w:rFonts w:cs="Times New Roman"/>
          <w:b/>
        </w:rPr>
      </w:pPr>
    </w:p>
    <w:p w14:paraId="4DC57C3B" w14:textId="77777777" w:rsidR="000D6C24" w:rsidRPr="00640D24" w:rsidRDefault="000D6C24" w:rsidP="00E92F97">
      <w:pPr>
        <w:spacing w:before="60" w:after="60" w:line="240" w:lineRule="auto"/>
        <w:jc w:val="center"/>
        <w:rPr>
          <w:rFonts w:cs="Times New Roman"/>
          <w:b/>
        </w:rPr>
      </w:pPr>
    </w:p>
    <w:p w14:paraId="0E347170" w14:textId="77777777" w:rsidR="000D6C24" w:rsidRPr="00640D24" w:rsidRDefault="000D6C24" w:rsidP="00E92F97">
      <w:pPr>
        <w:spacing w:before="60" w:after="60" w:line="240" w:lineRule="auto"/>
        <w:jc w:val="center"/>
        <w:rPr>
          <w:rFonts w:cs="Times New Roman"/>
          <w:b/>
        </w:rPr>
      </w:pPr>
    </w:p>
    <w:p w14:paraId="5BAF42A5" w14:textId="701B3887" w:rsidR="000D6C24" w:rsidRPr="00640D24" w:rsidRDefault="003D36E4" w:rsidP="641B94F2">
      <w:pPr>
        <w:spacing w:before="60" w:after="60" w:line="240" w:lineRule="auto"/>
        <w:jc w:val="center"/>
        <w:rPr>
          <w:rFonts w:cs="Times New Roman"/>
          <w:b/>
          <w:bCs/>
        </w:rPr>
      </w:pPr>
      <w:r w:rsidRPr="00640D24">
        <w:rPr>
          <w:rFonts w:cs="Times New Roman"/>
          <w:b/>
          <w:bCs/>
        </w:rPr>
        <w:t>202</w:t>
      </w:r>
      <w:r w:rsidRPr="00640D24">
        <w:rPr>
          <w:rFonts w:cs="Times New Roman"/>
          <w:b/>
          <w:bCs/>
          <w:lang w:val="en-US"/>
        </w:rPr>
        <w:t>4</w:t>
      </w:r>
      <w:r w:rsidRPr="00640D24">
        <w:rPr>
          <w:rFonts w:cs="Times New Roman"/>
          <w:b/>
          <w:bCs/>
        </w:rPr>
        <w:t> </w:t>
      </w:r>
      <w:r w:rsidR="6FB20EB6" w:rsidRPr="00640D24">
        <w:rPr>
          <w:rFonts w:cs="Times New Roman"/>
          <w:b/>
          <w:bCs/>
        </w:rPr>
        <w:t xml:space="preserve">m. </w:t>
      </w:r>
    </w:p>
    <w:p w14:paraId="29EFA9F4" w14:textId="77777777" w:rsidR="000D6C24" w:rsidRPr="00640D24" w:rsidRDefault="000D6C24">
      <w:pPr>
        <w:spacing w:after="160" w:line="259" w:lineRule="auto"/>
        <w:rPr>
          <w:rFonts w:cs="Times New Roman"/>
          <w:b/>
        </w:rPr>
      </w:pPr>
      <w:r w:rsidRPr="00640D24">
        <w:rPr>
          <w:rFonts w:cs="Times New Roman"/>
          <w:b/>
        </w:rPr>
        <w:br w:type="page"/>
      </w:r>
    </w:p>
    <w:p w14:paraId="4FFD3ED5" w14:textId="77777777" w:rsidR="00BB1867" w:rsidRPr="00640D24" w:rsidRDefault="00BB1867" w:rsidP="000D6C24">
      <w:pPr>
        <w:spacing w:before="60" w:after="60" w:line="240" w:lineRule="auto"/>
        <w:jc w:val="center"/>
        <w:rPr>
          <w:rFonts w:cs="Times New Roman"/>
          <w:b/>
        </w:rPr>
      </w:pPr>
    </w:p>
    <w:p w14:paraId="6D9CA96D" w14:textId="77777777" w:rsidR="00943747" w:rsidRPr="00640D24" w:rsidRDefault="006E4C61" w:rsidP="000D6C24">
      <w:pPr>
        <w:spacing w:before="60" w:after="60" w:line="240" w:lineRule="auto"/>
        <w:jc w:val="both"/>
        <w:rPr>
          <w:rFonts w:cs="Times New Roman"/>
          <w:b/>
        </w:rPr>
      </w:pPr>
      <w:r w:rsidRPr="00640D24">
        <w:rPr>
          <w:rFonts w:cs="Times New Roman"/>
          <w:b/>
        </w:rPr>
        <w:t>Turinys</w:t>
      </w:r>
    </w:p>
    <w:sdt>
      <w:sdtPr>
        <w:rPr>
          <w:rFonts w:ascii="Times New Roman" w:eastAsiaTheme="minorEastAsia" w:hAnsi="Times New Roman" w:cs="Times New Roman"/>
          <w:color w:val="auto"/>
          <w:sz w:val="24"/>
          <w:szCs w:val="24"/>
          <w:lang w:val="lt-LT"/>
        </w:rPr>
        <w:id w:val="-1258512623"/>
        <w:docPartObj>
          <w:docPartGallery w:val="Table of Contents"/>
          <w:docPartUnique/>
        </w:docPartObj>
      </w:sdtPr>
      <w:sdtEndPr>
        <w:rPr>
          <w:sz w:val="22"/>
          <w:szCs w:val="22"/>
        </w:rPr>
      </w:sdtEndPr>
      <w:sdtContent>
        <w:p w14:paraId="026FAF80" w14:textId="206D654B" w:rsidR="00E92F97" w:rsidRPr="00640D24" w:rsidRDefault="00E92F97" w:rsidP="00CC48BD">
          <w:pPr>
            <w:pStyle w:val="Turinioantrat"/>
            <w:spacing w:before="60" w:line="240" w:lineRule="auto"/>
            <w:rPr>
              <w:rFonts w:ascii="Times New Roman" w:hAnsi="Times New Roman" w:cs="Times New Roman"/>
              <w:color w:val="auto"/>
              <w:sz w:val="22"/>
              <w:szCs w:val="22"/>
              <w:lang w:val="lt-LT"/>
            </w:rPr>
          </w:pPr>
        </w:p>
        <w:p w14:paraId="5DFA8C56" w14:textId="75DCCB51" w:rsidR="00F9180E" w:rsidRPr="00640D24" w:rsidRDefault="00E92F97">
          <w:pPr>
            <w:pStyle w:val="Turinys1"/>
            <w:rPr>
              <w:rFonts w:asciiTheme="minorHAnsi" w:hAnsiTheme="minorHAnsi"/>
              <w:noProof/>
              <w:kern w:val="2"/>
              <w:sz w:val="22"/>
              <w:szCs w:val="22"/>
              <w:lang w:eastAsia="lt-LT"/>
              <w14:ligatures w14:val="standardContextual"/>
            </w:rPr>
          </w:pPr>
          <w:r w:rsidRPr="00640D24">
            <w:rPr>
              <w:b/>
              <w:sz w:val="22"/>
              <w:szCs w:val="22"/>
            </w:rPr>
            <w:fldChar w:fldCharType="begin"/>
          </w:r>
          <w:r w:rsidRPr="00640D24">
            <w:rPr>
              <w:b/>
              <w:sz w:val="22"/>
              <w:szCs w:val="22"/>
            </w:rPr>
            <w:instrText xml:space="preserve"> TOC \o "1-3" \h \z \u </w:instrText>
          </w:r>
          <w:r w:rsidRPr="00640D24">
            <w:rPr>
              <w:b/>
              <w:sz w:val="22"/>
              <w:szCs w:val="22"/>
            </w:rPr>
            <w:fldChar w:fldCharType="separate"/>
          </w:r>
          <w:hyperlink w:anchor="_Toc146812375" w:history="1">
            <w:r w:rsidR="00F9180E" w:rsidRPr="00640D24">
              <w:rPr>
                <w:rStyle w:val="Hipersaitas"/>
                <w:rFonts w:cs="Times New Roman"/>
                <w:b/>
                <w:bCs/>
                <w:noProof/>
              </w:rPr>
              <w:t>Santrumpų ir sąvokų sąrašas</w:t>
            </w:r>
            <w:r w:rsidR="00F9180E" w:rsidRPr="00640D24">
              <w:rPr>
                <w:noProof/>
                <w:webHidden/>
              </w:rPr>
              <w:tab/>
            </w:r>
            <w:r w:rsidR="00F9180E" w:rsidRPr="00640D24">
              <w:rPr>
                <w:noProof/>
                <w:webHidden/>
              </w:rPr>
              <w:fldChar w:fldCharType="begin"/>
            </w:r>
            <w:r w:rsidR="00F9180E" w:rsidRPr="00640D24">
              <w:rPr>
                <w:noProof/>
                <w:webHidden/>
              </w:rPr>
              <w:instrText xml:space="preserve"> PAGEREF _Toc146812375 \h </w:instrText>
            </w:r>
            <w:r w:rsidR="00F9180E" w:rsidRPr="00640D24">
              <w:rPr>
                <w:noProof/>
                <w:webHidden/>
              </w:rPr>
            </w:r>
            <w:r w:rsidR="00F9180E" w:rsidRPr="00640D24">
              <w:rPr>
                <w:noProof/>
                <w:webHidden/>
              </w:rPr>
              <w:fldChar w:fldCharType="separate"/>
            </w:r>
            <w:r w:rsidR="00ED2925" w:rsidRPr="00640D24">
              <w:rPr>
                <w:noProof/>
                <w:webHidden/>
              </w:rPr>
              <w:t>4</w:t>
            </w:r>
            <w:r w:rsidR="00F9180E" w:rsidRPr="00640D24">
              <w:rPr>
                <w:noProof/>
                <w:webHidden/>
              </w:rPr>
              <w:fldChar w:fldCharType="end"/>
            </w:r>
          </w:hyperlink>
        </w:p>
        <w:p w14:paraId="6FE69C86" w14:textId="06729695" w:rsidR="00F9180E" w:rsidRPr="00640D24" w:rsidRDefault="00744736">
          <w:pPr>
            <w:pStyle w:val="Turinys1"/>
            <w:rPr>
              <w:rFonts w:asciiTheme="minorHAnsi" w:hAnsiTheme="minorHAnsi"/>
              <w:noProof/>
              <w:kern w:val="2"/>
              <w:sz w:val="22"/>
              <w:szCs w:val="22"/>
              <w:lang w:eastAsia="lt-LT"/>
              <w14:ligatures w14:val="standardContextual"/>
            </w:rPr>
          </w:pPr>
          <w:hyperlink w:anchor="_Toc146812376" w:history="1">
            <w:r w:rsidR="00F9180E" w:rsidRPr="00640D24">
              <w:rPr>
                <w:rStyle w:val="Hipersaitas"/>
                <w:rFonts w:cs="Times New Roman"/>
                <w:b/>
                <w:bCs/>
                <w:noProof/>
              </w:rPr>
              <w:t>1.</w:t>
            </w:r>
            <w:r w:rsidR="00F9180E" w:rsidRPr="00640D24">
              <w:rPr>
                <w:rFonts w:asciiTheme="minorHAnsi" w:hAnsiTheme="minorHAnsi"/>
                <w:noProof/>
                <w:kern w:val="2"/>
                <w:sz w:val="22"/>
                <w:szCs w:val="22"/>
                <w:lang w:eastAsia="lt-LT"/>
                <w14:ligatures w14:val="standardContextual"/>
              </w:rPr>
              <w:tab/>
            </w:r>
            <w:r w:rsidR="00F9180E" w:rsidRPr="00640D24">
              <w:rPr>
                <w:rStyle w:val="Hipersaitas"/>
                <w:rFonts w:cs="Times New Roman"/>
                <w:b/>
                <w:bCs/>
                <w:noProof/>
              </w:rPr>
              <w:t>Įvadas</w:t>
            </w:r>
            <w:r w:rsidR="00F9180E" w:rsidRPr="00640D24">
              <w:rPr>
                <w:noProof/>
                <w:webHidden/>
              </w:rPr>
              <w:tab/>
            </w:r>
            <w:r w:rsidR="00F9180E" w:rsidRPr="00640D24">
              <w:rPr>
                <w:noProof/>
                <w:webHidden/>
              </w:rPr>
              <w:fldChar w:fldCharType="begin"/>
            </w:r>
            <w:r w:rsidR="00F9180E" w:rsidRPr="00640D24">
              <w:rPr>
                <w:noProof/>
                <w:webHidden/>
              </w:rPr>
              <w:instrText xml:space="preserve"> PAGEREF _Toc146812376 \h </w:instrText>
            </w:r>
            <w:r w:rsidR="00F9180E" w:rsidRPr="00640D24">
              <w:rPr>
                <w:noProof/>
                <w:webHidden/>
              </w:rPr>
            </w:r>
            <w:r w:rsidR="00F9180E" w:rsidRPr="00640D24">
              <w:rPr>
                <w:noProof/>
                <w:webHidden/>
              </w:rPr>
              <w:fldChar w:fldCharType="separate"/>
            </w:r>
            <w:r w:rsidR="00ED2925" w:rsidRPr="00640D24">
              <w:rPr>
                <w:noProof/>
                <w:webHidden/>
              </w:rPr>
              <w:t>6</w:t>
            </w:r>
            <w:r w:rsidR="00F9180E" w:rsidRPr="00640D24">
              <w:rPr>
                <w:noProof/>
                <w:webHidden/>
              </w:rPr>
              <w:fldChar w:fldCharType="end"/>
            </w:r>
          </w:hyperlink>
        </w:p>
        <w:p w14:paraId="7D0FC659" w14:textId="0A80912E" w:rsidR="00F9180E" w:rsidRPr="00640D24" w:rsidRDefault="00744736" w:rsidP="00515198">
          <w:pPr>
            <w:pStyle w:val="Turinys2"/>
            <w:rPr>
              <w:rFonts w:asciiTheme="minorHAnsi" w:hAnsiTheme="minorHAnsi"/>
              <w:kern w:val="2"/>
              <w:sz w:val="22"/>
              <w:szCs w:val="22"/>
              <w:lang w:eastAsia="lt-LT"/>
              <w14:ligatures w14:val="standardContextual"/>
            </w:rPr>
          </w:pPr>
          <w:hyperlink w:anchor="_Toc146812377" w:history="1">
            <w:r w:rsidR="00F9180E" w:rsidRPr="00640D24">
              <w:rPr>
                <w:rStyle w:val="Hipersaitas"/>
              </w:rPr>
              <w:t>1.1.</w:t>
            </w:r>
            <w:r w:rsidR="00F9180E" w:rsidRPr="00640D24">
              <w:rPr>
                <w:rFonts w:asciiTheme="minorHAnsi" w:hAnsiTheme="minorHAnsi"/>
                <w:kern w:val="2"/>
                <w:sz w:val="22"/>
                <w:szCs w:val="22"/>
                <w:lang w:eastAsia="lt-LT"/>
                <w14:ligatures w14:val="standardContextual"/>
              </w:rPr>
              <w:tab/>
            </w:r>
            <w:r w:rsidR="00F9180E" w:rsidRPr="00640D24">
              <w:rPr>
                <w:rStyle w:val="Hipersaitas"/>
              </w:rPr>
              <w:t>Vertinimo tikslas ir apimtis</w:t>
            </w:r>
            <w:r w:rsidR="00F9180E" w:rsidRPr="00640D24">
              <w:rPr>
                <w:webHidden/>
              </w:rPr>
              <w:tab/>
            </w:r>
            <w:r w:rsidR="00F9180E" w:rsidRPr="00640D24">
              <w:rPr>
                <w:webHidden/>
              </w:rPr>
              <w:fldChar w:fldCharType="begin"/>
            </w:r>
            <w:r w:rsidR="00F9180E" w:rsidRPr="00640D24">
              <w:rPr>
                <w:webHidden/>
              </w:rPr>
              <w:instrText xml:space="preserve"> PAGEREF _Toc146812377 \h </w:instrText>
            </w:r>
            <w:r w:rsidR="00F9180E" w:rsidRPr="00640D24">
              <w:rPr>
                <w:webHidden/>
              </w:rPr>
            </w:r>
            <w:r w:rsidR="00F9180E" w:rsidRPr="00640D24">
              <w:rPr>
                <w:webHidden/>
              </w:rPr>
              <w:fldChar w:fldCharType="separate"/>
            </w:r>
            <w:r w:rsidR="00ED2925" w:rsidRPr="00640D24">
              <w:rPr>
                <w:webHidden/>
              </w:rPr>
              <w:t>6</w:t>
            </w:r>
            <w:r w:rsidR="00F9180E" w:rsidRPr="00640D24">
              <w:rPr>
                <w:webHidden/>
              </w:rPr>
              <w:fldChar w:fldCharType="end"/>
            </w:r>
          </w:hyperlink>
        </w:p>
        <w:p w14:paraId="61394655" w14:textId="04AFC4B1" w:rsidR="00F9180E" w:rsidRPr="00640D24" w:rsidRDefault="00744736" w:rsidP="00515198">
          <w:pPr>
            <w:pStyle w:val="Turinys2"/>
            <w:rPr>
              <w:rFonts w:asciiTheme="minorHAnsi" w:hAnsiTheme="minorHAnsi"/>
              <w:kern w:val="2"/>
              <w:sz w:val="22"/>
              <w:szCs w:val="22"/>
              <w:lang w:eastAsia="lt-LT"/>
              <w14:ligatures w14:val="standardContextual"/>
            </w:rPr>
          </w:pPr>
          <w:hyperlink w:anchor="_Toc146812378" w:history="1">
            <w:r w:rsidR="00F9180E" w:rsidRPr="00640D24">
              <w:rPr>
                <w:rStyle w:val="Hipersaitas"/>
              </w:rPr>
              <w:t>1.2.</w:t>
            </w:r>
            <w:r w:rsidR="00F9180E" w:rsidRPr="00640D24">
              <w:rPr>
                <w:rFonts w:asciiTheme="minorHAnsi" w:hAnsiTheme="minorHAnsi"/>
                <w:kern w:val="2"/>
                <w:sz w:val="22"/>
                <w:szCs w:val="22"/>
                <w:lang w:eastAsia="lt-LT"/>
                <w14:ligatures w14:val="standardContextual"/>
              </w:rPr>
              <w:tab/>
            </w:r>
            <w:r w:rsidR="00F9180E" w:rsidRPr="00640D24">
              <w:rPr>
                <w:rStyle w:val="Hipersaitas"/>
              </w:rPr>
              <w:t>Vertinimo metodika</w:t>
            </w:r>
            <w:r w:rsidR="00F9180E" w:rsidRPr="00640D24">
              <w:rPr>
                <w:webHidden/>
              </w:rPr>
              <w:tab/>
            </w:r>
            <w:r w:rsidR="00F9180E" w:rsidRPr="00640D24">
              <w:rPr>
                <w:webHidden/>
              </w:rPr>
              <w:fldChar w:fldCharType="begin"/>
            </w:r>
            <w:r w:rsidR="00F9180E" w:rsidRPr="00640D24">
              <w:rPr>
                <w:webHidden/>
              </w:rPr>
              <w:instrText xml:space="preserve"> PAGEREF _Toc146812378 \h </w:instrText>
            </w:r>
            <w:r w:rsidR="00F9180E" w:rsidRPr="00640D24">
              <w:rPr>
                <w:webHidden/>
              </w:rPr>
            </w:r>
            <w:r w:rsidR="00F9180E" w:rsidRPr="00640D24">
              <w:rPr>
                <w:webHidden/>
              </w:rPr>
              <w:fldChar w:fldCharType="separate"/>
            </w:r>
            <w:r w:rsidR="00ED2925" w:rsidRPr="00640D24">
              <w:rPr>
                <w:webHidden/>
              </w:rPr>
              <w:t>7</w:t>
            </w:r>
            <w:r w:rsidR="00F9180E" w:rsidRPr="00640D24">
              <w:rPr>
                <w:webHidden/>
              </w:rPr>
              <w:fldChar w:fldCharType="end"/>
            </w:r>
          </w:hyperlink>
        </w:p>
        <w:p w14:paraId="6D4C0A69" w14:textId="66E71E46" w:rsidR="00F9180E" w:rsidRPr="00640D24" w:rsidRDefault="00744736">
          <w:pPr>
            <w:pStyle w:val="Turinys1"/>
            <w:rPr>
              <w:rFonts w:asciiTheme="minorHAnsi" w:hAnsiTheme="minorHAnsi"/>
              <w:noProof/>
              <w:kern w:val="2"/>
              <w:sz w:val="22"/>
              <w:szCs w:val="22"/>
              <w:lang w:eastAsia="lt-LT"/>
              <w14:ligatures w14:val="standardContextual"/>
            </w:rPr>
          </w:pPr>
          <w:hyperlink w:anchor="_Toc146812379" w:history="1">
            <w:r w:rsidR="00F9180E" w:rsidRPr="00640D24">
              <w:rPr>
                <w:rStyle w:val="Hipersaitas"/>
                <w:rFonts w:cs="Times New Roman"/>
                <w:b/>
                <w:bCs/>
                <w:noProof/>
              </w:rPr>
              <w:t>2.</w:t>
            </w:r>
            <w:r w:rsidR="00F9180E" w:rsidRPr="00640D24">
              <w:rPr>
                <w:rFonts w:asciiTheme="minorHAnsi" w:hAnsiTheme="minorHAnsi"/>
                <w:noProof/>
                <w:kern w:val="2"/>
                <w:sz w:val="22"/>
                <w:szCs w:val="22"/>
                <w:lang w:eastAsia="lt-LT"/>
                <w14:ligatures w14:val="standardContextual"/>
              </w:rPr>
              <w:tab/>
            </w:r>
            <w:r w:rsidR="00F9180E" w:rsidRPr="00640D24">
              <w:rPr>
                <w:rStyle w:val="Hipersaitas"/>
                <w:rFonts w:cs="Times New Roman"/>
                <w:b/>
                <w:bCs/>
                <w:noProof/>
              </w:rPr>
              <w:t>Finansinių priemonių poreikio analizė</w:t>
            </w:r>
            <w:r w:rsidR="00F9180E" w:rsidRPr="00640D24">
              <w:rPr>
                <w:noProof/>
                <w:webHidden/>
              </w:rPr>
              <w:tab/>
            </w:r>
            <w:r w:rsidR="00F9180E" w:rsidRPr="00640D24">
              <w:rPr>
                <w:noProof/>
                <w:webHidden/>
              </w:rPr>
              <w:fldChar w:fldCharType="begin"/>
            </w:r>
            <w:r w:rsidR="00F9180E" w:rsidRPr="00640D24">
              <w:rPr>
                <w:noProof/>
                <w:webHidden/>
              </w:rPr>
              <w:instrText xml:space="preserve"> PAGEREF _Toc146812379 \h </w:instrText>
            </w:r>
            <w:r w:rsidR="00F9180E" w:rsidRPr="00640D24">
              <w:rPr>
                <w:noProof/>
                <w:webHidden/>
              </w:rPr>
            </w:r>
            <w:r w:rsidR="00F9180E" w:rsidRPr="00640D24">
              <w:rPr>
                <w:noProof/>
                <w:webHidden/>
              </w:rPr>
              <w:fldChar w:fldCharType="separate"/>
            </w:r>
            <w:r w:rsidR="00ED2925" w:rsidRPr="00640D24">
              <w:rPr>
                <w:noProof/>
                <w:webHidden/>
              </w:rPr>
              <w:t>10</w:t>
            </w:r>
            <w:r w:rsidR="00F9180E" w:rsidRPr="00640D24">
              <w:rPr>
                <w:noProof/>
                <w:webHidden/>
              </w:rPr>
              <w:fldChar w:fldCharType="end"/>
            </w:r>
          </w:hyperlink>
        </w:p>
        <w:p w14:paraId="19384EB1" w14:textId="656B12CB" w:rsidR="00F9180E" w:rsidRPr="00640D24" w:rsidRDefault="00744736" w:rsidP="00515198">
          <w:pPr>
            <w:pStyle w:val="Turinys2"/>
            <w:rPr>
              <w:rFonts w:asciiTheme="minorHAnsi" w:hAnsiTheme="minorHAnsi"/>
              <w:kern w:val="2"/>
              <w:sz w:val="22"/>
              <w:szCs w:val="22"/>
              <w:lang w:eastAsia="lt-LT"/>
              <w14:ligatures w14:val="standardContextual"/>
            </w:rPr>
          </w:pPr>
          <w:hyperlink w:anchor="_Toc146812380" w:history="1">
            <w:r w:rsidR="00F9180E" w:rsidRPr="00640D24">
              <w:rPr>
                <w:rStyle w:val="Hipersaitas"/>
                <w:b/>
                <w:bCs/>
              </w:rPr>
              <w:t>2.1.</w:t>
            </w:r>
            <w:r w:rsidR="00F9180E" w:rsidRPr="00640D24">
              <w:rPr>
                <w:rFonts w:asciiTheme="minorHAnsi" w:hAnsiTheme="minorHAnsi"/>
                <w:kern w:val="2"/>
                <w:sz w:val="22"/>
                <w:szCs w:val="22"/>
                <w:lang w:eastAsia="lt-LT"/>
                <w14:ligatures w14:val="standardContextual"/>
              </w:rPr>
              <w:tab/>
            </w:r>
            <w:r w:rsidR="00F9180E" w:rsidRPr="00640D24">
              <w:rPr>
                <w:rStyle w:val="Hipersaitas"/>
              </w:rPr>
              <w:t>Strateginių krypčių analizė</w:t>
            </w:r>
            <w:r w:rsidR="00F9180E" w:rsidRPr="00640D24">
              <w:rPr>
                <w:webHidden/>
              </w:rPr>
              <w:tab/>
            </w:r>
            <w:r w:rsidR="00F9180E" w:rsidRPr="00640D24">
              <w:rPr>
                <w:webHidden/>
              </w:rPr>
              <w:fldChar w:fldCharType="begin"/>
            </w:r>
            <w:r w:rsidR="00F9180E" w:rsidRPr="00640D24">
              <w:rPr>
                <w:webHidden/>
              </w:rPr>
              <w:instrText xml:space="preserve"> PAGEREF _Toc146812380 \h </w:instrText>
            </w:r>
            <w:r w:rsidR="00F9180E" w:rsidRPr="00640D24">
              <w:rPr>
                <w:webHidden/>
              </w:rPr>
            </w:r>
            <w:r w:rsidR="00F9180E" w:rsidRPr="00640D24">
              <w:rPr>
                <w:webHidden/>
              </w:rPr>
              <w:fldChar w:fldCharType="separate"/>
            </w:r>
            <w:r w:rsidR="00ED2925" w:rsidRPr="00640D24">
              <w:rPr>
                <w:webHidden/>
              </w:rPr>
              <w:t>10</w:t>
            </w:r>
            <w:r w:rsidR="00F9180E" w:rsidRPr="00640D24">
              <w:rPr>
                <w:webHidden/>
              </w:rPr>
              <w:fldChar w:fldCharType="end"/>
            </w:r>
          </w:hyperlink>
        </w:p>
        <w:p w14:paraId="202F892F" w14:textId="3D2780EC" w:rsidR="00F9180E" w:rsidRPr="00640D24" w:rsidRDefault="00744736">
          <w:pPr>
            <w:pStyle w:val="Turinys3"/>
            <w:rPr>
              <w:rFonts w:asciiTheme="minorHAnsi" w:hAnsiTheme="minorHAnsi"/>
              <w:noProof/>
              <w:kern w:val="2"/>
              <w:sz w:val="22"/>
              <w:szCs w:val="22"/>
              <w:lang w:eastAsia="lt-LT"/>
              <w14:ligatures w14:val="standardContextual"/>
            </w:rPr>
          </w:pPr>
          <w:hyperlink w:anchor="_Toc146812381" w:history="1">
            <w:r w:rsidR="00F9180E" w:rsidRPr="00640D24">
              <w:rPr>
                <w:rStyle w:val="Hipersaitas"/>
                <w:noProof/>
              </w:rPr>
              <w:t>2.1.1. Bendra ES ir nacionalinio lygmens strateginių krypčių apžvalga</w:t>
            </w:r>
            <w:r w:rsidR="00F9180E" w:rsidRPr="00640D24">
              <w:rPr>
                <w:noProof/>
                <w:webHidden/>
              </w:rPr>
              <w:tab/>
            </w:r>
            <w:r w:rsidR="00F9180E" w:rsidRPr="00640D24">
              <w:rPr>
                <w:noProof/>
                <w:webHidden/>
              </w:rPr>
              <w:fldChar w:fldCharType="begin"/>
            </w:r>
            <w:r w:rsidR="00F9180E" w:rsidRPr="00640D24">
              <w:rPr>
                <w:noProof/>
                <w:webHidden/>
              </w:rPr>
              <w:instrText xml:space="preserve"> PAGEREF _Toc146812381 \h </w:instrText>
            </w:r>
            <w:r w:rsidR="00F9180E" w:rsidRPr="00640D24">
              <w:rPr>
                <w:noProof/>
                <w:webHidden/>
              </w:rPr>
            </w:r>
            <w:r w:rsidR="00F9180E" w:rsidRPr="00640D24">
              <w:rPr>
                <w:noProof/>
                <w:webHidden/>
              </w:rPr>
              <w:fldChar w:fldCharType="separate"/>
            </w:r>
            <w:r w:rsidR="00ED2925" w:rsidRPr="00640D24">
              <w:rPr>
                <w:noProof/>
                <w:webHidden/>
              </w:rPr>
              <w:t>10</w:t>
            </w:r>
            <w:r w:rsidR="00F9180E" w:rsidRPr="00640D24">
              <w:rPr>
                <w:noProof/>
                <w:webHidden/>
              </w:rPr>
              <w:fldChar w:fldCharType="end"/>
            </w:r>
          </w:hyperlink>
        </w:p>
        <w:p w14:paraId="5AAEA258" w14:textId="00E0A092" w:rsidR="00F9180E" w:rsidRPr="00640D24" w:rsidRDefault="00744736">
          <w:pPr>
            <w:pStyle w:val="Turinys3"/>
            <w:rPr>
              <w:rFonts w:asciiTheme="minorHAnsi" w:hAnsiTheme="minorHAnsi"/>
              <w:noProof/>
              <w:kern w:val="2"/>
              <w:sz w:val="22"/>
              <w:szCs w:val="22"/>
              <w:lang w:eastAsia="lt-LT"/>
              <w14:ligatures w14:val="standardContextual"/>
            </w:rPr>
          </w:pPr>
          <w:hyperlink w:anchor="_Toc146812382" w:history="1">
            <w:r w:rsidR="00F9180E" w:rsidRPr="00640D24">
              <w:rPr>
                <w:rStyle w:val="Hipersaitas"/>
                <w:noProof/>
              </w:rPr>
              <w:t>2.1.2.</w:t>
            </w:r>
            <w:r w:rsidR="00F9180E" w:rsidRPr="00640D24">
              <w:rPr>
                <w:rFonts w:asciiTheme="minorHAnsi" w:hAnsiTheme="minorHAnsi"/>
                <w:noProof/>
                <w:kern w:val="2"/>
                <w:sz w:val="22"/>
                <w:szCs w:val="22"/>
                <w:lang w:eastAsia="lt-LT"/>
                <w14:ligatures w14:val="standardContextual"/>
              </w:rPr>
              <w:tab/>
            </w:r>
            <w:r w:rsidR="00F9180E" w:rsidRPr="00640D24">
              <w:rPr>
                <w:rStyle w:val="Hipersaitas"/>
                <w:noProof/>
              </w:rPr>
              <w:t>Verslo skatinimo situacijos analizė</w:t>
            </w:r>
            <w:r w:rsidR="00F9180E" w:rsidRPr="00640D24">
              <w:rPr>
                <w:noProof/>
                <w:webHidden/>
              </w:rPr>
              <w:tab/>
            </w:r>
            <w:r w:rsidR="00F9180E" w:rsidRPr="00640D24">
              <w:rPr>
                <w:noProof/>
                <w:webHidden/>
              </w:rPr>
              <w:fldChar w:fldCharType="begin"/>
            </w:r>
            <w:r w:rsidR="00F9180E" w:rsidRPr="00640D24">
              <w:rPr>
                <w:noProof/>
                <w:webHidden/>
              </w:rPr>
              <w:instrText xml:space="preserve"> PAGEREF _Toc146812382 \h </w:instrText>
            </w:r>
            <w:r w:rsidR="00F9180E" w:rsidRPr="00640D24">
              <w:rPr>
                <w:noProof/>
                <w:webHidden/>
              </w:rPr>
            </w:r>
            <w:r w:rsidR="00F9180E" w:rsidRPr="00640D24">
              <w:rPr>
                <w:noProof/>
                <w:webHidden/>
              </w:rPr>
              <w:fldChar w:fldCharType="separate"/>
            </w:r>
            <w:r w:rsidR="00ED2925" w:rsidRPr="00640D24">
              <w:rPr>
                <w:noProof/>
                <w:webHidden/>
              </w:rPr>
              <w:t>11</w:t>
            </w:r>
            <w:r w:rsidR="00F9180E" w:rsidRPr="00640D24">
              <w:rPr>
                <w:noProof/>
                <w:webHidden/>
              </w:rPr>
              <w:fldChar w:fldCharType="end"/>
            </w:r>
          </w:hyperlink>
        </w:p>
        <w:p w14:paraId="7896F4BD" w14:textId="593F09FC" w:rsidR="00F9180E" w:rsidRPr="00640D24" w:rsidRDefault="00744736" w:rsidP="00515198">
          <w:pPr>
            <w:pStyle w:val="Turinys2"/>
            <w:rPr>
              <w:rFonts w:asciiTheme="minorHAnsi" w:hAnsiTheme="minorHAnsi"/>
              <w:kern w:val="2"/>
              <w:sz w:val="22"/>
              <w:szCs w:val="22"/>
              <w:lang w:eastAsia="lt-LT"/>
              <w14:ligatures w14:val="standardContextual"/>
            </w:rPr>
          </w:pPr>
          <w:hyperlink w:anchor="_Toc146812383" w:history="1">
            <w:r w:rsidR="00F9180E" w:rsidRPr="00640D24">
              <w:rPr>
                <w:rStyle w:val="Hipersaitas"/>
                <w:b/>
                <w:bCs/>
              </w:rPr>
              <w:t>2.2.</w:t>
            </w:r>
            <w:r w:rsidR="00F9180E" w:rsidRPr="00640D24">
              <w:rPr>
                <w:rFonts w:asciiTheme="minorHAnsi" w:hAnsiTheme="minorHAnsi"/>
                <w:kern w:val="2"/>
                <w:sz w:val="22"/>
                <w:szCs w:val="22"/>
                <w:lang w:eastAsia="lt-LT"/>
                <w14:ligatures w14:val="standardContextual"/>
              </w:rPr>
              <w:tab/>
            </w:r>
            <w:r w:rsidR="00F9180E" w:rsidRPr="00640D24">
              <w:rPr>
                <w:rStyle w:val="Hipersaitas"/>
                <w:b/>
                <w:bCs/>
              </w:rPr>
              <w:t>Investicijų pasiūla</w:t>
            </w:r>
            <w:r w:rsidR="00F9180E" w:rsidRPr="00640D24">
              <w:rPr>
                <w:webHidden/>
              </w:rPr>
              <w:tab/>
            </w:r>
            <w:r w:rsidR="00F9180E" w:rsidRPr="00640D24">
              <w:rPr>
                <w:webHidden/>
              </w:rPr>
              <w:fldChar w:fldCharType="begin"/>
            </w:r>
            <w:r w:rsidR="00F9180E" w:rsidRPr="00640D24">
              <w:rPr>
                <w:webHidden/>
              </w:rPr>
              <w:instrText xml:space="preserve"> PAGEREF _Toc146812383 \h </w:instrText>
            </w:r>
            <w:r w:rsidR="00F9180E" w:rsidRPr="00640D24">
              <w:rPr>
                <w:webHidden/>
              </w:rPr>
            </w:r>
            <w:r w:rsidR="00F9180E" w:rsidRPr="00640D24">
              <w:rPr>
                <w:webHidden/>
              </w:rPr>
              <w:fldChar w:fldCharType="separate"/>
            </w:r>
            <w:r w:rsidR="00ED2925" w:rsidRPr="00640D24">
              <w:rPr>
                <w:webHidden/>
              </w:rPr>
              <w:t>18</w:t>
            </w:r>
            <w:r w:rsidR="00F9180E" w:rsidRPr="00640D24">
              <w:rPr>
                <w:webHidden/>
              </w:rPr>
              <w:fldChar w:fldCharType="end"/>
            </w:r>
          </w:hyperlink>
        </w:p>
        <w:p w14:paraId="5237F0A5" w14:textId="1A8D3B76" w:rsidR="00F9180E" w:rsidRPr="00640D24" w:rsidRDefault="00744736">
          <w:pPr>
            <w:pStyle w:val="Turinys3"/>
            <w:rPr>
              <w:rFonts w:asciiTheme="minorHAnsi" w:hAnsiTheme="minorHAnsi"/>
              <w:noProof/>
              <w:kern w:val="2"/>
              <w:sz w:val="22"/>
              <w:szCs w:val="22"/>
              <w:lang w:eastAsia="lt-LT"/>
              <w14:ligatures w14:val="standardContextual"/>
            </w:rPr>
          </w:pPr>
          <w:hyperlink w:anchor="_Toc146812384" w:history="1">
            <w:r w:rsidR="00F9180E" w:rsidRPr="00640D24">
              <w:rPr>
                <w:rStyle w:val="Hipersaitas"/>
                <w:noProof/>
              </w:rPr>
              <w:t>2.2.1. Subsidijos</w:t>
            </w:r>
            <w:r w:rsidR="00F9180E" w:rsidRPr="00640D24">
              <w:rPr>
                <w:noProof/>
                <w:webHidden/>
              </w:rPr>
              <w:tab/>
            </w:r>
            <w:r w:rsidR="00F9180E" w:rsidRPr="00640D24">
              <w:rPr>
                <w:noProof/>
                <w:webHidden/>
              </w:rPr>
              <w:fldChar w:fldCharType="begin"/>
            </w:r>
            <w:r w:rsidR="00F9180E" w:rsidRPr="00640D24">
              <w:rPr>
                <w:noProof/>
                <w:webHidden/>
              </w:rPr>
              <w:instrText xml:space="preserve"> PAGEREF _Toc146812384 \h </w:instrText>
            </w:r>
            <w:r w:rsidR="00F9180E" w:rsidRPr="00640D24">
              <w:rPr>
                <w:noProof/>
                <w:webHidden/>
              </w:rPr>
            </w:r>
            <w:r w:rsidR="00F9180E" w:rsidRPr="00640D24">
              <w:rPr>
                <w:noProof/>
                <w:webHidden/>
              </w:rPr>
              <w:fldChar w:fldCharType="separate"/>
            </w:r>
            <w:r w:rsidR="00ED2925" w:rsidRPr="00640D24">
              <w:rPr>
                <w:noProof/>
                <w:webHidden/>
              </w:rPr>
              <w:t>19</w:t>
            </w:r>
            <w:r w:rsidR="00F9180E" w:rsidRPr="00640D24">
              <w:rPr>
                <w:noProof/>
                <w:webHidden/>
              </w:rPr>
              <w:fldChar w:fldCharType="end"/>
            </w:r>
          </w:hyperlink>
        </w:p>
        <w:p w14:paraId="4717B8B1" w14:textId="63494627" w:rsidR="00F9180E" w:rsidRPr="00640D24" w:rsidRDefault="00744736">
          <w:pPr>
            <w:pStyle w:val="Turinys3"/>
            <w:rPr>
              <w:rFonts w:asciiTheme="minorHAnsi" w:hAnsiTheme="minorHAnsi"/>
              <w:noProof/>
              <w:kern w:val="2"/>
              <w:sz w:val="22"/>
              <w:szCs w:val="22"/>
              <w:lang w:eastAsia="lt-LT"/>
              <w14:ligatures w14:val="standardContextual"/>
            </w:rPr>
          </w:pPr>
          <w:hyperlink w:anchor="_Toc146812385" w:history="1">
            <w:r w:rsidR="00F9180E" w:rsidRPr="00640D24">
              <w:rPr>
                <w:rStyle w:val="Hipersaitas"/>
                <w:noProof/>
              </w:rPr>
              <w:t>2.2.2. Finansinės priemonės</w:t>
            </w:r>
            <w:r w:rsidR="00F9180E" w:rsidRPr="00640D24">
              <w:rPr>
                <w:noProof/>
                <w:webHidden/>
              </w:rPr>
              <w:tab/>
            </w:r>
            <w:r w:rsidR="00F9180E" w:rsidRPr="00640D24">
              <w:rPr>
                <w:noProof/>
                <w:webHidden/>
              </w:rPr>
              <w:fldChar w:fldCharType="begin"/>
            </w:r>
            <w:r w:rsidR="00F9180E" w:rsidRPr="00640D24">
              <w:rPr>
                <w:noProof/>
                <w:webHidden/>
              </w:rPr>
              <w:instrText xml:space="preserve"> PAGEREF _Toc146812385 \h </w:instrText>
            </w:r>
            <w:r w:rsidR="00F9180E" w:rsidRPr="00640D24">
              <w:rPr>
                <w:noProof/>
                <w:webHidden/>
              </w:rPr>
            </w:r>
            <w:r w:rsidR="00F9180E" w:rsidRPr="00640D24">
              <w:rPr>
                <w:noProof/>
                <w:webHidden/>
              </w:rPr>
              <w:fldChar w:fldCharType="separate"/>
            </w:r>
            <w:r w:rsidR="00ED2925" w:rsidRPr="00640D24">
              <w:rPr>
                <w:noProof/>
                <w:webHidden/>
              </w:rPr>
              <w:t>20</w:t>
            </w:r>
            <w:r w:rsidR="00F9180E" w:rsidRPr="00640D24">
              <w:rPr>
                <w:noProof/>
                <w:webHidden/>
              </w:rPr>
              <w:fldChar w:fldCharType="end"/>
            </w:r>
          </w:hyperlink>
        </w:p>
        <w:p w14:paraId="74153477" w14:textId="7FB4FA4F" w:rsidR="00F9180E" w:rsidRPr="00640D24" w:rsidRDefault="00744736" w:rsidP="00515198">
          <w:pPr>
            <w:pStyle w:val="Turinys2"/>
            <w:rPr>
              <w:rFonts w:asciiTheme="minorHAnsi" w:hAnsiTheme="minorHAnsi"/>
              <w:kern w:val="2"/>
              <w:sz w:val="22"/>
              <w:szCs w:val="22"/>
              <w:lang w:eastAsia="lt-LT"/>
              <w14:ligatures w14:val="standardContextual"/>
            </w:rPr>
          </w:pPr>
          <w:hyperlink w:anchor="_Toc146812386" w:history="1">
            <w:r w:rsidR="00F9180E" w:rsidRPr="00640D24">
              <w:rPr>
                <w:rStyle w:val="Hipersaitas"/>
                <w:b/>
                <w:bCs/>
              </w:rPr>
              <w:t>2.3.</w:t>
            </w:r>
            <w:r w:rsidR="00F9180E" w:rsidRPr="00640D24">
              <w:rPr>
                <w:rFonts w:asciiTheme="minorHAnsi" w:hAnsiTheme="minorHAnsi"/>
                <w:kern w:val="2"/>
                <w:sz w:val="22"/>
                <w:szCs w:val="22"/>
                <w:lang w:eastAsia="lt-LT"/>
                <w14:ligatures w14:val="standardContextual"/>
              </w:rPr>
              <w:tab/>
            </w:r>
            <w:r w:rsidR="00F9180E" w:rsidRPr="00640D24">
              <w:rPr>
                <w:rStyle w:val="Hipersaitas"/>
                <w:b/>
                <w:bCs/>
              </w:rPr>
              <w:t>Investicijų paklausa ir finansavimo poreikis</w:t>
            </w:r>
            <w:r w:rsidR="00F9180E" w:rsidRPr="00640D24">
              <w:rPr>
                <w:webHidden/>
              </w:rPr>
              <w:tab/>
            </w:r>
            <w:r w:rsidR="00F9180E" w:rsidRPr="00640D24">
              <w:rPr>
                <w:webHidden/>
              </w:rPr>
              <w:fldChar w:fldCharType="begin"/>
            </w:r>
            <w:r w:rsidR="00F9180E" w:rsidRPr="00640D24">
              <w:rPr>
                <w:webHidden/>
              </w:rPr>
              <w:instrText xml:space="preserve"> PAGEREF _Toc146812386 \h </w:instrText>
            </w:r>
            <w:r w:rsidR="00F9180E" w:rsidRPr="00640D24">
              <w:rPr>
                <w:webHidden/>
              </w:rPr>
            </w:r>
            <w:r w:rsidR="00F9180E" w:rsidRPr="00640D24">
              <w:rPr>
                <w:webHidden/>
              </w:rPr>
              <w:fldChar w:fldCharType="separate"/>
            </w:r>
            <w:r w:rsidR="00ED2925" w:rsidRPr="00640D24">
              <w:rPr>
                <w:webHidden/>
              </w:rPr>
              <w:t>22</w:t>
            </w:r>
            <w:r w:rsidR="00F9180E" w:rsidRPr="00640D24">
              <w:rPr>
                <w:webHidden/>
              </w:rPr>
              <w:fldChar w:fldCharType="end"/>
            </w:r>
          </w:hyperlink>
        </w:p>
        <w:p w14:paraId="6C8AB516" w14:textId="6795E566" w:rsidR="00F9180E" w:rsidRPr="00640D24" w:rsidRDefault="00744736">
          <w:pPr>
            <w:pStyle w:val="Turinys3"/>
            <w:rPr>
              <w:rFonts w:asciiTheme="minorHAnsi" w:hAnsiTheme="minorHAnsi"/>
              <w:noProof/>
              <w:kern w:val="2"/>
              <w:sz w:val="22"/>
              <w:szCs w:val="22"/>
              <w:lang w:eastAsia="lt-LT"/>
              <w14:ligatures w14:val="standardContextual"/>
            </w:rPr>
          </w:pPr>
          <w:hyperlink w:anchor="_Toc146812387" w:history="1">
            <w:r w:rsidR="00F9180E" w:rsidRPr="00640D24">
              <w:rPr>
                <w:rStyle w:val="Hipersaitas"/>
                <w:noProof/>
              </w:rPr>
              <w:t>2.3.1. SVV subjektų kūrimasis, augimas bei startuolių vystymas, akceleravimas ir plėtra</w:t>
            </w:r>
            <w:r w:rsidR="00F9180E" w:rsidRPr="00640D24">
              <w:rPr>
                <w:noProof/>
                <w:webHidden/>
              </w:rPr>
              <w:tab/>
            </w:r>
            <w:r w:rsidR="00F9180E" w:rsidRPr="00640D24">
              <w:rPr>
                <w:noProof/>
                <w:webHidden/>
              </w:rPr>
              <w:fldChar w:fldCharType="begin"/>
            </w:r>
            <w:r w:rsidR="00F9180E" w:rsidRPr="00640D24">
              <w:rPr>
                <w:noProof/>
                <w:webHidden/>
              </w:rPr>
              <w:instrText xml:space="preserve"> PAGEREF _Toc146812387 \h </w:instrText>
            </w:r>
            <w:r w:rsidR="00F9180E" w:rsidRPr="00640D24">
              <w:rPr>
                <w:noProof/>
                <w:webHidden/>
              </w:rPr>
            </w:r>
            <w:r w:rsidR="00F9180E" w:rsidRPr="00640D24">
              <w:rPr>
                <w:noProof/>
                <w:webHidden/>
              </w:rPr>
              <w:fldChar w:fldCharType="separate"/>
            </w:r>
            <w:r w:rsidR="00ED2925" w:rsidRPr="00640D24">
              <w:rPr>
                <w:noProof/>
                <w:webHidden/>
              </w:rPr>
              <w:t>23</w:t>
            </w:r>
            <w:r w:rsidR="00F9180E" w:rsidRPr="00640D24">
              <w:rPr>
                <w:noProof/>
                <w:webHidden/>
              </w:rPr>
              <w:fldChar w:fldCharType="end"/>
            </w:r>
          </w:hyperlink>
        </w:p>
        <w:p w14:paraId="2051F093" w14:textId="6A468E7C" w:rsidR="00F9180E" w:rsidRPr="00640D24" w:rsidRDefault="00744736">
          <w:pPr>
            <w:pStyle w:val="Turinys3"/>
            <w:rPr>
              <w:rFonts w:asciiTheme="minorHAnsi" w:hAnsiTheme="minorHAnsi"/>
              <w:noProof/>
              <w:kern w:val="2"/>
              <w:sz w:val="22"/>
              <w:szCs w:val="22"/>
              <w:lang w:eastAsia="lt-LT"/>
              <w14:ligatures w14:val="standardContextual"/>
            </w:rPr>
          </w:pPr>
          <w:hyperlink w:anchor="_Toc146812388" w:history="1">
            <w:r w:rsidR="00F9180E" w:rsidRPr="00640D24">
              <w:rPr>
                <w:rStyle w:val="Hipersaitas"/>
                <w:noProof/>
              </w:rPr>
              <w:t>2.3.2. MTEP vykdymas</w:t>
            </w:r>
            <w:r w:rsidR="00F9180E" w:rsidRPr="00640D24">
              <w:rPr>
                <w:noProof/>
                <w:webHidden/>
              </w:rPr>
              <w:tab/>
            </w:r>
            <w:r w:rsidR="00F9180E" w:rsidRPr="00640D24">
              <w:rPr>
                <w:noProof/>
                <w:webHidden/>
              </w:rPr>
              <w:fldChar w:fldCharType="begin"/>
            </w:r>
            <w:r w:rsidR="00F9180E" w:rsidRPr="00640D24">
              <w:rPr>
                <w:noProof/>
                <w:webHidden/>
              </w:rPr>
              <w:instrText xml:space="preserve"> PAGEREF _Toc146812388 \h </w:instrText>
            </w:r>
            <w:r w:rsidR="00F9180E" w:rsidRPr="00640D24">
              <w:rPr>
                <w:noProof/>
                <w:webHidden/>
              </w:rPr>
            </w:r>
            <w:r w:rsidR="00F9180E" w:rsidRPr="00640D24">
              <w:rPr>
                <w:noProof/>
                <w:webHidden/>
              </w:rPr>
              <w:fldChar w:fldCharType="separate"/>
            </w:r>
            <w:r w:rsidR="00ED2925" w:rsidRPr="00640D24">
              <w:rPr>
                <w:noProof/>
                <w:webHidden/>
              </w:rPr>
              <w:t>27</w:t>
            </w:r>
            <w:r w:rsidR="00F9180E" w:rsidRPr="00640D24">
              <w:rPr>
                <w:noProof/>
                <w:webHidden/>
              </w:rPr>
              <w:fldChar w:fldCharType="end"/>
            </w:r>
          </w:hyperlink>
        </w:p>
        <w:p w14:paraId="0286FA51" w14:textId="22237834" w:rsidR="00F9180E" w:rsidRPr="00640D24" w:rsidRDefault="00744736">
          <w:pPr>
            <w:pStyle w:val="Turinys3"/>
            <w:rPr>
              <w:rFonts w:asciiTheme="minorHAnsi" w:hAnsiTheme="minorHAnsi"/>
              <w:noProof/>
              <w:kern w:val="2"/>
              <w:sz w:val="22"/>
              <w:szCs w:val="22"/>
              <w:lang w:eastAsia="lt-LT"/>
              <w14:ligatures w14:val="standardContextual"/>
            </w:rPr>
          </w:pPr>
          <w:hyperlink w:anchor="_Toc146812389" w:history="1">
            <w:r w:rsidR="00F9180E" w:rsidRPr="00640D24">
              <w:rPr>
                <w:rStyle w:val="Hipersaitas"/>
                <w:noProof/>
              </w:rPr>
              <w:t>2.3.3. Trumpų vertės kūrimo grandinių formavimas ir plėtra tarp MVĮ</w:t>
            </w:r>
            <w:r w:rsidR="00F9180E" w:rsidRPr="00640D24">
              <w:rPr>
                <w:noProof/>
                <w:webHidden/>
              </w:rPr>
              <w:tab/>
            </w:r>
            <w:r w:rsidR="00F9180E" w:rsidRPr="00640D24">
              <w:rPr>
                <w:noProof/>
                <w:webHidden/>
              </w:rPr>
              <w:fldChar w:fldCharType="begin"/>
            </w:r>
            <w:r w:rsidR="00F9180E" w:rsidRPr="00640D24">
              <w:rPr>
                <w:noProof/>
                <w:webHidden/>
              </w:rPr>
              <w:instrText xml:space="preserve"> PAGEREF _Toc146812389 \h </w:instrText>
            </w:r>
            <w:r w:rsidR="00F9180E" w:rsidRPr="00640D24">
              <w:rPr>
                <w:noProof/>
                <w:webHidden/>
              </w:rPr>
            </w:r>
            <w:r w:rsidR="00F9180E" w:rsidRPr="00640D24">
              <w:rPr>
                <w:noProof/>
                <w:webHidden/>
              </w:rPr>
              <w:fldChar w:fldCharType="separate"/>
            </w:r>
            <w:r w:rsidR="00ED2925" w:rsidRPr="00640D24">
              <w:rPr>
                <w:noProof/>
                <w:webHidden/>
              </w:rPr>
              <w:t>29</w:t>
            </w:r>
            <w:r w:rsidR="00F9180E" w:rsidRPr="00640D24">
              <w:rPr>
                <w:noProof/>
                <w:webHidden/>
              </w:rPr>
              <w:fldChar w:fldCharType="end"/>
            </w:r>
          </w:hyperlink>
        </w:p>
        <w:p w14:paraId="0F3DB0C6" w14:textId="6718286A" w:rsidR="00F9180E" w:rsidRPr="00640D24" w:rsidRDefault="00744736">
          <w:pPr>
            <w:pStyle w:val="Turinys3"/>
            <w:rPr>
              <w:rFonts w:asciiTheme="minorHAnsi" w:hAnsiTheme="minorHAnsi"/>
              <w:noProof/>
              <w:kern w:val="2"/>
              <w:sz w:val="22"/>
              <w:szCs w:val="22"/>
              <w:lang w:eastAsia="lt-LT"/>
              <w14:ligatures w14:val="standardContextual"/>
            </w:rPr>
          </w:pPr>
          <w:hyperlink w:anchor="_Toc146812390" w:history="1">
            <w:r w:rsidR="00F9180E" w:rsidRPr="00640D24">
              <w:rPr>
                <w:rStyle w:val="Hipersaitas"/>
                <w:noProof/>
                <w:lang w:val="en-US"/>
              </w:rPr>
              <w:t>2.</w:t>
            </w:r>
            <w:r w:rsidR="00F9180E" w:rsidRPr="00640D24">
              <w:rPr>
                <w:rStyle w:val="Hipersaitas"/>
                <w:noProof/>
              </w:rPr>
              <w:t>3.4. TUI pritraukimas MTEPI veiklų skatinimui</w:t>
            </w:r>
            <w:r w:rsidR="00F9180E" w:rsidRPr="00640D24">
              <w:rPr>
                <w:noProof/>
                <w:webHidden/>
              </w:rPr>
              <w:tab/>
            </w:r>
            <w:r w:rsidR="00F9180E" w:rsidRPr="00640D24">
              <w:rPr>
                <w:noProof/>
                <w:webHidden/>
              </w:rPr>
              <w:fldChar w:fldCharType="begin"/>
            </w:r>
            <w:r w:rsidR="00F9180E" w:rsidRPr="00640D24">
              <w:rPr>
                <w:noProof/>
                <w:webHidden/>
              </w:rPr>
              <w:instrText xml:space="preserve"> PAGEREF _Toc146812390 \h </w:instrText>
            </w:r>
            <w:r w:rsidR="00F9180E" w:rsidRPr="00640D24">
              <w:rPr>
                <w:noProof/>
                <w:webHidden/>
              </w:rPr>
            </w:r>
            <w:r w:rsidR="00F9180E" w:rsidRPr="00640D24">
              <w:rPr>
                <w:noProof/>
                <w:webHidden/>
              </w:rPr>
              <w:fldChar w:fldCharType="separate"/>
            </w:r>
            <w:r w:rsidR="00ED2925" w:rsidRPr="00640D24">
              <w:rPr>
                <w:noProof/>
                <w:webHidden/>
              </w:rPr>
              <w:t>30</w:t>
            </w:r>
            <w:r w:rsidR="00F9180E" w:rsidRPr="00640D24">
              <w:rPr>
                <w:noProof/>
                <w:webHidden/>
              </w:rPr>
              <w:fldChar w:fldCharType="end"/>
            </w:r>
          </w:hyperlink>
        </w:p>
        <w:p w14:paraId="4CB34A03" w14:textId="789B6E71" w:rsidR="00F9180E" w:rsidRPr="00640D24" w:rsidRDefault="00744736">
          <w:pPr>
            <w:pStyle w:val="Turinys3"/>
            <w:rPr>
              <w:rFonts w:asciiTheme="minorHAnsi" w:hAnsiTheme="minorHAnsi"/>
              <w:noProof/>
              <w:kern w:val="2"/>
              <w:sz w:val="22"/>
              <w:szCs w:val="22"/>
              <w:lang w:eastAsia="lt-LT"/>
              <w14:ligatures w14:val="standardContextual"/>
            </w:rPr>
          </w:pPr>
          <w:hyperlink w:anchor="_Toc146812391" w:history="1">
            <w:r w:rsidR="00F9180E" w:rsidRPr="00640D24">
              <w:rPr>
                <w:rStyle w:val="Hipersaitas"/>
                <w:noProof/>
                <w:lang w:val="en-US"/>
              </w:rPr>
              <w:t>2.3.5. Pramonės įmonių skatinimas ir konkurencingumo didinimas</w:t>
            </w:r>
            <w:r w:rsidR="00F9180E" w:rsidRPr="00640D24">
              <w:rPr>
                <w:noProof/>
                <w:webHidden/>
              </w:rPr>
              <w:tab/>
            </w:r>
            <w:r w:rsidR="00F9180E" w:rsidRPr="00640D24">
              <w:rPr>
                <w:noProof/>
                <w:webHidden/>
              </w:rPr>
              <w:fldChar w:fldCharType="begin"/>
            </w:r>
            <w:r w:rsidR="00F9180E" w:rsidRPr="00640D24">
              <w:rPr>
                <w:noProof/>
                <w:webHidden/>
              </w:rPr>
              <w:instrText xml:space="preserve"> PAGEREF _Toc146812391 \h </w:instrText>
            </w:r>
            <w:r w:rsidR="00F9180E" w:rsidRPr="00640D24">
              <w:rPr>
                <w:noProof/>
                <w:webHidden/>
              </w:rPr>
            </w:r>
            <w:r w:rsidR="00F9180E" w:rsidRPr="00640D24">
              <w:rPr>
                <w:noProof/>
                <w:webHidden/>
              </w:rPr>
              <w:fldChar w:fldCharType="separate"/>
            </w:r>
            <w:r w:rsidR="00ED2925" w:rsidRPr="00640D24">
              <w:rPr>
                <w:noProof/>
                <w:webHidden/>
              </w:rPr>
              <w:t>32</w:t>
            </w:r>
            <w:r w:rsidR="00F9180E" w:rsidRPr="00640D24">
              <w:rPr>
                <w:noProof/>
                <w:webHidden/>
              </w:rPr>
              <w:fldChar w:fldCharType="end"/>
            </w:r>
          </w:hyperlink>
        </w:p>
        <w:p w14:paraId="152B3AC5" w14:textId="03A0904A" w:rsidR="00F9180E" w:rsidRPr="00640D24" w:rsidRDefault="00744736">
          <w:pPr>
            <w:pStyle w:val="Turinys3"/>
            <w:rPr>
              <w:rFonts w:asciiTheme="minorHAnsi" w:hAnsiTheme="minorHAnsi"/>
              <w:noProof/>
              <w:kern w:val="2"/>
              <w:sz w:val="22"/>
              <w:szCs w:val="22"/>
              <w:lang w:eastAsia="lt-LT"/>
              <w14:ligatures w14:val="standardContextual"/>
            </w:rPr>
          </w:pPr>
          <w:hyperlink w:anchor="_Toc146812392" w:history="1">
            <w:r w:rsidR="00F9180E" w:rsidRPr="00640D24">
              <w:rPr>
                <w:rStyle w:val="Hipersaitas"/>
                <w:noProof/>
              </w:rPr>
              <w:t>2.3.5.1. Pramonės įmonių transformacijos skatinimas (technologinių inovacijų diegimas)</w:t>
            </w:r>
            <w:r w:rsidR="00F9180E" w:rsidRPr="00640D24">
              <w:rPr>
                <w:noProof/>
                <w:webHidden/>
              </w:rPr>
              <w:tab/>
            </w:r>
            <w:r w:rsidR="00F9180E" w:rsidRPr="00640D24">
              <w:rPr>
                <w:noProof/>
                <w:webHidden/>
              </w:rPr>
              <w:fldChar w:fldCharType="begin"/>
            </w:r>
            <w:r w:rsidR="00F9180E" w:rsidRPr="00640D24">
              <w:rPr>
                <w:noProof/>
                <w:webHidden/>
              </w:rPr>
              <w:instrText xml:space="preserve"> PAGEREF _Toc146812392 \h </w:instrText>
            </w:r>
            <w:r w:rsidR="00F9180E" w:rsidRPr="00640D24">
              <w:rPr>
                <w:noProof/>
                <w:webHidden/>
              </w:rPr>
            </w:r>
            <w:r w:rsidR="00F9180E" w:rsidRPr="00640D24">
              <w:rPr>
                <w:noProof/>
                <w:webHidden/>
              </w:rPr>
              <w:fldChar w:fldCharType="separate"/>
            </w:r>
            <w:r w:rsidR="00ED2925" w:rsidRPr="00640D24">
              <w:rPr>
                <w:noProof/>
                <w:webHidden/>
              </w:rPr>
              <w:t>32</w:t>
            </w:r>
            <w:r w:rsidR="00F9180E" w:rsidRPr="00640D24">
              <w:rPr>
                <w:noProof/>
                <w:webHidden/>
              </w:rPr>
              <w:fldChar w:fldCharType="end"/>
            </w:r>
          </w:hyperlink>
        </w:p>
        <w:p w14:paraId="367A5DB3" w14:textId="68A5637D" w:rsidR="00F9180E" w:rsidRPr="00640D24" w:rsidRDefault="00744736">
          <w:pPr>
            <w:pStyle w:val="Turinys3"/>
            <w:rPr>
              <w:rFonts w:asciiTheme="minorHAnsi" w:hAnsiTheme="minorHAnsi"/>
              <w:noProof/>
              <w:kern w:val="2"/>
              <w:sz w:val="22"/>
              <w:szCs w:val="22"/>
              <w:lang w:eastAsia="lt-LT"/>
              <w14:ligatures w14:val="standardContextual"/>
            </w:rPr>
          </w:pPr>
          <w:hyperlink w:anchor="_Toc146812393" w:history="1">
            <w:r w:rsidR="00F9180E" w:rsidRPr="00640D24">
              <w:rPr>
                <w:rStyle w:val="Hipersaitas"/>
                <w:noProof/>
              </w:rPr>
              <w:t>2.3.5.2 Pramonės įmonių gamybos procesų automatizavimas ir skaitmeninimo technologijų diegimas</w:t>
            </w:r>
            <w:r w:rsidR="00F9180E" w:rsidRPr="00640D24">
              <w:rPr>
                <w:noProof/>
                <w:webHidden/>
              </w:rPr>
              <w:tab/>
            </w:r>
            <w:r w:rsidR="00F9180E" w:rsidRPr="00640D24">
              <w:rPr>
                <w:noProof/>
                <w:webHidden/>
              </w:rPr>
              <w:fldChar w:fldCharType="begin"/>
            </w:r>
            <w:r w:rsidR="00F9180E" w:rsidRPr="00640D24">
              <w:rPr>
                <w:noProof/>
                <w:webHidden/>
              </w:rPr>
              <w:instrText xml:space="preserve"> PAGEREF _Toc146812393 \h </w:instrText>
            </w:r>
            <w:r w:rsidR="00F9180E" w:rsidRPr="00640D24">
              <w:rPr>
                <w:noProof/>
                <w:webHidden/>
              </w:rPr>
            </w:r>
            <w:r w:rsidR="00F9180E" w:rsidRPr="00640D24">
              <w:rPr>
                <w:noProof/>
                <w:webHidden/>
              </w:rPr>
              <w:fldChar w:fldCharType="separate"/>
            </w:r>
            <w:r w:rsidR="00ED2925" w:rsidRPr="00640D24">
              <w:rPr>
                <w:noProof/>
                <w:webHidden/>
              </w:rPr>
              <w:t>33</w:t>
            </w:r>
            <w:r w:rsidR="00F9180E" w:rsidRPr="00640D24">
              <w:rPr>
                <w:noProof/>
                <w:webHidden/>
              </w:rPr>
              <w:fldChar w:fldCharType="end"/>
            </w:r>
          </w:hyperlink>
        </w:p>
        <w:p w14:paraId="0F697678" w14:textId="56B6F744" w:rsidR="00F9180E" w:rsidRPr="00640D24" w:rsidRDefault="00744736">
          <w:pPr>
            <w:pStyle w:val="Turinys3"/>
            <w:rPr>
              <w:rFonts w:asciiTheme="minorHAnsi" w:hAnsiTheme="minorHAnsi"/>
              <w:noProof/>
              <w:kern w:val="2"/>
              <w:sz w:val="22"/>
              <w:szCs w:val="22"/>
              <w:lang w:eastAsia="lt-LT"/>
              <w14:ligatures w14:val="standardContextual"/>
            </w:rPr>
          </w:pPr>
          <w:hyperlink w:anchor="_Toc146812394" w:history="1">
            <w:r w:rsidR="00F9180E" w:rsidRPr="00640D24">
              <w:rPr>
                <w:rStyle w:val="Hipersaitas"/>
                <w:noProof/>
              </w:rPr>
              <w:t>2.3.5.3. Aukštą pridėtinę vertę kuriančių pramonės įmonių gamybos procesų skaitmeninimas</w:t>
            </w:r>
            <w:r w:rsidR="00F9180E" w:rsidRPr="00640D24">
              <w:rPr>
                <w:noProof/>
                <w:webHidden/>
              </w:rPr>
              <w:tab/>
            </w:r>
            <w:r w:rsidR="00F9180E" w:rsidRPr="00640D24">
              <w:rPr>
                <w:noProof/>
                <w:webHidden/>
              </w:rPr>
              <w:fldChar w:fldCharType="begin"/>
            </w:r>
            <w:r w:rsidR="00F9180E" w:rsidRPr="00640D24">
              <w:rPr>
                <w:noProof/>
                <w:webHidden/>
              </w:rPr>
              <w:instrText xml:space="preserve"> PAGEREF _Toc146812394 \h </w:instrText>
            </w:r>
            <w:r w:rsidR="00F9180E" w:rsidRPr="00640D24">
              <w:rPr>
                <w:noProof/>
                <w:webHidden/>
              </w:rPr>
            </w:r>
            <w:r w:rsidR="00F9180E" w:rsidRPr="00640D24">
              <w:rPr>
                <w:noProof/>
                <w:webHidden/>
              </w:rPr>
              <w:fldChar w:fldCharType="separate"/>
            </w:r>
            <w:r w:rsidR="00ED2925" w:rsidRPr="00640D24">
              <w:rPr>
                <w:noProof/>
                <w:webHidden/>
              </w:rPr>
              <w:t>34</w:t>
            </w:r>
            <w:r w:rsidR="00F9180E" w:rsidRPr="00640D24">
              <w:rPr>
                <w:noProof/>
                <w:webHidden/>
              </w:rPr>
              <w:fldChar w:fldCharType="end"/>
            </w:r>
          </w:hyperlink>
        </w:p>
        <w:p w14:paraId="5BF29649" w14:textId="7450C11E" w:rsidR="00F9180E" w:rsidRPr="00640D24" w:rsidRDefault="00744736">
          <w:pPr>
            <w:pStyle w:val="Turinys3"/>
            <w:rPr>
              <w:rFonts w:asciiTheme="minorHAnsi" w:hAnsiTheme="minorHAnsi"/>
              <w:noProof/>
              <w:kern w:val="2"/>
              <w:sz w:val="22"/>
              <w:szCs w:val="22"/>
              <w:lang w:eastAsia="lt-LT"/>
              <w14:ligatures w14:val="standardContextual"/>
            </w:rPr>
          </w:pPr>
          <w:hyperlink w:anchor="_Toc146812395" w:history="1">
            <w:r w:rsidR="00F9180E" w:rsidRPr="00640D24">
              <w:rPr>
                <w:rStyle w:val="Hipersaitas"/>
                <w:noProof/>
              </w:rPr>
              <w:t>2.3.5.4. Gynybos ir saugumo pramonės sektorius</w:t>
            </w:r>
            <w:r w:rsidR="00F9180E" w:rsidRPr="00640D24">
              <w:rPr>
                <w:noProof/>
                <w:webHidden/>
              </w:rPr>
              <w:tab/>
            </w:r>
            <w:r w:rsidR="00F9180E" w:rsidRPr="00640D24">
              <w:rPr>
                <w:noProof/>
                <w:webHidden/>
              </w:rPr>
              <w:fldChar w:fldCharType="begin"/>
            </w:r>
            <w:r w:rsidR="00F9180E" w:rsidRPr="00640D24">
              <w:rPr>
                <w:noProof/>
                <w:webHidden/>
              </w:rPr>
              <w:instrText xml:space="preserve"> PAGEREF _Toc146812395 \h </w:instrText>
            </w:r>
            <w:r w:rsidR="00F9180E" w:rsidRPr="00640D24">
              <w:rPr>
                <w:noProof/>
                <w:webHidden/>
              </w:rPr>
            </w:r>
            <w:r w:rsidR="00F9180E" w:rsidRPr="00640D24">
              <w:rPr>
                <w:noProof/>
                <w:webHidden/>
              </w:rPr>
              <w:fldChar w:fldCharType="separate"/>
            </w:r>
            <w:r w:rsidR="00ED2925" w:rsidRPr="00640D24">
              <w:rPr>
                <w:noProof/>
                <w:webHidden/>
              </w:rPr>
              <w:t>35</w:t>
            </w:r>
            <w:r w:rsidR="00F9180E" w:rsidRPr="00640D24">
              <w:rPr>
                <w:noProof/>
                <w:webHidden/>
              </w:rPr>
              <w:fldChar w:fldCharType="end"/>
            </w:r>
          </w:hyperlink>
        </w:p>
        <w:p w14:paraId="047C4D4F" w14:textId="680B6814" w:rsidR="00F9180E" w:rsidRPr="00640D24" w:rsidRDefault="00744736">
          <w:pPr>
            <w:pStyle w:val="Turinys1"/>
            <w:rPr>
              <w:rFonts w:asciiTheme="minorHAnsi" w:hAnsiTheme="minorHAnsi"/>
              <w:noProof/>
              <w:kern w:val="2"/>
              <w:sz w:val="22"/>
              <w:szCs w:val="22"/>
              <w:lang w:eastAsia="lt-LT"/>
              <w14:ligatures w14:val="standardContextual"/>
            </w:rPr>
          </w:pPr>
          <w:hyperlink w:anchor="_Toc146812396" w:history="1">
            <w:r w:rsidR="00F9180E" w:rsidRPr="00640D24">
              <w:rPr>
                <w:rStyle w:val="Hipersaitas"/>
                <w:rFonts w:cs="Times New Roman"/>
                <w:b/>
                <w:bCs/>
                <w:noProof/>
              </w:rPr>
              <w:t>3.</w:t>
            </w:r>
            <w:r w:rsidR="00F9180E" w:rsidRPr="00640D24">
              <w:rPr>
                <w:rFonts w:asciiTheme="minorHAnsi" w:hAnsiTheme="minorHAnsi"/>
                <w:noProof/>
                <w:kern w:val="2"/>
                <w:sz w:val="22"/>
                <w:szCs w:val="22"/>
                <w:lang w:eastAsia="lt-LT"/>
                <w14:ligatures w14:val="standardContextual"/>
              </w:rPr>
              <w:tab/>
            </w:r>
            <w:r w:rsidR="00F9180E" w:rsidRPr="00640D24">
              <w:rPr>
                <w:rStyle w:val="Hipersaitas"/>
                <w:rFonts w:cs="Times New Roman"/>
                <w:b/>
                <w:bCs/>
                <w:noProof/>
              </w:rPr>
              <w:t>Siūlomi finansiniai produktai</w:t>
            </w:r>
            <w:r w:rsidR="00F9180E" w:rsidRPr="00640D24">
              <w:rPr>
                <w:noProof/>
                <w:webHidden/>
              </w:rPr>
              <w:tab/>
            </w:r>
            <w:r w:rsidR="00F9180E" w:rsidRPr="00640D24">
              <w:rPr>
                <w:noProof/>
                <w:webHidden/>
              </w:rPr>
              <w:fldChar w:fldCharType="begin"/>
            </w:r>
            <w:r w:rsidR="00F9180E" w:rsidRPr="00640D24">
              <w:rPr>
                <w:noProof/>
                <w:webHidden/>
              </w:rPr>
              <w:instrText xml:space="preserve"> PAGEREF _Toc146812396 \h </w:instrText>
            </w:r>
            <w:r w:rsidR="00F9180E" w:rsidRPr="00640D24">
              <w:rPr>
                <w:noProof/>
                <w:webHidden/>
              </w:rPr>
            </w:r>
            <w:r w:rsidR="00F9180E" w:rsidRPr="00640D24">
              <w:rPr>
                <w:noProof/>
                <w:webHidden/>
              </w:rPr>
              <w:fldChar w:fldCharType="separate"/>
            </w:r>
            <w:r w:rsidR="00ED2925" w:rsidRPr="00640D24">
              <w:rPr>
                <w:noProof/>
                <w:webHidden/>
              </w:rPr>
              <w:t>37</w:t>
            </w:r>
            <w:r w:rsidR="00F9180E" w:rsidRPr="00640D24">
              <w:rPr>
                <w:noProof/>
                <w:webHidden/>
              </w:rPr>
              <w:fldChar w:fldCharType="end"/>
            </w:r>
          </w:hyperlink>
        </w:p>
        <w:p w14:paraId="2FAE7A8F" w14:textId="59250563" w:rsidR="00F9180E" w:rsidRPr="00640D24" w:rsidRDefault="00744736">
          <w:pPr>
            <w:pStyle w:val="Turinys3"/>
            <w:rPr>
              <w:rFonts w:asciiTheme="minorHAnsi" w:hAnsiTheme="minorHAnsi"/>
              <w:noProof/>
              <w:kern w:val="2"/>
              <w:sz w:val="22"/>
              <w:szCs w:val="22"/>
              <w:lang w:eastAsia="lt-LT"/>
              <w14:ligatures w14:val="standardContextual"/>
            </w:rPr>
          </w:pPr>
          <w:hyperlink w:anchor="_Toc146812397" w:history="1">
            <w:r w:rsidR="00F9180E" w:rsidRPr="00640D24">
              <w:rPr>
                <w:rStyle w:val="Hipersaitas"/>
                <w:noProof/>
              </w:rPr>
              <w:t>3.1.</w:t>
            </w:r>
            <w:r w:rsidR="00F9180E" w:rsidRPr="00640D24">
              <w:rPr>
                <w:rFonts w:asciiTheme="minorHAnsi" w:hAnsiTheme="minorHAnsi"/>
                <w:noProof/>
                <w:kern w:val="2"/>
                <w:sz w:val="22"/>
                <w:szCs w:val="22"/>
                <w:lang w:eastAsia="lt-LT"/>
                <w14:ligatures w14:val="standardContextual"/>
              </w:rPr>
              <w:tab/>
            </w:r>
            <w:r w:rsidR="00F9180E" w:rsidRPr="00640D24">
              <w:rPr>
                <w:rStyle w:val="Hipersaitas"/>
                <w:noProof/>
              </w:rPr>
              <w:t>Rizikos kapitalo investicijų FP</w:t>
            </w:r>
            <w:r w:rsidR="00F9180E" w:rsidRPr="00640D24">
              <w:rPr>
                <w:noProof/>
                <w:webHidden/>
              </w:rPr>
              <w:tab/>
            </w:r>
            <w:r w:rsidR="00F9180E" w:rsidRPr="00640D24">
              <w:rPr>
                <w:noProof/>
                <w:webHidden/>
              </w:rPr>
              <w:fldChar w:fldCharType="begin"/>
            </w:r>
            <w:r w:rsidR="00F9180E" w:rsidRPr="00640D24">
              <w:rPr>
                <w:noProof/>
                <w:webHidden/>
              </w:rPr>
              <w:instrText xml:space="preserve"> PAGEREF _Toc146812397 \h </w:instrText>
            </w:r>
            <w:r w:rsidR="00F9180E" w:rsidRPr="00640D24">
              <w:rPr>
                <w:noProof/>
                <w:webHidden/>
              </w:rPr>
            </w:r>
            <w:r w:rsidR="00F9180E" w:rsidRPr="00640D24">
              <w:rPr>
                <w:noProof/>
                <w:webHidden/>
              </w:rPr>
              <w:fldChar w:fldCharType="separate"/>
            </w:r>
            <w:r w:rsidR="00ED2925" w:rsidRPr="00640D24">
              <w:rPr>
                <w:noProof/>
                <w:webHidden/>
              </w:rPr>
              <w:t>37</w:t>
            </w:r>
            <w:r w:rsidR="00F9180E" w:rsidRPr="00640D24">
              <w:rPr>
                <w:noProof/>
                <w:webHidden/>
              </w:rPr>
              <w:fldChar w:fldCharType="end"/>
            </w:r>
          </w:hyperlink>
        </w:p>
        <w:p w14:paraId="53A095E4" w14:textId="79D72193" w:rsidR="00F9180E" w:rsidRPr="00640D24" w:rsidRDefault="00744736">
          <w:pPr>
            <w:pStyle w:val="Turinys3"/>
            <w:rPr>
              <w:rFonts w:asciiTheme="minorHAnsi" w:hAnsiTheme="minorHAnsi"/>
              <w:noProof/>
              <w:kern w:val="2"/>
              <w:sz w:val="22"/>
              <w:szCs w:val="22"/>
              <w:lang w:eastAsia="lt-LT"/>
              <w14:ligatures w14:val="standardContextual"/>
            </w:rPr>
          </w:pPr>
          <w:hyperlink w:anchor="_Toc146812398" w:history="1">
            <w:r w:rsidR="00F9180E" w:rsidRPr="00640D24">
              <w:rPr>
                <w:rStyle w:val="Hipersaitas"/>
                <w:noProof/>
              </w:rPr>
              <w:t>3.2.</w:t>
            </w:r>
            <w:r w:rsidR="00F9180E" w:rsidRPr="00640D24">
              <w:rPr>
                <w:rFonts w:asciiTheme="minorHAnsi" w:hAnsiTheme="minorHAnsi"/>
                <w:noProof/>
                <w:kern w:val="2"/>
                <w:sz w:val="22"/>
                <w:szCs w:val="22"/>
                <w:lang w:eastAsia="lt-LT"/>
                <w14:ligatures w14:val="standardContextual"/>
              </w:rPr>
              <w:tab/>
            </w:r>
            <w:r w:rsidR="00F9180E" w:rsidRPr="00640D24">
              <w:rPr>
                <w:rStyle w:val="Hipersaitas"/>
                <w:noProof/>
              </w:rPr>
              <w:t>Skolinio finansavimo priemonės</w:t>
            </w:r>
            <w:r w:rsidR="00F9180E" w:rsidRPr="00640D24">
              <w:rPr>
                <w:noProof/>
                <w:webHidden/>
              </w:rPr>
              <w:tab/>
            </w:r>
            <w:r w:rsidR="00F9180E" w:rsidRPr="00640D24">
              <w:rPr>
                <w:noProof/>
                <w:webHidden/>
              </w:rPr>
              <w:fldChar w:fldCharType="begin"/>
            </w:r>
            <w:r w:rsidR="00F9180E" w:rsidRPr="00640D24">
              <w:rPr>
                <w:noProof/>
                <w:webHidden/>
              </w:rPr>
              <w:instrText xml:space="preserve"> PAGEREF _Toc146812398 \h </w:instrText>
            </w:r>
            <w:r w:rsidR="00F9180E" w:rsidRPr="00640D24">
              <w:rPr>
                <w:noProof/>
                <w:webHidden/>
              </w:rPr>
            </w:r>
            <w:r w:rsidR="00F9180E" w:rsidRPr="00640D24">
              <w:rPr>
                <w:noProof/>
                <w:webHidden/>
              </w:rPr>
              <w:fldChar w:fldCharType="separate"/>
            </w:r>
            <w:r w:rsidR="00ED2925" w:rsidRPr="00640D24">
              <w:rPr>
                <w:noProof/>
                <w:webHidden/>
              </w:rPr>
              <w:t>41</w:t>
            </w:r>
            <w:r w:rsidR="00F9180E" w:rsidRPr="00640D24">
              <w:rPr>
                <w:noProof/>
                <w:webHidden/>
              </w:rPr>
              <w:fldChar w:fldCharType="end"/>
            </w:r>
          </w:hyperlink>
        </w:p>
        <w:p w14:paraId="52A332C7" w14:textId="1BDF513D" w:rsidR="00F9180E" w:rsidRPr="00640D24" w:rsidRDefault="00744736">
          <w:pPr>
            <w:pStyle w:val="Turinys3"/>
            <w:rPr>
              <w:rFonts w:asciiTheme="minorHAnsi" w:hAnsiTheme="minorHAnsi"/>
              <w:noProof/>
              <w:kern w:val="2"/>
              <w:sz w:val="22"/>
              <w:szCs w:val="22"/>
              <w:lang w:eastAsia="lt-LT"/>
              <w14:ligatures w14:val="standardContextual"/>
            </w:rPr>
          </w:pPr>
          <w:hyperlink w:anchor="_Toc146812399" w:history="1">
            <w:r w:rsidR="00F9180E" w:rsidRPr="00640D24">
              <w:rPr>
                <w:rStyle w:val="Hipersaitas"/>
                <w:noProof/>
              </w:rPr>
              <w:t>3.3.</w:t>
            </w:r>
            <w:r w:rsidR="00F9180E" w:rsidRPr="00640D24">
              <w:rPr>
                <w:rFonts w:asciiTheme="minorHAnsi" w:hAnsiTheme="minorHAnsi"/>
                <w:noProof/>
                <w:kern w:val="2"/>
                <w:sz w:val="22"/>
                <w:szCs w:val="22"/>
                <w:lang w:eastAsia="lt-LT"/>
                <w14:ligatures w14:val="standardContextual"/>
              </w:rPr>
              <w:tab/>
            </w:r>
            <w:r w:rsidR="00F9180E" w:rsidRPr="00640D24">
              <w:rPr>
                <w:rStyle w:val="Hipersaitas"/>
                <w:noProof/>
              </w:rPr>
              <w:t>Garantijų FP</w:t>
            </w:r>
            <w:r w:rsidR="00F9180E" w:rsidRPr="00640D24">
              <w:rPr>
                <w:noProof/>
                <w:webHidden/>
              </w:rPr>
              <w:tab/>
            </w:r>
            <w:r w:rsidR="00F9180E" w:rsidRPr="00640D24">
              <w:rPr>
                <w:noProof/>
                <w:webHidden/>
              </w:rPr>
              <w:fldChar w:fldCharType="begin"/>
            </w:r>
            <w:r w:rsidR="00F9180E" w:rsidRPr="00640D24">
              <w:rPr>
                <w:noProof/>
                <w:webHidden/>
              </w:rPr>
              <w:instrText xml:space="preserve"> PAGEREF _Toc146812399 \h </w:instrText>
            </w:r>
            <w:r w:rsidR="00F9180E" w:rsidRPr="00640D24">
              <w:rPr>
                <w:noProof/>
                <w:webHidden/>
              </w:rPr>
            </w:r>
            <w:r w:rsidR="00F9180E" w:rsidRPr="00640D24">
              <w:rPr>
                <w:noProof/>
                <w:webHidden/>
              </w:rPr>
              <w:fldChar w:fldCharType="separate"/>
            </w:r>
            <w:r w:rsidR="00ED2925" w:rsidRPr="00640D24">
              <w:rPr>
                <w:noProof/>
                <w:webHidden/>
              </w:rPr>
              <w:t>49</w:t>
            </w:r>
            <w:r w:rsidR="00F9180E" w:rsidRPr="00640D24">
              <w:rPr>
                <w:noProof/>
                <w:webHidden/>
              </w:rPr>
              <w:fldChar w:fldCharType="end"/>
            </w:r>
          </w:hyperlink>
        </w:p>
        <w:p w14:paraId="59DFEC29" w14:textId="17399AA8" w:rsidR="00F9180E" w:rsidRPr="00640D24" w:rsidRDefault="00744736">
          <w:pPr>
            <w:pStyle w:val="Turinys1"/>
            <w:rPr>
              <w:rFonts w:asciiTheme="minorHAnsi" w:hAnsiTheme="minorHAnsi"/>
              <w:noProof/>
              <w:kern w:val="2"/>
              <w:sz w:val="22"/>
              <w:szCs w:val="22"/>
              <w:lang w:eastAsia="lt-LT"/>
              <w14:ligatures w14:val="standardContextual"/>
            </w:rPr>
          </w:pPr>
          <w:hyperlink w:anchor="_Toc146812400" w:history="1">
            <w:r w:rsidR="00F9180E" w:rsidRPr="00640D24">
              <w:rPr>
                <w:rStyle w:val="Hipersaitas"/>
                <w:rFonts w:cs="Times New Roman"/>
                <w:b/>
                <w:bCs/>
                <w:noProof/>
              </w:rPr>
              <w:t>4.</w:t>
            </w:r>
            <w:r w:rsidR="00F9180E" w:rsidRPr="00640D24">
              <w:rPr>
                <w:rFonts w:asciiTheme="minorHAnsi" w:hAnsiTheme="minorHAnsi"/>
                <w:noProof/>
                <w:kern w:val="2"/>
                <w:sz w:val="22"/>
                <w:szCs w:val="22"/>
                <w:lang w:eastAsia="lt-LT"/>
                <w14:ligatures w14:val="standardContextual"/>
              </w:rPr>
              <w:tab/>
            </w:r>
            <w:r w:rsidR="00F9180E" w:rsidRPr="00640D24">
              <w:rPr>
                <w:rStyle w:val="Hipersaitas"/>
                <w:rFonts w:cs="Times New Roman"/>
                <w:b/>
                <w:bCs/>
                <w:noProof/>
              </w:rPr>
              <w:t>Sverto efekto skaičiavimas</w:t>
            </w:r>
            <w:r w:rsidR="00F9180E" w:rsidRPr="00640D24">
              <w:rPr>
                <w:noProof/>
                <w:webHidden/>
              </w:rPr>
              <w:tab/>
            </w:r>
            <w:r w:rsidR="00F9180E" w:rsidRPr="00640D24">
              <w:rPr>
                <w:noProof/>
                <w:webHidden/>
              </w:rPr>
              <w:fldChar w:fldCharType="begin"/>
            </w:r>
            <w:r w:rsidR="00F9180E" w:rsidRPr="00640D24">
              <w:rPr>
                <w:noProof/>
                <w:webHidden/>
              </w:rPr>
              <w:instrText xml:space="preserve"> PAGEREF _Toc146812400 \h </w:instrText>
            </w:r>
            <w:r w:rsidR="00F9180E" w:rsidRPr="00640D24">
              <w:rPr>
                <w:noProof/>
                <w:webHidden/>
              </w:rPr>
            </w:r>
            <w:r w:rsidR="00F9180E" w:rsidRPr="00640D24">
              <w:rPr>
                <w:noProof/>
                <w:webHidden/>
              </w:rPr>
              <w:fldChar w:fldCharType="separate"/>
            </w:r>
            <w:r w:rsidR="00ED2925" w:rsidRPr="00640D24">
              <w:rPr>
                <w:noProof/>
                <w:webHidden/>
              </w:rPr>
              <w:t>52</w:t>
            </w:r>
            <w:r w:rsidR="00F9180E" w:rsidRPr="00640D24">
              <w:rPr>
                <w:noProof/>
                <w:webHidden/>
              </w:rPr>
              <w:fldChar w:fldCharType="end"/>
            </w:r>
          </w:hyperlink>
        </w:p>
        <w:p w14:paraId="7E73C200" w14:textId="35D9E28E" w:rsidR="00F9180E" w:rsidRPr="00640D24" w:rsidRDefault="00744736" w:rsidP="00515198">
          <w:pPr>
            <w:pStyle w:val="Turinys2"/>
            <w:rPr>
              <w:rFonts w:asciiTheme="minorHAnsi" w:hAnsiTheme="minorHAnsi"/>
              <w:kern w:val="2"/>
              <w:sz w:val="22"/>
              <w:szCs w:val="22"/>
              <w:lang w:eastAsia="lt-LT"/>
              <w14:ligatures w14:val="standardContextual"/>
            </w:rPr>
          </w:pPr>
          <w:hyperlink w:anchor="_Toc146812401" w:history="1">
            <w:r w:rsidR="00F9180E" w:rsidRPr="00640D24">
              <w:rPr>
                <w:rStyle w:val="Hipersaitas"/>
              </w:rPr>
              <w:t>4.1.</w:t>
            </w:r>
            <w:r w:rsidR="00F9180E" w:rsidRPr="00640D24">
              <w:rPr>
                <w:rFonts w:asciiTheme="minorHAnsi" w:hAnsiTheme="minorHAnsi"/>
                <w:kern w:val="2"/>
                <w:sz w:val="22"/>
                <w:szCs w:val="22"/>
                <w:lang w:eastAsia="lt-LT"/>
                <w14:ligatures w14:val="standardContextual"/>
              </w:rPr>
              <w:tab/>
            </w:r>
            <w:r w:rsidR="00F9180E" w:rsidRPr="00640D24">
              <w:rPr>
                <w:rStyle w:val="Hipersaitas"/>
              </w:rPr>
              <w:t>Finansinis rizikos kapitalo FP sverto efektas</w:t>
            </w:r>
            <w:r w:rsidR="00F9180E" w:rsidRPr="00640D24">
              <w:rPr>
                <w:webHidden/>
              </w:rPr>
              <w:tab/>
            </w:r>
            <w:r w:rsidR="00F9180E" w:rsidRPr="00640D24">
              <w:rPr>
                <w:webHidden/>
              </w:rPr>
              <w:fldChar w:fldCharType="begin"/>
            </w:r>
            <w:r w:rsidR="00F9180E" w:rsidRPr="00640D24">
              <w:rPr>
                <w:webHidden/>
              </w:rPr>
              <w:instrText xml:space="preserve"> PAGEREF _Toc146812401 \h </w:instrText>
            </w:r>
            <w:r w:rsidR="00F9180E" w:rsidRPr="00640D24">
              <w:rPr>
                <w:webHidden/>
              </w:rPr>
            </w:r>
            <w:r w:rsidR="00F9180E" w:rsidRPr="00640D24">
              <w:rPr>
                <w:webHidden/>
              </w:rPr>
              <w:fldChar w:fldCharType="separate"/>
            </w:r>
            <w:r w:rsidR="00ED2925" w:rsidRPr="00640D24">
              <w:rPr>
                <w:webHidden/>
              </w:rPr>
              <w:t>53</w:t>
            </w:r>
            <w:r w:rsidR="00F9180E" w:rsidRPr="00640D24">
              <w:rPr>
                <w:webHidden/>
              </w:rPr>
              <w:fldChar w:fldCharType="end"/>
            </w:r>
          </w:hyperlink>
        </w:p>
        <w:p w14:paraId="39E6636D" w14:textId="31F68DDA" w:rsidR="00F9180E" w:rsidRPr="00640D24" w:rsidRDefault="00744736" w:rsidP="00515198">
          <w:pPr>
            <w:pStyle w:val="Turinys2"/>
            <w:rPr>
              <w:rFonts w:asciiTheme="minorHAnsi" w:hAnsiTheme="minorHAnsi"/>
              <w:kern w:val="2"/>
              <w:sz w:val="22"/>
              <w:szCs w:val="22"/>
              <w:lang w:eastAsia="lt-LT"/>
              <w14:ligatures w14:val="standardContextual"/>
            </w:rPr>
          </w:pPr>
          <w:hyperlink w:anchor="_Toc146812402" w:history="1">
            <w:r w:rsidR="00F9180E" w:rsidRPr="00640D24">
              <w:rPr>
                <w:rStyle w:val="Hipersaitas"/>
              </w:rPr>
              <w:t>4.2.</w:t>
            </w:r>
            <w:r w:rsidR="00F9180E" w:rsidRPr="00640D24">
              <w:rPr>
                <w:rFonts w:asciiTheme="minorHAnsi" w:hAnsiTheme="minorHAnsi"/>
                <w:kern w:val="2"/>
                <w:sz w:val="22"/>
                <w:szCs w:val="22"/>
                <w:lang w:eastAsia="lt-LT"/>
                <w14:ligatures w14:val="standardContextual"/>
              </w:rPr>
              <w:tab/>
            </w:r>
            <w:r w:rsidR="00F9180E" w:rsidRPr="00640D24">
              <w:rPr>
                <w:rStyle w:val="Hipersaitas"/>
              </w:rPr>
              <w:t>Finansinis paskolų FP sverto efektas</w:t>
            </w:r>
            <w:r w:rsidR="00F9180E" w:rsidRPr="00640D24">
              <w:rPr>
                <w:webHidden/>
              </w:rPr>
              <w:tab/>
            </w:r>
            <w:r w:rsidR="00F9180E" w:rsidRPr="00640D24">
              <w:rPr>
                <w:webHidden/>
              </w:rPr>
              <w:fldChar w:fldCharType="begin"/>
            </w:r>
            <w:r w:rsidR="00F9180E" w:rsidRPr="00640D24">
              <w:rPr>
                <w:webHidden/>
              </w:rPr>
              <w:instrText xml:space="preserve"> PAGEREF _Toc146812402 \h </w:instrText>
            </w:r>
            <w:r w:rsidR="00F9180E" w:rsidRPr="00640D24">
              <w:rPr>
                <w:webHidden/>
              </w:rPr>
            </w:r>
            <w:r w:rsidR="00F9180E" w:rsidRPr="00640D24">
              <w:rPr>
                <w:webHidden/>
              </w:rPr>
              <w:fldChar w:fldCharType="separate"/>
            </w:r>
            <w:r w:rsidR="00ED2925" w:rsidRPr="00640D24">
              <w:rPr>
                <w:webHidden/>
              </w:rPr>
              <w:t>53</w:t>
            </w:r>
            <w:r w:rsidR="00F9180E" w:rsidRPr="00640D24">
              <w:rPr>
                <w:webHidden/>
              </w:rPr>
              <w:fldChar w:fldCharType="end"/>
            </w:r>
          </w:hyperlink>
        </w:p>
        <w:p w14:paraId="568115F4" w14:textId="06F90045" w:rsidR="00F9180E" w:rsidRPr="00640D24" w:rsidRDefault="00744736" w:rsidP="00515198">
          <w:pPr>
            <w:pStyle w:val="Turinys2"/>
            <w:rPr>
              <w:rFonts w:asciiTheme="minorHAnsi" w:hAnsiTheme="minorHAnsi"/>
              <w:kern w:val="2"/>
              <w:sz w:val="22"/>
              <w:szCs w:val="22"/>
              <w:lang w:eastAsia="lt-LT"/>
              <w14:ligatures w14:val="standardContextual"/>
            </w:rPr>
          </w:pPr>
          <w:hyperlink w:anchor="_Toc146812403" w:history="1">
            <w:r w:rsidR="00F9180E" w:rsidRPr="00640D24">
              <w:rPr>
                <w:rStyle w:val="Hipersaitas"/>
              </w:rPr>
              <w:t>4.3.</w:t>
            </w:r>
            <w:r w:rsidR="00F9180E" w:rsidRPr="00640D24">
              <w:rPr>
                <w:rFonts w:asciiTheme="minorHAnsi" w:hAnsiTheme="minorHAnsi"/>
                <w:kern w:val="2"/>
                <w:sz w:val="22"/>
                <w:szCs w:val="22"/>
                <w:lang w:eastAsia="lt-LT"/>
                <w14:ligatures w14:val="standardContextual"/>
              </w:rPr>
              <w:tab/>
            </w:r>
            <w:r w:rsidR="00F9180E" w:rsidRPr="00640D24">
              <w:rPr>
                <w:rStyle w:val="Hipersaitas"/>
              </w:rPr>
              <w:t>Finansinis garantijų FP sverto efektas</w:t>
            </w:r>
            <w:r w:rsidR="00F9180E" w:rsidRPr="00640D24">
              <w:rPr>
                <w:webHidden/>
              </w:rPr>
              <w:tab/>
            </w:r>
            <w:r w:rsidR="00F9180E" w:rsidRPr="00640D24">
              <w:rPr>
                <w:webHidden/>
              </w:rPr>
              <w:fldChar w:fldCharType="begin"/>
            </w:r>
            <w:r w:rsidR="00F9180E" w:rsidRPr="00640D24">
              <w:rPr>
                <w:webHidden/>
              </w:rPr>
              <w:instrText xml:space="preserve"> PAGEREF _Toc146812403 \h </w:instrText>
            </w:r>
            <w:r w:rsidR="00F9180E" w:rsidRPr="00640D24">
              <w:rPr>
                <w:webHidden/>
              </w:rPr>
            </w:r>
            <w:r w:rsidR="00F9180E" w:rsidRPr="00640D24">
              <w:rPr>
                <w:webHidden/>
              </w:rPr>
              <w:fldChar w:fldCharType="separate"/>
            </w:r>
            <w:r w:rsidR="00ED2925" w:rsidRPr="00640D24">
              <w:rPr>
                <w:webHidden/>
              </w:rPr>
              <w:t>54</w:t>
            </w:r>
            <w:r w:rsidR="00F9180E" w:rsidRPr="00640D24">
              <w:rPr>
                <w:webHidden/>
              </w:rPr>
              <w:fldChar w:fldCharType="end"/>
            </w:r>
          </w:hyperlink>
        </w:p>
        <w:p w14:paraId="313404D0" w14:textId="703628AE" w:rsidR="00F9180E" w:rsidRPr="00640D24" w:rsidRDefault="00744736" w:rsidP="00515198">
          <w:pPr>
            <w:pStyle w:val="Turinys2"/>
            <w:rPr>
              <w:rFonts w:asciiTheme="minorHAnsi" w:hAnsiTheme="minorHAnsi"/>
              <w:kern w:val="2"/>
              <w:sz w:val="22"/>
              <w:szCs w:val="22"/>
              <w:lang w:eastAsia="lt-LT"/>
              <w14:ligatures w14:val="standardContextual"/>
            </w:rPr>
          </w:pPr>
          <w:hyperlink w:anchor="_Toc146812404" w:history="1">
            <w:r w:rsidR="00F9180E" w:rsidRPr="00640D24">
              <w:rPr>
                <w:rStyle w:val="Hipersaitas"/>
              </w:rPr>
              <w:t>4.4.</w:t>
            </w:r>
            <w:r w:rsidR="00F9180E" w:rsidRPr="00640D24">
              <w:rPr>
                <w:rFonts w:asciiTheme="minorHAnsi" w:hAnsiTheme="minorHAnsi"/>
                <w:kern w:val="2"/>
                <w:sz w:val="22"/>
                <w:szCs w:val="22"/>
                <w:lang w:eastAsia="lt-LT"/>
                <w14:ligatures w14:val="standardContextual"/>
              </w:rPr>
              <w:tab/>
            </w:r>
            <w:r w:rsidR="00F9180E" w:rsidRPr="00640D24">
              <w:rPr>
                <w:rStyle w:val="Hipersaitas"/>
              </w:rPr>
              <w:t>FP finansinio sverto ir subsidijų kiekybinio rodiklio palyginimas</w:t>
            </w:r>
            <w:r w:rsidR="00F9180E" w:rsidRPr="00640D24">
              <w:rPr>
                <w:webHidden/>
              </w:rPr>
              <w:tab/>
            </w:r>
            <w:r w:rsidR="00F9180E" w:rsidRPr="00640D24">
              <w:rPr>
                <w:webHidden/>
              </w:rPr>
              <w:fldChar w:fldCharType="begin"/>
            </w:r>
            <w:r w:rsidR="00F9180E" w:rsidRPr="00640D24">
              <w:rPr>
                <w:webHidden/>
              </w:rPr>
              <w:instrText xml:space="preserve"> PAGEREF _Toc146812404 \h </w:instrText>
            </w:r>
            <w:r w:rsidR="00F9180E" w:rsidRPr="00640D24">
              <w:rPr>
                <w:webHidden/>
              </w:rPr>
            </w:r>
            <w:r w:rsidR="00F9180E" w:rsidRPr="00640D24">
              <w:rPr>
                <w:webHidden/>
              </w:rPr>
              <w:fldChar w:fldCharType="separate"/>
            </w:r>
            <w:r w:rsidR="00ED2925" w:rsidRPr="00640D24">
              <w:rPr>
                <w:webHidden/>
              </w:rPr>
              <w:t>55</w:t>
            </w:r>
            <w:r w:rsidR="00F9180E" w:rsidRPr="00640D24">
              <w:rPr>
                <w:webHidden/>
              </w:rPr>
              <w:fldChar w:fldCharType="end"/>
            </w:r>
          </w:hyperlink>
        </w:p>
        <w:p w14:paraId="33A96ADE" w14:textId="62E6F9B1" w:rsidR="00F9180E" w:rsidRPr="00640D24" w:rsidRDefault="00744736">
          <w:pPr>
            <w:pStyle w:val="Turinys1"/>
            <w:rPr>
              <w:rFonts w:asciiTheme="minorHAnsi" w:hAnsiTheme="minorHAnsi"/>
              <w:noProof/>
              <w:kern w:val="2"/>
              <w:sz w:val="22"/>
              <w:szCs w:val="22"/>
              <w:lang w:eastAsia="lt-LT"/>
              <w14:ligatures w14:val="standardContextual"/>
            </w:rPr>
          </w:pPr>
          <w:hyperlink w:anchor="_Toc146812405" w:history="1">
            <w:r w:rsidR="00F9180E" w:rsidRPr="00640D24">
              <w:rPr>
                <w:rStyle w:val="Hipersaitas"/>
                <w:rFonts w:cs="Times New Roman"/>
                <w:b/>
                <w:bCs/>
                <w:noProof/>
              </w:rPr>
              <w:t>5.</w:t>
            </w:r>
            <w:r w:rsidR="00F9180E" w:rsidRPr="00640D24">
              <w:rPr>
                <w:rFonts w:asciiTheme="minorHAnsi" w:hAnsiTheme="minorHAnsi"/>
                <w:noProof/>
                <w:kern w:val="2"/>
                <w:sz w:val="22"/>
                <w:szCs w:val="22"/>
                <w:lang w:eastAsia="lt-LT"/>
                <w14:ligatures w14:val="standardContextual"/>
              </w:rPr>
              <w:tab/>
            </w:r>
            <w:r w:rsidR="00F9180E" w:rsidRPr="00640D24">
              <w:rPr>
                <w:rStyle w:val="Hipersaitas"/>
                <w:rFonts w:cs="Times New Roman"/>
                <w:b/>
                <w:bCs/>
                <w:noProof/>
              </w:rPr>
              <w:t>Siūlymai dėl finansinių priemonių stebėsenos rodiklių</w:t>
            </w:r>
            <w:r w:rsidR="00F9180E" w:rsidRPr="00640D24">
              <w:rPr>
                <w:noProof/>
                <w:webHidden/>
              </w:rPr>
              <w:tab/>
            </w:r>
            <w:r w:rsidR="00F9180E" w:rsidRPr="00640D24">
              <w:rPr>
                <w:noProof/>
                <w:webHidden/>
              </w:rPr>
              <w:fldChar w:fldCharType="begin"/>
            </w:r>
            <w:r w:rsidR="00F9180E" w:rsidRPr="00640D24">
              <w:rPr>
                <w:noProof/>
                <w:webHidden/>
              </w:rPr>
              <w:instrText xml:space="preserve"> PAGEREF _Toc146812405 \h </w:instrText>
            </w:r>
            <w:r w:rsidR="00F9180E" w:rsidRPr="00640D24">
              <w:rPr>
                <w:noProof/>
                <w:webHidden/>
              </w:rPr>
            </w:r>
            <w:r w:rsidR="00F9180E" w:rsidRPr="00640D24">
              <w:rPr>
                <w:noProof/>
                <w:webHidden/>
              </w:rPr>
              <w:fldChar w:fldCharType="separate"/>
            </w:r>
            <w:r w:rsidR="00ED2925" w:rsidRPr="00640D24">
              <w:rPr>
                <w:noProof/>
                <w:webHidden/>
              </w:rPr>
              <w:t>56</w:t>
            </w:r>
            <w:r w:rsidR="00F9180E" w:rsidRPr="00640D24">
              <w:rPr>
                <w:noProof/>
                <w:webHidden/>
              </w:rPr>
              <w:fldChar w:fldCharType="end"/>
            </w:r>
          </w:hyperlink>
        </w:p>
        <w:p w14:paraId="05758F2F" w14:textId="6F8E2D19" w:rsidR="00F9180E" w:rsidRPr="00640D24" w:rsidRDefault="00744736">
          <w:pPr>
            <w:pStyle w:val="Turinys1"/>
            <w:rPr>
              <w:rFonts w:asciiTheme="minorHAnsi" w:hAnsiTheme="minorHAnsi"/>
              <w:noProof/>
              <w:kern w:val="2"/>
              <w:sz w:val="22"/>
              <w:szCs w:val="22"/>
              <w:lang w:eastAsia="lt-LT"/>
              <w14:ligatures w14:val="standardContextual"/>
            </w:rPr>
          </w:pPr>
          <w:hyperlink w:anchor="_Toc146812406" w:history="1">
            <w:r w:rsidR="00F9180E" w:rsidRPr="00640D24">
              <w:rPr>
                <w:rStyle w:val="Hipersaitas"/>
                <w:rFonts w:cs="Times New Roman"/>
                <w:b/>
                <w:bCs/>
                <w:noProof/>
              </w:rPr>
              <w:t>6.</w:t>
            </w:r>
            <w:r w:rsidR="00F9180E" w:rsidRPr="00640D24">
              <w:rPr>
                <w:rFonts w:asciiTheme="minorHAnsi" w:hAnsiTheme="minorHAnsi"/>
                <w:noProof/>
                <w:kern w:val="2"/>
                <w:sz w:val="22"/>
                <w:szCs w:val="22"/>
                <w:lang w:eastAsia="lt-LT"/>
                <w14:ligatures w14:val="standardContextual"/>
              </w:rPr>
              <w:tab/>
            </w:r>
            <w:r w:rsidR="00F9180E" w:rsidRPr="00640D24">
              <w:rPr>
                <w:rStyle w:val="Hipersaitas"/>
                <w:rFonts w:cs="Times New Roman"/>
                <w:b/>
                <w:bCs/>
                <w:noProof/>
              </w:rPr>
              <w:t>Išvados ir rekomendacijos</w:t>
            </w:r>
            <w:r w:rsidR="00F9180E" w:rsidRPr="00640D24">
              <w:rPr>
                <w:noProof/>
                <w:webHidden/>
              </w:rPr>
              <w:tab/>
            </w:r>
            <w:r w:rsidR="00F9180E" w:rsidRPr="00640D24">
              <w:rPr>
                <w:noProof/>
                <w:webHidden/>
              </w:rPr>
              <w:fldChar w:fldCharType="begin"/>
            </w:r>
            <w:r w:rsidR="00F9180E" w:rsidRPr="00640D24">
              <w:rPr>
                <w:noProof/>
                <w:webHidden/>
              </w:rPr>
              <w:instrText xml:space="preserve"> PAGEREF _Toc146812406 \h </w:instrText>
            </w:r>
            <w:r w:rsidR="00F9180E" w:rsidRPr="00640D24">
              <w:rPr>
                <w:noProof/>
                <w:webHidden/>
              </w:rPr>
            </w:r>
            <w:r w:rsidR="00F9180E" w:rsidRPr="00640D24">
              <w:rPr>
                <w:noProof/>
                <w:webHidden/>
              </w:rPr>
              <w:fldChar w:fldCharType="separate"/>
            </w:r>
            <w:r w:rsidR="00ED2925" w:rsidRPr="00640D24">
              <w:rPr>
                <w:noProof/>
                <w:webHidden/>
              </w:rPr>
              <w:t>59</w:t>
            </w:r>
            <w:r w:rsidR="00F9180E" w:rsidRPr="00640D24">
              <w:rPr>
                <w:noProof/>
                <w:webHidden/>
              </w:rPr>
              <w:fldChar w:fldCharType="end"/>
            </w:r>
          </w:hyperlink>
        </w:p>
        <w:p w14:paraId="0A02AAF6" w14:textId="2CB44110" w:rsidR="00F9180E" w:rsidRPr="00640D24" w:rsidRDefault="00744736">
          <w:pPr>
            <w:pStyle w:val="Turinys1"/>
            <w:rPr>
              <w:rFonts w:asciiTheme="minorHAnsi" w:hAnsiTheme="minorHAnsi"/>
              <w:noProof/>
              <w:kern w:val="2"/>
              <w:sz w:val="22"/>
              <w:szCs w:val="22"/>
              <w:lang w:eastAsia="lt-LT"/>
              <w14:ligatures w14:val="standardContextual"/>
            </w:rPr>
          </w:pPr>
          <w:hyperlink w:anchor="_Toc146812407" w:history="1">
            <w:r w:rsidR="00F9180E" w:rsidRPr="00640D24">
              <w:rPr>
                <w:rStyle w:val="Hipersaitas"/>
                <w:rFonts w:cs="Times New Roman"/>
                <w:b/>
                <w:bCs/>
                <w:noProof/>
              </w:rPr>
              <w:t>1 priedas. Interviu dalyvių sąrašas</w:t>
            </w:r>
            <w:r w:rsidR="00F9180E" w:rsidRPr="00640D24">
              <w:rPr>
                <w:noProof/>
                <w:webHidden/>
              </w:rPr>
              <w:tab/>
            </w:r>
            <w:r w:rsidR="00F9180E" w:rsidRPr="00640D24">
              <w:rPr>
                <w:noProof/>
                <w:webHidden/>
              </w:rPr>
              <w:fldChar w:fldCharType="begin"/>
            </w:r>
            <w:r w:rsidR="00F9180E" w:rsidRPr="00640D24">
              <w:rPr>
                <w:noProof/>
                <w:webHidden/>
              </w:rPr>
              <w:instrText xml:space="preserve"> PAGEREF _Toc146812407 \h </w:instrText>
            </w:r>
            <w:r w:rsidR="00F9180E" w:rsidRPr="00640D24">
              <w:rPr>
                <w:noProof/>
                <w:webHidden/>
              </w:rPr>
            </w:r>
            <w:r w:rsidR="00F9180E" w:rsidRPr="00640D24">
              <w:rPr>
                <w:noProof/>
                <w:webHidden/>
              </w:rPr>
              <w:fldChar w:fldCharType="separate"/>
            </w:r>
            <w:r w:rsidR="00ED2925" w:rsidRPr="00640D24">
              <w:rPr>
                <w:noProof/>
                <w:webHidden/>
              </w:rPr>
              <w:t>62</w:t>
            </w:r>
            <w:r w:rsidR="00F9180E" w:rsidRPr="00640D24">
              <w:rPr>
                <w:noProof/>
                <w:webHidden/>
              </w:rPr>
              <w:fldChar w:fldCharType="end"/>
            </w:r>
          </w:hyperlink>
        </w:p>
        <w:p w14:paraId="23654B47" w14:textId="099CD7EF" w:rsidR="00F9180E" w:rsidRPr="00640D24" w:rsidRDefault="00744736">
          <w:pPr>
            <w:pStyle w:val="Turinys1"/>
            <w:rPr>
              <w:rFonts w:asciiTheme="minorHAnsi" w:hAnsiTheme="minorHAnsi"/>
              <w:noProof/>
              <w:kern w:val="2"/>
              <w:sz w:val="22"/>
              <w:szCs w:val="22"/>
              <w:lang w:eastAsia="lt-LT"/>
              <w14:ligatures w14:val="standardContextual"/>
            </w:rPr>
          </w:pPr>
          <w:hyperlink w:anchor="_Toc146812408" w:history="1">
            <w:r w:rsidR="00F9180E" w:rsidRPr="00640D24">
              <w:rPr>
                <w:rStyle w:val="Hipersaitas"/>
                <w:rFonts w:cs="Times New Roman"/>
                <w:b/>
                <w:bCs/>
                <w:noProof/>
              </w:rPr>
              <w:t>2 priedas. Fokusuotų grupės diskusijų sąrašas</w:t>
            </w:r>
            <w:r w:rsidR="00F9180E" w:rsidRPr="00640D24">
              <w:rPr>
                <w:noProof/>
                <w:webHidden/>
              </w:rPr>
              <w:tab/>
            </w:r>
            <w:r w:rsidR="00F9180E" w:rsidRPr="00640D24">
              <w:rPr>
                <w:noProof/>
                <w:webHidden/>
              </w:rPr>
              <w:fldChar w:fldCharType="begin"/>
            </w:r>
            <w:r w:rsidR="00F9180E" w:rsidRPr="00640D24">
              <w:rPr>
                <w:noProof/>
                <w:webHidden/>
              </w:rPr>
              <w:instrText xml:space="preserve"> PAGEREF _Toc146812408 \h </w:instrText>
            </w:r>
            <w:r w:rsidR="00F9180E" w:rsidRPr="00640D24">
              <w:rPr>
                <w:noProof/>
                <w:webHidden/>
              </w:rPr>
            </w:r>
            <w:r w:rsidR="00F9180E" w:rsidRPr="00640D24">
              <w:rPr>
                <w:noProof/>
                <w:webHidden/>
              </w:rPr>
              <w:fldChar w:fldCharType="separate"/>
            </w:r>
            <w:r w:rsidR="00ED2925" w:rsidRPr="00640D24">
              <w:rPr>
                <w:noProof/>
                <w:webHidden/>
              </w:rPr>
              <w:t>64</w:t>
            </w:r>
            <w:r w:rsidR="00F9180E" w:rsidRPr="00640D24">
              <w:rPr>
                <w:noProof/>
                <w:webHidden/>
              </w:rPr>
              <w:fldChar w:fldCharType="end"/>
            </w:r>
          </w:hyperlink>
        </w:p>
        <w:p w14:paraId="0005A735" w14:textId="7B11B354" w:rsidR="00F9180E" w:rsidRPr="00640D24" w:rsidRDefault="00744736">
          <w:pPr>
            <w:pStyle w:val="Turinys1"/>
            <w:rPr>
              <w:rFonts w:asciiTheme="minorHAnsi" w:hAnsiTheme="minorHAnsi"/>
              <w:noProof/>
              <w:kern w:val="2"/>
              <w:sz w:val="22"/>
              <w:szCs w:val="22"/>
              <w:lang w:eastAsia="lt-LT"/>
              <w14:ligatures w14:val="standardContextual"/>
            </w:rPr>
          </w:pPr>
          <w:hyperlink w:anchor="_Toc146812409" w:history="1">
            <w:r w:rsidR="00F9180E" w:rsidRPr="00640D24">
              <w:rPr>
                <w:rStyle w:val="Hipersaitas"/>
                <w:rFonts w:cs="Times New Roman"/>
                <w:b/>
                <w:bCs/>
                <w:noProof/>
              </w:rPr>
              <w:t>3 priedas. Vertinime nagrinėjamos subsidinės priemonės</w:t>
            </w:r>
            <w:r w:rsidR="00F9180E" w:rsidRPr="00640D24">
              <w:rPr>
                <w:noProof/>
                <w:webHidden/>
              </w:rPr>
              <w:tab/>
            </w:r>
            <w:r w:rsidR="00F9180E" w:rsidRPr="00640D24">
              <w:rPr>
                <w:noProof/>
                <w:webHidden/>
              </w:rPr>
              <w:fldChar w:fldCharType="begin"/>
            </w:r>
            <w:r w:rsidR="00F9180E" w:rsidRPr="00640D24">
              <w:rPr>
                <w:noProof/>
                <w:webHidden/>
              </w:rPr>
              <w:instrText xml:space="preserve"> PAGEREF _Toc146812409 \h </w:instrText>
            </w:r>
            <w:r w:rsidR="00F9180E" w:rsidRPr="00640D24">
              <w:rPr>
                <w:noProof/>
                <w:webHidden/>
              </w:rPr>
            </w:r>
            <w:r w:rsidR="00F9180E" w:rsidRPr="00640D24">
              <w:rPr>
                <w:noProof/>
                <w:webHidden/>
              </w:rPr>
              <w:fldChar w:fldCharType="separate"/>
            </w:r>
            <w:r w:rsidR="00ED2925" w:rsidRPr="00640D24">
              <w:rPr>
                <w:noProof/>
                <w:webHidden/>
              </w:rPr>
              <w:t>65</w:t>
            </w:r>
            <w:r w:rsidR="00F9180E" w:rsidRPr="00640D24">
              <w:rPr>
                <w:noProof/>
                <w:webHidden/>
              </w:rPr>
              <w:fldChar w:fldCharType="end"/>
            </w:r>
          </w:hyperlink>
        </w:p>
        <w:p w14:paraId="73EC4982" w14:textId="4CB33FE2" w:rsidR="00F9180E" w:rsidRPr="00640D24" w:rsidRDefault="00744736">
          <w:pPr>
            <w:pStyle w:val="Turinys1"/>
            <w:rPr>
              <w:rFonts w:asciiTheme="minorHAnsi" w:hAnsiTheme="minorHAnsi"/>
              <w:noProof/>
              <w:kern w:val="2"/>
              <w:sz w:val="22"/>
              <w:szCs w:val="22"/>
              <w:lang w:eastAsia="lt-LT"/>
              <w14:ligatures w14:val="standardContextual"/>
            </w:rPr>
          </w:pPr>
          <w:hyperlink w:anchor="_Toc146812410" w:history="1">
            <w:r w:rsidR="00F9180E" w:rsidRPr="00640D24">
              <w:rPr>
                <w:rStyle w:val="Hipersaitas"/>
                <w:rFonts w:cs="Times New Roman"/>
                <w:b/>
                <w:bCs/>
                <w:noProof/>
              </w:rPr>
              <w:t>4 priedas. SVV subjektų apklausos rezultatai</w:t>
            </w:r>
            <w:r w:rsidR="00F9180E" w:rsidRPr="00640D24">
              <w:rPr>
                <w:noProof/>
                <w:webHidden/>
              </w:rPr>
              <w:tab/>
            </w:r>
            <w:r w:rsidR="00F9180E" w:rsidRPr="00640D24">
              <w:rPr>
                <w:noProof/>
                <w:webHidden/>
              </w:rPr>
              <w:fldChar w:fldCharType="begin"/>
            </w:r>
            <w:r w:rsidR="00F9180E" w:rsidRPr="00640D24">
              <w:rPr>
                <w:noProof/>
                <w:webHidden/>
              </w:rPr>
              <w:instrText xml:space="preserve"> PAGEREF _Toc146812410 \h </w:instrText>
            </w:r>
            <w:r w:rsidR="00F9180E" w:rsidRPr="00640D24">
              <w:rPr>
                <w:noProof/>
                <w:webHidden/>
              </w:rPr>
            </w:r>
            <w:r w:rsidR="00F9180E" w:rsidRPr="00640D24">
              <w:rPr>
                <w:noProof/>
                <w:webHidden/>
              </w:rPr>
              <w:fldChar w:fldCharType="separate"/>
            </w:r>
            <w:r w:rsidR="00ED2925" w:rsidRPr="00640D24">
              <w:rPr>
                <w:noProof/>
                <w:webHidden/>
              </w:rPr>
              <w:t>68</w:t>
            </w:r>
            <w:r w:rsidR="00F9180E" w:rsidRPr="00640D24">
              <w:rPr>
                <w:noProof/>
                <w:webHidden/>
              </w:rPr>
              <w:fldChar w:fldCharType="end"/>
            </w:r>
          </w:hyperlink>
        </w:p>
        <w:p w14:paraId="4ACCF557" w14:textId="6E835A8B" w:rsidR="00F9180E" w:rsidRPr="00640D24" w:rsidRDefault="00744736">
          <w:pPr>
            <w:pStyle w:val="Turinys1"/>
            <w:rPr>
              <w:rFonts w:asciiTheme="minorHAnsi" w:hAnsiTheme="minorHAnsi"/>
              <w:noProof/>
              <w:kern w:val="2"/>
              <w:sz w:val="22"/>
              <w:szCs w:val="22"/>
              <w:lang w:eastAsia="lt-LT"/>
              <w14:ligatures w14:val="standardContextual"/>
            </w:rPr>
          </w:pPr>
          <w:hyperlink w:anchor="_Toc146812411" w:history="1">
            <w:r w:rsidR="00F9180E" w:rsidRPr="00640D24">
              <w:rPr>
                <w:rStyle w:val="Hipersaitas"/>
                <w:rFonts w:cs="Times New Roman"/>
                <w:b/>
                <w:bCs/>
                <w:noProof/>
              </w:rPr>
              <w:t>5 priedas. MVĮ apklausos rezultatai</w:t>
            </w:r>
            <w:r w:rsidR="00F9180E" w:rsidRPr="00640D24">
              <w:rPr>
                <w:noProof/>
                <w:webHidden/>
              </w:rPr>
              <w:tab/>
            </w:r>
            <w:r w:rsidR="00F9180E" w:rsidRPr="00640D24">
              <w:rPr>
                <w:noProof/>
                <w:webHidden/>
              </w:rPr>
              <w:fldChar w:fldCharType="begin"/>
            </w:r>
            <w:r w:rsidR="00F9180E" w:rsidRPr="00640D24">
              <w:rPr>
                <w:noProof/>
                <w:webHidden/>
              </w:rPr>
              <w:instrText xml:space="preserve"> PAGEREF _Toc146812411 \h </w:instrText>
            </w:r>
            <w:r w:rsidR="00F9180E" w:rsidRPr="00640D24">
              <w:rPr>
                <w:noProof/>
                <w:webHidden/>
              </w:rPr>
            </w:r>
            <w:r w:rsidR="00F9180E" w:rsidRPr="00640D24">
              <w:rPr>
                <w:noProof/>
                <w:webHidden/>
              </w:rPr>
              <w:fldChar w:fldCharType="separate"/>
            </w:r>
            <w:r w:rsidR="00ED2925" w:rsidRPr="00640D24">
              <w:rPr>
                <w:noProof/>
                <w:webHidden/>
              </w:rPr>
              <w:t>69</w:t>
            </w:r>
            <w:r w:rsidR="00F9180E" w:rsidRPr="00640D24">
              <w:rPr>
                <w:noProof/>
                <w:webHidden/>
              </w:rPr>
              <w:fldChar w:fldCharType="end"/>
            </w:r>
          </w:hyperlink>
        </w:p>
        <w:p w14:paraId="33ECEEA3" w14:textId="6D347CBA" w:rsidR="00F9180E" w:rsidRPr="00640D24" w:rsidRDefault="00744736">
          <w:pPr>
            <w:pStyle w:val="Turinys1"/>
            <w:rPr>
              <w:rFonts w:asciiTheme="minorHAnsi" w:hAnsiTheme="minorHAnsi"/>
              <w:noProof/>
              <w:kern w:val="2"/>
              <w:sz w:val="22"/>
              <w:szCs w:val="22"/>
              <w:lang w:eastAsia="lt-LT"/>
              <w14:ligatures w14:val="standardContextual"/>
            </w:rPr>
          </w:pPr>
          <w:hyperlink w:anchor="_Toc146812412" w:history="1">
            <w:r w:rsidR="00F9180E" w:rsidRPr="00640D24">
              <w:rPr>
                <w:rStyle w:val="Hipersaitas"/>
                <w:rFonts w:cs="Times New Roman"/>
                <w:b/>
                <w:bCs/>
                <w:noProof/>
              </w:rPr>
              <w:t>6 priedas. DĮ apklausos rezultatai</w:t>
            </w:r>
            <w:r w:rsidR="00F9180E" w:rsidRPr="00640D24">
              <w:rPr>
                <w:noProof/>
                <w:webHidden/>
              </w:rPr>
              <w:tab/>
            </w:r>
            <w:r w:rsidR="00F9180E" w:rsidRPr="00640D24">
              <w:rPr>
                <w:noProof/>
                <w:webHidden/>
              </w:rPr>
              <w:fldChar w:fldCharType="begin"/>
            </w:r>
            <w:r w:rsidR="00F9180E" w:rsidRPr="00640D24">
              <w:rPr>
                <w:noProof/>
                <w:webHidden/>
              </w:rPr>
              <w:instrText xml:space="preserve"> PAGEREF _Toc146812412 \h </w:instrText>
            </w:r>
            <w:r w:rsidR="00F9180E" w:rsidRPr="00640D24">
              <w:rPr>
                <w:noProof/>
                <w:webHidden/>
              </w:rPr>
            </w:r>
            <w:r w:rsidR="00F9180E" w:rsidRPr="00640D24">
              <w:rPr>
                <w:noProof/>
                <w:webHidden/>
              </w:rPr>
              <w:fldChar w:fldCharType="separate"/>
            </w:r>
            <w:r w:rsidR="00ED2925" w:rsidRPr="00640D24">
              <w:rPr>
                <w:noProof/>
                <w:webHidden/>
              </w:rPr>
              <w:t>76</w:t>
            </w:r>
            <w:r w:rsidR="00F9180E" w:rsidRPr="00640D24">
              <w:rPr>
                <w:noProof/>
                <w:webHidden/>
              </w:rPr>
              <w:fldChar w:fldCharType="end"/>
            </w:r>
          </w:hyperlink>
        </w:p>
        <w:p w14:paraId="238BA980" w14:textId="214B8708" w:rsidR="00F9180E" w:rsidRPr="00640D24" w:rsidRDefault="00744736">
          <w:pPr>
            <w:pStyle w:val="Turinys1"/>
            <w:rPr>
              <w:rFonts w:asciiTheme="minorHAnsi" w:hAnsiTheme="minorHAnsi"/>
              <w:noProof/>
              <w:kern w:val="2"/>
              <w:sz w:val="22"/>
              <w:szCs w:val="22"/>
              <w:lang w:eastAsia="lt-LT"/>
              <w14:ligatures w14:val="standardContextual"/>
            </w:rPr>
          </w:pPr>
          <w:hyperlink w:anchor="_Toc146812413" w:history="1">
            <w:r w:rsidR="00F9180E" w:rsidRPr="00640D24">
              <w:rPr>
                <w:rStyle w:val="Hipersaitas"/>
                <w:rFonts w:cs="Times New Roman"/>
                <w:b/>
                <w:bCs/>
                <w:noProof/>
              </w:rPr>
              <w:t>7 priedas. Lietuvos pramoninkų konfederacijos apklausos rezultatai</w:t>
            </w:r>
            <w:r w:rsidR="00F9180E" w:rsidRPr="00640D24">
              <w:rPr>
                <w:noProof/>
                <w:webHidden/>
              </w:rPr>
              <w:tab/>
            </w:r>
            <w:r w:rsidR="00F9180E" w:rsidRPr="00640D24">
              <w:rPr>
                <w:noProof/>
                <w:webHidden/>
              </w:rPr>
              <w:fldChar w:fldCharType="begin"/>
            </w:r>
            <w:r w:rsidR="00F9180E" w:rsidRPr="00640D24">
              <w:rPr>
                <w:noProof/>
                <w:webHidden/>
              </w:rPr>
              <w:instrText xml:space="preserve"> PAGEREF _Toc146812413 \h </w:instrText>
            </w:r>
            <w:r w:rsidR="00F9180E" w:rsidRPr="00640D24">
              <w:rPr>
                <w:noProof/>
                <w:webHidden/>
              </w:rPr>
            </w:r>
            <w:r w:rsidR="00F9180E" w:rsidRPr="00640D24">
              <w:rPr>
                <w:noProof/>
                <w:webHidden/>
              </w:rPr>
              <w:fldChar w:fldCharType="separate"/>
            </w:r>
            <w:r w:rsidR="00ED2925" w:rsidRPr="00640D24">
              <w:rPr>
                <w:noProof/>
                <w:webHidden/>
              </w:rPr>
              <w:t>83</w:t>
            </w:r>
            <w:r w:rsidR="00F9180E" w:rsidRPr="00640D24">
              <w:rPr>
                <w:noProof/>
                <w:webHidden/>
              </w:rPr>
              <w:fldChar w:fldCharType="end"/>
            </w:r>
          </w:hyperlink>
        </w:p>
        <w:p w14:paraId="11AC791A" w14:textId="3FF25583" w:rsidR="00E92F97" w:rsidRPr="00640D24" w:rsidRDefault="00E92F97" w:rsidP="00E50BA4">
          <w:pPr>
            <w:spacing w:before="60" w:after="60" w:line="240" w:lineRule="auto"/>
            <w:rPr>
              <w:rFonts w:cs="Times New Roman"/>
              <w:sz w:val="22"/>
              <w:szCs w:val="22"/>
            </w:rPr>
          </w:pPr>
          <w:r w:rsidRPr="00640D24">
            <w:rPr>
              <w:rFonts w:cs="Times New Roman"/>
              <w:sz w:val="22"/>
              <w:szCs w:val="22"/>
            </w:rPr>
            <w:fldChar w:fldCharType="end"/>
          </w:r>
        </w:p>
      </w:sdtContent>
    </w:sdt>
    <w:p w14:paraId="14C21BEA" w14:textId="77777777" w:rsidR="00713BE8" w:rsidRPr="00640D24" w:rsidRDefault="00713BE8">
      <w:pPr>
        <w:spacing w:after="160" w:line="259" w:lineRule="auto"/>
        <w:rPr>
          <w:rFonts w:cs="Times New Roman"/>
        </w:rPr>
      </w:pPr>
    </w:p>
    <w:p w14:paraId="11D7CD7D" w14:textId="30930F63" w:rsidR="000D6C24" w:rsidRPr="00640D24" w:rsidRDefault="000D6C24">
      <w:pPr>
        <w:spacing w:after="160" w:line="259" w:lineRule="auto"/>
        <w:rPr>
          <w:rFonts w:cs="Times New Roman"/>
        </w:rPr>
      </w:pPr>
      <w:r w:rsidRPr="00640D24">
        <w:rPr>
          <w:rFonts w:cs="Times New Roman"/>
        </w:rPr>
        <w:br w:type="page"/>
      </w:r>
    </w:p>
    <w:p w14:paraId="0015CFA2" w14:textId="77777777" w:rsidR="006417EF" w:rsidRPr="00640D24" w:rsidRDefault="006417EF" w:rsidP="00355961">
      <w:pPr>
        <w:pStyle w:val="Antrat1"/>
        <w:spacing w:before="60" w:after="60" w:line="240" w:lineRule="auto"/>
        <w:rPr>
          <w:rFonts w:ascii="Times New Roman" w:hAnsi="Times New Roman" w:cs="Times New Roman"/>
          <w:b/>
          <w:bCs/>
          <w:color w:val="auto"/>
          <w:sz w:val="28"/>
          <w:szCs w:val="28"/>
        </w:rPr>
      </w:pPr>
      <w:bookmarkStart w:id="0" w:name="_Toc57225204"/>
      <w:bookmarkStart w:id="1" w:name="_Toc146812375"/>
      <w:r w:rsidRPr="00640D24">
        <w:rPr>
          <w:rFonts w:ascii="Times New Roman" w:hAnsi="Times New Roman" w:cs="Times New Roman"/>
          <w:b/>
          <w:bCs/>
          <w:color w:val="auto"/>
          <w:sz w:val="28"/>
          <w:szCs w:val="28"/>
        </w:rPr>
        <w:lastRenderedPageBreak/>
        <w:t>Santrumpų</w:t>
      </w:r>
      <w:r w:rsidR="005B448B" w:rsidRPr="00640D24">
        <w:rPr>
          <w:rFonts w:ascii="Times New Roman" w:hAnsi="Times New Roman" w:cs="Times New Roman"/>
          <w:b/>
          <w:bCs/>
          <w:color w:val="auto"/>
          <w:sz w:val="28"/>
          <w:szCs w:val="28"/>
        </w:rPr>
        <w:t xml:space="preserve"> ir sąvokų</w:t>
      </w:r>
      <w:r w:rsidRPr="00640D24">
        <w:rPr>
          <w:rFonts w:ascii="Times New Roman" w:hAnsi="Times New Roman" w:cs="Times New Roman"/>
          <w:b/>
          <w:bCs/>
          <w:color w:val="auto"/>
          <w:sz w:val="28"/>
          <w:szCs w:val="28"/>
        </w:rPr>
        <w:t xml:space="preserve"> sąrašas</w:t>
      </w:r>
      <w:bookmarkEnd w:id="0"/>
      <w:bookmarkEnd w:id="1"/>
    </w:p>
    <w:tbl>
      <w:tblPr>
        <w:tblStyle w:val="Lentelstinklelis"/>
        <w:tblW w:w="0" w:type="auto"/>
        <w:tblLook w:val="04A0" w:firstRow="1" w:lastRow="0" w:firstColumn="1" w:lastColumn="0" w:noHBand="0" w:noVBand="1"/>
      </w:tblPr>
      <w:tblGrid>
        <w:gridCol w:w="2466"/>
        <w:gridCol w:w="7162"/>
      </w:tblGrid>
      <w:tr w:rsidR="00835BB0" w:rsidRPr="00640D24" w14:paraId="57ADB334" w14:textId="77777777" w:rsidTr="00BA790E">
        <w:tc>
          <w:tcPr>
            <w:tcW w:w="2466" w:type="dxa"/>
          </w:tcPr>
          <w:p w14:paraId="5FCB18F2" w14:textId="77777777" w:rsidR="00835BB0" w:rsidRPr="00640D24" w:rsidRDefault="00835BB0" w:rsidP="00EA348F">
            <w:pPr>
              <w:spacing w:after="0" w:line="240" w:lineRule="auto"/>
              <w:jc w:val="center"/>
              <w:rPr>
                <w:rFonts w:cs="Times New Roman"/>
                <w:b/>
                <w:bCs/>
                <w:sz w:val="21"/>
                <w:szCs w:val="21"/>
                <w:lang w:val="lt-LT"/>
              </w:rPr>
            </w:pPr>
            <w:r w:rsidRPr="00640D24">
              <w:rPr>
                <w:rFonts w:cs="Times New Roman"/>
                <w:b/>
                <w:bCs/>
                <w:sz w:val="21"/>
                <w:szCs w:val="21"/>
                <w:lang w:val="lt-LT"/>
              </w:rPr>
              <w:t>Santrumpa arba sąvoka</w:t>
            </w:r>
          </w:p>
        </w:tc>
        <w:tc>
          <w:tcPr>
            <w:tcW w:w="7162" w:type="dxa"/>
          </w:tcPr>
          <w:p w14:paraId="0D88E45E" w14:textId="77777777" w:rsidR="00835BB0" w:rsidRPr="00640D24" w:rsidRDefault="00835BB0">
            <w:pPr>
              <w:spacing w:after="0" w:line="240" w:lineRule="auto"/>
              <w:jc w:val="center"/>
              <w:rPr>
                <w:rFonts w:cs="Times New Roman"/>
                <w:b/>
                <w:bCs/>
                <w:sz w:val="21"/>
                <w:szCs w:val="21"/>
                <w:lang w:val="lt-LT"/>
              </w:rPr>
            </w:pPr>
            <w:r w:rsidRPr="00640D24">
              <w:rPr>
                <w:rFonts w:cs="Times New Roman"/>
                <w:b/>
                <w:bCs/>
                <w:sz w:val="21"/>
                <w:szCs w:val="21"/>
                <w:lang w:val="lt-LT"/>
              </w:rPr>
              <w:t>Paaiškinimas</w:t>
            </w:r>
          </w:p>
        </w:tc>
      </w:tr>
      <w:tr w:rsidR="00835BB0" w:rsidRPr="00640D24" w14:paraId="50708A1F" w14:textId="77777777" w:rsidTr="00BA790E">
        <w:tc>
          <w:tcPr>
            <w:tcW w:w="2466" w:type="dxa"/>
          </w:tcPr>
          <w:p w14:paraId="3DC0AF8D" w14:textId="5627C232" w:rsidR="00835BB0" w:rsidRPr="00640D24" w:rsidRDefault="00835BB0">
            <w:pPr>
              <w:spacing w:after="0" w:line="240" w:lineRule="auto"/>
              <w:rPr>
                <w:rFonts w:cs="Times New Roman"/>
                <w:sz w:val="21"/>
                <w:szCs w:val="21"/>
                <w:lang w:val="lt-LT"/>
              </w:rPr>
            </w:pPr>
            <w:r w:rsidRPr="00640D24">
              <w:rPr>
                <w:rFonts w:cs="Times New Roman"/>
                <w:sz w:val="21"/>
                <w:szCs w:val="21"/>
                <w:lang w:val="lt-LT"/>
              </w:rPr>
              <w:t>2021</w:t>
            </w:r>
            <w:r w:rsidR="005A46AE" w:rsidRPr="00640D24">
              <w:rPr>
                <w:rFonts w:cs="Times New Roman"/>
                <w:sz w:val="21"/>
                <w:szCs w:val="21"/>
                <w:lang w:val="lt-LT"/>
              </w:rPr>
              <w:t>–</w:t>
            </w:r>
            <w:r w:rsidRPr="00640D24">
              <w:rPr>
                <w:rFonts w:cs="Times New Roman"/>
                <w:sz w:val="21"/>
                <w:szCs w:val="21"/>
                <w:lang w:val="lt-LT"/>
              </w:rPr>
              <w:t>2027 m. programa</w:t>
            </w:r>
          </w:p>
        </w:tc>
        <w:tc>
          <w:tcPr>
            <w:tcW w:w="7162" w:type="dxa"/>
          </w:tcPr>
          <w:p w14:paraId="241B9003" w14:textId="72D7AF08" w:rsidR="00835BB0" w:rsidRPr="00640D24" w:rsidRDefault="009A4825">
            <w:pPr>
              <w:spacing w:after="0" w:line="240" w:lineRule="auto"/>
              <w:rPr>
                <w:rFonts w:cs="Times New Roman"/>
                <w:sz w:val="21"/>
                <w:szCs w:val="21"/>
                <w:lang w:val="lt-LT"/>
              </w:rPr>
            </w:pPr>
            <w:r w:rsidRPr="00640D24">
              <w:rPr>
                <w:rFonts w:cs="Times New Roman"/>
                <w:sz w:val="21"/>
                <w:szCs w:val="21"/>
                <w:lang w:val="lt-LT"/>
              </w:rPr>
              <w:t>2021</w:t>
            </w:r>
            <w:r w:rsidR="005A46AE" w:rsidRPr="00640D24">
              <w:rPr>
                <w:rFonts w:cs="Times New Roman"/>
                <w:sz w:val="21"/>
                <w:szCs w:val="21"/>
                <w:lang w:val="lt-LT"/>
              </w:rPr>
              <w:t>–</w:t>
            </w:r>
            <w:r w:rsidRPr="00640D24">
              <w:rPr>
                <w:rFonts w:cs="Times New Roman"/>
                <w:sz w:val="21"/>
                <w:szCs w:val="21"/>
                <w:lang w:val="lt-LT"/>
              </w:rPr>
              <w:t>2027 m. ES fondų investicijų programa Lietuvai</w:t>
            </w:r>
          </w:p>
        </w:tc>
      </w:tr>
      <w:tr w:rsidR="002E141E" w:rsidRPr="00640D24" w14:paraId="67C8516D" w14:textId="77777777" w:rsidTr="00BA790E">
        <w:tc>
          <w:tcPr>
            <w:tcW w:w="2466" w:type="dxa"/>
          </w:tcPr>
          <w:p w14:paraId="5B1073CD" w14:textId="0BD84FD9" w:rsidR="002E141E" w:rsidRPr="00640D24" w:rsidRDefault="002E141E">
            <w:pPr>
              <w:spacing w:after="0" w:line="240" w:lineRule="auto"/>
              <w:rPr>
                <w:rFonts w:cs="Times New Roman"/>
                <w:sz w:val="21"/>
                <w:szCs w:val="21"/>
                <w:lang w:val="lt-LT"/>
              </w:rPr>
            </w:pPr>
            <w:r w:rsidRPr="00640D24">
              <w:rPr>
                <w:rFonts w:cs="Times New Roman"/>
                <w:sz w:val="21"/>
                <w:szCs w:val="21"/>
                <w:lang w:val="lt-LT"/>
              </w:rPr>
              <w:t>2019 m. atlikta SVV subjektų apklausa</w:t>
            </w:r>
          </w:p>
        </w:tc>
        <w:tc>
          <w:tcPr>
            <w:tcW w:w="7162" w:type="dxa"/>
          </w:tcPr>
          <w:p w14:paraId="21377676" w14:textId="160CD690" w:rsidR="002E141E" w:rsidRPr="00640D24" w:rsidRDefault="00937780">
            <w:pPr>
              <w:spacing w:after="0" w:line="240" w:lineRule="auto"/>
              <w:rPr>
                <w:rFonts w:cs="Times New Roman"/>
                <w:sz w:val="21"/>
                <w:szCs w:val="21"/>
                <w:lang w:val="lt-LT"/>
              </w:rPr>
            </w:pPr>
            <w:r w:rsidRPr="00640D24">
              <w:rPr>
                <w:rFonts w:cs="Times New Roman"/>
                <w:sz w:val="21"/>
                <w:szCs w:val="21"/>
                <w:lang w:val="lt-LT"/>
              </w:rPr>
              <w:t xml:space="preserve">2019 m. </w:t>
            </w:r>
            <w:proofErr w:type="spellStart"/>
            <w:r w:rsidRPr="00640D24">
              <w:rPr>
                <w:rFonts w:cs="Times New Roman"/>
                <w:sz w:val="21"/>
                <w:szCs w:val="21"/>
                <w:lang w:val="lt-LT"/>
              </w:rPr>
              <w:t>PwC</w:t>
            </w:r>
            <w:proofErr w:type="spellEnd"/>
            <w:r w:rsidRPr="00640D24">
              <w:rPr>
                <w:rFonts w:cs="Times New Roman"/>
                <w:sz w:val="21"/>
                <w:szCs w:val="21"/>
                <w:lang w:val="lt-LT"/>
              </w:rPr>
              <w:t xml:space="preserve"> atliko SVV subjektų apklausą. Apklausos anketos buvo išsiųstos apie 10,6 tūkstančių respondentų ir gauta 430 atsakymų. Apklausos tikslas – nustatyti investicijų paklausą ir finansavimo trūkumą.</w:t>
            </w:r>
          </w:p>
        </w:tc>
      </w:tr>
      <w:tr w:rsidR="009A4825" w:rsidRPr="00640D24" w14:paraId="08A154B9" w14:textId="77777777" w:rsidTr="00BA790E">
        <w:tc>
          <w:tcPr>
            <w:tcW w:w="2466" w:type="dxa"/>
          </w:tcPr>
          <w:p w14:paraId="00750564" w14:textId="374628AE" w:rsidR="009A4825" w:rsidRPr="00640D24" w:rsidRDefault="009A4825">
            <w:pPr>
              <w:spacing w:after="0" w:line="240" w:lineRule="auto"/>
              <w:rPr>
                <w:rFonts w:cs="Times New Roman"/>
                <w:sz w:val="21"/>
                <w:szCs w:val="21"/>
                <w:lang w:val="lt-LT"/>
              </w:rPr>
            </w:pPr>
            <w:r w:rsidRPr="00640D24">
              <w:rPr>
                <w:rFonts w:cs="Times New Roman"/>
                <w:sz w:val="21"/>
                <w:szCs w:val="21"/>
                <w:lang w:val="lt-LT"/>
              </w:rPr>
              <w:t>AKF</w:t>
            </w:r>
            <w:r w:rsidR="00226BD1" w:rsidRPr="00640D24">
              <w:rPr>
                <w:rFonts w:cs="Times New Roman"/>
                <w:sz w:val="21"/>
                <w:szCs w:val="21"/>
                <w:lang w:val="lt-LT"/>
              </w:rPr>
              <w:t xml:space="preserve"> </w:t>
            </w:r>
            <w:r w:rsidRPr="00640D24">
              <w:rPr>
                <w:rFonts w:cs="Times New Roman"/>
                <w:sz w:val="21"/>
                <w:szCs w:val="21"/>
                <w:lang w:val="lt-LT"/>
              </w:rPr>
              <w:t>2</w:t>
            </w:r>
          </w:p>
        </w:tc>
        <w:tc>
          <w:tcPr>
            <w:tcW w:w="7162" w:type="dxa"/>
          </w:tcPr>
          <w:p w14:paraId="245C6BD3" w14:textId="77777777" w:rsidR="009A4825" w:rsidRPr="00640D24" w:rsidRDefault="009A4825">
            <w:pPr>
              <w:spacing w:after="0" w:line="240" w:lineRule="auto"/>
              <w:rPr>
                <w:rFonts w:cs="Times New Roman"/>
                <w:sz w:val="21"/>
                <w:szCs w:val="21"/>
                <w:lang w:val="lt-LT"/>
              </w:rPr>
            </w:pPr>
            <w:r w:rsidRPr="00640D24">
              <w:rPr>
                <w:rFonts w:cs="Times New Roman"/>
                <w:sz w:val="21"/>
                <w:szCs w:val="21"/>
                <w:lang w:val="lt-LT"/>
              </w:rPr>
              <w:t>Atviras kreditų fondas 2</w:t>
            </w:r>
          </w:p>
        </w:tc>
      </w:tr>
      <w:tr w:rsidR="00064F4D" w:rsidRPr="00640D24" w14:paraId="3AFF9084" w14:textId="77777777" w:rsidTr="00BA790E">
        <w:tc>
          <w:tcPr>
            <w:tcW w:w="2466" w:type="dxa"/>
          </w:tcPr>
          <w:p w14:paraId="4F1E5183" w14:textId="2927DC4A" w:rsidR="00064F4D" w:rsidRPr="00640D24" w:rsidRDefault="00064F4D">
            <w:pPr>
              <w:spacing w:after="0" w:line="240" w:lineRule="auto"/>
              <w:rPr>
                <w:rFonts w:cs="Times New Roman"/>
                <w:sz w:val="21"/>
                <w:szCs w:val="21"/>
                <w:lang w:val="lt-LT"/>
              </w:rPr>
            </w:pPr>
            <w:r w:rsidRPr="00640D24">
              <w:rPr>
                <w:rFonts w:cs="Times New Roman"/>
                <w:sz w:val="21"/>
                <w:szCs w:val="21"/>
                <w:lang w:val="lt-LT"/>
              </w:rPr>
              <w:t>AKF</w:t>
            </w:r>
            <w:r w:rsidR="00226BD1" w:rsidRPr="00640D24">
              <w:rPr>
                <w:rFonts w:cs="Times New Roman"/>
                <w:sz w:val="21"/>
                <w:szCs w:val="21"/>
                <w:lang w:val="lt-LT"/>
              </w:rPr>
              <w:t xml:space="preserve"> </w:t>
            </w:r>
            <w:r w:rsidRPr="00640D24">
              <w:rPr>
                <w:rFonts w:cs="Times New Roman"/>
                <w:sz w:val="21"/>
                <w:szCs w:val="21"/>
                <w:lang w:val="lt-LT"/>
              </w:rPr>
              <w:t>3</w:t>
            </w:r>
          </w:p>
        </w:tc>
        <w:tc>
          <w:tcPr>
            <w:tcW w:w="7162" w:type="dxa"/>
          </w:tcPr>
          <w:p w14:paraId="5929FDEF" w14:textId="69A4D2D3" w:rsidR="00064F4D" w:rsidRPr="00640D24" w:rsidRDefault="00064F4D">
            <w:pPr>
              <w:spacing w:after="0" w:line="240" w:lineRule="auto"/>
              <w:rPr>
                <w:rFonts w:cs="Times New Roman"/>
                <w:sz w:val="21"/>
                <w:szCs w:val="21"/>
                <w:lang w:val="lt-LT"/>
              </w:rPr>
            </w:pPr>
            <w:r w:rsidRPr="00640D24">
              <w:rPr>
                <w:rFonts w:cs="Times New Roman"/>
                <w:sz w:val="21"/>
                <w:szCs w:val="21"/>
                <w:lang w:val="lt-LT"/>
              </w:rPr>
              <w:t>Atviras kreditų fondas 3</w:t>
            </w:r>
          </w:p>
        </w:tc>
      </w:tr>
      <w:tr w:rsidR="009A4825" w:rsidRPr="00640D24" w14:paraId="37B947C7" w14:textId="77777777" w:rsidTr="00BA790E">
        <w:tc>
          <w:tcPr>
            <w:tcW w:w="2466" w:type="dxa"/>
          </w:tcPr>
          <w:p w14:paraId="303BFEBC" w14:textId="77777777" w:rsidR="009A4825" w:rsidRPr="00640D24" w:rsidRDefault="009A4825">
            <w:pPr>
              <w:spacing w:after="0" w:line="240" w:lineRule="auto"/>
              <w:rPr>
                <w:rFonts w:cs="Times New Roman"/>
                <w:sz w:val="21"/>
                <w:szCs w:val="21"/>
                <w:lang w:val="lt-LT"/>
              </w:rPr>
            </w:pPr>
            <w:r w:rsidRPr="00640D24">
              <w:rPr>
                <w:rFonts w:cs="Times New Roman"/>
                <w:sz w:val="21"/>
                <w:szCs w:val="21"/>
                <w:lang w:val="lt-LT"/>
              </w:rPr>
              <w:t>AM</w:t>
            </w:r>
          </w:p>
        </w:tc>
        <w:tc>
          <w:tcPr>
            <w:tcW w:w="7162" w:type="dxa"/>
          </w:tcPr>
          <w:p w14:paraId="08A83300" w14:textId="77777777" w:rsidR="009A4825" w:rsidRPr="00640D24" w:rsidRDefault="009A4825">
            <w:pPr>
              <w:spacing w:after="0" w:line="240" w:lineRule="auto"/>
              <w:rPr>
                <w:rFonts w:cs="Times New Roman"/>
                <w:sz w:val="21"/>
                <w:szCs w:val="21"/>
                <w:lang w:val="lt-LT"/>
              </w:rPr>
            </w:pPr>
            <w:r w:rsidRPr="00640D24">
              <w:rPr>
                <w:rFonts w:cs="Times New Roman"/>
                <w:sz w:val="21"/>
                <w:szCs w:val="21"/>
                <w:lang w:val="lt-LT"/>
              </w:rPr>
              <w:t>Aplinkos ministerija</w:t>
            </w:r>
          </w:p>
        </w:tc>
      </w:tr>
      <w:tr w:rsidR="004B11CA" w:rsidRPr="00640D24" w14:paraId="3113C7D3" w14:textId="77777777" w:rsidTr="00BA790E">
        <w:tc>
          <w:tcPr>
            <w:tcW w:w="2466" w:type="dxa"/>
          </w:tcPr>
          <w:p w14:paraId="1D769B87" w14:textId="795B93A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ASIPF I</w:t>
            </w:r>
          </w:p>
        </w:tc>
        <w:tc>
          <w:tcPr>
            <w:tcW w:w="7162" w:type="dxa"/>
          </w:tcPr>
          <w:p w14:paraId="6A393E31" w14:textId="1B77A60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Ankstyvosios stadijos ir plėtros fondas I</w:t>
            </w:r>
          </w:p>
        </w:tc>
      </w:tr>
      <w:tr w:rsidR="004B11CA" w:rsidRPr="00640D24" w14:paraId="1670DC0B" w14:textId="77777777" w:rsidTr="00BA790E">
        <w:tc>
          <w:tcPr>
            <w:tcW w:w="2466" w:type="dxa"/>
          </w:tcPr>
          <w:p w14:paraId="5A036509" w14:textId="5AB1405B"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ASIPF II</w:t>
            </w:r>
          </w:p>
        </w:tc>
        <w:tc>
          <w:tcPr>
            <w:tcW w:w="7162" w:type="dxa"/>
          </w:tcPr>
          <w:p w14:paraId="4F47F438" w14:textId="14728A9D"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Ankstyvosios stadijos ir plėtros fondas II</w:t>
            </w:r>
          </w:p>
        </w:tc>
      </w:tr>
      <w:tr w:rsidR="009013D6" w:rsidRPr="00640D24" w14:paraId="72A53C50" w14:textId="77777777" w:rsidTr="00BA790E">
        <w:tc>
          <w:tcPr>
            <w:tcW w:w="2466" w:type="dxa"/>
          </w:tcPr>
          <w:p w14:paraId="23754684" w14:textId="7B37066F" w:rsidR="009013D6" w:rsidRPr="00640D24" w:rsidRDefault="009013D6" w:rsidP="004B11CA">
            <w:pPr>
              <w:spacing w:after="0" w:line="240" w:lineRule="auto"/>
              <w:rPr>
                <w:rFonts w:cs="Times New Roman"/>
                <w:sz w:val="21"/>
                <w:szCs w:val="21"/>
                <w:lang w:val="lt-LT"/>
              </w:rPr>
            </w:pPr>
            <w:r w:rsidRPr="00640D24">
              <w:rPr>
                <w:rFonts w:cs="Times New Roman"/>
                <w:sz w:val="21"/>
                <w:szCs w:val="21"/>
                <w:lang w:val="lt-LT"/>
              </w:rPr>
              <w:t>ASIPF III</w:t>
            </w:r>
          </w:p>
        </w:tc>
        <w:tc>
          <w:tcPr>
            <w:tcW w:w="7162" w:type="dxa"/>
          </w:tcPr>
          <w:p w14:paraId="651F08E6" w14:textId="2D46AAFF" w:rsidR="009013D6" w:rsidRPr="00640D24" w:rsidRDefault="009013D6" w:rsidP="004B11CA">
            <w:pPr>
              <w:spacing w:after="0" w:line="240" w:lineRule="auto"/>
              <w:rPr>
                <w:rFonts w:cs="Times New Roman"/>
                <w:sz w:val="21"/>
                <w:szCs w:val="21"/>
                <w:lang w:val="lt-LT"/>
              </w:rPr>
            </w:pPr>
            <w:r w:rsidRPr="00640D24">
              <w:rPr>
                <w:rFonts w:cs="Times New Roman"/>
                <w:sz w:val="21"/>
                <w:szCs w:val="21"/>
                <w:lang w:val="lt-LT"/>
              </w:rPr>
              <w:t>Ankstyvosios stadijos ir plėtros fondas III</w:t>
            </w:r>
          </w:p>
        </w:tc>
      </w:tr>
      <w:tr w:rsidR="004B11CA" w:rsidRPr="00640D24" w14:paraId="0961ADE6" w14:textId="77777777" w:rsidTr="00BA790E">
        <w:tc>
          <w:tcPr>
            <w:tcW w:w="2466" w:type="dxa"/>
          </w:tcPr>
          <w:p w14:paraId="02B6415B"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BBIR</w:t>
            </w:r>
          </w:p>
        </w:tc>
        <w:tc>
          <w:tcPr>
            <w:tcW w:w="7162" w:type="dxa"/>
          </w:tcPr>
          <w:p w14:paraId="24F5EBBE"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Bendrasis bendrosios išimties reglamentas</w:t>
            </w:r>
          </w:p>
        </w:tc>
      </w:tr>
      <w:tr w:rsidR="00EB3CBE" w:rsidRPr="00640D24" w14:paraId="3ED6F672" w14:textId="77777777" w:rsidTr="00BA790E">
        <w:tc>
          <w:tcPr>
            <w:tcW w:w="2466" w:type="dxa"/>
          </w:tcPr>
          <w:p w14:paraId="4F2E1250" w14:textId="44470068" w:rsidR="00EB3CBE" w:rsidRPr="00640D24" w:rsidRDefault="00EB3CBE" w:rsidP="004B11CA">
            <w:pPr>
              <w:spacing w:after="0" w:line="240" w:lineRule="auto"/>
              <w:rPr>
                <w:rFonts w:cs="Times New Roman"/>
                <w:sz w:val="21"/>
                <w:szCs w:val="21"/>
                <w:lang w:val="lt-LT"/>
              </w:rPr>
            </w:pPr>
            <w:r w:rsidRPr="00640D24">
              <w:rPr>
                <w:rFonts w:cs="Times New Roman"/>
                <w:sz w:val="21"/>
                <w:szCs w:val="21"/>
                <w:lang w:val="lt-LT"/>
              </w:rPr>
              <w:t>BIF</w:t>
            </w:r>
          </w:p>
        </w:tc>
        <w:tc>
          <w:tcPr>
            <w:tcW w:w="7162" w:type="dxa"/>
          </w:tcPr>
          <w:p w14:paraId="35815CEE" w14:textId="630146D7" w:rsidR="00EB3CBE" w:rsidRPr="00640D24" w:rsidRDefault="003068F1" w:rsidP="004B11CA">
            <w:pPr>
              <w:spacing w:after="0" w:line="240" w:lineRule="auto"/>
              <w:rPr>
                <w:rFonts w:cs="Times New Roman"/>
                <w:sz w:val="21"/>
                <w:szCs w:val="21"/>
                <w:lang w:val="lt-LT"/>
              </w:rPr>
            </w:pPr>
            <w:r w:rsidRPr="00640D24">
              <w:rPr>
                <w:rFonts w:cs="Times New Roman"/>
                <w:sz w:val="21"/>
                <w:szCs w:val="21"/>
                <w:lang w:val="lt-LT"/>
              </w:rPr>
              <w:t>Baltijos inovacijų fondas</w:t>
            </w:r>
          </w:p>
        </w:tc>
      </w:tr>
      <w:tr w:rsidR="003068F1" w:rsidRPr="00640D24" w14:paraId="7ACE465A" w14:textId="77777777" w:rsidTr="00BA790E">
        <w:tc>
          <w:tcPr>
            <w:tcW w:w="2466" w:type="dxa"/>
          </w:tcPr>
          <w:p w14:paraId="454A4F13" w14:textId="66B4F436" w:rsidR="003068F1" w:rsidRPr="00640D24" w:rsidRDefault="003068F1" w:rsidP="004B11CA">
            <w:pPr>
              <w:spacing w:after="0" w:line="240" w:lineRule="auto"/>
              <w:rPr>
                <w:rFonts w:cs="Times New Roman"/>
                <w:sz w:val="21"/>
                <w:szCs w:val="21"/>
                <w:lang w:val="lt-LT"/>
              </w:rPr>
            </w:pPr>
            <w:r w:rsidRPr="00640D24">
              <w:rPr>
                <w:rFonts w:cs="Times New Roman"/>
                <w:sz w:val="21"/>
                <w:szCs w:val="21"/>
                <w:lang w:val="lt-LT"/>
              </w:rPr>
              <w:t>BIF 3</w:t>
            </w:r>
          </w:p>
        </w:tc>
        <w:tc>
          <w:tcPr>
            <w:tcW w:w="7162" w:type="dxa"/>
          </w:tcPr>
          <w:p w14:paraId="4EC8721B" w14:textId="435C6F34" w:rsidR="003068F1" w:rsidRPr="00640D24" w:rsidRDefault="003068F1" w:rsidP="004B11CA">
            <w:pPr>
              <w:spacing w:after="0" w:line="240" w:lineRule="auto"/>
              <w:rPr>
                <w:rFonts w:cs="Times New Roman"/>
                <w:sz w:val="21"/>
                <w:szCs w:val="21"/>
                <w:lang w:val="lt-LT"/>
              </w:rPr>
            </w:pPr>
            <w:r w:rsidRPr="00640D24">
              <w:rPr>
                <w:rFonts w:cs="Times New Roman"/>
                <w:sz w:val="21"/>
                <w:szCs w:val="21"/>
                <w:lang w:val="lt-LT"/>
              </w:rPr>
              <w:t>Baltijos inovacijų fondas 3</w:t>
            </w:r>
          </w:p>
        </w:tc>
      </w:tr>
      <w:tr w:rsidR="004B11CA" w:rsidRPr="00640D24" w14:paraId="5CD5BE9A" w14:textId="77777777" w:rsidTr="00BA790E">
        <w:tc>
          <w:tcPr>
            <w:tcW w:w="2466" w:type="dxa"/>
          </w:tcPr>
          <w:p w14:paraId="0358FAD1"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BVP</w:t>
            </w:r>
          </w:p>
        </w:tc>
        <w:tc>
          <w:tcPr>
            <w:tcW w:w="7162" w:type="dxa"/>
          </w:tcPr>
          <w:p w14:paraId="079AE87D"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Bendrasis vidaus produktas</w:t>
            </w:r>
          </w:p>
        </w:tc>
      </w:tr>
      <w:tr w:rsidR="004B11CA" w:rsidRPr="00640D24" w14:paraId="52086AEB" w14:textId="77777777" w:rsidTr="00BA790E">
        <w:tc>
          <w:tcPr>
            <w:tcW w:w="2466" w:type="dxa"/>
          </w:tcPr>
          <w:p w14:paraId="0EFE06D2"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DPK</w:t>
            </w:r>
          </w:p>
        </w:tc>
        <w:tc>
          <w:tcPr>
            <w:tcW w:w="7162" w:type="dxa"/>
          </w:tcPr>
          <w:p w14:paraId="425856D8"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Dalinis palūkanų kompensavimas</w:t>
            </w:r>
          </w:p>
        </w:tc>
      </w:tr>
      <w:tr w:rsidR="004B11CA" w:rsidRPr="00640D24" w14:paraId="4E92A452" w14:textId="77777777" w:rsidTr="00BA790E">
        <w:tc>
          <w:tcPr>
            <w:tcW w:w="2466" w:type="dxa"/>
          </w:tcPr>
          <w:p w14:paraId="27FA9A08"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EBPO</w:t>
            </w:r>
          </w:p>
        </w:tc>
        <w:tc>
          <w:tcPr>
            <w:tcW w:w="7162" w:type="dxa"/>
          </w:tcPr>
          <w:p w14:paraId="53F3E485"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Ekonominio bendradarbiavimo ir plėtros organizacija</w:t>
            </w:r>
          </w:p>
        </w:tc>
      </w:tr>
      <w:tr w:rsidR="004B11CA" w:rsidRPr="00640D24" w14:paraId="657FAE7B" w14:textId="77777777" w:rsidTr="00BA790E">
        <w:tc>
          <w:tcPr>
            <w:tcW w:w="2466" w:type="dxa"/>
          </w:tcPr>
          <w:p w14:paraId="6AB6CE1B"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EIB</w:t>
            </w:r>
          </w:p>
        </w:tc>
        <w:tc>
          <w:tcPr>
            <w:tcW w:w="7162" w:type="dxa"/>
          </w:tcPr>
          <w:p w14:paraId="020DC65E"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Europos investicinis bankas</w:t>
            </w:r>
          </w:p>
        </w:tc>
      </w:tr>
      <w:tr w:rsidR="004B11CA" w:rsidRPr="00640D24" w14:paraId="6315116F" w14:textId="77777777" w:rsidTr="00BA790E">
        <w:tc>
          <w:tcPr>
            <w:tcW w:w="2466" w:type="dxa"/>
          </w:tcPr>
          <w:p w14:paraId="6E559693"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EIP</w:t>
            </w:r>
          </w:p>
        </w:tc>
        <w:tc>
          <w:tcPr>
            <w:tcW w:w="7162" w:type="dxa"/>
          </w:tcPr>
          <w:p w14:paraId="647E79D7" w14:textId="58F89FBB"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Europos inovacijų partnerystė</w:t>
            </w:r>
          </w:p>
        </w:tc>
      </w:tr>
      <w:tr w:rsidR="004B11CA" w:rsidRPr="00640D24" w14:paraId="12354AB8" w14:textId="77777777" w:rsidTr="00BA790E">
        <w:tc>
          <w:tcPr>
            <w:tcW w:w="2466" w:type="dxa"/>
          </w:tcPr>
          <w:p w14:paraId="3A4AB17B"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EIM</w:t>
            </w:r>
          </w:p>
        </w:tc>
        <w:tc>
          <w:tcPr>
            <w:tcW w:w="7162" w:type="dxa"/>
          </w:tcPr>
          <w:p w14:paraId="5E879393"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Lietuvos Respublikos ekonomikos ir inovacijų ministerija</w:t>
            </w:r>
          </w:p>
        </w:tc>
      </w:tr>
      <w:tr w:rsidR="004B11CA" w:rsidRPr="00640D24" w14:paraId="31986B81" w14:textId="77777777" w:rsidTr="00BA790E">
        <w:tc>
          <w:tcPr>
            <w:tcW w:w="2466" w:type="dxa"/>
          </w:tcPr>
          <w:p w14:paraId="21801FEE"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EKG</w:t>
            </w:r>
          </w:p>
        </w:tc>
        <w:tc>
          <w:tcPr>
            <w:tcW w:w="7162" w:type="dxa"/>
          </w:tcPr>
          <w:p w14:paraId="4B55B1F2"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Eksporto kredito garantijos</w:t>
            </w:r>
          </w:p>
        </w:tc>
      </w:tr>
      <w:tr w:rsidR="004B11CA" w:rsidRPr="00640D24" w14:paraId="0B9C3B67" w14:textId="77777777" w:rsidTr="00BA790E">
        <w:tc>
          <w:tcPr>
            <w:tcW w:w="2466" w:type="dxa"/>
          </w:tcPr>
          <w:p w14:paraId="3F60FE7E" w14:textId="0410E6DD"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ERPF</w:t>
            </w:r>
          </w:p>
        </w:tc>
        <w:tc>
          <w:tcPr>
            <w:tcW w:w="7162" w:type="dxa"/>
          </w:tcPr>
          <w:p w14:paraId="070FFE52" w14:textId="5C399F82"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Europos regioninės plėtros fondas</w:t>
            </w:r>
          </w:p>
        </w:tc>
      </w:tr>
      <w:tr w:rsidR="004B11CA" w:rsidRPr="00640D24" w14:paraId="6B86C6A3" w14:textId="77777777" w:rsidTr="00BA790E">
        <w:tc>
          <w:tcPr>
            <w:tcW w:w="2466" w:type="dxa"/>
          </w:tcPr>
          <w:p w14:paraId="039F86F5"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ES</w:t>
            </w:r>
          </w:p>
        </w:tc>
        <w:tc>
          <w:tcPr>
            <w:tcW w:w="7162" w:type="dxa"/>
          </w:tcPr>
          <w:p w14:paraId="1A0922BF"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Europos Sąjunga</w:t>
            </w:r>
          </w:p>
        </w:tc>
      </w:tr>
      <w:tr w:rsidR="004B11CA" w:rsidRPr="00640D24" w14:paraId="3B754477" w14:textId="77777777" w:rsidTr="00BA790E">
        <w:tc>
          <w:tcPr>
            <w:tcW w:w="2466" w:type="dxa"/>
          </w:tcPr>
          <w:p w14:paraId="58529A1D" w14:textId="5BD9E38C"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ESF</w:t>
            </w:r>
          </w:p>
        </w:tc>
        <w:tc>
          <w:tcPr>
            <w:tcW w:w="7162" w:type="dxa"/>
          </w:tcPr>
          <w:p w14:paraId="73EF3947" w14:textId="142D4B24"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Europos socialinis fondas</w:t>
            </w:r>
          </w:p>
        </w:tc>
      </w:tr>
      <w:tr w:rsidR="004B11CA" w:rsidRPr="00640D24" w14:paraId="6B93C968" w14:textId="77777777" w:rsidTr="00BA790E">
        <w:tc>
          <w:tcPr>
            <w:tcW w:w="2466" w:type="dxa"/>
          </w:tcPr>
          <w:p w14:paraId="2C7F3F78"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ES SF</w:t>
            </w:r>
          </w:p>
        </w:tc>
        <w:tc>
          <w:tcPr>
            <w:tcW w:w="7162" w:type="dxa"/>
          </w:tcPr>
          <w:p w14:paraId="28B2B9EF"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Europos Sąjungos struktūriniai fondai</w:t>
            </w:r>
          </w:p>
        </w:tc>
      </w:tr>
      <w:tr w:rsidR="004B11CA" w:rsidRPr="00640D24" w14:paraId="54E5DC4F" w14:textId="77777777" w:rsidTr="00BA790E">
        <w:tc>
          <w:tcPr>
            <w:tcW w:w="2466" w:type="dxa"/>
          </w:tcPr>
          <w:p w14:paraId="5F2EAF8F" w14:textId="38D4104D"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EVRK 2 red.</w:t>
            </w:r>
          </w:p>
        </w:tc>
        <w:tc>
          <w:tcPr>
            <w:tcW w:w="7162" w:type="dxa"/>
          </w:tcPr>
          <w:p w14:paraId="1D11F4B7" w14:textId="1F0ED623"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Ekonominės veiklos rūšių klasifikatorius 2 redakcija</w:t>
            </w:r>
          </w:p>
        </w:tc>
      </w:tr>
      <w:tr w:rsidR="0065113F" w:rsidRPr="00640D24" w14:paraId="3AE46817" w14:textId="77777777" w:rsidTr="00BA790E">
        <w:tc>
          <w:tcPr>
            <w:tcW w:w="2466" w:type="dxa"/>
          </w:tcPr>
          <w:p w14:paraId="36F9F3AE" w14:textId="0146CDB4" w:rsidR="0065113F" w:rsidRPr="00640D24" w:rsidRDefault="0065113F" w:rsidP="004B11CA">
            <w:pPr>
              <w:spacing w:after="0" w:line="240" w:lineRule="auto"/>
              <w:rPr>
                <w:rFonts w:cs="Times New Roman"/>
                <w:sz w:val="21"/>
                <w:szCs w:val="21"/>
                <w:lang w:val="lt-LT"/>
              </w:rPr>
            </w:pPr>
            <w:r w:rsidRPr="00640D24">
              <w:rPr>
                <w:rFonts w:cs="Times New Roman"/>
                <w:sz w:val="21"/>
                <w:szCs w:val="21"/>
                <w:lang w:val="lt-LT"/>
              </w:rPr>
              <w:t>DĮ</w:t>
            </w:r>
          </w:p>
        </w:tc>
        <w:tc>
          <w:tcPr>
            <w:tcW w:w="7162" w:type="dxa"/>
          </w:tcPr>
          <w:p w14:paraId="2E061871" w14:textId="76AFBC45" w:rsidR="0065113F" w:rsidRPr="00640D24" w:rsidRDefault="0065113F" w:rsidP="004B11CA">
            <w:pPr>
              <w:spacing w:after="0" w:line="240" w:lineRule="auto"/>
              <w:rPr>
                <w:rFonts w:cs="Times New Roman"/>
                <w:sz w:val="21"/>
                <w:szCs w:val="21"/>
                <w:lang w:val="lt-LT"/>
              </w:rPr>
            </w:pPr>
            <w:r w:rsidRPr="00640D24">
              <w:rPr>
                <w:rFonts w:cs="Times New Roman"/>
                <w:sz w:val="21"/>
                <w:szCs w:val="21"/>
                <w:lang w:val="lt-LT"/>
              </w:rPr>
              <w:t>Didelės įmonės</w:t>
            </w:r>
          </w:p>
        </w:tc>
      </w:tr>
      <w:tr w:rsidR="004B11CA" w:rsidRPr="00640D24" w14:paraId="74653D91" w14:textId="77777777" w:rsidTr="00BA790E">
        <w:tc>
          <w:tcPr>
            <w:tcW w:w="2466" w:type="dxa"/>
          </w:tcPr>
          <w:p w14:paraId="1FA294D7"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FM</w:t>
            </w:r>
          </w:p>
        </w:tc>
        <w:tc>
          <w:tcPr>
            <w:tcW w:w="7162" w:type="dxa"/>
          </w:tcPr>
          <w:p w14:paraId="3B34D1E6"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Lietuvos respublikos finansų ministerija</w:t>
            </w:r>
          </w:p>
        </w:tc>
      </w:tr>
      <w:tr w:rsidR="004B11CA" w:rsidRPr="00640D24" w14:paraId="39E0C94A" w14:textId="77777777" w:rsidTr="00BA790E">
        <w:tc>
          <w:tcPr>
            <w:tcW w:w="2466" w:type="dxa"/>
          </w:tcPr>
          <w:p w14:paraId="6AF7DBC9"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FMT</w:t>
            </w:r>
          </w:p>
        </w:tc>
        <w:tc>
          <w:tcPr>
            <w:tcW w:w="7162" w:type="dxa"/>
          </w:tcPr>
          <w:p w14:paraId="41B78E74"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Fundamentiniai moksliniai tyrimai</w:t>
            </w:r>
          </w:p>
        </w:tc>
      </w:tr>
      <w:tr w:rsidR="004B11CA" w:rsidRPr="00640D24" w14:paraId="72EA160E" w14:textId="77777777" w:rsidTr="00BA790E">
        <w:tc>
          <w:tcPr>
            <w:tcW w:w="2466" w:type="dxa"/>
          </w:tcPr>
          <w:p w14:paraId="7F96EADB"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FP</w:t>
            </w:r>
          </w:p>
        </w:tc>
        <w:tc>
          <w:tcPr>
            <w:tcW w:w="7162" w:type="dxa"/>
          </w:tcPr>
          <w:p w14:paraId="5BBCBEA1"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Finansinė priemonė</w:t>
            </w:r>
          </w:p>
        </w:tc>
      </w:tr>
      <w:tr w:rsidR="004B11CA" w:rsidRPr="00640D24" w14:paraId="56AFB80B" w14:textId="77777777" w:rsidTr="00BA790E">
        <w:tc>
          <w:tcPr>
            <w:tcW w:w="2466" w:type="dxa"/>
          </w:tcPr>
          <w:p w14:paraId="195D02B0"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GF</w:t>
            </w:r>
          </w:p>
        </w:tc>
        <w:tc>
          <w:tcPr>
            <w:tcW w:w="7162" w:type="dxa"/>
          </w:tcPr>
          <w:p w14:paraId="203CC71F"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Garantijų fondas</w:t>
            </w:r>
          </w:p>
        </w:tc>
      </w:tr>
      <w:tr w:rsidR="004B11CA" w:rsidRPr="00640D24" w14:paraId="050E23EC" w14:textId="77777777" w:rsidTr="00BA790E">
        <w:tc>
          <w:tcPr>
            <w:tcW w:w="2466" w:type="dxa"/>
          </w:tcPr>
          <w:p w14:paraId="2330DF5E" w14:textId="2262455F" w:rsidR="004B11CA" w:rsidRPr="00640D24" w:rsidRDefault="00382093" w:rsidP="004B11CA">
            <w:pPr>
              <w:spacing w:after="0" w:line="240" w:lineRule="auto"/>
              <w:rPr>
                <w:rFonts w:cs="Times New Roman"/>
                <w:sz w:val="21"/>
                <w:szCs w:val="21"/>
                <w:lang w:val="lt-LT"/>
              </w:rPr>
            </w:pPr>
            <w:r w:rsidRPr="00640D24">
              <w:rPr>
                <w:rFonts w:cs="Times New Roman"/>
                <w:sz w:val="21"/>
                <w:szCs w:val="21"/>
                <w:lang w:val="lt-LT"/>
              </w:rPr>
              <w:t>G</w:t>
            </w:r>
            <w:r w:rsidR="004B11CA" w:rsidRPr="00640D24">
              <w:rPr>
                <w:rFonts w:cs="Times New Roman"/>
                <w:sz w:val="21"/>
                <w:szCs w:val="21"/>
                <w:lang w:val="lt-LT"/>
              </w:rPr>
              <w:t>G</w:t>
            </w:r>
          </w:p>
        </w:tc>
        <w:tc>
          <w:tcPr>
            <w:tcW w:w="7162" w:type="dxa"/>
          </w:tcPr>
          <w:p w14:paraId="24F5CEE0" w14:textId="5B90B819" w:rsidR="004B11CA" w:rsidRPr="00640D24" w:rsidRDefault="00382093" w:rsidP="004B11CA">
            <w:pPr>
              <w:spacing w:after="0" w:line="240" w:lineRule="auto"/>
              <w:rPr>
                <w:rFonts w:cs="Times New Roman"/>
                <w:sz w:val="21"/>
                <w:szCs w:val="21"/>
                <w:lang w:val="lt-LT"/>
              </w:rPr>
            </w:pPr>
            <w:r w:rsidRPr="00640D24">
              <w:rPr>
                <w:rFonts w:cs="Times New Roman"/>
                <w:sz w:val="21"/>
                <w:szCs w:val="21"/>
                <w:lang w:val="lt-LT"/>
              </w:rPr>
              <w:t xml:space="preserve">Galutiniai </w:t>
            </w:r>
            <w:r w:rsidR="004B11CA" w:rsidRPr="00640D24">
              <w:rPr>
                <w:rFonts w:cs="Times New Roman"/>
                <w:sz w:val="21"/>
                <w:szCs w:val="21"/>
                <w:lang w:val="lt-LT"/>
              </w:rPr>
              <w:t>gavėjai</w:t>
            </w:r>
          </w:p>
        </w:tc>
      </w:tr>
      <w:tr w:rsidR="00BA790E" w:rsidRPr="00640D24" w14:paraId="19ACDD77" w14:textId="77777777" w:rsidTr="00BA790E">
        <w:tc>
          <w:tcPr>
            <w:tcW w:w="2466" w:type="dxa"/>
          </w:tcPr>
          <w:p w14:paraId="42B4A2FC" w14:textId="1454A3EB" w:rsidR="00BA790E" w:rsidRPr="00640D24" w:rsidRDefault="00BA790E" w:rsidP="004B11CA">
            <w:pPr>
              <w:spacing w:after="0" w:line="240" w:lineRule="auto"/>
              <w:rPr>
                <w:rFonts w:cs="Times New Roman"/>
                <w:sz w:val="21"/>
                <w:szCs w:val="21"/>
              </w:rPr>
            </w:pPr>
            <w:r w:rsidRPr="00640D24">
              <w:rPr>
                <w:rFonts w:cs="Times New Roman"/>
                <w:sz w:val="21"/>
                <w:szCs w:val="21"/>
                <w:lang w:val="lt-LT"/>
              </w:rPr>
              <w:t>GIFII</w:t>
            </w:r>
          </w:p>
        </w:tc>
        <w:tc>
          <w:tcPr>
            <w:tcW w:w="7162" w:type="dxa"/>
          </w:tcPr>
          <w:p w14:paraId="26DD7A63" w14:textId="08FD499A" w:rsidR="00BA790E" w:rsidRPr="00640D24" w:rsidRDefault="00BA790E" w:rsidP="004B11CA">
            <w:pPr>
              <w:spacing w:after="0" w:line="240" w:lineRule="auto"/>
              <w:rPr>
                <w:rFonts w:cs="Times New Roman"/>
                <w:sz w:val="21"/>
                <w:szCs w:val="21"/>
              </w:rPr>
            </w:pPr>
            <w:r w:rsidRPr="00640D24">
              <w:rPr>
                <w:rFonts w:cs="Times New Roman"/>
                <w:sz w:val="21"/>
                <w:szCs w:val="21"/>
                <w:lang w:val="lt-LT"/>
              </w:rPr>
              <w:t>Garantijų fondas II</w:t>
            </w:r>
          </w:p>
        </w:tc>
      </w:tr>
      <w:tr w:rsidR="009170CB" w:rsidRPr="00640D24" w14:paraId="68193D28" w14:textId="77777777" w:rsidTr="00BA790E">
        <w:tc>
          <w:tcPr>
            <w:tcW w:w="2466" w:type="dxa"/>
          </w:tcPr>
          <w:p w14:paraId="4D00BEEC" w14:textId="18E657F1" w:rsidR="009170CB" w:rsidRPr="00640D24" w:rsidRDefault="009170CB" w:rsidP="004B11CA">
            <w:pPr>
              <w:spacing w:after="0" w:line="240" w:lineRule="auto"/>
              <w:rPr>
                <w:rFonts w:cs="Times New Roman"/>
                <w:sz w:val="21"/>
                <w:szCs w:val="21"/>
              </w:rPr>
            </w:pPr>
            <w:r w:rsidRPr="00640D24">
              <w:rPr>
                <w:rFonts w:cs="Times New Roman"/>
                <w:sz w:val="21"/>
                <w:szCs w:val="21"/>
              </w:rPr>
              <w:t>KAM</w:t>
            </w:r>
          </w:p>
        </w:tc>
        <w:tc>
          <w:tcPr>
            <w:tcW w:w="7162" w:type="dxa"/>
          </w:tcPr>
          <w:p w14:paraId="30A9406C" w14:textId="73BDFB5F" w:rsidR="009170CB" w:rsidRPr="00640D24" w:rsidRDefault="009170CB" w:rsidP="004B11CA">
            <w:pPr>
              <w:spacing w:after="0" w:line="240" w:lineRule="auto"/>
              <w:rPr>
                <w:rFonts w:cs="Times New Roman"/>
                <w:sz w:val="21"/>
                <w:szCs w:val="21"/>
              </w:rPr>
            </w:pPr>
            <w:proofErr w:type="spellStart"/>
            <w:r w:rsidRPr="00640D24">
              <w:rPr>
                <w:rFonts w:cs="Times New Roman"/>
                <w:sz w:val="21"/>
                <w:szCs w:val="21"/>
              </w:rPr>
              <w:t>L</w:t>
            </w:r>
            <w:r w:rsidR="001E0CD3" w:rsidRPr="00640D24">
              <w:rPr>
                <w:rFonts w:cs="Times New Roman"/>
                <w:sz w:val="21"/>
                <w:szCs w:val="21"/>
              </w:rPr>
              <w:t>ietuvos</w:t>
            </w:r>
            <w:proofErr w:type="spellEnd"/>
            <w:r w:rsidR="001E0CD3" w:rsidRPr="00640D24">
              <w:rPr>
                <w:rFonts w:cs="Times New Roman"/>
                <w:sz w:val="21"/>
                <w:szCs w:val="21"/>
              </w:rPr>
              <w:t xml:space="preserve"> </w:t>
            </w:r>
            <w:proofErr w:type="spellStart"/>
            <w:r w:rsidR="001E0CD3" w:rsidRPr="00640D24">
              <w:rPr>
                <w:rFonts w:cs="Times New Roman"/>
                <w:sz w:val="21"/>
                <w:szCs w:val="21"/>
              </w:rPr>
              <w:t>Respublikos</w:t>
            </w:r>
            <w:proofErr w:type="spellEnd"/>
            <w:r w:rsidR="001E0CD3" w:rsidRPr="00640D24">
              <w:rPr>
                <w:rFonts w:cs="Times New Roman"/>
                <w:sz w:val="21"/>
                <w:szCs w:val="21"/>
              </w:rPr>
              <w:t xml:space="preserve"> </w:t>
            </w:r>
            <w:proofErr w:type="spellStart"/>
            <w:r w:rsidR="001E0CD3" w:rsidRPr="00640D24">
              <w:rPr>
                <w:rFonts w:cs="Times New Roman"/>
                <w:sz w:val="21"/>
                <w:szCs w:val="21"/>
              </w:rPr>
              <w:t>krašto</w:t>
            </w:r>
            <w:proofErr w:type="spellEnd"/>
            <w:r w:rsidR="001E0CD3" w:rsidRPr="00640D24">
              <w:rPr>
                <w:rFonts w:cs="Times New Roman"/>
                <w:sz w:val="21"/>
                <w:szCs w:val="21"/>
              </w:rPr>
              <w:t xml:space="preserve"> </w:t>
            </w:r>
            <w:proofErr w:type="spellStart"/>
            <w:r w:rsidR="001E0CD3" w:rsidRPr="00640D24">
              <w:rPr>
                <w:rFonts w:cs="Times New Roman"/>
                <w:sz w:val="21"/>
                <w:szCs w:val="21"/>
              </w:rPr>
              <w:t>apsaugos</w:t>
            </w:r>
            <w:proofErr w:type="spellEnd"/>
            <w:r w:rsidR="001E0CD3" w:rsidRPr="00640D24">
              <w:rPr>
                <w:rFonts w:cs="Times New Roman"/>
                <w:sz w:val="21"/>
                <w:szCs w:val="21"/>
              </w:rPr>
              <w:t xml:space="preserve"> </w:t>
            </w:r>
            <w:proofErr w:type="spellStart"/>
            <w:r w:rsidR="001E0CD3" w:rsidRPr="00640D24">
              <w:rPr>
                <w:rFonts w:cs="Times New Roman"/>
                <w:sz w:val="21"/>
                <w:szCs w:val="21"/>
              </w:rPr>
              <w:t>ministerija</w:t>
            </w:r>
            <w:proofErr w:type="spellEnd"/>
          </w:p>
        </w:tc>
      </w:tr>
      <w:tr w:rsidR="004B11CA" w:rsidRPr="00640D24" w14:paraId="502BFF8F" w14:textId="77777777" w:rsidTr="00BA790E">
        <w:tc>
          <w:tcPr>
            <w:tcW w:w="2466" w:type="dxa"/>
          </w:tcPr>
          <w:p w14:paraId="22FE0400"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KKĮ</w:t>
            </w:r>
          </w:p>
        </w:tc>
        <w:tc>
          <w:tcPr>
            <w:tcW w:w="7162" w:type="dxa"/>
          </w:tcPr>
          <w:p w14:paraId="05EC2AA0" w14:textId="472B8805"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Kultūros</w:t>
            </w:r>
            <w:r w:rsidR="00645085" w:rsidRPr="00640D24">
              <w:rPr>
                <w:rFonts w:cs="Times New Roman"/>
                <w:sz w:val="21"/>
                <w:szCs w:val="21"/>
                <w:lang w:val="lt-LT"/>
              </w:rPr>
              <w:t>–</w:t>
            </w:r>
            <w:r w:rsidRPr="00640D24">
              <w:rPr>
                <w:rFonts w:cs="Times New Roman"/>
                <w:sz w:val="21"/>
                <w:szCs w:val="21"/>
                <w:lang w:val="lt-LT"/>
              </w:rPr>
              <w:t>kūrybinės industrijos</w:t>
            </w:r>
          </w:p>
        </w:tc>
      </w:tr>
      <w:tr w:rsidR="004B11CA" w:rsidRPr="00640D24" w14:paraId="2CA5F4CC" w14:textId="77777777" w:rsidTr="00BA790E">
        <w:tc>
          <w:tcPr>
            <w:tcW w:w="2466" w:type="dxa"/>
          </w:tcPr>
          <w:p w14:paraId="42F7FD12"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INVEGOS fondas</w:t>
            </w:r>
          </w:p>
        </w:tc>
        <w:tc>
          <w:tcPr>
            <w:tcW w:w="7162" w:type="dxa"/>
          </w:tcPr>
          <w:p w14:paraId="3EB47980"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INVEGOS kontroliuojantysis fondas</w:t>
            </w:r>
          </w:p>
        </w:tc>
      </w:tr>
      <w:tr w:rsidR="004B11CA" w:rsidRPr="00640D24" w14:paraId="4E106F42" w14:textId="77777777" w:rsidTr="00BA790E">
        <w:tc>
          <w:tcPr>
            <w:tcW w:w="2466" w:type="dxa"/>
          </w:tcPr>
          <w:p w14:paraId="75AD1304"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ITS</w:t>
            </w:r>
          </w:p>
        </w:tc>
        <w:tc>
          <w:tcPr>
            <w:tcW w:w="7162" w:type="dxa"/>
          </w:tcPr>
          <w:p w14:paraId="0BBF89A6"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Intelektinės transporto sistemos</w:t>
            </w:r>
          </w:p>
        </w:tc>
      </w:tr>
      <w:tr w:rsidR="004B11CA" w:rsidRPr="00640D24" w14:paraId="0C213457" w14:textId="77777777" w:rsidTr="00BA790E">
        <w:tc>
          <w:tcPr>
            <w:tcW w:w="2466" w:type="dxa"/>
          </w:tcPr>
          <w:p w14:paraId="67891B87"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LEZ</w:t>
            </w:r>
          </w:p>
        </w:tc>
        <w:tc>
          <w:tcPr>
            <w:tcW w:w="7162" w:type="dxa"/>
          </w:tcPr>
          <w:p w14:paraId="11F2011B"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Laisvoji ekonominė zona</w:t>
            </w:r>
          </w:p>
        </w:tc>
      </w:tr>
      <w:tr w:rsidR="001E0CD3" w:rsidRPr="00640D24" w14:paraId="76CDBCEA" w14:textId="77777777" w:rsidTr="00BA790E">
        <w:tc>
          <w:tcPr>
            <w:tcW w:w="2466" w:type="dxa"/>
          </w:tcPr>
          <w:p w14:paraId="18AF728D" w14:textId="124F57C4" w:rsidR="001E0CD3" w:rsidRPr="00640D24" w:rsidRDefault="001E0CD3" w:rsidP="004B11CA">
            <w:pPr>
              <w:spacing w:after="0" w:line="240" w:lineRule="auto"/>
              <w:rPr>
                <w:rFonts w:cs="Times New Roman"/>
                <w:sz w:val="21"/>
                <w:szCs w:val="21"/>
              </w:rPr>
            </w:pPr>
            <w:r w:rsidRPr="00640D24">
              <w:rPr>
                <w:rFonts w:cs="Times New Roman"/>
                <w:sz w:val="21"/>
                <w:szCs w:val="21"/>
              </w:rPr>
              <w:t>LMT</w:t>
            </w:r>
          </w:p>
        </w:tc>
        <w:tc>
          <w:tcPr>
            <w:tcW w:w="7162" w:type="dxa"/>
          </w:tcPr>
          <w:p w14:paraId="1DCA593A" w14:textId="5376F915" w:rsidR="001E0CD3" w:rsidRPr="00640D24" w:rsidRDefault="001E0CD3" w:rsidP="004B11CA">
            <w:pPr>
              <w:spacing w:after="0" w:line="240" w:lineRule="auto"/>
              <w:rPr>
                <w:rFonts w:cs="Times New Roman"/>
                <w:sz w:val="21"/>
                <w:szCs w:val="21"/>
              </w:rPr>
            </w:pPr>
            <w:proofErr w:type="spellStart"/>
            <w:r w:rsidRPr="00640D24">
              <w:rPr>
                <w:rFonts w:cs="Times New Roman"/>
                <w:sz w:val="21"/>
                <w:szCs w:val="21"/>
              </w:rPr>
              <w:t>Lietuvos</w:t>
            </w:r>
            <w:proofErr w:type="spellEnd"/>
            <w:r w:rsidRPr="00640D24">
              <w:rPr>
                <w:rFonts w:cs="Times New Roman"/>
                <w:sz w:val="21"/>
                <w:szCs w:val="21"/>
              </w:rPr>
              <w:t xml:space="preserve"> </w:t>
            </w:r>
            <w:proofErr w:type="spellStart"/>
            <w:r w:rsidRPr="00640D24">
              <w:rPr>
                <w:rFonts w:cs="Times New Roman"/>
                <w:sz w:val="21"/>
                <w:szCs w:val="21"/>
              </w:rPr>
              <w:t>mokslo</w:t>
            </w:r>
            <w:proofErr w:type="spellEnd"/>
            <w:r w:rsidRPr="00640D24">
              <w:rPr>
                <w:rFonts w:cs="Times New Roman"/>
                <w:sz w:val="21"/>
                <w:szCs w:val="21"/>
              </w:rPr>
              <w:t xml:space="preserve"> </w:t>
            </w:r>
            <w:proofErr w:type="spellStart"/>
            <w:r w:rsidRPr="00640D24">
              <w:rPr>
                <w:rFonts w:cs="Times New Roman"/>
                <w:sz w:val="21"/>
                <w:szCs w:val="21"/>
              </w:rPr>
              <w:t>taryba</w:t>
            </w:r>
            <w:proofErr w:type="spellEnd"/>
          </w:p>
        </w:tc>
      </w:tr>
      <w:tr w:rsidR="001E0CD3" w:rsidRPr="00640D24" w14:paraId="7E6D2979" w14:textId="77777777" w:rsidTr="00BA790E">
        <w:tc>
          <w:tcPr>
            <w:tcW w:w="2466" w:type="dxa"/>
          </w:tcPr>
          <w:p w14:paraId="2DEB7785" w14:textId="73E5C77D" w:rsidR="001E0CD3" w:rsidRPr="00640D24" w:rsidRDefault="001E0CD3" w:rsidP="004B11CA">
            <w:pPr>
              <w:spacing w:after="0" w:line="240" w:lineRule="auto"/>
              <w:rPr>
                <w:rFonts w:cs="Times New Roman"/>
                <w:sz w:val="21"/>
                <w:szCs w:val="21"/>
              </w:rPr>
            </w:pPr>
            <w:proofErr w:type="spellStart"/>
            <w:r w:rsidRPr="00640D24">
              <w:rPr>
                <w:rFonts w:cs="Times New Roman"/>
                <w:sz w:val="21"/>
                <w:szCs w:val="21"/>
              </w:rPr>
              <w:t>MILInvest</w:t>
            </w:r>
            <w:proofErr w:type="spellEnd"/>
          </w:p>
        </w:tc>
        <w:tc>
          <w:tcPr>
            <w:tcW w:w="7162" w:type="dxa"/>
          </w:tcPr>
          <w:p w14:paraId="3D54EF4D" w14:textId="5328C3BD" w:rsidR="001E0CD3" w:rsidRPr="00640D24" w:rsidRDefault="00F27C0B" w:rsidP="004B11CA">
            <w:pPr>
              <w:spacing w:after="0" w:line="240" w:lineRule="auto"/>
              <w:rPr>
                <w:rFonts w:cs="Times New Roman"/>
                <w:sz w:val="21"/>
                <w:szCs w:val="21"/>
              </w:rPr>
            </w:pPr>
            <w:proofErr w:type="spellStart"/>
            <w:r w:rsidRPr="00640D24">
              <w:rPr>
                <w:rFonts w:cs="Times New Roman"/>
                <w:sz w:val="21"/>
                <w:szCs w:val="21"/>
              </w:rPr>
              <w:t>Gynybos</w:t>
            </w:r>
            <w:proofErr w:type="spellEnd"/>
            <w:r w:rsidRPr="00640D24">
              <w:rPr>
                <w:rFonts w:cs="Times New Roman"/>
                <w:sz w:val="21"/>
                <w:szCs w:val="21"/>
              </w:rPr>
              <w:t xml:space="preserve"> </w:t>
            </w:r>
            <w:proofErr w:type="spellStart"/>
            <w:r w:rsidRPr="00640D24">
              <w:rPr>
                <w:rFonts w:cs="Times New Roman"/>
                <w:sz w:val="21"/>
                <w:szCs w:val="21"/>
              </w:rPr>
              <w:t>investicijų</w:t>
            </w:r>
            <w:proofErr w:type="spellEnd"/>
            <w:r w:rsidRPr="00640D24">
              <w:rPr>
                <w:rFonts w:cs="Times New Roman"/>
                <w:sz w:val="21"/>
                <w:szCs w:val="21"/>
              </w:rPr>
              <w:t xml:space="preserve"> </w:t>
            </w:r>
            <w:proofErr w:type="spellStart"/>
            <w:r w:rsidRPr="00640D24">
              <w:rPr>
                <w:rFonts w:cs="Times New Roman"/>
                <w:sz w:val="21"/>
                <w:szCs w:val="21"/>
              </w:rPr>
              <w:t>fondo</w:t>
            </w:r>
            <w:proofErr w:type="spellEnd"/>
            <w:r w:rsidRPr="00640D24">
              <w:rPr>
                <w:rFonts w:cs="Times New Roman"/>
                <w:sz w:val="21"/>
                <w:szCs w:val="21"/>
              </w:rPr>
              <w:t xml:space="preserve"> </w:t>
            </w:r>
            <w:proofErr w:type="spellStart"/>
            <w:r w:rsidRPr="00640D24">
              <w:rPr>
                <w:rFonts w:cs="Times New Roman"/>
                <w:sz w:val="21"/>
                <w:szCs w:val="21"/>
              </w:rPr>
              <w:t>finansinė</w:t>
            </w:r>
            <w:proofErr w:type="spellEnd"/>
            <w:r w:rsidRPr="00640D24">
              <w:rPr>
                <w:rFonts w:cs="Times New Roman"/>
                <w:sz w:val="21"/>
                <w:szCs w:val="21"/>
              </w:rPr>
              <w:t xml:space="preserve"> </w:t>
            </w:r>
            <w:proofErr w:type="spellStart"/>
            <w:r w:rsidRPr="00640D24">
              <w:rPr>
                <w:rFonts w:cs="Times New Roman"/>
                <w:sz w:val="21"/>
                <w:szCs w:val="21"/>
              </w:rPr>
              <w:t>priemonė</w:t>
            </w:r>
            <w:proofErr w:type="spellEnd"/>
            <w:r w:rsidRPr="00640D24">
              <w:rPr>
                <w:rFonts w:cs="Times New Roman"/>
                <w:sz w:val="21"/>
                <w:szCs w:val="21"/>
              </w:rPr>
              <w:t xml:space="preserve">, </w:t>
            </w:r>
            <w:proofErr w:type="spellStart"/>
            <w:r w:rsidRPr="00640D24">
              <w:rPr>
                <w:rFonts w:cs="Times New Roman"/>
                <w:sz w:val="21"/>
                <w:szCs w:val="21"/>
              </w:rPr>
              <w:t>finansuojama</w:t>
            </w:r>
            <w:proofErr w:type="spellEnd"/>
            <w:r w:rsidRPr="00640D24">
              <w:rPr>
                <w:rFonts w:cs="Times New Roman"/>
                <w:sz w:val="21"/>
                <w:szCs w:val="21"/>
              </w:rPr>
              <w:t xml:space="preserve"> </w:t>
            </w:r>
            <w:proofErr w:type="spellStart"/>
            <w:r w:rsidRPr="00640D24">
              <w:rPr>
                <w:rFonts w:cs="Times New Roman"/>
                <w:sz w:val="21"/>
                <w:szCs w:val="21"/>
              </w:rPr>
              <w:t>valstybės</w:t>
            </w:r>
            <w:proofErr w:type="spellEnd"/>
            <w:r w:rsidRPr="00640D24">
              <w:rPr>
                <w:rFonts w:cs="Times New Roman"/>
                <w:sz w:val="21"/>
                <w:szCs w:val="21"/>
              </w:rPr>
              <w:t xml:space="preserve"> </w:t>
            </w:r>
            <w:proofErr w:type="spellStart"/>
            <w:r w:rsidRPr="00640D24">
              <w:rPr>
                <w:rFonts w:cs="Times New Roman"/>
                <w:sz w:val="21"/>
                <w:szCs w:val="21"/>
              </w:rPr>
              <w:t>lėšomis</w:t>
            </w:r>
            <w:proofErr w:type="spellEnd"/>
            <w:r w:rsidRPr="00640D24">
              <w:rPr>
                <w:rFonts w:cs="Times New Roman"/>
                <w:sz w:val="21"/>
                <w:szCs w:val="21"/>
              </w:rPr>
              <w:t>.</w:t>
            </w:r>
          </w:p>
        </w:tc>
      </w:tr>
      <w:tr w:rsidR="004B11CA" w:rsidRPr="00640D24" w14:paraId="4FC76243" w14:textId="77777777" w:rsidTr="00BA790E">
        <w:tc>
          <w:tcPr>
            <w:tcW w:w="2466" w:type="dxa"/>
          </w:tcPr>
          <w:p w14:paraId="70E1A4AD"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MITA</w:t>
            </w:r>
          </w:p>
        </w:tc>
        <w:tc>
          <w:tcPr>
            <w:tcW w:w="7162" w:type="dxa"/>
          </w:tcPr>
          <w:p w14:paraId="1B776E18"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Mokslo, inovacijų ir technologijų agentūra</w:t>
            </w:r>
          </w:p>
        </w:tc>
      </w:tr>
      <w:tr w:rsidR="004B11CA" w:rsidRPr="00640D24" w14:paraId="7B94AD5B" w14:textId="77777777" w:rsidTr="00BA790E">
        <w:tc>
          <w:tcPr>
            <w:tcW w:w="2466" w:type="dxa"/>
          </w:tcPr>
          <w:p w14:paraId="2F11927C"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MK2</w:t>
            </w:r>
          </w:p>
        </w:tc>
        <w:tc>
          <w:tcPr>
            <w:tcW w:w="7162" w:type="dxa"/>
          </w:tcPr>
          <w:p w14:paraId="502D7956" w14:textId="3B63B112"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Mažų kreditų teikimas 2</w:t>
            </w:r>
          </w:p>
        </w:tc>
      </w:tr>
      <w:tr w:rsidR="004B11CA" w:rsidRPr="00640D24" w14:paraId="5EBF411B" w14:textId="77777777" w:rsidTr="00BA790E">
        <w:tc>
          <w:tcPr>
            <w:tcW w:w="2466" w:type="dxa"/>
          </w:tcPr>
          <w:p w14:paraId="11CB8974"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MTEP</w:t>
            </w:r>
          </w:p>
        </w:tc>
        <w:tc>
          <w:tcPr>
            <w:tcW w:w="7162" w:type="dxa"/>
          </w:tcPr>
          <w:p w14:paraId="4864D153"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Moksliniai tyrimai ir eksperimentinė plėtra</w:t>
            </w:r>
          </w:p>
        </w:tc>
      </w:tr>
      <w:tr w:rsidR="004B11CA" w:rsidRPr="00640D24" w14:paraId="0B7809F0" w14:textId="77777777" w:rsidTr="00BA790E">
        <w:tc>
          <w:tcPr>
            <w:tcW w:w="2466" w:type="dxa"/>
          </w:tcPr>
          <w:p w14:paraId="6A318E7C"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MTEPI</w:t>
            </w:r>
          </w:p>
        </w:tc>
        <w:tc>
          <w:tcPr>
            <w:tcW w:w="7162" w:type="dxa"/>
          </w:tcPr>
          <w:p w14:paraId="0A34178C"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Moksliniai tyrimai, eksperimentinė plėtra, inovacijos</w:t>
            </w:r>
          </w:p>
        </w:tc>
      </w:tr>
      <w:tr w:rsidR="004B11CA" w:rsidRPr="00640D24" w14:paraId="2B151BE7" w14:textId="77777777" w:rsidTr="00BA790E">
        <w:tc>
          <w:tcPr>
            <w:tcW w:w="2466" w:type="dxa"/>
          </w:tcPr>
          <w:p w14:paraId="1721F8E2"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MTEPI vertinimas</w:t>
            </w:r>
          </w:p>
        </w:tc>
        <w:tc>
          <w:tcPr>
            <w:tcW w:w="7162" w:type="dxa"/>
          </w:tcPr>
          <w:p w14:paraId="0D55AE87"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Mokslinių tyrimų ir eksperimentinės plėtros finansavimo 2014–2020 metų Europos Sąjungos struktūrinių fondų lėšomis išankstinis vertinimas</w:t>
            </w:r>
          </w:p>
        </w:tc>
      </w:tr>
      <w:tr w:rsidR="004B11CA" w:rsidRPr="00640D24" w14:paraId="0C75D2E2" w14:textId="77777777" w:rsidTr="00BA790E">
        <w:tc>
          <w:tcPr>
            <w:tcW w:w="2466" w:type="dxa"/>
          </w:tcPr>
          <w:p w14:paraId="63DC42DC"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MVĮ</w:t>
            </w:r>
          </w:p>
        </w:tc>
        <w:tc>
          <w:tcPr>
            <w:tcW w:w="7162" w:type="dxa"/>
          </w:tcPr>
          <w:p w14:paraId="13FDD8E0"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Labai mažos, mažos ir vidutinės įmonės</w:t>
            </w:r>
          </w:p>
        </w:tc>
      </w:tr>
      <w:tr w:rsidR="000A0C3C" w:rsidRPr="00640D24" w14:paraId="52A32656" w14:textId="77777777" w:rsidTr="00BA790E">
        <w:tc>
          <w:tcPr>
            <w:tcW w:w="2466" w:type="dxa"/>
          </w:tcPr>
          <w:p w14:paraId="12D405F3" w14:textId="32424A4C" w:rsidR="000A0C3C" w:rsidRPr="00640D24" w:rsidRDefault="000A0C3C" w:rsidP="004B11CA">
            <w:pPr>
              <w:spacing w:after="0" w:line="240" w:lineRule="auto"/>
              <w:rPr>
                <w:rFonts w:cs="Times New Roman"/>
                <w:sz w:val="21"/>
                <w:szCs w:val="21"/>
                <w:lang w:val="lt-LT"/>
              </w:rPr>
            </w:pPr>
            <w:r w:rsidRPr="00640D24">
              <w:rPr>
                <w:rFonts w:cs="Times New Roman"/>
                <w:sz w:val="21"/>
                <w:szCs w:val="21"/>
                <w:lang w:val="lt-LT"/>
              </w:rPr>
              <w:t>NK</w:t>
            </w:r>
          </w:p>
        </w:tc>
        <w:tc>
          <w:tcPr>
            <w:tcW w:w="7162" w:type="dxa"/>
          </w:tcPr>
          <w:p w14:paraId="6AF4F68B" w14:textId="32FCF889" w:rsidR="000A0C3C" w:rsidRPr="00640D24" w:rsidRDefault="000A0C3C" w:rsidP="004B11CA">
            <w:pPr>
              <w:spacing w:after="0" w:line="240" w:lineRule="auto"/>
              <w:rPr>
                <w:rFonts w:cs="Times New Roman"/>
                <w:sz w:val="21"/>
                <w:szCs w:val="21"/>
                <w:lang w:val="lt-LT"/>
              </w:rPr>
            </w:pPr>
            <w:r w:rsidRPr="00640D24">
              <w:rPr>
                <w:rFonts w:cs="Times New Roman"/>
                <w:sz w:val="21"/>
                <w:szCs w:val="21"/>
                <w:lang w:val="lt-LT"/>
              </w:rPr>
              <w:t xml:space="preserve">Nacionalinis </w:t>
            </w:r>
            <w:proofErr w:type="spellStart"/>
            <w:r w:rsidRPr="00640D24">
              <w:rPr>
                <w:rFonts w:cs="Times New Roman"/>
                <w:sz w:val="21"/>
                <w:szCs w:val="21"/>
                <w:lang w:val="lt-LT"/>
              </w:rPr>
              <w:t>kofinansavimas</w:t>
            </w:r>
            <w:proofErr w:type="spellEnd"/>
            <w:r w:rsidR="002417EC" w:rsidRPr="00640D24">
              <w:rPr>
                <w:rFonts w:cs="Times New Roman"/>
                <w:sz w:val="21"/>
                <w:szCs w:val="21"/>
                <w:lang w:val="lt-LT"/>
              </w:rPr>
              <w:t xml:space="preserve"> (pvz</w:t>
            </w:r>
            <w:r w:rsidR="00C3386E" w:rsidRPr="00640D24">
              <w:rPr>
                <w:rFonts w:cs="Times New Roman"/>
                <w:sz w:val="21"/>
                <w:szCs w:val="21"/>
                <w:lang w:val="lt-LT"/>
              </w:rPr>
              <w:t>.</w:t>
            </w:r>
            <w:r w:rsidR="0070371B" w:rsidRPr="00640D24">
              <w:rPr>
                <w:rFonts w:cs="Times New Roman"/>
                <w:sz w:val="21"/>
                <w:szCs w:val="21"/>
                <w:lang w:val="lt-LT"/>
              </w:rPr>
              <w:t>,</w:t>
            </w:r>
            <w:r w:rsidR="002417EC" w:rsidRPr="00640D24">
              <w:rPr>
                <w:rFonts w:cs="Times New Roman"/>
                <w:sz w:val="21"/>
                <w:szCs w:val="21"/>
                <w:lang w:val="lt-LT"/>
              </w:rPr>
              <w:t xml:space="preserve"> valstybės biudžeto, INVEGOS fondo ar pan. lėšos)</w:t>
            </w:r>
          </w:p>
        </w:tc>
      </w:tr>
      <w:tr w:rsidR="004B11CA" w:rsidRPr="00640D24" w14:paraId="39565779" w14:textId="77777777" w:rsidTr="00BA790E">
        <w:tc>
          <w:tcPr>
            <w:tcW w:w="2466" w:type="dxa"/>
          </w:tcPr>
          <w:p w14:paraId="1F27E2D9"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NMA</w:t>
            </w:r>
          </w:p>
        </w:tc>
        <w:tc>
          <w:tcPr>
            <w:tcW w:w="7162" w:type="dxa"/>
          </w:tcPr>
          <w:p w14:paraId="583661E4"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Nacionalinė mokėjimo agentūra prie Žemės ūkio ministerijos</w:t>
            </w:r>
          </w:p>
        </w:tc>
      </w:tr>
      <w:tr w:rsidR="004B11CA" w:rsidRPr="00640D24" w14:paraId="3BDA46F2" w14:textId="77777777" w:rsidTr="00BA790E">
        <w:tc>
          <w:tcPr>
            <w:tcW w:w="2466" w:type="dxa"/>
          </w:tcPr>
          <w:p w14:paraId="40668929"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NEKSVP</w:t>
            </w:r>
          </w:p>
        </w:tc>
        <w:tc>
          <w:tcPr>
            <w:tcW w:w="7162" w:type="dxa"/>
          </w:tcPr>
          <w:p w14:paraId="38A8B952"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Nacionalinis energetikos ir klimato srities veiksmų planas 2021–2030 m</w:t>
            </w:r>
          </w:p>
        </w:tc>
      </w:tr>
      <w:tr w:rsidR="004B11CA" w:rsidRPr="00640D24" w14:paraId="2507CEE5" w14:textId="77777777" w:rsidTr="00BA790E">
        <w:tc>
          <w:tcPr>
            <w:tcW w:w="2466" w:type="dxa"/>
          </w:tcPr>
          <w:p w14:paraId="3FE088AE"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NP planas</w:t>
            </w:r>
          </w:p>
        </w:tc>
        <w:tc>
          <w:tcPr>
            <w:tcW w:w="7162" w:type="dxa"/>
          </w:tcPr>
          <w:p w14:paraId="23E86217"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Nacionalinės pažangos planas</w:t>
            </w:r>
          </w:p>
        </w:tc>
      </w:tr>
      <w:tr w:rsidR="004B11CA" w:rsidRPr="00640D24" w14:paraId="4CAC5B84" w14:textId="77777777" w:rsidTr="00BA790E">
        <w:tc>
          <w:tcPr>
            <w:tcW w:w="2466" w:type="dxa"/>
          </w:tcPr>
          <w:p w14:paraId="3798E60F"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lastRenderedPageBreak/>
              <w:t>PGL</w:t>
            </w:r>
          </w:p>
        </w:tc>
        <w:tc>
          <w:tcPr>
            <w:tcW w:w="7162" w:type="dxa"/>
          </w:tcPr>
          <w:p w14:paraId="7FBE9022" w14:textId="14AE6408"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Portfelinės garantijos lizingo sandoriams, finansuojamos iš Europos regioninės plėtros fondo</w:t>
            </w:r>
          </w:p>
        </w:tc>
      </w:tr>
      <w:tr w:rsidR="004B11CA" w:rsidRPr="00640D24" w14:paraId="0CAC1CFD" w14:textId="77777777" w:rsidTr="00BA790E">
        <w:tc>
          <w:tcPr>
            <w:tcW w:w="2466" w:type="dxa"/>
          </w:tcPr>
          <w:p w14:paraId="0B3FB7D7"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PGP</w:t>
            </w:r>
          </w:p>
        </w:tc>
        <w:tc>
          <w:tcPr>
            <w:tcW w:w="7162" w:type="dxa"/>
          </w:tcPr>
          <w:p w14:paraId="267C6143" w14:textId="6DE41AE3"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Portfelinės garantijos paskoloms, finansuojamos iš Europos regioninės plėtros fondo</w:t>
            </w:r>
          </w:p>
        </w:tc>
      </w:tr>
      <w:tr w:rsidR="004B11CA" w:rsidRPr="00640D24" w14:paraId="57AE4624" w14:textId="77777777" w:rsidTr="00BA790E">
        <w:tc>
          <w:tcPr>
            <w:tcW w:w="2466" w:type="dxa"/>
          </w:tcPr>
          <w:p w14:paraId="41E0BAA0"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PRP</w:t>
            </w:r>
          </w:p>
        </w:tc>
        <w:tc>
          <w:tcPr>
            <w:tcW w:w="7162" w:type="dxa"/>
          </w:tcPr>
          <w:p w14:paraId="6564661D" w14:textId="0F0A5148"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Pasidalytos rizikos paskolos, finansuojama iš Europos regioninės plėtros fondo</w:t>
            </w:r>
          </w:p>
        </w:tc>
      </w:tr>
      <w:tr w:rsidR="004B11CA" w:rsidRPr="00640D24" w14:paraId="3BF39D17" w14:textId="77777777" w:rsidTr="00BA790E">
        <w:tc>
          <w:tcPr>
            <w:tcW w:w="2466" w:type="dxa"/>
          </w:tcPr>
          <w:p w14:paraId="53C5CA96"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RKF</w:t>
            </w:r>
          </w:p>
        </w:tc>
        <w:tc>
          <w:tcPr>
            <w:tcW w:w="7162" w:type="dxa"/>
          </w:tcPr>
          <w:p w14:paraId="65F9D1D4"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Rizikos kapitalo fondas</w:t>
            </w:r>
          </w:p>
        </w:tc>
      </w:tr>
      <w:tr w:rsidR="00133505" w:rsidRPr="00640D24" w14:paraId="14C62FE4" w14:textId="77777777" w:rsidTr="00BA790E">
        <w:tc>
          <w:tcPr>
            <w:tcW w:w="2466" w:type="dxa"/>
          </w:tcPr>
          <w:p w14:paraId="50E5F3A3" w14:textId="4DAFDF6D" w:rsidR="00133505" w:rsidRPr="00640D24" w:rsidRDefault="00133505" w:rsidP="004B11CA">
            <w:pPr>
              <w:spacing w:after="0" w:line="240" w:lineRule="auto"/>
              <w:rPr>
                <w:rFonts w:cs="Times New Roman"/>
                <w:sz w:val="21"/>
                <w:szCs w:val="21"/>
                <w:lang w:val="lt-LT"/>
              </w:rPr>
            </w:pPr>
            <w:r w:rsidRPr="00640D24">
              <w:rPr>
                <w:rFonts w:cs="Times New Roman"/>
                <w:sz w:val="21"/>
                <w:szCs w:val="21"/>
                <w:lang w:val="lt-LT"/>
              </w:rPr>
              <w:t>EGADP</w:t>
            </w:r>
          </w:p>
        </w:tc>
        <w:tc>
          <w:tcPr>
            <w:tcW w:w="7162" w:type="dxa"/>
          </w:tcPr>
          <w:tbl>
            <w:tblPr>
              <w:tblW w:w="0" w:type="auto"/>
              <w:tblBorders>
                <w:top w:val="nil"/>
                <w:left w:val="nil"/>
                <w:bottom w:val="nil"/>
                <w:right w:val="nil"/>
              </w:tblBorders>
              <w:tblLook w:val="0000" w:firstRow="0" w:lastRow="0" w:firstColumn="0" w:lastColumn="0" w:noHBand="0" w:noVBand="0"/>
            </w:tblPr>
            <w:tblGrid>
              <w:gridCol w:w="6946"/>
            </w:tblGrid>
            <w:tr w:rsidR="00133505" w:rsidRPr="00640D24" w14:paraId="43889417" w14:textId="77777777">
              <w:trPr>
                <w:trHeight w:val="353"/>
              </w:trPr>
              <w:tc>
                <w:tcPr>
                  <w:tcW w:w="0" w:type="auto"/>
                </w:tcPr>
                <w:p w14:paraId="2D30C880" w14:textId="35B1E383" w:rsidR="00133505" w:rsidRPr="00640D24" w:rsidRDefault="00133505" w:rsidP="00133505">
                  <w:pPr>
                    <w:spacing w:after="0" w:line="240" w:lineRule="auto"/>
                    <w:rPr>
                      <w:rFonts w:cs="Times New Roman"/>
                      <w:sz w:val="21"/>
                      <w:szCs w:val="21"/>
                    </w:rPr>
                  </w:pPr>
                  <w:r w:rsidRPr="00640D24">
                    <w:rPr>
                      <w:rFonts w:cs="Times New Roman"/>
                      <w:sz w:val="21"/>
                      <w:szCs w:val="21"/>
                    </w:rPr>
                    <w:t>Ekonomikos gaivin</w:t>
                  </w:r>
                  <w:r w:rsidR="000E6DF3" w:rsidRPr="00640D24">
                    <w:rPr>
                      <w:rFonts w:cs="Times New Roman"/>
                      <w:sz w:val="21"/>
                      <w:szCs w:val="21"/>
                    </w:rPr>
                    <w:t>imo ir atsparumo didinimo priemonė</w:t>
                  </w:r>
                  <w:r w:rsidRPr="00640D24">
                    <w:rPr>
                      <w:rFonts w:cs="Times New Roman"/>
                      <w:sz w:val="21"/>
                      <w:szCs w:val="21"/>
                    </w:rPr>
                    <w:t xml:space="preserve"> (angl.: </w:t>
                  </w:r>
                  <w:r w:rsidRPr="00640D24">
                    <w:rPr>
                      <w:rFonts w:cs="Times New Roman"/>
                      <w:i/>
                      <w:iCs/>
                      <w:sz w:val="21"/>
                      <w:szCs w:val="21"/>
                      <w:lang w:val="en-US"/>
                    </w:rPr>
                    <w:t>Recovery and Resilience Facility</w:t>
                  </w:r>
                  <w:r w:rsidRPr="00640D24">
                    <w:rPr>
                      <w:rFonts w:cs="Times New Roman"/>
                      <w:i/>
                      <w:iCs/>
                      <w:sz w:val="21"/>
                      <w:szCs w:val="21"/>
                    </w:rPr>
                    <w:t xml:space="preserve"> arba RRF</w:t>
                  </w:r>
                  <w:r w:rsidRPr="00640D24">
                    <w:rPr>
                      <w:rFonts w:cs="Times New Roman"/>
                      <w:sz w:val="21"/>
                      <w:szCs w:val="21"/>
                    </w:rPr>
                    <w:t xml:space="preserve">) </w:t>
                  </w:r>
                </w:p>
              </w:tc>
            </w:tr>
          </w:tbl>
          <w:p w14:paraId="20C0854A" w14:textId="1F0C128F" w:rsidR="00133505" w:rsidRPr="00640D24" w:rsidRDefault="00133505" w:rsidP="004B11CA">
            <w:pPr>
              <w:spacing w:after="0" w:line="240" w:lineRule="auto"/>
              <w:rPr>
                <w:rFonts w:cs="Times New Roman"/>
                <w:sz w:val="21"/>
                <w:szCs w:val="21"/>
                <w:lang w:val="lt-LT"/>
              </w:rPr>
            </w:pPr>
          </w:p>
        </w:tc>
      </w:tr>
      <w:tr w:rsidR="004B11CA" w:rsidRPr="00640D24" w14:paraId="47431D83" w14:textId="77777777" w:rsidTr="00BA790E">
        <w:tc>
          <w:tcPr>
            <w:tcW w:w="2466" w:type="dxa"/>
          </w:tcPr>
          <w:p w14:paraId="0BDE447D"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SFMIS</w:t>
            </w:r>
          </w:p>
        </w:tc>
        <w:tc>
          <w:tcPr>
            <w:tcW w:w="7162" w:type="dxa"/>
          </w:tcPr>
          <w:p w14:paraId="68F62DAC"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Europos Sąjungos struktūrinės paramos kompiuterinė informacinė valdymo ir priežiūros sistema</w:t>
            </w:r>
          </w:p>
        </w:tc>
      </w:tr>
      <w:tr w:rsidR="004B11CA" w:rsidRPr="00640D24" w14:paraId="5AA67D11" w14:textId="77777777" w:rsidTr="00BA790E">
        <w:tc>
          <w:tcPr>
            <w:tcW w:w="2466" w:type="dxa"/>
          </w:tcPr>
          <w:p w14:paraId="29CBB74F" w14:textId="6E3D0DF1"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Startuok</w:t>
            </w:r>
          </w:p>
        </w:tc>
        <w:tc>
          <w:tcPr>
            <w:tcW w:w="7162" w:type="dxa"/>
          </w:tcPr>
          <w:p w14:paraId="07441A02" w14:textId="0E6BF6FF"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Finansinė priemonė „Startuok“</w:t>
            </w:r>
          </w:p>
        </w:tc>
      </w:tr>
      <w:tr w:rsidR="004B11CA" w:rsidRPr="00640D24" w14:paraId="29A94429" w14:textId="77777777" w:rsidTr="00BA790E">
        <w:tc>
          <w:tcPr>
            <w:tcW w:w="2466" w:type="dxa"/>
          </w:tcPr>
          <w:p w14:paraId="74D0185B"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ŠESD</w:t>
            </w:r>
          </w:p>
        </w:tc>
        <w:tc>
          <w:tcPr>
            <w:tcW w:w="7162" w:type="dxa"/>
          </w:tcPr>
          <w:p w14:paraId="6E435F3B"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Šiltnamio efektą sukeliančios dujos</w:t>
            </w:r>
          </w:p>
        </w:tc>
      </w:tr>
      <w:tr w:rsidR="004B11CA" w:rsidRPr="00640D24" w14:paraId="5E7CC5D8" w14:textId="77777777" w:rsidTr="00BA790E">
        <w:tc>
          <w:tcPr>
            <w:tcW w:w="2466" w:type="dxa"/>
          </w:tcPr>
          <w:p w14:paraId="5DA897C2"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TPL</w:t>
            </w:r>
          </w:p>
        </w:tc>
        <w:tc>
          <w:tcPr>
            <w:tcW w:w="7162" w:type="dxa"/>
          </w:tcPr>
          <w:p w14:paraId="27D2D687"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eastAsia="lt-LT"/>
              </w:rPr>
              <w:t>Technologinės parengties lygis</w:t>
            </w:r>
          </w:p>
        </w:tc>
      </w:tr>
      <w:tr w:rsidR="004B11CA" w:rsidRPr="00640D24" w14:paraId="5DC566CE" w14:textId="77777777" w:rsidTr="00BA790E">
        <w:tc>
          <w:tcPr>
            <w:tcW w:w="2466" w:type="dxa"/>
          </w:tcPr>
          <w:p w14:paraId="73BED046"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TUI</w:t>
            </w:r>
          </w:p>
        </w:tc>
        <w:tc>
          <w:tcPr>
            <w:tcW w:w="7162" w:type="dxa"/>
          </w:tcPr>
          <w:p w14:paraId="7A490157"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Tiesioginės užsienio investicijos</w:t>
            </w:r>
          </w:p>
        </w:tc>
      </w:tr>
      <w:tr w:rsidR="004B11CA" w:rsidRPr="00640D24" w14:paraId="423D5FAF" w14:textId="77777777" w:rsidTr="00BA790E">
        <w:tc>
          <w:tcPr>
            <w:tcW w:w="2466" w:type="dxa"/>
          </w:tcPr>
          <w:p w14:paraId="7905E4F1"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TVF</w:t>
            </w:r>
          </w:p>
        </w:tc>
        <w:tc>
          <w:tcPr>
            <w:tcW w:w="7162" w:type="dxa"/>
          </w:tcPr>
          <w:p w14:paraId="722CF845"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Tarptautinis valiutos fondas</w:t>
            </w:r>
          </w:p>
        </w:tc>
      </w:tr>
      <w:tr w:rsidR="00E25BC8" w:rsidRPr="00640D24" w14:paraId="05180B20" w14:textId="77777777" w:rsidTr="00E43D3E">
        <w:trPr>
          <w:trHeight w:val="1573"/>
        </w:trPr>
        <w:tc>
          <w:tcPr>
            <w:tcW w:w="2466" w:type="dxa"/>
          </w:tcPr>
          <w:p w14:paraId="26831359" w14:textId="00566553" w:rsidR="00E25BC8" w:rsidRPr="00640D24" w:rsidRDefault="00E25BC8" w:rsidP="004B11CA">
            <w:pPr>
              <w:spacing w:after="0" w:line="240" w:lineRule="auto"/>
              <w:rPr>
                <w:rFonts w:cs="Times New Roman"/>
                <w:sz w:val="21"/>
                <w:szCs w:val="21"/>
                <w:lang w:val="lt-LT"/>
              </w:rPr>
            </w:pPr>
            <w:r w:rsidRPr="00640D24">
              <w:rPr>
                <w:rFonts w:cs="Times New Roman"/>
                <w:sz w:val="21"/>
                <w:szCs w:val="21"/>
                <w:lang w:val="lt-LT"/>
              </w:rPr>
              <w:t>Tvari gamyba</w:t>
            </w:r>
          </w:p>
        </w:tc>
        <w:tc>
          <w:tcPr>
            <w:tcW w:w="7162" w:type="dxa"/>
          </w:tcPr>
          <w:p w14:paraId="0D8A136E" w14:textId="6642229D" w:rsidR="00E25BC8" w:rsidRPr="00640D24" w:rsidRDefault="00E43D3E" w:rsidP="00E43D3E">
            <w:pPr>
              <w:spacing w:after="0" w:line="240" w:lineRule="auto"/>
              <w:jc w:val="both"/>
              <w:rPr>
                <w:lang w:val="lt-LT"/>
              </w:rPr>
            </w:pPr>
            <w:r w:rsidRPr="00640D24">
              <w:rPr>
                <w:sz w:val="21"/>
                <w:szCs w:val="21"/>
                <w:lang w:val="lt-LT"/>
              </w:rPr>
              <w:t xml:space="preserve">Europos žaliojo kurso įgyvendinimas pramonėje, didinant </w:t>
            </w:r>
            <w:proofErr w:type="spellStart"/>
            <w:r w:rsidRPr="00640D24">
              <w:rPr>
                <w:sz w:val="21"/>
                <w:szCs w:val="21"/>
                <w:lang w:val="lt-LT"/>
              </w:rPr>
              <w:t>žiediškumą</w:t>
            </w:r>
            <w:proofErr w:type="spellEnd"/>
            <w:r w:rsidRPr="00640D24">
              <w:rPr>
                <w:sz w:val="21"/>
                <w:szCs w:val="21"/>
                <w:lang w:val="lt-LT"/>
              </w:rPr>
              <w:t xml:space="preserve">, </w:t>
            </w:r>
            <w:proofErr w:type="spellStart"/>
            <w:r w:rsidRPr="00640D24">
              <w:rPr>
                <w:sz w:val="21"/>
                <w:szCs w:val="21"/>
                <w:lang w:val="lt-LT"/>
              </w:rPr>
              <w:t>dekarbonizaciją</w:t>
            </w:r>
            <w:proofErr w:type="spellEnd"/>
            <w:r w:rsidRPr="00640D24">
              <w:rPr>
                <w:sz w:val="21"/>
                <w:szCs w:val="21"/>
                <w:lang w:val="lt-LT"/>
              </w:rPr>
              <w:t xml:space="preserve"> ir energijos vartojimo efektyvumą, diegiant aplinkai palankias, </w:t>
            </w:r>
            <w:proofErr w:type="spellStart"/>
            <w:r w:rsidRPr="00640D24">
              <w:rPr>
                <w:sz w:val="21"/>
                <w:szCs w:val="21"/>
                <w:lang w:val="lt-LT"/>
              </w:rPr>
              <w:t>mažaatliekes</w:t>
            </w:r>
            <w:proofErr w:type="spellEnd"/>
            <w:r w:rsidRPr="00640D24">
              <w:rPr>
                <w:sz w:val="21"/>
                <w:szCs w:val="21"/>
                <w:lang w:val="lt-LT"/>
              </w:rPr>
              <w:t xml:space="preserve"> ir </w:t>
            </w:r>
            <w:proofErr w:type="spellStart"/>
            <w:r w:rsidRPr="00640D24">
              <w:rPr>
                <w:sz w:val="21"/>
                <w:szCs w:val="21"/>
                <w:lang w:val="lt-LT"/>
              </w:rPr>
              <w:t>inovatyvias</w:t>
            </w:r>
            <w:proofErr w:type="spellEnd"/>
            <w:r w:rsidRPr="00640D24">
              <w:rPr>
                <w:sz w:val="21"/>
                <w:szCs w:val="21"/>
                <w:lang w:val="lt-LT"/>
              </w:rPr>
              <w:t xml:space="preserve"> bei skaitmenines technologijas, užtikrinant aukštos pridėtinės vertės ir mažo CO2 pėdsako produktų gamybą bei jų eksporto plėtrą, gynybos ir saugumo produktų pramonės tobulinimą, mokslinių tyrimų, eksperimentinės plėtros ir inovacijų šiose srityse vykdymą.</w:t>
            </w:r>
          </w:p>
        </w:tc>
      </w:tr>
      <w:tr w:rsidR="004B11CA" w:rsidRPr="00640D24" w14:paraId="0EE482A8" w14:textId="77777777" w:rsidTr="00BA790E">
        <w:tc>
          <w:tcPr>
            <w:tcW w:w="2466" w:type="dxa"/>
          </w:tcPr>
          <w:p w14:paraId="0FFE3C8F"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Vertinimas</w:t>
            </w:r>
          </w:p>
        </w:tc>
        <w:tc>
          <w:tcPr>
            <w:tcW w:w="7162" w:type="dxa"/>
          </w:tcPr>
          <w:p w14:paraId="2765FE96"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Verslo srities planuojamų finansinių priemonių išankstinis vertinimas</w:t>
            </w:r>
          </w:p>
        </w:tc>
      </w:tr>
      <w:tr w:rsidR="004B11CA" w:rsidRPr="00640D24" w14:paraId="5712A743" w14:textId="77777777" w:rsidTr="00BA790E">
        <w:tc>
          <w:tcPr>
            <w:tcW w:w="2466" w:type="dxa"/>
          </w:tcPr>
          <w:p w14:paraId="6F75296A"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VFF</w:t>
            </w:r>
          </w:p>
        </w:tc>
        <w:tc>
          <w:tcPr>
            <w:tcW w:w="7162" w:type="dxa"/>
          </w:tcPr>
          <w:p w14:paraId="7CC2C529" w14:textId="194AE68A"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Fondų fondas „Verslo finansavimo fondas, finansuojamas iš Europos regioninės plėtros fondo“</w:t>
            </w:r>
          </w:p>
        </w:tc>
      </w:tr>
      <w:tr w:rsidR="004B11CA" w:rsidRPr="00640D24" w14:paraId="4BA9B3D5" w14:textId="77777777" w:rsidTr="00BA790E">
        <w:tc>
          <w:tcPr>
            <w:tcW w:w="2466" w:type="dxa"/>
          </w:tcPr>
          <w:p w14:paraId="01A78870"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VSF</w:t>
            </w:r>
          </w:p>
        </w:tc>
        <w:tc>
          <w:tcPr>
            <w:tcW w:w="7162" w:type="dxa"/>
          </w:tcPr>
          <w:p w14:paraId="1329F506" w14:textId="0936134C" w:rsidR="004B11CA" w:rsidRPr="00640D24" w:rsidRDefault="0087609E" w:rsidP="004B11CA">
            <w:pPr>
              <w:spacing w:after="0" w:line="240" w:lineRule="auto"/>
              <w:rPr>
                <w:rFonts w:cs="Times New Roman"/>
                <w:sz w:val="21"/>
                <w:szCs w:val="21"/>
                <w:lang w:val="lt-LT"/>
              </w:rPr>
            </w:pPr>
            <w:r w:rsidRPr="00640D24">
              <w:rPr>
                <w:rFonts w:cs="Times New Roman"/>
                <w:sz w:val="21"/>
                <w:szCs w:val="21"/>
                <w:lang w:val="lt-LT"/>
              </w:rPr>
              <w:t>Verslumo skatinimo fondas 2014–2020, finansuojamas iš Europos socialinio fondo</w:t>
            </w:r>
          </w:p>
        </w:tc>
      </w:tr>
      <w:tr w:rsidR="004B11CA" w:rsidRPr="00640D24" w14:paraId="151905E9" w14:textId="77777777" w:rsidTr="00BA790E">
        <w:tc>
          <w:tcPr>
            <w:tcW w:w="2466" w:type="dxa"/>
          </w:tcPr>
          <w:p w14:paraId="303FDC04" w14:textId="2E09CE9B"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Žaliasis kursas</w:t>
            </w:r>
          </w:p>
        </w:tc>
        <w:tc>
          <w:tcPr>
            <w:tcW w:w="7162" w:type="dxa"/>
          </w:tcPr>
          <w:p w14:paraId="1CE8412C" w14:textId="3EE338E0"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Europos Komisijos komunikatas dėl Žaliojo kurso</w:t>
            </w:r>
          </w:p>
        </w:tc>
      </w:tr>
    </w:tbl>
    <w:p w14:paraId="4864D0C0" w14:textId="127F3B5B" w:rsidR="00EA348F" w:rsidRPr="00640D24" w:rsidRDefault="00EA348F" w:rsidP="00170B5F">
      <w:pPr>
        <w:spacing w:before="60" w:after="60" w:line="240" w:lineRule="auto"/>
        <w:rPr>
          <w:rFonts w:cs="Times New Roman"/>
        </w:rPr>
      </w:pPr>
      <w:r w:rsidRPr="00640D24">
        <w:rPr>
          <w:rFonts w:cs="Times New Roman"/>
        </w:rPr>
        <w:br w:type="page"/>
      </w:r>
    </w:p>
    <w:p w14:paraId="5EA93A27" w14:textId="77777777" w:rsidR="00943747" w:rsidRPr="00640D24" w:rsidRDefault="00943747" w:rsidP="00170B5F">
      <w:pPr>
        <w:pStyle w:val="Antrat1"/>
        <w:numPr>
          <w:ilvl w:val="0"/>
          <w:numId w:val="1"/>
        </w:numPr>
        <w:spacing w:before="60" w:after="60" w:line="240" w:lineRule="auto"/>
        <w:ind w:left="714" w:hanging="357"/>
        <w:rPr>
          <w:rFonts w:ascii="Times New Roman" w:hAnsi="Times New Roman" w:cs="Times New Roman"/>
          <w:b/>
          <w:bCs/>
          <w:color w:val="auto"/>
          <w:sz w:val="28"/>
          <w:szCs w:val="28"/>
        </w:rPr>
      </w:pPr>
      <w:bookmarkStart w:id="2" w:name="_Toc57225205"/>
      <w:bookmarkStart w:id="3" w:name="_Toc146812376"/>
      <w:r w:rsidRPr="00640D24">
        <w:rPr>
          <w:rFonts w:ascii="Times New Roman" w:hAnsi="Times New Roman" w:cs="Times New Roman"/>
          <w:b/>
          <w:bCs/>
          <w:color w:val="auto"/>
          <w:sz w:val="28"/>
          <w:szCs w:val="28"/>
        </w:rPr>
        <w:lastRenderedPageBreak/>
        <w:t>Įvadas</w:t>
      </w:r>
      <w:bookmarkEnd w:id="2"/>
      <w:bookmarkEnd w:id="3"/>
    </w:p>
    <w:p w14:paraId="1D28D34B" w14:textId="7882BDF5" w:rsidR="005979C8" w:rsidRPr="00640D24" w:rsidRDefault="006417EF" w:rsidP="00170B5F">
      <w:pPr>
        <w:spacing w:before="60" w:after="60" w:line="240" w:lineRule="auto"/>
        <w:ind w:firstLine="360"/>
        <w:jc w:val="both"/>
        <w:rPr>
          <w:rFonts w:cs="Times New Roman"/>
          <w:sz w:val="22"/>
          <w:szCs w:val="22"/>
        </w:rPr>
      </w:pPr>
      <w:bookmarkStart w:id="4" w:name="_Toc230776639"/>
      <w:bookmarkStart w:id="5" w:name="_Toc230785592"/>
      <w:bookmarkStart w:id="6" w:name="_Toc230785705"/>
      <w:bookmarkStart w:id="7" w:name="_Toc230785922"/>
      <w:r w:rsidRPr="00640D24">
        <w:rPr>
          <w:rFonts w:cs="Times New Roman"/>
          <w:sz w:val="22"/>
          <w:szCs w:val="22"/>
        </w:rPr>
        <w:t>Atsižvelgiant į 2021</w:t>
      </w:r>
      <w:r w:rsidR="005A46AE" w:rsidRPr="00640D24">
        <w:rPr>
          <w:rFonts w:cs="Times New Roman"/>
          <w:sz w:val="22"/>
          <w:szCs w:val="22"/>
        </w:rPr>
        <w:t>–</w:t>
      </w:r>
      <w:r w:rsidRPr="00640D24">
        <w:rPr>
          <w:rFonts w:cs="Times New Roman"/>
          <w:sz w:val="22"/>
          <w:szCs w:val="22"/>
        </w:rPr>
        <w:t xml:space="preserve">2027 m. </w:t>
      </w:r>
      <w:r w:rsidR="00C664AC" w:rsidRPr="00640D24">
        <w:rPr>
          <w:rFonts w:cs="Times New Roman"/>
          <w:sz w:val="22"/>
          <w:szCs w:val="22"/>
        </w:rPr>
        <w:t>Eur</w:t>
      </w:r>
      <w:r w:rsidRPr="00640D24">
        <w:rPr>
          <w:rFonts w:cs="Times New Roman"/>
          <w:sz w:val="22"/>
          <w:szCs w:val="22"/>
        </w:rPr>
        <w:t>opos Sąjungos (toliau – ES) sanglaudos politikos reglamentų projektuose</w:t>
      </w:r>
      <w:r w:rsidRPr="00640D24">
        <w:rPr>
          <w:rFonts w:cs="Times New Roman"/>
          <w:sz w:val="22"/>
          <w:szCs w:val="22"/>
          <w:vertAlign w:val="superscript"/>
        </w:rPr>
        <w:footnoteReference w:id="2"/>
      </w:r>
      <w:r w:rsidRPr="00640D24">
        <w:rPr>
          <w:rFonts w:cs="Times New Roman"/>
          <w:sz w:val="22"/>
          <w:szCs w:val="22"/>
        </w:rPr>
        <w:t xml:space="preserve"> (toliau – Reglamentas(</w:t>
      </w:r>
      <w:r w:rsidR="00645085" w:rsidRPr="00640D24">
        <w:rPr>
          <w:rFonts w:cs="Times New Roman"/>
          <w:sz w:val="22"/>
          <w:szCs w:val="22"/>
        </w:rPr>
        <w:t>–</w:t>
      </w:r>
      <w:r w:rsidRPr="00640D24">
        <w:rPr>
          <w:rFonts w:cs="Times New Roman"/>
          <w:sz w:val="22"/>
          <w:szCs w:val="22"/>
        </w:rPr>
        <w:t>ai)</w:t>
      </w:r>
      <w:r w:rsidR="00496B66" w:rsidRPr="00640D24">
        <w:rPr>
          <w:rFonts w:cs="Times New Roman"/>
          <w:sz w:val="22"/>
          <w:szCs w:val="22"/>
        </w:rPr>
        <w:t>)</w:t>
      </w:r>
      <w:r w:rsidRPr="00640D24">
        <w:rPr>
          <w:rFonts w:cs="Times New Roman"/>
          <w:sz w:val="22"/>
          <w:szCs w:val="22"/>
        </w:rPr>
        <w:t xml:space="preserve"> numatytus reikalavimus</w:t>
      </w:r>
      <w:r w:rsidR="007768CF" w:rsidRPr="00640D24">
        <w:rPr>
          <w:rFonts w:cs="Times New Roman"/>
          <w:sz w:val="22"/>
          <w:szCs w:val="22"/>
        </w:rPr>
        <w:t xml:space="preserve"> ir Strateginio planavimo metodik</w:t>
      </w:r>
      <w:r w:rsidR="00247BEE" w:rsidRPr="00640D24">
        <w:rPr>
          <w:rFonts w:cs="Times New Roman"/>
          <w:sz w:val="22"/>
          <w:szCs w:val="22"/>
        </w:rPr>
        <w:t>ą</w:t>
      </w:r>
      <w:r w:rsidR="007768CF" w:rsidRPr="00640D24">
        <w:rPr>
          <w:rStyle w:val="Puslapioinaosnuoroda"/>
          <w:rFonts w:cs="Times New Roman"/>
          <w:sz w:val="22"/>
          <w:szCs w:val="22"/>
        </w:rPr>
        <w:footnoteReference w:id="3"/>
      </w:r>
      <w:r w:rsidRPr="00640D24">
        <w:rPr>
          <w:rFonts w:cs="Times New Roman"/>
          <w:sz w:val="22"/>
          <w:szCs w:val="22"/>
        </w:rPr>
        <w:t>, planuojant įgyvendinti finansines priemones (toliau – FP) turi būti parengti planuojamų FP išankstiniai vertinimai (</w:t>
      </w:r>
      <w:proofErr w:type="spellStart"/>
      <w:r w:rsidR="00C664AC" w:rsidRPr="00640D24">
        <w:rPr>
          <w:rFonts w:cs="Times New Roman"/>
          <w:i/>
          <w:sz w:val="22"/>
          <w:szCs w:val="22"/>
        </w:rPr>
        <w:t>ex</w:t>
      </w:r>
      <w:proofErr w:type="spellEnd"/>
      <w:r w:rsidR="00964441" w:rsidRPr="00640D24">
        <w:rPr>
          <w:rFonts w:cs="Times New Roman"/>
          <w:i/>
          <w:sz w:val="22"/>
          <w:szCs w:val="22"/>
        </w:rPr>
        <w:t xml:space="preserve"> </w:t>
      </w:r>
      <w:proofErr w:type="spellStart"/>
      <w:r w:rsidR="00C664AC" w:rsidRPr="00640D24">
        <w:rPr>
          <w:rFonts w:cs="Times New Roman"/>
          <w:i/>
          <w:sz w:val="22"/>
          <w:szCs w:val="22"/>
        </w:rPr>
        <w:t>ante</w:t>
      </w:r>
      <w:proofErr w:type="spellEnd"/>
      <w:r w:rsidRPr="00640D24">
        <w:rPr>
          <w:rFonts w:cs="Times New Roman"/>
          <w:sz w:val="22"/>
          <w:szCs w:val="22"/>
        </w:rPr>
        <w:t>). Vadovaujantis Reglamento Nr. 2018/0196 52 straipsniu,</w:t>
      </w:r>
      <w:r w:rsidR="00C664AC" w:rsidRPr="00640D24">
        <w:rPr>
          <w:rFonts w:cs="Times New Roman"/>
          <w:i/>
          <w:sz w:val="22"/>
          <w:szCs w:val="22"/>
        </w:rPr>
        <w:t xml:space="preserve"> </w:t>
      </w:r>
      <w:proofErr w:type="spellStart"/>
      <w:r w:rsidR="00C664AC" w:rsidRPr="00640D24">
        <w:rPr>
          <w:rFonts w:cs="Times New Roman"/>
          <w:i/>
          <w:sz w:val="22"/>
          <w:szCs w:val="22"/>
        </w:rPr>
        <w:t>ex</w:t>
      </w:r>
      <w:proofErr w:type="spellEnd"/>
      <w:r w:rsidR="007C4E9B" w:rsidRPr="00640D24">
        <w:rPr>
          <w:rFonts w:cs="Times New Roman"/>
          <w:i/>
          <w:sz w:val="22"/>
          <w:szCs w:val="22"/>
        </w:rPr>
        <w:t xml:space="preserve"> </w:t>
      </w:r>
      <w:proofErr w:type="spellStart"/>
      <w:r w:rsidR="00C664AC" w:rsidRPr="00640D24">
        <w:rPr>
          <w:rFonts w:cs="Times New Roman"/>
          <w:i/>
          <w:sz w:val="22"/>
          <w:szCs w:val="22"/>
        </w:rPr>
        <w:t>ante</w:t>
      </w:r>
      <w:proofErr w:type="spellEnd"/>
      <w:r w:rsidRPr="00640D24">
        <w:rPr>
          <w:rFonts w:cs="Times New Roman"/>
          <w:sz w:val="22"/>
          <w:szCs w:val="22"/>
        </w:rPr>
        <w:t xml:space="preserve"> vertinimas turi apimti šiuos elementus: (a) siūlomą finansinei priemonei skiriamo įnašo sumą ir numatomą sverto poveikį; (b) finansinius produktus, kuriuos numatoma siūlyti, įskaitant galimą poreikį investuotojams taikyti skirtingas sąlygas; (c) siūlomą tikslinę galutinių gavėjų grupę; (d) numatom</w:t>
      </w:r>
      <w:r w:rsidR="004D391A" w:rsidRPr="00640D24">
        <w:rPr>
          <w:rFonts w:cs="Times New Roman"/>
          <w:sz w:val="22"/>
          <w:szCs w:val="22"/>
        </w:rPr>
        <w:t>ą</w:t>
      </w:r>
      <w:r w:rsidRPr="00640D24">
        <w:rPr>
          <w:rFonts w:cs="Times New Roman"/>
          <w:sz w:val="22"/>
          <w:szCs w:val="22"/>
        </w:rPr>
        <w:t xml:space="preserve"> finansinės priemonės indėlį, siekiant konkrečių tikslų. </w:t>
      </w:r>
      <w:bookmarkEnd w:id="4"/>
      <w:bookmarkEnd w:id="5"/>
      <w:bookmarkEnd w:id="6"/>
      <w:bookmarkEnd w:id="7"/>
      <w:r w:rsidR="007768CF" w:rsidRPr="00640D24">
        <w:rPr>
          <w:rFonts w:cs="Times New Roman"/>
          <w:sz w:val="22"/>
          <w:szCs w:val="22"/>
        </w:rPr>
        <w:t xml:space="preserve">Šio </w:t>
      </w:r>
      <w:proofErr w:type="spellStart"/>
      <w:r w:rsidR="007768CF" w:rsidRPr="00640D24">
        <w:rPr>
          <w:rFonts w:cs="Times New Roman"/>
          <w:i/>
          <w:iCs/>
          <w:sz w:val="22"/>
          <w:szCs w:val="22"/>
        </w:rPr>
        <w:t>ex</w:t>
      </w:r>
      <w:proofErr w:type="spellEnd"/>
      <w:r w:rsidR="007768CF" w:rsidRPr="00640D24">
        <w:rPr>
          <w:rFonts w:cs="Times New Roman"/>
          <w:i/>
          <w:iCs/>
          <w:sz w:val="22"/>
          <w:szCs w:val="22"/>
        </w:rPr>
        <w:t xml:space="preserve"> </w:t>
      </w:r>
      <w:proofErr w:type="spellStart"/>
      <w:r w:rsidR="007768CF" w:rsidRPr="00640D24">
        <w:rPr>
          <w:rFonts w:cs="Times New Roman"/>
          <w:i/>
          <w:iCs/>
          <w:sz w:val="22"/>
          <w:szCs w:val="22"/>
        </w:rPr>
        <w:t>ante</w:t>
      </w:r>
      <w:proofErr w:type="spellEnd"/>
      <w:r w:rsidR="007768CF" w:rsidRPr="00640D24">
        <w:rPr>
          <w:rFonts w:cs="Times New Roman"/>
          <w:sz w:val="22"/>
          <w:szCs w:val="22"/>
        </w:rPr>
        <w:t xml:space="preserve"> vertinimo ataskaita yra struktūruojama remiantis Reglamento reikalavimuose numatytais elementais.</w:t>
      </w:r>
    </w:p>
    <w:p w14:paraId="6E636705" w14:textId="77777777" w:rsidR="00B509C5" w:rsidRPr="00640D24" w:rsidRDefault="00B509C5" w:rsidP="00170B5F">
      <w:pPr>
        <w:spacing w:before="60" w:after="60" w:line="240" w:lineRule="auto"/>
        <w:ind w:firstLine="360"/>
        <w:jc w:val="both"/>
        <w:rPr>
          <w:rFonts w:cs="Times New Roman"/>
          <w:sz w:val="22"/>
          <w:szCs w:val="22"/>
        </w:rPr>
      </w:pPr>
    </w:p>
    <w:tbl>
      <w:tblPr>
        <w:tblStyle w:val="Lentelstinklelis"/>
        <w:tblW w:w="0" w:type="auto"/>
        <w:tblLook w:val="04A0" w:firstRow="1" w:lastRow="0" w:firstColumn="1" w:lastColumn="0" w:noHBand="0" w:noVBand="1"/>
      </w:tblPr>
      <w:tblGrid>
        <w:gridCol w:w="9628"/>
      </w:tblGrid>
      <w:tr w:rsidR="00436497" w:rsidRPr="00640D24" w14:paraId="4C21FD3C" w14:textId="77777777" w:rsidTr="00436497">
        <w:tc>
          <w:tcPr>
            <w:tcW w:w="10280" w:type="dxa"/>
          </w:tcPr>
          <w:p w14:paraId="79E11CFD" w14:textId="5CB729A3" w:rsidR="00436497" w:rsidRPr="00640D24" w:rsidRDefault="00436497" w:rsidP="00811262">
            <w:pPr>
              <w:spacing w:before="60" w:after="60" w:line="240" w:lineRule="auto"/>
              <w:ind w:firstLine="360"/>
              <w:jc w:val="both"/>
              <w:rPr>
                <w:rFonts w:cs="Times New Roman"/>
                <w:sz w:val="18"/>
                <w:szCs w:val="18"/>
                <w:lang w:val="lt-LT"/>
              </w:rPr>
            </w:pPr>
            <w:r w:rsidRPr="00640D24">
              <w:rPr>
                <w:rFonts w:cs="Times New Roman"/>
                <w:sz w:val="22"/>
                <w:szCs w:val="22"/>
                <w:lang w:val="lt-LT"/>
              </w:rPr>
              <w:t xml:space="preserve">Finansinės priemonės – tai būdas panaudoti ribotus valstybės biudžeto išteklius, teikiant ne vienkartines negrąžinamas </w:t>
            </w:r>
            <w:r w:rsidR="00811262" w:rsidRPr="00640D24">
              <w:rPr>
                <w:rFonts w:cs="Times New Roman"/>
                <w:sz w:val="22"/>
                <w:szCs w:val="22"/>
                <w:lang w:val="lt-LT"/>
              </w:rPr>
              <w:t xml:space="preserve">dotacijas </w:t>
            </w:r>
            <w:r w:rsidRPr="00640D24">
              <w:rPr>
                <w:rFonts w:cs="Times New Roman"/>
                <w:sz w:val="22"/>
                <w:szCs w:val="22"/>
                <w:lang w:val="lt-LT"/>
              </w:rPr>
              <w:t>įmonėms, o skolinant lėšas, investuojant į įmonių kapitalą, teikiant garantijas. FP privalumas – „atsinaujinančios“ lėšos, t. y. paskolinus ar investavus FP skirtas lėšas, jos sugrįžta ir gali būti dar kartą panaudojamos tiems patiems tikslams, tokiu būdu naudojant tas pačias lėšas didesniam subjektų skaičiui suteikti finansavimą.</w:t>
            </w:r>
          </w:p>
        </w:tc>
      </w:tr>
    </w:tbl>
    <w:p w14:paraId="423EB804" w14:textId="77777777" w:rsidR="00943747" w:rsidRPr="00640D24" w:rsidRDefault="00943747" w:rsidP="00CC48BD">
      <w:pPr>
        <w:pStyle w:val="Antrat2"/>
        <w:numPr>
          <w:ilvl w:val="1"/>
          <w:numId w:val="1"/>
        </w:numPr>
        <w:spacing w:before="240" w:after="60" w:line="240" w:lineRule="auto"/>
        <w:rPr>
          <w:rFonts w:ascii="Times New Roman" w:hAnsi="Times New Roman" w:cs="Times New Roman"/>
          <w:b/>
          <w:bCs/>
          <w:color w:val="auto"/>
          <w:sz w:val="24"/>
          <w:szCs w:val="24"/>
        </w:rPr>
      </w:pPr>
      <w:bookmarkStart w:id="8" w:name="_Toc57225206"/>
      <w:bookmarkStart w:id="9" w:name="_Toc146812377"/>
      <w:r w:rsidRPr="00640D24">
        <w:rPr>
          <w:rFonts w:ascii="Times New Roman" w:hAnsi="Times New Roman" w:cs="Times New Roman"/>
          <w:b/>
          <w:bCs/>
          <w:color w:val="auto"/>
          <w:sz w:val="24"/>
          <w:szCs w:val="24"/>
        </w:rPr>
        <w:t>Vertinimo tikslas ir apimtis</w:t>
      </w:r>
      <w:bookmarkEnd w:id="8"/>
      <w:bookmarkEnd w:id="9"/>
    </w:p>
    <w:p w14:paraId="7B264E23" w14:textId="1DCFB97D" w:rsidR="00952318" w:rsidRPr="00640D24" w:rsidRDefault="005979C8" w:rsidP="00170B5F">
      <w:pPr>
        <w:tabs>
          <w:tab w:val="left" w:pos="426"/>
        </w:tabs>
        <w:spacing w:before="60" w:after="60" w:line="240" w:lineRule="auto"/>
        <w:jc w:val="both"/>
        <w:rPr>
          <w:rFonts w:cs="Times New Roman"/>
          <w:sz w:val="22"/>
          <w:szCs w:val="22"/>
        </w:rPr>
      </w:pPr>
      <w:r w:rsidRPr="00640D24">
        <w:rPr>
          <w:rFonts w:cs="Times New Roman"/>
        </w:rPr>
        <w:tab/>
      </w:r>
      <w:r w:rsidRPr="00640D24">
        <w:rPr>
          <w:rFonts w:cs="Times New Roman"/>
          <w:sz w:val="22"/>
          <w:szCs w:val="22"/>
        </w:rPr>
        <w:t>Šio</w:t>
      </w:r>
      <w:r w:rsidR="005B448B" w:rsidRPr="00640D24">
        <w:rPr>
          <w:rFonts w:cs="Times New Roman"/>
          <w:sz w:val="22"/>
          <w:szCs w:val="22"/>
        </w:rPr>
        <w:t xml:space="preserve"> verslo srities planuojamų finansinių priemonių išankstinio vertinimo (toliau – Ve</w:t>
      </w:r>
      <w:r w:rsidRPr="00640D24">
        <w:rPr>
          <w:rFonts w:cs="Times New Roman"/>
          <w:sz w:val="22"/>
          <w:szCs w:val="22"/>
        </w:rPr>
        <w:t>rtinimo</w:t>
      </w:r>
      <w:r w:rsidR="005B448B" w:rsidRPr="00640D24">
        <w:rPr>
          <w:rFonts w:cs="Times New Roman"/>
          <w:sz w:val="22"/>
          <w:szCs w:val="22"/>
        </w:rPr>
        <w:t>)</w:t>
      </w:r>
      <w:r w:rsidRPr="00640D24">
        <w:rPr>
          <w:rFonts w:cs="Times New Roman"/>
          <w:sz w:val="22"/>
          <w:szCs w:val="22"/>
        </w:rPr>
        <w:t xml:space="preserve"> tikslas </w:t>
      </w:r>
      <w:r w:rsidR="00344DAE" w:rsidRPr="00640D24">
        <w:rPr>
          <w:rFonts w:cs="Times New Roman"/>
          <w:sz w:val="22"/>
          <w:szCs w:val="22"/>
        </w:rPr>
        <w:t>–</w:t>
      </w:r>
      <w:r w:rsidRPr="00640D24">
        <w:rPr>
          <w:rFonts w:cs="Times New Roman"/>
          <w:sz w:val="22"/>
          <w:szCs w:val="22"/>
        </w:rPr>
        <w:t xml:space="preserve"> iš</w:t>
      </w:r>
      <w:r w:rsidR="00246030" w:rsidRPr="00640D24">
        <w:rPr>
          <w:rFonts w:cs="Times New Roman"/>
          <w:sz w:val="22"/>
          <w:szCs w:val="22"/>
        </w:rPr>
        <w:t>nagrinėti</w:t>
      </w:r>
      <w:r w:rsidRPr="00640D24">
        <w:rPr>
          <w:rFonts w:cs="Times New Roman"/>
          <w:sz w:val="22"/>
          <w:szCs w:val="22"/>
        </w:rPr>
        <w:t xml:space="preserve"> naujai planuojamų įgyvendinti FP iš ES</w:t>
      </w:r>
      <w:r w:rsidR="008F4D66" w:rsidRPr="00640D24">
        <w:rPr>
          <w:rFonts w:cs="Times New Roman"/>
          <w:sz w:val="22"/>
          <w:szCs w:val="22"/>
        </w:rPr>
        <w:t xml:space="preserve"> bei EGADP</w:t>
      </w:r>
      <w:r w:rsidRPr="00640D24">
        <w:rPr>
          <w:rFonts w:cs="Times New Roman"/>
          <w:sz w:val="22"/>
          <w:szCs w:val="22"/>
        </w:rPr>
        <w:t>, valstybės biudžeto lėšų ar kitų finansinių šaltinių poreikį ir atlikti išankstinius vertinimus (</w:t>
      </w:r>
      <w:proofErr w:type="spellStart"/>
      <w:r w:rsidR="00C664AC" w:rsidRPr="00640D24">
        <w:rPr>
          <w:rFonts w:cs="Times New Roman"/>
          <w:i/>
          <w:sz w:val="22"/>
          <w:szCs w:val="22"/>
        </w:rPr>
        <w:t>ex</w:t>
      </w:r>
      <w:proofErr w:type="spellEnd"/>
      <w:r w:rsidR="007C4E9B" w:rsidRPr="00640D24">
        <w:rPr>
          <w:rFonts w:cs="Times New Roman"/>
          <w:i/>
          <w:sz w:val="22"/>
          <w:szCs w:val="22"/>
        </w:rPr>
        <w:t xml:space="preserve"> </w:t>
      </w:r>
      <w:proofErr w:type="spellStart"/>
      <w:r w:rsidR="00C664AC" w:rsidRPr="00640D24">
        <w:rPr>
          <w:rFonts w:cs="Times New Roman"/>
          <w:i/>
          <w:sz w:val="22"/>
          <w:szCs w:val="22"/>
        </w:rPr>
        <w:t>ante</w:t>
      </w:r>
      <w:proofErr w:type="spellEnd"/>
      <w:r w:rsidRPr="00640D24">
        <w:rPr>
          <w:rFonts w:cs="Times New Roman"/>
          <w:sz w:val="22"/>
          <w:szCs w:val="22"/>
        </w:rPr>
        <w:t>)</w:t>
      </w:r>
      <w:r w:rsidR="00116F85" w:rsidRPr="00640D24">
        <w:rPr>
          <w:rFonts w:cs="Times New Roman"/>
          <w:sz w:val="22"/>
          <w:szCs w:val="22"/>
        </w:rPr>
        <w:t>,</w:t>
      </w:r>
      <w:r w:rsidRPr="00640D24">
        <w:rPr>
          <w:rFonts w:cs="Times New Roman"/>
          <w:sz w:val="22"/>
          <w:szCs w:val="22"/>
        </w:rPr>
        <w:t xml:space="preserve"> pagal Reglamentuose numatytus metodinius reikalavimus verslo srityje planuojamoms veikloms</w:t>
      </w:r>
      <w:r w:rsidR="00952318" w:rsidRPr="00640D24">
        <w:rPr>
          <w:rFonts w:cs="Times New Roman"/>
          <w:sz w:val="22"/>
          <w:szCs w:val="22"/>
        </w:rPr>
        <w:t>.</w:t>
      </w:r>
      <w:r w:rsidR="00247BEE" w:rsidRPr="00640D24">
        <w:rPr>
          <w:rFonts w:cs="Times New Roman"/>
          <w:sz w:val="22"/>
          <w:szCs w:val="22"/>
        </w:rPr>
        <w:t xml:space="preserve"> Veiklų sąrašą sudarė</w:t>
      </w:r>
      <w:r w:rsidR="00B3139C" w:rsidRPr="00640D24">
        <w:rPr>
          <w:rFonts w:cs="Times New Roman"/>
          <w:sz w:val="22"/>
          <w:szCs w:val="22"/>
        </w:rPr>
        <w:t xml:space="preserve"> </w:t>
      </w:r>
      <w:r w:rsidR="000812A8" w:rsidRPr="00640D24">
        <w:rPr>
          <w:rFonts w:cs="Times New Roman"/>
          <w:sz w:val="22"/>
          <w:szCs w:val="22"/>
        </w:rPr>
        <w:t>EIM</w:t>
      </w:r>
      <w:r w:rsidR="00B3139C" w:rsidRPr="00640D24">
        <w:rPr>
          <w:rFonts w:cs="Times New Roman"/>
          <w:sz w:val="22"/>
          <w:szCs w:val="22"/>
        </w:rPr>
        <w:t xml:space="preserve"> ir </w:t>
      </w:r>
      <w:r w:rsidR="000812A8" w:rsidRPr="00640D24">
        <w:rPr>
          <w:rFonts w:cs="Times New Roman"/>
          <w:sz w:val="22"/>
          <w:szCs w:val="22"/>
        </w:rPr>
        <w:t>FM</w:t>
      </w:r>
      <w:r w:rsidR="00247BEE" w:rsidRPr="00640D24">
        <w:rPr>
          <w:rFonts w:cs="Times New Roman"/>
          <w:sz w:val="22"/>
          <w:szCs w:val="22"/>
        </w:rPr>
        <w:t>,</w:t>
      </w:r>
      <w:r w:rsidR="00D847C6" w:rsidRPr="00640D24">
        <w:rPr>
          <w:rFonts w:cs="Times New Roman"/>
          <w:sz w:val="22"/>
          <w:szCs w:val="22"/>
        </w:rPr>
        <w:t xml:space="preserve"> </w:t>
      </w:r>
      <w:r w:rsidR="00247BEE" w:rsidRPr="00640D24">
        <w:rPr>
          <w:rFonts w:cs="Times New Roman"/>
          <w:sz w:val="22"/>
          <w:szCs w:val="22"/>
        </w:rPr>
        <w:t>remiantis</w:t>
      </w:r>
      <w:r w:rsidR="00D847C6" w:rsidRPr="00640D24">
        <w:rPr>
          <w:rFonts w:cs="Times New Roman"/>
          <w:sz w:val="22"/>
          <w:szCs w:val="22"/>
        </w:rPr>
        <w:t xml:space="preserve"> </w:t>
      </w:r>
      <w:r w:rsidR="00B3139C" w:rsidRPr="00640D24">
        <w:rPr>
          <w:rFonts w:cs="Times New Roman"/>
          <w:sz w:val="22"/>
          <w:szCs w:val="22"/>
        </w:rPr>
        <w:t>veiklų</w:t>
      </w:r>
      <w:r w:rsidR="00D847C6" w:rsidRPr="00640D24">
        <w:rPr>
          <w:rFonts w:cs="Times New Roman"/>
          <w:sz w:val="22"/>
          <w:szCs w:val="22"/>
        </w:rPr>
        <w:t xml:space="preserve"> turinio</w:t>
      </w:r>
      <w:r w:rsidR="00B3139C" w:rsidRPr="00640D24">
        <w:rPr>
          <w:rFonts w:cs="Times New Roman"/>
          <w:sz w:val="22"/>
          <w:szCs w:val="22"/>
        </w:rPr>
        <w:t xml:space="preserve"> ir tikslų</w:t>
      </w:r>
      <w:r w:rsidR="00D847C6" w:rsidRPr="00640D24">
        <w:rPr>
          <w:rFonts w:cs="Times New Roman"/>
          <w:sz w:val="22"/>
          <w:szCs w:val="22"/>
        </w:rPr>
        <w:t xml:space="preserve"> suderinamum</w:t>
      </w:r>
      <w:r w:rsidR="00247BEE" w:rsidRPr="00640D24">
        <w:rPr>
          <w:rFonts w:cs="Times New Roman"/>
          <w:sz w:val="22"/>
          <w:szCs w:val="22"/>
        </w:rPr>
        <w:t>u</w:t>
      </w:r>
      <w:r w:rsidR="00D847C6" w:rsidRPr="00640D24">
        <w:rPr>
          <w:rFonts w:cs="Times New Roman"/>
          <w:sz w:val="22"/>
          <w:szCs w:val="22"/>
        </w:rPr>
        <w:t xml:space="preserve"> su FP taikymo </w:t>
      </w:r>
      <w:r w:rsidR="00B3139C" w:rsidRPr="00640D24">
        <w:rPr>
          <w:rFonts w:cs="Times New Roman"/>
          <w:sz w:val="22"/>
          <w:szCs w:val="22"/>
        </w:rPr>
        <w:t>galimybėmis</w:t>
      </w:r>
      <w:r w:rsidR="00D847C6" w:rsidRPr="00640D24">
        <w:rPr>
          <w:rFonts w:cs="Times New Roman"/>
          <w:sz w:val="22"/>
          <w:szCs w:val="22"/>
        </w:rPr>
        <w:t>. Planuojamos verslo srities veiklos yra:</w:t>
      </w:r>
    </w:p>
    <w:p w14:paraId="1E4A211D" w14:textId="7C3FCEFF" w:rsidR="00D84279" w:rsidRPr="00640D24" w:rsidRDefault="008C0E22" w:rsidP="00D84279">
      <w:pPr>
        <w:numPr>
          <w:ilvl w:val="0"/>
          <w:numId w:val="2"/>
        </w:numPr>
        <w:tabs>
          <w:tab w:val="left" w:pos="248"/>
        </w:tabs>
        <w:spacing w:before="60" w:after="60" w:line="240" w:lineRule="auto"/>
        <w:contextualSpacing/>
        <w:jc w:val="both"/>
        <w:rPr>
          <w:rFonts w:eastAsia="Calibri" w:cs="Times New Roman"/>
          <w:sz w:val="22"/>
          <w:szCs w:val="22"/>
          <w:lang w:bidi="lt-LT"/>
        </w:rPr>
      </w:pPr>
      <w:r w:rsidRPr="00640D24">
        <w:rPr>
          <w:rFonts w:eastAsia="Calibri" w:cs="Times New Roman"/>
          <w:sz w:val="22"/>
          <w:szCs w:val="22"/>
          <w:lang w:bidi="lt-LT"/>
        </w:rPr>
        <w:t>SVV subjektų kūrim</w:t>
      </w:r>
      <w:r w:rsidR="002C2B3F" w:rsidRPr="00640D24">
        <w:rPr>
          <w:rFonts w:eastAsia="Calibri" w:cs="Times New Roman"/>
          <w:sz w:val="22"/>
          <w:szCs w:val="22"/>
          <w:lang w:bidi="lt-LT"/>
        </w:rPr>
        <w:t>a</w:t>
      </w:r>
      <w:r w:rsidRPr="00640D24">
        <w:rPr>
          <w:rFonts w:eastAsia="Calibri" w:cs="Times New Roman"/>
          <w:sz w:val="22"/>
          <w:szCs w:val="22"/>
          <w:lang w:bidi="lt-LT"/>
        </w:rPr>
        <w:t xml:space="preserve">sis, augimas bei </w:t>
      </w:r>
      <w:proofErr w:type="spellStart"/>
      <w:r w:rsidR="00D84279" w:rsidRPr="00640D24">
        <w:rPr>
          <w:rFonts w:eastAsia="Calibri" w:cs="Times New Roman"/>
          <w:sz w:val="22"/>
          <w:szCs w:val="22"/>
          <w:lang w:bidi="lt-LT"/>
        </w:rPr>
        <w:t>startuolių</w:t>
      </w:r>
      <w:proofErr w:type="spellEnd"/>
      <w:r w:rsidR="00D84279" w:rsidRPr="00640D24">
        <w:rPr>
          <w:rFonts w:eastAsia="Calibri" w:cs="Times New Roman"/>
          <w:sz w:val="22"/>
          <w:szCs w:val="22"/>
          <w:lang w:bidi="lt-LT"/>
        </w:rPr>
        <w:t xml:space="preserve"> vystymas, </w:t>
      </w:r>
      <w:proofErr w:type="spellStart"/>
      <w:r w:rsidR="00D84279" w:rsidRPr="00640D24">
        <w:rPr>
          <w:rFonts w:eastAsia="Calibri" w:cs="Times New Roman"/>
          <w:sz w:val="22"/>
          <w:szCs w:val="22"/>
          <w:lang w:bidi="lt-LT"/>
        </w:rPr>
        <w:t>akceleravimas</w:t>
      </w:r>
      <w:proofErr w:type="spellEnd"/>
      <w:r w:rsidR="00D84279" w:rsidRPr="00640D24">
        <w:rPr>
          <w:rFonts w:eastAsia="Calibri" w:cs="Times New Roman"/>
          <w:sz w:val="22"/>
          <w:szCs w:val="22"/>
          <w:lang w:bidi="lt-LT"/>
        </w:rPr>
        <w:t xml:space="preserve"> (įskaitant kultūros</w:t>
      </w:r>
      <w:r w:rsidR="000B5AE2" w:rsidRPr="00640D24">
        <w:rPr>
          <w:rFonts w:eastAsia="Calibri" w:cs="Times New Roman"/>
          <w:sz w:val="22"/>
          <w:szCs w:val="22"/>
          <w:lang w:bidi="lt-LT"/>
        </w:rPr>
        <w:t>–</w:t>
      </w:r>
      <w:r w:rsidR="00D84279" w:rsidRPr="00640D24">
        <w:rPr>
          <w:rFonts w:eastAsia="Calibri" w:cs="Times New Roman"/>
          <w:sz w:val="22"/>
          <w:szCs w:val="22"/>
          <w:lang w:bidi="lt-LT"/>
        </w:rPr>
        <w:t xml:space="preserve">kūrybinių industrijų skatinimą) ir plėtra; </w:t>
      </w:r>
    </w:p>
    <w:p w14:paraId="1CE50AD0" w14:textId="71B1B301" w:rsidR="00D84279" w:rsidRPr="00640D24" w:rsidRDefault="00D84279" w:rsidP="00D84279">
      <w:pPr>
        <w:numPr>
          <w:ilvl w:val="0"/>
          <w:numId w:val="2"/>
        </w:numPr>
        <w:tabs>
          <w:tab w:val="left" w:pos="248"/>
        </w:tabs>
        <w:spacing w:before="60" w:after="60" w:line="240" w:lineRule="auto"/>
        <w:contextualSpacing/>
        <w:jc w:val="both"/>
        <w:rPr>
          <w:rFonts w:eastAsia="Calibri" w:cs="Times New Roman"/>
          <w:sz w:val="22"/>
          <w:szCs w:val="22"/>
          <w:lang w:bidi="lt-LT"/>
        </w:rPr>
      </w:pPr>
      <w:r w:rsidRPr="00640D24">
        <w:rPr>
          <w:rFonts w:eastAsia="Calibri" w:cs="Times New Roman"/>
          <w:sz w:val="22"/>
          <w:szCs w:val="22"/>
          <w:lang w:bidi="lt-LT"/>
        </w:rPr>
        <w:t xml:space="preserve">mokslinių tyrimų ir eksperimentinės plėtros (toliau – MTEP) vykdymas; </w:t>
      </w:r>
    </w:p>
    <w:p w14:paraId="3C26C49B" w14:textId="10B3D356" w:rsidR="00D84279" w:rsidRPr="00640D24" w:rsidRDefault="00D84279" w:rsidP="00D84279">
      <w:pPr>
        <w:numPr>
          <w:ilvl w:val="0"/>
          <w:numId w:val="2"/>
        </w:numPr>
        <w:tabs>
          <w:tab w:val="left" w:pos="248"/>
        </w:tabs>
        <w:spacing w:before="60" w:after="60" w:line="240" w:lineRule="auto"/>
        <w:contextualSpacing/>
        <w:jc w:val="both"/>
        <w:rPr>
          <w:rFonts w:cs="Times New Roman"/>
          <w:sz w:val="22"/>
          <w:szCs w:val="22"/>
        </w:rPr>
      </w:pPr>
      <w:r w:rsidRPr="00640D24">
        <w:rPr>
          <w:rFonts w:eastAsia="Calibri" w:cs="Times New Roman"/>
          <w:sz w:val="22"/>
          <w:szCs w:val="22"/>
          <w:lang w:bidi="lt-LT"/>
        </w:rPr>
        <w:t>tiesioginių užsienio investicijų (toliau – TUI) pritraukimo mokslinių tyrimų, eksperimentinės plėtros ir inovacijų (toliau – MTEPI) skatinimas</w:t>
      </w:r>
      <w:r w:rsidRPr="00640D24">
        <w:rPr>
          <w:rFonts w:cs="Times New Roman"/>
          <w:sz w:val="22"/>
          <w:szCs w:val="22"/>
        </w:rPr>
        <w:t xml:space="preserve">; </w:t>
      </w:r>
    </w:p>
    <w:p w14:paraId="36514587" w14:textId="5DBF388C" w:rsidR="00D84279" w:rsidRPr="00640D24" w:rsidRDefault="00D84279" w:rsidP="00D84279">
      <w:pPr>
        <w:numPr>
          <w:ilvl w:val="0"/>
          <w:numId w:val="2"/>
        </w:numPr>
        <w:tabs>
          <w:tab w:val="left" w:pos="248"/>
        </w:tabs>
        <w:spacing w:before="60" w:after="60" w:line="240" w:lineRule="auto"/>
        <w:contextualSpacing/>
        <w:jc w:val="both"/>
        <w:rPr>
          <w:rFonts w:cs="Times New Roman"/>
          <w:sz w:val="22"/>
          <w:szCs w:val="22"/>
        </w:rPr>
      </w:pPr>
      <w:r w:rsidRPr="00640D24">
        <w:rPr>
          <w:rFonts w:cs="Times New Roman"/>
          <w:sz w:val="22"/>
          <w:szCs w:val="22"/>
        </w:rPr>
        <w:t>trumpų vertės kūrimo grandinių formavimas ir plėtra tarp MVĮ;</w:t>
      </w:r>
    </w:p>
    <w:p w14:paraId="1842A92C" w14:textId="0CDA4FE4" w:rsidR="008C0E22" w:rsidRPr="00640D24" w:rsidRDefault="008C0E22" w:rsidP="008C0E22">
      <w:pPr>
        <w:numPr>
          <w:ilvl w:val="0"/>
          <w:numId w:val="2"/>
        </w:numPr>
        <w:tabs>
          <w:tab w:val="left" w:pos="248"/>
        </w:tabs>
        <w:spacing w:before="60" w:after="60" w:line="240" w:lineRule="auto"/>
        <w:contextualSpacing/>
        <w:jc w:val="both"/>
        <w:rPr>
          <w:rFonts w:eastAsia="Calibri" w:cs="Times New Roman"/>
          <w:sz w:val="22"/>
          <w:szCs w:val="22"/>
          <w:lang w:bidi="lt-LT"/>
        </w:rPr>
      </w:pPr>
      <w:r w:rsidRPr="00640D24">
        <w:rPr>
          <w:rFonts w:eastAsia="Calibri" w:cs="Times New Roman"/>
          <w:sz w:val="22"/>
          <w:szCs w:val="22"/>
          <w:lang w:bidi="lt-LT"/>
        </w:rPr>
        <w:t xml:space="preserve">pramonės transformacijos skatinimas; </w:t>
      </w:r>
    </w:p>
    <w:p w14:paraId="66E51000" w14:textId="01DE347D" w:rsidR="00D84279" w:rsidRPr="00640D24" w:rsidRDefault="00D84279" w:rsidP="00D84279">
      <w:pPr>
        <w:numPr>
          <w:ilvl w:val="0"/>
          <w:numId w:val="2"/>
        </w:numPr>
        <w:tabs>
          <w:tab w:val="left" w:pos="248"/>
        </w:tabs>
        <w:spacing w:before="60" w:after="60" w:line="240" w:lineRule="auto"/>
        <w:contextualSpacing/>
        <w:jc w:val="both"/>
        <w:rPr>
          <w:rFonts w:cs="Times New Roman"/>
          <w:sz w:val="22"/>
          <w:szCs w:val="22"/>
        </w:rPr>
      </w:pPr>
      <w:r w:rsidRPr="00640D24">
        <w:rPr>
          <w:rFonts w:cs="Times New Roman"/>
          <w:sz w:val="22"/>
          <w:szCs w:val="22"/>
        </w:rPr>
        <w:t xml:space="preserve">pramonės įmonių gamybos procesų automatizavimas ir </w:t>
      </w:r>
      <w:proofErr w:type="spellStart"/>
      <w:r w:rsidRPr="00640D24">
        <w:rPr>
          <w:rFonts w:cs="Times New Roman"/>
          <w:sz w:val="22"/>
          <w:szCs w:val="22"/>
        </w:rPr>
        <w:t>skaitmeninimas</w:t>
      </w:r>
      <w:proofErr w:type="spellEnd"/>
      <w:r w:rsidRPr="00640D24">
        <w:rPr>
          <w:rFonts w:cs="Times New Roman"/>
          <w:sz w:val="22"/>
          <w:szCs w:val="22"/>
        </w:rPr>
        <w:t xml:space="preserve"> (pramonės </w:t>
      </w:r>
      <w:proofErr w:type="spellStart"/>
      <w:r w:rsidRPr="00640D24">
        <w:rPr>
          <w:rFonts w:cs="Times New Roman"/>
          <w:sz w:val="22"/>
          <w:szCs w:val="22"/>
        </w:rPr>
        <w:t>skaitmeninimas</w:t>
      </w:r>
      <w:proofErr w:type="spellEnd"/>
      <w:r w:rsidRPr="00640D24">
        <w:rPr>
          <w:rFonts w:cs="Times New Roman"/>
          <w:sz w:val="22"/>
          <w:szCs w:val="22"/>
        </w:rPr>
        <w:t xml:space="preserve">); </w:t>
      </w:r>
    </w:p>
    <w:p w14:paraId="108762DC" w14:textId="4490506A" w:rsidR="00127F69" w:rsidRPr="00640D24" w:rsidRDefault="00D84279" w:rsidP="00170B5F">
      <w:pPr>
        <w:numPr>
          <w:ilvl w:val="0"/>
          <w:numId w:val="2"/>
        </w:numPr>
        <w:tabs>
          <w:tab w:val="left" w:pos="248"/>
        </w:tabs>
        <w:spacing w:before="60" w:after="60" w:line="240" w:lineRule="auto"/>
        <w:contextualSpacing/>
        <w:jc w:val="both"/>
        <w:rPr>
          <w:rFonts w:cs="Times New Roman"/>
          <w:sz w:val="22"/>
          <w:szCs w:val="22"/>
        </w:rPr>
      </w:pPr>
      <w:r w:rsidRPr="00640D24">
        <w:rPr>
          <w:rFonts w:cs="Times New Roman"/>
          <w:sz w:val="22"/>
          <w:szCs w:val="22"/>
        </w:rPr>
        <w:t xml:space="preserve">aukštą pridėtinę vertę kuriančių pramonės įmonių verslo procesų </w:t>
      </w:r>
      <w:proofErr w:type="spellStart"/>
      <w:r w:rsidRPr="00640D24">
        <w:rPr>
          <w:rFonts w:cs="Times New Roman"/>
          <w:sz w:val="22"/>
          <w:szCs w:val="22"/>
        </w:rPr>
        <w:t>skaitmeninimas</w:t>
      </w:r>
      <w:proofErr w:type="spellEnd"/>
      <w:r w:rsidR="00EB5AEA" w:rsidRPr="00640D24">
        <w:rPr>
          <w:rFonts w:cs="Times New Roman"/>
          <w:sz w:val="22"/>
          <w:szCs w:val="22"/>
        </w:rPr>
        <w:t>;</w:t>
      </w:r>
    </w:p>
    <w:p w14:paraId="361D2DC8" w14:textId="65912096" w:rsidR="00EB5AEA" w:rsidRPr="00640D24" w:rsidRDefault="00FF6FD4" w:rsidP="00280FDF">
      <w:pPr>
        <w:numPr>
          <w:ilvl w:val="0"/>
          <w:numId w:val="2"/>
        </w:numPr>
        <w:tabs>
          <w:tab w:val="left" w:pos="248"/>
        </w:tabs>
        <w:spacing w:before="60" w:after="60" w:line="240" w:lineRule="auto"/>
        <w:contextualSpacing/>
        <w:jc w:val="both"/>
        <w:rPr>
          <w:rFonts w:cs="Times New Roman"/>
          <w:sz w:val="22"/>
          <w:szCs w:val="22"/>
        </w:rPr>
      </w:pPr>
      <w:r w:rsidRPr="00640D24">
        <w:rPr>
          <w:sz w:val="22"/>
          <w:szCs w:val="22"/>
        </w:rPr>
        <w:t xml:space="preserve">Europos žaliojo kurso įgyvendinimas pramonėje, didinant </w:t>
      </w:r>
      <w:proofErr w:type="spellStart"/>
      <w:r w:rsidRPr="00640D24">
        <w:rPr>
          <w:sz w:val="22"/>
          <w:szCs w:val="22"/>
        </w:rPr>
        <w:t>žiediškumą</w:t>
      </w:r>
      <w:proofErr w:type="spellEnd"/>
      <w:r w:rsidRPr="00640D24">
        <w:rPr>
          <w:sz w:val="22"/>
          <w:szCs w:val="22"/>
        </w:rPr>
        <w:t xml:space="preserve">, </w:t>
      </w:r>
      <w:proofErr w:type="spellStart"/>
      <w:r w:rsidRPr="00640D24">
        <w:rPr>
          <w:sz w:val="22"/>
          <w:szCs w:val="22"/>
        </w:rPr>
        <w:t>dekarbonizaciją</w:t>
      </w:r>
      <w:proofErr w:type="spellEnd"/>
      <w:r w:rsidRPr="00640D24">
        <w:rPr>
          <w:sz w:val="22"/>
          <w:szCs w:val="22"/>
        </w:rPr>
        <w:t xml:space="preserve"> ir energijos vartojimo efektyvumą, diegiant aplinkai palankias, </w:t>
      </w:r>
      <w:proofErr w:type="spellStart"/>
      <w:r w:rsidRPr="00640D24">
        <w:rPr>
          <w:sz w:val="22"/>
          <w:szCs w:val="22"/>
        </w:rPr>
        <w:t>mažaatliekes</w:t>
      </w:r>
      <w:proofErr w:type="spellEnd"/>
      <w:r w:rsidRPr="00640D24">
        <w:rPr>
          <w:sz w:val="22"/>
          <w:szCs w:val="22"/>
        </w:rPr>
        <w:t xml:space="preserve"> ir </w:t>
      </w:r>
      <w:proofErr w:type="spellStart"/>
      <w:r w:rsidRPr="00640D24">
        <w:rPr>
          <w:sz w:val="22"/>
          <w:szCs w:val="22"/>
        </w:rPr>
        <w:t>inovatyvias</w:t>
      </w:r>
      <w:proofErr w:type="spellEnd"/>
      <w:r w:rsidRPr="00640D24">
        <w:rPr>
          <w:sz w:val="22"/>
          <w:szCs w:val="22"/>
        </w:rPr>
        <w:t xml:space="preserve"> bei skaitmenines technologijas</w:t>
      </w:r>
      <w:r w:rsidR="001A4648" w:rsidRPr="00640D24">
        <w:rPr>
          <w:sz w:val="22"/>
          <w:szCs w:val="22"/>
        </w:rPr>
        <w:t xml:space="preserve"> (įskaitant biotechnologijas)</w:t>
      </w:r>
      <w:r w:rsidRPr="00640D24">
        <w:rPr>
          <w:sz w:val="22"/>
          <w:szCs w:val="22"/>
        </w:rPr>
        <w:t>, užtikrinant aukštos pridėtinės vertės ir mažo CO2 pėdsako produktų gamybą bei jų eksporto plėtrą, gynybos ir saugumo produktų pramonės tobulinimą</w:t>
      </w:r>
      <w:r w:rsidR="001A4648" w:rsidRPr="00640D24">
        <w:rPr>
          <w:sz w:val="22"/>
          <w:szCs w:val="22"/>
        </w:rPr>
        <w:t xml:space="preserve"> (įskaitant gynybos ir saugumo pramonės sektoriaus technologijų vystymą)</w:t>
      </w:r>
      <w:r w:rsidRPr="00640D24">
        <w:rPr>
          <w:sz w:val="22"/>
          <w:szCs w:val="22"/>
        </w:rPr>
        <w:t>, mokslinių tyrimų, eksperimentinės plėtros ir inovacijų šiose srityse vykdymą (toliau – pažangi gamyba)</w:t>
      </w:r>
      <w:r w:rsidR="001A4648" w:rsidRPr="00640D24">
        <w:rPr>
          <w:sz w:val="22"/>
          <w:szCs w:val="22"/>
        </w:rPr>
        <w:t xml:space="preserve"> (toliau kartu – </w:t>
      </w:r>
      <w:bookmarkStart w:id="10" w:name="_Hlk146115105"/>
      <w:r w:rsidR="001A4648" w:rsidRPr="00640D24">
        <w:rPr>
          <w:sz w:val="22"/>
          <w:szCs w:val="22"/>
        </w:rPr>
        <w:t>žaliųjų</w:t>
      </w:r>
      <w:r w:rsidR="005D2080" w:rsidRPr="00640D24">
        <w:rPr>
          <w:sz w:val="22"/>
          <w:szCs w:val="22"/>
        </w:rPr>
        <w:t xml:space="preserve"> ir </w:t>
      </w:r>
      <w:r w:rsidR="001A4648" w:rsidRPr="00640D24">
        <w:rPr>
          <w:sz w:val="22"/>
          <w:szCs w:val="22"/>
        </w:rPr>
        <w:t>aukštos pridėtinės vertės</w:t>
      </w:r>
      <w:r w:rsidR="005D2080" w:rsidRPr="00640D24">
        <w:rPr>
          <w:sz w:val="22"/>
          <w:szCs w:val="22"/>
        </w:rPr>
        <w:t xml:space="preserve"> pramonės</w:t>
      </w:r>
      <w:r w:rsidR="001A4648" w:rsidRPr="00640D24">
        <w:rPr>
          <w:sz w:val="22"/>
          <w:szCs w:val="22"/>
        </w:rPr>
        <w:t xml:space="preserve"> technologijų vystymas bei gynybos ir saugumo pramonės konkurencingumo didinimas</w:t>
      </w:r>
      <w:bookmarkEnd w:id="10"/>
      <w:r w:rsidR="001A4648" w:rsidRPr="00640D24">
        <w:rPr>
          <w:sz w:val="22"/>
          <w:szCs w:val="22"/>
        </w:rPr>
        <w:t>)</w:t>
      </w:r>
      <w:r w:rsidR="00EB5AEA" w:rsidRPr="00640D24">
        <w:t>.</w:t>
      </w:r>
    </w:p>
    <w:p w14:paraId="34E84420" w14:textId="77777777" w:rsidR="00943747" w:rsidRPr="00640D24" w:rsidRDefault="00943747" w:rsidP="00170B5F">
      <w:pPr>
        <w:pStyle w:val="Antrat2"/>
        <w:numPr>
          <w:ilvl w:val="1"/>
          <w:numId w:val="1"/>
        </w:numPr>
        <w:spacing w:before="60" w:after="60" w:line="240" w:lineRule="auto"/>
        <w:rPr>
          <w:rFonts w:ascii="Times New Roman" w:hAnsi="Times New Roman" w:cs="Times New Roman"/>
          <w:b/>
          <w:bCs/>
          <w:color w:val="auto"/>
          <w:sz w:val="24"/>
          <w:szCs w:val="24"/>
        </w:rPr>
      </w:pPr>
      <w:bookmarkStart w:id="11" w:name="_Toc57225207"/>
      <w:bookmarkStart w:id="12" w:name="_Toc146812378"/>
      <w:r w:rsidRPr="00640D24">
        <w:rPr>
          <w:rFonts w:ascii="Times New Roman" w:hAnsi="Times New Roman" w:cs="Times New Roman"/>
          <w:b/>
          <w:bCs/>
          <w:color w:val="auto"/>
          <w:sz w:val="24"/>
          <w:szCs w:val="24"/>
        </w:rPr>
        <w:t>Vertinimo metodika</w:t>
      </w:r>
      <w:bookmarkEnd w:id="11"/>
      <w:bookmarkEnd w:id="12"/>
      <w:r w:rsidRPr="00640D24">
        <w:rPr>
          <w:rFonts w:ascii="Times New Roman" w:hAnsi="Times New Roman" w:cs="Times New Roman"/>
          <w:b/>
          <w:bCs/>
          <w:color w:val="auto"/>
          <w:sz w:val="24"/>
          <w:szCs w:val="24"/>
        </w:rPr>
        <w:t xml:space="preserve"> </w:t>
      </w:r>
    </w:p>
    <w:p w14:paraId="4D8A4DED" w14:textId="624D16F9" w:rsidR="00F04D94" w:rsidRPr="00640D24" w:rsidRDefault="00F04D94" w:rsidP="00170B5F">
      <w:pPr>
        <w:tabs>
          <w:tab w:val="left" w:pos="426"/>
        </w:tabs>
        <w:spacing w:before="60" w:after="60" w:line="240" w:lineRule="auto"/>
        <w:jc w:val="both"/>
        <w:rPr>
          <w:rFonts w:cs="Times New Roman"/>
          <w:sz w:val="22"/>
          <w:szCs w:val="22"/>
        </w:rPr>
      </w:pPr>
      <w:r w:rsidRPr="00640D24">
        <w:rPr>
          <w:rFonts w:cs="Times New Roman"/>
        </w:rPr>
        <w:tab/>
      </w:r>
      <w:r w:rsidRPr="00640D24">
        <w:rPr>
          <w:rFonts w:cs="Times New Roman"/>
          <w:sz w:val="22"/>
          <w:szCs w:val="22"/>
        </w:rPr>
        <w:t xml:space="preserve">Atliekant </w:t>
      </w:r>
      <w:r w:rsidR="002916DE" w:rsidRPr="00640D24">
        <w:rPr>
          <w:rFonts w:cs="Times New Roman"/>
          <w:sz w:val="22"/>
          <w:szCs w:val="22"/>
        </w:rPr>
        <w:t>V</w:t>
      </w:r>
      <w:r w:rsidRPr="00640D24">
        <w:rPr>
          <w:rFonts w:cs="Times New Roman"/>
          <w:sz w:val="22"/>
          <w:szCs w:val="22"/>
        </w:rPr>
        <w:t>ertinimą, buvo taikoma 2014</w:t>
      </w:r>
      <w:r w:rsidR="00893EAA" w:rsidRPr="00640D24">
        <w:rPr>
          <w:rFonts w:cs="Times New Roman"/>
          <w:sz w:val="22"/>
          <w:szCs w:val="22"/>
        </w:rPr>
        <w:t>–</w:t>
      </w:r>
      <w:r w:rsidRPr="00640D24">
        <w:rPr>
          <w:rFonts w:cs="Times New Roman"/>
          <w:sz w:val="22"/>
          <w:szCs w:val="22"/>
        </w:rPr>
        <w:t>2020 m. ES investicijų programavimo laikotarpio Finansinių priemonių išankstinio vertinimo metodika</w:t>
      </w:r>
      <w:r w:rsidR="000812A8" w:rsidRPr="00640D24">
        <w:rPr>
          <w:rFonts w:cs="Times New Roman"/>
          <w:sz w:val="22"/>
          <w:szCs w:val="22"/>
        </w:rPr>
        <w:t xml:space="preserve">, kuri, </w:t>
      </w:r>
      <w:r w:rsidRPr="00640D24">
        <w:rPr>
          <w:rFonts w:cs="Times New Roman"/>
          <w:sz w:val="22"/>
          <w:szCs w:val="22"/>
        </w:rPr>
        <w:t>atsižvelgiant į 2021</w:t>
      </w:r>
      <w:r w:rsidR="005A46AE" w:rsidRPr="00640D24">
        <w:rPr>
          <w:rFonts w:cs="Times New Roman"/>
          <w:sz w:val="22"/>
          <w:szCs w:val="22"/>
        </w:rPr>
        <w:t>–</w:t>
      </w:r>
      <w:r w:rsidRPr="00640D24">
        <w:rPr>
          <w:rFonts w:cs="Times New Roman"/>
          <w:sz w:val="22"/>
          <w:szCs w:val="22"/>
        </w:rPr>
        <w:t xml:space="preserve">2027 m. ES investicijų programavimo laikotarpio reglamentų projektų nuostatas, </w:t>
      </w:r>
      <w:r w:rsidR="00D81716" w:rsidRPr="00640D24">
        <w:rPr>
          <w:rFonts w:cs="Times New Roman"/>
          <w:sz w:val="22"/>
          <w:szCs w:val="22"/>
        </w:rPr>
        <w:t>apima</w:t>
      </w:r>
      <w:r w:rsidRPr="00640D24">
        <w:rPr>
          <w:rFonts w:cs="Times New Roman"/>
          <w:sz w:val="22"/>
          <w:szCs w:val="22"/>
        </w:rPr>
        <w:t xml:space="preserve"> 4 pagrindini</w:t>
      </w:r>
      <w:r w:rsidR="00D81716" w:rsidRPr="00640D24">
        <w:rPr>
          <w:rFonts w:cs="Times New Roman"/>
          <w:sz w:val="22"/>
          <w:szCs w:val="22"/>
        </w:rPr>
        <w:t>u</w:t>
      </w:r>
      <w:r w:rsidRPr="00640D24">
        <w:rPr>
          <w:rFonts w:cs="Times New Roman"/>
          <w:sz w:val="22"/>
          <w:szCs w:val="22"/>
        </w:rPr>
        <w:t>s element</w:t>
      </w:r>
      <w:r w:rsidR="00D81716" w:rsidRPr="00640D24">
        <w:rPr>
          <w:rFonts w:cs="Times New Roman"/>
          <w:sz w:val="22"/>
          <w:szCs w:val="22"/>
        </w:rPr>
        <w:t>u</w:t>
      </w:r>
      <w:r w:rsidRPr="00640D24">
        <w:rPr>
          <w:rFonts w:cs="Times New Roman"/>
          <w:sz w:val="22"/>
          <w:szCs w:val="22"/>
        </w:rPr>
        <w:t>s (žr. šios ataskaitos Įvado pirmąj</w:t>
      </w:r>
      <w:r w:rsidR="00503185" w:rsidRPr="00640D24">
        <w:rPr>
          <w:rFonts w:cs="Times New Roman"/>
          <w:sz w:val="22"/>
          <w:szCs w:val="22"/>
        </w:rPr>
        <w:t>ą</w:t>
      </w:r>
      <w:r w:rsidRPr="00640D24">
        <w:rPr>
          <w:rFonts w:cs="Times New Roman"/>
          <w:sz w:val="22"/>
          <w:szCs w:val="22"/>
        </w:rPr>
        <w:t xml:space="preserve"> </w:t>
      </w:r>
      <w:r w:rsidRPr="00640D24">
        <w:rPr>
          <w:rFonts w:cs="Times New Roman"/>
          <w:sz w:val="22"/>
          <w:szCs w:val="22"/>
        </w:rPr>
        <w:lastRenderedPageBreak/>
        <w:t xml:space="preserve">pastraipą). </w:t>
      </w:r>
      <w:r w:rsidR="000812A8" w:rsidRPr="00640D24">
        <w:rPr>
          <w:rFonts w:cs="Times New Roman"/>
          <w:sz w:val="22"/>
          <w:szCs w:val="22"/>
        </w:rPr>
        <w:t xml:space="preserve">Vertinimo turinys buvo </w:t>
      </w:r>
      <w:r w:rsidRPr="00640D24">
        <w:rPr>
          <w:rFonts w:cs="Times New Roman"/>
          <w:sz w:val="22"/>
          <w:szCs w:val="22"/>
        </w:rPr>
        <w:t xml:space="preserve">suderintas su Vertinimo užsakovu, </w:t>
      </w:r>
      <w:r w:rsidR="00C664AC" w:rsidRPr="00640D24">
        <w:rPr>
          <w:rFonts w:cs="Times New Roman"/>
          <w:sz w:val="22"/>
          <w:szCs w:val="22"/>
        </w:rPr>
        <w:t>FM</w:t>
      </w:r>
      <w:r w:rsidRPr="00640D24">
        <w:rPr>
          <w:rFonts w:cs="Times New Roman"/>
          <w:sz w:val="22"/>
          <w:szCs w:val="22"/>
        </w:rPr>
        <w:t>. Vertinimo apimtį apibrėžia</w:t>
      </w:r>
      <w:r w:rsidR="00C664AC" w:rsidRPr="00640D24">
        <w:rPr>
          <w:rFonts w:cs="Times New Roman"/>
          <w:sz w:val="22"/>
          <w:szCs w:val="22"/>
        </w:rPr>
        <w:t xml:space="preserve"> </w:t>
      </w:r>
      <w:r w:rsidRPr="00640D24">
        <w:rPr>
          <w:rFonts w:cs="Times New Roman"/>
          <w:sz w:val="22"/>
          <w:szCs w:val="22"/>
        </w:rPr>
        <w:t>1.1 poskyryje įvardintos planuojamos finansuoti veiklos.</w:t>
      </w:r>
    </w:p>
    <w:p w14:paraId="4DDC4FD1" w14:textId="112300EB" w:rsidR="00F04D94" w:rsidRPr="00640D24" w:rsidRDefault="00F04D94" w:rsidP="00170B5F">
      <w:pPr>
        <w:tabs>
          <w:tab w:val="left" w:pos="426"/>
        </w:tabs>
        <w:spacing w:before="60" w:after="60" w:line="240" w:lineRule="auto"/>
        <w:jc w:val="both"/>
        <w:rPr>
          <w:rFonts w:cs="Times New Roman"/>
          <w:sz w:val="22"/>
          <w:szCs w:val="22"/>
        </w:rPr>
      </w:pPr>
      <w:r w:rsidRPr="00640D24">
        <w:rPr>
          <w:rFonts w:cs="Times New Roman"/>
          <w:sz w:val="22"/>
          <w:szCs w:val="22"/>
        </w:rPr>
        <w:tab/>
        <w:t>Taikomi vertinimo metodai apėmė turimos informacijos analizę, finansų tarpininkų</w:t>
      </w:r>
      <w:r w:rsidR="0059424C" w:rsidRPr="00640D24">
        <w:rPr>
          <w:rFonts w:cs="Times New Roman"/>
          <w:sz w:val="22"/>
          <w:szCs w:val="22"/>
        </w:rPr>
        <w:t xml:space="preserve"> (toliau – FT)</w:t>
      </w:r>
      <w:r w:rsidRPr="00640D24">
        <w:rPr>
          <w:rFonts w:cs="Times New Roman"/>
          <w:sz w:val="22"/>
          <w:szCs w:val="22"/>
        </w:rPr>
        <w:t xml:space="preserve"> ir galutinių gavėjų</w:t>
      </w:r>
      <w:r w:rsidR="00E50BA4" w:rsidRPr="00640D24">
        <w:rPr>
          <w:rFonts w:cs="Times New Roman"/>
          <w:sz w:val="22"/>
          <w:szCs w:val="22"/>
        </w:rPr>
        <w:t xml:space="preserve"> (toliau – GG)</w:t>
      </w:r>
      <w:r w:rsidRPr="00640D24">
        <w:rPr>
          <w:rFonts w:cs="Times New Roman"/>
          <w:sz w:val="22"/>
          <w:szCs w:val="22"/>
        </w:rPr>
        <w:t xml:space="preserve"> apklaus</w:t>
      </w:r>
      <w:r w:rsidR="00D847C6" w:rsidRPr="00640D24">
        <w:rPr>
          <w:rFonts w:cs="Times New Roman"/>
          <w:sz w:val="22"/>
          <w:szCs w:val="22"/>
        </w:rPr>
        <w:t xml:space="preserve">ą (2019 m. pabaigoje </w:t>
      </w:r>
      <w:proofErr w:type="spellStart"/>
      <w:r w:rsidR="00D847C6" w:rsidRPr="00640D24">
        <w:rPr>
          <w:rFonts w:cs="Times New Roman"/>
          <w:sz w:val="22"/>
          <w:szCs w:val="22"/>
        </w:rPr>
        <w:t>PwC</w:t>
      </w:r>
      <w:proofErr w:type="spellEnd"/>
      <w:r w:rsidR="00D847C6" w:rsidRPr="00640D24">
        <w:rPr>
          <w:rFonts w:cs="Times New Roman"/>
          <w:sz w:val="22"/>
          <w:szCs w:val="22"/>
        </w:rPr>
        <w:t xml:space="preserve"> atlikta smuk</w:t>
      </w:r>
      <w:r w:rsidR="002E1410" w:rsidRPr="00640D24">
        <w:rPr>
          <w:rFonts w:cs="Times New Roman"/>
          <w:sz w:val="22"/>
          <w:szCs w:val="22"/>
        </w:rPr>
        <w:t>iojo</w:t>
      </w:r>
      <w:r w:rsidR="00D847C6" w:rsidRPr="00640D24">
        <w:rPr>
          <w:rFonts w:cs="Times New Roman"/>
          <w:sz w:val="22"/>
          <w:szCs w:val="22"/>
        </w:rPr>
        <w:t xml:space="preserve"> ir vidutinio verslo (</w:t>
      </w:r>
      <w:r w:rsidR="000812A8" w:rsidRPr="00640D24">
        <w:rPr>
          <w:rFonts w:cs="Times New Roman"/>
          <w:sz w:val="22"/>
          <w:szCs w:val="22"/>
        </w:rPr>
        <w:t xml:space="preserve">toliau – </w:t>
      </w:r>
      <w:r w:rsidR="00D847C6" w:rsidRPr="00640D24">
        <w:rPr>
          <w:rFonts w:cs="Times New Roman"/>
          <w:sz w:val="22"/>
          <w:szCs w:val="22"/>
        </w:rPr>
        <w:t>SVV) įmonių apklausa</w:t>
      </w:r>
      <w:r w:rsidR="0065113F" w:rsidRPr="00640D24">
        <w:rPr>
          <w:rFonts w:cs="Times New Roman"/>
          <w:sz w:val="22"/>
          <w:szCs w:val="22"/>
        </w:rPr>
        <w:t xml:space="preserve"> ir 2023 m. birželio–liepos mėnesiais atlikta reprezentatyvi MVĮ ir DĮ apklausa (apklausos metodologija ir pagrindinės prielaidos pristatomos 5–6 prieduose</w:t>
      </w:r>
      <w:r w:rsidR="00D847C6" w:rsidRPr="00640D24">
        <w:rPr>
          <w:rFonts w:cs="Times New Roman"/>
          <w:sz w:val="22"/>
          <w:szCs w:val="22"/>
        </w:rPr>
        <w:t>)</w:t>
      </w:r>
      <w:r w:rsidRPr="00640D24">
        <w:rPr>
          <w:rFonts w:cs="Times New Roman"/>
          <w:sz w:val="22"/>
          <w:szCs w:val="22"/>
        </w:rPr>
        <w:t>,</w:t>
      </w:r>
      <w:r w:rsidR="00843319" w:rsidRPr="00640D24">
        <w:rPr>
          <w:rFonts w:cs="Times New Roman"/>
          <w:sz w:val="22"/>
          <w:szCs w:val="22"/>
        </w:rPr>
        <w:t xml:space="preserve"> fokusuotas grupės diskusijas,</w:t>
      </w:r>
      <w:r w:rsidRPr="00640D24">
        <w:rPr>
          <w:rFonts w:cs="Times New Roman"/>
          <w:sz w:val="22"/>
          <w:szCs w:val="22"/>
        </w:rPr>
        <w:t xml:space="preserve"> interviu programą, apėmusią </w:t>
      </w:r>
      <w:r w:rsidR="00503185" w:rsidRPr="00640D24">
        <w:rPr>
          <w:rFonts w:cs="Times New Roman"/>
          <w:sz w:val="22"/>
          <w:szCs w:val="22"/>
        </w:rPr>
        <w:t>FT</w:t>
      </w:r>
      <w:r w:rsidR="004B0AB9" w:rsidRPr="00640D24">
        <w:rPr>
          <w:rFonts w:cs="Times New Roman"/>
          <w:sz w:val="22"/>
          <w:szCs w:val="22"/>
        </w:rPr>
        <w:t xml:space="preserve"> bei</w:t>
      </w:r>
      <w:r w:rsidRPr="00640D24">
        <w:rPr>
          <w:rFonts w:cs="Times New Roman"/>
          <w:sz w:val="22"/>
          <w:szCs w:val="22"/>
        </w:rPr>
        <w:t xml:space="preserve"> ES investicijas administruojančias tarpines institucijas. Atliekant turimos informacijos analizę buvo nagrinėjami anksčiau atlikti 2014</w:t>
      </w:r>
      <w:r w:rsidR="00893EAA" w:rsidRPr="00640D24">
        <w:rPr>
          <w:rFonts w:cs="Times New Roman"/>
          <w:sz w:val="22"/>
          <w:szCs w:val="22"/>
        </w:rPr>
        <w:t>–</w:t>
      </w:r>
      <w:r w:rsidRPr="00640D24">
        <w:rPr>
          <w:rFonts w:cs="Times New Roman"/>
          <w:sz w:val="22"/>
          <w:szCs w:val="22"/>
        </w:rPr>
        <w:t>2020 m. ES investicijų programavimo laikotarpio vertinimai, anksčiau atlikti finansinių priemonių</w:t>
      </w:r>
      <w:r w:rsidR="00C664AC" w:rsidRPr="00640D24">
        <w:rPr>
          <w:rFonts w:cs="Times New Roman"/>
          <w:i/>
          <w:sz w:val="22"/>
          <w:szCs w:val="22"/>
        </w:rPr>
        <w:t xml:space="preserve"> </w:t>
      </w:r>
      <w:proofErr w:type="spellStart"/>
      <w:r w:rsidR="00C664AC" w:rsidRPr="00640D24">
        <w:rPr>
          <w:rFonts w:cs="Times New Roman"/>
          <w:i/>
          <w:sz w:val="22"/>
          <w:szCs w:val="22"/>
        </w:rPr>
        <w:t>ex</w:t>
      </w:r>
      <w:proofErr w:type="spellEnd"/>
      <w:r w:rsidR="007C4E9B" w:rsidRPr="00640D24">
        <w:rPr>
          <w:rFonts w:cs="Times New Roman"/>
          <w:i/>
          <w:sz w:val="22"/>
          <w:szCs w:val="22"/>
        </w:rPr>
        <w:t xml:space="preserve"> </w:t>
      </w:r>
      <w:proofErr w:type="spellStart"/>
      <w:r w:rsidR="00C664AC" w:rsidRPr="00640D24">
        <w:rPr>
          <w:rFonts w:cs="Times New Roman"/>
          <w:i/>
          <w:sz w:val="22"/>
          <w:szCs w:val="22"/>
        </w:rPr>
        <w:t>ante</w:t>
      </w:r>
      <w:proofErr w:type="spellEnd"/>
      <w:r w:rsidRPr="00640D24">
        <w:rPr>
          <w:rFonts w:cs="Times New Roman"/>
          <w:sz w:val="22"/>
          <w:szCs w:val="22"/>
        </w:rPr>
        <w:t xml:space="preserve"> vertinimai, teisinis reglamentavimas ir kiti viešai prieinami informacijos šaltiniai. Detali informacija apie taikytus metodus ir pasiektus rezultatus yra pristatoma lentelėje Nr. 1. </w:t>
      </w:r>
    </w:p>
    <w:p w14:paraId="17EEF326" w14:textId="570E2396" w:rsidR="00F04D94" w:rsidRPr="00640D24" w:rsidRDefault="00F04D94" w:rsidP="00170B5F">
      <w:pPr>
        <w:pStyle w:val="Antrat"/>
        <w:spacing w:before="60" w:after="60" w:line="240" w:lineRule="auto"/>
        <w:ind w:firstLine="0"/>
        <w:rPr>
          <w:rFonts w:cs="Times New Roman"/>
          <w:b w:val="0"/>
          <w:bCs w:val="0"/>
          <w:color w:val="auto"/>
          <w:sz w:val="18"/>
          <w:szCs w:val="14"/>
        </w:rPr>
      </w:pPr>
      <w:r w:rsidRPr="00640D24">
        <w:rPr>
          <w:rFonts w:cs="Times New Roman"/>
          <w:b w:val="0"/>
          <w:bCs w:val="0"/>
          <w:i/>
          <w:iCs/>
          <w:color w:val="auto"/>
          <w:sz w:val="22"/>
          <w:szCs w:val="16"/>
        </w:rPr>
        <w:t xml:space="preserve">Lentelė Nr. </w:t>
      </w:r>
      <w:r w:rsidRPr="00640D24">
        <w:rPr>
          <w:rFonts w:cs="Times New Roman"/>
          <w:b w:val="0"/>
          <w:bCs w:val="0"/>
          <w:i/>
          <w:iCs/>
          <w:color w:val="auto"/>
          <w:sz w:val="22"/>
          <w:szCs w:val="16"/>
        </w:rPr>
        <w:fldChar w:fldCharType="begin"/>
      </w:r>
      <w:r w:rsidRPr="00640D24">
        <w:rPr>
          <w:rFonts w:cs="Times New Roman"/>
          <w:b w:val="0"/>
          <w:bCs w:val="0"/>
          <w:i/>
          <w:iCs/>
          <w:color w:val="auto"/>
          <w:sz w:val="22"/>
          <w:szCs w:val="16"/>
        </w:rPr>
        <w:instrText xml:space="preserve"> SEQ lentelė \* ARABIC </w:instrText>
      </w:r>
      <w:r w:rsidRPr="00640D24">
        <w:rPr>
          <w:rFonts w:cs="Times New Roman"/>
          <w:b w:val="0"/>
          <w:bCs w:val="0"/>
          <w:i/>
          <w:iCs/>
          <w:color w:val="auto"/>
          <w:sz w:val="22"/>
          <w:szCs w:val="16"/>
        </w:rPr>
        <w:fldChar w:fldCharType="separate"/>
      </w:r>
      <w:r w:rsidR="00515198" w:rsidRPr="00640D24">
        <w:rPr>
          <w:rFonts w:cs="Times New Roman"/>
          <w:b w:val="0"/>
          <w:bCs w:val="0"/>
          <w:i/>
          <w:iCs/>
          <w:noProof/>
          <w:color w:val="auto"/>
          <w:sz w:val="22"/>
          <w:szCs w:val="16"/>
        </w:rPr>
        <w:t>1</w:t>
      </w:r>
      <w:r w:rsidRPr="00640D24">
        <w:rPr>
          <w:rFonts w:cs="Times New Roman"/>
          <w:b w:val="0"/>
          <w:bCs w:val="0"/>
          <w:i/>
          <w:iCs/>
          <w:color w:val="auto"/>
          <w:sz w:val="22"/>
          <w:szCs w:val="16"/>
        </w:rPr>
        <w:fldChar w:fldCharType="end"/>
      </w:r>
      <w:r w:rsidRPr="00640D24">
        <w:rPr>
          <w:rFonts w:cs="Times New Roman"/>
          <w:b w:val="0"/>
          <w:bCs w:val="0"/>
          <w:i/>
          <w:iCs/>
          <w:color w:val="auto"/>
          <w:sz w:val="22"/>
          <w:szCs w:val="16"/>
        </w:rPr>
        <w:t>. Vertinimo metu taikyti metodai</w:t>
      </w:r>
    </w:p>
    <w:tbl>
      <w:tblPr>
        <w:tblStyle w:val="Lentelstinklelis"/>
        <w:tblW w:w="9639" w:type="dxa"/>
        <w:tblInd w:w="108" w:type="dxa"/>
        <w:tblLook w:val="04A0" w:firstRow="1" w:lastRow="0" w:firstColumn="1" w:lastColumn="0" w:noHBand="0" w:noVBand="1"/>
      </w:tblPr>
      <w:tblGrid>
        <w:gridCol w:w="2410"/>
        <w:gridCol w:w="2693"/>
        <w:gridCol w:w="4536"/>
      </w:tblGrid>
      <w:tr w:rsidR="00F04D94" w:rsidRPr="00640D24" w14:paraId="6B5DDD14" w14:textId="77777777" w:rsidTr="007C1D52">
        <w:trPr>
          <w:tblHeader/>
        </w:trPr>
        <w:tc>
          <w:tcPr>
            <w:tcW w:w="2410" w:type="dxa"/>
          </w:tcPr>
          <w:p w14:paraId="44F2B3B3" w14:textId="77777777" w:rsidR="00F04D94" w:rsidRPr="00640D24" w:rsidRDefault="00F04D94" w:rsidP="00170B5F">
            <w:pPr>
              <w:spacing w:after="0" w:line="240" w:lineRule="auto"/>
              <w:jc w:val="center"/>
              <w:rPr>
                <w:rFonts w:cs="Times New Roman"/>
                <w:b/>
                <w:bCs/>
                <w:sz w:val="21"/>
                <w:szCs w:val="21"/>
                <w:lang w:val="lt-LT"/>
              </w:rPr>
            </w:pPr>
            <w:r w:rsidRPr="00640D24">
              <w:rPr>
                <w:rFonts w:cs="Times New Roman"/>
                <w:b/>
                <w:bCs/>
                <w:sz w:val="21"/>
                <w:szCs w:val="21"/>
                <w:lang w:val="lt-LT"/>
              </w:rPr>
              <w:t>Tema</w:t>
            </w:r>
          </w:p>
        </w:tc>
        <w:tc>
          <w:tcPr>
            <w:tcW w:w="2693" w:type="dxa"/>
          </w:tcPr>
          <w:p w14:paraId="2DE4AB07" w14:textId="77777777" w:rsidR="00F04D94" w:rsidRPr="00640D24" w:rsidRDefault="00F04D94" w:rsidP="00170B5F">
            <w:pPr>
              <w:spacing w:after="0" w:line="240" w:lineRule="auto"/>
              <w:jc w:val="center"/>
              <w:rPr>
                <w:rFonts w:cs="Times New Roman"/>
                <w:b/>
                <w:bCs/>
                <w:sz w:val="21"/>
                <w:szCs w:val="21"/>
                <w:lang w:val="lt-LT"/>
              </w:rPr>
            </w:pPr>
            <w:r w:rsidRPr="00640D24">
              <w:rPr>
                <w:rFonts w:cs="Times New Roman"/>
                <w:b/>
                <w:bCs/>
                <w:sz w:val="21"/>
                <w:szCs w:val="21"/>
                <w:lang w:val="lt-LT"/>
              </w:rPr>
              <w:t>Taikytas metodas</w:t>
            </w:r>
          </w:p>
        </w:tc>
        <w:tc>
          <w:tcPr>
            <w:tcW w:w="4536" w:type="dxa"/>
          </w:tcPr>
          <w:p w14:paraId="3881EC95" w14:textId="77777777" w:rsidR="00F04D94" w:rsidRPr="00640D24" w:rsidRDefault="00F04D94" w:rsidP="00170B5F">
            <w:pPr>
              <w:spacing w:after="0" w:line="240" w:lineRule="auto"/>
              <w:jc w:val="center"/>
              <w:rPr>
                <w:rFonts w:cs="Times New Roman"/>
                <w:b/>
                <w:bCs/>
                <w:sz w:val="21"/>
                <w:szCs w:val="21"/>
                <w:lang w:val="lt-LT"/>
              </w:rPr>
            </w:pPr>
            <w:r w:rsidRPr="00640D24">
              <w:rPr>
                <w:rFonts w:cs="Times New Roman"/>
                <w:b/>
                <w:bCs/>
                <w:sz w:val="21"/>
                <w:szCs w:val="21"/>
                <w:lang w:val="lt-LT"/>
              </w:rPr>
              <w:t>Komentaras</w:t>
            </w:r>
          </w:p>
        </w:tc>
      </w:tr>
      <w:tr w:rsidR="00F04D94" w:rsidRPr="00640D24" w14:paraId="749F3A7A" w14:textId="77777777" w:rsidTr="00F9309C">
        <w:trPr>
          <w:trHeight w:val="373"/>
        </w:trPr>
        <w:tc>
          <w:tcPr>
            <w:tcW w:w="2410" w:type="dxa"/>
            <w:vMerge w:val="restart"/>
          </w:tcPr>
          <w:p w14:paraId="0AF73703" w14:textId="77777777" w:rsidR="00F04D94" w:rsidRPr="00640D24" w:rsidRDefault="00F04D94" w:rsidP="00170B5F">
            <w:pPr>
              <w:spacing w:after="0" w:line="240" w:lineRule="auto"/>
              <w:rPr>
                <w:rFonts w:cs="Times New Roman"/>
                <w:b/>
                <w:bCs/>
                <w:sz w:val="21"/>
                <w:szCs w:val="21"/>
                <w:lang w:val="lt-LT"/>
              </w:rPr>
            </w:pPr>
            <w:r w:rsidRPr="00640D24">
              <w:rPr>
                <w:rFonts w:cs="Times New Roman"/>
                <w:b/>
                <w:bCs/>
                <w:sz w:val="21"/>
                <w:szCs w:val="21"/>
                <w:lang w:val="lt-LT"/>
              </w:rPr>
              <w:t>Strateginių krypčių analizė</w:t>
            </w:r>
          </w:p>
        </w:tc>
        <w:tc>
          <w:tcPr>
            <w:tcW w:w="2693" w:type="dxa"/>
          </w:tcPr>
          <w:p w14:paraId="4906338C" w14:textId="77777777" w:rsidR="00F04D94" w:rsidRPr="00640D24" w:rsidRDefault="00F04D94" w:rsidP="00170B5F">
            <w:pPr>
              <w:spacing w:after="0" w:line="240" w:lineRule="auto"/>
              <w:rPr>
                <w:rFonts w:cs="Times New Roman"/>
                <w:sz w:val="21"/>
                <w:szCs w:val="21"/>
                <w:lang w:val="lt-LT"/>
              </w:rPr>
            </w:pPr>
            <w:r w:rsidRPr="00640D24">
              <w:rPr>
                <w:rFonts w:cs="Times New Roman"/>
                <w:sz w:val="21"/>
                <w:szCs w:val="21"/>
                <w:lang w:val="lt-LT"/>
              </w:rPr>
              <w:t xml:space="preserve">Pirminių šaltinių analizė </w:t>
            </w:r>
          </w:p>
        </w:tc>
        <w:tc>
          <w:tcPr>
            <w:tcW w:w="4536" w:type="dxa"/>
          </w:tcPr>
          <w:p w14:paraId="0DF46A50" w14:textId="4EBAB1E1" w:rsidR="00F04D94" w:rsidRPr="00640D24" w:rsidRDefault="00F04D94" w:rsidP="001C0257">
            <w:pPr>
              <w:spacing w:after="0" w:line="240" w:lineRule="auto"/>
              <w:jc w:val="both"/>
              <w:rPr>
                <w:rFonts w:cs="Times New Roman"/>
                <w:sz w:val="21"/>
                <w:szCs w:val="21"/>
                <w:lang w:val="lt-LT"/>
              </w:rPr>
            </w:pPr>
            <w:r w:rsidRPr="00640D24">
              <w:rPr>
                <w:rFonts w:cs="Times New Roman"/>
                <w:sz w:val="21"/>
                <w:szCs w:val="21"/>
                <w:lang w:val="lt-LT"/>
              </w:rPr>
              <w:t>Strateginiai dokumentai, teis</w:t>
            </w:r>
            <w:r w:rsidR="00964441" w:rsidRPr="00640D24">
              <w:rPr>
                <w:rFonts w:cs="Times New Roman"/>
                <w:sz w:val="21"/>
                <w:szCs w:val="21"/>
                <w:lang w:val="lt-LT"/>
              </w:rPr>
              <w:t>ės aktai</w:t>
            </w:r>
            <w:r w:rsidR="00F23C28" w:rsidRPr="00640D24">
              <w:rPr>
                <w:rFonts w:cs="Times New Roman"/>
                <w:sz w:val="21"/>
                <w:szCs w:val="21"/>
                <w:lang w:val="lt-LT"/>
              </w:rPr>
              <w:t>.</w:t>
            </w:r>
          </w:p>
        </w:tc>
      </w:tr>
      <w:tr w:rsidR="00F04D94" w:rsidRPr="00640D24" w14:paraId="75485BBE" w14:textId="77777777" w:rsidTr="00F9309C">
        <w:trPr>
          <w:trHeight w:val="703"/>
        </w:trPr>
        <w:tc>
          <w:tcPr>
            <w:tcW w:w="2410" w:type="dxa"/>
            <w:vMerge/>
          </w:tcPr>
          <w:p w14:paraId="1B935C19" w14:textId="77777777" w:rsidR="00F04D94" w:rsidRPr="00640D24" w:rsidRDefault="00F04D94" w:rsidP="00170B5F">
            <w:pPr>
              <w:spacing w:after="0" w:line="240" w:lineRule="auto"/>
              <w:rPr>
                <w:rFonts w:cs="Times New Roman"/>
                <w:b/>
                <w:bCs/>
                <w:sz w:val="21"/>
                <w:szCs w:val="21"/>
                <w:lang w:val="lt-LT"/>
              </w:rPr>
            </w:pPr>
          </w:p>
        </w:tc>
        <w:tc>
          <w:tcPr>
            <w:tcW w:w="2693" w:type="dxa"/>
          </w:tcPr>
          <w:p w14:paraId="7F40F5A2" w14:textId="77777777" w:rsidR="00F04D94" w:rsidRPr="00640D24" w:rsidRDefault="00F04D94" w:rsidP="00170B5F">
            <w:pPr>
              <w:spacing w:after="0" w:line="240" w:lineRule="auto"/>
              <w:rPr>
                <w:rFonts w:cs="Times New Roman"/>
                <w:sz w:val="21"/>
                <w:szCs w:val="21"/>
                <w:lang w:val="lt-LT"/>
              </w:rPr>
            </w:pPr>
            <w:r w:rsidRPr="00640D24">
              <w:rPr>
                <w:rFonts w:cs="Times New Roman"/>
                <w:sz w:val="21"/>
                <w:szCs w:val="21"/>
                <w:lang w:val="lt-LT"/>
              </w:rPr>
              <w:t>Antrinių šaltinių analizė</w:t>
            </w:r>
          </w:p>
        </w:tc>
        <w:tc>
          <w:tcPr>
            <w:tcW w:w="4536" w:type="dxa"/>
          </w:tcPr>
          <w:p w14:paraId="59A7E637" w14:textId="5324FDC7" w:rsidR="00964441" w:rsidRPr="00640D24" w:rsidRDefault="00964441" w:rsidP="001C0257">
            <w:pPr>
              <w:pStyle w:val="Sraopastraipa"/>
              <w:numPr>
                <w:ilvl w:val="0"/>
                <w:numId w:val="9"/>
              </w:numPr>
              <w:spacing w:after="0" w:line="240" w:lineRule="auto"/>
              <w:ind w:left="177" w:hanging="177"/>
              <w:jc w:val="both"/>
              <w:rPr>
                <w:rFonts w:cs="Times New Roman"/>
                <w:sz w:val="21"/>
                <w:szCs w:val="21"/>
                <w:lang w:val="lt-LT"/>
              </w:rPr>
            </w:pPr>
            <w:r w:rsidRPr="00640D24">
              <w:rPr>
                <w:rFonts w:cs="Times New Roman"/>
                <w:sz w:val="21"/>
                <w:szCs w:val="21"/>
                <w:lang w:val="lt-LT"/>
              </w:rPr>
              <w:t xml:space="preserve">Anksčiau atlikti ES investicijų ir kitų finansavimo šaltinių </w:t>
            </w:r>
            <w:proofErr w:type="spellStart"/>
            <w:r w:rsidRPr="00640D24">
              <w:rPr>
                <w:rFonts w:cs="Times New Roman"/>
                <w:i/>
                <w:iCs/>
                <w:sz w:val="21"/>
                <w:szCs w:val="21"/>
                <w:lang w:val="lt-LT"/>
              </w:rPr>
              <w:t>ex</w:t>
            </w:r>
            <w:proofErr w:type="spellEnd"/>
            <w:r w:rsidRPr="00640D24">
              <w:rPr>
                <w:rFonts w:cs="Times New Roman"/>
                <w:i/>
                <w:iCs/>
                <w:sz w:val="21"/>
                <w:szCs w:val="21"/>
                <w:lang w:val="lt-LT"/>
              </w:rPr>
              <w:t xml:space="preserve"> </w:t>
            </w:r>
            <w:proofErr w:type="spellStart"/>
            <w:r w:rsidRPr="00640D24">
              <w:rPr>
                <w:rFonts w:cs="Times New Roman"/>
                <w:i/>
                <w:iCs/>
                <w:sz w:val="21"/>
                <w:szCs w:val="21"/>
                <w:lang w:val="lt-LT"/>
              </w:rPr>
              <w:t>ante</w:t>
            </w:r>
            <w:proofErr w:type="spellEnd"/>
            <w:r w:rsidRPr="00640D24">
              <w:rPr>
                <w:rFonts w:cs="Times New Roman"/>
                <w:sz w:val="21"/>
                <w:szCs w:val="21"/>
                <w:lang w:val="lt-LT"/>
              </w:rPr>
              <w:t xml:space="preserve">, panaudojimo ir </w:t>
            </w:r>
            <w:proofErr w:type="spellStart"/>
            <w:r w:rsidRPr="00640D24">
              <w:rPr>
                <w:rFonts w:cs="Times New Roman"/>
                <w:i/>
                <w:iCs/>
                <w:sz w:val="21"/>
                <w:szCs w:val="21"/>
                <w:lang w:val="lt-LT"/>
              </w:rPr>
              <w:t>ex</w:t>
            </w:r>
            <w:proofErr w:type="spellEnd"/>
            <w:r w:rsidRPr="00640D24">
              <w:rPr>
                <w:rFonts w:cs="Times New Roman"/>
                <w:i/>
                <w:iCs/>
                <w:sz w:val="21"/>
                <w:szCs w:val="21"/>
                <w:lang w:val="lt-LT"/>
              </w:rPr>
              <w:t xml:space="preserve"> </w:t>
            </w:r>
            <w:proofErr w:type="spellStart"/>
            <w:r w:rsidRPr="00640D24">
              <w:rPr>
                <w:rFonts w:cs="Times New Roman"/>
                <w:i/>
                <w:iCs/>
                <w:sz w:val="21"/>
                <w:szCs w:val="21"/>
                <w:lang w:val="lt-LT"/>
              </w:rPr>
              <w:t>post</w:t>
            </w:r>
            <w:proofErr w:type="spellEnd"/>
            <w:r w:rsidRPr="00640D24">
              <w:rPr>
                <w:rFonts w:cs="Times New Roman"/>
                <w:sz w:val="21"/>
                <w:szCs w:val="21"/>
                <w:lang w:val="lt-LT"/>
              </w:rPr>
              <w:t xml:space="preserve"> poveikio vertinimai;</w:t>
            </w:r>
          </w:p>
          <w:p w14:paraId="1C048AAA" w14:textId="58A2BF64" w:rsidR="00F04D94" w:rsidRPr="00640D24" w:rsidRDefault="001E03E9" w:rsidP="001C0257">
            <w:pPr>
              <w:pStyle w:val="Sraopastraipa"/>
              <w:numPr>
                <w:ilvl w:val="0"/>
                <w:numId w:val="9"/>
              </w:numPr>
              <w:spacing w:after="0" w:line="240" w:lineRule="auto"/>
              <w:ind w:left="177" w:hanging="177"/>
              <w:jc w:val="both"/>
              <w:rPr>
                <w:rFonts w:cs="Times New Roman"/>
                <w:sz w:val="21"/>
                <w:szCs w:val="21"/>
                <w:lang w:val="lt-LT"/>
              </w:rPr>
            </w:pPr>
            <w:r w:rsidRPr="00640D24">
              <w:rPr>
                <w:rFonts w:cs="Times New Roman"/>
                <w:sz w:val="21"/>
                <w:szCs w:val="21"/>
                <w:lang w:val="lt-LT"/>
              </w:rPr>
              <w:t>Atliktos verslo srities studijos</w:t>
            </w:r>
            <w:r w:rsidR="00BD6A92" w:rsidRPr="00640D24">
              <w:rPr>
                <w:rStyle w:val="Puslapioinaosnuoroda"/>
                <w:rFonts w:cs="Times New Roman"/>
                <w:sz w:val="21"/>
                <w:szCs w:val="21"/>
                <w:lang w:val="lt-LT"/>
              </w:rPr>
              <w:footnoteReference w:id="4"/>
            </w:r>
            <w:r w:rsidR="00964441" w:rsidRPr="00640D24">
              <w:rPr>
                <w:rFonts w:cs="Times New Roman"/>
                <w:sz w:val="21"/>
                <w:szCs w:val="21"/>
                <w:lang w:val="lt-LT"/>
              </w:rPr>
              <w:t>.</w:t>
            </w:r>
          </w:p>
        </w:tc>
      </w:tr>
      <w:tr w:rsidR="00F04D94" w:rsidRPr="00640D24" w14:paraId="5EF3EB10" w14:textId="77777777" w:rsidTr="00F9309C">
        <w:trPr>
          <w:trHeight w:val="544"/>
        </w:trPr>
        <w:tc>
          <w:tcPr>
            <w:tcW w:w="2410" w:type="dxa"/>
            <w:vMerge/>
          </w:tcPr>
          <w:p w14:paraId="73F48CDE" w14:textId="77777777" w:rsidR="00F04D94" w:rsidRPr="00640D24" w:rsidRDefault="00F04D94" w:rsidP="00170B5F">
            <w:pPr>
              <w:spacing w:after="0" w:line="240" w:lineRule="auto"/>
              <w:rPr>
                <w:rFonts w:cs="Times New Roman"/>
                <w:b/>
                <w:bCs/>
                <w:sz w:val="21"/>
                <w:szCs w:val="21"/>
                <w:lang w:val="lt-LT"/>
              </w:rPr>
            </w:pPr>
          </w:p>
        </w:tc>
        <w:tc>
          <w:tcPr>
            <w:tcW w:w="2693" w:type="dxa"/>
          </w:tcPr>
          <w:p w14:paraId="07CD22CD" w14:textId="77777777" w:rsidR="00F04D94" w:rsidRPr="00640D24" w:rsidRDefault="00F04D94" w:rsidP="00170B5F">
            <w:pPr>
              <w:spacing w:after="0" w:line="240" w:lineRule="auto"/>
              <w:rPr>
                <w:rFonts w:cs="Times New Roman"/>
                <w:sz w:val="21"/>
                <w:szCs w:val="21"/>
                <w:lang w:val="lt-LT"/>
              </w:rPr>
            </w:pPr>
            <w:r w:rsidRPr="00640D24">
              <w:rPr>
                <w:rFonts w:cs="Times New Roman"/>
                <w:sz w:val="21"/>
                <w:szCs w:val="21"/>
                <w:lang w:val="lt-LT"/>
              </w:rPr>
              <w:t>Statistinių duomenų analizė</w:t>
            </w:r>
          </w:p>
        </w:tc>
        <w:tc>
          <w:tcPr>
            <w:tcW w:w="4536" w:type="dxa"/>
          </w:tcPr>
          <w:p w14:paraId="63BCD994" w14:textId="1225C9C8" w:rsidR="00F04D94" w:rsidRPr="00640D24" w:rsidRDefault="00F04D94" w:rsidP="001C0257">
            <w:pPr>
              <w:spacing w:after="0" w:line="240" w:lineRule="auto"/>
              <w:jc w:val="both"/>
              <w:rPr>
                <w:rFonts w:cs="Times New Roman"/>
                <w:sz w:val="21"/>
                <w:szCs w:val="21"/>
                <w:lang w:val="lt-LT"/>
              </w:rPr>
            </w:pPr>
            <w:r w:rsidRPr="00640D24">
              <w:rPr>
                <w:rFonts w:cs="Times New Roman"/>
                <w:sz w:val="21"/>
                <w:szCs w:val="21"/>
                <w:lang w:val="lt-LT"/>
              </w:rPr>
              <w:t>Statistikos departamento pateikiami duomenys apie atskirų sričių rodiklius ir jų rezultatus</w:t>
            </w:r>
            <w:r w:rsidR="00F23C28" w:rsidRPr="00640D24">
              <w:rPr>
                <w:rFonts w:cs="Times New Roman"/>
                <w:sz w:val="21"/>
                <w:szCs w:val="21"/>
                <w:lang w:val="lt-LT"/>
              </w:rPr>
              <w:t>.</w:t>
            </w:r>
          </w:p>
        </w:tc>
      </w:tr>
      <w:tr w:rsidR="00F04D94" w:rsidRPr="00640D24" w14:paraId="3C937572" w14:textId="77777777" w:rsidTr="00F9309C">
        <w:tc>
          <w:tcPr>
            <w:tcW w:w="2410" w:type="dxa"/>
            <w:vMerge w:val="restart"/>
          </w:tcPr>
          <w:p w14:paraId="4E8DBF05" w14:textId="77777777" w:rsidR="00F04D94" w:rsidRPr="00640D24" w:rsidRDefault="00F04D94" w:rsidP="00170B5F">
            <w:pPr>
              <w:spacing w:after="0" w:line="240" w:lineRule="auto"/>
              <w:rPr>
                <w:rFonts w:cs="Times New Roman"/>
                <w:b/>
                <w:bCs/>
                <w:sz w:val="21"/>
                <w:szCs w:val="21"/>
                <w:lang w:val="lt-LT"/>
              </w:rPr>
            </w:pPr>
            <w:r w:rsidRPr="00640D24">
              <w:rPr>
                <w:rFonts w:cs="Times New Roman"/>
                <w:b/>
                <w:bCs/>
                <w:sz w:val="21"/>
                <w:szCs w:val="21"/>
                <w:lang w:val="lt-LT"/>
              </w:rPr>
              <w:t>Investicijų pasiūlos analizė</w:t>
            </w:r>
          </w:p>
        </w:tc>
        <w:tc>
          <w:tcPr>
            <w:tcW w:w="2693" w:type="dxa"/>
          </w:tcPr>
          <w:p w14:paraId="2EE60679" w14:textId="77777777" w:rsidR="00F04D94" w:rsidRPr="00640D24" w:rsidRDefault="00F04D94" w:rsidP="00170B5F">
            <w:pPr>
              <w:spacing w:after="0" w:line="240" w:lineRule="auto"/>
              <w:rPr>
                <w:rFonts w:cs="Times New Roman"/>
                <w:sz w:val="21"/>
                <w:szCs w:val="21"/>
                <w:lang w:val="lt-LT"/>
              </w:rPr>
            </w:pPr>
            <w:r w:rsidRPr="00640D24">
              <w:rPr>
                <w:rFonts w:cs="Times New Roman"/>
                <w:sz w:val="21"/>
                <w:szCs w:val="21"/>
                <w:lang w:val="lt-LT"/>
              </w:rPr>
              <w:t>SFMIS duomenų analizė</w:t>
            </w:r>
          </w:p>
          <w:p w14:paraId="499319C3" w14:textId="77777777" w:rsidR="00F04D94" w:rsidRPr="00640D24" w:rsidRDefault="00F04D94" w:rsidP="00170B5F">
            <w:pPr>
              <w:spacing w:after="0" w:line="240" w:lineRule="auto"/>
              <w:rPr>
                <w:rFonts w:cs="Times New Roman"/>
                <w:sz w:val="21"/>
                <w:szCs w:val="21"/>
                <w:lang w:val="lt-LT"/>
              </w:rPr>
            </w:pPr>
          </w:p>
        </w:tc>
        <w:tc>
          <w:tcPr>
            <w:tcW w:w="4536" w:type="dxa"/>
          </w:tcPr>
          <w:p w14:paraId="2B502475" w14:textId="0C6ECFC7" w:rsidR="00F04D94" w:rsidRPr="00640D24" w:rsidRDefault="00F04D94" w:rsidP="001C0257">
            <w:pPr>
              <w:spacing w:after="0" w:line="240" w:lineRule="auto"/>
              <w:jc w:val="both"/>
              <w:rPr>
                <w:rFonts w:cs="Times New Roman"/>
                <w:sz w:val="21"/>
                <w:szCs w:val="21"/>
                <w:lang w:val="lt-LT"/>
              </w:rPr>
            </w:pPr>
            <w:r w:rsidRPr="00640D24">
              <w:rPr>
                <w:rFonts w:cs="Times New Roman"/>
                <w:sz w:val="21"/>
                <w:szCs w:val="21"/>
                <w:lang w:val="lt-LT"/>
              </w:rPr>
              <w:t>2014</w:t>
            </w:r>
            <w:r w:rsidR="00893EAA" w:rsidRPr="00640D24">
              <w:rPr>
                <w:rFonts w:cs="Times New Roman"/>
                <w:sz w:val="22"/>
                <w:szCs w:val="22"/>
                <w:lang w:val="lt-LT"/>
              </w:rPr>
              <w:t>–</w:t>
            </w:r>
            <w:r w:rsidRPr="00640D24">
              <w:rPr>
                <w:rFonts w:cs="Times New Roman"/>
                <w:sz w:val="21"/>
                <w:szCs w:val="21"/>
                <w:lang w:val="lt-LT"/>
              </w:rPr>
              <w:t xml:space="preserve">2020 m. ES </w:t>
            </w:r>
            <w:r w:rsidR="00964441" w:rsidRPr="00640D24">
              <w:rPr>
                <w:rFonts w:cs="Times New Roman"/>
                <w:sz w:val="21"/>
                <w:szCs w:val="21"/>
                <w:lang w:val="lt-LT"/>
              </w:rPr>
              <w:t xml:space="preserve">fondų </w:t>
            </w:r>
            <w:r w:rsidRPr="00640D24">
              <w:rPr>
                <w:rFonts w:cs="Times New Roman"/>
                <w:sz w:val="21"/>
                <w:szCs w:val="21"/>
                <w:lang w:val="lt-LT"/>
              </w:rPr>
              <w:t>investicijų priemonių finansiniai duomenys</w:t>
            </w:r>
            <w:r w:rsidR="00F23C28" w:rsidRPr="00640D24">
              <w:rPr>
                <w:rFonts w:cs="Times New Roman"/>
                <w:sz w:val="21"/>
                <w:szCs w:val="21"/>
                <w:lang w:val="lt-LT"/>
              </w:rPr>
              <w:t>.</w:t>
            </w:r>
          </w:p>
        </w:tc>
      </w:tr>
      <w:tr w:rsidR="00F04D94" w:rsidRPr="00640D24" w14:paraId="50CB49C0" w14:textId="77777777" w:rsidTr="00F9309C">
        <w:tc>
          <w:tcPr>
            <w:tcW w:w="2410" w:type="dxa"/>
            <w:vMerge/>
          </w:tcPr>
          <w:p w14:paraId="000D6132" w14:textId="77777777" w:rsidR="00F04D94" w:rsidRPr="00640D24" w:rsidRDefault="00F04D94" w:rsidP="00170B5F">
            <w:pPr>
              <w:spacing w:after="0" w:line="240" w:lineRule="auto"/>
              <w:rPr>
                <w:rFonts w:cs="Times New Roman"/>
                <w:b/>
                <w:bCs/>
                <w:sz w:val="21"/>
                <w:szCs w:val="21"/>
                <w:lang w:val="lt-LT"/>
              </w:rPr>
            </w:pPr>
          </w:p>
        </w:tc>
        <w:tc>
          <w:tcPr>
            <w:tcW w:w="2693" w:type="dxa"/>
          </w:tcPr>
          <w:p w14:paraId="1C567948" w14:textId="77777777" w:rsidR="00F04D94" w:rsidRPr="00640D24" w:rsidRDefault="00F04D94" w:rsidP="00170B5F">
            <w:pPr>
              <w:spacing w:after="0" w:line="240" w:lineRule="auto"/>
              <w:rPr>
                <w:rFonts w:cs="Times New Roman"/>
                <w:sz w:val="21"/>
                <w:szCs w:val="21"/>
                <w:lang w:val="lt-LT"/>
              </w:rPr>
            </w:pPr>
            <w:r w:rsidRPr="00640D24">
              <w:rPr>
                <w:rFonts w:cs="Times New Roman"/>
                <w:sz w:val="21"/>
                <w:szCs w:val="21"/>
                <w:lang w:val="lt-LT"/>
              </w:rPr>
              <w:t>Interviu programa</w:t>
            </w:r>
          </w:p>
        </w:tc>
        <w:tc>
          <w:tcPr>
            <w:tcW w:w="4536" w:type="dxa"/>
          </w:tcPr>
          <w:p w14:paraId="7644DF12" w14:textId="77777777" w:rsidR="00F04D94" w:rsidRPr="00640D24" w:rsidRDefault="00F04D94" w:rsidP="001C0257">
            <w:pPr>
              <w:spacing w:after="0" w:line="240" w:lineRule="auto"/>
              <w:jc w:val="both"/>
              <w:rPr>
                <w:rFonts w:cs="Times New Roman"/>
                <w:sz w:val="21"/>
                <w:szCs w:val="21"/>
                <w:lang w:val="lt-LT"/>
              </w:rPr>
            </w:pPr>
            <w:r w:rsidRPr="00640D24">
              <w:rPr>
                <w:rFonts w:cs="Times New Roman"/>
                <w:sz w:val="21"/>
                <w:szCs w:val="21"/>
                <w:lang w:val="lt-LT"/>
              </w:rPr>
              <w:t>Atlikt</w:t>
            </w:r>
            <w:r w:rsidR="005460CB" w:rsidRPr="00640D24">
              <w:rPr>
                <w:rFonts w:cs="Times New Roman"/>
                <w:sz w:val="21"/>
                <w:szCs w:val="21"/>
                <w:lang w:val="lt-LT"/>
              </w:rPr>
              <w:t>a</w:t>
            </w:r>
            <w:r w:rsidRPr="00640D24">
              <w:rPr>
                <w:rFonts w:cs="Times New Roman"/>
                <w:sz w:val="21"/>
                <w:szCs w:val="21"/>
                <w:lang w:val="lt-LT"/>
              </w:rPr>
              <w:t xml:space="preserve"> </w:t>
            </w:r>
            <w:r w:rsidR="005460CB" w:rsidRPr="00640D24">
              <w:rPr>
                <w:rFonts w:cs="Times New Roman"/>
                <w:sz w:val="21"/>
                <w:szCs w:val="21"/>
                <w:lang w:val="lt-LT"/>
              </w:rPr>
              <w:t>10</w:t>
            </w:r>
            <w:r w:rsidRPr="00640D24">
              <w:rPr>
                <w:rFonts w:cs="Times New Roman"/>
                <w:sz w:val="21"/>
                <w:szCs w:val="21"/>
                <w:lang w:val="lt-LT"/>
              </w:rPr>
              <w:t xml:space="preserve"> interviu: </w:t>
            </w:r>
            <w:r w:rsidR="001E03E9" w:rsidRPr="00640D24">
              <w:rPr>
                <w:rFonts w:cs="Times New Roman"/>
                <w:sz w:val="21"/>
                <w:szCs w:val="21"/>
                <w:lang w:val="lt-LT"/>
              </w:rPr>
              <w:t>7</w:t>
            </w:r>
            <w:r w:rsidRPr="00640D24">
              <w:rPr>
                <w:rFonts w:cs="Times New Roman"/>
                <w:sz w:val="21"/>
                <w:szCs w:val="21"/>
                <w:lang w:val="lt-LT"/>
              </w:rPr>
              <w:t xml:space="preserve"> su </w:t>
            </w:r>
            <w:r w:rsidR="0059424C" w:rsidRPr="00640D24">
              <w:rPr>
                <w:rFonts w:cs="Times New Roman"/>
                <w:sz w:val="21"/>
                <w:szCs w:val="21"/>
                <w:lang w:val="lt-LT"/>
              </w:rPr>
              <w:t>FT</w:t>
            </w:r>
            <w:r w:rsidRPr="00640D24">
              <w:rPr>
                <w:rFonts w:cs="Times New Roman"/>
                <w:sz w:val="21"/>
                <w:szCs w:val="21"/>
                <w:lang w:val="lt-LT"/>
              </w:rPr>
              <w:t xml:space="preserve">, 2 su </w:t>
            </w:r>
            <w:r w:rsidR="008A4112" w:rsidRPr="00640D24">
              <w:rPr>
                <w:rFonts w:cs="Times New Roman"/>
                <w:sz w:val="21"/>
                <w:szCs w:val="21"/>
                <w:lang w:val="lt-LT"/>
              </w:rPr>
              <w:t>ministerijomis</w:t>
            </w:r>
            <w:r w:rsidR="005460CB" w:rsidRPr="00640D24">
              <w:rPr>
                <w:rFonts w:cs="Times New Roman"/>
                <w:sz w:val="21"/>
                <w:szCs w:val="21"/>
                <w:lang w:val="lt-LT"/>
              </w:rPr>
              <w:t>, 1 su viešąja įstaiga</w:t>
            </w:r>
            <w:r w:rsidR="007E68BF" w:rsidRPr="00640D24">
              <w:rPr>
                <w:rFonts w:cs="Times New Roman"/>
                <w:sz w:val="21"/>
                <w:szCs w:val="21"/>
                <w:lang w:val="lt-LT"/>
              </w:rPr>
              <w:t xml:space="preserve">. </w:t>
            </w:r>
            <w:r w:rsidR="002E141E" w:rsidRPr="00640D24">
              <w:rPr>
                <w:rFonts w:cs="Times New Roman"/>
                <w:sz w:val="21"/>
                <w:szCs w:val="21"/>
                <w:lang w:val="lt-LT"/>
              </w:rPr>
              <w:t>Interviu dalyvių sąrašas pateikiam</w:t>
            </w:r>
            <w:r w:rsidR="00525AE9" w:rsidRPr="00640D24">
              <w:rPr>
                <w:rFonts w:cs="Times New Roman"/>
                <w:sz w:val="21"/>
                <w:szCs w:val="21"/>
                <w:lang w:val="lt-LT"/>
              </w:rPr>
              <w:t>as</w:t>
            </w:r>
            <w:r w:rsidR="002E141E" w:rsidRPr="00640D24">
              <w:rPr>
                <w:rFonts w:cs="Times New Roman"/>
                <w:sz w:val="21"/>
                <w:szCs w:val="21"/>
                <w:lang w:val="lt-LT"/>
              </w:rPr>
              <w:t xml:space="preserve"> 1 priede.</w:t>
            </w:r>
          </w:p>
          <w:p w14:paraId="5567AB05" w14:textId="28C7D656" w:rsidR="00EF4A63" w:rsidRPr="00640D24" w:rsidRDefault="00EF4A63" w:rsidP="001C0257">
            <w:pPr>
              <w:spacing w:after="0" w:line="240" w:lineRule="auto"/>
              <w:jc w:val="both"/>
              <w:rPr>
                <w:rFonts w:cs="Times New Roman"/>
                <w:sz w:val="21"/>
                <w:szCs w:val="21"/>
                <w:lang w:val="lt-LT"/>
              </w:rPr>
            </w:pPr>
            <w:r w:rsidRPr="00640D24">
              <w:rPr>
                <w:rFonts w:cs="Times New Roman"/>
                <w:sz w:val="21"/>
                <w:szCs w:val="21"/>
                <w:lang w:val="lt-LT"/>
              </w:rPr>
              <w:t>Papildomai</w:t>
            </w:r>
            <w:r w:rsidR="00E522B3" w:rsidRPr="00640D24">
              <w:rPr>
                <w:rFonts w:cs="Times New Roman"/>
                <w:sz w:val="21"/>
                <w:szCs w:val="21"/>
                <w:lang w:val="lt-LT"/>
              </w:rPr>
              <w:t xml:space="preserve"> 2023 m</w:t>
            </w:r>
            <w:r w:rsidR="00832571" w:rsidRPr="00640D24">
              <w:rPr>
                <w:rFonts w:cs="Times New Roman"/>
                <w:sz w:val="21"/>
                <w:szCs w:val="21"/>
                <w:lang w:val="lt-LT"/>
              </w:rPr>
              <w:t>.</w:t>
            </w:r>
            <w:r w:rsidR="00E522B3" w:rsidRPr="00640D24">
              <w:rPr>
                <w:rFonts w:cs="Times New Roman"/>
                <w:sz w:val="21"/>
                <w:szCs w:val="21"/>
                <w:lang w:val="lt-LT"/>
              </w:rPr>
              <w:t xml:space="preserve"> liepos – rugsėjo</w:t>
            </w:r>
            <w:r w:rsidR="00357BEE" w:rsidRPr="00640D24">
              <w:rPr>
                <w:rFonts w:cs="Times New Roman"/>
                <w:sz w:val="21"/>
                <w:szCs w:val="21"/>
                <w:lang w:val="lt-LT"/>
              </w:rPr>
              <w:t xml:space="preserve"> mėnesiais</w:t>
            </w:r>
            <w:r w:rsidRPr="00640D24">
              <w:rPr>
                <w:rFonts w:cs="Times New Roman"/>
                <w:sz w:val="21"/>
                <w:szCs w:val="21"/>
                <w:lang w:val="lt-LT"/>
              </w:rPr>
              <w:t xml:space="preserve"> atlikta </w:t>
            </w:r>
            <w:r w:rsidR="005051B2" w:rsidRPr="00640D24">
              <w:rPr>
                <w:rFonts w:cs="Times New Roman"/>
                <w:sz w:val="21"/>
                <w:szCs w:val="21"/>
                <w:lang w:val="lt-LT"/>
              </w:rPr>
              <w:t>1</w:t>
            </w:r>
            <w:r w:rsidR="004C3076" w:rsidRPr="00640D24">
              <w:rPr>
                <w:rFonts w:cs="Times New Roman"/>
                <w:sz w:val="21"/>
                <w:szCs w:val="21"/>
                <w:lang w:val="lt-LT"/>
              </w:rPr>
              <w:t>3</w:t>
            </w:r>
            <w:r w:rsidR="00856312" w:rsidRPr="00640D24">
              <w:rPr>
                <w:rFonts w:cs="Times New Roman"/>
                <w:sz w:val="21"/>
                <w:szCs w:val="21"/>
                <w:lang w:val="lt-LT"/>
              </w:rPr>
              <w:t xml:space="preserve"> </w:t>
            </w:r>
            <w:r w:rsidRPr="00640D24">
              <w:rPr>
                <w:rFonts w:cs="Times New Roman"/>
                <w:sz w:val="21"/>
                <w:szCs w:val="21"/>
                <w:lang w:val="lt-LT"/>
              </w:rPr>
              <w:t xml:space="preserve">interviu: 3 su FT, </w:t>
            </w:r>
            <w:r w:rsidR="004C3076" w:rsidRPr="00640D24">
              <w:rPr>
                <w:rFonts w:cs="Times New Roman"/>
                <w:sz w:val="21"/>
                <w:szCs w:val="21"/>
                <w:lang w:val="lt-LT"/>
              </w:rPr>
              <w:t>3</w:t>
            </w:r>
            <w:r w:rsidRPr="00640D24">
              <w:rPr>
                <w:rFonts w:cs="Times New Roman"/>
                <w:sz w:val="21"/>
                <w:szCs w:val="21"/>
                <w:lang w:val="lt-LT"/>
              </w:rPr>
              <w:t xml:space="preserve"> su asociacij</w:t>
            </w:r>
            <w:r w:rsidR="004D371A" w:rsidRPr="00640D24">
              <w:rPr>
                <w:rFonts w:cs="Times New Roman"/>
                <w:sz w:val="21"/>
                <w:szCs w:val="21"/>
                <w:lang w:val="lt-LT"/>
              </w:rPr>
              <w:t>omis</w:t>
            </w:r>
            <w:r w:rsidRPr="00640D24">
              <w:rPr>
                <w:rFonts w:cs="Times New Roman"/>
                <w:sz w:val="21"/>
                <w:szCs w:val="21"/>
                <w:lang w:val="lt-LT"/>
              </w:rPr>
              <w:t xml:space="preserve">, </w:t>
            </w:r>
            <w:r w:rsidR="00E522B3" w:rsidRPr="00640D24">
              <w:rPr>
                <w:rFonts w:cs="Times New Roman"/>
                <w:sz w:val="21"/>
                <w:szCs w:val="21"/>
                <w:lang w:val="lt-LT"/>
              </w:rPr>
              <w:t>7</w:t>
            </w:r>
            <w:r w:rsidRPr="00640D24">
              <w:rPr>
                <w:rFonts w:cs="Times New Roman"/>
                <w:sz w:val="21"/>
                <w:szCs w:val="21"/>
                <w:lang w:val="lt-LT"/>
              </w:rPr>
              <w:t xml:space="preserve"> su pramonės įmonėmis. Interviu dalyvių sąrašas pateikiamas 1 priede.</w:t>
            </w:r>
          </w:p>
          <w:p w14:paraId="3C7788E3" w14:textId="5A83C943" w:rsidR="00DF4EAF" w:rsidRPr="00640D24" w:rsidRDefault="00DF4EAF" w:rsidP="001C0257">
            <w:pPr>
              <w:spacing w:after="0" w:line="240" w:lineRule="auto"/>
              <w:jc w:val="both"/>
              <w:rPr>
                <w:rFonts w:cs="Times New Roman"/>
                <w:sz w:val="21"/>
                <w:szCs w:val="21"/>
                <w:lang w:val="lt-LT"/>
              </w:rPr>
            </w:pPr>
            <w:r w:rsidRPr="00640D24">
              <w:rPr>
                <w:rFonts w:cs="Times New Roman"/>
                <w:sz w:val="21"/>
                <w:szCs w:val="21"/>
                <w:lang w:val="lt-LT"/>
              </w:rPr>
              <w:t xml:space="preserve">Papildomai 2024 m. gegužės – liepos mėnesiais buvo atlikta </w:t>
            </w:r>
            <w:r w:rsidR="00CF0A74" w:rsidRPr="00640D24">
              <w:rPr>
                <w:rFonts w:cs="Times New Roman"/>
                <w:sz w:val="21"/>
                <w:szCs w:val="21"/>
                <w:lang w:val="lt-LT"/>
              </w:rPr>
              <w:t>11 interviu</w:t>
            </w:r>
            <w:r w:rsidR="005F3783" w:rsidRPr="00640D24">
              <w:rPr>
                <w:rFonts w:cs="Times New Roman"/>
                <w:sz w:val="21"/>
                <w:szCs w:val="21"/>
                <w:lang w:val="lt-LT"/>
              </w:rPr>
              <w:t>:</w:t>
            </w:r>
            <w:r w:rsidR="00000BBF" w:rsidRPr="00640D24">
              <w:rPr>
                <w:rFonts w:cs="Times New Roman"/>
                <w:sz w:val="21"/>
                <w:szCs w:val="21"/>
                <w:lang w:val="lt-LT"/>
              </w:rPr>
              <w:t xml:space="preserve"> </w:t>
            </w:r>
            <w:r w:rsidR="000C756E" w:rsidRPr="00640D24">
              <w:rPr>
                <w:rFonts w:cs="Times New Roman"/>
                <w:sz w:val="21"/>
                <w:szCs w:val="21"/>
                <w:lang w:val="lt-LT"/>
              </w:rPr>
              <w:t xml:space="preserve">3 su </w:t>
            </w:r>
            <w:r w:rsidR="00F55B48" w:rsidRPr="00640D24">
              <w:rPr>
                <w:rFonts w:cs="Times New Roman"/>
                <w:sz w:val="21"/>
                <w:szCs w:val="21"/>
                <w:lang w:val="lt-LT"/>
              </w:rPr>
              <w:t>FT</w:t>
            </w:r>
            <w:r w:rsidR="00EC1845" w:rsidRPr="00640D24">
              <w:rPr>
                <w:rFonts w:cs="Times New Roman"/>
                <w:sz w:val="21"/>
                <w:szCs w:val="21"/>
                <w:lang w:val="lt-LT"/>
              </w:rPr>
              <w:t xml:space="preserve">, </w:t>
            </w:r>
            <w:r w:rsidR="00304EC1" w:rsidRPr="00640D24">
              <w:rPr>
                <w:rFonts w:cs="Times New Roman"/>
                <w:sz w:val="21"/>
                <w:szCs w:val="21"/>
                <w:lang w:val="lt-LT"/>
              </w:rPr>
              <w:t>5</w:t>
            </w:r>
            <w:r w:rsidR="00B85ABB" w:rsidRPr="00640D24">
              <w:rPr>
                <w:rFonts w:cs="Times New Roman"/>
                <w:sz w:val="21"/>
                <w:szCs w:val="21"/>
                <w:lang w:val="lt-LT"/>
              </w:rPr>
              <w:t xml:space="preserve"> su verslo </w:t>
            </w:r>
            <w:r w:rsidR="00FE39D0" w:rsidRPr="00640D24">
              <w:rPr>
                <w:rFonts w:cs="Times New Roman"/>
                <w:sz w:val="21"/>
                <w:szCs w:val="21"/>
                <w:lang w:val="lt-LT"/>
              </w:rPr>
              <w:t>a</w:t>
            </w:r>
            <w:r w:rsidR="0053616B" w:rsidRPr="00640D24">
              <w:rPr>
                <w:rFonts w:cs="Times New Roman"/>
                <w:sz w:val="21"/>
                <w:szCs w:val="21"/>
                <w:lang w:val="lt-LT"/>
              </w:rPr>
              <w:t xml:space="preserve">sociacijomis ir </w:t>
            </w:r>
            <w:r w:rsidR="00DC1AD4" w:rsidRPr="00640D24">
              <w:rPr>
                <w:rFonts w:cs="Times New Roman"/>
                <w:sz w:val="21"/>
                <w:szCs w:val="21"/>
                <w:lang w:val="lt-LT"/>
              </w:rPr>
              <w:t>j</w:t>
            </w:r>
            <w:r w:rsidR="00386C0C" w:rsidRPr="00640D24">
              <w:rPr>
                <w:rFonts w:cs="Times New Roman"/>
                <w:sz w:val="21"/>
                <w:szCs w:val="21"/>
                <w:lang w:val="lt-LT"/>
              </w:rPr>
              <w:t>į atstovaujančiomis įstaigomis</w:t>
            </w:r>
            <w:r w:rsidR="00256A0E" w:rsidRPr="00640D24">
              <w:rPr>
                <w:rFonts w:cs="Times New Roman"/>
                <w:sz w:val="21"/>
                <w:szCs w:val="21"/>
                <w:lang w:val="lt-LT"/>
              </w:rPr>
              <w:t xml:space="preserve">, </w:t>
            </w:r>
            <w:r w:rsidR="00304EC1" w:rsidRPr="00640D24">
              <w:rPr>
                <w:rFonts w:cs="Times New Roman"/>
                <w:sz w:val="21"/>
                <w:szCs w:val="21"/>
                <w:lang w:val="lt-LT"/>
              </w:rPr>
              <w:t>3</w:t>
            </w:r>
            <w:r w:rsidR="003E24C2" w:rsidRPr="00640D24">
              <w:rPr>
                <w:rFonts w:cs="Times New Roman"/>
                <w:sz w:val="21"/>
                <w:szCs w:val="21"/>
                <w:lang w:val="lt-LT"/>
              </w:rPr>
              <w:t xml:space="preserve"> su ministerijomis</w:t>
            </w:r>
            <w:r w:rsidR="00304EC1" w:rsidRPr="00640D24">
              <w:rPr>
                <w:rFonts w:cs="Times New Roman"/>
                <w:sz w:val="21"/>
                <w:szCs w:val="21"/>
                <w:lang w:val="lt-LT"/>
              </w:rPr>
              <w:t>.</w:t>
            </w:r>
            <w:r w:rsidR="00832571" w:rsidRPr="00640D24">
              <w:rPr>
                <w:rFonts w:cs="Times New Roman"/>
                <w:sz w:val="21"/>
                <w:szCs w:val="21"/>
                <w:lang w:val="lt-LT"/>
              </w:rPr>
              <w:t xml:space="preserve"> Interviu dalyvių sąrašas pateikiamas 1 priede.</w:t>
            </w:r>
          </w:p>
        </w:tc>
      </w:tr>
      <w:tr w:rsidR="00E92F97" w:rsidRPr="00640D24" w14:paraId="54650C4C" w14:textId="77777777" w:rsidTr="00F9309C">
        <w:tc>
          <w:tcPr>
            <w:tcW w:w="2410" w:type="dxa"/>
            <w:vMerge/>
          </w:tcPr>
          <w:p w14:paraId="4BB981EF" w14:textId="77777777" w:rsidR="00E92F97" w:rsidRPr="00640D24" w:rsidRDefault="00E92F97" w:rsidP="00170B5F">
            <w:pPr>
              <w:spacing w:after="0" w:line="240" w:lineRule="auto"/>
              <w:rPr>
                <w:rFonts w:cs="Times New Roman"/>
                <w:b/>
                <w:bCs/>
                <w:sz w:val="21"/>
                <w:szCs w:val="21"/>
                <w:lang w:val="lt-LT"/>
              </w:rPr>
            </w:pPr>
          </w:p>
        </w:tc>
        <w:tc>
          <w:tcPr>
            <w:tcW w:w="2693" w:type="dxa"/>
          </w:tcPr>
          <w:p w14:paraId="26BA9CF2" w14:textId="332F951D" w:rsidR="00E92F97" w:rsidRPr="00640D24" w:rsidRDefault="00E92F97" w:rsidP="00170B5F">
            <w:pPr>
              <w:spacing w:after="0" w:line="240" w:lineRule="auto"/>
              <w:rPr>
                <w:rFonts w:cs="Times New Roman"/>
                <w:sz w:val="21"/>
                <w:szCs w:val="21"/>
                <w:lang w:val="lt-LT"/>
              </w:rPr>
            </w:pPr>
            <w:r w:rsidRPr="00640D24">
              <w:rPr>
                <w:rFonts w:cs="Times New Roman"/>
                <w:sz w:val="21"/>
                <w:szCs w:val="21"/>
                <w:lang w:val="lt-LT"/>
              </w:rPr>
              <w:t>Fokusuot</w:t>
            </w:r>
            <w:r w:rsidR="0000081C" w:rsidRPr="00640D24">
              <w:rPr>
                <w:rFonts w:cs="Times New Roman"/>
                <w:sz w:val="21"/>
                <w:szCs w:val="21"/>
                <w:lang w:val="lt-LT"/>
              </w:rPr>
              <w:t>ų grupės</w:t>
            </w:r>
            <w:r w:rsidRPr="00640D24">
              <w:rPr>
                <w:rFonts w:cs="Times New Roman"/>
                <w:sz w:val="21"/>
                <w:szCs w:val="21"/>
                <w:lang w:val="lt-LT"/>
              </w:rPr>
              <w:t xml:space="preserve"> diskusijų programa</w:t>
            </w:r>
          </w:p>
        </w:tc>
        <w:tc>
          <w:tcPr>
            <w:tcW w:w="4536" w:type="dxa"/>
          </w:tcPr>
          <w:p w14:paraId="6023B1B3" w14:textId="5AFF0DD5" w:rsidR="00E92F97" w:rsidRPr="00640D24" w:rsidRDefault="00E92F97" w:rsidP="001C0257">
            <w:pPr>
              <w:spacing w:after="0" w:line="240" w:lineRule="auto"/>
              <w:jc w:val="both"/>
              <w:rPr>
                <w:rFonts w:cs="Times New Roman"/>
                <w:sz w:val="21"/>
                <w:szCs w:val="21"/>
                <w:lang w:val="lt-LT"/>
              </w:rPr>
            </w:pPr>
            <w:r w:rsidRPr="00640D24">
              <w:rPr>
                <w:rFonts w:cs="Times New Roman"/>
                <w:sz w:val="21"/>
                <w:szCs w:val="21"/>
                <w:lang w:val="lt-LT"/>
              </w:rPr>
              <w:t>Atliktos 2 fokusuotos</w:t>
            </w:r>
            <w:r w:rsidR="00BD6A92" w:rsidRPr="00640D24">
              <w:rPr>
                <w:rFonts w:cs="Times New Roman"/>
                <w:sz w:val="21"/>
                <w:szCs w:val="21"/>
                <w:lang w:val="lt-LT"/>
              </w:rPr>
              <w:t xml:space="preserve"> grupės</w:t>
            </w:r>
            <w:r w:rsidRPr="00640D24">
              <w:rPr>
                <w:rFonts w:cs="Times New Roman"/>
                <w:sz w:val="21"/>
                <w:szCs w:val="21"/>
                <w:lang w:val="lt-LT"/>
              </w:rPr>
              <w:t xml:space="preserve"> diskusijos</w:t>
            </w:r>
            <w:r w:rsidR="007E68BF" w:rsidRPr="00640D24">
              <w:rPr>
                <w:rFonts w:cs="Times New Roman"/>
                <w:sz w:val="21"/>
                <w:szCs w:val="21"/>
                <w:lang w:val="lt-LT"/>
              </w:rPr>
              <w:t xml:space="preserve"> su 2 ministerijomis ir 1 agentūra. </w:t>
            </w:r>
            <w:r w:rsidR="002E141E" w:rsidRPr="00640D24">
              <w:rPr>
                <w:rFonts w:cs="Times New Roman"/>
                <w:sz w:val="21"/>
                <w:szCs w:val="21"/>
                <w:lang w:val="lt-LT"/>
              </w:rPr>
              <w:t>F</w:t>
            </w:r>
            <w:r w:rsidR="007E68BF" w:rsidRPr="00640D24">
              <w:rPr>
                <w:rFonts w:cs="Times New Roman"/>
                <w:sz w:val="21"/>
                <w:szCs w:val="21"/>
                <w:lang w:val="lt-LT"/>
              </w:rPr>
              <w:t xml:space="preserve">okusuotų </w:t>
            </w:r>
            <w:r w:rsidR="00BD6A92" w:rsidRPr="00640D24">
              <w:rPr>
                <w:rFonts w:cs="Times New Roman"/>
                <w:sz w:val="21"/>
                <w:szCs w:val="21"/>
                <w:lang w:val="lt-LT"/>
              </w:rPr>
              <w:t xml:space="preserve">grupės </w:t>
            </w:r>
            <w:r w:rsidR="007E68BF" w:rsidRPr="00640D24">
              <w:rPr>
                <w:rFonts w:cs="Times New Roman"/>
                <w:sz w:val="21"/>
                <w:szCs w:val="21"/>
                <w:lang w:val="lt-LT"/>
              </w:rPr>
              <w:t>diskusijų</w:t>
            </w:r>
            <w:r w:rsidR="002E141E" w:rsidRPr="00640D24">
              <w:rPr>
                <w:rFonts w:cs="Times New Roman"/>
                <w:sz w:val="21"/>
                <w:szCs w:val="21"/>
                <w:lang w:val="lt-LT"/>
              </w:rPr>
              <w:t xml:space="preserve"> dalyvių sąrašas pateikiamas 2 priede.</w:t>
            </w:r>
          </w:p>
        </w:tc>
      </w:tr>
      <w:tr w:rsidR="00F04D94" w:rsidRPr="00640D24" w14:paraId="5138C95A" w14:textId="77777777" w:rsidTr="00F9309C">
        <w:tc>
          <w:tcPr>
            <w:tcW w:w="2410" w:type="dxa"/>
            <w:vMerge/>
          </w:tcPr>
          <w:p w14:paraId="21D92A10" w14:textId="77777777" w:rsidR="00F04D94" w:rsidRPr="00640D24" w:rsidRDefault="00F04D94" w:rsidP="00170B5F">
            <w:pPr>
              <w:spacing w:after="0" w:line="240" w:lineRule="auto"/>
              <w:rPr>
                <w:rFonts w:cs="Times New Roman"/>
                <w:b/>
                <w:bCs/>
                <w:sz w:val="21"/>
                <w:szCs w:val="21"/>
                <w:lang w:val="lt-LT"/>
              </w:rPr>
            </w:pPr>
          </w:p>
        </w:tc>
        <w:tc>
          <w:tcPr>
            <w:tcW w:w="2693" w:type="dxa"/>
          </w:tcPr>
          <w:p w14:paraId="232F5D17" w14:textId="0E1A1B46" w:rsidR="00F04D94" w:rsidRPr="00640D24" w:rsidRDefault="001E03E9" w:rsidP="00170B5F">
            <w:pPr>
              <w:spacing w:after="0" w:line="240" w:lineRule="auto"/>
              <w:rPr>
                <w:rFonts w:cs="Times New Roman"/>
                <w:sz w:val="21"/>
                <w:szCs w:val="21"/>
                <w:lang w:val="lt-LT"/>
              </w:rPr>
            </w:pPr>
            <w:r w:rsidRPr="00640D24">
              <w:rPr>
                <w:rFonts w:cs="Times New Roman"/>
                <w:sz w:val="21"/>
                <w:szCs w:val="21"/>
                <w:lang w:val="lt-LT"/>
              </w:rPr>
              <w:t>2019 m. pab. atlikt</w:t>
            </w:r>
            <w:r w:rsidR="007E68BF" w:rsidRPr="00640D24">
              <w:rPr>
                <w:rFonts w:cs="Times New Roman"/>
                <w:sz w:val="21"/>
                <w:szCs w:val="21"/>
                <w:lang w:val="lt-LT"/>
              </w:rPr>
              <w:t>os</w:t>
            </w:r>
            <w:r w:rsidRPr="00640D24">
              <w:rPr>
                <w:rFonts w:cs="Times New Roman"/>
                <w:sz w:val="21"/>
                <w:szCs w:val="21"/>
                <w:lang w:val="lt-LT"/>
              </w:rPr>
              <w:t xml:space="preserve"> SVV</w:t>
            </w:r>
            <w:r w:rsidR="00F04D94" w:rsidRPr="00640D24">
              <w:rPr>
                <w:rFonts w:cs="Times New Roman"/>
                <w:sz w:val="21"/>
                <w:szCs w:val="21"/>
                <w:lang w:val="lt-LT"/>
              </w:rPr>
              <w:t xml:space="preserve"> </w:t>
            </w:r>
            <w:r w:rsidR="00134F15" w:rsidRPr="00640D24">
              <w:rPr>
                <w:rFonts w:cs="Times New Roman"/>
                <w:sz w:val="21"/>
                <w:szCs w:val="21"/>
                <w:lang w:val="lt-LT"/>
              </w:rPr>
              <w:t xml:space="preserve">subjektų </w:t>
            </w:r>
            <w:r w:rsidR="00F04D94" w:rsidRPr="00640D24">
              <w:rPr>
                <w:rFonts w:cs="Times New Roman"/>
                <w:sz w:val="21"/>
                <w:szCs w:val="21"/>
                <w:lang w:val="lt-LT"/>
              </w:rPr>
              <w:t>apklaus</w:t>
            </w:r>
            <w:r w:rsidR="007E68BF" w:rsidRPr="00640D24">
              <w:rPr>
                <w:rFonts w:cs="Times New Roman"/>
                <w:sz w:val="21"/>
                <w:szCs w:val="21"/>
                <w:lang w:val="lt-LT"/>
              </w:rPr>
              <w:t>os analizė</w:t>
            </w:r>
          </w:p>
        </w:tc>
        <w:tc>
          <w:tcPr>
            <w:tcW w:w="4536" w:type="dxa"/>
          </w:tcPr>
          <w:p w14:paraId="7F4E6A13" w14:textId="77777777" w:rsidR="00F04D94" w:rsidRPr="00640D24" w:rsidRDefault="007E68BF" w:rsidP="001C0257">
            <w:pPr>
              <w:spacing w:after="0" w:line="240" w:lineRule="auto"/>
              <w:jc w:val="both"/>
              <w:rPr>
                <w:rFonts w:cs="Times New Roman"/>
                <w:sz w:val="21"/>
                <w:szCs w:val="21"/>
                <w:lang w:val="lt-LT"/>
              </w:rPr>
            </w:pPr>
            <w:r w:rsidRPr="00640D24">
              <w:rPr>
                <w:rFonts w:cs="Times New Roman"/>
                <w:sz w:val="21"/>
                <w:szCs w:val="21"/>
                <w:lang w:val="lt-LT"/>
              </w:rPr>
              <w:t xml:space="preserve">2019 m. </w:t>
            </w:r>
            <w:proofErr w:type="spellStart"/>
            <w:r w:rsidRPr="00640D24">
              <w:rPr>
                <w:rFonts w:cs="Times New Roman"/>
                <w:sz w:val="21"/>
                <w:szCs w:val="21"/>
                <w:lang w:val="lt-LT"/>
              </w:rPr>
              <w:t>PwC</w:t>
            </w:r>
            <w:proofErr w:type="spellEnd"/>
            <w:r w:rsidRPr="00640D24">
              <w:rPr>
                <w:rFonts w:cs="Times New Roman"/>
                <w:sz w:val="21"/>
                <w:szCs w:val="21"/>
                <w:lang w:val="lt-LT"/>
              </w:rPr>
              <w:t xml:space="preserve"> atliko SVV subjektų apklausą. </w:t>
            </w:r>
            <w:r w:rsidR="001E03E9" w:rsidRPr="00640D24">
              <w:rPr>
                <w:rFonts w:cs="Times New Roman"/>
                <w:sz w:val="21"/>
                <w:szCs w:val="21"/>
                <w:lang w:val="lt-LT"/>
              </w:rPr>
              <w:t>Apklausos anketos buvo išsiųstos apie 10,6 tūkstančių respondentų ir gauta 430 atsakymų. Tokio atsakymų skaičiaus pakanka užtikrinti 5 proc. atsakymų paklaidą prie 95 proc. patikimumo lygio</w:t>
            </w:r>
            <w:r w:rsidRPr="00640D24">
              <w:rPr>
                <w:rFonts w:cs="Times New Roman"/>
                <w:sz w:val="21"/>
                <w:szCs w:val="21"/>
                <w:lang w:val="lt-LT"/>
              </w:rPr>
              <w:t>.</w:t>
            </w:r>
          </w:p>
          <w:p w14:paraId="6B12F473" w14:textId="769BA49D" w:rsidR="007E68BF" w:rsidRPr="00640D24" w:rsidRDefault="007E68BF" w:rsidP="001C0257">
            <w:pPr>
              <w:spacing w:after="0" w:line="240" w:lineRule="auto"/>
              <w:jc w:val="both"/>
              <w:rPr>
                <w:rFonts w:cs="Times New Roman"/>
                <w:sz w:val="21"/>
                <w:szCs w:val="21"/>
                <w:lang w:val="lt-LT"/>
              </w:rPr>
            </w:pPr>
            <w:r w:rsidRPr="00640D24">
              <w:rPr>
                <w:rFonts w:cs="Times New Roman"/>
                <w:sz w:val="21"/>
                <w:szCs w:val="21"/>
                <w:lang w:val="lt-LT"/>
              </w:rPr>
              <w:t>Šio Vertinimo apimtyje buvo atlikta surinktų duomenų analizė.</w:t>
            </w:r>
          </w:p>
        </w:tc>
      </w:tr>
      <w:tr w:rsidR="00F04D94" w:rsidRPr="00640D24" w14:paraId="084F6663" w14:textId="77777777" w:rsidTr="00F9309C">
        <w:tc>
          <w:tcPr>
            <w:tcW w:w="2410" w:type="dxa"/>
            <w:vMerge/>
          </w:tcPr>
          <w:p w14:paraId="0A9158FE" w14:textId="77777777" w:rsidR="00F04D94" w:rsidRPr="00640D24" w:rsidRDefault="00F04D94" w:rsidP="00170B5F">
            <w:pPr>
              <w:spacing w:after="0" w:line="240" w:lineRule="auto"/>
              <w:rPr>
                <w:rFonts w:cs="Times New Roman"/>
                <w:b/>
                <w:bCs/>
                <w:sz w:val="21"/>
                <w:szCs w:val="21"/>
                <w:lang w:val="lt-LT"/>
              </w:rPr>
            </w:pPr>
          </w:p>
        </w:tc>
        <w:tc>
          <w:tcPr>
            <w:tcW w:w="2693" w:type="dxa"/>
          </w:tcPr>
          <w:p w14:paraId="050FACD8" w14:textId="77777777" w:rsidR="00F04D94" w:rsidRPr="00640D24" w:rsidRDefault="00F04D94" w:rsidP="00170B5F">
            <w:pPr>
              <w:spacing w:after="0" w:line="240" w:lineRule="auto"/>
              <w:rPr>
                <w:rFonts w:cs="Times New Roman"/>
                <w:sz w:val="21"/>
                <w:szCs w:val="21"/>
                <w:lang w:val="lt-LT"/>
              </w:rPr>
            </w:pPr>
            <w:r w:rsidRPr="00640D24">
              <w:rPr>
                <w:rFonts w:cs="Times New Roman"/>
                <w:sz w:val="21"/>
                <w:szCs w:val="21"/>
                <w:lang w:val="lt-LT"/>
              </w:rPr>
              <w:t>Pirminių šaltinių analizė</w:t>
            </w:r>
          </w:p>
        </w:tc>
        <w:tc>
          <w:tcPr>
            <w:tcW w:w="4536" w:type="dxa"/>
          </w:tcPr>
          <w:p w14:paraId="45668028" w14:textId="5F2AEA63" w:rsidR="00F04D94" w:rsidRPr="00640D24" w:rsidRDefault="00F04D94" w:rsidP="001C0257">
            <w:pPr>
              <w:spacing w:after="0" w:line="240" w:lineRule="auto"/>
              <w:jc w:val="both"/>
              <w:rPr>
                <w:rFonts w:cs="Times New Roman"/>
                <w:sz w:val="21"/>
                <w:szCs w:val="21"/>
                <w:lang w:val="lt-LT"/>
              </w:rPr>
            </w:pPr>
            <w:r w:rsidRPr="00640D24">
              <w:rPr>
                <w:rFonts w:cs="Times New Roman"/>
                <w:sz w:val="21"/>
                <w:szCs w:val="21"/>
                <w:lang w:val="lt-LT"/>
              </w:rPr>
              <w:t>Strateginiuose dokumentuose numatytas finansavimas į šio vertinimo apimtį patenkančioms veikloms</w:t>
            </w:r>
            <w:r w:rsidR="00F23C28" w:rsidRPr="00640D24">
              <w:rPr>
                <w:rFonts w:cs="Times New Roman"/>
                <w:sz w:val="21"/>
                <w:szCs w:val="21"/>
                <w:lang w:val="lt-LT"/>
              </w:rPr>
              <w:t>.</w:t>
            </w:r>
          </w:p>
        </w:tc>
      </w:tr>
      <w:tr w:rsidR="0059424C" w:rsidRPr="00640D24" w14:paraId="5086FF42" w14:textId="77777777" w:rsidTr="00F9309C">
        <w:tc>
          <w:tcPr>
            <w:tcW w:w="2410" w:type="dxa"/>
            <w:vMerge w:val="restart"/>
          </w:tcPr>
          <w:p w14:paraId="69178DFF" w14:textId="77777777" w:rsidR="0059424C" w:rsidRPr="00640D24" w:rsidRDefault="0059424C" w:rsidP="00170B5F">
            <w:pPr>
              <w:spacing w:after="0" w:line="240" w:lineRule="auto"/>
              <w:rPr>
                <w:rFonts w:cs="Times New Roman"/>
                <w:b/>
                <w:bCs/>
                <w:sz w:val="21"/>
                <w:szCs w:val="21"/>
                <w:lang w:val="lt-LT"/>
              </w:rPr>
            </w:pPr>
            <w:r w:rsidRPr="00640D24">
              <w:rPr>
                <w:rFonts w:cs="Times New Roman"/>
                <w:b/>
                <w:bCs/>
                <w:sz w:val="21"/>
                <w:szCs w:val="21"/>
                <w:lang w:val="lt-LT"/>
              </w:rPr>
              <w:t>Investicijų paklausos analizė</w:t>
            </w:r>
          </w:p>
        </w:tc>
        <w:tc>
          <w:tcPr>
            <w:tcW w:w="2693" w:type="dxa"/>
          </w:tcPr>
          <w:p w14:paraId="47AF6C04" w14:textId="77777777" w:rsidR="0059424C" w:rsidRPr="00640D24" w:rsidRDefault="0059424C" w:rsidP="00170B5F">
            <w:pPr>
              <w:spacing w:after="0" w:line="240" w:lineRule="auto"/>
              <w:rPr>
                <w:rFonts w:cs="Times New Roman"/>
                <w:sz w:val="21"/>
                <w:szCs w:val="21"/>
                <w:lang w:val="lt-LT"/>
              </w:rPr>
            </w:pPr>
            <w:r w:rsidRPr="00640D24">
              <w:rPr>
                <w:rFonts w:cs="Times New Roman"/>
                <w:sz w:val="21"/>
                <w:szCs w:val="21"/>
                <w:lang w:val="lt-LT"/>
              </w:rPr>
              <w:t>Interviu programa</w:t>
            </w:r>
          </w:p>
        </w:tc>
        <w:tc>
          <w:tcPr>
            <w:tcW w:w="4536" w:type="dxa"/>
          </w:tcPr>
          <w:p w14:paraId="7464D6B5" w14:textId="77777777" w:rsidR="0059424C" w:rsidRPr="00640D24" w:rsidRDefault="0059424C" w:rsidP="001C0257">
            <w:pPr>
              <w:spacing w:after="0" w:line="240" w:lineRule="auto"/>
              <w:jc w:val="both"/>
              <w:rPr>
                <w:rFonts w:cs="Times New Roman"/>
                <w:sz w:val="21"/>
                <w:szCs w:val="21"/>
                <w:lang w:val="lt-LT"/>
              </w:rPr>
            </w:pPr>
            <w:r w:rsidRPr="00640D24">
              <w:rPr>
                <w:rFonts w:cs="Times New Roman"/>
                <w:sz w:val="21"/>
                <w:szCs w:val="21"/>
                <w:lang w:val="lt-LT"/>
              </w:rPr>
              <w:t>Atlikta 10 interviu: 7 su FT, 2 su ministerijomis, 1 su viešąja įstaiga</w:t>
            </w:r>
            <w:r w:rsidR="002E141E" w:rsidRPr="00640D24">
              <w:rPr>
                <w:rFonts w:cs="Times New Roman"/>
                <w:sz w:val="21"/>
                <w:szCs w:val="21"/>
                <w:lang w:val="lt-LT"/>
              </w:rPr>
              <w:t>. Interviu dalyvių sąrašas pateikiam</w:t>
            </w:r>
            <w:r w:rsidR="00525AE9" w:rsidRPr="00640D24">
              <w:rPr>
                <w:rFonts w:cs="Times New Roman"/>
                <w:sz w:val="21"/>
                <w:szCs w:val="21"/>
                <w:lang w:val="lt-LT"/>
              </w:rPr>
              <w:t>as</w:t>
            </w:r>
            <w:r w:rsidR="002E141E" w:rsidRPr="00640D24">
              <w:rPr>
                <w:rFonts w:cs="Times New Roman"/>
                <w:sz w:val="21"/>
                <w:szCs w:val="21"/>
                <w:lang w:val="lt-LT"/>
              </w:rPr>
              <w:t xml:space="preserve"> 1 priede.</w:t>
            </w:r>
          </w:p>
          <w:p w14:paraId="1062B307" w14:textId="7596F260" w:rsidR="00EF4A63" w:rsidRPr="00640D24" w:rsidRDefault="00E522B3" w:rsidP="001C0257">
            <w:pPr>
              <w:spacing w:after="0" w:line="240" w:lineRule="auto"/>
              <w:jc w:val="both"/>
              <w:rPr>
                <w:rFonts w:cs="Times New Roman"/>
                <w:sz w:val="21"/>
                <w:szCs w:val="21"/>
                <w:lang w:val="lt-LT"/>
              </w:rPr>
            </w:pPr>
            <w:r w:rsidRPr="00640D24">
              <w:rPr>
                <w:rFonts w:cs="Times New Roman"/>
                <w:sz w:val="21"/>
                <w:szCs w:val="21"/>
                <w:lang w:val="lt-LT"/>
              </w:rPr>
              <w:lastRenderedPageBreak/>
              <w:t>Papildomai 2023 m</w:t>
            </w:r>
            <w:r w:rsidR="00832571" w:rsidRPr="00640D24">
              <w:rPr>
                <w:rFonts w:cs="Times New Roman"/>
                <w:sz w:val="21"/>
                <w:szCs w:val="21"/>
                <w:lang w:val="lt-LT"/>
              </w:rPr>
              <w:t>.</w:t>
            </w:r>
            <w:r w:rsidRPr="00640D24">
              <w:rPr>
                <w:rFonts w:cs="Times New Roman"/>
                <w:sz w:val="21"/>
                <w:szCs w:val="21"/>
                <w:lang w:val="lt-LT"/>
              </w:rPr>
              <w:t xml:space="preserve"> liepos – rugsėjo mėnesiais atlikta </w:t>
            </w:r>
            <w:r w:rsidR="005051B2" w:rsidRPr="00640D24">
              <w:rPr>
                <w:rFonts w:cs="Times New Roman"/>
                <w:sz w:val="21"/>
                <w:szCs w:val="21"/>
                <w:lang w:val="lt-LT"/>
              </w:rPr>
              <w:t>1</w:t>
            </w:r>
            <w:r w:rsidR="004C3076" w:rsidRPr="00640D24">
              <w:rPr>
                <w:rFonts w:cs="Times New Roman"/>
                <w:sz w:val="21"/>
                <w:szCs w:val="21"/>
                <w:lang w:val="lt-LT"/>
              </w:rPr>
              <w:t>3</w:t>
            </w:r>
            <w:r w:rsidRPr="00640D24">
              <w:rPr>
                <w:rFonts w:cs="Times New Roman"/>
                <w:sz w:val="21"/>
                <w:szCs w:val="21"/>
                <w:lang w:val="lt-LT"/>
              </w:rPr>
              <w:t xml:space="preserve"> interviu: 3 su FT, </w:t>
            </w:r>
            <w:r w:rsidR="004C3076" w:rsidRPr="00640D24">
              <w:rPr>
                <w:rFonts w:cs="Times New Roman"/>
                <w:sz w:val="21"/>
                <w:szCs w:val="21"/>
                <w:lang w:val="lt-LT"/>
              </w:rPr>
              <w:t>3</w:t>
            </w:r>
            <w:r w:rsidRPr="00640D24">
              <w:rPr>
                <w:rFonts w:cs="Times New Roman"/>
                <w:sz w:val="21"/>
                <w:szCs w:val="21"/>
                <w:lang w:val="lt-LT"/>
              </w:rPr>
              <w:t xml:space="preserve"> su asociacij</w:t>
            </w:r>
            <w:r w:rsidR="004D371A" w:rsidRPr="00640D24">
              <w:rPr>
                <w:rFonts w:cs="Times New Roman"/>
                <w:sz w:val="21"/>
                <w:szCs w:val="21"/>
                <w:lang w:val="lt-LT"/>
              </w:rPr>
              <w:t>omis</w:t>
            </w:r>
            <w:r w:rsidRPr="00640D24">
              <w:rPr>
                <w:rFonts w:cs="Times New Roman"/>
                <w:sz w:val="21"/>
                <w:szCs w:val="21"/>
                <w:lang w:val="lt-LT"/>
              </w:rPr>
              <w:t>, 7 su pramonės įmonėmis. Interviu dalyvių sąrašas pateikiamas 1 priede.</w:t>
            </w:r>
          </w:p>
          <w:p w14:paraId="2FCFC360" w14:textId="44B7AEA0" w:rsidR="00927823" w:rsidRPr="00640D24" w:rsidRDefault="008B5DD9" w:rsidP="001C0257">
            <w:pPr>
              <w:spacing w:after="0" w:line="240" w:lineRule="auto"/>
              <w:jc w:val="both"/>
              <w:rPr>
                <w:rFonts w:cs="Times New Roman"/>
                <w:sz w:val="21"/>
                <w:szCs w:val="21"/>
                <w:lang w:val="lt-LT"/>
              </w:rPr>
            </w:pPr>
            <w:r w:rsidRPr="00640D24">
              <w:rPr>
                <w:rFonts w:cs="Times New Roman"/>
                <w:sz w:val="21"/>
                <w:szCs w:val="21"/>
                <w:lang w:val="lt-LT"/>
              </w:rPr>
              <w:t>Papildomai 2024 m. gegužės – liepos mėnesiais buvo atlikta 11 interviu: 3 su FT, 5 su verslo asociacijomis ir jį atstovaujančiomis įstaigomis, 3 su ministerijomis.</w:t>
            </w:r>
            <w:r w:rsidR="00B8662C" w:rsidRPr="00640D24">
              <w:rPr>
                <w:rFonts w:cs="Times New Roman"/>
                <w:sz w:val="21"/>
                <w:szCs w:val="21"/>
                <w:lang w:val="lt-LT"/>
              </w:rPr>
              <w:t xml:space="preserve"> Interviu dalyvių sąrašas pateikiamas 1 priede.</w:t>
            </w:r>
          </w:p>
        </w:tc>
      </w:tr>
      <w:tr w:rsidR="00E92F97" w:rsidRPr="00640D24" w14:paraId="29D54AF8" w14:textId="77777777" w:rsidTr="00F9309C">
        <w:tc>
          <w:tcPr>
            <w:tcW w:w="2410" w:type="dxa"/>
            <w:vMerge/>
          </w:tcPr>
          <w:p w14:paraId="7A6FDBC3" w14:textId="77777777" w:rsidR="00E92F97" w:rsidRPr="00640D24" w:rsidRDefault="00E92F97" w:rsidP="00170B5F">
            <w:pPr>
              <w:spacing w:after="0" w:line="240" w:lineRule="auto"/>
              <w:rPr>
                <w:rFonts w:cs="Times New Roman"/>
                <w:b/>
                <w:bCs/>
                <w:sz w:val="21"/>
                <w:szCs w:val="21"/>
                <w:lang w:val="lt-LT"/>
              </w:rPr>
            </w:pPr>
          </w:p>
        </w:tc>
        <w:tc>
          <w:tcPr>
            <w:tcW w:w="2693" w:type="dxa"/>
          </w:tcPr>
          <w:p w14:paraId="304EBB4E" w14:textId="5E1C9F56" w:rsidR="00E92F97" w:rsidRPr="00640D24" w:rsidRDefault="00E92F97" w:rsidP="00170B5F">
            <w:pPr>
              <w:spacing w:after="0" w:line="240" w:lineRule="auto"/>
              <w:rPr>
                <w:rFonts w:cs="Times New Roman"/>
                <w:sz w:val="21"/>
                <w:szCs w:val="21"/>
                <w:lang w:val="lt-LT"/>
              </w:rPr>
            </w:pPr>
            <w:r w:rsidRPr="00640D24">
              <w:rPr>
                <w:rFonts w:cs="Times New Roman"/>
                <w:sz w:val="21"/>
                <w:szCs w:val="21"/>
                <w:lang w:val="lt-LT"/>
              </w:rPr>
              <w:t xml:space="preserve">Fokusuotų </w:t>
            </w:r>
            <w:r w:rsidR="0000081C" w:rsidRPr="00640D24">
              <w:rPr>
                <w:rFonts w:cs="Times New Roman"/>
                <w:sz w:val="21"/>
                <w:szCs w:val="21"/>
                <w:lang w:val="lt-LT"/>
              </w:rPr>
              <w:t xml:space="preserve">grupės </w:t>
            </w:r>
            <w:r w:rsidRPr="00640D24">
              <w:rPr>
                <w:rFonts w:cs="Times New Roman"/>
                <w:sz w:val="21"/>
                <w:szCs w:val="21"/>
                <w:lang w:val="lt-LT"/>
              </w:rPr>
              <w:t>diskusijų programa</w:t>
            </w:r>
          </w:p>
        </w:tc>
        <w:tc>
          <w:tcPr>
            <w:tcW w:w="4536" w:type="dxa"/>
          </w:tcPr>
          <w:p w14:paraId="577475BA" w14:textId="05C29483" w:rsidR="00E92F97" w:rsidRPr="00640D24" w:rsidRDefault="00E92F97" w:rsidP="001C0257">
            <w:pPr>
              <w:spacing w:after="0" w:line="240" w:lineRule="auto"/>
              <w:jc w:val="both"/>
              <w:rPr>
                <w:rFonts w:cs="Times New Roman"/>
                <w:sz w:val="21"/>
                <w:szCs w:val="21"/>
                <w:lang w:val="lt-LT"/>
              </w:rPr>
            </w:pPr>
            <w:r w:rsidRPr="00640D24">
              <w:rPr>
                <w:rFonts w:cs="Times New Roman"/>
                <w:sz w:val="21"/>
                <w:szCs w:val="21"/>
                <w:lang w:val="lt-LT"/>
              </w:rPr>
              <w:t>Atliktos 2 fokusuotos</w:t>
            </w:r>
            <w:r w:rsidR="00BD6A92" w:rsidRPr="00640D24">
              <w:rPr>
                <w:rFonts w:cs="Times New Roman"/>
                <w:sz w:val="21"/>
                <w:szCs w:val="21"/>
                <w:lang w:val="lt-LT"/>
              </w:rPr>
              <w:t xml:space="preserve"> grupės</w:t>
            </w:r>
            <w:r w:rsidRPr="00640D24">
              <w:rPr>
                <w:rFonts w:cs="Times New Roman"/>
                <w:sz w:val="21"/>
                <w:szCs w:val="21"/>
                <w:lang w:val="lt-LT"/>
              </w:rPr>
              <w:t xml:space="preserve"> diskusijos</w:t>
            </w:r>
            <w:r w:rsidR="007E68BF" w:rsidRPr="00640D24">
              <w:rPr>
                <w:rFonts w:cs="Times New Roman"/>
                <w:sz w:val="21"/>
                <w:szCs w:val="21"/>
                <w:lang w:val="lt-LT"/>
              </w:rPr>
              <w:t xml:space="preserve"> su 2 ministerijomis ir 1 agentūra</w:t>
            </w:r>
            <w:r w:rsidR="002E141E" w:rsidRPr="00640D24">
              <w:rPr>
                <w:rFonts w:cs="Times New Roman"/>
                <w:sz w:val="21"/>
                <w:szCs w:val="21"/>
                <w:lang w:val="lt-LT"/>
              </w:rPr>
              <w:t xml:space="preserve">. Fokusuotų </w:t>
            </w:r>
            <w:r w:rsidR="00BD6A92" w:rsidRPr="00640D24">
              <w:rPr>
                <w:rFonts w:cs="Times New Roman"/>
                <w:sz w:val="21"/>
                <w:szCs w:val="21"/>
                <w:lang w:val="lt-LT"/>
              </w:rPr>
              <w:t xml:space="preserve">grupės </w:t>
            </w:r>
            <w:r w:rsidR="002E141E" w:rsidRPr="00640D24">
              <w:rPr>
                <w:rFonts w:cs="Times New Roman"/>
                <w:sz w:val="21"/>
                <w:szCs w:val="21"/>
                <w:lang w:val="lt-LT"/>
              </w:rPr>
              <w:t>diskusijų dalyvių sąrašas pateikiamas 2 priede.</w:t>
            </w:r>
          </w:p>
        </w:tc>
      </w:tr>
      <w:tr w:rsidR="00E92F97" w:rsidRPr="00640D24" w14:paraId="20645C71" w14:textId="77777777" w:rsidTr="00F9309C">
        <w:tc>
          <w:tcPr>
            <w:tcW w:w="2410" w:type="dxa"/>
            <w:vMerge/>
          </w:tcPr>
          <w:p w14:paraId="65FB6875" w14:textId="77777777" w:rsidR="00E92F97" w:rsidRPr="00640D24" w:rsidRDefault="00E92F97" w:rsidP="00170B5F">
            <w:pPr>
              <w:spacing w:after="0" w:line="240" w:lineRule="auto"/>
              <w:rPr>
                <w:rFonts w:cs="Times New Roman"/>
                <w:b/>
                <w:bCs/>
                <w:sz w:val="21"/>
                <w:szCs w:val="21"/>
                <w:lang w:val="lt-LT"/>
              </w:rPr>
            </w:pPr>
          </w:p>
        </w:tc>
        <w:tc>
          <w:tcPr>
            <w:tcW w:w="2693" w:type="dxa"/>
          </w:tcPr>
          <w:p w14:paraId="78E33667" w14:textId="1A9506A7" w:rsidR="00E92F97" w:rsidRPr="00640D24" w:rsidRDefault="007E68BF" w:rsidP="00170B5F">
            <w:pPr>
              <w:spacing w:after="0" w:line="240" w:lineRule="auto"/>
              <w:rPr>
                <w:rFonts w:cs="Times New Roman"/>
                <w:sz w:val="21"/>
                <w:szCs w:val="21"/>
                <w:lang w:val="lt-LT"/>
              </w:rPr>
            </w:pPr>
            <w:r w:rsidRPr="00640D24">
              <w:rPr>
                <w:rFonts w:cs="Times New Roman"/>
                <w:sz w:val="21"/>
                <w:szCs w:val="21"/>
                <w:lang w:val="lt-LT"/>
              </w:rPr>
              <w:t>2019 m. pab. atliktos SVV subjektų apklausos analizė</w:t>
            </w:r>
            <w:r w:rsidRPr="00640D24" w:rsidDel="007E68BF">
              <w:rPr>
                <w:rFonts w:cs="Times New Roman"/>
                <w:sz w:val="21"/>
                <w:szCs w:val="21"/>
                <w:lang w:val="lt-LT"/>
              </w:rPr>
              <w:t xml:space="preserve"> </w:t>
            </w:r>
          </w:p>
        </w:tc>
        <w:tc>
          <w:tcPr>
            <w:tcW w:w="4536" w:type="dxa"/>
          </w:tcPr>
          <w:p w14:paraId="5AC04B54" w14:textId="77777777" w:rsidR="007E68BF" w:rsidRPr="00640D24" w:rsidRDefault="007E68BF" w:rsidP="001C0257">
            <w:pPr>
              <w:spacing w:after="0" w:line="240" w:lineRule="auto"/>
              <w:jc w:val="both"/>
              <w:rPr>
                <w:rFonts w:cs="Times New Roman"/>
                <w:sz w:val="21"/>
                <w:szCs w:val="21"/>
                <w:lang w:val="lt-LT"/>
              </w:rPr>
            </w:pPr>
            <w:r w:rsidRPr="00640D24">
              <w:rPr>
                <w:rFonts w:cs="Times New Roman"/>
                <w:sz w:val="21"/>
                <w:szCs w:val="21"/>
                <w:lang w:val="lt-LT"/>
              </w:rPr>
              <w:t xml:space="preserve">2019 m. </w:t>
            </w:r>
            <w:proofErr w:type="spellStart"/>
            <w:r w:rsidRPr="00640D24">
              <w:rPr>
                <w:rFonts w:cs="Times New Roman"/>
                <w:sz w:val="21"/>
                <w:szCs w:val="21"/>
                <w:lang w:val="lt-LT"/>
              </w:rPr>
              <w:t>PwC</w:t>
            </w:r>
            <w:proofErr w:type="spellEnd"/>
            <w:r w:rsidRPr="00640D24">
              <w:rPr>
                <w:rFonts w:cs="Times New Roman"/>
                <w:sz w:val="21"/>
                <w:szCs w:val="21"/>
                <w:lang w:val="lt-LT"/>
              </w:rPr>
              <w:t xml:space="preserve"> atliko SVV subjektų apklausą. Apklausos anketos buvo išsiųstos apie 10,6 tūkstančių respondentų ir gauta 430 atsakymų. Tokio atsakymų skaičiaus pakanka užtikrinti 5 proc. atsakymų paklaidą prie 95 proc. patikimumo lygio.</w:t>
            </w:r>
          </w:p>
          <w:p w14:paraId="3FAB0ED2" w14:textId="2990B8AA" w:rsidR="00E92F97" w:rsidRPr="00640D24" w:rsidRDefault="007E68BF" w:rsidP="001C0257">
            <w:pPr>
              <w:spacing w:after="0" w:line="240" w:lineRule="auto"/>
              <w:jc w:val="both"/>
              <w:rPr>
                <w:rFonts w:cs="Times New Roman"/>
                <w:sz w:val="21"/>
                <w:szCs w:val="21"/>
                <w:lang w:val="lt-LT"/>
              </w:rPr>
            </w:pPr>
            <w:r w:rsidRPr="00640D24">
              <w:rPr>
                <w:rFonts w:cs="Times New Roman"/>
                <w:sz w:val="21"/>
                <w:szCs w:val="21"/>
                <w:lang w:val="lt-LT"/>
              </w:rPr>
              <w:t>Šio Vertinimo apimtyje buvo atlikta surinktų duomenų analizė.</w:t>
            </w:r>
          </w:p>
        </w:tc>
      </w:tr>
      <w:tr w:rsidR="00E92F97" w:rsidRPr="00640D24" w14:paraId="1ACF5B14" w14:textId="77777777" w:rsidTr="00F9309C">
        <w:tc>
          <w:tcPr>
            <w:tcW w:w="2410" w:type="dxa"/>
            <w:vMerge/>
          </w:tcPr>
          <w:p w14:paraId="453B1FD6" w14:textId="77777777" w:rsidR="00E92F97" w:rsidRPr="00640D24" w:rsidRDefault="00E92F97" w:rsidP="00170B5F">
            <w:pPr>
              <w:spacing w:after="0" w:line="240" w:lineRule="auto"/>
              <w:rPr>
                <w:rFonts w:cs="Times New Roman"/>
                <w:b/>
                <w:bCs/>
                <w:sz w:val="21"/>
                <w:szCs w:val="21"/>
                <w:lang w:val="lt-LT"/>
              </w:rPr>
            </w:pPr>
          </w:p>
        </w:tc>
        <w:tc>
          <w:tcPr>
            <w:tcW w:w="2693" w:type="dxa"/>
          </w:tcPr>
          <w:p w14:paraId="084124D8" w14:textId="77777777" w:rsidR="00E92F97" w:rsidRPr="00640D24" w:rsidRDefault="00E92F97" w:rsidP="00170B5F">
            <w:pPr>
              <w:spacing w:after="0" w:line="240" w:lineRule="auto"/>
              <w:rPr>
                <w:rFonts w:cs="Times New Roman"/>
                <w:sz w:val="21"/>
                <w:szCs w:val="21"/>
                <w:lang w:val="lt-LT"/>
              </w:rPr>
            </w:pPr>
            <w:r w:rsidRPr="00640D24">
              <w:rPr>
                <w:rFonts w:cs="Times New Roman"/>
                <w:sz w:val="21"/>
                <w:szCs w:val="21"/>
                <w:lang w:val="lt-LT"/>
              </w:rPr>
              <w:t>SFMIS duomenų analizė</w:t>
            </w:r>
          </w:p>
        </w:tc>
        <w:tc>
          <w:tcPr>
            <w:tcW w:w="4536" w:type="dxa"/>
          </w:tcPr>
          <w:p w14:paraId="462F2C9D" w14:textId="7E7EBD23" w:rsidR="00E92F97" w:rsidRPr="00640D24" w:rsidRDefault="00E92F97" w:rsidP="001C0257">
            <w:pPr>
              <w:spacing w:after="0" w:line="240" w:lineRule="auto"/>
              <w:jc w:val="both"/>
              <w:rPr>
                <w:rFonts w:cs="Times New Roman"/>
                <w:sz w:val="21"/>
                <w:szCs w:val="21"/>
                <w:lang w:val="lt-LT"/>
              </w:rPr>
            </w:pPr>
            <w:r w:rsidRPr="00640D24">
              <w:rPr>
                <w:rFonts w:cs="Times New Roman"/>
                <w:sz w:val="21"/>
                <w:szCs w:val="21"/>
                <w:lang w:val="lt-LT"/>
              </w:rPr>
              <w:t>2014</w:t>
            </w:r>
            <w:r w:rsidR="00893EAA" w:rsidRPr="00640D24">
              <w:rPr>
                <w:rFonts w:cs="Times New Roman"/>
                <w:sz w:val="22"/>
                <w:szCs w:val="22"/>
                <w:lang w:val="lt-LT"/>
              </w:rPr>
              <w:t>–</w:t>
            </w:r>
            <w:r w:rsidRPr="00640D24">
              <w:rPr>
                <w:rFonts w:cs="Times New Roman"/>
                <w:sz w:val="21"/>
                <w:szCs w:val="21"/>
                <w:lang w:val="lt-LT"/>
              </w:rPr>
              <w:t xml:space="preserve">2020 m. </w:t>
            </w:r>
            <w:r w:rsidR="0039219B" w:rsidRPr="00640D24">
              <w:rPr>
                <w:rFonts w:cs="Times New Roman"/>
                <w:sz w:val="21"/>
                <w:szCs w:val="21"/>
                <w:lang w:val="lt-LT"/>
              </w:rPr>
              <w:t xml:space="preserve">fondų </w:t>
            </w:r>
            <w:r w:rsidRPr="00640D24">
              <w:rPr>
                <w:rFonts w:cs="Times New Roman"/>
                <w:sz w:val="21"/>
                <w:szCs w:val="21"/>
                <w:lang w:val="lt-LT"/>
              </w:rPr>
              <w:t>ES investicijų priemonių lėšų panaudojimo duomenys</w:t>
            </w:r>
            <w:r w:rsidR="00F23C28" w:rsidRPr="00640D24">
              <w:rPr>
                <w:rFonts w:cs="Times New Roman"/>
                <w:sz w:val="21"/>
                <w:szCs w:val="21"/>
                <w:lang w:val="lt-LT"/>
              </w:rPr>
              <w:t>.</w:t>
            </w:r>
          </w:p>
        </w:tc>
      </w:tr>
      <w:tr w:rsidR="00F270D0" w:rsidRPr="00640D24" w14:paraId="2B360094" w14:textId="77777777" w:rsidTr="00F9309C">
        <w:tc>
          <w:tcPr>
            <w:tcW w:w="2410" w:type="dxa"/>
            <w:vMerge/>
          </w:tcPr>
          <w:p w14:paraId="191818EF" w14:textId="77777777" w:rsidR="00F270D0" w:rsidRPr="00640D24" w:rsidRDefault="00F270D0" w:rsidP="00F270D0">
            <w:pPr>
              <w:spacing w:after="0" w:line="240" w:lineRule="auto"/>
              <w:rPr>
                <w:rFonts w:cs="Times New Roman"/>
                <w:b/>
                <w:bCs/>
                <w:sz w:val="21"/>
                <w:szCs w:val="21"/>
                <w:lang w:val="lt-LT"/>
              </w:rPr>
            </w:pPr>
          </w:p>
        </w:tc>
        <w:tc>
          <w:tcPr>
            <w:tcW w:w="2693" w:type="dxa"/>
          </w:tcPr>
          <w:p w14:paraId="4C8154CD" w14:textId="4A77C200"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 xml:space="preserve">2023 </w:t>
            </w:r>
            <w:r w:rsidR="00880FF0" w:rsidRPr="00640D24">
              <w:rPr>
                <w:rFonts w:cs="Times New Roman"/>
                <w:sz w:val="21"/>
                <w:szCs w:val="21"/>
                <w:lang w:val="lt-LT"/>
              </w:rPr>
              <w:t xml:space="preserve">m. </w:t>
            </w:r>
            <w:r w:rsidRPr="00640D24">
              <w:rPr>
                <w:rFonts w:cs="Times New Roman"/>
                <w:sz w:val="21"/>
                <w:szCs w:val="21"/>
                <w:lang w:val="lt-LT"/>
              </w:rPr>
              <w:t xml:space="preserve">birželio–liepos mėn. MVĮ ir DĮ apklausos analizė </w:t>
            </w:r>
          </w:p>
        </w:tc>
        <w:tc>
          <w:tcPr>
            <w:tcW w:w="4536" w:type="dxa"/>
          </w:tcPr>
          <w:p w14:paraId="189F1D5C" w14:textId="62ACFCE3" w:rsidR="00DE79C4" w:rsidRPr="00640D24" w:rsidRDefault="00F270D0" w:rsidP="001C0257">
            <w:pPr>
              <w:spacing w:after="0" w:line="240" w:lineRule="auto"/>
              <w:jc w:val="both"/>
              <w:rPr>
                <w:rFonts w:cs="Times New Roman"/>
                <w:sz w:val="21"/>
                <w:szCs w:val="21"/>
                <w:lang w:val="lt-LT"/>
              </w:rPr>
            </w:pPr>
            <w:r w:rsidRPr="00640D24">
              <w:rPr>
                <w:rFonts w:cs="Times New Roman"/>
                <w:sz w:val="21"/>
                <w:szCs w:val="21"/>
                <w:lang w:val="lt-LT"/>
              </w:rPr>
              <w:t>2023</w:t>
            </w:r>
            <w:r w:rsidR="00880FF0" w:rsidRPr="00640D24">
              <w:rPr>
                <w:rFonts w:cs="Times New Roman"/>
                <w:sz w:val="21"/>
                <w:szCs w:val="21"/>
                <w:lang w:val="lt-LT"/>
              </w:rPr>
              <w:t xml:space="preserve"> m.</w:t>
            </w:r>
            <w:r w:rsidRPr="00640D24">
              <w:rPr>
                <w:rFonts w:cs="Times New Roman"/>
                <w:sz w:val="21"/>
                <w:szCs w:val="21"/>
                <w:lang w:val="lt-LT"/>
              </w:rPr>
              <w:t xml:space="preserve"> birželio–liepos mėn. Vertintojų u</w:t>
            </w:r>
            <w:r w:rsidR="008F4D66" w:rsidRPr="00640D24">
              <w:rPr>
                <w:rFonts w:cs="Times New Roman"/>
                <w:sz w:val="21"/>
                <w:szCs w:val="21"/>
                <w:lang w:val="lt-LT"/>
              </w:rPr>
              <w:t>žsakymu tyrimų bendrovė „Norstat</w:t>
            </w:r>
            <w:r w:rsidRPr="00640D24">
              <w:rPr>
                <w:rFonts w:cs="Times New Roman"/>
                <w:sz w:val="21"/>
                <w:szCs w:val="21"/>
                <w:lang w:val="lt-LT"/>
              </w:rPr>
              <w:t xml:space="preserve">“ atliko MVĮ ir DĮ apklausą, siekiant identifikuoti suplanuotų investicijų mastą ir poreikį pažangių gamybos technologijų vystymo ir diegimo ir pramonės transformacijos skatinimo, pereinant prie klimatui neutralios gamybos, tikslinėse srityse. Siekiant užtikrinti apklausų reprezentatyvumą, apklausos metu buvo individualiai apklausta 300 MVĮ, veikiančių apdirbamosios gamybos sektoriuje, Apklausiami buvo tik įmonių generaliniai direktoriai, finansų direktoriai ar valdybos nariai. Apklaustų įmonių skaičius leido užtikrinti 5 proc. atsakymų paklaidą prie 95 proc. patikimumo lygio. </w:t>
            </w:r>
            <w:r w:rsidR="00DE79C4" w:rsidRPr="00640D24">
              <w:rPr>
                <w:rFonts w:cs="Times New Roman"/>
                <w:sz w:val="21"/>
                <w:szCs w:val="21"/>
                <w:lang w:val="lt-LT"/>
              </w:rPr>
              <w:t xml:space="preserve">Tuo tarpu DĮ apklausos atveju buvo apklausta 49 </w:t>
            </w:r>
            <w:r w:rsidR="00880FF0" w:rsidRPr="00640D24">
              <w:rPr>
                <w:rFonts w:cs="Times New Roman"/>
                <w:sz w:val="21"/>
                <w:szCs w:val="21"/>
                <w:lang w:val="lt-LT"/>
              </w:rPr>
              <w:t>DĮ</w:t>
            </w:r>
            <w:r w:rsidR="00DE79C4" w:rsidRPr="00640D24">
              <w:rPr>
                <w:rFonts w:cs="Times New Roman"/>
                <w:sz w:val="21"/>
                <w:szCs w:val="21"/>
                <w:lang w:val="lt-LT"/>
              </w:rPr>
              <w:t xml:space="preserve"> arba trečdalis visų DĮ Lietuvoje. Lietuvos pramoninkų konfederacijos apklausos metu buvo dar papildomai apklaustos </w:t>
            </w:r>
            <w:r w:rsidR="00C80832" w:rsidRPr="00640D24">
              <w:rPr>
                <w:rFonts w:cs="Times New Roman"/>
                <w:sz w:val="21"/>
                <w:szCs w:val="21"/>
                <w:lang w:val="lt-LT"/>
              </w:rPr>
              <w:t>22</w:t>
            </w:r>
            <w:r w:rsidR="00DE79C4" w:rsidRPr="00640D24">
              <w:rPr>
                <w:rFonts w:cs="Times New Roman"/>
                <w:sz w:val="21"/>
                <w:szCs w:val="21"/>
                <w:lang w:val="lt-LT"/>
              </w:rPr>
              <w:t xml:space="preserve"> DĮ</w:t>
            </w:r>
            <w:r w:rsidR="00B42E9B" w:rsidRPr="00640D24">
              <w:rPr>
                <w:rFonts w:cs="Times New Roman"/>
                <w:sz w:val="21"/>
                <w:szCs w:val="21"/>
                <w:lang w:val="lt-LT"/>
              </w:rPr>
              <w:t xml:space="preserve"> (šios įmonės nebuvo apklaustos reprezentatyvios apklausos metu)</w:t>
            </w:r>
            <w:r w:rsidR="00DE79C4" w:rsidRPr="00640D24">
              <w:rPr>
                <w:rFonts w:cs="Times New Roman"/>
                <w:sz w:val="21"/>
                <w:szCs w:val="21"/>
                <w:lang w:val="lt-LT"/>
              </w:rPr>
              <w:t xml:space="preserve">. Tad per visa Lietuvą buvo apklausta </w:t>
            </w:r>
            <w:r w:rsidR="00C80832" w:rsidRPr="00640D24">
              <w:rPr>
                <w:rFonts w:cs="Times New Roman"/>
                <w:sz w:val="21"/>
                <w:szCs w:val="21"/>
                <w:lang w:val="lt-LT"/>
              </w:rPr>
              <w:t>iš esmės pusė DĮ populiacijos.</w:t>
            </w:r>
          </w:p>
        </w:tc>
      </w:tr>
      <w:tr w:rsidR="00F270D0" w:rsidRPr="00640D24" w14:paraId="0CF2EE5A" w14:textId="77777777" w:rsidTr="00F9309C">
        <w:tc>
          <w:tcPr>
            <w:tcW w:w="2410" w:type="dxa"/>
            <w:vMerge/>
          </w:tcPr>
          <w:p w14:paraId="51C10368" w14:textId="77777777" w:rsidR="00F270D0" w:rsidRPr="00640D24" w:rsidRDefault="00F270D0" w:rsidP="00F270D0">
            <w:pPr>
              <w:spacing w:after="0" w:line="240" w:lineRule="auto"/>
              <w:rPr>
                <w:rFonts w:cs="Times New Roman"/>
                <w:b/>
                <w:bCs/>
                <w:sz w:val="21"/>
                <w:szCs w:val="21"/>
                <w:lang w:val="lt-LT"/>
              </w:rPr>
            </w:pPr>
          </w:p>
        </w:tc>
        <w:tc>
          <w:tcPr>
            <w:tcW w:w="2693" w:type="dxa"/>
          </w:tcPr>
          <w:p w14:paraId="74AC9E38" w14:textId="3C00B978"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2023</w:t>
            </w:r>
            <w:r w:rsidR="00880FF0" w:rsidRPr="00640D24">
              <w:rPr>
                <w:rFonts w:cs="Times New Roman"/>
                <w:sz w:val="21"/>
                <w:szCs w:val="21"/>
                <w:lang w:val="lt-LT"/>
              </w:rPr>
              <w:t xml:space="preserve"> m.</w:t>
            </w:r>
            <w:r w:rsidRPr="00640D24">
              <w:rPr>
                <w:rFonts w:cs="Times New Roman"/>
                <w:sz w:val="21"/>
                <w:szCs w:val="21"/>
                <w:lang w:val="lt-LT"/>
              </w:rPr>
              <w:t xml:space="preserve"> birželio–liepos mėn. biotechnologijų ir gynybos ir saugumo sektoriaus įmonių anketinė apklausa </w:t>
            </w:r>
          </w:p>
        </w:tc>
        <w:tc>
          <w:tcPr>
            <w:tcW w:w="4536" w:type="dxa"/>
          </w:tcPr>
          <w:p w14:paraId="5237E2B3" w14:textId="63ED3A58" w:rsidR="00F270D0" w:rsidRPr="00640D24" w:rsidRDefault="00F270D0" w:rsidP="001C0257">
            <w:pPr>
              <w:spacing w:after="0" w:line="240" w:lineRule="auto"/>
              <w:jc w:val="both"/>
              <w:rPr>
                <w:rFonts w:cs="Times New Roman"/>
                <w:sz w:val="21"/>
                <w:szCs w:val="21"/>
                <w:lang w:val="lt-LT"/>
              </w:rPr>
            </w:pPr>
            <w:r w:rsidRPr="00640D24">
              <w:rPr>
                <w:rFonts w:cs="Times New Roman"/>
                <w:sz w:val="21"/>
                <w:szCs w:val="21"/>
                <w:lang w:val="lt-LT"/>
              </w:rPr>
              <w:t>2023</w:t>
            </w:r>
            <w:r w:rsidR="00880FF0" w:rsidRPr="00640D24">
              <w:rPr>
                <w:rFonts w:cs="Times New Roman"/>
                <w:sz w:val="21"/>
                <w:szCs w:val="21"/>
                <w:lang w:val="lt-LT"/>
              </w:rPr>
              <w:t xml:space="preserve"> m.</w:t>
            </w:r>
            <w:r w:rsidRPr="00640D24">
              <w:rPr>
                <w:rFonts w:cs="Times New Roman"/>
                <w:sz w:val="21"/>
                <w:szCs w:val="21"/>
                <w:lang w:val="lt-LT"/>
              </w:rPr>
              <w:t xml:space="preserve"> birželio–liepos mėn. Vertintojai atliko biotechnologijų ir gynybos ir saugumo sektoriaus įmonių apklausą. Apklausa buvo išsiųsta </w:t>
            </w:r>
            <w:r w:rsidR="00856312" w:rsidRPr="00640D24">
              <w:rPr>
                <w:rFonts w:cs="Times New Roman"/>
                <w:sz w:val="21"/>
                <w:szCs w:val="21"/>
                <w:lang w:val="lt-LT"/>
              </w:rPr>
              <w:t>liepos 3 d.</w:t>
            </w:r>
            <w:r w:rsidRPr="00640D24">
              <w:rPr>
                <w:rFonts w:cs="Times New Roman"/>
                <w:sz w:val="21"/>
                <w:szCs w:val="21"/>
                <w:lang w:val="lt-LT"/>
              </w:rPr>
              <w:t xml:space="preserve">, o gauta atsakymų </w:t>
            </w:r>
            <w:r w:rsidR="00856312" w:rsidRPr="00640D24">
              <w:rPr>
                <w:rFonts w:cs="Times New Roman"/>
                <w:sz w:val="21"/>
                <w:szCs w:val="21"/>
                <w:lang w:val="lt-LT"/>
              </w:rPr>
              <w:t>24.</w:t>
            </w:r>
            <w:r w:rsidRPr="00640D24">
              <w:rPr>
                <w:rFonts w:cs="Times New Roman"/>
                <w:sz w:val="21"/>
                <w:szCs w:val="21"/>
                <w:lang w:val="lt-LT"/>
              </w:rPr>
              <w:t xml:space="preserve"> </w:t>
            </w:r>
          </w:p>
          <w:p w14:paraId="4D2DC40E" w14:textId="77777777" w:rsidR="00F270D0" w:rsidRPr="00640D24" w:rsidRDefault="00F270D0" w:rsidP="001C0257">
            <w:pPr>
              <w:spacing w:after="0" w:line="240" w:lineRule="auto"/>
              <w:jc w:val="both"/>
              <w:rPr>
                <w:rFonts w:cs="Times New Roman"/>
                <w:sz w:val="21"/>
                <w:szCs w:val="21"/>
                <w:lang w:val="lt-LT"/>
              </w:rPr>
            </w:pPr>
            <w:r w:rsidRPr="00640D24">
              <w:rPr>
                <w:rFonts w:cs="Times New Roman"/>
                <w:sz w:val="21"/>
                <w:szCs w:val="21"/>
                <w:lang w:val="lt-LT"/>
              </w:rPr>
              <w:t>Turimų atsakymų skaičius neleido užtikrinti 5 proc. atsakymų paklaidą prie 95 proc. patikimumo lygio. Vis dėlto, apklausos rezultatai suteikė bendrinių kokybinių įžvalgų dėl investicijų poreikio biotechnologijų ir gynybos ir saugumo sektoriaus įmonių segmente.</w:t>
            </w:r>
          </w:p>
          <w:p w14:paraId="1D3ECAB3" w14:textId="3934BA33" w:rsidR="00511748" w:rsidRPr="00640D24" w:rsidRDefault="00511748" w:rsidP="001C0257">
            <w:pPr>
              <w:spacing w:after="0" w:line="240" w:lineRule="auto"/>
              <w:jc w:val="both"/>
              <w:rPr>
                <w:rFonts w:cs="Times New Roman"/>
                <w:sz w:val="21"/>
                <w:szCs w:val="21"/>
                <w:lang w:val="lt-LT"/>
              </w:rPr>
            </w:pPr>
            <w:r w:rsidRPr="00640D24">
              <w:rPr>
                <w:rFonts w:cs="Times New Roman"/>
                <w:sz w:val="21"/>
                <w:szCs w:val="21"/>
                <w:lang w:val="lt-LT"/>
              </w:rPr>
              <w:t xml:space="preserve">2023 rugsėjo mėn. Vertintojai pakartotinai atliko biotechnologijų sektoriaus įmonių apklausą. </w:t>
            </w:r>
            <w:r w:rsidRPr="00640D24">
              <w:rPr>
                <w:rFonts w:cs="Times New Roman"/>
                <w:sz w:val="21"/>
                <w:szCs w:val="21"/>
                <w:lang w:val="lt-LT"/>
              </w:rPr>
              <w:lastRenderedPageBreak/>
              <w:t>Apklausa buvo išsiųsta rugsėjo 8 d., o gauta atsakymų 15.</w:t>
            </w:r>
          </w:p>
        </w:tc>
      </w:tr>
      <w:tr w:rsidR="00F270D0" w:rsidRPr="00640D24" w14:paraId="2E7C5F66" w14:textId="77777777" w:rsidTr="00F9309C">
        <w:tc>
          <w:tcPr>
            <w:tcW w:w="2410" w:type="dxa"/>
            <w:vMerge/>
          </w:tcPr>
          <w:p w14:paraId="5BD1A5F2" w14:textId="77777777" w:rsidR="00F270D0" w:rsidRPr="00640D24" w:rsidRDefault="00F270D0" w:rsidP="00F270D0">
            <w:pPr>
              <w:spacing w:after="0" w:line="240" w:lineRule="auto"/>
              <w:rPr>
                <w:rFonts w:cs="Times New Roman"/>
                <w:b/>
                <w:bCs/>
                <w:sz w:val="21"/>
                <w:szCs w:val="21"/>
                <w:lang w:val="lt-LT"/>
              </w:rPr>
            </w:pPr>
          </w:p>
        </w:tc>
        <w:tc>
          <w:tcPr>
            <w:tcW w:w="2693" w:type="dxa"/>
          </w:tcPr>
          <w:p w14:paraId="14D812E1" w14:textId="302C1853"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2023 m. liepos mėn. buvo atlikta Lietuvos pramoninkų konfederacijos atstovų ir narių apklausa</w:t>
            </w:r>
          </w:p>
        </w:tc>
        <w:tc>
          <w:tcPr>
            <w:tcW w:w="4536" w:type="dxa"/>
          </w:tcPr>
          <w:p w14:paraId="4058ECAC" w14:textId="30E7D842" w:rsidR="00F270D0" w:rsidRPr="00640D24" w:rsidRDefault="00F270D0" w:rsidP="001C0257">
            <w:pPr>
              <w:spacing w:after="0" w:line="240" w:lineRule="auto"/>
              <w:jc w:val="both"/>
              <w:rPr>
                <w:rFonts w:cs="Times New Roman"/>
                <w:sz w:val="21"/>
                <w:szCs w:val="21"/>
                <w:lang w:val="lt-LT"/>
              </w:rPr>
            </w:pPr>
            <w:r w:rsidRPr="00640D24">
              <w:rPr>
                <w:rFonts w:cs="Times New Roman"/>
                <w:sz w:val="21"/>
                <w:szCs w:val="21"/>
                <w:lang w:val="lt-LT"/>
              </w:rPr>
              <w:t>2023 m. liepos mėn. Vertintojai atliko Lietuvos pramoninkų konfederacijos atstovų ir narių apklausą. Respondentams buvo išsiųsta identiška apklausą, kurią 2023 m. birželio–</w:t>
            </w:r>
            <w:r w:rsidR="008F4D66" w:rsidRPr="00640D24">
              <w:rPr>
                <w:rFonts w:cs="Times New Roman"/>
                <w:sz w:val="21"/>
                <w:szCs w:val="21"/>
                <w:lang w:val="lt-LT"/>
              </w:rPr>
              <w:t>liepos mėn. atliko UAB „Norstat</w:t>
            </w:r>
            <w:r w:rsidRPr="00640D24">
              <w:rPr>
                <w:rFonts w:cs="Times New Roman"/>
                <w:sz w:val="21"/>
                <w:szCs w:val="21"/>
                <w:lang w:val="lt-LT"/>
              </w:rPr>
              <w:t xml:space="preserve">“ apklausiant </w:t>
            </w:r>
            <w:r w:rsidR="00856312" w:rsidRPr="00640D24">
              <w:rPr>
                <w:rFonts w:cs="Times New Roman"/>
                <w:sz w:val="21"/>
                <w:szCs w:val="21"/>
                <w:lang w:val="lt-LT"/>
              </w:rPr>
              <w:t xml:space="preserve">49 </w:t>
            </w:r>
            <w:r w:rsidRPr="00640D24">
              <w:rPr>
                <w:rFonts w:cs="Times New Roman"/>
                <w:sz w:val="21"/>
                <w:szCs w:val="21"/>
                <w:lang w:val="lt-LT"/>
              </w:rPr>
              <w:t>DĮ. Atlikta Lietuvos pramoninkų konfederacijos atstovų ir narių apklausa leido kokybinėm</w:t>
            </w:r>
            <w:r w:rsidR="00E40032" w:rsidRPr="00640D24">
              <w:rPr>
                <w:rFonts w:cs="Times New Roman"/>
                <w:sz w:val="21"/>
                <w:szCs w:val="21"/>
                <w:lang w:val="lt-LT"/>
              </w:rPr>
              <w:t>is</w:t>
            </w:r>
            <w:r w:rsidRPr="00640D24">
              <w:rPr>
                <w:rFonts w:cs="Times New Roman"/>
                <w:sz w:val="21"/>
                <w:szCs w:val="21"/>
                <w:lang w:val="lt-LT"/>
              </w:rPr>
              <w:t xml:space="preserve"> įžvalgom ir papildoma kiekybine informacija sustiprinti DĮ įmonių apklausą</w:t>
            </w:r>
            <w:r w:rsidR="00C80832" w:rsidRPr="00640D24">
              <w:rPr>
                <w:rFonts w:cs="Times New Roman"/>
                <w:sz w:val="21"/>
                <w:szCs w:val="21"/>
                <w:lang w:val="lt-LT"/>
              </w:rPr>
              <w:t>.</w:t>
            </w:r>
          </w:p>
        </w:tc>
      </w:tr>
      <w:tr w:rsidR="006D0BD0" w:rsidRPr="00640D24" w14:paraId="48571976" w14:textId="77777777" w:rsidTr="00F9309C">
        <w:tc>
          <w:tcPr>
            <w:tcW w:w="2410" w:type="dxa"/>
            <w:vMerge/>
          </w:tcPr>
          <w:p w14:paraId="462A5E39" w14:textId="77777777" w:rsidR="006D0BD0" w:rsidRPr="00640D24" w:rsidRDefault="006D0BD0" w:rsidP="00F270D0">
            <w:pPr>
              <w:spacing w:after="0" w:line="240" w:lineRule="auto"/>
              <w:rPr>
                <w:rFonts w:cs="Times New Roman"/>
                <w:b/>
                <w:bCs/>
                <w:sz w:val="21"/>
                <w:szCs w:val="21"/>
              </w:rPr>
            </w:pPr>
          </w:p>
        </w:tc>
        <w:tc>
          <w:tcPr>
            <w:tcW w:w="2693" w:type="dxa"/>
          </w:tcPr>
          <w:p w14:paraId="626D9D47" w14:textId="087E71B3" w:rsidR="006D0BD0" w:rsidRPr="00640D24" w:rsidRDefault="006D0BD0" w:rsidP="00F270D0">
            <w:pPr>
              <w:spacing w:after="0" w:line="240" w:lineRule="auto"/>
              <w:rPr>
                <w:rFonts w:cs="Times New Roman"/>
                <w:sz w:val="21"/>
                <w:szCs w:val="21"/>
                <w:lang w:val="lt-LT"/>
              </w:rPr>
            </w:pPr>
            <w:r w:rsidRPr="00640D24">
              <w:rPr>
                <w:rFonts w:cs="Times New Roman"/>
                <w:sz w:val="21"/>
                <w:szCs w:val="21"/>
                <w:lang w:val="lt-LT"/>
              </w:rPr>
              <w:t xml:space="preserve">2024 m. liepos mėn. </w:t>
            </w:r>
            <w:proofErr w:type="spellStart"/>
            <w:r w:rsidRPr="00640D24">
              <w:rPr>
                <w:rFonts w:cs="Times New Roman"/>
                <w:sz w:val="21"/>
                <w:szCs w:val="21"/>
                <w:lang w:val="lt-LT"/>
              </w:rPr>
              <w:t>VšĮ</w:t>
            </w:r>
            <w:proofErr w:type="spellEnd"/>
            <w:r w:rsidRPr="00640D24">
              <w:rPr>
                <w:rFonts w:cs="Times New Roman"/>
                <w:sz w:val="21"/>
                <w:szCs w:val="21"/>
                <w:lang w:val="lt-LT"/>
              </w:rPr>
              <w:t xml:space="preserve"> Inovacijų agentūra atlikta anket</w:t>
            </w:r>
            <w:r w:rsidR="001E382A" w:rsidRPr="00640D24">
              <w:rPr>
                <w:rFonts w:cs="Times New Roman"/>
                <w:sz w:val="21"/>
                <w:szCs w:val="21"/>
                <w:lang w:val="lt-LT"/>
              </w:rPr>
              <w:t>inė</w:t>
            </w:r>
            <w:r w:rsidRPr="00640D24">
              <w:rPr>
                <w:rFonts w:cs="Times New Roman"/>
                <w:sz w:val="21"/>
                <w:szCs w:val="21"/>
                <w:lang w:val="lt-LT"/>
              </w:rPr>
              <w:t xml:space="preserve"> gynybos ir saugumo sektoriuje veikiančių ir potenci</w:t>
            </w:r>
            <w:r w:rsidR="001E382A" w:rsidRPr="00640D24">
              <w:rPr>
                <w:rFonts w:cs="Times New Roman"/>
                <w:sz w:val="21"/>
                <w:szCs w:val="21"/>
                <w:lang w:val="lt-LT"/>
              </w:rPr>
              <w:t>alią galimybę veikti turinčių įmonių apklausa</w:t>
            </w:r>
          </w:p>
        </w:tc>
        <w:tc>
          <w:tcPr>
            <w:tcW w:w="4536" w:type="dxa"/>
          </w:tcPr>
          <w:p w14:paraId="22378E34" w14:textId="50CB87AB" w:rsidR="006D0BD0" w:rsidRPr="00640D24" w:rsidRDefault="00E136A3" w:rsidP="00241643">
            <w:pPr>
              <w:spacing w:after="0" w:line="240" w:lineRule="auto"/>
              <w:jc w:val="both"/>
              <w:rPr>
                <w:rFonts w:cs="Times New Roman"/>
                <w:sz w:val="21"/>
                <w:szCs w:val="21"/>
                <w:lang w:val="lt-LT"/>
              </w:rPr>
            </w:pPr>
            <w:r w:rsidRPr="00640D24">
              <w:rPr>
                <w:rFonts w:cs="Times New Roman"/>
                <w:sz w:val="21"/>
                <w:szCs w:val="21"/>
                <w:lang w:val="lt-LT"/>
              </w:rPr>
              <w:t xml:space="preserve">2024 m. liepos mėn. </w:t>
            </w:r>
            <w:proofErr w:type="spellStart"/>
            <w:r w:rsidRPr="00640D24">
              <w:rPr>
                <w:rFonts w:cs="Times New Roman"/>
                <w:sz w:val="21"/>
                <w:szCs w:val="21"/>
                <w:lang w:val="lt-LT"/>
              </w:rPr>
              <w:t>VšĮ</w:t>
            </w:r>
            <w:proofErr w:type="spellEnd"/>
            <w:r w:rsidRPr="00640D24">
              <w:rPr>
                <w:rFonts w:cs="Times New Roman"/>
                <w:sz w:val="21"/>
                <w:szCs w:val="21"/>
                <w:lang w:val="lt-LT"/>
              </w:rPr>
              <w:t xml:space="preserve"> Inovacijų agentūra atliko</w:t>
            </w:r>
            <w:r w:rsidR="004A6C20" w:rsidRPr="00640D24">
              <w:rPr>
                <w:rFonts w:cs="Times New Roman"/>
                <w:sz w:val="21"/>
                <w:szCs w:val="21"/>
                <w:lang w:val="lt-LT"/>
              </w:rPr>
              <w:t xml:space="preserve"> gynybos ir saugumo sektoriuj</w:t>
            </w:r>
            <w:r w:rsidR="004F7575" w:rsidRPr="00640D24">
              <w:rPr>
                <w:rFonts w:cs="Times New Roman"/>
                <w:sz w:val="21"/>
                <w:szCs w:val="21"/>
                <w:lang w:val="lt-LT"/>
              </w:rPr>
              <w:t>e</w:t>
            </w:r>
            <w:r w:rsidR="004A6C20" w:rsidRPr="00640D24">
              <w:rPr>
                <w:rFonts w:cs="Times New Roman"/>
                <w:sz w:val="21"/>
                <w:szCs w:val="21"/>
                <w:lang w:val="lt-LT"/>
              </w:rPr>
              <w:t xml:space="preserve"> veikiančių ir potencialią galimybę prisijungti turinčių įmonių anketinę apklausą, į kurią buvo įtraukti ir</w:t>
            </w:r>
            <w:r w:rsidR="00F946EA" w:rsidRPr="00640D24">
              <w:rPr>
                <w:rFonts w:cs="Times New Roman"/>
                <w:sz w:val="21"/>
                <w:szCs w:val="21"/>
                <w:lang w:val="lt-LT"/>
              </w:rPr>
              <w:t xml:space="preserve"> </w:t>
            </w:r>
            <w:r w:rsidR="00AC64D1" w:rsidRPr="00640D24">
              <w:rPr>
                <w:rFonts w:cs="Times New Roman"/>
                <w:sz w:val="21"/>
                <w:szCs w:val="21"/>
                <w:lang w:val="lt-LT"/>
              </w:rPr>
              <w:t>su išo</w:t>
            </w:r>
            <w:r w:rsidR="00F946EA" w:rsidRPr="00640D24">
              <w:rPr>
                <w:rFonts w:cs="Times New Roman"/>
                <w:sz w:val="21"/>
                <w:szCs w:val="21"/>
                <w:lang w:val="lt-LT"/>
              </w:rPr>
              <w:t>r</w:t>
            </w:r>
            <w:r w:rsidR="00AC64D1" w:rsidRPr="00640D24">
              <w:rPr>
                <w:rFonts w:cs="Times New Roman"/>
                <w:sz w:val="21"/>
                <w:szCs w:val="21"/>
                <w:lang w:val="lt-LT"/>
              </w:rPr>
              <w:t>inio finansavimo poreikiu susiję klausimai</w:t>
            </w:r>
            <w:r w:rsidR="00360B69" w:rsidRPr="00640D24">
              <w:rPr>
                <w:rFonts w:cs="Times New Roman"/>
                <w:sz w:val="21"/>
                <w:szCs w:val="21"/>
                <w:lang w:val="lt-LT"/>
              </w:rPr>
              <w:t xml:space="preserve">. Įvertinant, kad apklausos metu buvo identifikuojamos 100 sektoriuje veikiančių įmonių, o atsakymų gauta </w:t>
            </w:r>
            <w:r w:rsidR="00820412" w:rsidRPr="00640D24">
              <w:rPr>
                <w:rFonts w:cs="Times New Roman"/>
                <w:sz w:val="21"/>
                <w:szCs w:val="21"/>
                <w:lang w:val="lt-LT"/>
              </w:rPr>
              <w:t>36</w:t>
            </w:r>
            <w:r w:rsidR="006200CA" w:rsidRPr="00640D24">
              <w:rPr>
                <w:rFonts w:cs="Times New Roman"/>
                <w:sz w:val="21"/>
                <w:szCs w:val="21"/>
                <w:lang w:val="lt-LT"/>
              </w:rPr>
              <w:t xml:space="preserve">, </w:t>
            </w:r>
            <w:r w:rsidR="005B2505" w:rsidRPr="00640D24">
              <w:rPr>
                <w:rFonts w:cs="Times New Roman"/>
                <w:sz w:val="21"/>
                <w:szCs w:val="21"/>
                <w:lang w:val="lt-LT"/>
              </w:rPr>
              <w:t xml:space="preserve">jais remiantis </w:t>
            </w:r>
            <w:r w:rsidR="006200CA" w:rsidRPr="00640D24">
              <w:rPr>
                <w:rFonts w:cs="Times New Roman"/>
                <w:sz w:val="21"/>
                <w:szCs w:val="21"/>
                <w:lang w:val="lt-LT"/>
              </w:rPr>
              <w:t>nustaty</w:t>
            </w:r>
            <w:r w:rsidR="001D197A" w:rsidRPr="00640D24">
              <w:rPr>
                <w:rFonts w:cs="Times New Roman"/>
                <w:sz w:val="21"/>
                <w:szCs w:val="21"/>
                <w:lang w:val="lt-LT"/>
              </w:rPr>
              <w:t>tos reikšmės</w:t>
            </w:r>
            <w:r w:rsidR="005B2505" w:rsidRPr="00640D24">
              <w:rPr>
                <w:rFonts w:cs="Times New Roman"/>
                <w:sz w:val="21"/>
                <w:szCs w:val="21"/>
                <w:lang w:val="lt-LT"/>
              </w:rPr>
              <w:t xml:space="preserve"> gali svyruoti +-</w:t>
            </w:r>
            <w:r w:rsidR="00966B30" w:rsidRPr="00640D24">
              <w:rPr>
                <w:rFonts w:cs="Times New Roman"/>
                <w:sz w:val="21"/>
                <w:szCs w:val="21"/>
                <w:lang w:val="lt-LT"/>
              </w:rPr>
              <w:t>15 proc. intervale prie 95 proc. patikimumo lygio.</w:t>
            </w:r>
          </w:p>
        </w:tc>
      </w:tr>
      <w:tr w:rsidR="00F270D0" w:rsidRPr="00640D24" w14:paraId="7BF71669" w14:textId="77777777" w:rsidTr="00F9309C">
        <w:tc>
          <w:tcPr>
            <w:tcW w:w="2410" w:type="dxa"/>
            <w:vMerge/>
          </w:tcPr>
          <w:p w14:paraId="1FE5D227" w14:textId="77777777" w:rsidR="00F270D0" w:rsidRPr="00640D24" w:rsidRDefault="00F270D0" w:rsidP="00F270D0">
            <w:pPr>
              <w:spacing w:after="0" w:line="240" w:lineRule="auto"/>
              <w:rPr>
                <w:rFonts w:cs="Times New Roman"/>
                <w:b/>
                <w:bCs/>
                <w:sz w:val="21"/>
                <w:szCs w:val="21"/>
                <w:lang w:val="lt-LT"/>
              </w:rPr>
            </w:pPr>
          </w:p>
        </w:tc>
        <w:tc>
          <w:tcPr>
            <w:tcW w:w="2693" w:type="dxa"/>
          </w:tcPr>
          <w:p w14:paraId="4EBBEB5F" w14:textId="77777777"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Antrinių šaltinių analizė</w:t>
            </w:r>
          </w:p>
        </w:tc>
        <w:tc>
          <w:tcPr>
            <w:tcW w:w="4536" w:type="dxa"/>
          </w:tcPr>
          <w:p w14:paraId="73B91676" w14:textId="77777777" w:rsidR="00F270D0" w:rsidRPr="00640D24" w:rsidRDefault="00F270D0" w:rsidP="001C0257">
            <w:pPr>
              <w:pStyle w:val="Sraopastraipa"/>
              <w:numPr>
                <w:ilvl w:val="0"/>
                <w:numId w:val="9"/>
              </w:numPr>
              <w:spacing w:after="0" w:line="240" w:lineRule="auto"/>
              <w:ind w:left="177" w:hanging="177"/>
              <w:jc w:val="both"/>
              <w:rPr>
                <w:rFonts w:cs="Times New Roman"/>
                <w:sz w:val="21"/>
                <w:szCs w:val="21"/>
                <w:lang w:val="lt-LT"/>
              </w:rPr>
            </w:pPr>
            <w:r w:rsidRPr="00640D24">
              <w:rPr>
                <w:rFonts w:cs="Times New Roman"/>
                <w:sz w:val="21"/>
                <w:szCs w:val="21"/>
                <w:lang w:val="lt-LT"/>
              </w:rPr>
              <w:t xml:space="preserve">Anksčiau atlikti ES investicijų ir kitų finansavimo šaltinių </w:t>
            </w:r>
            <w:proofErr w:type="spellStart"/>
            <w:r w:rsidRPr="00640D24">
              <w:rPr>
                <w:rFonts w:cs="Times New Roman"/>
                <w:i/>
                <w:iCs/>
                <w:sz w:val="21"/>
                <w:szCs w:val="21"/>
                <w:lang w:val="lt-LT"/>
              </w:rPr>
              <w:t>ex</w:t>
            </w:r>
            <w:proofErr w:type="spellEnd"/>
            <w:r w:rsidRPr="00640D24">
              <w:rPr>
                <w:rFonts w:cs="Times New Roman"/>
                <w:i/>
                <w:iCs/>
                <w:sz w:val="21"/>
                <w:szCs w:val="21"/>
                <w:lang w:val="lt-LT"/>
              </w:rPr>
              <w:t xml:space="preserve"> </w:t>
            </w:r>
            <w:proofErr w:type="spellStart"/>
            <w:r w:rsidRPr="00640D24">
              <w:rPr>
                <w:rFonts w:cs="Times New Roman"/>
                <w:i/>
                <w:iCs/>
                <w:sz w:val="21"/>
                <w:szCs w:val="21"/>
                <w:lang w:val="lt-LT"/>
              </w:rPr>
              <w:t>ante</w:t>
            </w:r>
            <w:proofErr w:type="spellEnd"/>
            <w:r w:rsidRPr="00640D24">
              <w:rPr>
                <w:rFonts w:cs="Times New Roman"/>
                <w:sz w:val="21"/>
                <w:szCs w:val="21"/>
                <w:lang w:val="lt-LT"/>
              </w:rPr>
              <w:t xml:space="preserve">, panaudojimo ir </w:t>
            </w:r>
            <w:proofErr w:type="spellStart"/>
            <w:r w:rsidRPr="00640D24">
              <w:rPr>
                <w:rFonts w:cs="Times New Roman"/>
                <w:i/>
                <w:iCs/>
                <w:sz w:val="21"/>
                <w:szCs w:val="21"/>
                <w:lang w:val="lt-LT"/>
              </w:rPr>
              <w:t>ex</w:t>
            </w:r>
            <w:proofErr w:type="spellEnd"/>
            <w:r w:rsidRPr="00640D24">
              <w:rPr>
                <w:rFonts w:cs="Times New Roman"/>
                <w:i/>
                <w:iCs/>
                <w:sz w:val="21"/>
                <w:szCs w:val="21"/>
                <w:lang w:val="lt-LT"/>
              </w:rPr>
              <w:t xml:space="preserve"> </w:t>
            </w:r>
            <w:proofErr w:type="spellStart"/>
            <w:r w:rsidRPr="00640D24">
              <w:rPr>
                <w:rFonts w:cs="Times New Roman"/>
                <w:i/>
                <w:iCs/>
                <w:sz w:val="21"/>
                <w:szCs w:val="21"/>
                <w:lang w:val="lt-LT"/>
              </w:rPr>
              <w:t>post</w:t>
            </w:r>
            <w:proofErr w:type="spellEnd"/>
            <w:r w:rsidRPr="00640D24">
              <w:rPr>
                <w:rFonts w:cs="Times New Roman"/>
                <w:sz w:val="21"/>
                <w:szCs w:val="21"/>
                <w:lang w:val="lt-LT"/>
              </w:rPr>
              <w:t xml:space="preserve"> poveikio vertinimai;</w:t>
            </w:r>
          </w:p>
          <w:p w14:paraId="2E332AA0" w14:textId="439D81E8" w:rsidR="00F270D0" w:rsidRPr="00640D24" w:rsidRDefault="00F270D0" w:rsidP="001C0257">
            <w:pPr>
              <w:pStyle w:val="Sraopastraipa"/>
              <w:numPr>
                <w:ilvl w:val="0"/>
                <w:numId w:val="9"/>
              </w:numPr>
              <w:spacing w:after="0" w:line="240" w:lineRule="auto"/>
              <w:ind w:left="177" w:hanging="177"/>
              <w:jc w:val="both"/>
              <w:rPr>
                <w:rFonts w:cs="Times New Roman"/>
                <w:sz w:val="21"/>
                <w:szCs w:val="21"/>
                <w:lang w:val="lt-LT"/>
              </w:rPr>
            </w:pPr>
            <w:r w:rsidRPr="00640D24">
              <w:rPr>
                <w:rFonts w:cs="Times New Roman"/>
                <w:sz w:val="21"/>
                <w:szCs w:val="21"/>
                <w:lang w:val="lt-LT"/>
              </w:rPr>
              <w:t>Atliktos verslo srities studijos.</w:t>
            </w:r>
          </w:p>
        </w:tc>
      </w:tr>
      <w:tr w:rsidR="00F270D0" w:rsidRPr="00640D24" w14:paraId="11DA4149" w14:textId="77777777" w:rsidTr="00F9309C">
        <w:tc>
          <w:tcPr>
            <w:tcW w:w="2410" w:type="dxa"/>
            <w:vMerge w:val="restart"/>
          </w:tcPr>
          <w:p w14:paraId="5123B5A0" w14:textId="77777777" w:rsidR="00F270D0" w:rsidRPr="00640D24" w:rsidRDefault="00F270D0" w:rsidP="00F270D0">
            <w:pPr>
              <w:spacing w:after="0" w:line="240" w:lineRule="auto"/>
              <w:rPr>
                <w:rFonts w:cs="Times New Roman"/>
                <w:b/>
                <w:bCs/>
                <w:sz w:val="21"/>
                <w:szCs w:val="21"/>
                <w:lang w:val="lt-LT"/>
              </w:rPr>
            </w:pPr>
            <w:r w:rsidRPr="00640D24">
              <w:rPr>
                <w:rFonts w:cs="Times New Roman"/>
                <w:b/>
                <w:bCs/>
                <w:sz w:val="21"/>
                <w:szCs w:val="21"/>
                <w:lang w:val="lt-LT"/>
              </w:rPr>
              <w:t>Finansiniai produktai</w:t>
            </w:r>
          </w:p>
        </w:tc>
        <w:tc>
          <w:tcPr>
            <w:tcW w:w="2693" w:type="dxa"/>
          </w:tcPr>
          <w:p w14:paraId="61FBA226" w14:textId="77777777"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Antrinių šaltinių analizė</w:t>
            </w:r>
          </w:p>
        </w:tc>
        <w:tc>
          <w:tcPr>
            <w:tcW w:w="4536" w:type="dxa"/>
          </w:tcPr>
          <w:p w14:paraId="0EF490E4" w14:textId="77777777" w:rsidR="00F270D0" w:rsidRPr="00640D24" w:rsidRDefault="00F270D0" w:rsidP="001C0257">
            <w:pPr>
              <w:pStyle w:val="Sraopastraipa"/>
              <w:numPr>
                <w:ilvl w:val="0"/>
                <w:numId w:val="9"/>
              </w:numPr>
              <w:spacing w:after="0" w:line="240" w:lineRule="auto"/>
              <w:ind w:left="177" w:hanging="177"/>
              <w:jc w:val="both"/>
              <w:rPr>
                <w:rFonts w:cs="Times New Roman"/>
                <w:sz w:val="21"/>
                <w:szCs w:val="21"/>
                <w:lang w:val="lt-LT"/>
              </w:rPr>
            </w:pPr>
            <w:r w:rsidRPr="00640D24">
              <w:rPr>
                <w:rFonts w:cs="Times New Roman"/>
                <w:sz w:val="21"/>
                <w:szCs w:val="21"/>
                <w:lang w:val="lt-LT"/>
              </w:rPr>
              <w:t xml:space="preserve">Anksčiau atlikti ES investicijų ir kitų finansavimo šaltinių </w:t>
            </w:r>
            <w:proofErr w:type="spellStart"/>
            <w:r w:rsidRPr="00640D24">
              <w:rPr>
                <w:rFonts w:cs="Times New Roman"/>
                <w:i/>
                <w:iCs/>
                <w:sz w:val="21"/>
                <w:szCs w:val="21"/>
                <w:lang w:val="lt-LT"/>
              </w:rPr>
              <w:t>ex</w:t>
            </w:r>
            <w:proofErr w:type="spellEnd"/>
            <w:r w:rsidRPr="00640D24">
              <w:rPr>
                <w:rFonts w:cs="Times New Roman"/>
                <w:i/>
                <w:iCs/>
                <w:sz w:val="21"/>
                <w:szCs w:val="21"/>
                <w:lang w:val="lt-LT"/>
              </w:rPr>
              <w:t xml:space="preserve"> </w:t>
            </w:r>
            <w:proofErr w:type="spellStart"/>
            <w:r w:rsidRPr="00640D24">
              <w:rPr>
                <w:rFonts w:cs="Times New Roman"/>
                <w:i/>
                <w:iCs/>
                <w:sz w:val="21"/>
                <w:szCs w:val="21"/>
                <w:lang w:val="lt-LT"/>
              </w:rPr>
              <w:t>ante</w:t>
            </w:r>
            <w:proofErr w:type="spellEnd"/>
            <w:r w:rsidRPr="00640D24">
              <w:rPr>
                <w:rFonts w:cs="Times New Roman"/>
                <w:sz w:val="21"/>
                <w:szCs w:val="21"/>
                <w:lang w:val="lt-LT"/>
              </w:rPr>
              <w:t xml:space="preserve">, panaudojimo ir </w:t>
            </w:r>
            <w:proofErr w:type="spellStart"/>
            <w:r w:rsidRPr="00640D24">
              <w:rPr>
                <w:rFonts w:cs="Times New Roman"/>
                <w:i/>
                <w:iCs/>
                <w:sz w:val="21"/>
                <w:szCs w:val="21"/>
                <w:lang w:val="lt-LT"/>
              </w:rPr>
              <w:t>ex</w:t>
            </w:r>
            <w:proofErr w:type="spellEnd"/>
            <w:r w:rsidRPr="00640D24">
              <w:rPr>
                <w:rFonts w:cs="Times New Roman"/>
                <w:i/>
                <w:iCs/>
                <w:sz w:val="21"/>
                <w:szCs w:val="21"/>
                <w:lang w:val="lt-LT"/>
              </w:rPr>
              <w:t xml:space="preserve"> </w:t>
            </w:r>
            <w:proofErr w:type="spellStart"/>
            <w:r w:rsidRPr="00640D24">
              <w:rPr>
                <w:rFonts w:cs="Times New Roman"/>
                <w:i/>
                <w:iCs/>
                <w:sz w:val="21"/>
                <w:szCs w:val="21"/>
                <w:lang w:val="lt-LT"/>
              </w:rPr>
              <w:t>post</w:t>
            </w:r>
            <w:proofErr w:type="spellEnd"/>
            <w:r w:rsidRPr="00640D24">
              <w:rPr>
                <w:rFonts w:cs="Times New Roman"/>
                <w:sz w:val="21"/>
                <w:szCs w:val="21"/>
                <w:lang w:val="lt-LT"/>
              </w:rPr>
              <w:t xml:space="preserve"> poveikio vertinimai;</w:t>
            </w:r>
          </w:p>
          <w:p w14:paraId="6C84401C" w14:textId="71CF02E6" w:rsidR="00F270D0" w:rsidRPr="00640D24" w:rsidRDefault="00F270D0" w:rsidP="001C0257">
            <w:pPr>
              <w:pStyle w:val="Sraopastraipa"/>
              <w:numPr>
                <w:ilvl w:val="0"/>
                <w:numId w:val="9"/>
              </w:numPr>
              <w:spacing w:after="0" w:line="240" w:lineRule="auto"/>
              <w:ind w:left="177" w:hanging="177"/>
              <w:jc w:val="both"/>
              <w:rPr>
                <w:rFonts w:cs="Times New Roman"/>
                <w:sz w:val="21"/>
                <w:szCs w:val="21"/>
                <w:lang w:val="lt-LT"/>
              </w:rPr>
            </w:pPr>
            <w:r w:rsidRPr="00640D24">
              <w:rPr>
                <w:rFonts w:cs="Times New Roman"/>
                <w:sz w:val="21"/>
                <w:szCs w:val="21"/>
                <w:lang w:val="lt-LT"/>
              </w:rPr>
              <w:t>Atliktos verslo srities studijos;</w:t>
            </w:r>
          </w:p>
          <w:p w14:paraId="289C5E4C" w14:textId="2DAF30DC" w:rsidR="00F270D0" w:rsidRPr="00640D24" w:rsidRDefault="00F270D0" w:rsidP="001C0257">
            <w:pPr>
              <w:pStyle w:val="Sraopastraipa"/>
              <w:numPr>
                <w:ilvl w:val="0"/>
                <w:numId w:val="9"/>
              </w:numPr>
              <w:spacing w:after="0" w:line="240" w:lineRule="auto"/>
              <w:ind w:left="177" w:hanging="177"/>
              <w:jc w:val="both"/>
              <w:rPr>
                <w:rFonts w:cs="Times New Roman"/>
                <w:sz w:val="21"/>
                <w:szCs w:val="21"/>
                <w:lang w:val="lt-LT"/>
              </w:rPr>
            </w:pPr>
            <w:r w:rsidRPr="00640D24">
              <w:rPr>
                <w:rFonts w:cs="Times New Roman"/>
                <w:sz w:val="21"/>
                <w:szCs w:val="21"/>
                <w:lang w:val="lt-LT"/>
              </w:rPr>
              <w:t>Užsienio praktikos (Jungtinės Karalystės) analizė.</w:t>
            </w:r>
          </w:p>
        </w:tc>
      </w:tr>
      <w:tr w:rsidR="00F270D0" w:rsidRPr="00640D24" w14:paraId="33060432" w14:textId="77777777" w:rsidTr="00F9309C">
        <w:tc>
          <w:tcPr>
            <w:tcW w:w="2410" w:type="dxa"/>
            <w:vMerge/>
          </w:tcPr>
          <w:p w14:paraId="7D073F6B" w14:textId="77777777" w:rsidR="00F270D0" w:rsidRPr="00640D24" w:rsidRDefault="00F270D0" w:rsidP="00F270D0">
            <w:pPr>
              <w:spacing w:after="0" w:line="240" w:lineRule="auto"/>
              <w:rPr>
                <w:rFonts w:cs="Times New Roman"/>
                <w:b/>
                <w:bCs/>
                <w:sz w:val="21"/>
                <w:szCs w:val="21"/>
                <w:lang w:val="lt-LT"/>
              </w:rPr>
            </w:pPr>
          </w:p>
        </w:tc>
        <w:tc>
          <w:tcPr>
            <w:tcW w:w="2693" w:type="dxa"/>
          </w:tcPr>
          <w:p w14:paraId="1A18EB07" w14:textId="77777777"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Interviu programa</w:t>
            </w:r>
          </w:p>
        </w:tc>
        <w:tc>
          <w:tcPr>
            <w:tcW w:w="4536" w:type="dxa"/>
          </w:tcPr>
          <w:p w14:paraId="5215823A" w14:textId="77777777" w:rsidR="00F270D0" w:rsidRPr="00640D24" w:rsidRDefault="00F270D0" w:rsidP="001C0257">
            <w:pPr>
              <w:spacing w:after="0" w:line="240" w:lineRule="auto"/>
              <w:jc w:val="both"/>
              <w:rPr>
                <w:rFonts w:cs="Times New Roman"/>
                <w:sz w:val="21"/>
                <w:szCs w:val="21"/>
                <w:lang w:val="lt-LT"/>
              </w:rPr>
            </w:pPr>
            <w:r w:rsidRPr="00640D24">
              <w:rPr>
                <w:rFonts w:cs="Times New Roman"/>
                <w:sz w:val="21"/>
                <w:szCs w:val="21"/>
                <w:lang w:val="lt-LT"/>
              </w:rPr>
              <w:t>Atlikta 10 interviu: 7 su FT, 2 su ministerijomis, 1 su viešąja įstaiga. Interviu dalyvių sąrašas pateikiamas 1 priede.</w:t>
            </w:r>
          </w:p>
          <w:p w14:paraId="42AAD0A4" w14:textId="77777777" w:rsidR="00856312" w:rsidRPr="00640D24" w:rsidRDefault="00856312" w:rsidP="001C0257">
            <w:pPr>
              <w:spacing w:after="0" w:line="240" w:lineRule="auto"/>
              <w:jc w:val="both"/>
              <w:rPr>
                <w:rFonts w:cs="Times New Roman"/>
                <w:sz w:val="21"/>
                <w:szCs w:val="21"/>
                <w:lang w:val="lt-LT"/>
              </w:rPr>
            </w:pPr>
            <w:r w:rsidRPr="00640D24">
              <w:rPr>
                <w:rFonts w:cs="Times New Roman"/>
                <w:sz w:val="21"/>
                <w:szCs w:val="21"/>
                <w:lang w:val="lt-LT"/>
              </w:rPr>
              <w:t>Papildomai</w:t>
            </w:r>
            <w:r w:rsidR="00D574F4" w:rsidRPr="00640D24">
              <w:rPr>
                <w:rFonts w:cs="Times New Roman"/>
                <w:sz w:val="21"/>
                <w:szCs w:val="21"/>
                <w:lang w:val="lt-LT"/>
              </w:rPr>
              <w:t xml:space="preserve"> 2023 m. liepos – rugsėjo</w:t>
            </w:r>
            <w:r w:rsidR="003345BE" w:rsidRPr="00640D24">
              <w:rPr>
                <w:rFonts w:cs="Times New Roman"/>
                <w:sz w:val="21"/>
                <w:szCs w:val="21"/>
                <w:lang w:val="lt-LT"/>
              </w:rPr>
              <w:t xml:space="preserve"> mėnesiais </w:t>
            </w:r>
            <w:r w:rsidRPr="00640D24">
              <w:rPr>
                <w:rFonts w:cs="Times New Roman"/>
                <w:sz w:val="21"/>
                <w:szCs w:val="21"/>
                <w:lang w:val="lt-LT"/>
              </w:rPr>
              <w:t xml:space="preserve"> atlikt</w:t>
            </w:r>
            <w:r w:rsidR="00D574F4" w:rsidRPr="00640D24">
              <w:rPr>
                <w:rFonts w:cs="Times New Roman"/>
                <w:sz w:val="21"/>
                <w:szCs w:val="21"/>
                <w:lang w:val="lt-LT"/>
              </w:rPr>
              <w:t>a 1</w:t>
            </w:r>
            <w:r w:rsidR="004C3076" w:rsidRPr="00640D24">
              <w:rPr>
                <w:rFonts w:cs="Times New Roman"/>
                <w:sz w:val="21"/>
                <w:szCs w:val="21"/>
                <w:lang w:val="lt-LT"/>
              </w:rPr>
              <w:t>3</w:t>
            </w:r>
            <w:r w:rsidR="005444D3" w:rsidRPr="00640D24">
              <w:rPr>
                <w:rFonts w:cs="Times New Roman"/>
                <w:sz w:val="21"/>
                <w:szCs w:val="21"/>
                <w:lang w:val="lt-LT"/>
              </w:rPr>
              <w:t xml:space="preserve"> inter</w:t>
            </w:r>
            <w:r w:rsidR="004C3076" w:rsidRPr="00640D24">
              <w:rPr>
                <w:rFonts w:cs="Times New Roman"/>
                <w:sz w:val="21"/>
                <w:szCs w:val="21"/>
                <w:lang w:val="lt-LT"/>
              </w:rPr>
              <w:t>viu: 3 su FT, 3</w:t>
            </w:r>
            <w:r w:rsidR="00D574F4" w:rsidRPr="00640D24">
              <w:rPr>
                <w:rFonts w:cs="Times New Roman"/>
                <w:sz w:val="21"/>
                <w:szCs w:val="21"/>
                <w:lang w:val="lt-LT"/>
              </w:rPr>
              <w:t xml:space="preserve"> su asociacij</w:t>
            </w:r>
            <w:r w:rsidR="00880FF0" w:rsidRPr="00640D24">
              <w:rPr>
                <w:rFonts w:cs="Times New Roman"/>
                <w:sz w:val="21"/>
                <w:szCs w:val="21"/>
                <w:lang w:val="lt-LT"/>
              </w:rPr>
              <w:t>omis</w:t>
            </w:r>
            <w:r w:rsidR="00D574F4" w:rsidRPr="00640D24">
              <w:rPr>
                <w:rFonts w:cs="Times New Roman"/>
                <w:sz w:val="21"/>
                <w:szCs w:val="21"/>
                <w:lang w:val="lt-LT"/>
              </w:rPr>
              <w:t>, 7</w:t>
            </w:r>
            <w:r w:rsidRPr="00640D24">
              <w:rPr>
                <w:rFonts w:cs="Times New Roman"/>
                <w:sz w:val="21"/>
                <w:szCs w:val="21"/>
                <w:lang w:val="lt-LT"/>
              </w:rPr>
              <w:t xml:space="preserve"> su pramonės įmonėmis. Interviu dalyvių sąrašas pateikiamas 1 priede.</w:t>
            </w:r>
          </w:p>
          <w:p w14:paraId="48FD2876" w14:textId="45EE4F13" w:rsidR="008B5DD9" w:rsidRPr="00640D24" w:rsidRDefault="008B5DD9" w:rsidP="001C0257">
            <w:pPr>
              <w:spacing w:after="0" w:line="240" w:lineRule="auto"/>
              <w:jc w:val="both"/>
              <w:rPr>
                <w:rFonts w:cs="Times New Roman"/>
                <w:sz w:val="21"/>
                <w:szCs w:val="21"/>
                <w:lang w:val="lt-LT"/>
              </w:rPr>
            </w:pPr>
            <w:r w:rsidRPr="00640D24">
              <w:rPr>
                <w:rFonts w:cs="Times New Roman"/>
                <w:sz w:val="21"/>
                <w:szCs w:val="21"/>
                <w:lang w:val="lt-LT"/>
              </w:rPr>
              <w:t>Papildomai 2024 m. gegužės – liepos mėnesiais buvo atlikta 11 interviu: 3 su FT, 5 su verslo asociacijomis ir jį atstovaujančiomis įstaigomis, 3 su ministerijomis.</w:t>
            </w:r>
            <w:r w:rsidR="00323F90" w:rsidRPr="00640D24">
              <w:rPr>
                <w:rFonts w:cs="Times New Roman"/>
                <w:sz w:val="21"/>
                <w:szCs w:val="21"/>
                <w:lang w:val="lt-LT"/>
              </w:rPr>
              <w:t xml:space="preserve"> Interviu dalyvių sąrašas pateikiamas 1 priede.</w:t>
            </w:r>
          </w:p>
        </w:tc>
      </w:tr>
      <w:tr w:rsidR="00F270D0" w:rsidRPr="00640D24" w14:paraId="308F3577" w14:textId="77777777" w:rsidTr="00F9309C">
        <w:tc>
          <w:tcPr>
            <w:tcW w:w="2410" w:type="dxa"/>
            <w:vMerge/>
          </w:tcPr>
          <w:p w14:paraId="4D9E8DD5" w14:textId="77777777" w:rsidR="00F270D0" w:rsidRPr="00640D24" w:rsidRDefault="00F270D0" w:rsidP="00F270D0">
            <w:pPr>
              <w:spacing w:after="0" w:line="240" w:lineRule="auto"/>
              <w:rPr>
                <w:rFonts w:cs="Times New Roman"/>
                <w:b/>
                <w:bCs/>
                <w:sz w:val="21"/>
                <w:szCs w:val="21"/>
                <w:lang w:val="lt-LT"/>
              </w:rPr>
            </w:pPr>
          </w:p>
        </w:tc>
        <w:tc>
          <w:tcPr>
            <w:tcW w:w="2693" w:type="dxa"/>
          </w:tcPr>
          <w:p w14:paraId="56B413B9" w14:textId="6A36A5C8"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Fokusuotų grupės diskusijų programa</w:t>
            </w:r>
          </w:p>
        </w:tc>
        <w:tc>
          <w:tcPr>
            <w:tcW w:w="4536" w:type="dxa"/>
          </w:tcPr>
          <w:p w14:paraId="556576E6" w14:textId="5E91FAFC" w:rsidR="00F270D0" w:rsidRPr="00640D24" w:rsidRDefault="00F270D0" w:rsidP="001C0257">
            <w:pPr>
              <w:spacing w:after="0" w:line="240" w:lineRule="auto"/>
              <w:jc w:val="both"/>
              <w:rPr>
                <w:rFonts w:cs="Times New Roman"/>
                <w:sz w:val="21"/>
                <w:szCs w:val="21"/>
                <w:lang w:val="lt-LT"/>
              </w:rPr>
            </w:pPr>
            <w:r w:rsidRPr="00640D24">
              <w:rPr>
                <w:rFonts w:cs="Times New Roman"/>
                <w:sz w:val="21"/>
                <w:szCs w:val="21"/>
                <w:lang w:val="lt-LT"/>
              </w:rPr>
              <w:t>Atliktos 2 fokusuotos grupės diskusijos su 2 ministerijomis ir 1 administruojančia agentūra. Fokusuotų grupės diskusijų dalyvių sąrašas pateikiamas 2 priede.</w:t>
            </w:r>
          </w:p>
        </w:tc>
      </w:tr>
      <w:tr w:rsidR="00F270D0" w:rsidRPr="00640D24" w14:paraId="23919311" w14:textId="77777777" w:rsidTr="00F9309C">
        <w:tc>
          <w:tcPr>
            <w:tcW w:w="2410" w:type="dxa"/>
          </w:tcPr>
          <w:p w14:paraId="08DBB707" w14:textId="77777777" w:rsidR="00F270D0" w:rsidRPr="00640D24" w:rsidRDefault="00F270D0" w:rsidP="00F270D0">
            <w:pPr>
              <w:spacing w:after="0" w:line="240" w:lineRule="auto"/>
              <w:rPr>
                <w:rFonts w:cs="Times New Roman"/>
                <w:b/>
                <w:bCs/>
                <w:sz w:val="21"/>
                <w:szCs w:val="21"/>
                <w:lang w:val="lt-LT"/>
              </w:rPr>
            </w:pPr>
            <w:r w:rsidRPr="00640D24">
              <w:rPr>
                <w:rFonts w:cs="Times New Roman"/>
                <w:b/>
                <w:bCs/>
                <w:sz w:val="21"/>
                <w:szCs w:val="21"/>
                <w:lang w:val="lt-LT"/>
              </w:rPr>
              <w:t>Sverto efekto skaičiavimas</w:t>
            </w:r>
          </w:p>
        </w:tc>
        <w:tc>
          <w:tcPr>
            <w:tcW w:w="2693" w:type="dxa"/>
          </w:tcPr>
          <w:p w14:paraId="7009383E" w14:textId="77777777"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SFMIS duomenų analizė</w:t>
            </w:r>
          </w:p>
          <w:p w14:paraId="2CBFA546" w14:textId="77777777" w:rsidR="00F270D0" w:rsidRPr="00640D24" w:rsidRDefault="00F270D0" w:rsidP="00F270D0">
            <w:pPr>
              <w:spacing w:after="0" w:line="240" w:lineRule="auto"/>
              <w:rPr>
                <w:rFonts w:cs="Times New Roman"/>
                <w:sz w:val="21"/>
                <w:szCs w:val="21"/>
                <w:lang w:val="lt-LT"/>
              </w:rPr>
            </w:pPr>
          </w:p>
        </w:tc>
        <w:tc>
          <w:tcPr>
            <w:tcW w:w="4536" w:type="dxa"/>
          </w:tcPr>
          <w:p w14:paraId="4F3446EB" w14:textId="6B46F5BA" w:rsidR="00F270D0" w:rsidRPr="00640D24" w:rsidRDefault="00F270D0" w:rsidP="001C0257">
            <w:pPr>
              <w:spacing w:after="0" w:line="240" w:lineRule="auto"/>
              <w:jc w:val="both"/>
              <w:rPr>
                <w:rFonts w:cs="Times New Roman"/>
                <w:sz w:val="21"/>
                <w:szCs w:val="21"/>
                <w:lang w:val="lt-LT"/>
              </w:rPr>
            </w:pPr>
            <w:r w:rsidRPr="00640D24">
              <w:rPr>
                <w:rFonts w:cs="Times New Roman"/>
                <w:sz w:val="21"/>
                <w:szCs w:val="21"/>
                <w:lang w:val="lt-LT"/>
              </w:rPr>
              <w:t>2014</w:t>
            </w:r>
            <w:r w:rsidRPr="00640D24">
              <w:rPr>
                <w:rFonts w:cs="Times New Roman"/>
                <w:sz w:val="22"/>
                <w:szCs w:val="22"/>
                <w:lang w:val="lt-LT"/>
              </w:rPr>
              <w:t>–</w:t>
            </w:r>
            <w:r w:rsidRPr="00640D24">
              <w:rPr>
                <w:rFonts w:cs="Times New Roman"/>
                <w:sz w:val="21"/>
                <w:szCs w:val="21"/>
                <w:lang w:val="lt-LT"/>
              </w:rPr>
              <w:t>2020 m. ES fondų investicijų priemonių finansiniai duomenys</w:t>
            </w:r>
            <w:r w:rsidR="00F23C28" w:rsidRPr="00640D24">
              <w:rPr>
                <w:rFonts w:cs="Times New Roman"/>
                <w:sz w:val="21"/>
                <w:szCs w:val="21"/>
                <w:lang w:val="lt-LT"/>
              </w:rPr>
              <w:t>.</w:t>
            </w:r>
          </w:p>
        </w:tc>
      </w:tr>
      <w:tr w:rsidR="00F270D0" w:rsidRPr="00640D24" w14:paraId="228AD492" w14:textId="77777777" w:rsidTr="00F9309C">
        <w:tc>
          <w:tcPr>
            <w:tcW w:w="2410" w:type="dxa"/>
            <w:vMerge w:val="restart"/>
          </w:tcPr>
          <w:p w14:paraId="22C3CA05" w14:textId="0C234B8D" w:rsidR="00F270D0" w:rsidRPr="00640D24" w:rsidRDefault="009B19BC" w:rsidP="00F270D0">
            <w:pPr>
              <w:spacing w:after="0" w:line="240" w:lineRule="auto"/>
              <w:rPr>
                <w:rFonts w:cs="Times New Roman"/>
                <w:b/>
                <w:bCs/>
                <w:sz w:val="21"/>
                <w:szCs w:val="21"/>
                <w:lang w:val="lt-LT"/>
              </w:rPr>
            </w:pPr>
            <w:r w:rsidRPr="00640D24">
              <w:rPr>
                <w:rFonts w:cs="Times New Roman"/>
                <w:b/>
                <w:bCs/>
                <w:sz w:val="21"/>
                <w:szCs w:val="21"/>
                <w:lang w:val="lt-LT"/>
              </w:rPr>
              <w:t>Tikslinė G</w:t>
            </w:r>
            <w:r w:rsidR="00F270D0" w:rsidRPr="00640D24">
              <w:rPr>
                <w:rFonts w:cs="Times New Roman"/>
                <w:b/>
                <w:bCs/>
                <w:sz w:val="21"/>
                <w:szCs w:val="21"/>
                <w:lang w:val="lt-LT"/>
              </w:rPr>
              <w:t>G</w:t>
            </w:r>
          </w:p>
        </w:tc>
        <w:tc>
          <w:tcPr>
            <w:tcW w:w="2693" w:type="dxa"/>
          </w:tcPr>
          <w:p w14:paraId="4C29E94C" w14:textId="77777777"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Interviu programa</w:t>
            </w:r>
          </w:p>
        </w:tc>
        <w:tc>
          <w:tcPr>
            <w:tcW w:w="4536" w:type="dxa"/>
          </w:tcPr>
          <w:p w14:paraId="7952CE2C" w14:textId="77777777" w:rsidR="00F270D0" w:rsidRPr="00640D24" w:rsidRDefault="00F270D0" w:rsidP="001C0257">
            <w:pPr>
              <w:spacing w:after="0" w:line="240" w:lineRule="auto"/>
              <w:jc w:val="both"/>
              <w:rPr>
                <w:rFonts w:cs="Times New Roman"/>
                <w:sz w:val="21"/>
                <w:szCs w:val="21"/>
                <w:lang w:val="lt-LT"/>
              </w:rPr>
            </w:pPr>
            <w:r w:rsidRPr="00640D24">
              <w:rPr>
                <w:rFonts w:cs="Times New Roman"/>
                <w:sz w:val="21"/>
                <w:szCs w:val="21"/>
                <w:lang w:val="lt-LT"/>
              </w:rPr>
              <w:t>Atlikta 10 interviu: 7 su FT, 2 su ministerijomis, 1 su viešąja įstaiga. Interviu dalyvių sąrašas pateikiamas 1 priede.</w:t>
            </w:r>
          </w:p>
          <w:p w14:paraId="497EBA66" w14:textId="77777777" w:rsidR="00856312" w:rsidRPr="00640D24" w:rsidRDefault="00856312" w:rsidP="001C0257">
            <w:pPr>
              <w:spacing w:after="0" w:line="240" w:lineRule="auto"/>
              <w:jc w:val="both"/>
              <w:rPr>
                <w:rFonts w:cs="Times New Roman"/>
                <w:sz w:val="21"/>
                <w:szCs w:val="21"/>
                <w:lang w:val="lt-LT"/>
              </w:rPr>
            </w:pPr>
            <w:r w:rsidRPr="00640D24">
              <w:rPr>
                <w:rFonts w:cs="Times New Roman"/>
                <w:sz w:val="21"/>
                <w:szCs w:val="21"/>
                <w:lang w:val="lt-LT"/>
              </w:rPr>
              <w:t>Papildomai</w:t>
            </w:r>
            <w:r w:rsidR="005051B2" w:rsidRPr="00640D24">
              <w:rPr>
                <w:rFonts w:cs="Times New Roman"/>
                <w:sz w:val="21"/>
                <w:szCs w:val="21"/>
                <w:lang w:val="lt-LT"/>
              </w:rPr>
              <w:t xml:space="preserve"> </w:t>
            </w:r>
            <w:r w:rsidR="00880FF0" w:rsidRPr="00640D24">
              <w:rPr>
                <w:rFonts w:cs="Times New Roman"/>
                <w:sz w:val="21"/>
                <w:szCs w:val="21"/>
                <w:lang w:val="lt-LT"/>
              </w:rPr>
              <w:t xml:space="preserve">2023 m. liepos – rugsėjo mėnesiais  </w:t>
            </w:r>
            <w:r w:rsidR="005051B2" w:rsidRPr="00640D24">
              <w:rPr>
                <w:rFonts w:cs="Times New Roman"/>
                <w:sz w:val="21"/>
                <w:szCs w:val="21"/>
                <w:lang w:val="lt-LT"/>
              </w:rPr>
              <w:t>atlikta 1</w:t>
            </w:r>
            <w:r w:rsidR="004C3076" w:rsidRPr="00640D24">
              <w:rPr>
                <w:rFonts w:cs="Times New Roman"/>
                <w:sz w:val="21"/>
                <w:szCs w:val="21"/>
                <w:lang w:val="lt-LT"/>
              </w:rPr>
              <w:t>3</w:t>
            </w:r>
            <w:r w:rsidR="005444D3" w:rsidRPr="00640D24">
              <w:rPr>
                <w:rFonts w:cs="Times New Roman"/>
                <w:sz w:val="21"/>
                <w:szCs w:val="21"/>
                <w:lang w:val="lt-LT"/>
              </w:rPr>
              <w:t xml:space="preserve"> inter</w:t>
            </w:r>
            <w:r w:rsidR="004C3076" w:rsidRPr="00640D24">
              <w:rPr>
                <w:rFonts w:cs="Times New Roman"/>
                <w:sz w:val="21"/>
                <w:szCs w:val="21"/>
                <w:lang w:val="lt-LT"/>
              </w:rPr>
              <w:t>viu: 3 su FT, 3</w:t>
            </w:r>
            <w:r w:rsidR="00D574F4" w:rsidRPr="00640D24">
              <w:rPr>
                <w:rFonts w:cs="Times New Roman"/>
                <w:sz w:val="21"/>
                <w:szCs w:val="21"/>
                <w:lang w:val="lt-LT"/>
              </w:rPr>
              <w:t xml:space="preserve"> su asociacija, 7</w:t>
            </w:r>
            <w:r w:rsidRPr="00640D24">
              <w:rPr>
                <w:rFonts w:cs="Times New Roman"/>
                <w:sz w:val="21"/>
                <w:szCs w:val="21"/>
                <w:lang w:val="lt-LT"/>
              </w:rPr>
              <w:t xml:space="preserve"> su </w:t>
            </w:r>
            <w:r w:rsidRPr="00640D24">
              <w:rPr>
                <w:rFonts w:cs="Times New Roman"/>
                <w:sz w:val="21"/>
                <w:szCs w:val="21"/>
                <w:lang w:val="lt-LT"/>
              </w:rPr>
              <w:lastRenderedPageBreak/>
              <w:t>pramonės įmonėmis. Interviu dalyvių sąrašas pateikiamas 1 priede.</w:t>
            </w:r>
          </w:p>
          <w:p w14:paraId="7EE7ED62" w14:textId="47C9B644" w:rsidR="008A659D" w:rsidRPr="00640D24" w:rsidRDefault="008A659D" w:rsidP="001C0257">
            <w:pPr>
              <w:spacing w:after="0" w:line="240" w:lineRule="auto"/>
              <w:jc w:val="both"/>
              <w:rPr>
                <w:rFonts w:cs="Times New Roman"/>
                <w:sz w:val="21"/>
                <w:szCs w:val="21"/>
                <w:lang w:val="lt-LT"/>
              </w:rPr>
            </w:pPr>
            <w:r w:rsidRPr="00640D24">
              <w:rPr>
                <w:rFonts w:cs="Times New Roman"/>
                <w:sz w:val="21"/>
                <w:szCs w:val="21"/>
                <w:lang w:val="lt-LT"/>
              </w:rPr>
              <w:t>Papildomai 2024 m. gegužės – liepos mėnesiais buvo atlikta 11 interviu: 3 su FT, 5 su verslo asociacijomis ir jį atstovaujančiomis įstaigomis, 3 su ministerijomis.</w:t>
            </w:r>
            <w:r w:rsidR="00323F90" w:rsidRPr="00640D24">
              <w:rPr>
                <w:rFonts w:cs="Times New Roman"/>
                <w:sz w:val="21"/>
                <w:szCs w:val="21"/>
                <w:lang w:val="lt-LT"/>
              </w:rPr>
              <w:t xml:space="preserve"> Interviu dalyvių sąrašas pateikiamas 1 priede.</w:t>
            </w:r>
          </w:p>
        </w:tc>
      </w:tr>
      <w:tr w:rsidR="00F270D0" w:rsidRPr="00640D24" w14:paraId="1FF18710" w14:textId="77777777" w:rsidTr="00F9309C">
        <w:tc>
          <w:tcPr>
            <w:tcW w:w="2410" w:type="dxa"/>
            <w:vMerge/>
          </w:tcPr>
          <w:p w14:paraId="116CBB22" w14:textId="77777777" w:rsidR="00F270D0" w:rsidRPr="00640D24" w:rsidRDefault="00F270D0" w:rsidP="00F270D0">
            <w:pPr>
              <w:spacing w:after="0" w:line="240" w:lineRule="auto"/>
              <w:rPr>
                <w:rFonts w:cs="Times New Roman"/>
                <w:b/>
                <w:bCs/>
                <w:sz w:val="21"/>
                <w:szCs w:val="21"/>
                <w:lang w:val="lt-LT"/>
              </w:rPr>
            </w:pPr>
          </w:p>
        </w:tc>
        <w:tc>
          <w:tcPr>
            <w:tcW w:w="2693" w:type="dxa"/>
          </w:tcPr>
          <w:p w14:paraId="1353D50E" w14:textId="4DA65FCE"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Fokusuotų grupės diskusijų programa</w:t>
            </w:r>
          </w:p>
        </w:tc>
        <w:tc>
          <w:tcPr>
            <w:tcW w:w="4536" w:type="dxa"/>
          </w:tcPr>
          <w:p w14:paraId="12213B6D" w14:textId="2C051B8F" w:rsidR="00F270D0" w:rsidRPr="00640D24" w:rsidRDefault="00F270D0" w:rsidP="001C0257">
            <w:pPr>
              <w:spacing w:after="0" w:line="240" w:lineRule="auto"/>
              <w:jc w:val="both"/>
              <w:rPr>
                <w:rFonts w:cs="Times New Roman"/>
                <w:sz w:val="21"/>
                <w:szCs w:val="21"/>
                <w:lang w:val="lt-LT"/>
              </w:rPr>
            </w:pPr>
            <w:r w:rsidRPr="00640D24">
              <w:rPr>
                <w:rFonts w:cs="Times New Roman"/>
                <w:sz w:val="21"/>
                <w:szCs w:val="21"/>
                <w:lang w:val="lt-LT"/>
              </w:rPr>
              <w:t>Atliktos 2 fokusuotos grupės diskusijos su 2 ministerijomis ir 1 agentūra. Fokusuotų grupės diskusijų dalyvių sąrašas pateikiamas 2 priede.</w:t>
            </w:r>
          </w:p>
        </w:tc>
      </w:tr>
      <w:tr w:rsidR="00F270D0" w:rsidRPr="00640D24" w14:paraId="0BD135D0" w14:textId="77777777" w:rsidTr="00F9309C">
        <w:tc>
          <w:tcPr>
            <w:tcW w:w="2410" w:type="dxa"/>
            <w:vMerge/>
          </w:tcPr>
          <w:p w14:paraId="4309A434" w14:textId="77777777" w:rsidR="00F270D0" w:rsidRPr="00640D24" w:rsidRDefault="00F270D0" w:rsidP="00F270D0">
            <w:pPr>
              <w:spacing w:after="0" w:line="240" w:lineRule="auto"/>
              <w:rPr>
                <w:rFonts w:cs="Times New Roman"/>
                <w:b/>
                <w:bCs/>
                <w:sz w:val="21"/>
                <w:szCs w:val="21"/>
                <w:lang w:val="lt-LT"/>
              </w:rPr>
            </w:pPr>
          </w:p>
        </w:tc>
        <w:tc>
          <w:tcPr>
            <w:tcW w:w="2693" w:type="dxa"/>
          </w:tcPr>
          <w:p w14:paraId="63ED3D73" w14:textId="49ACE796"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2019 m. pab. atliktos SVV subjektų apklausos analizė</w:t>
            </w:r>
          </w:p>
        </w:tc>
        <w:tc>
          <w:tcPr>
            <w:tcW w:w="4536" w:type="dxa"/>
          </w:tcPr>
          <w:p w14:paraId="5F92B489" w14:textId="77777777" w:rsidR="00F270D0" w:rsidRPr="00640D24" w:rsidRDefault="00F270D0" w:rsidP="001C0257">
            <w:pPr>
              <w:spacing w:after="0" w:line="240" w:lineRule="auto"/>
              <w:jc w:val="both"/>
              <w:rPr>
                <w:rFonts w:cs="Times New Roman"/>
                <w:sz w:val="21"/>
                <w:szCs w:val="21"/>
                <w:lang w:val="lt-LT"/>
              </w:rPr>
            </w:pPr>
            <w:r w:rsidRPr="00640D24">
              <w:rPr>
                <w:rFonts w:cs="Times New Roman"/>
                <w:sz w:val="21"/>
                <w:szCs w:val="21"/>
                <w:lang w:val="lt-LT"/>
              </w:rPr>
              <w:t xml:space="preserve">2019 m. </w:t>
            </w:r>
            <w:proofErr w:type="spellStart"/>
            <w:r w:rsidRPr="00640D24">
              <w:rPr>
                <w:rFonts w:cs="Times New Roman"/>
                <w:sz w:val="21"/>
                <w:szCs w:val="21"/>
                <w:lang w:val="lt-LT"/>
              </w:rPr>
              <w:t>PwC</w:t>
            </w:r>
            <w:proofErr w:type="spellEnd"/>
            <w:r w:rsidRPr="00640D24">
              <w:rPr>
                <w:rFonts w:cs="Times New Roman"/>
                <w:sz w:val="21"/>
                <w:szCs w:val="21"/>
                <w:lang w:val="lt-LT"/>
              </w:rPr>
              <w:t xml:space="preserve"> atliko SVV subjektų apklausą. Apklausos anketos buvo išsiųstos apie 10,6 tūkstančių respondentų ir gauta 430 atsakymų. Tokio atsakymų skaičiaus pakanka užtikrinti 5 proc. atsakymų paklaidą prie 95 proc. patikimumo lygio.</w:t>
            </w:r>
          </w:p>
          <w:p w14:paraId="1F5B4776" w14:textId="3AA043DB" w:rsidR="00F270D0" w:rsidRPr="00640D24" w:rsidRDefault="00F270D0" w:rsidP="001C0257">
            <w:pPr>
              <w:spacing w:after="0" w:line="240" w:lineRule="auto"/>
              <w:jc w:val="both"/>
              <w:rPr>
                <w:rFonts w:cs="Times New Roman"/>
                <w:sz w:val="21"/>
                <w:szCs w:val="21"/>
                <w:lang w:val="lt-LT"/>
              </w:rPr>
            </w:pPr>
            <w:r w:rsidRPr="00640D24">
              <w:rPr>
                <w:rFonts w:cs="Times New Roman"/>
                <w:sz w:val="21"/>
                <w:szCs w:val="21"/>
                <w:lang w:val="lt-LT"/>
              </w:rPr>
              <w:t>Šio Vertinimo apimtyje buvo atlikta surinktų duomenų analizė.</w:t>
            </w:r>
          </w:p>
        </w:tc>
      </w:tr>
      <w:tr w:rsidR="00F270D0" w:rsidRPr="00640D24" w14:paraId="66CFEBD5" w14:textId="77777777" w:rsidTr="00F9309C">
        <w:tc>
          <w:tcPr>
            <w:tcW w:w="2410" w:type="dxa"/>
            <w:vMerge/>
          </w:tcPr>
          <w:p w14:paraId="740A2C06" w14:textId="77777777" w:rsidR="00F270D0" w:rsidRPr="00640D24" w:rsidRDefault="00F270D0" w:rsidP="00F270D0">
            <w:pPr>
              <w:spacing w:after="0" w:line="240" w:lineRule="auto"/>
              <w:rPr>
                <w:rFonts w:cs="Times New Roman"/>
                <w:b/>
                <w:bCs/>
                <w:sz w:val="21"/>
                <w:szCs w:val="21"/>
                <w:lang w:val="lt-LT"/>
              </w:rPr>
            </w:pPr>
          </w:p>
        </w:tc>
        <w:tc>
          <w:tcPr>
            <w:tcW w:w="2693" w:type="dxa"/>
          </w:tcPr>
          <w:p w14:paraId="4547DC9D" w14:textId="77777777"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 xml:space="preserve">Pirminių šaltinių analizė </w:t>
            </w:r>
          </w:p>
        </w:tc>
        <w:tc>
          <w:tcPr>
            <w:tcW w:w="4536" w:type="dxa"/>
          </w:tcPr>
          <w:p w14:paraId="735D8BFA" w14:textId="2E13311D" w:rsidR="00F270D0" w:rsidRPr="00640D24" w:rsidRDefault="00F270D0" w:rsidP="001C0257">
            <w:pPr>
              <w:spacing w:after="0" w:line="240" w:lineRule="auto"/>
              <w:jc w:val="both"/>
              <w:rPr>
                <w:lang w:val="lt-LT"/>
              </w:rPr>
            </w:pPr>
            <w:r w:rsidRPr="00640D24">
              <w:rPr>
                <w:rFonts w:cs="Times New Roman"/>
                <w:sz w:val="21"/>
                <w:szCs w:val="21"/>
                <w:lang w:val="lt-LT"/>
              </w:rPr>
              <w:t>Teisės aktai, įskaitant ES fondų investicijų priemonių projektų finansavimo sąlygų aprašus.</w:t>
            </w:r>
          </w:p>
        </w:tc>
      </w:tr>
      <w:tr w:rsidR="00F270D0" w:rsidRPr="00640D24" w14:paraId="0DB2799E" w14:textId="77777777" w:rsidTr="00F9309C">
        <w:trPr>
          <w:trHeight w:val="237"/>
        </w:trPr>
        <w:tc>
          <w:tcPr>
            <w:tcW w:w="2410" w:type="dxa"/>
            <w:vMerge w:val="restart"/>
          </w:tcPr>
          <w:p w14:paraId="51972784" w14:textId="77777777" w:rsidR="00F270D0" w:rsidRPr="00640D24" w:rsidRDefault="00F270D0" w:rsidP="00F270D0">
            <w:pPr>
              <w:spacing w:after="0" w:line="240" w:lineRule="auto"/>
              <w:rPr>
                <w:rFonts w:cs="Times New Roman"/>
                <w:b/>
                <w:bCs/>
                <w:sz w:val="21"/>
                <w:szCs w:val="21"/>
                <w:lang w:val="lt-LT"/>
              </w:rPr>
            </w:pPr>
            <w:r w:rsidRPr="00640D24">
              <w:rPr>
                <w:rFonts w:cs="Times New Roman"/>
                <w:b/>
                <w:bCs/>
                <w:sz w:val="21"/>
                <w:szCs w:val="21"/>
                <w:lang w:val="lt-LT"/>
              </w:rPr>
              <w:t>Tikėtini siūlomų finansinių priemonių rezultatai</w:t>
            </w:r>
          </w:p>
        </w:tc>
        <w:tc>
          <w:tcPr>
            <w:tcW w:w="2693" w:type="dxa"/>
          </w:tcPr>
          <w:p w14:paraId="2ED3C454" w14:textId="77777777"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 xml:space="preserve">Pirminių šaltinių analizė </w:t>
            </w:r>
          </w:p>
        </w:tc>
        <w:tc>
          <w:tcPr>
            <w:tcW w:w="4536" w:type="dxa"/>
          </w:tcPr>
          <w:p w14:paraId="0D1F8809" w14:textId="29F8EEA0" w:rsidR="00F270D0" w:rsidRPr="00640D24" w:rsidRDefault="00F270D0" w:rsidP="001C0257">
            <w:pPr>
              <w:spacing w:after="0" w:line="240" w:lineRule="auto"/>
              <w:jc w:val="both"/>
              <w:rPr>
                <w:rFonts w:cs="Times New Roman"/>
                <w:sz w:val="21"/>
                <w:szCs w:val="21"/>
                <w:lang w:val="lt-LT"/>
              </w:rPr>
            </w:pPr>
            <w:r w:rsidRPr="00640D24">
              <w:rPr>
                <w:rFonts w:cs="Times New Roman"/>
                <w:sz w:val="21"/>
                <w:szCs w:val="21"/>
                <w:lang w:val="lt-LT"/>
              </w:rPr>
              <w:t>Teisės aktai, įskaitant ES fondų investicijų priemonių projektų finansavimo sąlygų aprašus.</w:t>
            </w:r>
          </w:p>
        </w:tc>
      </w:tr>
      <w:tr w:rsidR="00F270D0" w:rsidRPr="00640D24" w14:paraId="11159A14" w14:textId="77777777" w:rsidTr="00F9309C">
        <w:tc>
          <w:tcPr>
            <w:tcW w:w="2410" w:type="dxa"/>
            <w:vMerge/>
          </w:tcPr>
          <w:p w14:paraId="12F06CA8" w14:textId="77777777" w:rsidR="00F270D0" w:rsidRPr="00640D24" w:rsidRDefault="00F270D0" w:rsidP="00F270D0">
            <w:pPr>
              <w:spacing w:after="0" w:line="240" w:lineRule="auto"/>
              <w:rPr>
                <w:rFonts w:cs="Times New Roman"/>
                <w:sz w:val="21"/>
                <w:szCs w:val="21"/>
                <w:lang w:val="lt-LT"/>
              </w:rPr>
            </w:pPr>
          </w:p>
        </w:tc>
        <w:tc>
          <w:tcPr>
            <w:tcW w:w="2693" w:type="dxa"/>
          </w:tcPr>
          <w:p w14:paraId="2C851CBC" w14:textId="77777777"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Antrinių šaltinių analizė</w:t>
            </w:r>
          </w:p>
        </w:tc>
        <w:tc>
          <w:tcPr>
            <w:tcW w:w="4536" w:type="dxa"/>
          </w:tcPr>
          <w:p w14:paraId="0ABBEAFE" w14:textId="77777777" w:rsidR="00F270D0" w:rsidRPr="00640D24" w:rsidRDefault="00F270D0" w:rsidP="001C0257">
            <w:pPr>
              <w:pStyle w:val="Sraopastraipa"/>
              <w:numPr>
                <w:ilvl w:val="0"/>
                <w:numId w:val="9"/>
              </w:numPr>
              <w:spacing w:after="0" w:line="240" w:lineRule="auto"/>
              <w:ind w:left="177" w:hanging="177"/>
              <w:jc w:val="both"/>
              <w:rPr>
                <w:rFonts w:cs="Times New Roman"/>
                <w:sz w:val="21"/>
                <w:szCs w:val="21"/>
                <w:lang w:val="lt-LT"/>
              </w:rPr>
            </w:pPr>
            <w:r w:rsidRPr="00640D24">
              <w:rPr>
                <w:rFonts w:cs="Times New Roman"/>
                <w:sz w:val="21"/>
                <w:szCs w:val="21"/>
                <w:lang w:val="lt-LT"/>
              </w:rPr>
              <w:t xml:space="preserve">Anksčiau atlikti ES investicijų ir kitų finansavimo šaltinių </w:t>
            </w:r>
            <w:proofErr w:type="spellStart"/>
            <w:r w:rsidRPr="00640D24">
              <w:rPr>
                <w:rFonts w:cs="Times New Roman"/>
                <w:i/>
                <w:iCs/>
                <w:sz w:val="21"/>
                <w:szCs w:val="21"/>
                <w:lang w:val="lt-LT"/>
              </w:rPr>
              <w:t>ex</w:t>
            </w:r>
            <w:proofErr w:type="spellEnd"/>
            <w:r w:rsidRPr="00640D24">
              <w:rPr>
                <w:rFonts w:cs="Times New Roman"/>
                <w:i/>
                <w:iCs/>
                <w:sz w:val="21"/>
                <w:szCs w:val="21"/>
                <w:lang w:val="lt-LT"/>
              </w:rPr>
              <w:t xml:space="preserve"> </w:t>
            </w:r>
            <w:proofErr w:type="spellStart"/>
            <w:r w:rsidRPr="00640D24">
              <w:rPr>
                <w:rFonts w:cs="Times New Roman"/>
                <w:i/>
                <w:iCs/>
                <w:sz w:val="21"/>
                <w:szCs w:val="21"/>
                <w:lang w:val="lt-LT"/>
              </w:rPr>
              <w:t>ante</w:t>
            </w:r>
            <w:proofErr w:type="spellEnd"/>
            <w:r w:rsidRPr="00640D24">
              <w:rPr>
                <w:rFonts w:cs="Times New Roman"/>
                <w:sz w:val="21"/>
                <w:szCs w:val="21"/>
                <w:lang w:val="lt-LT"/>
              </w:rPr>
              <w:t xml:space="preserve">, panaudojimo ir </w:t>
            </w:r>
            <w:proofErr w:type="spellStart"/>
            <w:r w:rsidRPr="00640D24">
              <w:rPr>
                <w:rFonts w:cs="Times New Roman"/>
                <w:i/>
                <w:iCs/>
                <w:sz w:val="21"/>
                <w:szCs w:val="21"/>
                <w:lang w:val="lt-LT"/>
              </w:rPr>
              <w:t>ex</w:t>
            </w:r>
            <w:proofErr w:type="spellEnd"/>
            <w:r w:rsidRPr="00640D24">
              <w:rPr>
                <w:rFonts w:cs="Times New Roman"/>
                <w:i/>
                <w:iCs/>
                <w:sz w:val="21"/>
                <w:szCs w:val="21"/>
                <w:lang w:val="lt-LT"/>
              </w:rPr>
              <w:t xml:space="preserve"> </w:t>
            </w:r>
            <w:proofErr w:type="spellStart"/>
            <w:r w:rsidRPr="00640D24">
              <w:rPr>
                <w:rFonts w:cs="Times New Roman"/>
                <w:i/>
                <w:iCs/>
                <w:sz w:val="21"/>
                <w:szCs w:val="21"/>
                <w:lang w:val="lt-LT"/>
              </w:rPr>
              <w:t>post</w:t>
            </w:r>
            <w:proofErr w:type="spellEnd"/>
            <w:r w:rsidRPr="00640D24">
              <w:rPr>
                <w:rFonts w:cs="Times New Roman"/>
                <w:sz w:val="21"/>
                <w:szCs w:val="21"/>
                <w:lang w:val="lt-LT"/>
              </w:rPr>
              <w:t xml:space="preserve"> poveikio vertinimai;</w:t>
            </w:r>
          </w:p>
          <w:p w14:paraId="54174ABF" w14:textId="6CE08694" w:rsidR="00F270D0" w:rsidRPr="00640D24" w:rsidRDefault="00F270D0" w:rsidP="001C0257">
            <w:pPr>
              <w:pStyle w:val="Sraopastraipa"/>
              <w:numPr>
                <w:ilvl w:val="0"/>
                <w:numId w:val="9"/>
              </w:numPr>
              <w:spacing w:after="0" w:line="240" w:lineRule="auto"/>
              <w:ind w:left="177" w:hanging="177"/>
              <w:jc w:val="both"/>
              <w:rPr>
                <w:rFonts w:cs="Times New Roman"/>
                <w:sz w:val="21"/>
                <w:szCs w:val="21"/>
                <w:lang w:val="lt-LT"/>
              </w:rPr>
            </w:pPr>
            <w:r w:rsidRPr="00640D24">
              <w:rPr>
                <w:rFonts w:cs="Times New Roman"/>
                <w:sz w:val="21"/>
                <w:szCs w:val="21"/>
                <w:lang w:val="lt-LT"/>
              </w:rPr>
              <w:t>Atliktos verslo srities studijos;</w:t>
            </w:r>
          </w:p>
          <w:p w14:paraId="1C9B68F1" w14:textId="7C97D093" w:rsidR="00F270D0" w:rsidRPr="00640D24" w:rsidRDefault="00F270D0" w:rsidP="001C0257">
            <w:pPr>
              <w:pStyle w:val="Sraopastraipa"/>
              <w:numPr>
                <w:ilvl w:val="0"/>
                <w:numId w:val="9"/>
              </w:numPr>
              <w:spacing w:after="0" w:line="240" w:lineRule="auto"/>
              <w:ind w:left="177" w:hanging="177"/>
              <w:jc w:val="both"/>
              <w:rPr>
                <w:rFonts w:cs="Times New Roman"/>
                <w:sz w:val="21"/>
                <w:szCs w:val="21"/>
                <w:lang w:val="lt-LT"/>
              </w:rPr>
            </w:pPr>
            <w:r w:rsidRPr="00640D24">
              <w:rPr>
                <w:rFonts w:cs="Times New Roman"/>
                <w:sz w:val="21"/>
                <w:szCs w:val="21"/>
                <w:lang w:val="lt-LT"/>
              </w:rPr>
              <w:t>Užsienio praktikos (Jungtinės Karalystės) analizė.</w:t>
            </w:r>
          </w:p>
        </w:tc>
      </w:tr>
      <w:tr w:rsidR="00F270D0" w:rsidRPr="00640D24" w14:paraId="6CB3D594" w14:textId="77777777" w:rsidTr="00F9309C">
        <w:tc>
          <w:tcPr>
            <w:tcW w:w="2410" w:type="dxa"/>
            <w:vMerge/>
          </w:tcPr>
          <w:p w14:paraId="04C4B168" w14:textId="77777777" w:rsidR="00F270D0" w:rsidRPr="00640D24" w:rsidRDefault="00F270D0" w:rsidP="00F270D0">
            <w:pPr>
              <w:spacing w:after="0" w:line="240" w:lineRule="auto"/>
              <w:rPr>
                <w:rFonts w:cs="Times New Roman"/>
                <w:sz w:val="21"/>
                <w:szCs w:val="21"/>
                <w:lang w:val="lt-LT"/>
              </w:rPr>
            </w:pPr>
          </w:p>
        </w:tc>
        <w:tc>
          <w:tcPr>
            <w:tcW w:w="2693" w:type="dxa"/>
          </w:tcPr>
          <w:p w14:paraId="08D6A8D8" w14:textId="77777777"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Interviu programa</w:t>
            </w:r>
          </w:p>
        </w:tc>
        <w:tc>
          <w:tcPr>
            <w:tcW w:w="4536" w:type="dxa"/>
          </w:tcPr>
          <w:p w14:paraId="43DF8A62" w14:textId="77777777" w:rsidR="00F270D0" w:rsidRPr="00640D24" w:rsidRDefault="00F270D0" w:rsidP="001C0257">
            <w:pPr>
              <w:spacing w:after="0" w:line="240" w:lineRule="auto"/>
              <w:jc w:val="both"/>
              <w:rPr>
                <w:rFonts w:cs="Times New Roman"/>
                <w:sz w:val="21"/>
                <w:szCs w:val="21"/>
                <w:lang w:val="lt-LT"/>
              </w:rPr>
            </w:pPr>
            <w:r w:rsidRPr="00640D24">
              <w:rPr>
                <w:rFonts w:cs="Times New Roman"/>
                <w:sz w:val="21"/>
                <w:szCs w:val="21"/>
                <w:lang w:val="lt-LT"/>
              </w:rPr>
              <w:t>Atlikta 10 interviu: 7 su FT, 2 su ministerijomis, 1 su viešąja įstaiga. Interviu dalyvių sąrašas pateikiamas 1 priede.</w:t>
            </w:r>
          </w:p>
          <w:p w14:paraId="1689F8F4" w14:textId="77777777" w:rsidR="00856312" w:rsidRPr="00640D24" w:rsidRDefault="00856312" w:rsidP="001C0257">
            <w:pPr>
              <w:spacing w:after="0" w:line="240" w:lineRule="auto"/>
              <w:jc w:val="both"/>
              <w:rPr>
                <w:rFonts w:cs="Times New Roman"/>
                <w:sz w:val="21"/>
                <w:szCs w:val="21"/>
                <w:lang w:val="lt-LT"/>
              </w:rPr>
            </w:pPr>
            <w:r w:rsidRPr="00640D24">
              <w:rPr>
                <w:rFonts w:cs="Times New Roman"/>
                <w:sz w:val="21"/>
                <w:szCs w:val="21"/>
                <w:lang w:val="lt-LT"/>
              </w:rPr>
              <w:t xml:space="preserve">Papildomai </w:t>
            </w:r>
            <w:r w:rsidR="00880FF0" w:rsidRPr="00640D24">
              <w:rPr>
                <w:rFonts w:cs="Times New Roman"/>
                <w:sz w:val="21"/>
                <w:szCs w:val="21"/>
                <w:lang w:val="lt-LT"/>
              </w:rPr>
              <w:t xml:space="preserve">2023 m. liepos – rugsėjo mėnesiais  </w:t>
            </w:r>
            <w:r w:rsidRPr="00640D24">
              <w:rPr>
                <w:rFonts w:cs="Times New Roman"/>
                <w:sz w:val="21"/>
                <w:szCs w:val="21"/>
                <w:lang w:val="lt-LT"/>
              </w:rPr>
              <w:t>atlikta 1</w:t>
            </w:r>
            <w:r w:rsidR="004C3076" w:rsidRPr="00640D24">
              <w:rPr>
                <w:rFonts w:cs="Times New Roman"/>
                <w:sz w:val="21"/>
                <w:szCs w:val="21"/>
                <w:lang w:val="lt-LT"/>
              </w:rPr>
              <w:t>3</w:t>
            </w:r>
            <w:r w:rsidRPr="00640D24">
              <w:rPr>
                <w:rFonts w:cs="Times New Roman"/>
                <w:sz w:val="21"/>
                <w:szCs w:val="21"/>
                <w:lang w:val="lt-LT"/>
              </w:rPr>
              <w:t xml:space="preserve"> interviu: 3 su FT, </w:t>
            </w:r>
            <w:r w:rsidR="004C3076" w:rsidRPr="00640D24">
              <w:rPr>
                <w:rFonts w:cs="Times New Roman"/>
                <w:sz w:val="21"/>
                <w:szCs w:val="21"/>
                <w:lang w:val="lt-LT"/>
              </w:rPr>
              <w:t>3</w:t>
            </w:r>
            <w:r w:rsidR="005444D3" w:rsidRPr="00640D24">
              <w:rPr>
                <w:rFonts w:cs="Times New Roman"/>
                <w:sz w:val="21"/>
                <w:szCs w:val="21"/>
                <w:lang w:val="lt-LT"/>
              </w:rPr>
              <w:t xml:space="preserve"> su</w:t>
            </w:r>
            <w:r w:rsidRPr="00640D24">
              <w:rPr>
                <w:rFonts w:cs="Times New Roman"/>
                <w:sz w:val="21"/>
                <w:szCs w:val="21"/>
                <w:lang w:val="lt-LT"/>
              </w:rPr>
              <w:t xml:space="preserve"> asociacij</w:t>
            </w:r>
            <w:r w:rsidR="00BD70CB" w:rsidRPr="00640D24">
              <w:rPr>
                <w:rFonts w:cs="Times New Roman"/>
                <w:sz w:val="21"/>
                <w:szCs w:val="21"/>
                <w:lang w:val="lt-LT"/>
              </w:rPr>
              <w:t>omis</w:t>
            </w:r>
            <w:r w:rsidRPr="00640D24">
              <w:rPr>
                <w:rFonts w:cs="Times New Roman"/>
                <w:sz w:val="21"/>
                <w:szCs w:val="21"/>
                <w:lang w:val="lt-LT"/>
              </w:rPr>
              <w:t xml:space="preserve">, </w:t>
            </w:r>
            <w:r w:rsidR="00D574F4" w:rsidRPr="00640D24">
              <w:rPr>
                <w:rFonts w:cs="Times New Roman"/>
                <w:sz w:val="21"/>
                <w:szCs w:val="21"/>
                <w:lang w:val="lt-LT"/>
              </w:rPr>
              <w:t>7</w:t>
            </w:r>
            <w:r w:rsidRPr="00640D24">
              <w:rPr>
                <w:rFonts w:cs="Times New Roman"/>
                <w:sz w:val="21"/>
                <w:szCs w:val="21"/>
                <w:lang w:val="lt-LT"/>
              </w:rPr>
              <w:t xml:space="preserve"> su pramonės įmonėmis. Interviu dalyvių sąrašas pateikiamas 1 priede.</w:t>
            </w:r>
          </w:p>
          <w:p w14:paraId="2E181394" w14:textId="1362EA83" w:rsidR="008A659D" w:rsidRPr="00640D24" w:rsidRDefault="008A659D" w:rsidP="001C0257">
            <w:pPr>
              <w:spacing w:after="0" w:line="240" w:lineRule="auto"/>
              <w:jc w:val="both"/>
              <w:rPr>
                <w:rFonts w:cs="Times New Roman"/>
                <w:sz w:val="21"/>
                <w:szCs w:val="21"/>
                <w:lang w:val="lt-LT"/>
              </w:rPr>
            </w:pPr>
            <w:r w:rsidRPr="00640D24">
              <w:rPr>
                <w:rFonts w:cs="Times New Roman"/>
                <w:sz w:val="21"/>
                <w:szCs w:val="21"/>
                <w:lang w:val="lt-LT"/>
              </w:rPr>
              <w:t>Papildomai 2024 m. gegužės – liepos mėnesiais buvo atlikta 11 interviu: 3 su FT, 5 su verslo asociacijomis ir jį atstovaujančiomis įstaigomis, 3 su ministerijomis.</w:t>
            </w:r>
            <w:r w:rsidR="00323F90" w:rsidRPr="00640D24">
              <w:rPr>
                <w:rFonts w:cs="Times New Roman"/>
                <w:sz w:val="21"/>
                <w:szCs w:val="21"/>
                <w:lang w:val="lt-LT"/>
              </w:rPr>
              <w:t xml:space="preserve"> Interviu dalyvių sąrašas pateikiamas 1 priede.</w:t>
            </w:r>
          </w:p>
        </w:tc>
      </w:tr>
      <w:tr w:rsidR="00F270D0" w:rsidRPr="00640D24" w14:paraId="0C73CA2E" w14:textId="77777777" w:rsidTr="00F9309C">
        <w:tc>
          <w:tcPr>
            <w:tcW w:w="2410" w:type="dxa"/>
            <w:vMerge/>
          </w:tcPr>
          <w:p w14:paraId="2C0D1CDC" w14:textId="77777777" w:rsidR="00F270D0" w:rsidRPr="00640D24" w:rsidRDefault="00F270D0" w:rsidP="00F270D0">
            <w:pPr>
              <w:spacing w:after="0" w:line="240" w:lineRule="auto"/>
              <w:rPr>
                <w:rFonts w:cs="Times New Roman"/>
                <w:sz w:val="21"/>
                <w:szCs w:val="21"/>
                <w:lang w:val="lt-LT"/>
              </w:rPr>
            </w:pPr>
          </w:p>
        </w:tc>
        <w:tc>
          <w:tcPr>
            <w:tcW w:w="2693" w:type="dxa"/>
          </w:tcPr>
          <w:p w14:paraId="0E18EE8E" w14:textId="2504621E"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Fokusuotų grupės diskusijų programa</w:t>
            </w:r>
          </w:p>
        </w:tc>
        <w:tc>
          <w:tcPr>
            <w:tcW w:w="4536" w:type="dxa"/>
          </w:tcPr>
          <w:p w14:paraId="6D846DC3" w14:textId="5A0FDBF6" w:rsidR="00F270D0" w:rsidRPr="00640D24" w:rsidRDefault="00F270D0" w:rsidP="001C0257">
            <w:pPr>
              <w:spacing w:after="0" w:line="240" w:lineRule="auto"/>
              <w:jc w:val="both"/>
              <w:rPr>
                <w:rFonts w:cs="Times New Roman"/>
                <w:sz w:val="21"/>
                <w:szCs w:val="21"/>
                <w:lang w:val="lt-LT"/>
              </w:rPr>
            </w:pPr>
            <w:r w:rsidRPr="00640D24">
              <w:rPr>
                <w:rFonts w:cs="Times New Roman"/>
                <w:sz w:val="21"/>
                <w:szCs w:val="21"/>
                <w:lang w:val="lt-LT"/>
              </w:rPr>
              <w:t>Atliktos 2 fokusuotos grupės diskusijos su 2 ministerijomis ir 1 agentūra. Fokusuotų grupės diskusijų dalyvių sąrašas pateikiamas 2 priede.</w:t>
            </w:r>
          </w:p>
        </w:tc>
      </w:tr>
      <w:tr w:rsidR="00F270D0" w:rsidRPr="00640D24" w14:paraId="361863C0" w14:textId="77777777" w:rsidTr="00F9309C">
        <w:tc>
          <w:tcPr>
            <w:tcW w:w="2410" w:type="dxa"/>
            <w:vMerge/>
          </w:tcPr>
          <w:p w14:paraId="4A156D2D" w14:textId="77777777" w:rsidR="00F270D0" w:rsidRPr="00640D24" w:rsidRDefault="00F270D0" w:rsidP="00F270D0">
            <w:pPr>
              <w:spacing w:after="0" w:line="240" w:lineRule="auto"/>
              <w:rPr>
                <w:rFonts w:cs="Times New Roman"/>
                <w:sz w:val="21"/>
                <w:szCs w:val="21"/>
                <w:lang w:val="lt-LT"/>
              </w:rPr>
            </w:pPr>
          </w:p>
        </w:tc>
        <w:tc>
          <w:tcPr>
            <w:tcW w:w="2693" w:type="dxa"/>
          </w:tcPr>
          <w:p w14:paraId="330A2C18" w14:textId="77777777"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SFMIS duomenų analizė</w:t>
            </w:r>
          </w:p>
          <w:p w14:paraId="284A58E8" w14:textId="77777777" w:rsidR="00F270D0" w:rsidRPr="00640D24" w:rsidRDefault="00F270D0" w:rsidP="00F270D0">
            <w:pPr>
              <w:spacing w:after="0" w:line="240" w:lineRule="auto"/>
              <w:rPr>
                <w:rFonts w:cs="Times New Roman"/>
                <w:sz w:val="21"/>
                <w:szCs w:val="21"/>
                <w:lang w:val="lt-LT"/>
              </w:rPr>
            </w:pPr>
          </w:p>
        </w:tc>
        <w:tc>
          <w:tcPr>
            <w:tcW w:w="4536" w:type="dxa"/>
          </w:tcPr>
          <w:p w14:paraId="47417AFF" w14:textId="1C4DDD7A" w:rsidR="00F270D0" w:rsidRPr="00640D24" w:rsidRDefault="00F270D0" w:rsidP="001C0257">
            <w:pPr>
              <w:spacing w:after="0" w:line="240" w:lineRule="auto"/>
              <w:jc w:val="both"/>
              <w:rPr>
                <w:rFonts w:cs="Times New Roman"/>
                <w:sz w:val="21"/>
                <w:szCs w:val="21"/>
                <w:lang w:val="lt-LT"/>
              </w:rPr>
            </w:pPr>
            <w:r w:rsidRPr="00640D24">
              <w:rPr>
                <w:rFonts w:cs="Times New Roman"/>
                <w:sz w:val="21"/>
                <w:szCs w:val="21"/>
                <w:lang w:val="lt-LT"/>
              </w:rPr>
              <w:t>2014</w:t>
            </w:r>
            <w:r w:rsidRPr="00640D24">
              <w:rPr>
                <w:rFonts w:cs="Times New Roman"/>
                <w:sz w:val="22"/>
                <w:szCs w:val="22"/>
                <w:lang w:val="lt-LT"/>
              </w:rPr>
              <w:t>–</w:t>
            </w:r>
            <w:r w:rsidRPr="00640D24">
              <w:rPr>
                <w:rFonts w:cs="Times New Roman"/>
                <w:sz w:val="21"/>
                <w:szCs w:val="21"/>
                <w:lang w:val="lt-LT"/>
              </w:rPr>
              <w:t>2020 m. ES investicijų priemonių rodiklių duomenys</w:t>
            </w:r>
            <w:r w:rsidR="00F23C28" w:rsidRPr="00640D24">
              <w:rPr>
                <w:rFonts w:cs="Times New Roman"/>
                <w:sz w:val="21"/>
                <w:szCs w:val="21"/>
                <w:lang w:val="lt-LT"/>
              </w:rPr>
              <w:t>.</w:t>
            </w:r>
          </w:p>
        </w:tc>
      </w:tr>
    </w:tbl>
    <w:p w14:paraId="60B791CB" w14:textId="77777777" w:rsidR="005979C8" w:rsidRPr="00640D24" w:rsidRDefault="00F04D94" w:rsidP="00170B5F">
      <w:pPr>
        <w:spacing w:before="60" w:after="60" w:line="240" w:lineRule="auto"/>
        <w:rPr>
          <w:rFonts w:cs="Times New Roman"/>
          <w:sz w:val="18"/>
          <w:szCs w:val="20"/>
        </w:rPr>
      </w:pPr>
      <w:r w:rsidRPr="00640D24">
        <w:rPr>
          <w:rFonts w:cs="Times New Roman"/>
          <w:sz w:val="18"/>
          <w:szCs w:val="20"/>
        </w:rPr>
        <w:t>Šaltinis: sudaryta Vertintojų.</w:t>
      </w:r>
    </w:p>
    <w:p w14:paraId="11FA093C" w14:textId="12BD67E7" w:rsidR="00943747" w:rsidRPr="00640D24" w:rsidRDefault="004871C4" w:rsidP="00CC48BD">
      <w:pPr>
        <w:pStyle w:val="Antrat1"/>
        <w:numPr>
          <w:ilvl w:val="0"/>
          <w:numId w:val="1"/>
        </w:numPr>
        <w:spacing w:before="120" w:after="60" w:line="240" w:lineRule="auto"/>
        <w:ind w:left="426" w:hanging="426"/>
        <w:rPr>
          <w:rFonts w:ascii="Times New Roman" w:hAnsi="Times New Roman" w:cs="Times New Roman"/>
          <w:b/>
          <w:bCs/>
          <w:color w:val="auto"/>
          <w:sz w:val="26"/>
          <w:szCs w:val="26"/>
        </w:rPr>
      </w:pPr>
      <w:bookmarkStart w:id="13" w:name="_Toc57225208"/>
      <w:bookmarkStart w:id="14" w:name="_Toc146812379"/>
      <w:r w:rsidRPr="00640D24">
        <w:rPr>
          <w:rFonts w:ascii="Times New Roman" w:hAnsi="Times New Roman" w:cs="Times New Roman"/>
          <w:b/>
          <w:bCs/>
          <w:color w:val="auto"/>
          <w:sz w:val="26"/>
          <w:szCs w:val="26"/>
        </w:rPr>
        <w:t>Finansinių priemonių poreikio analizė</w:t>
      </w:r>
      <w:bookmarkEnd w:id="13"/>
      <w:bookmarkEnd w:id="14"/>
      <w:r w:rsidR="00943747" w:rsidRPr="00640D24">
        <w:rPr>
          <w:rFonts w:ascii="Times New Roman" w:hAnsi="Times New Roman" w:cs="Times New Roman"/>
          <w:b/>
          <w:bCs/>
          <w:color w:val="auto"/>
          <w:sz w:val="26"/>
          <w:szCs w:val="26"/>
        </w:rPr>
        <w:t xml:space="preserve"> </w:t>
      </w:r>
    </w:p>
    <w:p w14:paraId="0747B488" w14:textId="4BEB163C" w:rsidR="00083C62" w:rsidRPr="00640D24" w:rsidRDefault="00083C62" w:rsidP="00170B5F">
      <w:pPr>
        <w:spacing w:before="60" w:after="60" w:line="240" w:lineRule="auto"/>
        <w:ind w:firstLine="567"/>
        <w:jc w:val="both"/>
        <w:rPr>
          <w:rFonts w:cs="Times New Roman"/>
        </w:rPr>
      </w:pPr>
      <w:r w:rsidRPr="00640D24">
        <w:rPr>
          <w:rFonts w:cs="Times New Roman"/>
          <w:sz w:val="22"/>
          <w:szCs w:val="22"/>
        </w:rPr>
        <w:t xml:space="preserve">2 skyriuje „Finansinių priemonių poreikio analizė“ yra nagrinėjamos ES ir Lietuvos strateginės kryptys pagal planuojamas finansuoti veiklas verslo skatinimo srityse. Taip pat yra įvertinama investicijų pasiūla, paklausa ir įvertinamas finansavimo trūkumas. </w:t>
      </w:r>
      <w:r w:rsidR="00FE4D52" w:rsidRPr="00640D24">
        <w:rPr>
          <w:rFonts w:cs="Times New Roman"/>
          <w:sz w:val="22"/>
          <w:szCs w:val="22"/>
        </w:rPr>
        <w:t>Ši analizė</w:t>
      </w:r>
      <w:r w:rsidRPr="00640D24">
        <w:rPr>
          <w:rFonts w:cs="Times New Roman"/>
          <w:sz w:val="22"/>
          <w:szCs w:val="22"/>
        </w:rPr>
        <w:t xml:space="preserve"> leidžia įvertinti si</w:t>
      </w:r>
      <w:r w:rsidR="00FE4D52" w:rsidRPr="00640D24">
        <w:rPr>
          <w:rFonts w:cs="Times New Roman"/>
          <w:sz w:val="22"/>
          <w:szCs w:val="22"/>
        </w:rPr>
        <w:t>ūlomų</w:t>
      </w:r>
      <w:r w:rsidRPr="00640D24">
        <w:rPr>
          <w:rFonts w:cs="Times New Roman"/>
          <w:sz w:val="22"/>
          <w:szCs w:val="22"/>
        </w:rPr>
        <w:t xml:space="preserve"> FP skiriamo įnašo sumą.</w:t>
      </w:r>
    </w:p>
    <w:p w14:paraId="4040F2AD" w14:textId="7C737349" w:rsidR="00943747" w:rsidRPr="00640D24" w:rsidRDefault="00943747" w:rsidP="002A24FE">
      <w:pPr>
        <w:pStyle w:val="Antrat2"/>
        <w:numPr>
          <w:ilvl w:val="1"/>
          <w:numId w:val="1"/>
        </w:numPr>
        <w:spacing w:before="120" w:after="60" w:line="240" w:lineRule="auto"/>
        <w:ind w:left="426" w:hanging="426"/>
        <w:rPr>
          <w:rFonts w:ascii="Times New Roman" w:hAnsi="Times New Roman" w:cs="Times New Roman"/>
          <w:b/>
          <w:bCs/>
          <w:color w:val="auto"/>
          <w:sz w:val="24"/>
          <w:szCs w:val="24"/>
        </w:rPr>
      </w:pPr>
      <w:bookmarkStart w:id="15" w:name="_Toc57225209"/>
      <w:bookmarkStart w:id="16" w:name="_Toc146812380"/>
      <w:r w:rsidRPr="00640D24">
        <w:rPr>
          <w:rFonts w:ascii="Times New Roman" w:hAnsi="Times New Roman" w:cs="Times New Roman"/>
          <w:b/>
          <w:bCs/>
          <w:color w:val="auto"/>
          <w:sz w:val="24"/>
          <w:szCs w:val="24"/>
        </w:rPr>
        <w:t>Strateginių krypčių analizė</w:t>
      </w:r>
      <w:bookmarkEnd w:id="15"/>
      <w:bookmarkEnd w:id="16"/>
    </w:p>
    <w:p w14:paraId="41B072D0" w14:textId="17304567" w:rsidR="00083C62" w:rsidRPr="00640D24" w:rsidRDefault="00083C62" w:rsidP="00170B5F">
      <w:pPr>
        <w:spacing w:before="60" w:after="60" w:line="240" w:lineRule="auto"/>
        <w:ind w:firstLine="425"/>
        <w:jc w:val="both"/>
        <w:rPr>
          <w:rFonts w:cs="Times New Roman"/>
          <w:sz w:val="22"/>
          <w:szCs w:val="22"/>
        </w:rPr>
      </w:pPr>
      <w:r w:rsidRPr="00640D24">
        <w:rPr>
          <w:rFonts w:cs="Times New Roman"/>
          <w:sz w:val="22"/>
          <w:szCs w:val="22"/>
        </w:rPr>
        <w:t xml:space="preserve">Šiame skyriuje yra nagrinėjamos ES ir Lietuvos strateginės kryptys pagal planuojamas finansuoti verslo srities veiklas. Skyriuje yra analizuojami šie dokumentai: </w:t>
      </w:r>
    </w:p>
    <w:p w14:paraId="293179E5" w14:textId="63764D70" w:rsidR="00083C62" w:rsidRPr="00640D24" w:rsidRDefault="00083C62" w:rsidP="00160B10">
      <w:pPr>
        <w:pStyle w:val="Sraopastraipa"/>
        <w:numPr>
          <w:ilvl w:val="0"/>
          <w:numId w:val="18"/>
        </w:numPr>
        <w:spacing w:before="60" w:after="60" w:line="240" w:lineRule="auto"/>
        <w:jc w:val="both"/>
        <w:rPr>
          <w:rFonts w:cs="Times New Roman"/>
          <w:sz w:val="22"/>
          <w:szCs w:val="22"/>
        </w:rPr>
      </w:pPr>
      <w:bookmarkStart w:id="17" w:name="_Hlk55914181"/>
      <w:r w:rsidRPr="00640D24">
        <w:rPr>
          <w:rFonts w:cs="Times New Roman"/>
          <w:sz w:val="22"/>
          <w:szCs w:val="22"/>
        </w:rPr>
        <w:lastRenderedPageBreak/>
        <w:t>Komisijos Sanglaudos politikos reglamentų projektų pasiūlymai</w:t>
      </w:r>
      <w:r w:rsidR="007C4E9B" w:rsidRPr="00640D24">
        <w:rPr>
          <w:rStyle w:val="Puslapioinaosnuoroda"/>
          <w:rFonts w:cs="Times New Roman"/>
          <w:sz w:val="22"/>
          <w:szCs w:val="22"/>
        </w:rPr>
        <w:footnoteReference w:id="5"/>
      </w:r>
      <w:r w:rsidRPr="00640D24">
        <w:rPr>
          <w:rFonts w:cs="Times New Roman"/>
          <w:sz w:val="22"/>
          <w:szCs w:val="22"/>
        </w:rPr>
        <w:t>;</w:t>
      </w:r>
    </w:p>
    <w:p w14:paraId="6A1E01FB" w14:textId="5B2650FD" w:rsidR="00083C62" w:rsidRPr="00640D24" w:rsidRDefault="00083C62" w:rsidP="00160B10">
      <w:pPr>
        <w:pStyle w:val="Sraopastraipa"/>
        <w:numPr>
          <w:ilvl w:val="0"/>
          <w:numId w:val="18"/>
        </w:numPr>
        <w:spacing w:before="60" w:after="60" w:line="240" w:lineRule="auto"/>
        <w:jc w:val="both"/>
        <w:rPr>
          <w:rFonts w:cs="Times New Roman"/>
          <w:sz w:val="22"/>
          <w:szCs w:val="22"/>
        </w:rPr>
      </w:pPr>
      <w:r w:rsidRPr="00640D24">
        <w:rPr>
          <w:rFonts w:cs="Times New Roman"/>
          <w:sz w:val="22"/>
          <w:szCs w:val="20"/>
        </w:rPr>
        <w:t>Europos Komisijos komunikatas dėl Žaliojo kurso</w:t>
      </w:r>
      <w:r w:rsidR="007C4E9B" w:rsidRPr="00640D24">
        <w:rPr>
          <w:rFonts w:cs="Times New Roman"/>
          <w:sz w:val="22"/>
          <w:szCs w:val="20"/>
        </w:rPr>
        <w:t xml:space="preserve"> (toliau – </w:t>
      </w:r>
      <w:r w:rsidR="0039219B" w:rsidRPr="00640D24">
        <w:rPr>
          <w:rFonts w:cs="Times New Roman"/>
          <w:sz w:val="22"/>
          <w:szCs w:val="20"/>
        </w:rPr>
        <w:t>Ž</w:t>
      </w:r>
      <w:r w:rsidR="007C4E9B" w:rsidRPr="00640D24">
        <w:rPr>
          <w:rFonts w:cs="Times New Roman"/>
          <w:sz w:val="22"/>
          <w:szCs w:val="20"/>
        </w:rPr>
        <w:t>aliasis kursas)</w:t>
      </w:r>
      <w:r w:rsidR="007C4E9B" w:rsidRPr="00640D24">
        <w:rPr>
          <w:rStyle w:val="Puslapioinaosnuoroda"/>
          <w:rFonts w:cs="Times New Roman"/>
          <w:sz w:val="22"/>
          <w:szCs w:val="20"/>
        </w:rPr>
        <w:footnoteReference w:id="6"/>
      </w:r>
      <w:r w:rsidRPr="00640D24">
        <w:rPr>
          <w:rFonts w:cs="Times New Roman"/>
          <w:sz w:val="22"/>
          <w:szCs w:val="20"/>
        </w:rPr>
        <w:t>;</w:t>
      </w:r>
    </w:p>
    <w:p w14:paraId="1C3EF871" w14:textId="3935CA33" w:rsidR="00083C62" w:rsidRPr="00640D24" w:rsidRDefault="00083C62" w:rsidP="00160B10">
      <w:pPr>
        <w:pStyle w:val="Sraopastraipa"/>
        <w:numPr>
          <w:ilvl w:val="0"/>
          <w:numId w:val="18"/>
        </w:numPr>
        <w:spacing w:before="60" w:after="60" w:line="240" w:lineRule="auto"/>
        <w:jc w:val="both"/>
        <w:rPr>
          <w:rFonts w:cs="Times New Roman"/>
          <w:sz w:val="22"/>
          <w:szCs w:val="22"/>
        </w:rPr>
      </w:pPr>
      <w:r w:rsidRPr="00640D24">
        <w:rPr>
          <w:rFonts w:cs="Times New Roman"/>
          <w:sz w:val="22"/>
          <w:szCs w:val="22"/>
        </w:rPr>
        <w:t>202</w:t>
      </w:r>
      <w:r w:rsidR="00C71C48" w:rsidRPr="00640D24">
        <w:rPr>
          <w:rFonts w:cs="Times New Roman"/>
          <w:sz w:val="22"/>
          <w:szCs w:val="22"/>
        </w:rPr>
        <w:t>1–</w:t>
      </w:r>
      <w:r w:rsidRPr="00640D24">
        <w:rPr>
          <w:rFonts w:cs="Times New Roman"/>
          <w:sz w:val="22"/>
          <w:szCs w:val="22"/>
        </w:rPr>
        <w:t>2027 m. ES fond</w:t>
      </w:r>
      <w:r w:rsidR="00404E80" w:rsidRPr="00640D24">
        <w:rPr>
          <w:rFonts w:cs="Times New Roman"/>
          <w:sz w:val="22"/>
          <w:szCs w:val="22"/>
        </w:rPr>
        <w:t>ų investicijų programa</w:t>
      </w:r>
      <w:r w:rsidR="007C4E9B" w:rsidRPr="00640D24">
        <w:rPr>
          <w:rStyle w:val="Puslapioinaosnuoroda"/>
          <w:rFonts w:cs="Times New Roman"/>
          <w:sz w:val="22"/>
          <w:szCs w:val="22"/>
        </w:rPr>
        <w:footnoteReference w:id="7"/>
      </w:r>
      <w:r w:rsidR="007C4E9B" w:rsidRPr="00640D24">
        <w:rPr>
          <w:rFonts w:cs="Times New Roman"/>
          <w:sz w:val="22"/>
          <w:szCs w:val="22"/>
        </w:rPr>
        <w:t xml:space="preserve"> (toliau – 2021–2027 m. programa)</w:t>
      </w:r>
      <w:r w:rsidRPr="00640D24">
        <w:rPr>
          <w:rFonts w:cs="Times New Roman"/>
          <w:sz w:val="22"/>
          <w:szCs w:val="22"/>
        </w:rPr>
        <w:t>;</w:t>
      </w:r>
    </w:p>
    <w:p w14:paraId="36CDBD00" w14:textId="07C64F0F" w:rsidR="00083C62" w:rsidRPr="00640D24" w:rsidRDefault="00083C62" w:rsidP="00160B10">
      <w:pPr>
        <w:pStyle w:val="Sraopastraipa"/>
        <w:numPr>
          <w:ilvl w:val="0"/>
          <w:numId w:val="18"/>
        </w:numPr>
        <w:spacing w:before="60" w:after="60" w:line="240" w:lineRule="auto"/>
        <w:jc w:val="both"/>
        <w:rPr>
          <w:rFonts w:cs="Times New Roman"/>
          <w:sz w:val="22"/>
          <w:szCs w:val="22"/>
        </w:rPr>
      </w:pPr>
      <w:r w:rsidRPr="00640D24">
        <w:rPr>
          <w:rFonts w:cs="Times New Roman"/>
          <w:sz w:val="22"/>
          <w:szCs w:val="22"/>
        </w:rPr>
        <w:t>Valstybės pažangos strategij</w:t>
      </w:r>
      <w:r w:rsidR="006E1965" w:rsidRPr="00640D24">
        <w:rPr>
          <w:rFonts w:cs="Times New Roman"/>
          <w:sz w:val="22"/>
          <w:szCs w:val="22"/>
        </w:rPr>
        <w:t>a</w:t>
      </w:r>
      <w:r w:rsidRPr="00640D24">
        <w:rPr>
          <w:rFonts w:cs="Times New Roman"/>
          <w:sz w:val="22"/>
          <w:szCs w:val="22"/>
        </w:rPr>
        <w:t xml:space="preserve"> „Lietuva 2030“</w:t>
      </w:r>
      <w:r w:rsidR="007C4E9B" w:rsidRPr="00640D24">
        <w:rPr>
          <w:rStyle w:val="Puslapioinaosnuoroda"/>
          <w:rFonts w:cs="Times New Roman"/>
          <w:sz w:val="22"/>
          <w:szCs w:val="22"/>
        </w:rPr>
        <w:footnoteReference w:id="8"/>
      </w:r>
      <w:r w:rsidRPr="00640D24">
        <w:rPr>
          <w:rFonts w:cs="Times New Roman"/>
          <w:sz w:val="22"/>
          <w:szCs w:val="22"/>
        </w:rPr>
        <w:t>;</w:t>
      </w:r>
    </w:p>
    <w:p w14:paraId="0DD87A73" w14:textId="7175C8F2" w:rsidR="00083C62" w:rsidRPr="00640D24" w:rsidRDefault="00083C62" w:rsidP="00160B10">
      <w:pPr>
        <w:pStyle w:val="Sraopastraipa"/>
        <w:numPr>
          <w:ilvl w:val="0"/>
          <w:numId w:val="18"/>
        </w:numPr>
        <w:spacing w:before="60" w:after="60" w:line="240" w:lineRule="auto"/>
        <w:jc w:val="both"/>
        <w:rPr>
          <w:rFonts w:cs="Times New Roman"/>
          <w:sz w:val="22"/>
          <w:szCs w:val="22"/>
        </w:rPr>
      </w:pPr>
      <w:r w:rsidRPr="00640D24">
        <w:rPr>
          <w:rFonts w:cs="Times New Roman"/>
          <w:sz w:val="22"/>
          <w:szCs w:val="22"/>
        </w:rPr>
        <w:t>2021</w:t>
      </w:r>
      <w:r w:rsidR="00C71C48" w:rsidRPr="00640D24">
        <w:rPr>
          <w:rFonts w:cs="Times New Roman"/>
          <w:sz w:val="22"/>
          <w:szCs w:val="22"/>
        </w:rPr>
        <w:t>–</w:t>
      </w:r>
      <w:r w:rsidRPr="00640D24">
        <w:rPr>
          <w:rFonts w:cs="Times New Roman"/>
          <w:sz w:val="22"/>
          <w:szCs w:val="22"/>
        </w:rPr>
        <w:t>2030 metų Nacionalinis pažangos planas</w:t>
      </w:r>
      <w:r w:rsidR="007C4E9B" w:rsidRPr="00640D24">
        <w:rPr>
          <w:rFonts w:cs="Times New Roman"/>
          <w:sz w:val="22"/>
          <w:szCs w:val="22"/>
        </w:rPr>
        <w:t xml:space="preserve"> (toliau – NP planas)</w:t>
      </w:r>
      <w:r w:rsidR="007C4E9B" w:rsidRPr="00640D24">
        <w:rPr>
          <w:rStyle w:val="Puslapioinaosnuoroda"/>
          <w:rFonts w:cs="Times New Roman"/>
          <w:sz w:val="22"/>
          <w:szCs w:val="22"/>
        </w:rPr>
        <w:footnoteReference w:id="9"/>
      </w:r>
      <w:r w:rsidRPr="00640D24">
        <w:rPr>
          <w:rFonts w:cs="Times New Roman"/>
          <w:sz w:val="22"/>
          <w:szCs w:val="22"/>
        </w:rPr>
        <w:t>;</w:t>
      </w:r>
    </w:p>
    <w:p w14:paraId="44DE5243" w14:textId="15E48202" w:rsidR="00083C62" w:rsidRPr="00640D24" w:rsidRDefault="00083C62" w:rsidP="00160B10">
      <w:pPr>
        <w:pStyle w:val="Sraopastraipa"/>
        <w:numPr>
          <w:ilvl w:val="0"/>
          <w:numId w:val="18"/>
        </w:numPr>
        <w:spacing w:before="60" w:after="60" w:line="240" w:lineRule="auto"/>
        <w:jc w:val="both"/>
        <w:rPr>
          <w:rFonts w:cs="Times New Roman"/>
          <w:sz w:val="22"/>
          <w:szCs w:val="22"/>
        </w:rPr>
      </w:pPr>
      <w:r w:rsidRPr="00640D24">
        <w:rPr>
          <w:rFonts w:cs="Times New Roman"/>
          <w:sz w:val="22"/>
          <w:szCs w:val="20"/>
        </w:rPr>
        <w:t>Nacionalini</w:t>
      </w:r>
      <w:r w:rsidR="006E1965" w:rsidRPr="00640D24">
        <w:rPr>
          <w:rFonts w:cs="Times New Roman"/>
          <w:sz w:val="22"/>
          <w:szCs w:val="20"/>
        </w:rPr>
        <w:t>s</w:t>
      </w:r>
      <w:r w:rsidRPr="00640D24">
        <w:rPr>
          <w:rFonts w:cs="Times New Roman"/>
          <w:sz w:val="22"/>
          <w:szCs w:val="20"/>
        </w:rPr>
        <w:t xml:space="preserve"> energetikos ir klimato srities veiksmų plan</w:t>
      </w:r>
      <w:r w:rsidR="006E1965" w:rsidRPr="00640D24">
        <w:rPr>
          <w:rFonts w:cs="Times New Roman"/>
          <w:sz w:val="22"/>
          <w:szCs w:val="20"/>
        </w:rPr>
        <w:t>as</w:t>
      </w:r>
      <w:r w:rsidRPr="00640D24">
        <w:rPr>
          <w:rFonts w:cs="Times New Roman"/>
          <w:sz w:val="22"/>
          <w:szCs w:val="20"/>
        </w:rPr>
        <w:t xml:space="preserve"> 2021</w:t>
      </w:r>
      <w:r w:rsidR="00195F76" w:rsidRPr="00640D24">
        <w:rPr>
          <w:rFonts w:cs="Times New Roman"/>
          <w:sz w:val="22"/>
          <w:szCs w:val="22"/>
        </w:rPr>
        <w:t>–</w:t>
      </w:r>
      <w:r w:rsidRPr="00640D24">
        <w:rPr>
          <w:rFonts w:cs="Times New Roman"/>
          <w:sz w:val="22"/>
          <w:szCs w:val="20"/>
        </w:rPr>
        <w:t>2030 m.</w:t>
      </w:r>
      <w:r w:rsidR="007C4E9B" w:rsidRPr="00640D24">
        <w:rPr>
          <w:rFonts w:cs="Times New Roman"/>
          <w:sz w:val="22"/>
          <w:szCs w:val="20"/>
        </w:rPr>
        <w:t xml:space="preserve"> (toliau – NEKSVP)</w:t>
      </w:r>
      <w:r w:rsidR="007C4E9B" w:rsidRPr="00640D24">
        <w:rPr>
          <w:rStyle w:val="Puslapioinaosnuoroda"/>
          <w:rFonts w:cs="Times New Roman"/>
          <w:sz w:val="22"/>
          <w:szCs w:val="20"/>
        </w:rPr>
        <w:footnoteReference w:id="10"/>
      </w:r>
      <w:r w:rsidR="00CB5423" w:rsidRPr="00640D24">
        <w:rPr>
          <w:rFonts w:cs="Times New Roman"/>
          <w:sz w:val="22"/>
          <w:szCs w:val="20"/>
        </w:rPr>
        <w:t>;</w:t>
      </w:r>
    </w:p>
    <w:p w14:paraId="7A5C4643" w14:textId="24A63470" w:rsidR="00CB5423" w:rsidRPr="00640D24" w:rsidRDefault="00CB5423" w:rsidP="00160B10">
      <w:pPr>
        <w:pStyle w:val="Sraopastraipa"/>
        <w:numPr>
          <w:ilvl w:val="0"/>
          <w:numId w:val="18"/>
        </w:numPr>
        <w:spacing w:before="60" w:after="60" w:line="240" w:lineRule="auto"/>
        <w:jc w:val="both"/>
        <w:rPr>
          <w:rFonts w:cs="Times New Roman"/>
          <w:sz w:val="22"/>
          <w:szCs w:val="22"/>
        </w:rPr>
      </w:pPr>
      <w:r w:rsidRPr="00640D24">
        <w:rPr>
          <w:rFonts w:cs="Times New Roman"/>
          <w:sz w:val="22"/>
          <w:szCs w:val="22"/>
        </w:rPr>
        <w:t>Skaitmeninė Europa</w:t>
      </w:r>
      <w:r w:rsidR="00D9322B" w:rsidRPr="00640D24">
        <w:rPr>
          <w:rFonts w:cs="Times New Roman"/>
          <w:sz w:val="22"/>
          <w:szCs w:val="22"/>
        </w:rPr>
        <w:t xml:space="preserve"> 2021–2027</w:t>
      </w:r>
      <w:r w:rsidRPr="00640D24">
        <w:rPr>
          <w:rStyle w:val="Puslapioinaosnuoroda"/>
          <w:rFonts w:cs="Times New Roman"/>
          <w:sz w:val="22"/>
          <w:szCs w:val="22"/>
        </w:rPr>
        <w:footnoteReference w:id="11"/>
      </w:r>
      <w:r w:rsidRPr="00640D24">
        <w:rPr>
          <w:rFonts w:cs="Times New Roman"/>
          <w:sz w:val="22"/>
          <w:szCs w:val="22"/>
        </w:rPr>
        <w:t>.</w:t>
      </w:r>
    </w:p>
    <w:p w14:paraId="16AAB350" w14:textId="77777777" w:rsidR="005979C8" w:rsidRPr="00640D24" w:rsidRDefault="00943747" w:rsidP="002A24FE">
      <w:pPr>
        <w:pStyle w:val="Antrat3"/>
        <w:spacing w:before="120"/>
      </w:pPr>
      <w:bookmarkStart w:id="18" w:name="_Toc57225210"/>
      <w:bookmarkStart w:id="19" w:name="_Toc146812381"/>
      <w:bookmarkEnd w:id="17"/>
      <w:r w:rsidRPr="00640D24">
        <w:t>2.1.1. Bendra ES ir nacionalinio lygmens</w:t>
      </w:r>
      <w:r w:rsidR="00F04D94" w:rsidRPr="00640D24">
        <w:t xml:space="preserve"> strateginių krypčių</w:t>
      </w:r>
      <w:r w:rsidRPr="00640D24">
        <w:t xml:space="preserve"> apžvalga</w:t>
      </w:r>
      <w:bookmarkEnd w:id="18"/>
      <w:bookmarkEnd w:id="19"/>
    </w:p>
    <w:p w14:paraId="2DADBD16" w14:textId="47AC9F44" w:rsidR="005979C8" w:rsidRPr="00640D24" w:rsidRDefault="005979C8" w:rsidP="00170B5F">
      <w:pPr>
        <w:spacing w:before="60" w:after="60" w:line="240" w:lineRule="auto"/>
        <w:ind w:firstLine="567"/>
        <w:jc w:val="both"/>
        <w:rPr>
          <w:rFonts w:cs="Times New Roman"/>
          <w:sz w:val="22"/>
          <w:szCs w:val="22"/>
        </w:rPr>
      </w:pPr>
      <w:r w:rsidRPr="00640D24">
        <w:rPr>
          <w:rFonts w:cs="Times New Roman"/>
          <w:sz w:val="22"/>
          <w:szCs w:val="22"/>
          <w:lang w:eastAsia="lt-LT"/>
        </w:rPr>
        <w:t>2021</w:t>
      </w:r>
      <w:r w:rsidR="005A46AE" w:rsidRPr="00640D24">
        <w:rPr>
          <w:rFonts w:cs="Times New Roman"/>
          <w:sz w:val="22"/>
          <w:szCs w:val="22"/>
        </w:rPr>
        <w:t>–</w:t>
      </w:r>
      <w:r w:rsidRPr="00640D24">
        <w:rPr>
          <w:rFonts w:cs="Times New Roman"/>
          <w:sz w:val="22"/>
          <w:szCs w:val="22"/>
          <w:lang w:eastAsia="lt-LT"/>
        </w:rPr>
        <w:t xml:space="preserve">2027 m. ES fondų investicijos yra kryptingai sutelktos į penkis </w:t>
      </w:r>
      <w:r w:rsidRPr="00640D24">
        <w:rPr>
          <w:rFonts w:cs="Times New Roman"/>
          <w:sz w:val="22"/>
          <w:szCs w:val="22"/>
        </w:rPr>
        <w:t>ES Bendrųjų nuostatų reglamente nustatytus politikos tikslus</w:t>
      </w:r>
      <w:r w:rsidR="00483B70" w:rsidRPr="00640D24">
        <w:rPr>
          <w:rStyle w:val="Puslapioinaosnuoroda"/>
          <w:rFonts w:cs="Times New Roman"/>
          <w:sz w:val="22"/>
          <w:szCs w:val="22"/>
        </w:rPr>
        <w:footnoteReference w:id="12"/>
      </w:r>
      <w:r w:rsidRPr="00640D24">
        <w:rPr>
          <w:rFonts w:cs="Times New Roman"/>
          <w:sz w:val="22"/>
          <w:szCs w:val="22"/>
        </w:rPr>
        <w:t>:</w:t>
      </w:r>
    </w:p>
    <w:p w14:paraId="7D3BB13B" w14:textId="77777777" w:rsidR="005979C8" w:rsidRPr="00640D24" w:rsidRDefault="005979C8" w:rsidP="00170B5F">
      <w:pPr>
        <w:pStyle w:val="Sraopastraipa"/>
        <w:numPr>
          <w:ilvl w:val="0"/>
          <w:numId w:val="3"/>
        </w:numPr>
        <w:spacing w:before="60" w:after="60" w:line="240" w:lineRule="auto"/>
        <w:jc w:val="both"/>
        <w:rPr>
          <w:rFonts w:cs="Times New Roman"/>
          <w:bCs/>
          <w:sz w:val="22"/>
          <w:szCs w:val="22"/>
        </w:rPr>
      </w:pPr>
      <w:r w:rsidRPr="00640D24">
        <w:rPr>
          <w:rFonts w:cs="Times New Roman"/>
          <w:bCs/>
          <w:i/>
          <w:iCs/>
          <w:sz w:val="22"/>
          <w:szCs w:val="22"/>
        </w:rPr>
        <w:t xml:space="preserve">Pažangesnė </w:t>
      </w:r>
      <w:r w:rsidR="00C664AC" w:rsidRPr="00640D24">
        <w:rPr>
          <w:rFonts w:cs="Times New Roman"/>
          <w:bCs/>
          <w:i/>
          <w:iCs/>
          <w:sz w:val="22"/>
          <w:szCs w:val="22"/>
        </w:rPr>
        <w:t>Eur</w:t>
      </w:r>
      <w:r w:rsidRPr="00640D24">
        <w:rPr>
          <w:rFonts w:cs="Times New Roman"/>
          <w:bCs/>
          <w:i/>
          <w:iCs/>
          <w:sz w:val="22"/>
          <w:szCs w:val="22"/>
        </w:rPr>
        <w:t>opa</w:t>
      </w:r>
      <w:r w:rsidRPr="00640D24">
        <w:rPr>
          <w:rFonts w:cs="Times New Roman"/>
          <w:bCs/>
          <w:sz w:val="22"/>
          <w:szCs w:val="22"/>
        </w:rPr>
        <w:t xml:space="preserve"> </w:t>
      </w:r>
      <w:r w:rsidR="00344DAE" w:rsidRPr="00640D24">
        <w:rPr>
          <w:rFonts w:cs="Times New Roman"/>
          <w:bCs/>
          <w:sz w:val="22"/>
          <w:szCs w:val="22"/>
        </w:rPr>
        <w:t>–</w:t>
      </w:r>
      <w:r w:rsidRPr="00640D24">
        <w:rPr>
          <w:rFonts w:cs="Times New Roman"/>
          <w:bCs/>
          <w:sz w:val="22"/>
          <w:szCs w:val="22"/>
        </w:rPr>
        <w:t xml:space="preserve"> ES fondų investicijomis bus skatinama Lietuvos ekonomikos transformacija į aukštesnės pridėtinės vertės ekonomiką ir jos konkurencingumas</w:t>
      </w:r>
      <w:r w:rsidR="00344DAE" w:rsidRPr="00640D24">
        <w:rPr>
          <w:rFonts w:cs="Times New Roman"/>
          <w:bCs/>
          <w:sz w:val="22"/>
          <w:szCs w:val="22"/>
        </w:rPr>
        <w:t>;</w:t>
      </w:r>
    </w:p>
    <w:p w14:paraId="760B2622" w14:textId="77777777" w:rsidR="005979C8" w:rsidRPr="00640D24" w:rsidRDefault="005979C8" w:rsidP="00170B5F">
      <w:pPr>
        <w:pStyle w:val="Sraopastraipa"/>
        <w:numPr>
          <w:ilvl w:val="0"/>
          <w:numId w:val="3"/>
        </w:numPr>
        <w:spacing w:before="60" w:after="60" w:line="240" w:lineRule="auto"/>
        <w:jc w:val="both"/>
        <w:rPr>
          <w:rFonts w:cs="Times New Roman"/>
          <w:bCs/>
          <w:sz w:val="22"/>
          <w:szCs w:val="22"/>
        </w:rPr>
      </w:pPr>
      <w:r w:rsidRPr="00640D24">
        <w:rPr>
          <w:rFonts w:cs="Times New Roman"/>
          <w:bCs/>
          <w:i/>
          <w:iCs/>
          <w:sz w:val="22"/>
          <w:szCs w:val="22"/>
        </w:rPr>
        <w:t xml:space="preserve">Žalesnė </w:t>
      </w:r>
      <w:r w:rsidR="00C664AC" w:rsidRPr="00640D24">
        <w:rPr>
          <w:rFonts w:cs="Times New Roman"/>
          <w:bCs/>
          <w:i/>
          <w:iCs/>
          <w:sz w:val="22"/>
          <w:szCs w:val="22"/>
        </w:rPr>
        <w:t>Eur</w:t>
      </w:r>
      <w:r w:rsidRPr="00640D24">
        <w:rPr>
          <w:rFonts w:cs="Times New Roman"/>
          <w:bCs/>
          <w:i/>
          <w:iCs/>
          <w:sz w:val="22"/>
          <w:szCs w:val="22"/>
        </w:rPr>
        <w:t>opa</w:t>
      </w:r>
      <w:r w:rsidRPr="00640D24">
        <w:rPr>
          <w:rFonts w:cs="Times New Roman"/>
          <w:bCs/>
          <w:sz w:val="22"/>
          <w:szCs w:val="22"/>
        </w:rPr>
        <w:t xml:space="preserve"> – ES fondų investicijomis bus skatinamas perėjimas prie švarios ir teisingos energetikos, žaliosios investicijos, žiedinė ekonomika, prisitaikymas prie klimato kaitos, ekstremalių klimato reiškinių rizikos prevencija bei jos valdymas</w:t>
      </w:r>
      <w:r w:rsidR="00344DAE" w:rsidRPr="00640D24">
        <w:rPr>
          <w:rFonts w:cs="Times New Roman"/>
          <w:bCs/>
          <w:sz w:val="22"/>
          <w:szCs w:val="22"/>
        </w:rPr>
        <w:t>;</w:t>
      </w:r>
    </w:p>
    <w:p w14:paraId="24C2D061" w14:textId="76076369" w:rsidR="005979C8" w:rsidRPr="00640D24" w:rsidRDefault="005979C8" w:rsidP="00170B5F">
      <w:pPr>
        <w:pStyle w:val="Sraopastraipa"/>
        <w:numPr>
          <w:ilvl w:val="0"/>
          <w:numId w:val="3"/>
        </w:numPr>
        <w:spacing w:before="60" w:after="60" w:line="240" w:lineRule="auto"/>
        <w:jc w:val="both"/>
        <w:rPr>
          <w:rFonts w:cs="Times New Roman"/>
          <w:bCs/>
          <w:sz w:val="22"/>
          <w:szCs w:val="22"/>
        </w:rPr>
      </w:pPr>
      <w:r w:rsidRPr="00640D24">
        <w:rPr>
          <w:rFonts w:cs="Times New Roman"/>
          <w:bCs/>
          <w:i/>
          <w:iCs/>
          <w:sz w:val="22"/>
          <w:szCs w:val="22"/>
        </w:rPr>
        <w:t xml:space="preserve">Geriau sujungta </w:t>
      </w:r>
      <w:r w:rsidR="00C664AC" w:rsidRPr="00640D24">
        <w:rPr>
          <w:rFonts w:cs="Times New Roman"/>
          <w:bCs/>
          <w:i/>
          <w:iCs/>
          <w:sz w:val="22"/>
          <w:szCs w:val="22"/>
        </w:rPr>
        <w:t>Eur</w:t>
      </w:r>
      <w:r w:rsidRPr="00640D24">
        <w:rPr>
          <w:rFonts w:cs="Times New Roman"/>
          <w:bCs/>
          <w:i/>
          <w:iCs/>
          <w:sz w:val="22"/>
          <w:szCs w:val="22"/>
        </w:rPr>
        <w:t>opa</w:t>
      </w:r>
      <w:r w:rsidRPr="00640D24">
        <w:rPr>
          <w:rFonts w:cs="Times New Roman"/>
          <w:bCs/>
          <w:sz w:val="22"/>
          <w:szCs w:val="22"/>
        </w:rPr>
        <w:t xml:space="preserve"> – ES fondų investicijomis bus skatinamas skaitmeninis junglumas, kuriamas tvarus, atsparus klimato kaitai, pažangus, saugus ir įvairiarūšis </w:t>
      </w:r>
      <w:proofErr w:type="spellStart"/>
      <w:r w:rsidRPr="00640D24">
        <w:rPr>
          <w:rFonts w:cs="Times New Roman"/>
          <w:bCs/>
          <w:sz w:val="22"/>
          <w:szCs w:val="22"/>
        </w:rPr>
        <w:t>trans</w:t>
      </w:r>
      <w:r w:rsidR="00C664AC" w:rsidRPr="00640D24">
        <w:rPr>
          <w:rFonts w:cs="Times New Roman"/>
          <w:bCs/>
          <w:sz w:val="22"/>
          <w:szCs w:val="22"/>
        </w:rPr>
        <w:t>Eur</w:t>
      </w:r>
      <w:r w:rsidRPr="00640D24">
        <w:rPr>
          <w:rFonts w:cs="Times New Roman"/>
          <w:bCs/>
          <w:sz w:val="22"/>
          <w:szCs w:val="22"/>
        </w:rPr>
        <w:t>opinis</w:t>
      </w:r>
      <w:proofErr w:type="spellEnd"/>
      <w:r w:rsidRPr="00640D24">
        <w:rPr>
          <w:rFonts w:cs="Times New Roman"/>
          <w:bCs/>
          <w:sz w:val="22"/>
          <w:szCs w:val="22"/>
        </w:rPr>
        <w:t xml:space="preserve"> transporto tinklas, taip pat gerinamas nacionalinis, regiono ir vietos </w:t>
      </w:r>
      <w:proofErr w:type="spellStart"/>
      <w:r w:rsidRPr="00640D24">
        <w:rPr>
          <w:rFonts w:cs="Times New Roman"/>
          <w:bCs/>
          <w:sz w:val="22"/>
          <w:szCs w:val="22"/>
        </w:rPr>
        <w:t>judumas</w:t>
      </w:r>
      <w:proofErr w:type="spellEnd"/>
      <w:r w:rsidRPr="00640D24">
        <w:rPr>
          <w:rFonts w:cs="Times New Roman"/>
          <w:bCs/>
          <w:sz w:val="22"/>
          <w:szCs w:val="22"/>
        </w:rPr>
        <w:t>, įskaitant geresnes galimybes naudotis TEN</w:t>
      </w:r>
      <w:r w:rsidR="00645085" w:rsidRPr="00640D24">
        <w:rPr>
          <w:rFonts w:cs="Times New Roman"/>
          <w:bCs/>
          <w:sz w:val="22"/>
          <w:szCs w:val="22"/>
        </w:rPr>
        <w:t>–</w:t>
      </w:r>
      <w:r w:rsidRPr="00640D24">
        <w:rPr>
          <w:rFonts w:cs="Times New Roman"/>
          <w:bCs/>
          <w:sz w:val="22"/>
          <w:szCs w:val="22"/>
        </w:rPr>
        <w:t xml:space="preserve">T ir tarpvalstybinis </w:t>
      </w:r>
      <w:proofErr w:type="spellStart"/>
      <w:r w:rsidRPr="00640D24">
        <w:rPr>
          <w:rFonts w:cs="Times New Roman"/>
          <w:bCs/>
          <w:sz w:val="22"/>
          <w:szCs w:val="22"/>
        </w:rPr>
        <w:t>judumas</w:t>
      </w:r>
      <w:proofErr w:type="spellEnd"/>
      <w:r w:rsidR="00344DAE" w:rsidRPr="00640D24">
        <w:rPr>
          <w:rFonts w:cs="Times New Roman"/>
          <w:bCs/>
          <w:sz w:val="22"/>
          <w:szCs w:val="22"/>
        </w:rPr>
        <w:t>;</w:t>
      </w:r>
    </w:p>
    <w:p w14:paraId="60C0CD9D" w14:textId="77777777" w:rsidR="005979C8" w:rsidRPr="00640D24" w:rsidRDefault="005979C8" w:rsidP="00170B5F">
      <w:pPr>
        <w:pStyle w:val="Sraopastraipa"/>
        <w:numPr>
          <w:ilvl w:val="0"/>
          <w:numId w:val="3"/>
        </w:numPr>
        <w:spacing w:before="60" w:after="60" w:line="240" w:lineRule="auto"/>
        <w:jc w:val="both"/>
        <w:rPr>
          <w:rFonts w:cs="Times New Roman"/>
          <w:bCs/>
          <w:sz w:val="22"/>
          <w:szCs w:val="22"/>
        </w:rPr>
      </w:pPr>
      <w:r w:rsidRPr="00640D24">
        <w:rPr>
          <w:rFonts w:cs="Times New Roman"/>
          <w:bCs/>
          <w:i/>
          <w:iCs/>
          <w:sz w:val="22"/>
          <w:szCs w:val="22"/>
        </w:rPr>
        <w:t xml:space="preserve">Socialiai atsakinga </w:t>
      </w:r>
      <w:r w:rsidR="00C664AC" w:rsidRPr="00640D24">
        <w:rPr>
          <w:rFonts w:cs="Times New Roman"/>
          <w:bCs/>
          <w:i/>
          <w:iCs/>
          <w:sz w:val="22"/>
          <w:szCs w:val="22"/>
        </w:rPr>
        <w:t>Eur</w:t>
      </w:r>
      <w:r w:rsidRPr="00640D24">
        <w:rPr>
          <w:rFonts w:cs="Times New Roman"/>
          <w:bCs/>
          <w:i/>
          <w:iCs/>
          <w:sz w:val="22"/>
          <w:szCs w:val="22"/>
        </w:rPr>
        <w:t>opa</w:t>
      </w:r>
      <w:r w:rsidRPr="00640D24">
        <w:rPr>
          <w:rFonts w:cs="Times New Roman"/>
          <w:bCs/>
          <w:sz w:val="22"/>
          <w:szCs w:val="22"/>
        </w:rPr>
        <w:t xml:space="preserve"> – ES fondų investicijomis bus įgyvendinami </w:t>
      </w:r>
      <w:r w:rsidR="00C664AC" w:rsidRPr="00640D24">
        <w:rPr>
          <w:rFonts w:cs="Times New Roman"/>
          <w:bCs/>
          <w:sz w:val="22"/>
          <w:szCs w:val="22"/>
        </w:rPr>
        <w:t>Eur</w:t>
      </w:r>
      <w:r w:rsidRPr="00640D24">
        <w:rPr>
          <w:rFonts w:cs="Times New Roman"/>
          <w:bCs/>
          <w:sz w:val="22"/>
          <w:szCs w:val="22"/>
        </w:rPr>
        <w:t xml:space="preserve">opos socialinių teisių ramsčio principai, skatinant užimtumo, švietimo ir socialinės </w:t>
      </w:r>
      <w:proofErr w:type="spellStart"/>
      <w:r w:rsidRPr="00640D24">
        <w:rPr>
          <w:rFonts w:cs="Times New Roman"/>
          <w:bCs/>
          <w:sz w:val="22"/>
          <w:szCs w:val="22"/>
        </w:rPr>
        <w:t>įtraukties</w:t>
      </w:r>
      <w:proofErr w:type="spellEnd"/>
      <w:r w:rsidRPr="00640D24">
        <w:rPr>
          <w:rFonts w:cs="Times New Roman"/>
          <w:bCs/>
          <w:sz w:val="22"/>
          <w:szCs w:val="22"/>
        </w:rPr>
        <w:t xml:space="preserve"> politikos sričių investicijas į žmones ir sistemas</w:t>
      </w:r>
      <w:r w:rsidR="00344DAE" w:rsidRPr="00640D24">
        <w:rPr>
          <w:rFonts w:cs="Times New Roman"/>
          <w:bCs/>
          <w:sz w:val="22"/>
          <w:szCs w:val="22"/>
        </w:rPr>
        <w:t>;</w:t>
      </w:r>
    </w:p>
    <w:p w14:paraId="5F9CD899" w14:textId="77777777" w:rsidR="005979C8" w:rsidRPr="00640D24" w:rsidRDefault="005979C8" w:rsidP="00170B5F">
      <w:pPr>
        <w:pStyle w:val="Sraopastraipa"/>
        <w:numPr>
          <w:ilvl w:val="0"/>
          <w:numId w:val="3"/>
        </w:numPr>
        <w:spacing w:before="60" w:after="60" w:line="240" w:lineRule="auto"/>
        <w:ind w:left="924" w:hanging="357"/>
        <w:contextualSpacing w:val="0"/>
        <w:jc w:val="both"/>
        <w:rPr>
          <w:rFonts w:cs="Times New Roman"/>
          <w:bCs/>
          <w:sz w:val="22"/>
          <w:szCs w:val="22"/>
        </w:rPr>
      </w:pPr>
      <w:r w:rsidRPr="00640D24">
        <w:rPr>
          <w:rFonts w:cs="Times New Roman"/>
          <w:bCs/>
          <w:i/>
          <w:iCs/>
          <w:sz w:val="22"/>
          <w:szCs w:val="22"/>
        </w:rPr>
        <w:t xml:space="preserve">Piliečiams artimesnė </w:t>
      </w:r>
      <w:r w:rsidR="00C664AC" w:rsidRPr="00640D24">
        <w:rPr>
          <w:rFonts w:cs="Times New Roman"/>
          <w:bCs/>
          <w:i/>
          <w:iCs/>
          <w:sz w:val="22"/>
          <w:szCs w:val="22"/>
        </w:rPr>
        <w:t>Eur</w:t>
      </w:r>
      <w:r w:rsidRPr="00640D24">
        <w:rPr>
          <w:rFonts w:cs="Times New Roman"/>
          <w:bCs/>
          <w:i/>
          <w:iCs/>
          <w:sz w:val="22"/>
          <w:szCs w:val="22"/>
        </w:rPr>
        <w:t>opa</w:t>
      </w:r>
      <w:r w:rsidRPr="00640D24">
        <w:rPr>
          <w:rFonts w:cs="Times New Roman"/>
          <w:bCs/>
          <w:sz w:val="22"/>
          <w:szCs w:val="22"/>
        </w:rPr>
        <w:t xml:space="preserve"> </w:t>
      </w:r>
      <w:r w:rsidR="00344DAE" w:rsidRPr="00640D24">
        <w:rPr>
          <w:rFonts w:cs="Times New Roman"/>
          <w:bCs/>
          <w:sz w:val="22"/>
          <w:szCs w:val="22"/>
        </w:rPr>
        <w:t>–</w:t>
      </w:r>
      <w:r w:rsidRPr="00640D24">
        <w:rPr>
          <w:rFonts w:cs="Times New Roman"/>
          <w:bCs/>
          <w:sz w:val="22"/>
          <w:szCs w:val="22"/>
        </w:rPr>
        <w:t xml:space="preserve"> ES fondų investicijomis bus įgyvendinama tvari ir integruota miestų ir kaimų plėtra ir vietos </w:t>
      </w:r>
      <w:r w:rsidRPr="00640D24">
        <w:rPr>
          <w:rFonts w:cs="Times New Roman"/>
          <w:bCs/>
          <w:sz w:val="22"/>
          <w:szCs w:val="22"/>
          <w:lang w:eastAsia="lt-LT"/>
        </w:rPr>
        <w:t xml:space="preserve">iniciatyvos, siekiant </w:t>
      </w:r>
      <w:r w:rsidRPr="00640D24">
        <w:rPr>
          <w:rFonts w:cs="Times New Roman"/>
          <w:bCs/>
          <w:sz w:val="22"/>
          <w:szCs w:val="22"/>
        </w:rPr>
        <w:t>reaguoti į demografinius iššūkius ir mažinti socialinius ir ekonominius skirtumus.</w:t>
      </w:r>
    </w:p>
    <w:p w14:paraId="5048F59B" w14:textId="147DB7D8" w:rsidR="005979C8" w:rsidRPr="00640D24" w:rsidRDefault="005979C8" w:rsidP="00170B5F">
      <w:pPr>
        <w:spacing w:before="60" w:after="60" w:line="240" w:lineRule="auto"/>
        <w:ind w:firstLine="567"/>
        <w:jc w:val="both"/>
        <w:rPr>
          <w:rFonts w:cs="Times New Roman"/>
          <w:sz w:val="22"/>
          <w:szCs w:val="22"/>
        </w:rPr>
      </w:pPr>
      <w:r w:rsidRPr="00640D24">
        <w:rPr>
          <w:rFonts w:cs="Times New Roman"/>
          <w:sz w:val="22"/>
          <w:szCs w:val="22"/>
        </w:rPr>
        <w:t xml:space="preserve">Šie tikslai yra atliepti </w:t>
      </w:r>
      <w:r w:rsidR="007C4E9B" w:rsidRPr="00640D24">
        <w:rPr>
          <w:rFonts w:cs="Times New Roman"/>
          <w:sz w:val="22"/>
          <w:szCs w:val="22"/>
        </w:rPr>
        <w:t>NP</w:t>
      </w:r>
      <w:r w:rsidRPr="00640D24">
        <w:rPr>
          <w:rFonts w:cs="Times New Roman"/>
          <w:sz w:val="22"/>
          <w:szCs w:val="22"/>
        </w:rPr>
        <w:t xml:space="preserve"> plane</w:t>
      </w:r>
      <w:r w:rsidR="007C4E9B" w:rsidRPr="00640D24">
        <w:rPr>
          <w:rFonts w:cs="Times New Roman"/>
          <w:sz w:val="22"/>
          <w:szCs w:val="22"/>
        </w:rPr>
        <w:t xml:space="preserve">, </w:t>
      </w:r>
      <w:r w:rsidRPr="00640D24">
        <w:rPr>
          <w:rFonts w:cs="Times New Roman"/>
          <w:sz w:val="22"/>
          <w:szCs w:val="22"/>
        </w:rPr>
        <w:t>kuriuo siekiama nustatyti pagrindinius ateinantį dešimtmetį valstybėje siekiamus pokyčius, užtikrinančius pažangą socialinėje, ekonominėje, aplinkos bei saugumo srityse, ir sutelkti finansavimo šaltinius šiems pokyčiams įgyvendinti.</w:t>
      </w:r>
      <w:r w:rsidR="00C664AC" w:rsidRPr="00640D24">
        <w:rPr>
          <w:rFonts w:cs="Times New Roman"/>
          <w:sz w:val="22"/>
          <w:szCs w:val="22"/>
        </w:rPr>
        <w:t xml:space="preserve"> NP</w:t>
      </w:r>
      <w:r w:rsidRPr="00640D24">
        <w:rPr>
          <w:rFonts w:cs="Times New Roman"/>
          <w:sz w:val="22"/>
          <w:szCs w:val="22"/>
        </w:rPr>
        <w:t xml:space="preserve"> </w:t>
      </w:r>
      <w:r w:rsidR="00C664AC" w:rsidRPr="00640D24">
        <w:rPr>
          <w:rFonts w:cs="Times New Roman"/>
          <w:sz w:val="22"/>
          <w:szCs w:val="22"/>
        </w:rPr>
        <w:t>p</w:t>
      </w:r>
      <w:r w:rsidRPr="00640D24">
        <w:rPr>
          <w:rFonts w:cs="Times New Roman"/>
          <w:sz w:val="22"/>
          <w:szCs w:val="22"/>
        </w:rPr>
        <w:t>lanas apibrėžia 10 strateginių tikslų</w:t>
      </w:r>
      <w:r w:rsidR="00307302" w:rsidRPr="00640D24">
        <w:rPr>
          <w:rFonts w:cs="Times New Roman"/>
          <w:sz w:val="22"/>
          <w:szCs w:val="22"/>
        </w:rPr>
        <w:t>, iš kurių 1</w:t>
      </w:r>
      <w:r w:rsidR="00645085" w:rsidRPr="00640D24">
        <w:rPr>
          <w:rFonts w:cs="Times New Roman"/>
          <w:sz w:val="22"/>
          <w:szCs w:val="22"/>
        </w:rPr>
        <w:t>–</w:t>
      </w:r>
      <w:proofErr w:type="spellStart"/>
      <w:r w:rsidR="00307302" w:rsidRPr="00640D24">
        <w:rPr>
          <w:rFonts w:cs="Times New Roman"/>
          <w:sz w:val="22"/>
          <w:szCs w:val="22"/>
        </w:rPr>
        <w:t>ąjį</w:t>
      </w:r>
      <w:proofErr w:type="spellEnd"/>
      <w:r w:rsidR="00307302" w:rsidRPr="00640D24">
        <w:rPr>
          <w:rFonts w:cs="Times New Roman"/>
          <w:sz w:val="22"/>
          <w:szCs w:val="22"/>
        </w:rPr>
        <w:t xml:space="preserve"> strateginį tikslą „</w:t>
      </w:r>
      <w:r w:rsidRPr="00640D24">
        <w:rPr>
          <w:rFonts w:cs="Times New Roman"/>
          <w:sz w:val="22"/>
          <w:szCs w:val="22"/>
        </w:rPr>
        <w:t>Pereiti prie mokslo žiniomis, pažangiosiomis technologijomis, inovacijomis grįsto darnaus ekonomikos augimo ir didinti šalies tarptautinį konkurencingumą</w:t>
      </w:r>
      <w:r w:rsidR="00307302" w:rsidRPr="00640D24">
        <w:rPr>
          <w:rFonts w:cs="Times New Roman"/>
          <w:sz w:val="22"/>
          <w:szCs w:val="22"/>
        </w:rPr>
        <w:t xml:space="preserve">“ iš dalies sprendžia Vertinime analizuojamos verslo sritys. </w:t>
      </w:r>
    </w:p>
    <w:p w14:paraId="14C6A11E" w14:textId="6E8108D8" w:rsidR="005979C8" w:rsidRPr="00640D24" w:rsidRDefault="005979C8" w:rsidP="00170B5F">
      <w:pPr>
        <w:spacing w:before="60" w:after="60" w:line="240" w:lineRule="auto"/>
        <w:ind w:firstLine="567"/>
        <w:jc w:val="both"/>
        <w:rPr>
          <w:rFonts w:cs="Times New Roman"/>
          <w:sz w:val="22"/>
          <w:szCs w:val="22"/>
        </w:rPr>
      </w:pPr>
      <w:r w:rsidRPr="00640D24">
        <w:rPr>
          <w:rFonts w:cs="Times New Roman"/>
          <w:sz w:val="22"/>
          <w:szCs w:val="22"/>
        </w:rPr>
        <w:t xml:space="preserve">NP </w:t>
      </w:r>
      <w:r w:rsidR="00C664AC" w:rsidRPr="00640D24">
        <w:rPr>
          <w:rFonts w:cs="Times New Roman"/>
          <w:sz w:val="22"/>
          <w:szCs w:val="22"/>
        </w:rPr>
        <w:t>p</w:t>
      </w:r>
      <w:r w:rsidRPr="00640D24">
        <w:rPr>
          <w:rFonts w:cs="Times New Roman"/>
          <w:sz w:val="22"/>
          <w:szCs w:val="22"/>
        </w:rPr>
        <w:t>lanas bus įgyvendinamas per plėtros programas ir jų priemones. Plėtros programose atsispindės visos planuojamos srities investicijos ir skiriamos lėšos. T</w:t>
      </w:r>
      <w:r w:rsidR="009648FB" w:rsidRPr="00640D24">
        <w:rPr>
          <w:rFonts w:cs="Times New Roman"/>
          <w:sz w:val="22"/>
          <w:szCs w:val="22"/>
        </w:rPr>
        <w:t xml:space="preserve">uo siekiama </w:t>
      </w:r>
      <w:r w:rsidRPr="00640D24">
        <w:rPr>
          <w:rFonts w:cs="Times New Roman"/>
          <w:sz w:val="22"/>
          <w:szCs w:val="22"/>
        </w:rPr>
        <w:t>užtikrin</w:t>
      </w:r>
      <w:r w:rsidR="009648FB" w:rsidRPr="00640D24">
        <w:rPr>
          <w:rFonts w:cs="Times New Roman"/>
          <w:sz w:val="22"/>
          <w:szCs w:val="22"/>
        </w:rPr>
        <w:t>ti</w:t>
      </w:r>
      <w:r w:rsidRPr="00640D24">
        <w:rPr>
          <w:rFonts w:cs="Times New Roman"/>
          <w:sz w:val="22"/>
          <w:szCs w:val="22"/>
        </w:rPr>
        <w:t xml:space="preserve"> kryptingą tarptautinių, ES ir valstybės lėšų panaudojimą. </w:t>
      </w:r>
      <w:r w:rsidR="00FD335A" w:rsidRPr="00640D24">
        <w:rPr>
          <w:rFonts w:cs="Times New Roman"/>
          <w:sz w:val="22"/>
          <w:szCs w:val="22"/>
        </w:rPr>
        <w:t>2021</w:t>
      </w:r>
      <w:r w:rsidR="0071729B" w:rsidRPr="00640D24">
        <w:rPr>
          <w:rFonts w:cs="Times New Roman"/>
          <w:sz w:val="22"/>
          <w:szCs w:val="22"/>
        </w:rPr>
        <w:t>–</w:t>
      </w:r>
      <w:r w:rsidR="00FD335A" w:rsidRPr="00640D24">
        <w:rPr>
          <w:rFonts w:cs="Times New Roman"/>
          <w:sz w:val="22"/>
          <w:szCs w:val="22"/>
        </w:rPr>
        <w:t>2027 m. p</w:t>
      </w:r>
      <w:r w:rsidRPr="00640D24">
        <w:rPr>
          <w:rFonts w:cs="Times New Roman"/>
          <w:sz w:val="22"/>
          <w:szCs w:val="22"/>
        </w:rPr>
        <w:t>rogram</w:t>
      </w:r>
      <w:r w:rsidR="007C4E9B" w:rsidRPr="00640D24">
        <w:rPr>
          <w:rFonts w:cs="Times New Roman"/>
          <w:sz w:val="22"/>
          <w:szCs w:val="22"/>
        </w:rPr>
        <w:t>os</w:t>
      </w:r>
      <w:r w:rsidRPr="00640D24">
        <w:rPr>
          <w:rFonts w:cs="Times New Roman"/>
          <w:sz w:val="22"/>
          <w:szCs w:val="22"/>
        </w:rPr>
        <w:t xml:space="preserve"> rengimo metu buvo įvertinti ES Sanglaudos politikos tikslai, Lietuvai skirtos Tarybos rekomendacijos, atsižvelgta į NP </w:t>
      </w:r>
      <w:r w:rsidR="00C664AC" w:rsidRPr="00640D24">
        <w:rPr>
          <w:rFonts w:cs="Times New Roman"/>
          <w:sz w:val="22"/>
          <w:szCs w:val="22"/>
        </w:rPr>
        <w:t>p</w:t>
      </w:r>
      <w:r w:rsidRPr="00640D24">
        <w:rPr>
          <w:rFonts w:cs="Times New Roman"/>
          <w:sz w:val="22"/>
          <w:szCs w:val="22"/>
        </w:rPr>
        <w:t xml:space="preserve">laną ir plėtros programas bei </w:t>
      </w:r>
      <w:r w:rsidR="007C4E9B" w:rsidRPr="00640D24">
        <w:rPr>
          <w:rFonts w:cs="Times New Roman"/>
          <w:sz w:val="22"/>
          <w:szCs w:val="22"/>
        </w:rPr>
        <w:t xml:space="preserve">NEKSVP </w:t>
      </w:r>
      <w:r w:rsidRPr="00640D24">
        <w:rPr>
          <w:rFonts w:cs="Times New Roman"/>
          <w:sz w:val="22"/>
          <w:szCs w:val="22"/>
        </w:rPr>
        <w:t xml:space="preserve">iššūkius, siekiant energetikos ir klimato tikslų, rengiant naują Lietuvos augimo modelį, nustatant investicijų poreikį žaliosioms technologijoms ir darniems sprendimams. </w:t>
      </w:r>
    </w:p>
    <w:p w14:paraId="231FB55F" w14:textId="5B18A4C9" w:rsidR="00943747" w:rsidRPr="00640D24" w:rsidRDefault="00943747" w:rsidP="00CC48BD">
      <w:pPr>
        <w:pStyle w:val="Antrat3"/>
        <w:numPr>
          <w:ilvl w:val="2"/>
          <w:numId w:val="1"/>
        </w:numPr>
      </w:pPr>
      <w:bookmarkStart w:id="21" w:name="_Toc57225211"/>
      <w:bookmarkStart w:id="22" w:name="_Toc146812382"/>
      <w:r w:rsidRPr="00640D24">
        <w:t>Verslo skatinim</w:t>
      </w:r>
      <w:r w:rsidR="000B2396" w:rsidRPr="00640D24">
        <w:t xml:space="preserve">o </w:t>
      </w:r>
      <w:r w:rsidR="009648FB" w:rsidRPr="00640D24">
        <w:t xml:space="preserve">situacijos </w:t>
      </w:r>
      <w:r w:rsidR="000B2396" w:rsidRPr="00640D24">
        <w:t>analizė</w:t>
      </w:r>
      <w:bookmarkEnd w:id="21"/>
      <w:bookmarkEnd w:id="22"/>
    </w:p>
    <w:p w14:paraId="127DBD34" w14:textId="3602A752" w:rsidR="005979C8" w:rsidRPr="00640D24" w:rsidRDefault="00FD335A" w:rsidP="00170B5F">
      <w:pPr>
        <w:spacing w:before="60" w:after="60" w:line="240" w:lineRule="auto"/>
        <w:ind w:firstLine="567"/>
        <w:jc w:val="both"/>
        <w:rPr>
          <w:rFonts w:cs="Times New Roman"/>
          <w:sz w:val="22"/>
          <w:szCs w:val="22"/>
        </w:rPr>
      </w:pPr>
      <w:r w:rsidRPr="00640D24">
        <w:rPr>
          <w:rFonts w:cs="Times New Roman"/>
          <w:sz w:val="22"/>
          <w:szCs w:val="22"/>
        </w:rPr>
        <w:t>COVID</w:t>
      </w:r>
      <w:r w:rsidR="00645085" w:rsidRPr="00640D24">
        <w:rPr>
          <w:rFonts w:cs="Times New Roman"/>
          <w:sz w:val="22"/>
          <w:szCs w:val="22"/>
        </w:rPr>
        <w:t>–</w:t>
      </w:r>
      <w:r w:rsidRPr="00640D24">
        <w:rPr>
          <w:rFonts w:cs="Times New Roman"/>
          <w:sz w:val="22"/>
          <w:szCs w:val="22"/>
        </w:rPr>
        <w:t xml:space="preserve">19 pandemija, lėta Lietuvos ekonomikos transformacija aukštesnės pridėtinės vertės link, socialinė atskirtis ir nelygybė, kuri pandemijos metu tapo dar gilesnė, ekonominiai ir socialiniai regioniniai </w:t>
      </w:r>
      <w:r w:rsidRPr="00640D24">
        <w:rPr>
          <w:rFonts w:cs="Times New Roman"/>
          <w:sz w:val="22"/>
          <w:szCs w:val="22"/>
        </w:rPr>
        <w:lastRenderedPageBreak/>
        <w:t>skirtumai ir kt. turi tiesioginės įtakos Lietuvos ekonominei raidai ir visuomenės gerovei</w:t>
      </w:r>
      <w:r w:rsidR="00AD03D0" w:rsidRPr="00640D24">
        <w:rPr>
          <w:rFonts w:cs="Times New Roman"/>
          <w:sz w:val="22"/>
          <w:szCs w:val="22"/>
          <w:vertAlign w:val="superscript"/>
        </w:rPr>
        <w:footnoteReference w:id="13"/>
      </w:r>
      <w:r w:rsidR="009B61FD" w:rsidRPr="00640D24">
        <w:rPr>
          <w:rFonts w:cs="Times New Roman"/>
          <w:sz w:val="22"/>
          <w:szCs w:val="22"/>
        </w:rPr>
        <w:t xml:space="preserve">. </w:t>
      </w:r>
      <w:r w:rsidRPr="00640D24">
        <w:rPr>
          <w:rFonts w:cs="Times New Roman"/>
          <w:sz w:val="22"/>
          <w:szCs w:val="22"/>
        </w:rPr>
        <w:t>2021</w:t>
      </w:r>
      <w:r w:rsidR="0071729B" w:rsidRPr="00640D24">
        <w:rPr>
          <w:rFonts w:cs="Times New Roman"/>
          <w:sz w:val="22"/>
          <w:szCs w:val="22"/>
        </w:rPr>
        <w:t>–</w:t>
      </w:r>
      <w:r w:rsidRPr="00640D24">
        <w:rPr>
          <w:rFonts w:cs="Times New Roman"/>
          <w:sz w:val="22"/>
          <w:szCs w:val="22"/>
        </w:rPr>
        <w:t>2027 m. programoje yra atliepiami pagrindiniai iššūkiai, kartu apibrėžiant investicijų poreikį atskirose srityse. Šiame ataskaitos skyriuje pateikiama į šio Vertinimo apimtį patenkančių,</w:t>
      </w:r>
      <w:r w:rsidR="00F31A2D" w:rsidRPr="00640D24">
        <w:rPr>
          <w:rFonts w:cs="Times New Roman"/>
          <w:sz w:val="22"/>
          <w:szCs w:val="22"/>
        </w:rPr>
        <w:t xml:space="preserve"> (1)</w:t>
      </w:r>
      <w:r w:rsidRPr="00640D24">
        <w:rPr>
          <w:rFonts w:cs="Times New Roman"/>
          <w:sz w:val="22"/>
          <w:szCs w:val="22"/>
        </w:rPr>
        <w:t xml:space="preserve"> planuojamų finansuoti verslo srities veiklų situacijos </w:t>
      </w:r>
      <w:r w:rsidR="0048585E" w:rsidRPr="00640D24">
        <w:rPr>
          <w:rFonts w:cs="Times New Roman"/>
          <w:sz w:val="22"/>
          <w:szCs w:val="22"/>
        </w:rPr>
        <w:t xml:space="preserve">apžvalga, ir </w:t>
      </w:r>
      <w:r w:rsidR="00F31A2D" w:rsidRPr="00640D24">
        <w:rPr>
          <w:rFonts w:cs="Times New Roman"/>
          <w:sz w:val="22"/>
          <w:szCs w:val="22"/>
        </w:rPr>
        <w:t>(2)</w:t>
      </w:r>
      <w:r w:rsidR="00282840" w:rsidRPr="00640D24">
        <w:rPr>
          <w:rFonts w:cs="Times New Roman"/>
          <w:sz w:val="22"/>
          <w:szCs w:val="22"/>
        </w:rPr>
        <w:t> </w:t>
      </w:r>
      <w:r w:rsidR="0048585E" w:rsidRPr="00640D24">
        <w:rPr>
          <w:rFonts w:cs="Times New Roman"/>
          <w:sz w:val="22"/>
          <w:szCs w:val="22"/>
        </w:rPr>
        <w:t xml:space="preserve">investicijų atitikties ES ir nacionaliniams strateginiams tikslams įvertinimas. </w:t>
      </w:r>
    </w:p>
    <w:p w14:paraId="7CD03680" w14:textId="3225C41E" w:rsidR="004C5434" w:rsidRPr="00640D24" w:rsidRDefault="004C5434" w:rsidP="00170B5F">
      <w:pPr>
        <w:spacing w:before="60" w:after="60" w:line="240" w:lineRule="auto"/>
        <w:ind w:firstLine="567"/>
        <w:jc w:val="both"/>
        <w:rPr>
          <w:rFonts w:cs="Times New Roman"/>
          <w:sz w:val="22"/>
          <w:szCs w:val="22"/>
        </w:rPr>
      </w:pPr>
      <w:r w:rsidRPr="00640D24">
        <w:rPr>
          <w:rFonts w:cs="Times New Roman"/>
          <w:sz w:val="22"/>
          <w:szCs w:val="22"/>
        </w:rPr>
        <w:t>Planuojamos finansuoti veiklos yra nukreiptos į atskirus Lietuvos regionus. 2016 m. Lietuvos Respublikos Vyriausybės nutarimu pritarta</w:t>
      </w:r>
      <w:r w:rsidR="00C664AC" w:rsidRPr="00640D24">
        <w:rPr>
          <w:rFonts w:cs="Times New Roman"/>
          <w:sz w:val="22"/>
          <w:szCs w:val="22"/>
        </w:rPr>
        <w:t xml:space="preserve"> </w:t>
      </w:r>
      <w:r w:rsidRPr="00640D24">
        <w:rPr>
          <w:rFonts w:cs="Times New Roman"/>
          <w:sz w:val="22"/>
          <w:szCs w:val="22"/>
        </w:rPr>
        <w:t>LR vidaus reikalų ministerijos parengtam projektui</w:t>
      </w:r>
      <w:r w:rsidR="00321BDC" w:rsidRPr="00640D24">
        <w:rPr>
          <w:rFonts w:cs="Times New Roman"/>
          <w:sz w:val="22"/>
          <w:szCs w:val="22"/>
          <w:vertAlign w:val="superscript"/>
        </w:rPr>
        <w:footnoteReference w:id="14"/>
      </w:r>
      <w:r w:rsidRPr="00640D24">
        <w:rPr>
          <w:rFonts w:cs="Times New Roman"/>
          <w:sz w:val="22"/>
          <w:szCs w:val="22"/>
        </w:rPr>
        <w:t xml:space="preserve"> Lietuvoje sudaryti du planavimo regionus – Sostinės regioną iš Vilniaus apskrities ir Vidurio ir </w:t>
      </w:r>
      <w:r w:rsidR="00FB0FD5" w:rsidRPr="00640D24">
        <w:rPr>
          <w:rFonts w:cs="Times New Roman"/>
          <w:sz w:val="22"/>
          <w:szCs w:val="22"/>
        </w:rPr>
        <w:t>V</w:t>
      </w:r>
      <w:r w:rsidRPr="00640D24">
        <w:rPr>
          <w:rFonts w:cs="Times New Roman"/>
          <w:sz w:val="22"/>
          <w:szCs w:val="22"/>
        </w:rPr>
        <w:t>akarų Lietuvos regioną iš likusių 9 apskričių. Planuojant ES investicijas yra atsižvelgiama į skirtingą regionų ekonominį išsivystymo lygį</w:t>
      </w:r>
      <w:r w:rsidR="009D0D6D" w:rsidRPr="00640D24">
        <w:rPr>
          <w:rFonts w:cs="Times New Roman"/>
          <w:sz w:val="22"/>
          <w:szCs w:val="22"/>
        </w:rPr>
        <w:t xml:space="preserve"> </w:t>
      </w:r>
      <w:r w:rsidRPr="00640D24">
        <w:rPr>
          <w:rFonts w:cs="Times New Roman"/>
          <w:sz w:val="22"/>
          <w:szCs w:val="22"/>
        </w:rPr>
        <w:t>– mažiau išvystytiems, pereinamiesiems ir labiau išvystytiems. Vilniaus regionas, kuriame koncentruojasi pagrindinių įmonių buveinės, užsienio investicijos, valdžios sektoriaus įstaigos, pagal bendrojo vidaus produkto (</w:t>
      </w:r>
      <w:r w:rsidR="002916DE" w:rsidRPr="00640D24">
        <w:rPr>
          <w:rFonts w:cs="Times New Roman"/>
          <w:sz w:val="22"/>
          <w:szCs w:val="22"/>
        </w:rPr>
        <w:t xml:space="preserve">toliau – </w:t>
      </w:r>
      <w:r w:rsidRPr="00640D24">
        <w:rPr>
          <w:rFonts w:cs="Times New Roman"/>
          <w:sz w:val="22"/>
          <w:szCs w:val="22"/>
        </w:rPr>
        <w:t xml:space="preserve">BVP) rodiklius viršija ES vidurkį. Tuo tarpu likusioje Lietuvos dalyje vienam gyventojui tenkanti BVP dalis nesiekia 75 proc. ES vidurkio. </w:t>
      </w:r>
      <w:r w:rsidR="00321BDC" w:rsidRPr="00640D24">
        <w:rPr>
          <w:rFonts w:cs="Times New Roman"/>
          <w:sz w:val="22"/>
          <w:szCs w:val="22"/>
        </w:rPr>
        <w:t>Tokiu būdu investicijos yra kryptingai paskirstomos pagal poreikį.</w:t>
      </w:r>
    </w:p>
    <w:p w14:paraId="1848D95A" w14:textId="0EA0F6E4" w:rsidR="00BD5679" w:rsidRPr="00640D24" w:rsidRDefault="00BD5679" w:rsidP="007D5A55">
      <w:pPr>
        <w:pStyle w:val="Antrat4"/>
        <w:spacing w:before="120"/>
      </w:pPr>
      <w:bookmarkStart w:id="23" w:name="_Hlk146199382"/>
      <w:r w:rsidRPr="00640D24">
        <w:t>SVV subjektų kūrim</w:t>
      </w:r>
      <w:r w:rsidR="00133B77" w:rsidRPr="00640D24">
        <w:t>a</w:t>
      </w:r>
      <w:r w:rsidRPr="00640D24">
        <w:t>si</w:t>
      </w:r>
      <w:r w:rsidR="00E306DD" w:rsidRPr="00640D24">
        <w:t>s</w:t>
      </w:r>
      <w:r w:rsidRPr="00640D24">
        <w:t>, augim</w:t>
      </w:r>
      <w:r w:rsidR="00E306DD" w:rsidRPr="00640D24">
        <w:t>as</w:t>
      </w:r>
      <w:r w:rsidRPr="00640D24">
        <w:t xml:space="preserve"> ir plėtr</w:t>
      </w:r>
      <w:r w:rsidR="00E306DD" w:rsidRPr="00640D24">
        <w:t>a</w:t>
      </w:r>
    </w:p>
    <w:bookmarkEnd w:id="23"/>
    <w:p w14:paraId="04D8341E" w14:textId="3A4CD356" w:rsidR="00B65AAA" w:rsidRPr="00640D24" w:rsidRDefault="00B65AAA" w:rsidP="00170B5F">
      <w:pPr>
        <w:spacing w:before="60" w:after="60" w:line="240" w:lineRule="auto"/>
        <w:ind w:firstLine="567"/>
        <w:jc w:val="both"/>
        <w:rPr>
          <w:rFonts w:cs="Times New Roman"/>
          <w:sz w:val="22"/>
          <w:szCs w:val="20"/>
        </w:rPr>
      </w:pPr>
      <w:r w:rsidRPr="00640D24">
        <w:rPr>
          <w:rFonts w:cs="Times New Roman"/>
          <w:sz w:val="22"/>
          <w:szCs w:val="20"/>
        </w:rPr>
        <w:t xml:space="preserve">SVV įmonės sudaro daugiau nei 99 proc. Lietuvos įmonių, sukuria du trečdalius Lietuvos BVP, jose dirba beveik trys ketvirtadaliai visų dirbančiųjų. Tarptautinių institucijų atliekamos apklausos ir tyrimai atskleidžia, kad pagal kredito prieinamumo SVV įmonėms rodiklius Lietuva atsilieka nuo kitų ES šalių, Tai, kad Lietuvos SVV įmonėms sunku gauti trūkstamą finansavimą, matyti ir iš Europos Komisijos pateiktos SVV įmonių veiklos vertinimo apžvalgos (angl. </w:t>
      </w:r>
      <w:proofErr w:type="spellStart"/>
      <w:r w:rsidRPr="00640D24">
        <w:rPr>
          <w:rFonts w:cs="Times New Roman"/>
          <w:i/>
          <w:iCs/>
          <w:sz w:val="22"/>
          <w:szCs w:val="20"/>
        </w:rPr>
        <w:t>Small</w:t>
      </w:r>
      <w:proofErr w:type="spellEnd"/>
      <w:r w:rsidRPr="00640D24">
        <w:rPr>
          <w:rFonts w:cs="Times New Roman"/>
          <w:i/>
          <w:iCs/>
          <w:sz w:val="22"/>
          <w:szCs w:val="20"/>
        </w:rPr>
        <w:t xml:space="preserve"> </w:t>
      </w:r>
      <w:proofErr w:type="spellStart"/>
      <w:r w:rsidRPr="00640D24">
        <w:rPr>
          <w:rFonts w:cs="Times New Roman"/>
          <w:i/>
          <w:iCs/>
          <w:sz w:val="22"/>
          <w:szCs w:val="20"/>
        </w:rPr>
        <w:t>Business</w:t>
      </w:r>
      <w:proofErr w:type="spellEnd"/>
      <w:r w:rsidRPr="00640D24">
        <w:rPr>
          <w:rFonts w:cs="Times New Roman"/>
          <w:i/>
          <w:iCs/>
          <w:sz w:val="22"/>
          <w:szCs w:val="20"/>
        </w:rPr>
        <w:t xml:space="preserve"> </w:t>
      </w:r>
      <w:proofErr w:type="spellStart"/>
      <w:r w:rsidRPr="00640D24">
        <w:rPr>
          <w:rFonts w:cs="Times New Roman"/>
          <w:i/>
          <w:iCs/>
          <w:sz w:val="22"/>
          <w:szCs w:val="20"/>
        </w:rPr>
        <w:t>Act</w:t>
      </w:r>
      <w:proofErr w:type="spellEnd"/>
      <w:r w:rsidRPr="00640D24">
        <w:rPr>
          <w:rFonts w:cs="Times New Roman"/>
          <w:sz w:val="22"/>
          <w:szCs w:val="20"/>
        </w:rPr>
        <w:t>)</w:t>
      </w:r>
      <w:r w:rsidRPr="00640D24">
        <w:rPr>
          <w:rFonts w:cs="Times New Roman"/>
          <w:sz w:val="22"/>
          <w:szCs w:val="20"/>
          <w:vertAlign w:val="superscript"/>
        </w:rPr>
        <w:footnoteReference w:id="15"/>
      </w:r>
      <w:r w:rsidRPr="00640D24">
        <w:rPr>
          <w:rFonts w:cs="Times New Roman"/>
          <w:sz w:val="22"/>
          <w:szCs w:val="20"/>
        </w:rPr>
        <w:t>, apimančios 2018 m.–2019 m. pirmojo ketvirčio duomenis. Iš jos matyti, kad Lietuvos SVV įmonės dideliu iššūkiu laiko kredito (teikiamo tiek bankų, tiek alternatyvių šaltinių) prieinamumą</w:t>
      </w:r>
      <w:r w:rsidR="0057377D" w:rsidRPr="00640D24">
        <w:rPr>
          <w:rFonts w:cs="Times New Roman"/>
          <w:sz w:val="22"/>
          <w:szCs w:val="20"/>
        </w:rPr>
        <w:t xml:space="preserve">. </w:t>
      </w:r>
    </w:p>
    <w:p w14:paraId="0B46437B" w14:textId="705BFEFE" w:rsidR="0057377D" w:rsidRPr="00640D24" w:rsidRDefault="0057377D" w:rsidP="00170B5F">
      <w:pPr>
        <w:spacing w:before="60" w:after="60" w:line="240" w:lineRule="auto"/>
        <w:ind w:firstLine="567"/>
        <w:jc w:val="both"/>
        <w:rPr>
          <w:rFonts w:cs="Times New Roman"/>
          <w:sz w:val="22"/>
          <w:szCs w:val="20"/>
        </w:rPr>
      </w:pPr>
      <w:r w:rsidRPr="00640D24">
        <w:rPr>
          <w:rFonts w:cs="Times New Roman"/>
          <w:sz w:val="22"/>
          <w:szCs w:val="20"/>
        </w:rPr>
        <w:t xml:space="preserve">Lietuvos SVV įmonės veiklai vykdyti ir plėsti gerokai rečiau nei didelės įmonės naudojasi skolintomis lėšomis, taip pat ir </w:t>
      </w:r>
      <w:r w:rsidR="007F1E02" w:rsidRPr="00640D24">
        <w:rPr>
          <w:rFonts w:cs="Times New Roman"/>
          <w:sz w:val="22"/>
          <w:szCs w:val="20"/>
        </w:rPr>
        <w:t>kredito</w:t>
      </w:r>
      <w:r w:rsidRPr="00640D24">
        <w:rPr>
          <w:rFonts w:cs="Times New Roman"/>
          <w:sz w:val="22"/>
          <w:szCs w:val="20"/>
        </w:rPr>
        <w:t xml:space="preserve"> įstaigų teikiamu finansavimu. </w:t>
      </w:r>
      <w:r w:rsidR="007F1E02" w:rsidRPr="00640D24">
        <w:rPr>
          <w:rFonts w:cs="Times New Roman"/>
          <w:sz w:val="22"/>
          <w:szCs w:val="20"/>
        </w:rPr>
        <w:t>Lietuvos SVV veiklą daugiausia finansuoja nuosavomis lėšomis</w:t>
      </w:r>
      <w:r w:rsidR="00BD70CB" w:rsidRPr="00640D24">
        <w:rPr>
          <w:rFonts w:cs="Times New Roman"/>
          <w:sz w:val="22"/>
          <w:szCs w:val="20"/>
        </w:rPr>
        <w:t xml:space="preserve">. </w:t>
      </w:r>
      <w:r w:rsidRPr="00640D24">
        <w:rPr>
          <w:rFonts w:cs="Times New Roman"/>
          <w:sz w:val="22"/>
          <w:szCs w:val="20"/>
        </w:rPr>
        <w:t>Paskolas Lietuvos SVV įmonės keičia veiklos finansavimu nuosavomis lėšomis ir skolinimusi iš ne finansų įstaigų</w:t>
      </w:r>
      <w:r w:rsidR="007E162D" w:rsidRPr="00640D24">
        <w:rPr>
          <w:rFonts w:cs="Times New Roman"/>
          <w:sz w:val="22"/>
          <w:szCs w:val="20"/>
        </w:rPr>
        <w:t xml:space="preserve"> (</w:t>
      </w:r>
      <w:r w:rsidRPr="00640D24">
        <w:rPr>
          <w:rFonts w:cs="Times New Roman"/>
          <w:sz w:val="22"/>
          <w:szCs w:val="20"/>
        </w:rPr>
        <w:t>pavyzdžiui, imant prekybos kreditą</w:t>
      </w:r>
      <w:r w:rsidR="007E162D" w:rsidRPr="00640D24">
        <w:rPr>
          <w:rFonts w:cs="Times New Roman"/>
          <w:sz w:val="22"/>
          <w:szCs w:val="20"/>
        </w:rPr>
        <w:t>), ypatingai tai pastebima tarp mažų ir labai mažų įmonių</w:t>
      </w:r>
      <w:r w:rsidRPr="00640D24">
        <w:rPr>
          <w:rFonts w:cs="Times New Roman"/>
          <w:sz w:val="22"/>
          <w:szCs w:val="20"/>
        </w:rPr>
        <w:t xml:space="preserve">. </w:t>
      </w:r>
      <w:r w:rsidR="007F1E02" w:rsidRPr="00640D24">
        <w:rPr>
          <w:rFonts w:cs="Times New Roman"/>
          <w:sz w:val="22"/>
          <w:szCs w:val="20"/>
        </w:rPr>
        <w:t>Lietuvos banko atliekamų įmonių apklausų ir SAFE apklausos duomenys parodė</w:t>
      </w:r>
      <w:r w:rsidR="007F1E02" w:rsidRPr="00640D24">
        <w:rPr>
          <w:rFonts w:cs="Times New Roman"/>
          <w:sz w:val="22"/>
          <w:szCs w:val="20"/>
          <w:vertAlign w:val="superscript"/>
        </w:rPr>
        <w:footnoteReference w:id="16"/>
      </w:r>
      <w:r w:rsidR="007F1E02" w:rsidRPr="00640D24">
        <w:rPr>
          <w:rFonts w:cs="Times New Roman"/>
          <w:sz w:val="22"/>
          <w:szCs w:val="20"/>
        </w:rPr>
        <w:t>, kad atmestų paskolos paraiškų dalis, ypač SVV įmonių paraiškų dalis, augo. Lietuvos SVV įmonių dalis, kuriai aktualiausia problema yra finansavimo šaltinių prieinamumas (13</w:t>
      </w:r>
      <w:r w:rsidR="00AA59E2" w:rsidRPr="00640D24">
        <w:rPr>
          <w:rFonts w:cs="Times New Roman"/>
          <w:sz w:val="22"/>
          <w:szCs w:val="20"/>
        </w:rPr>
        <w:t xml:space="preserve"> </w:t>
      </w:r>
      <w:r w:rsidR="007F1E02" w:rsidRPr="00640D24">
        <w:rPr>
          <w:rFonts w:cs="Times New Roman"/>
          <w:sz w:val="22"/>
          <w:szCs w:val="20"/>
        </w:rPr>
        <w:t>%), buvo reikšmingai didesnė nei ES vidurkis (7</w:t>
      </w:r>
      <w:r w:rsidR="00AA59E2" w:rsidRPr="00640D24">
        <w:rPr>
          <w:rFonts w:cs="Times New Roman"/>
          <w:sz w:val="22"/>
          <w:szCs w:val="20"/>
        </w:rPr>
        <w:t xml:space="preserve"> </w:t>
      </w:r>
      <w:r w:rsidR="007F1E02" w:rsidRPr="00640D24">
        <w:rPr>
          <w:rFonts w:cs="Times New Roman"/>
          <w:sz w:val="22"/>
          <w:szCs w:val="20"/>
        </w:rPr>
        <w:t xml:space="preserve">%) ir viena didžiausių ES. </w:t>
      </w:r>
    </w:p>
    <w:p w14:paraId="55E01F65" w14:textId="41D7C127" w:rsidR="007E162D" w:rsidRPr="00640D24" w:rsidRDefault="007E162D" w:rsidP="00170B5F">
      <w:pPr>
        <w:spacing w:before="60" w:after="60" w:line="240" w:lineRule="auto"/>
        <w:ind w:firstLine="567"/>
        <w:jc w:val="both"/>
        <w:rPr>
          <w:rFonts w:cs="Times New Roman"/>
          <w:sz w:val="22"/>
          <w:szCs w:val="20"/>
        </w:rPr>
      </w:pPr>
      <w:r w:rsidRPr="00640D24">
        <w:rPr>
          <w:rFonts w:cs="Times New Roman"/>
          <w:sz w:val="22"/>
          <w:szCs w:val="20"/>
        </w:rPr>
        <w:t xml:space="preserve">2021–2027 m. programoje teigiama, kad </w:t>
      </w:r>
      <w:r w:rsidR="00CA062E" w:rsidRPr="00640D24">
        <w:rPr>
          <w:rFonts w:cs="Times New Roman"/>
          <w:sz w:val="22"/>
          <w:szCs w:val="20"/>
        </w:rPr>
        <w:t>siekiant paskatinti pradedančiųjų SVV subjektų kūrimąsi, augimą ir plėtrą ir toliau planuojama naudoti finansines priemones, užtikrinančias finansinių šaltinių prieinamumą, siekiant sudaryti galimybes SVV gauti finansavimą paskolų</w:t>
      </w:r>
      <w:r w:rsidR="007D5A55" w:rsidRPr="00640D24">
        <w:rPr>
          <w:rFonts w:cs="Times New Roman"/>
          <w:sz w:val="22"/>
          <w:szCs w:val="20"/>
        </w:rPr>
        <w:t xml:space="preserve"> ar rizikos kapitalo investicijų</w:t>
      </w:r>
      <w:r w:rsidR="00CA062E" w:rsidRPr="00640D24">
        <w:rPr>
          <w:rFonts w:cs="Times New Roman"/>
          <w:sz w:val="22"/>
          <w:szCs w:val="20"/>
        </w:rPr>
        <w:t xml:space="preserve"> forma. </w:t>
      </w:r>
    </w:p>
    <w:p w14:paraId="5AC7B8B2" w14:textId="27C26E1B" w:rsidR="00943747" w:rsidRPr="00640D24" w:rsidRDefault="00943747" w:rsidP="002A24FE">
      <w:pPr>
        <w:pStyle w:val="Antrat4"/>
        <w:spacing w:before="120"/>
      </w:pPr>
      <w:proofErr w:type="spellStart"/>
      <w:r w:rsidRPr="00640D24">
        <w:t>Startuolių</w:t>
      </w:r>
      <w:proofErr w:type="spellEnd"/>
      <w:r w:rsidRPr="00640D24">
        <w:t xml:space="preserve"> vystymas</w:t>
      </w:r>
      <w:r w:rsidR="0048585E" w:rsidRPr="00640D24">
        <w:t xml:space="preserve">, </w:t>
      </w:r>
      <w:proofErr w:type="spellStart"/>
      <w:r w:rsidRPr="00640D24">
        <w:t>akceleravimas</w:t>
      </w:r>
      <w:proofErr w:type="spellEnd"/>
      <w:r w:rsidR="0048585E" w:rsidRPr="00640D24">
        <w:t xml:space="preserve"> ir plėtra </w:t>
      </w:r>
    </w:p>
    <w:p w14:paraId="59B0B965" w14:textId="4D4F6A02" w:rsidR="00AD03D0" w:rsidRPr="00640D24" w:rsidRDefault="005979C8" w:rsidP="00170B5F">
      <w:pPr>
        <w:spacing w:before="60" w:after="60" w:line="240" w:lineRule="auto"/>
        <w:ind w:firstLine="567"/>
        <w:jc w:val="both"/>
        <w:rPr>
          <w:rFonts w:cs="Times New Roman"/>
          <w:sz w:val="22"/>
          <w:szCs w:val="22"/>
        </w:rPr>
      </w:pPr>
      <w:r w:rsidRPr="00640D24">
        <w:rPr>
          <w:rFonts w:cs="Times New Roman"/>
          <w:sz w:val="22"/>
          <w:szCs w:val="22"/>
        </w:rPr>
        <w:t>20</w:t>
      </w:r>
      <w:r w:rsidR="00AD03D0" w:rsidRPr="00640D24">
        <w:rPr>
          <w:rFonts w:cs="Times New Roman"/>
          <w:sz w:val="22"/>
          <w:szCs w:val="22"/>
        </w:rPr>
        <w:t>2</w:t>
      </w:r>
      <w:r w:rsidR="00DB2D71" w:rsidRPr="00640D24">
        <w:rPr>
          <w:rFonts w:cs="Times New Roman"/>
          <w:sz w:val="22"/>
          <w:szCs w:val="22"/>
        </w:rPr>
        <w:t>1</w:t>
      </w:r>
      <w:r w:rsidRPr="00640D24">
        <w:rPr>
          <w:rFonts w:cs="Times New Roman"/>
          <w:sz w:val="22"/>
          <w:szCs w:val="22"/>
        </w:rPr>
        <w:t xml:space="preserve"> m.</w:t>
      </w:r>
      <w:r w:rsidR="00AD03D0" w:rsidRPr="00640D24">
        <w:rPr>
          <w:rFonts w:cs="Times New Roman"/>
          <w:sz w:val="22"/>
          <w:szCs w:val="22"/>
        </w:rPr>
        <w:t xml:space="preserve"> </w:t>
      </w:r>
      <w:r w:rsidR="00DB2D71" w:rsidRPr="00640D24">
        <w:rPr>
          <w:rFonts w:cs="Times New Roman"/>
          <w:sz w:val="22"/>
          <w:szCs w:val="22"/>
        </w:rPr>
        <w:t>balandžio mėn. duomenimis</w:t>
      </w:r>
      <w:r w:rsidR="00AD03D0" w:rsidRPr="00640D24">
        <w:rPr>
          <w:rFonts w:cs="Times New Roman"/>
          <w:sz w:val="22"/>
          <w:szCs w:val="22"/>
        </w:rPr>
        <w:t xml:space="preserve">. </w:t>
      </w:r>
      <w:proofErr w:type="spellStart"/>
      <w:r w:rsidR="00AD03D0" w:rsidRPr="00640D24">
        <w:rPr>
          <w:rFonts w:cs="Times New Roman"/>
          <w:i/>
          <w:iCs/>
          <w:sz w:val="22"/>
          <w:szCs w:val="22"/>
        </w:rPr>
        <w:t>Startup</w:t>
      </w:r>
      <w:proofErr w:type="spellEnd"/>
      <w:r w:rsidR="00AD03D0" w:rsidRPr="00640D24">
        <w:rPr>
          <w:rFonts w:cs="Times New Roman"/>
          <w:i/>
          <w:iCs/>
          <w:sz w:val="22"/>
          <w:szCs w:val="22"/>
        </w:rPr>
        <w:t xml:space="preserve"> </w:t>
      </w:r>
      <w:proofErr w:type="spellStart"/>
      <w:r w:rsidR="00AD03D0" w:rsidRPr="00640D24">
        <w:rPr>
          <w:rFonts w:cs="Times New Roman"/>
          <w:i/>
          <w:iCs/>
          <w:sz w:val="22"/>
          <w:szCs w:val="22"/>
        </w:rPr>
        <w:t>Lithuania</w:t>
      </w:r>
      <w:proofErr w:type="spellEnd"/>
      <w:r w:rsidR="00AD03D0" w:rsidRPr="00640D24">
        <w:rPr>
          <w:rFonts w:cs="Times New Roman"/>
          <w:sz w:val="22"/>
          <w:szCs w:val="22"/>
        </w:rPr>
        <w:t xml:space="preserve"> duomenų bazėje buvo </w:t>
      </w:r>
      <w:r w:rsidR="003976E7" w:rsidRPr="00640D24">
        <w:rPr>
          <w:rFonts w:cs="Times New Roman"/>
          <w:sz w:val="22"/>
          <w:szCs w:val="22"/>
        </w:rPr>
        <w:t xml:space="preserve">užregistruota </w:t>
      </w:r>
      <w:r w:rsidR="00AD03D0" w:rsidRPr="00640D24">
        <w:rPr>
          <w:rFonts w:cs="Times New Roman"/>
          <w:sz w:val="22"/>
          <w:szCs w:val="22"/>
        </w:rPr>
        <w:t xml:space="preserve">1090 </w:t>
      </w:r>
      <w:proofErr w:type="spellStart"/>
      <w:r w:rsidR="00AD03D0" w:rsidRPr="00640D24">
        <w:rPr>
          <w:rFonts w:cs="Times New Roman"/>
          <w:sz w:val="22"/>
          <w:szCs w:val="22"/>
        </w:rPr>
        <w:t>startuoli</w:t>
      </w:r>
      <w:r w:rsidR="00AE3516" w:rsidRPr="00640D24">
        <w:rPr>
          <w:rFonts w:cs="Times New Roman"/>
          <w:sz w:val="22"/>
          <w:szCs w:val="22"/>
        </w:rPr>
        <w:t>ų</w:t>
      </w:r>
      <w:proofErr w:type="spellEnd"/>
      <w:r w:rsidR="00AD03D0" w:rsidRPr="00640D24">
        <w:rPr>
          <w:rFonts w:cs="Times New Roman"/>
          <w:sz w:val="22"/>
          <w:szCs w:val="22"/>
        </w:rPr>
        <w:t>. Lyginant su</w:t>
      </w:r>
      <w:r w:rsidRPr="00640D24">
        <w:rPr>
          <w:rFonts w:cs="Times New Roman"/>
          <w:sz w:val="22"/>
          <w:szCs w:val="22"/>
        </w:rPr>
        <w:t xml:space="preserve"> </w:t>
      </w:r>
      <w:r w:rsidR="00AD03D0" w:rsidRPr="00640D24">
        <w:rPr>
          <w:rFonts w:cs="Times New Roman"/>
          <w:sz w:val="22"/>
          <w:szCs w:val="22"/>
        </w:rPr>
        <w:t xml:space="preserve">2018 m. </w:t>
      </w:r>
      <w:r w:rsidRPr="00640D24">
        <w:rPr>
          <w:rFonts w:cs="Times New Roman"/>
          <w:sz w:val="22"/>
          <w:szCs w:val="22"/>
        </w:rPr>
        <w:t>pab</w:t>
      </w:r>
      <w:r w:rsidR="00AD03D0" w:rsidRPr="00640D24">
        <w:rPr>
          <w:rFonts w:cs="Times New Roman"/>
          <w:sz w:val="22"/>
          <w:szCs w:val="22"/>
        </w:rPr>
        <w:t xml:space="preserve">. rezultatais, </w:t>
      </w:r>
      <w:proofErr w:type="spellStart"/>
      <w:r w:rsidR="00AD03D0" w:rsidRPr="00640D24">
        <w:rPr>
          <w:rFonts w:cs="Times New Roman"/>
          <w:sz w:val="22"/>
          <w:szCs w:val="22"/>
        </w:rPr>
        <w:t>startuolių</w:t>
      </w:r>
      <w:proofErr w:type="spellEnd"/>
      <w:r w:rsidR="00AD03D0" w:rsidRPr="00640D24">
        <w:rPr>
          <w:rFonts w:cs="Times New Roman"/>
          <w:sz w:val="22"/>
          <w:szCs w:val="22"/>
        </w:rPr>
        <w:t xml:space="preserve"> skaičius išaugo beveik dvigubai (2018 m. pab. duomenimis</w:t>
      </w:r>
      <w:r w:rsidR="00023650" w:rsidRPr="00640D24">
        <w:rPr>
          <w:rFonts w:cs="Times New Roman"/>
          <w:sz w:val="22"/>
          <w:szCs w:val="22"/>
        </w:rPr>
        <w:t xml:space="preserve"> buvo</w:t>
      </w:r>
      <w:r w:rsidR="00AD03D0" w:rsidRPr="00640D24">
        <w:rPr>
          <w:rFonts w:cs="Times New Roman"/>
          <w:sz w:val="22"/>
          <w:szCs w:val="22"/>
        </w:rPr>
        <w:t xml:space="preserve"> registruota </w:t>
      </w:r>
      <w:r w:rsidRPr="00640D24">
        <w:rPr>
          <w:rFonts w:cs="Times New Roman"/>
          <w:sz w:val="22"/>
          <w:szCs w:val="22"/>
        </w:rPr>
        <w:t xml:space="preserve">520 </w:t>
      </w:r>
      <w:proofErr w:type="spellStart"/>
      <w:r w:rsidRPr="00640D24">
        <w:rPr>
          <w:rFonts w:cs="Times New Roman"/>
          <w:sz w:val="22"/>
          <w:szCs w:val="22"/>
        </w:rPr>
        <w:t>startuolių</w:t>
      </w:r>
      <w:proofErr w:type="spellEnd"/>
      <w:r w:rsidRPr="00640D24">
        <w:rPr>
          <w:rFonts w:cs="Times New Roman"/>
          <w:sz w:val="22"/>
          <w:szCs w:val="22"/>
        </w:rPr>
        <w:t xml:space="preserve">, kurie pritraukė 183 mln. </w:t>
      </w:r>
      <w:proofErr w:type="spellStart"/>
      <w:r w:rsidR="00C664AC" w:rsidRPr="00640D24">
        <w:rPr>
          <w:rFonts w:cs="Times New Roman"/>
          <w:sz w:val="22"/>
          <w:szCs w:val="22"/>
        </w:rPr>
        <w:t>Eur</w:t>
      </w:r>
      <w:proofErr w:type="spellEnd"/>
      <w:r w:rsidRPr="00640D24">
        <w:rPr>
          <w:rFonts w:cs="Times New Roman"/>
          <w:sz w:val="22"/>
          <w:szCs w:val="22"/>
        </w:rPr>
        <w:t xml:space="preserve"> investicijų iš užsienio ir Lietuvos investicinių fondų</w:t>
      </w:r>
      <w:r w:rsidR="00AD03D0" w:rsidRPr="00640D24">
        <w:rPr>
          <w:rFonts w:cs="Times New Roman"/>
          <w:sz w:val="22"/>
          <w:szCs w:val="22"/>
        </w:rPr>
        <w:t>).</w:t>
      </w:r>
      <w:r w:rsidR="00483B70" w:rsidRPr="00640D24">
        <w:rPr>
          <w:rStyle w:val="Puslapioinaosnuoroda"/>
          <w:rFonts w:cs="Times New Roman"/>
          <w:sz w:val="22"/>
          <w:szCs w:val="22"/>
        </w:rPr>
        <w:footnoteReference w:id="17"/>
      </w:r>
      <w:r w:rsidR="00001AEE" w:rsidRPr="00640D24">
        <w:rPr>
          <w:rFonts w:cs="Times New Roman"/>
          <w:sz w:val="22"/>
          <w:szCs w:val="22"/>
        </w:rPr>
        <w:t xml:space="preserve"> Auganti </w:t>
      </w:r>
      <w:r w:rsidRPr="00640D24">
        <w:rPr>
          <w:rFonts w:cs="Times New Roman"/>
          <w:sz w:val="22"/>
          <w:szCs w:val="22"/>
        </w:rPr>
        <w:t xml:space="preserve">Lietuvos </w:t>
      </w:r>
      <w:proofErr w:type="spellStart"/>
      <w:r w:rsidRPr="00640D24">
        <w:rPr>
          <w:rFonts w:cs="Times New Roman"/>
          <w:sz w:val="22"/>
          <w:szCs w:val="22"/>
        </w:rPr>
        <w:t>startuolių</w:t>
      </w:r>
      <w:proofErr w:type="spellEnd"/>
      <w:r w:rsidRPr="00640D24">
        <w:rPr>
          <w:rFonts w:cs="Times New Roman"/>
          <w:sz w:val="22"/>
          <w:szCs w:val="22"/>
        </w:rPr>
        <w:t xml:space="preserve"> ekosistema </w:t>
      </w:r>
      <w:r w:rsidR="00001AEE" w:rsidRPr="00640D24">
        <w:rPr>
          <w:rFonts w:cs="Times New Roman"/>
          <w:sz w:val="22"/>
          <w:szCs w:val="22"/>
        </w:rPr>
        <w:t>lemia papildomų investicijų poreikį</w:t>
      </w:r>
      <w:r w:rsidRPr="00640D24">
        <w:rPr>
          <w:rFonts w:cs="Times New Roman"/>
          <w:sz w:val="22"/>
          <w:szCs w:val="22"/>
        </w:rPr>
        <w:t xml:space="preserve">. 2019 m. veiklą pradėjo vykdyti 2 nauji </w:t>
      </w:r>
      <w:proofErr w:type="spellStart"/>
      <w:r w:rsidRPr="00640D24">
        <w:rPr>
          <w:rFonts w:cs="Times New Roman"/>
          <w:sz w:val="22"/>
          <w:szCs w:val="22"/>
        </w:rPr>
        <w:t>akceleravimo</w:t>
      </w:r>
      <w:proofErr w:type="spellEnd"/>
      <w:r w:rsidRPr="00640D24">
        <w:rPr>
          <w:rFonts w:cs="Times New Roman"/>
          <w:sz w:val="22"/>
          <w:szCs w:val="22"/>
        </w:rPr>
        <w:t xml:space="preserve"> fondai. </w:t>
      </w:r>
      <w:r w:rsidR="002558AB" w:rsidRPr="00640D24">
        <w:rPr>
          <w:rFonts w:cs="Times New Roman"/>
          <w:sz w:val="22"/>
          <w:szCs w:val="22"/>
        </w:rPr>
        <w:t>N</w:t>
      </w:r>
      <w:r w:rsidRPr="00640D24">
        <w:rPr>
          <w:rFonts w:cs="Times New Roman"/>
          <w:sz w:val="22"/>
          <w:szCs w:val="22"/>
        </w:rPr>
        <w:t xml:space="preserve">uo 2020 </w:t>
      </w:r>
      <w:r w:rsidR="002558AB" w:rsidRPr="00640D24">
        <w:rPr>
          <w:rFonts w:cs="Times New Roman"/>
          <w:sz w:val="22"/>
          <w:szCs w:val="22"/>
        </w:rPr>
        <w:t xml:space="preserve">m. </w:t>
      </w:r>
      <w:r w:rsidRPr="00640D24">
        <w:rPr>
          <w:rFonts w:cs="Times New Roman"/>
          <w:sz w:val="22"/>
          <w:szCs w:val="22"/>
        </w:rPr>
        <w:t xml:space="preserve">pradžios įsigaliojo Pelno mokesčio įstatymo pakeitimas, suteikiantis galimybę lanksčiau investuoti į </w:t>
      </w:r>
      <w:proofErr w:type="spellStart"/>
      <w:r w:rsidRPr="00640D24">
        <w:rPr>
          <w:rFonts w:cs="Times New Roman"/>
          <w:sz w:val="22"/>
          <w:szCs w:val="22"/>
        </w:rPr>
        <w:t>startuolius</w:t>
      </w:r>
      <w:proofErr w:type="spellEnd"/>
      <w:r w:rsidR="00001AEE" w:rsidRPr="00640D24">
        <w:rPr>
          <w:rFonts w:cs="Times New Roman"/>
          <w:sz w:val="22"/>
          <w:szCs w:val="22"/>
        </w:rPr>
        <w:t>,</w:t>
      </w:r>
      <w:r w:rsidRPr="00640D24">
        <w:rPr>
          <w:rFonts w:cs="Times New Roman"/>
          <w:sz w:val="22"/>
          <w:szCs w:val="22"/>
        </w:rPr>
        <w:t xml:space="preserve"> </w:t>
      </w:r>
      <w:r w:rsidR="002558AB" w:rsidRPr="00640D24">
        <w:rPr>
          <w:rFonts w:cs="Times New Roman"/>
          <w:sz w:val="22"/>
          <w:szCs w:val="22"/>
        </w:rPr>
        <w:t>o taip pat</w:t>
      </w:r>
      <w:r w:rsidRPr="00640D24">
        <w:rPr>
          <w:rFonts w:cs="Times New Roman"/>
          <w:sz w:val="22"/>
          <w:szCs w:val="22"/>
        </w:rPr>
        <w:t xml:space="preserve"> ir patrauklesnis opcionų apmokestinimas, kuris leidžia </w:t>
      </w:r>
      <w:proofErr w:type="spellStart"/>
      <w:r w:rsidRPr="00640D24">
        <w:rPr>
          <w:rFonts w:cs="Times New Roman"/>
          <w:sz w:val="22"/>
          <w:szCs w:val="22"/>
        </w:rPr>
        <w:t>startuoliams</w:t>
      </w:r>
      <w:proofErr w:type="spellEnd"/>
      <w:r w:rsidRPr="00640D24">
        <w:rPr>
          <w:rFonts w:cs="Times New Roman"/>
          <w:sz w:val="22"/>
          <w:szCs w:val="22"/>
        </w:rPr>
        <w:t xml:space="preserve"> </w:t>
      </w:r>
      <w:r w:rsidR="002558AB" w:rsidRPr="00640D24">
        <w:rPr>
          <w:rFonts w:cs="Times New Roman"/>
          <w:sz w:val="22"/>
          <w:szCs w:val="22"/>
        </w:rPr>
        <w:t xml:space="preserve">įmonių </w:t>
      </w:r>
      <w:r w:rsidRPr="00640D24">
        <w:rPr>
          <w:rFonts w:cs="Times New Roman"/>
          <w:sz w:val="22"/>
          <w:szCs w:val="22"/>
        </w:rPr>
        <w:t>darbuotojus</w:t>
      </w:r>
      <w:r w:rsidR="002558AB" w:rsidRPr="00640D24">
        <w:rPr>
          <w:rFonts w:cs="Times New Roman"/>
          <w:sz w:val="22"/>
          <w:szCs w:val="22"/>
        </w:rPr>
        <w:t xml:space="preserve"> motyvuoti</w:t>
      </w:r>
      <w:r w:rsidRPr="00640D24">
        <w:rPr>
          <w:rFonts w:cs="Times New Roman"/>
          <w:sz w:val="22"/>
          <w:szCs w:val="22"/>
        </w:rPr>
        <w:t xml:space="preserve"> įmonės akcijomis. </w:t>
      </w:r>
    </w:p>
    <w:p w14:paraId="293592C3" w14:textId="77777777" w:rsidR="0065288E" w:rsidRPr="00640D24" w:rsidRDefault="005979C8" w:rsidP="00170B5F">
      <w:pPr>
        <w:spacing w:before="60" w:after="60" w:line="240" w:lineRule="auto"/>
        <w:ind w:firstLine="567"/>
        <w:jc w:val="both"/>
        <w:rPr>
          <w:rFonts w:cs="Times New Roman"/>
          <w:sz w:val="22"/>
          <w:szCs w:val="22"/>
        </w:rPr>
      </w:pPr>
      <w:r w:rsidRPr="00640D24">
        <w:rPr>
          <w:rFonts w:cs="Times New Roman"/>
          <w:sz w:val="22"/>
          <w:szCs w:val="22"/>
        </w:rPr>
        <w:t xml:space="preserve">2020 m. </w:t>
      </w:r>
      <w:proofErr w:type="spellStart"/>
      <w:r w:rsidRPr="00640D24">
        <w:rPr>
          <w:rFonts w:cs="Times New Roman"/>
          <w:i/>
          <w:iCs/>
          <w:sz w:val="22"/>
          <w:szCs w:val="22"/>
        </w:rPr>
        <w:t>Startup</w:t>
      </w:r>
      <w:proofErr w:type="spellEnd"/>
      <w:r w:rsidRPr="00640D24">
        <w:rPr>
          <w:rFonts w:cs="Times New Roman"/>
          <w:i/>
          <w:iCs/>
          <w:sz w:val="22"/>
          <w:szCs w:val="22"/>
        </w:rPr>
        <w:t xml:space="preserve"> </w:t>
      </w:r>
      <w:proofErr w:type="spellStart"/>
      <w:r w:rsidRPr="00640D24">
        <w:rPr>
          <w:rFonts w:cs="Times New Roman"/>
          <w:i/>
          <w:iCs/>
          <w:sz w:val="22"/>
          <w:szCs w:val="22"/>
        </w:rPr>
        <w:t>Lithuania</w:t>
      </w:r>
      <w:proofErr w:type="spellEnd"/>
      <w:r w:rsidRPr="00640D24">
        <w:rPr>
          <w:rFonts w:cs="Times New Roman"/>
          <w:sz w:val="22"/>
          <w:szCs w:val="22"/>
        </w:rPr>
        <w:t xml:space="preserve"> užsakymu atlikta Lietuvos </w:t>
      </w:r>
      <w:proofErr w:type="spellStart"/>
      <w:r w:rsidRPr="00640D24">
        <w:rPr>
          <w:rFonts w:cs="Times New Roman"/>
          <w:sz w:val="22"/>
          <w:szCs w:val="22"/>
        </w:rPr>
        <w:t>startuolių</w:t>
      </w:r>
      <w:proofErr w:type="spellEnd"/>
      <w:r w:rsidRPr="00640D24">
        <w:rPr>
          <w:rFonts w:cs="Times New Roman"/>
          <w:sz w:val="22"/>
          <w:szCs w:val="22"/>
        </w:rPr>
        <w:t xml:space="preserve"> apklausa parodė, kad palankiai ekosistemos augimą bei jos dalyvius vertina </w:t>
      </w:r>
      <w:r w:rsidR="00AD03D0" w:rsidRPr="00640D24">
        <w:rPr>
          <w:rFonts w:cs="Times New Roman"/>
          <w:sz w:val="22"/>
          <w:szCs w:val="22"/>
        </w:rPr>
        <w:t>58</w:t>
      </w:r>
      <w:r w:rsidR="009D0D6D" w:rsidRPr="00640D24">
        <w:rPr>
          <w:rFonts w:cs="Times New Roman"/>
          <w:sz w:val="22"/>
          <w:szCs w:val="22"/>
        </w:rPr>
        <w:t xml:space="preserve"> proc.</w:t>
      </w:r>
      <w:r w:rsidRPr="00640D24">
        <w:rPr>
          <w:rFonts w:cs="Times New Roman"/>
          <w:sz w:val="22"/>
          <w:szCs w:val="22"/>
        </w:rPr>
        <w:t xml:space="preserve"> Lietuvos </w:t>
      </w:r>
      <w:proofErr w:type="spellStart"/>
      <w:r w:rsidRPr="00640D24">
        <w:rPr>
          <w:rFonts w:cs="Times New Roman"/>
          <w:sz w:val="22"/>
          <w:szCs w:val="22"/>
        </w:rPr>
        <w:t>startuolių</w:t>
      </w:r>
      <w:proofErr w:type="spellEnd"/>
      <w:r w:rsidR="00AD03D0" w:rsidRPr="00640D24">
        <w:rPr>
          <w:rFonts w:cs="Times New Roman"/>
          <w:sz w:val="22"/>
          <w:szCs w:val="22"/>
        </w:rPr>
        <w:t xml:space="preserve"> (</w:t>
      </w:r>
      <w:r w:rsidR="00C96AA1" w:rsidRPr="00640D24">
        <w:rPr>
          <w:rFonts w:cs="Times New Roman"/>
          <w:sz w:val="22"/>
          <w:szCs w:val="22"/>
        </w:rPr>
        <w:t xml:space="preserve">iš viso </w:t>
      </w:r>
      <w:r w:rsidR="00AD03D0" w:rsidRPr="00640D24">
        <w:rPr>
          <w:rFonts w:cs="Times New Roman"/>
          <w:sz w:val="22"/>
          <w:szCs w:val="22"/>
        </w:rPr>
        <w:t>buvo apklausta</w:t>
      </w:r>
      <w:r w:rsidR="00CF3C67" w:rsidRPr="00640D24">
        <w:rPr>
          <w:rFonts w:cs="Times New Roman"/>
          <w:sz w:val="22"/>
          <w:szCs w:val="22"/>
        </w:rPr>
        <w:t>s</w:t>
      </w:r>
      <w:r w:rsidR="00AD03D0" w:rsidRPr="00640D24">
        <w:rPr>
          <w:rFonts w:cs="Times New Roman"/>
          <w:sz w:val="22"/>
          <w:szCs w:val="22"/>
        </w:rPr>
        <w:t xml:space="preserve"> </w:t>
      </w:r>
      <w:r w:rsidR="0071729B" w:rsidRPr="00640D24">
        <w:rPr>
          <w:rFonts w:cs="Times New Roman"/>
          <w:sz w:val="22"/>
          <w:szCs w:val="22"/>
        </w:rPr>
        <w:t> 181 </w:t>
      </w:r>
      <w:proofErr w:type="spellStart"/>
      <w:r w:rsidR="00AD03D0" w:rsidRPr="00640D24">
        <w:rPr>
          <w:rFonts w:cs="Times New Roman"/>
          <w:sz w:val="22"/>
          <w:szCs w:val="22"/>
        </w:rPr>
        <w:t>startuolis</w:t>
      </w:r>
      <w:proofErr w:type="spellEnd"/>
      <w:r w:rsidR="00AD03D0" w:rsidRPr="00640D24">
        <w:rPr>
          <w:rFonts w:cs="Times New Roman"/>
          <w:sz w:val="22"/>
          <w:szCs w:val="22"/>
        </w:rPr>
        <w:t>)</w:t>
      </w:r>
      <w:r w:rsidR="00CB5423" w:rsidRPr="00640D24">
        <w:rPr>
          <w:rFonts w:cs="Times New Roman"/>
          <w:sz w:val="22"/>
          <w:szCs w:val="22"/>
        </w:rPr>
        <w:t xml:space="preserve">. </w:t>
      </w:r>
      <w:r w:rsidRPr="00640D24">
        <w:rPr>
          <w:rFonts w:cs="Times New Roman"/>
          <w:sz w:val="22"/>
          <w:szCs w:val="22"/>
        </w:rPr>
        <w:t xml:space="preserve">Nepaisant to, kad šiuo metu Lietuvos </w:t>
      </w:r>
      <w:proofErr w:type="spellStart"/>
      <w:r w:rsidRPr="00640D24">
        <w:rPr>
          <w:rFonts w:cs="Times New Roman"/>
          <w:sz w:val="22"/>
          <w:szCs w:val="22"/>
        </w:rPr>
        <w:t>startuolių</w:t>
      </w:r>
      <w:proofErr w:type="spellEnd"/>
      <w:r w:rsidRPr="00640D24">
        <w:rPr>
          <w:rFonts w:cs="Times New Roman"/>
          <w:sz w:val="22"/>
          <w:szCs w:val="22"/>
        </w:rPr>
        <w:t xml:space="preserve"> ekosistemoje netrūksta investicijų ir fondų, pasiryžusių investuoti į </w:t>
      </w:r>
      <w:proofErr w:type="spellStart"/>
      <w:r w:rsidRPr="00640D24">
        <w:rPr>
          <w:rFonts w:cs="Times New Roman"/>
          <w:sz w:val="22"/>
          <w:szCs w:val="22"/>
        </w:rPr>
        <w:t>inovatyvius</w:t>
      </w:r>
      <w:proofErr w:type="spellEnd"/>
      <w:r w:rsidRPr="00640D24">
        <w:rPr>
          <w:rFonts w:cs="Times New Roman"/>
          <w:sz w:val="22"/>
          <w:szCs w:val="22"/>
        </w:rPr>
        <w:t xml:space="preserve"> verslus, pagrindine kliūtimi vystyti verslą patys </w:t>
      </w:r>
      <w:proofErr w:type="spellStart"/>
      <w:r w:rsidRPr="00640D24">
        <w:rPr>
          <w:rFonts w:cs="Times New Roman"/>
          <w:sz w:val="22"/>
          <w:szCs w:val="22"/>
        </w:rPr>
        <w:t>startuoliai</w:t>
      </w:r>
      <w:proofErr w:type="spellEnd"/>
      <w:r w:rsidRPr="00640D24">
        <w:rPr>
          <w:rFonts w:cs="Times New Roman"/>
          <w:sz w:val="22"/>
          <w:szCs w:val="22"/>
        </w:rPr>
        <w:t> įvardija finansų stoką – 42</w:t>
      </w:r>
      <w:r w:rsidR="009D0D6D" w:rsidRPr="00640D24">
        <w:rPr>
          <w:rFonts w:cs="Times New Roman"/>
          <w:sz w:val="22"/>
          <w:szCs w:val="22"/>
        </w:rPr>
        <w:t xml:space="preserve"> proc.</w:t>
      </w:r>
      <w:r w:rsidR="00CB5423" w:rsidRPr="00640D24">
        <w:rPr>
          <w:rFonts w:cs="Times New Roman"/>
          <w:sz w:val="22"/>
          <w:szCs w:val="22"/>
        </w:rPr>
        <w:t xml:space="preserve">, </w:t>
      </w:r>
      <w:r w:rsidRPr="00640D24">
        <w:rPr>
          <w:rFonts w:cs="Times New Roman"/>
          <w:sz w:val="22"/>
          <w:szCs w:val="22"/>
        </w:rPr>
        <w:t>verslo reguliavim</w:t>
      </w:r>
      <w:r w:rsidR="00CB5423" w:rsidRPr="00640D24">
        <w:rPr>
          <w:rFonts w:cs="Times New Roman"/>
          <w:sz w:val="22"/>
          <w:szCs w:val="22"/>
        </w:rPr>
        <w:t>ą</w:t>
      </w:r>
      <w:r w:rsidRPr="00640D24">
        <w:rPr>
          <w:rFonts w:cs="Times New Roman"/>
          <w:sz w:val="22"/>
          <w:szCs w:val="22"/>
        </w:rPr>
        <w:t xml:space="preserve"> (26</w:t>
      </w:r>
      <w:r w:rsidR="003A3927" w:rsidRPr="00640D24">
        <w:rPr>
          <w:rFonts w:cs="Times New Roman"/>
          <w:sz w:val="22"/>
          <w:szCs w:val="22"/>
        </w:rPr>
        <w:t xml:space="preserve"> proc.</w:t>
      </w:r>
      <w:r w:rsidRPr="00640D24">
        <w:rPr>
          <w:rFonts w:cs="Times New Roman"/>
          <w:sz w:val="22"/>
          <w:szCs w:val="22"/>
        </w:rPr>
        <w:t>) ir talentų trūkum</w:t>
      </w:r>
      <w:r w:rsidR="00CB5423" w:rsidRPr="00640D24">
        <w:rPr>
          <w:rFonts w:cs="Times New Roman"/>
          <w:sz w:val="22"/>
          <w:szCs w:val="22"/>
        </w:rPr>
        <w:t>ą</w:t>
      </w:r>
      <w:r w:rsidRPr="00640D24">
        <w:rPr>
          <w:rFonts w:cs="Times New Roman"/>
          <w:sz w:val="22"/>
          <w:szCs w:val="22"/>
        </w:rPr>
        <w:t xml:space="preserve"> (22</w:t>
      </w:r>
      <w:r w:rsidR="003A3927" w:rsidRPr="00640D24">
        <w:rPr>
          <w:rFonts w:cs="Times New Roman"/>
          <w:sz w:val="22"/>
          <w:szCs w:val="22"/>
        </w:rPr>
        <w:t xml:space="preserve"> proc.</w:t>
      </w:r>
      <w:r w:rsidRPr="00640D24">
        <w:rPr>
          <w:rFonts w:cs="Times New Roman"/>
          <w:sz w:val="22"/>
          <w:szCs w:val="22"/>
        </w:rPr>
        <w:t xml:space="preserve">). </w:t>
      </w:r>
      <w:r w:rsidR="00C96AA1" w:rsidRPr="00640D24">
        <w:rPr>
          <w:rFonts w:cs="Times New Roman"/>
          <w:sz w:val="22"/>
          <w:szCs w:val="22"/>
        </w:rPr>
        <w:lastRenderedPageBreak/>
        <w:t xml:space="preserve">Komerciniai </w:t>
      </w:r>
      <w:r w:rsidRPr="00640D24">
        <w:rPr>
          <w:rFonts w:cs="Times New Roman"/>
          <w:sz w:val="22"/>
          <w:szCs w:val="22"/>
        </w:rPr>
        <w:t xml:space="preserve">bankai laikosi atsakingo skolinimo principo ir teikia finansavimą įmonėms, kurios veikia pelningai, atsakingai valdo finansus, geba laiku grąžinti paskolas nepriklausomai nuo jų dydžio ar veiklos trukmės, </w:t>
      </w:r>
      <w:r w:rsidR="00C96AA1" w:rsidRPr="00640D24">
        <w:rPr>
          <w:rFonts w:cs="Times New Roman"/>
          <w:sz w:val="22"/>
          <w:szCs w:val="22"/>
        </w:rPr>
        <w:t xml:space="preserve">todėl </w:t>
      </w:r>
      <w:r w:rsidRPr="00640D24">
        <w:rPr>
          <w:rFonts w:cs="Times New Roman"/>
          <w:sz w:val="22"/>
          <w:szCs w:val="22"/>
        </w:rPr>
        <w:t xml:space="preserve">pirmąsias investicijas ankstyvosios stadijos </w:t>
      </w:r>
      <w:proofErr w:type="spellStart"/>
      <w:r w:rsidRPr="00640D24">
        <w:rPr>
          <w:rFonts w:cs="Times New Roman"/>
          <w:sz w:val="22"/>
          <w:szCs w:val="22"/>
        </w:rPr>
        <w:t>startuoliai</w:t>
      </w:r>
      <w:proofErr w:type="spellEnd"/>
      <w:r w:rsidRPr="00640D24">
        <w:rPr>
          <w:rFonts w:cs="Times New Roman"/>
          <w:sz w:val="22"/>
          <w:szCs w:val="22"/>
        </w:rPr>
        <w:t xml:space="preserve"> </w:t>
      </w:r>
      <w:r w:rsidR="0065288E" w:rsidRPr="00640D24">
        <w:rPr>
          <w:rFonts w:cs="Times New Roman"/>
          <w:sz w:val="22"/>
          <w:szCs w:val="22"/>
        </w:rPr>
        <w:t xml:space="preserve">dažniausiai </w:t>
      </w:r>
      <w:r w:rsidRPr="00640D24">
        <w:rPr>
          <w:rFonts w:cs="Times New Roman"/>
          <w:sz w:val="22"/>
          <w:szCs w:val="22"/>
        </w:rPr>
        <w:t xml:space="preserve">pritraukia iš </w:t>
      </w:r>
      <w:proofErr w:type="spellStart"/>
      <w:r w:rsidRPr="00640D24">
        <w:rPr>
          <w:rFonts w:cs="Times New Roman"/>
          <w:sz w:val="22"/>
          <w:szCs w:val="22"/>
        </w:rPr>
        <w:t>ak</w:t>
      </w:r>
      <w:r w:rsidR="00103B21" w:rsidRPr="00640D24">
        <w:rPr>
          <w:rFonts w:cs="Times New Roman"/>
          <w:sz w:val="22"/>
          <w:szCs w:val="22"/>
        </w:rPr>
        <w:t>c</w:t>
      </w:r>
      <w:r w:rsidRPr="00640D24">
        <w:rPr>
          <w:rFonts w:cs="Times New Roman"/>
          <w:sz w:val="22"/>
          <w:szCs w:val="22"/>
        </w:rPr>
        <w:t>eleravimo</w:t>
      </w:r>
      <w:proofErr w:type="spellEnd"/>
      <w:r w:rsidRPr="00640D24">
        <w:rPr>
          <w:rFonts w:cs="Times New Roman"/>
          <w:sz w:val="22"/>
          <w:szCs w:val="22"/>
        </w:rPr>
        <w:t xml:space="preserve"> programų. </w:t>
      </w:r>
    </w:p>
    <w:p w14:paraId="6BC534FA" w14:textId="473B00BF" w:rsidR="005979C8" w:rsidRPr="00640D24" w:rsidRDefault="00C96AA1" w:rsidP="00170B5F">
      <w:pPr>
        <w:spacing w:before="60" w:after="60" w:line="240" w:lineRule="auto"/>
        <w:ind w:firstLine="567"/>
        <w:jc w:val="both"/>
        <w:rPr>
          <w:rFonts w:cs="Times New Roman"/>
          <w:sz w:val="22"/>
          <w:szCs w:val="22"/>
        </w:rPr>
      </w:pPr>
      <w:proofErr w:type="spellStart"/>
      <w:r w:rsidRPr="00640D24">
        <w:rPr>
          <w:rFonts w:cs="Times New Roman"/>
          <w:i/>
          <w:iCs/>
          <w:sz w:val="22"/>
          <w:szCs w:val="22"/>
        </w:rPr>
        <w:t>Startup</w:t>
      </w:r>
      <w:proofErr w:type="spellEnd"/>
      <w:r w:rsidRPr="00640D24">
        <w:rPr>
          <w:rFonts w:cs="Times New Roman"/>
          <w:i/>
          <w:iCs/>
          <w:sz w:val="22"/>
          <w:szCs w:val="22"/>
        </w:rPr>
        <w:t xml:space="preserve"> </w:t>
      </w:r>
      <w:proofErr w:type="spellStart"/>
      <w:r w:rsidRPr="00640D24">
        <w:rPr>
          <w:rFonts w:cs="Times New Roman"/>
          <w:i/>
          <w:iCs/>
          <w:sz w:val="22"/>
          <w:szCs w:val="22"/>
        </w:rPr>
        <w:t>Lithuania</w:t>
      </w:r>
      <w:proofErr w:type="spellEnd"/>
      <w:r w:rsidRPr="00640D24">
        <w:rPr>
          <w:rFonts w:cs="Times New Roman"/>
          <w:sz w:val="22"/>
          <w:szCs w:val="22"/>
        </w:rPr>
        <w:t xml:space="preserve"> duomenimis</w:t>
      </w:r>
      <w:r w:rsidR="00EB2AF7" w:rsidRPr="00640D24">
        <w:rPr>
          <w:rStyle w:val="Puslapioinaosnuoroda"/>
          <w:rFonts w:cs="Times New Roman"/>
          <w:sz w:val="22"/>
          <w:szCs w:val="22"/>
        </w:rPr>
        <w:footnoteReference w:id="18"/>
      </w:r>
      <w:r w:rsidRPr="00640D24">
        <w:rPr>
          <w:rFonts w:cs="Times New Roman"/>
          <w:sz w:val="22"/>
          <w:szCs w:val="22"/>
        </w:rPr>
        <w:t xml:space="preserve"> š</w:t>
      </w:r>
      <w:r w:rsidR="005979C8" w:rsidRPr="00640D24">
        <w:rPr>
          <w:rFonts w:cs="Times New Roman"/>
          <w:sz w:val="22"/>
          <w:szCs w:val="22"/>
        </w:rPr>
        <w:t xml:space="preserve">iuo metu Lietuvoje veikia 13 </w:t>
      </w:r>
      <w:r w:rsidR="00012C96" w:rsidRPr="00640D24">
        <w:rPr>
          <w:rFonts w:cs="Times New Roman"/>
          <w:sz w:val="22"/>
          <w:szCs w:val="22"/>
        </w:rPr>
        <w:t>programų (iniciatyvų)</w:t>
      </w:r>
      <w:r w:rsidR="005979C8" w:rsidRPr="00640D24">
        <w:rPr>
          <w:rFonts w:cs="Times New Roman"/>
          <w:sz w:val="22"/>
          <w:szCs w:val="22"/>
        </w:rPr>
        <w:t xml:space="preserve">, teikiančių pagalbą ankstyvajame </w:t>
      </w:r>
      <w:proofErr w:type="spellStart"/>
      <w:r w:rsidR="005979C8" w:rsidRPr="00640D24">
        <w:rPr>
          <w:rFonts w:cs="Times New Roman"/>
          <w:sz w:val="22"/>
          <w:szCs w:val="22"/>
        </w:rPr>
        <w:t>startuolių</w:t>
      </w:r>
      <w:proofErr w:type="spellEnd"/>
      <w:r w:rsidR="005979C8" w:rsidRPr="00640D24">
        <w:rPr>
          <w:rFonts w:cs="Times New Roman"/>
          <w:sz w:val="22"/>
          <w:szCs w:val="22"/>
        </w:rPr>
        <w:t xml:space="preserve"> vystymo etape </w:t>
      </w:r>
      <w:r w:rsidR="005979C8" w:rsidRPr="00640D24">
        <w:rPr>
          <w:rFonts w:cs="Times New Roman"/>
          <w:i/>
          <w:iCs/>
          <w:sz w:val="22"/>
          <w:szCs w:val="22"/>
        </w:rPr>
        <w:t xml:space="preserve">(70 </w:t>
      </w:r>
      <w:proofErr w:type="spellStart"/>
      <w:r w:rsidR="005979C8" w:rsidRPr="00640D24">
        <w:rPr>
          <w:rFonts w:cs="Times New Roman"/>
          <w:i/>
          <w:iCs/>
          <w:sz w:val="22"/>
          <w:szCs w:val="22"/>
        </w:rPr>
        <w:t>Ventures</w:t>
      </w:r>
      <w:proofErr w:type="spellEnd"/>
      <w:r w:rsidR="005979C8" w:rsidRPr="00640D24">
        <w:rPr>
          <w:rFonts w:cs="Times New Roman"/>
          <w:i/>
          <w:iCs/>
          <w:sz w:val="22"/>
          <w:szCs w:val="22"/>
        </w:rPr>
        <w:t xml:space="preserve">, </w:t>
      </w:r>
      <w:proofErr w:type="spellStart"/>
      <w:r w:rsidR="005979C8" w:rsidRPr="00640D24">
        <w:rPr>
          <w:rFonts w:cs="Times New Roman"/>
          <w:i/>
          <w:iCs/>
          <w:sz w:val="22"/>
          <w:szCs w:val="22"/>
        </w:rPr>
        <w:t>StartupWiseGuys</w:t>
      </w:r>
      <w:proofErr w:type="spellEnd"/>
      <w:r w:rsidR="005979C8" w:rsidRPr="00640D24">
        <w:rPr>
          <w:rFonts w:cs="Times New Roman"/>
          <w:i/>
          <w:iCs/>
          <w:sz w:val="22"/>
          <w:szCs w:val="22"/>
        </w:rPr>
        <w:t xml:space="preserve">, </w:t>
      </w:r>
      <w:proofErr w:type="spellStart"/>
      <w:r w:rsidR="005979C8" w:rsidRPr="00640D24">
        <w:rPr>
          <w:rFonts w:cs="Times New Roman"/>
          <w:i/>
          <w:iCs/>
          <w:sz w:val="22"/>
          <w:szCs w:val="22"/>
        </w:rPr>
        <w:t>Katalista</w:t>
      </w:r>
      <w:proofErr w:type="spellEnd"/>
      <w:r w:rsidR="005979C8" w:rsidRPr="00640D24">
        <w:rPr>
          <w:rFonts w:cs="Times New Roman"/>
          <w:i/>
          <w:iCs/>
          <w:sz w:val="22"/>
          <w:szCs w:val="22"/>
        </w:rPr>
        <w:t xml:space="preserve"> </w:t>
      </w:r>
      <w:proofErr w:type="spellStart"/>
      <w:r w:rsidR="005979C8" w:rsidRPr="00640D24">
        <w:rPr>
          <w:rFonts w:cs="Times New Roman"/>
          <w:i/>
          <w:iCs/>
          <w:sz w:val="22"/>
          <w:szCs w:val="22"/>
        </w:rPr>
        <w:t>Ventures</w:t>
      </w:r>
      <w:proofErr w:type="spellEnd"/>
      <w:r w:rsidRPr="00640D24">
        <w:rPr>
          <w:rFonts w:cs="Times New Roman"/>
          <w:i/>
          <w:iCs/>
          <w:sz w:val="22"/>
          <w:szCs w:val="22"/>
        </w:rPr>
        <w:t xml:space="preserve">, </w:t>
      </w:r>
      <w:proofErr w:type="spellStart"/>
      <w:r w:rsidR="00D56E9F" w:rsidRPr="00640D24">
        <w:rPr>
          <w:rFonts w:cs="Times New Roman"/>
          <w:i/>
          <w:iCs/>
          <w:sz w:val="22"/>
          <w:szCs w:val="22"/>
        </w:rPr>
        <w:t>Baltic</w:t>
      </w:r>
      <w:proofErr w:type="spellEnd"/>
      <w:r w:rsidR="00D56E9F" w:rsidRPr="00640D24">
        <w:rPr>
          <w:rFonts w:cs="Times New Roman"/>
          <w:sz w:val="22"/>
          <w:szCs w:val="22"/>
        </w:rPr>
        <w:t xml:space="preserve"> </w:t>
      </w:r>
      <w:proofErr w:type="spellStart"/>
      <w:r w:rsidR="00D56E9F" w:rsidRPr="00640D24">
        <w:rPr>
          <w:rFonts w:cs="Times New Roman"/>
          <w:i/>
          <w:iCs/>
          <w:sz w:val="22"/>
          <w:szCs w:val="22"/>
        </w:rPr>
        <w:t>Sandbox</w:t>
      </w:r>
      <w:proofErr w:type="spellEnd"/>
      <w:r w:rsidR="00D56E9F" w:rsidRPr="00640D24">
        <w:rPr>
          <w:rFonts w:cs="Times New Roman"/>
          <w:i/>
          <w:iCs/>
          <w:sz w:val="22"/>
          <w:szCs w:val="22"/>
        </w:rPr>
        <w:t xml:space="preserve">, </w:t>
      </w:r>
      <w:proofErr w:type="spellStart"/>
      <w:r w:rsidR="00D56E9F" w:rsidRPr="00640D24">
        <w:rPr>
          <w:rFonts w:cs="Times New Roman"/>
          <w:i/>
          <w:iCs/>
          <w:sz w:val="22"/>
          <w:szCs w:val="22"/>
        </w:rPr>
        <w:t>Business</w:t>
      </w:r>
      <w:proofErr w:type="spellEnd"/>
      <w:r w:rsidR="00D56E9F" w:rsidRPr="00640D24">
        <w:rPr>
          <w:rFonts w:cs="Times New Roman"/>
          <w:i/>
          <w:iCs/>
          <w:sz w:val="22"/>
          <w:szCs w:val="22"/>
        </w:rPr>
        <w:t xml:space="preserve"> </w:t>
      </w:r>
      <w:proofErr w:type="spellStart"/>
      <w:r w:rsidR="00D56E9F" w:rsidRPr="00640D24">
        <w:rPr>
          <w:rFonts w:cs="Times New Roman"/>
          <w:i/>
          <w:iCs/>
          <w:sz w:val="22"/>
          <w:szCs w:val="22"/>
        </w:rPr>
        <w:t>acceleration</w:t>
      </w:r>
      <w:proofErr w:type="spellEnd"/>
      <w:r w:rsidR="00D56E9F" w:rsidRPr="00640D24">
        <w:rPr>
          <w:rFonts w:cs="Times New Roman"/>
          <w:i/>
          <w:iCs/>
          <w:sz w:val="22"/>
          <w:szCs w:val="22"/>
        </w:rPr>
        <w:t xml:space="preserve"> </w:t>
      </w:r>
      <w:proofErr w:type="spellStart"/>
      <w:r w:rsidR="00D56E9F" w:rsidRPr="00640D24">
        <w:rPr>
          <w:rFonts w:cs="Times New Roman"/>
          <w:i/>
          <w:iCs/>
          <w:sz w:val="22"/>
          <w:szCs w:val="22"/>
        </w:rPr>
        <w:t>program</w:t>
      </w:r>
      <w:proofErr w:type="spellEnd"/>
      <w:r w:rsidR="00D56E9F" w:rsidRPr="00640D24">
        <w:rPr>
          <w:rFonts w:cs="Times New Roman"/>
          <w:i/>
          <w:iCs/>
          <w:sz w:val="22"/>
          <w:szCs w:val="22"/>
        </w:rPr>
        <w:t xml:space="preserve"> </w:t>
      </w:r>
      <w:proofErr w:type="spellStart"/>
      <w:r w:rsidR="00D56E9F" w:rsidRPr="00640D24">
        <w:rPr>
          <w:rFonts w:cs="Times New Roman"/>
          <w:i/>
          <w:iCs/>
          <w:sz w:val="22"/>
          <w:szCs w:val="22"/>
        </w:rPr>
        <w:t>Evolut</w:t>
      </w:r>
      <w:proofErr w:type="spellEnd"/>
      <w:r w:rsidR="00D56E9F" w:rsidRPr="00640D24">
        <w:rPr>
          <w:rFonts w:cs="Times New Roman"/>
          <w:i/>
          <w:iCs/>
          <w:sz w:val="22"/>
          <w:szCs w:val="22"/>
        </w:rPr>
        <w:t xml:space="preserve"> 4.0</w:t>
      </w:r>
      <w:r w:rsidR="00C97161" w:rsidRPr="00640D24">
        <w:rPr>
          <w:rFonts w:cs="Times New Roman"/>
          <w:i/>
          <w:iCs/>
          <w:sz w:val="22"/>
          <w:szCs w:val="22"/>
        </w:rPr>
        <w:t xml:space="preserve">, </w:t>
      </w:r>
      <w:proofErr w:type="spellStart"/>
      <w:r w:rsidR="00C97161" w:rsidRPr="00640D24">
        <w:rPr>
          <w:rFonts w:cs="Times New Roman"/>
          <w:i/>
          <w:iCs/>
          <w:sz w:val="22"/>
          <w:szCs w:val="22"/>
        </w:rPr>
        <w:t>RockIt</w:t>
      </w:r>
      <w:proofErr w:type="spellEnd"/>
      <w:r w:rsidR="00C97161" w:rsidRPr="00640D24">
        <w:rPr>
          <w:rFonts w:cs="Times New Roman"/>
          <w:i/>
          <w:iCs/>
          <w:sz w:val="22"/>
          <w:szCs w:val="22"/>
        </w:rPr>
        <w:t xml:space="preserve"> </w:t>
      </w:r>
      <w:proofErr w:type="spellStart"/>
      <w:r w:rsidR="00C97161" w:rsidRPr="00640D24">
        <w:rPr>
          <w:rFonts w:cs="Times New Roman"/>
          <w:i/>
          <w:iCs/>
          <w:sz w:val="22"/>
          <w:szCs w:val="22"/>
        </w:rPr>
        <w:t>Impact</w:t>
      </w:r>
      <w:proofErr w:type="spellEnd"/>
      <w:r w:rsidR="00C97161" w:rsidRPr="00640D24">
        <w:rPr>
          <w:rFonts w:cs="Times New Roman"/>
          <w:i/>
          <w:iCs/>
          <w:sz w:val="22"/>
          <w:szCs w:val="22"/>
        </w:rPr>
        <w:t xml:space="preserve"> </w:t>
      </w:r>
      <w:proofErr w:type="spellStart"/>
      <w:r w:rsidR="00C97161" w:rsidRPr="00640D24">
        <w:rPr>
          <w:rFonts w:cs="Times New Roman"/>
          <w:i/>
          <w:iCs/>
          <w:sz w:val="22"/>
          <w:szCs w:val="22"/>
        </w:rPr>
        <w:t>Accelerator</w:t>
      </w:r>
      <w:proofErr w:type="spellEnd"/>
      <w:r w:rsidR="00EB2AF7" w:rsidRPr="00640D24">
        <w:rPr>
          <w:rFonts w:cs="Times New Roman"/>
          <w:i/>
          <w:iCs/>
          <w:sz w:val="22"/>
          <w:szCs w:val="22"/>
        </w:rPr>
        <w:t>)</w:t>
      </w:r>
      <w:r w:rsidR="00EB2AF7" w:rsidRPr="00640D24">
        <w:rPr>
          <w:rFonts w:cs="Times New Roman"/>
          <w:sz w:val="22"/>
          <w:szCs w:val="22"/>
        </w:rPr>
        <w:t>.</w:t>
      </w:r>
      <w:r w:rsidR="0065288E" w:rsidRPr="00640D24">
        <w:rPr>
          <w:rFonts w:cs="Times New Roman"/>
          <w:sz w:val="22"/>
          <w:szCs w:val="22"/>
        </w:rPr>
        <w:t xml:space="preserve"> </w:t>
      </w:r>
      <w:r w:rsidR="00C97161" w:rsidRPr="00640D24">
        <w:rPr>
          <w:rFonts w:cs="Times New Roman"/>
          <w:sz w:val="22"/>
          <w:szCs w:val="22"/>
        </w:rPr>
        <w:t>A</w:t>
      </w:r>
      <w:r w:rsidR="0065288E" w:rsidRPr="00640D24">
        <w:rPr>
          <w:rFonts w:cs="Times New Roman"/>
          <w:sz w:val="22"/>
          <w:szCs w:val="22"/>
        </w:rPr>
        <w:t xml:space="preserve">ktyviausiai į </w:t>
      </w:r>
      <w:r w:rsidR="00C97161" w:rsidRPr="00640D24">
        <w:rPr>
          <w:rFonts w:cs="Times New Roman"/>
          <w:sz w:val="22"/>
          <w:szCs w:val="22"/>
        </w:rPr>
        <w:t xml:space="preserve">ankstyvosios stadijos </w:t>
      </w:r>
      <w:proofErr w:type="spellStart"/>
      <w:r w:rsidR="00C97161" w:rsidRPr="00640D24">
        <w:rPr>
          <w:rFonts w:cs="Times New Roman"/>
          <w:sz w:val="22"/>
          <w:szCs w:val="22"/>
        </w:rPr>
        <w:t>startuolius</w:t>
      </w:r>
      <w:proofErr w:type="spellEnd"/>
      <w:r w:rsidR="00C97161" w:rsidRPr="00640D24">
        <w:rPr>
          <w:rFonts w:cs="Times New Roman"/>
          <w:sz w:val="22"/>
          <w:szCs w:val="22"/>
        </w:rPr>
        <w:t xml:space="preserve"> investuoja </w:t>
      </w:r>
      <w:r w:rsidR="00C97161" w:rsidRPr="00640D24">
        <w:rPr>
          <w:rFonts w:cs="Times New Roman"/>
          <w:i/>
          <w:iCs/>
          <w:sz w:val="22"/>
          <w:szCs w:val="22"/>
        </w:rPr>
        <w:t xml:space="preserve">70 </w:t>
      </w:r>
      <w:proofErr w:type="spellStart"/>
      <w:r w:rsidR="00C97161" w:rsidRPr="00640D24">
        <w:rPr>
          <w:rFonts w:cs="Times New Roman"/>
          <w:i/>
          <w:iCs/>
          <w:sz w:val="22"/>
          <w:szCs w:val="22"/>
        </w:rPr>
        <w:t>Ventures</w:t>
      </w:r>
      <w:proofErr w:type="spellEnd"/>
      <w:r w:rsidR="00C97161" w:rsidRPr="00640D24">
        <w:rPr>
          <w:rFonts w:cs="Times New Roman"/>
          <w:i/>
          <w:iCs/>
          <w:sz w:val="22"/>
          <w:szCs w:val="22"/>
        </w:rPr>
        <w:t xml:space="preserve">, </w:t>
      </w:r>
      <w:proofErr w:type="spellStart"/>
      <w:r w:rsidR="00C97161" w:rsidRPr="00640D24">
        <w:rPr>
          <w:rFonts w:cs="Times New Roman"/>
          <w:i/>
          <w:iCs/>
          <w:sz w:val="22"/>
          <w:szCs w:val="22"/>
        </w:rPr>
        <w:t>StartupWiseGuys</w:t>
      </w:r>
      <w:proofErr w:type="spellEnd"/>
      <w:r w:rsidR="005979C8" w:rsidRPr="00640D24">
        <w:rPr>
          <w:rFonts w:cs="Times New Roman"/>
          <w:sz w:val="22"/>
          <w:szCs w:val="22"/>
        </w:rPr>
        <w:t xml:space="preserve"> </w:t>
      </w:r>
      <w:r w:rsidR="00C97161" w:rsidRPr="00640D24">
        <w:rPr>
          <w:rFonts w:cs="Times New Roman"/>
          <w:sz w:val="22"/>
          <w:szCs w:val="22"/>
        </w:rPr>
        <w:t xml:space="preserve">ir </w:t>
      </w:r>
      <w:proofErr w:type="spellStart"/>
      <w:r w:rsidR="00C97161" w:rsidRPr="00640D24">
        <w:rPr>
          <w:rFonts w:cs="Times New Roman"/>
          <w:i/>
          <w:iCs/>
          <w:sz w:val="22"/>
          <w:szCs w:val="22"/>
        </w:rPr>
        <w:t>Katalista</w:t>
      </w:r>
      <w:proofErr w:type="spellEnd"/>
      <w:r w:rsidR="00C97161" w:rsidRPr="00640D24">
        <w:rPr>
          <w:rFonts w:cs="Times New Roman"/>
          <w:i/>
          <w:iCs/>
          <w:sz w:val="22"/>
          <w:szCs w:val="22"/>
        </w:rPr>
        <w:t xml:space="preserve"> </w:t>
      </w:r>
      <w:proofErr w:type="spellStart"/>
      <w:r w:rsidR="00C97161" w:rsidRPr="00640D24">
        <w:rPr>
          <w:rFonts w:cs="Times New Roman"/>
          <w:i/>
          <w:iCs/>
          <w:sz w:val="22"/>
          <w:szCs w:val="22"/>
        </w:rPr>
        <w:t>Ventures</w:t>
      </w:r>
      <w:proofErr w:type="spellEnd"/>
      <w:r w:rsidR="00C97161" w:rsidRPr="00640D24">
        <w:rPr>
          <w:rFonts w:cs="Times New Roman"/>
          <w:sz w:val="22"/>
          <w:szCs w:val="22"/>
        </w:rPr>
        <w:t>. Taip pat, į naujas įmones investuoja ir Verslo angelų fondas II.  R</w:t>
      </w:r>
      <w:r w:rsidR="005979C8" w:rsidRPr="00640D24">
        <w:rPr>
          <w:rFonts w:cs="Times New Roman"/>
          <w:sz w:val="22"/>
          <w:szCs w:val="22"/>
        </w:rPr>
        <w:t xml:space="preserve">izikos kapitalo fondai į </w:t>
      </w:r>
      <w:proofErr w:type="spellStart"/>
      <w:r w:rsidR="005979C8" w:rsidRPr="00640D24">
        <w:rPr>
          <w:rFonts w:cs="Times New Roman"/>
          <w:sz w:val="22"/>
          <w:szCs w:val="22"/>
        </w:rPr>
        <w:t>startuolius</w:t>
      </w:r>
      <w:proofErr w:type="spellEnd"/>
      <w:r w:rsidR="005979C8" w:rsidRPr="00640D24">
        <w:rPr>
          <w:rFonts w:cs="Times New Roman"/>
          <w:sz w:val="22"/>
          <w:szCs w:val="22"/>
        </w:rPr>
        <w:t xml:space="preserve"> pradeda investuoti jiems paaugus, o investicijos prasideda nuo 100</w:t>
      </w:r>
      <w:r w:rsidR="00CB5423" w:rsidRPr="00640D24">
        <w:rPr>
          <w:rFonts w:cs="Times New Roman"/>
          <w:sz w:val="22"/>
          <w:szCs w:val="22"/>
        </w:rPr>
        <w:t xml:space="preserve"> tūkst.</w:t>
      </w:r>
      <w:r w:rsidR="005979C8" w:rsidRPr="00640D24">
        <w:rPr>
          <w:rFonts w:cs="Times New Roman"/>
          <w:sz w:val="22"/>
          <w:szCs w:val="22"/>
        </w:rPr>
        <w:t xml:space="preserve"> </w:t>
      </w:r>
      <w:proofErr w:type="spellStart"/>
      <w:r w:rsidR="00C664AC" w:rsidRPr="00640D24">
        <w:rPr>
          <w:rFonts w:cs="Times New Roman"/>
          <w:sz w:val="22"/>
          <w:szCs w:val="22"/>
        </w:rPr>
        <w:t>Eur</w:t>
      </w:r>
      <w:proofErr w:type="spellEnd"/>
      <w:r w:rsidR="005979C8" w:rsidRPr="00640D24">
        <w:rPr>
          <w:rFonts w:cs="Times New Roman"/>
          <w:sz w:val="22"/>
          <w:szCs w:val="22"/>
        </w:rPr>
        <w:t>. Nuo 500</w:t>
      </w:r>
      <w:r w:rsidR="00CB5423" w:rsidRPr="00640D24">
        <w:rPr>
          <w:rFonts w:cs="Times New Roman"/>
          <w:sz w:val="22"/>
          <w:szCs w:val="22"/>
        </w:rPr>
        <w:t xml:space="preserve"> tūkst.</w:t>
      </w:r>
      <w:r w:rsidR="00103B21" w:rsidRPr="00640D24">
        <w:rPr>
          <w:rFonts w:cs="Times New Roman"/>
          <w:sz w:val="22"/>
          <w:szCs w:val="22"/>
        </w:rPr>
        <w:t xml:space="preserve"> </w:t>
      </w:r>
      <w:proofErr w:type="spellStart"/>
      <w:r w:rsidR="00C664AC" w:rsidRPr="00640D24">
        <w:rPr>
          <w:rFonts w:cs="Times New Roman"/>
          <w:sz w:val="22"/>
          <w:szCs w:val="22"/>
        </w:rPr>
        <w:t>Eur</w:t>
      </w:r>
      <w:proofErr w:type="spellEnd"/>
      <w:r w:rsidR="005979C8" w:rsidRPr="00640D24">
        <w:rPr>
          <w:rFonts w:cs="Times New Roman"/>
          <w:sz w:val="22"/>
          <w:szCs w:val="22"/>
        </w:rPr>
        <w:t> į</w:t>
      </w:r>
      <w:r w:rsidR="002558AB" w:rsidRPr="00640D24">
        <w:rPr>
          <w:rFonts w:cs="Times New Roman"/>
          <w:sz w:val="22"/>
          <w:szCs w:val="22"/>
        </w:rPr>
        <w:t xml:space="preserve"> vėlesnėse stadijose esančius</w:t>
      </w:r>
      <w:r w:rsidR="005979C8" w:rsidRPr="00640D24">
        <w:rPr>
          <w:rFonts w:cs="Times New Roman"/>
          <w:sz w:val="22"/>
          <w:szCs w:val="22"/>
        </w:rPr>
        <w:t xml:space="preserve"> </w:t>
      </w:r>
      <w:proofErr w:type="spellStart"/>
      <w:r w:rsidR="005979C8" w:rsidRPr="00640D24">
        <w:rPr>
          <w:rFonts w:cs="Times New Roman"/>
          <w:sz w:val="22"/>
          <w:szCs w:val="22"/>
        </w:rPr>
        <w:t>startuolius</w:t>
      </w:r>
      <w:proofErr w:type="spellEnd"/>
      <w:r w:rsidR="005979C8" w:rsidRPr="00640D24">
        <w:rPr>
          <w:rFonts w:cs="Times New Roman"/>
          <w:sz w:val="22"/>
          <w:szCs w:val="22"/>
        </w:rPr>
        <w:t xml:space="preserve"> dažniausiai pradeda investuoti užsienio verslo angelai, o nuo 1 mln. </w:t>
      </w:r>
      <w:proofErr w:type="spellStart"/>
      <w:r w:rsidR="00C664AC" w:rsidRPr="00640D24">
        <w:rPr>
          <w:rFonts w:cs="Times New Roman"/>
          <w:sz w:val="22"/>
          <w:szCs w:val="22"/>
        </w:rPr>
        <w:t>Eur</w:t>
      </w:r>
      <w:proofErr w:type="spellEnd"/>
      <w:r w:rsidR="005979C8" w:rsidRPr="00640D24">
        <w:rPr>
          <w:rFonts w:cs="Times New Roman"/>
          <w:sz w:val="22"/>
          <w:szCs w:val="22"/>
        </w:rPr>
        <w:t xml:space="preserve"> – užsienio rizikos kapitalo fondai.</w:t>
      </w:r>
      <w:r w:rsidR="00AD03D0" w:rsidRPr="00640D24">
        <w:rPr>
          <w:rFonts w:cs="Times New Roman"/>
          <w:sz w:val="22"/>
          <w:szCs w:val="22"/>
          <w:vertAlign w:val="superscript"/>
        </w:rPr>
        <w:footnoteReference w:id="19"/>
      </w:r>
    </w:p>
    <w:p w14:paraId="7658DF9F" w14:textId="6906BCB3" w:rsidR="005979C8" w:rsidRPr="00640D24" w:rsidRDefault="00C664AC" w:rsidP="00170B5F">
      <w:pPr>
        <w:spacing w:before="60" w:after="60" w:line="240" w:lineRule="auto"/>
        <w:ind w:firstLine="567"/>
        <w:jc w:val="both"/>
        <w:rPr>
          <w:rFonts w:cs="Times New Roman"/>
          <w:sz w:val="22"/>
          <w:szCs w:val="22"/>
        </w:rPr>
      </w:pPr>
      <w:r w:rsidRPr="00640D24">
        <w:rPr>
          <w:rFonts w:cs="Times New Roman"/>
          <w:sz w:val="22"/>
          <w:szCs w:val="22"/>
        </w:rPr>
        <w:t>Eur</w:t>
      </w:r>
      <w:r w:rsidR="005979C8" w:rsidRPr="00640D24">
        <w:rPr>
          <w:rFonts w:cs="Times New Roman"/>
          <w:sz w:val="22"/>
          <w:szCs w:val="22"/>
        </w:rPr>
        <w:t>opos investicinio banko</w:t>
      </w:r>
      <w:r w:rsidRPr="00640D24">
        <w:rPr>
          <w:rFonts w:cs="Times New Roman"/>
          <w:sz w:val="22"/>
          <w:szCs w:val="22"/>
        </w:rPr>
        <w:t xml:space="preserve"> (toliau – EIB)</w:t>
      </w:r>
      <w:r w:rsidR="005979C8" w:rsidRPr="00640D24">
        <w:rPr>
          <w:rFonts w:cs="Times New Roman"/>
          <w:sz w:val="22"/>
          <w:szCs w:val="22"/>
        </w:rPr>
        <w:t xml:space="preserve"> duomenimis</w:t>
      </w:r>
      <w:r w:rsidR="00103B21" w:rsidRPr="00640D24">
        <w:rPr>
          <w:rFonts w:cs="Times New Roman"/>
          <w:sz w:val="22"/>
          <w:szCs w:val="22"/>
        </w:rPr>
        <w:t>,</w:t>
      </w:r>
      <w:r w:rsidR="005979C8" w:rsidRPr="00640D24">
        <w:rPr>
          <w:rFonts w:cs="Times New Roman"/>
          <w:sz w:val="22"/>
          <w:szCs w:val="22"/>
        </w:rPr>
        <w:t xml:space="preserve"> </w:t>
      </w:r>
      <w:proofErr w:type="spellStart"/>
      <w:r w:rsidR="005979C8" w:rsidRPr="00640D24">
        <w:rPr>
          <w:rFonts w:cs="Times New Roman"/>
          <w:sz w:val="22"/>
          <w:szCs w:val="22"/>
        </w:rPr>
        <w:t>startuoliai</w:t>
      </w:r>
      <w:proofErr w:type="spellEnd"/>
      <w:r w:rsidR="005979C8" w:rsidRPr="00640D24">
        <w:rPr>
          <w:rFonts w:cs="Times New Roman"/>
          <w:sz w:val="22"/>
          <w:szCs w:val="22"/>
        </w:rPr>
        <w:t xml:space="preserve"> užima svarbų vaidmenį ekonomikoje. Jie ne tik skatina investicijų pritraukimą, tačiau daro didel</w:t>
      </w:r>
      <w:r w:rsidR="00103B21" w:rsidRPr="00640D24">
        <w:rPr>
          <w:rFonts w:cs="Times New Roman"/>
          <w:sz w:val="22"/>
          <w:szCs w:val="22"/>
        </w:rPr>
        <w:t>ę</w:t>
      </w:r>
      <w:r w:rsidR="005979C8" w:rsidRPr="00640D24">
        <w:rPr>
          <w:rFonts w:cs="Times New Roman"/>
          <w:sz w:val="22"/>
          <w:szCs w:val="22"/>
        </w:rPr>
        <w:t xml:space="preserve"> įtak</w:t>
      </w:r>
      <w:r w:rsidR="00103B21" w:rsidRPr="00640D24">
        <w:rPr>
          <w:rFonts w:cs="Times New Roman"/>
          <w:sz w:val="22"/>
          <w:szCs w:val="22"/>
        </w:rPr>
        <w:t>ą</w:t>
      </w:r>
      <w:r w:rsidR="005979C8" w:rsidRPr="00640D24">
        <w:rPr>
          <w:rFonts w:cs="Times New Roman"/>
          <w:sz w:val="22"/>
          <w:szCs w:val="22"/>
        </w:rPr>
        <w:t xml:space="preserve"> inovacijų diegimui, skatina aukštos pridėtinės vertės darbuotojų paklausą, didina konkurenciją ir tuo pačiu skatina rinkos efektyvumą. </w:t>
      </w:r>
      <w:r w:rsidR="00001AEE" w:rsidRPr="00640D24">
        <w:rPr>
          <w:rFonts w:cs="Times New Roman"/>
          <w:sz w:val="22"/>
          <w:szCs w:val="22"/>
        </w:rPr>
        <w:t>N</w:t>
      </w:r>
      <w:r w:rsidR="005979C8" w:rsidRPr="00640D24">
        <w:rPr>
          <w:rFonts w:cs="Times New Roman"/>
          <w:sz w:val="22"/>
          <w:szCs w:val="22"/>
        </w:rPr>
        <w:t>epaisant teigiamo ekonomini</w:t>
      </w:r>
      <w:r w:rsidR="00103B21" w:rsidRPr="00640D24">
        <w:rPr>
          <w:rFonts w:cs="Times New Roman"/>
          <w:sz w:val="22"/>
          <w:szCs w:val="22"/>
        </w:rPr>
        <w:t>o</w:t>
      </w:r>
      <w:r w:rsidR="005979C8" w:rsidRPr="00640D24">
        <w:rPr>
          <w:rFonts w:cs="Times New Roman"/>
          <w:sz w:val="22"/>
          <w:szCs w:val="22"/>
        </w:rPr>
        <w:t xml:space="preserve"> poveikio, </w:t>
      </w:r>
      <w:proofErr w:type="spellStart"/>
      <w:r w:rsidR="005979C8" w:rsidRPr="00640D24">
        <w:rPr>
          <w:rFonts w:cs="Times New Roman"/>
          <w:sz w:val="22"/>
          <w:szCs w:val="22"/>
        </w:rPr>
        <w:t>startuoliai</w:t>
      </w:r>
      <w:proofErr w:type="spellEnd"/>
      <w:r w:rsidR="005979C8" w:rsidRPr="00640D24">
        <w:rPr>
          <w:rFonts w:cs="Times New Roman"/>
          <w:sz w:val="22"/>
          <w:szCs w:val="22"/>
        </w:rPr>
        <w:t xml:space="preserve"> ženkliai prisideda prie geografinio netolygumo, t.</w:t>
      </w:r>
      <w:r w:rsidR="00CD3AE3" w:rsidRPr="00640D24">
        <w:rPr>
          <w:rFonts w:cs="Times New Roman"/>
          <w:sz w:val="22"/>
          <w:szCs w:val="22"/>
        </w:rPr>
        <w:t xml:space="preserve"> </w:t>
      </w:r>
      <w:r w:rsidR="005979C8" w:rsidRPr="00640D24">
        <w:rPr>
          <w:rFonts w:cs="Times New Roman"/>
          <w:sz w:val="22"/>
          <w:szCs w:val="22"/>
        </w:rPr>
        <w:t xml:space="preserve">y. </w:t>
      </w:r>
      <w:proofErr w:type="spellStart"/>
      <w:r w:rsidR="005979C8" w:rsidRPr="00640D24">
        <w:rPr>
          <w:rFonts w:cs="Times New Roman"/>
          <w:sz w:val="22"/>
          <w:szCs w:val="22"/>
        </w:rPr>
        <w:t>startuoliai</w:t>
      </w:r>
      <w:proofErr w:type="spellEnd"/>
      <w:r w:rsidR="005979C8" w:rsidRPr="00640D24">
        <w:rPr>
          <w:rFonts w:cs="Times New Roman"/>
          <w:sz w:val="22"/>
          <w:szCs w:val="22"/>
        </w:rPr>
        <w:t xml:space="preserve"> yra linkę įsikurti koncentruotai.</w:t>
      </w:r>
      <w:r w:rsidR="0048585E" w:rsidRPr="00640D24">
        <w:rPr>
          <w:rFonts w:cs="Times New Roman"/>
          <w:sz w:val="22"/>
          <w:szCs w:val="22"/>
          <w:vertAlign w:val="superscript"/>
        </w:rPr>
        <w:footnoteReference w:id="20"/>
      </w:r>
      <w:r w:rsidR="005979C8" w:rsidRPr="00640D24">
        <w:rPr>
          <w:rFonts w:cs="Times New Roman"/>
          <w:sz w:val="22"/>
          <w:szCs w:val="22"/>
        </w:rPr>
        <w:t xml:space="preserve"> </w:t>
      </w:r>
      <w:r w:rsidR="00001AEE" w:rsidRPr="00640D24">
        <w:rPr>
          <w:rFonts w:cs="Times New Roman"/>
          <w:sz w:val="22"/>
          <w:szCs w:val="22"/>
        </w:rPr>
        <w:t xml:space="preserve">Ši tendencija yra aiškiai matoma ir Lietuvoje </w:t>
      </w:r>
      <w:r w:rsidR="009A661A" w:rsidRPr="00640D24">
        <w:rPr>
          <w:rFonts w:cs="Times New Roman"/>
          <w:sz w:val="22"/>
          <w:szCs w:val="22"/>
        </w:rPr>
        <w:t>–</w:t>
      </w:r>
      <w:r w:rsidR="00001AEE" w:rsidRPr="00640D24">
        <w:rPr>
          <w:rFonts w:cs="Times New Roman"/>
          <w:sz w:val="22"/>
          <w:szCs w:val="22"/>
        </w:rPr>
        <w:t xml:space="preserve"> a</w:t>
      </w:r>
      <w:r w:rsidR="005979C8" w:rsidRPr="00640D24">
        <w:rPr>
          <w:rFonts w:cs="Times New Roman"/>
          <w:sz w:val="22"/>
          <w:szCs w:val="22"/>
        </w:rPr>
        <w:t xml:space="preserve">tsižvelgiant į </w:t>
      </w:r>
      <w:proofErr w:type="spellStart"/>
      <w:r w:rsidR="005979C8" w:rsidRPr="00640D24">
        <w:rPr>
          <w:rFonts w:cs="Times New Roman"/>
          <w:sz w:val="22"/>
          <w:szCs w:val="22"/>
        </w:rPr>
        <w:t>startuolių</w:t>
      </w:r>
      <w:proofErr w:type="spellEnd"/>
      <w:r w:rsidR="005979C8" w:rsidRPr="00640D24">
        <w:rPr>
          <w:rFonts w:cs="Times New Roman"/>
          <w:sz w:val="22"/>
          <w:szCs w:val="22"/>
        </w:rPr>
        <w:t xml:space="preserve">, įsikūrusių </w:t>
      </w:r>
      <w:r w:rsidR="00CF178B" w:rsidRPr="00640D24">
        <w:rPr>
          <w:rFonts w:cs="Times New Roman"/>
          <w:sz w:val="22"/>
          <w:szCs w:val="22"/>
        </w:rPr>
        <w:t>Vilniaus apskrityje</w:t>
      </w:r>
      <w:r w:rsidR="005979C8" w:rsidRPr="00640D24">
        <w:rPr>
          <w:rFonts w:cs="Times New Roman"/>
          <w:sz w:val="22"/>
          <w:szCs w:val="22"/>
        </w:rPr>
        <w:t xml:space="preserve"> (6</w:t>
      </w:r>
      <w:r w:rsidR="004033A9" w:rsidRPr="00640D24">
        <w:rPr>
          <w:rFonts w:cs="Times New Roman"/>
          <w:sz w:val="22"/>
          <w:szCs w:val="22"/>
        </w:rPr>
        <w:t>1</w:t>
      </w:r>
      <w:r w:rsidR="0048585E" w:rsidRPr="00640D24">
        <w:rPr>
          <w:rFonts w:cs="Times New Roman"/>
          <w:sz w:val="22"/>
          <w:szCs w:val="22"/>
        </w:rPr>
        <w:t>6</w:t>
      </w:r>
      <w:r w:rsidR="00CD3AE3" w:rsidRPr="00640D24">
        <w:rPr>
          <w:rFonts w:cs="Times New Roman"/>
          <w:sz w:val="22"/>
          <w:szCs w:val="22"/>
        </w:rPr>
        <w:t xml:space="preserve"> iš </w:t>
      </w:r>
      <w:r w:rsidR="00DB2D71" w:rsidRPr="00640D24">
        <w:rPr>
          <w:rFonts w:cs="Times New Roman"/>
          <w:sz w:val="22"/>
          <w:szCs w:val="22"/>
        </w:rPr>
        <w:t>1049</w:t>
      </w:r>
      <w:r w:rsidR="005979C8" w:rsidRPr="00640D24">
        <w:rPr>
          <w:rStyle w:val="Puslapioinaosnuoroda"/>
          <w:rFonts w:cs="Times New Roman"/>
          <w:sz w:val="22"/>
          <w:szCs w:val="22"/>
        </w:rPr>
        <w:footnoteReference w:id="21"/>
      </w:r>
      <w:r w:rsidR="005979C8" w:rsidRPr="00640D24">
        <w:rPr>
          <w:rFonts w:cs="Times New Roman"/>
          <w:sz w:val="22"/>
          <w:szCs w:val="22"/>
        </w:rPr>
        <w:t xml:space="preserve">) skaičių, darytina išvada, </w:t>
      </w:r>
      <w:r w:rsidR="00103B21" w:rsidRPr="00640D24">
        <w:rPr>
          <w:rFonts w:cs="Times New Roman"/>
          <w:sz w:val="22"/>
          <w:szCs w:val="22"/>
        </w:rPr>
        <w:t>kad</w:t>
      </w:r>
      <w:r w:rsidR="005979C8" w:rsidRPr="00640D24">
        <w:rPr>
          <w:rFonts w:cs="Times New Roman"/>
          <w:sz w:val="22"/>
          <w:szCs w:val="22"/>
        </w:rPr>
        <w:t xml:space="preserve"> Sostinės regionas yra patrauklesnis </w:t>
      </w:r>
      <w:r w:rsidR="0048585E" w:rsidRPr="00640D24">
        <w:rPr>
          <w:rFonts w:cs="Times New Roman"/>
          <w:sz w:val="22"/>
          <w:szCs w:val="22"/>
        </w:rPr>
        <w:t xml:space="preserve">jų </w:t>
      </w:r>
      <w:r w:rsidR="005979C8" w:rsidRPr="00640D24">
        <w:rPr>
          <w:rFonts w:cs="Times New Roman"/>
          <w:sz w:val="22"/>
          <w:szCs w:val="22"/>
        </w:rPr>
        <w:t>kūrimuisi</w:t>
      </w:r>
      <w:r w:rsidR="002E109E" w:rsidRPr="00640D24">
        <w:rPr>
          <w:rFonts w:cs="Times New Roman"/>
          <w:sz w:val="22"/>
          <w:szCs w:val="22"/>
        </w:rPr>
        <w:t xml:space="preserve"> ir plėtrai</w:t>
      </w:r>
      <w:r w:rsidR="005979C8" w:rsidRPr="00640D24">
        <w:rPr>
          <w:rFonts w:cs="Times New Roman"/>
          <w:sz w:val="22"/>
          <w:szCs w:val="22"/>
        </w:rPr>
        <w:t xml:space="preserve">. 2019 m. Vilnius buvo paskelbtas miestu, pritraukusiu daugiausiai technologijų srityje veikiančių užsienio </w:t>
      </w:r>
      <w:proofErr w:type="spellStart"/>
      <w:r w:rsidR="005979C8" w:rsidRPr="00640D24">
        <w:rPr>
          <w:rFonts w:cs="Times New Roman"/>
          <w:sz w:val="22"/>
          <w:szCs w:val="22"/>
        </w:rPr>
        <w:t>startuolių</w:t>
      </w:r>
      <w:proofErr w:type="spellEnd"/>
      <w:r w:rsidR="005979C8" w:rsidRPr="00640D24">
        <w:rPr>
          <w:rFonts w:cs="Times New Roman"/>
          <w:sz w:val="22"/>
          <w:szCs w:val="22"/>
        </w:rPr>
        <w:t xml:space="preserve">, </w:t>
      </w:r>
      <w:r w:rsidR="0048585E" w:rsidRPr="00640D24">
        <w:rPr>
          <w:rFonts w:cs="Times New Roman"/>
          <w:sz w:val="22"/>
          <w:szCs w:val="22"/>
        </w:rPr>
        <w:t>lyginant su</w:t>
      </w:r>
      <w:r w:rsidR="005979C8" w:rsidRPr="00640D24">
        <w:rPr>
          <w:rFonts w:cs="Times New Roman"/>
          <w:sz w:val="22"/>
          <w:szCs w:val="22"/>
        </w:rPr>
        <w:t xml:space="preserve"> Singapūr</w:t>
      </w:r>
      <w:r w:rsidR="0048585E" w:rsidRPr="00640D24">
        <w:rPr>
          <w:rFonts w:cs="Times New Roman"/>
          <w:sz w:val="22"/>
          <w:szCs w:val="22"/>
        </w:rPr>
        <w:t>u</w:t>
      </w:r>
      <w:r w:rsidR="005979C8" w:rsidRPr="00640D24">
        <w:rPr>
          <w:rFonts w:cs="Times New Roman"/>
          <w:sz w:val="22"/>
          <w:szCs w:val="22"/>
        </w:rPr>
        <w:t>, Tel Aviv</w:t>
      </w:r>
      <w:r w:rsidR="0048585E" w:rsidRPr="00640D24">
        <w:rPr>
          <w:rFonts w:cs="Times New Roman"/>
          <w:sz w:val="22"/>
          <w:szCs w:val="22"/>
        </w:rPr>
        <w:t>u</w:t>
      </w:r>
      <w:r w:rsidR="005979C8" w:rsidRPr="00640D24">
        <w:rPr>
          <w:rFonts w:cs="Times New Roman"/>
          <w:sz w:val="22"/>
          <w:szCs w:val="22"/>
        </w:rPr>
        <w:t xml:space="preserve"> ir Berlyn</w:t>
      </w:r>
      <w:r w:rsidR="0048585E" w:rsidRPr="00640D24">
        <w:rPr>
          <w:rFonts w:cs="Times New Roman"/>
          <w:sz w:val="22"/>
          <w:szCs w:val="22"/>
        </w:rPr>
        <w:t>u.</w:t>
      </w:r>
      <w:r w:rsidR="005979C8" w:rsidRPr="00640D24">
        <w:rPr>
          <w:rFonts w:cs="Times New Roman"/>
          <w:sz w:val="22"/>
          <w:szCs w:val="22"/>
          <w:vertAlign w:val="superscript"/>
        </w:rPr>
        <w:footnoteReference w:id="22"/>
      </w:r>
      <w:r w:rsidR="005979C8" w:rsidRPr="00640D24">
        <w:rPr>
          <w:rFonts w:cs="Times New Roman"/>
          <w:sz w:val="22"/>
          <w:szCs w:val="22"/>
        </w:rPr>
        <w:t xml:space="preserve"> </w:t>
      </w:r>
      <w:r w:rsidR="004033A9" w:rsidRPr="00640D24">
        <w:rPr>
          <w:rFonts w:cs="Times New Roman"/>
          <w:sz w:val="22"/>
          <w:szCs w:val="22"/>
        </w:rPr>
        <w:t>D</w:t>
      </w:r>
      <w:r w:rsidR="005979C8" w:rsidRPr="00640D24">
        <w:rPr>
          <w:rFonts w:cs="Times New Roman"/>
          <w:sz w:val="22"/>
          <w:szCs w:val="22"/>
        </w:rPr>
        <w:t xml:space="preserve">idelė </w:t>
      </w:r>
      <w:proofErr w:type="spellStart"/>
      <w:r w:rsidR="005979C8" w:rsidRPr="00640D24">
        <w:rPr>
          <w:rFonts w:cs="Times New Roman"/>
          <w:sz w:val="22"/>
          <w:szCs w:val="22"/>
        </w:rPr>
        <w:t>startuolių</w:t>
      </w:r>
      <w:proofErr w:type="spellEnd"/>
      <w:r w:rsidR="005979C8" w:rsidRPr="00640D24">
        <w:rPr>
          <w:rFonts w:cs="Times New Roman"/>
          <w:sz w:val="22"/>
          <w:szCs w:val="22"/>
        </w:rPr>
        <w:t xml:space="preserve"> koncentracija Vilniuje</w:t>
      </w:r>
      <w:r w:rsidR="004033A9" w:rsidRPr="00640D24">
        <w:rPr>
          <w:rFonts w:cs="Times New Roman"/>
          <w:sz w:val="22"/>
          <w:szCs w:val="22"/>
        </w:rPr>
        <w:t xml:space="preserve"> </w:t>
      </w:r>
      <w:r w:rsidR="005979C8" w:rsidRPr="00640D24">
        <w:rPr>
          <w:rFonts w:cs="Times New Roman"/>
          <w:sz w:val="22"/>
          <w:szCs w:val="22"/>
        </w:rPr>
        <w:t>turi tiesioginės įtakos didėjančiam Sostinės regiono atotrūkiui nuo kitų Lietuvos regionų</w:t>
      </w:r>
      <w:r w:rsidR="005D094B" w:rsidRPr="00640D24">
        <w:rPr>
          <w:rFonts w:cs="Times New Roman"/>
          <w:sz w:val="22"/>
          <w:szCs w:val="22"/>
        </w:rPr>
        <w:t xml:space="preserve">. </w:t>
      </w:r>
      <w:r w:rsidR="00CF178B" w:rsidRPr="00640D24">
        <w:rPr>
          <w:rFonts w:cs="Times New Roman"/>
          <w:sz w:val="22"/>
          <w:szCs w:val="22"/>
        </w:rPr>
        <w:t>Siekiant (1) sumažinti Sostinės ir kitų Lietuvos regionų ekonominius netolygumus, (2</w:t>
      </w:r>
      <w:r w:rsidR="0071729B" w:rsidRPr="00640D24">
        <w:rPr>
          <w:rFonts w:cs="Times New Roman"/>
          <w:sz w:val="22"/>
          <w:szCs w:val="22"/>
        </w:rPr>
        <w:t>) </w:t>
      </w:r>
      <w:r w:rsidR="00CF178B" w:rsidRPr="00640D24">
        <w:rPr>
          <w:rFonts w:cs="Times New Roman"/>
          <w:sz w:val="22"/>
          <w:szCs w:val="22"/>
        </w:rPr>
        <w:t xml:space="preserve">skatinti aukštą pridėtinę vertę kuriančių įmonių kūrimąsi, (3) skatinti užimtumo didinimą, (4) skatinti gyvenimo kokybės rodiklių gerėjimą, (5) mažinti emigraciją, ir (6) įgalinti regionuose esančias mokslo ir studijų institucijas, reikalingos papildomos investicijos </w:t>
      </w:r>
      <w:proofErr w:type="spellStart"/>
      <w:r w:rsidR="00CF178B" w:rsidRPr="00640D24">
        <w:rPr>
          <w:rFonts w:cs="Times New Roman"/>
          <w:sz w:val="22"/>
          <w:szCs w:val="22"/>
        </w:rPr>
        <w:t>startuolių</w:t>
      </w:r>
      <w:proofErr w:type="spellEnd"/>
      <w:r w:rsidR="00CF178B" w:rsidRPr="00640D24">
        <w:rPr>
          <w:rFonts w:cs="Times New Roman"/>
          <w:sz w:val="22"/>
          <w:szCs w:val="22"/>
        </w:rPr>
        <w:t xml:space="preserve"> kūrimosi ir plėtros skatinimui regionuose</w:t>
      </w:r>
      <w:r w:rsidR="00321BDC" w:rsidRPr="00640D24">
        <w:rPr>
          <w:rFonts w:cs="Times New Roman"/>
          <w:sz w:val="22"/>
          <w:szCs w:val="22"/>
        </w:rPr>
        <w:t>.</w:t>
      </w:r>
      <w:r w:rsidR="005979C8" w:rsidRPr="00640D24">
        <w:rPr>
          <w:rFonts w:cs="Times New Roman"/>
          <w:sz w:val="22"/>
          <w:szCs w:val="22"/>
        </w:rPr>
        <w:t xml:space="preserve"> Finansavimas šioje srityje tiesiogiai prisidės prie </w:t>
      </w:r>
      <w:r w:rsidR="002E7A14" w:rsidRPr="00640D24">
        <w:rPr>
          <w:rFonts w:cs="Times New Roman"/>
          <w:sz w:val="22"/>
          <w:szCs w:val="22"/>
        </w:rPr>
        <w:t>2021</w:t>
      </w:r>
      <w:r w:rsidR="0071729B" w:rsidRPr="00640D24">
        <w:rPr>
          <w:rFonts w:cs="Times New Roman"/>
          <w:sz w:val="22"/>
          <w:szCs w:val="22"/>
        </w:rPr>
        <w:t>–</w:t>
      </w:r>
      <w:r w:rsidR="002E7A14" w:rsidRPr="00640D24">
        <w:rPr>
          <w:rFonts w:cs="Times New Roman"/>
          <w:sz w:val="22"/>
          <w:szCs w:val="22"/>
        </w:rPr>
        <w:t>2027 m. p</w:t>
      </w:r>
      <w:r w:rsidR="005979C8" w:rsidRPr="00640D24">
        <w:rPr>
          <w:rFonts w:cs="Times New Roman"/>
          <w:sz w:val="22"/>
          <w:szCs w:val="22"/>
        </w:rPr>
        <w:t xml:space="preserve">rogramos pirmojo politikos tikslo „Pažangesnė </w:t>
      </w:r>
      <w:r w:rsidRPr="00640D24">
        <w:rPr>
          <w:rFonts w:cs="Times New Roman"/>
          <w:sz w:val="22"/>
          <w:szCs w:val="22"/>
        </w:rPr>
        <w:t>Eur</w:t>
      </w:r>
      <w:r w:rsidR="005979C8" w:rsidRPr="00640D24">
        <w:rPr>
          <w:rFonts w:cs="Times New Roman"/>
          <w:sz w:val="22"/>
          <w:szCs w:val="22"/>
        </w:rPr>
        <w:t xml:space="preserve">opa“, o taip pat prie </w:t>
      </w:r>
      <w:r w:rsidR="001B598E" w:rsidRPr="00640D24">
        <w:rPr>
          <w:rFonts w:cs="Times New Roman"/>
          <w:sz w:val="22"/>
          <w:szCs w:val="22"/>
        </w:rPr>
        <w:t xml:space="preserve">NP </w:t>
      </w:r>
      <w:r w:rsidRPr="00640D24">
        <w:rPr>
          <w:rFonts w:cs="Times New Roman"/>
          <w:sz w:val="22"/>
          <w:szCs w:val="22"/>
        </w:rPr>
        <w:t>p</w:t>
      </w:r>
      <w:r w:rsidR="005979C8" w:rsidRPr="00640D24">
        <w:rPr>
          <w:rFonts w:cs="Times New Roman"/>
          <w:sz w:val="22"/>
          <w:szCs w:val="22"/>
        </w:rPr>
        <w:t>lano I</w:t>
      </w:r>
      <w:r w:rsidR="00645085" w:rsidRPr="00640D24">
        <w:rPr>
          <w:rFonts w:cs="Times New Roman"/>
          <w:sz w:val="22"/>
          <w:szCs w:val="22"/>
        </w:rPr>
        <w:t>–</w:t>
      </w:r>
      <w:proofErr w:type="spellStart"/>
      <w:r w:rsidR="005979C8" w:rsidRPr="00640D24">
        <w:rPr>
          <w:rFonts w:cs="Times New Roman"/>
          <w:sz w:val="22"/>
          <w:szCs w:val="22"/>
        </w:rPr>
        <w:t>ojo</w:t>
      </w:r>
      <w:proofErr w:type="spellEnd"/>
      <w:r w:rsidR="005979C8" w:rsidRPr="00640D24">
        <w:rPr>
          <w:rFonts w:cs="Times New Roman"/>
          <w:sz w:val="22"/>
          <w:szCs w:val="22"/>
        </w:rPr>
        <w:t xml:space="preserve"> strateginio tikslo. </w:t>
      </w:r>
    </w:p>
    <w:p w14:paraId="4A87DC95" w14:textId="42821663" w:rsidR="00E45A8D" w:rsidRPr="00640D24" w:rsidRDefault="00943747" w:rsidP="002A24FE">
      <w:pPr>
        <w:pStyle w:val="Antrat4"/>
        <w:spacing w:before="120"/>
      </w:pPr>
      <w:r w:rsidRPr="00640D24">
        <w:t>MTEP vykdym</w:t>
      </w:r>
      <w:r w:rsidR="00103B21" w:rsidRPr="00640D24">
        <w:t>as</w:t>
      </w:r>
      <w:r w:rsidRPr="00640D24">
        <w:t xml:space="preserve"> </w:t>
      </w:r>
    </w:p>
    <w:p w14:paraId="592629DA" w14:textId="283E2FC4" w:rsidR="00E45A8D" w:rsidRPr="00640D24" w:rsidRDefault="00E45A8D" w:rsidP="00170B5F">
      <w:pPr>
        <w:spacing w:before="60" w:after="60" w:line="240" w:lineRule="auto"/>
        <w:ind w:firstLine="567"/>
        <w:jc w:val="both"/>
        <w:rPr>
          <w:rFonts w:cs="Times New Roman"/>
          <w:sz w:val="22"/>
          <w:szCs w:val="22"/>
        </w:rPr>
      </w:pPr>
      <w:r w:rsidRPr="00640D24">
        <w:rPr>
          <w:rFonts w:cs="Times New Roman"/>
          <w:sz w:val="22"/>
          <w:szCs w:val="22"/>
        </w:rPr>
        <w:t xml:space="preserve">Lietuva, norėdama išlikti konkurencinga globalioje ekonomikoje, turi didinti savo inovacinį potencialą ir efektyvumą bei skatinti steigtis ir plėstis technologijas </w:t>
      </w:r>
      <w:r w:rsidR="002E109E" w:rsidRPr="00640D24">
        <w:rPr>
          <w:rFonts w:cs="Times New Roman"/>
          <w:sz w:val="22"/>
          <w:szCs w:val="22"/>
        </w:rPr>
        <w:t xml:space="preserve">vystančias </w:t>
      </w:r>
      <w:r w:rsidRPr="00640D24">
        <w:rPr>
          <w:rFonts w:cs="Times New Roman"/>
          <w:sz w:val="22"/>
          <w:szCs w:val="22"/>
        </w:rPr>
        <w:t>ir inovacijas kuriančias įmones. Globaliame kontekste, Lietuva atsilieka nuo inovacijų</w:t>
      </w:r>
      <w:r w:rsidR="00023650" w:rsidRPr="00640D24">
        <w:rPr>
          <w:rFonts w:cs="Times New Roman"/>
          <w:sz w:val="22"/>
          <w:szCs w:val="22"/>
        </w:rPr>
        <w:t xml:space="preserve"> </w:t>
      </w:r>
      <w:r w:rsidRPr="00640D24">
        <w:rPr>
          <w:rFonts w:cs="Times New Roman"/>
          <w:sz w:val="22"/>
          <w:szCs w:val="22"/>
        </w:rPr>
        <w:t>lyderių šalių.</w:t>
      </w:r>
      <w:r w:rsidR="00F31A2D" w:rsidRPr="00640D24">
        <w:rPr>
          <w:rFonts w:cs="Times New Roman"/>
          <w:sz w:val="22"/>
          <w:szCs w:val="22"/>
        </w:rPr>
        <w:t xml:space="preserve"> </w:t>
      </w:r>
      <w:r w:rsidR="00C664AC" w:rsidRPr="00640D24">
        <w:rPr>
          <w:rFonts w:cs="Times New Roman"/>
          <w:sz w:val="22"/>
          <w:szCs w:val="22"/>
        </w:rPr>
        <w:t>Eur</w:t>
      </w:r>
      <w:r w:rsidR="00686E12" w:rsidRPr="00640D24">
        <w:rPr>
          <w:rFonts w:cs="Times New Roman"/>
          <w:sz w:val="22"/>
          <w:szCs w:val="22"/>
        </w:rPr>
        <w:t>opos inovacijų švieslent</w:t>
      </w:r>
      <w:r w:rsidR="00231EBF" w:rsidRPr="00640D24">
        <w:rPr>
          <w:rFonts w:cs="Times New Roman"/>
          <w:sz w:val="22"/>
          <w:szCs w:val="22"/>
        </w:rPr>
        <w:t>ė</w:t>
      </w:r>
      <w:r w:rsidR="00682135" w:rsidRPr="00640D24">
        <w:rPr>
          <w:rFonts w:cs="Times New Roman"/>
          <w:sz w:val="22"/>
          <w:szCs w:val="22"/>
        </w:rPr>
        <w:t xml:space="preserve"> </w:t>
      </w:r>
      <w:r w:rsidRPr="00640D24">
        <w:rPr>
          <w:rFonts w:cs="Times New Roman"/>
          <w:sz w:val="22"/>
          <w:szCs w:val="22"/>
        </w:rPr>
        <w:t>rodo, kad viena iš sričių, kuriai Lietuva turėtų skirti dėmesio</w:t>
      </w:r>
      <w:r w:rsidR="001B598E" w:rsidRPr="00640D24">
        <w:rPr>
          <w:rFonts w:cs="Times New Roman"/>
          <w:sz w:val="22"/>
          <w:szCs w:val="22"/>
        </w:rPr>
        <w:t>,</w:t>
      </w:r>
      <w:r w:rsidRPr="00640D24">
        <w:rPr>
          <w:rFonts w:cs="Times New Roman"/>
          <w:sz w:val="22"/>
          <w:szCs w:val="22"/>
        </w:rPr>
        <w:t xml:space="preserve"> yra inovacijų našumas ir efektyvumas (idėjų</w:t>
      </w:r>
      <w:r w:rsidR="00D16DE4" w:rsidRPr="00640D24">
        <w:rPr>
          <w:rFonts w:cs="Times New Roman"/>
          <w:sz w:val="22"/>
          <w:szCs w:val="22"/>
        </w:rPr>
        <w:t xml:space="preserve"> (</w:t>
      </w:r>
      <w:r w:rsidRPr="00640D24">
        <w:rPr>
          <w:rFonts w:cs="Times New Roman"/>
          <w:sz w:val="22"/>
          <w:szCs w:val="22"/>
        </w:rPr>
        <w:t>prototipų</w:t>
      </w:r>
      <w:r w:rsidR="00D16DE4" w:rsidRPr="00640D24">
        <w:rPr>
          <w:rFonts w:cs="Times New Roman"/>
          <w:sz w:val="22"/>
          <w:szCs w:val="22"/>
        </w:rPr>
        <w:t>)</w:t>
      </w:r>
      <w:r w:rsidRPr="00640D24">
        <w:rPr>
          <w:rFonts w:cs="Times New Roman"/>
          <w:sz w:val="22"/>
          <w:szCs w:val="22"/>
        </w:rPr>
        <w:t xml:space="preserve"> </w:t>
      </w:r>
      <w:proofErr w:type="spellStart"/>
      <w:r w:rsidR="0023250F" w:rsidRPr="00640D24">
        <w:rPr>
          <w:rFonts w:cs="Times New Roman"/>
          <w:sz w:val="22"/>
          <w:szCs w:val="22"/>
        </w:rPr>
        <w:t>komercinimas</w:t>
      </w:r>
      <w:proofErr w:type="spellEnd"/>
      <w:r w:rsidRPr="00640D24">
        <w:rPr>
          <w:rFonts w:cs="Times New Roman"/>
          <w:sz w:val="22"/>
          <w:szCs w:val="22"/>
        </w:rPr>
        <w:t>; nauj</w:t>
      </w:r>
      <w:r w:rsidR="00CF178B" w:rsidRPr="00640D24">
        <w:rPr>
          <w:rFonts w:cs="Times New Roman"/>
          <w:sz w:val="22"/>
          <w:szCs w:val="22"/>
        </w:rPr>
        <w:t>ų</w:t>
      </w:r>
      <w:r w:rsidRPr="00640D24">
        <w:rPr>
          <w:rFonts w:cs="Times New Roman"/>
          <w:sz w:val="22"/>
          <w:szCs w:val="22"/>
        </w:rPr>
        <w:t xml:space="preserve"> produkt</w:t>
      </w:r>
      <w:r w:rsidR="00CF178B" w:rsidRPr="00640D24">
        <w:rPr>
          <w:rFonts w:cs="Times New Roman"/>
          <w:sz w:val="22"/>
          <w:szCs w:val="22"/>
        </w:rPr>
        <w:t>ų</w:t>
      </w:r>
      <w:r w:rsidRPr="00640D24">
        <w:rPr>
          <w:rFonts w:cs="Times New Roman"/>
          <w:sz w:val="22"/>
          <w:szCs w:val="22"/>
        </w:rPr>
        <w:t xml:space="preserve"> patek</w:t>
      </w:r>
      <w:r w:rsidR="00CF178B" w:rsidRPr="00640D24">
        <w:rPr>
          <w:rFonts w:cs="Times New Roman"/>
          <w:sz w:val="22"/>
          <w:szCs w:val="22"/>
        </w:rPr>
        <w:t>imas</w:t>
      </w:r>
      <w:r w:rsidRPr="00640D24">
        <w:rPr>
          <w:rFonts w:cs="Times New Roman"/>
          <w:sz w:val="22"/>
          <w:szCs w:val="22"/>
        </w:rPr>
        <w:t xml:space="preserve"> į rinką; privačių ir valstybės investicijų grąžos didėjimas). Tiek </w:t>
      </w:r>
      <w:r w:rsidR="00F31A2D" w:rsidRPr="00640D24">
        <w:rPr>
          <w:rFonts w:cs="Times New Roman"/>
          <w:sz w:val="22"/>
          <w:szCs w:val="22"/>
        </w:rPr>
        <w:t>2021</w:t>
      </w:r>
      <w:r w:rsidR="005A46AE" w:rsidRPr="00640D24">
        <w:rPr>
          <w:rFonts w:cs="Times New Roman"/>
          <w:sz w:val="22"/>
          <w:szCs w:val="22"/>
        </w:rPr>
        <w:t>–</w:t>
      </w:r>
      <w:r w:rsidR="00F31A2D" w:rsidRPr="00640D24">
        <w:rPr>
          <w:rFonts w:cs="Times New Roman"/>
          <w:sz w:val="22"/>
          <w:szCs w:val="22"/>
        </w:rPr>
        <w:t xml:space="preserve">2027 m. </w:t>
      </w:r>
      <w:r w:rsidR="007250A5" w:rsidRPr="00640D24">
        <w:rPr>
          <w:rFonts w:cs="Times New Roman"/>
          <w:sz w:val="22"/>
          <w:szCs w:val="22"/>
        </w:rPr>
        <w:t>p</w:t>
      </w:r>
      <w:r w:rsidRPr="00640D24">
        <w:rPr>
          <w:rFonts w:cs="Times New Roman"/>
          <w:sz w:val="22"/>
          <w:szCs w:val="22"/>
        </w:rPr>
        <w:t xml:space="preserve">rogramoje, tiek NP </w:t>
      </w:r>
      <w:r w:rsidR="00C664AC" w:rsidRPr="00640D24">
        <w:rPr>
          <w:rFonts w:cs="Times New Roman"/>
          <w:sz w:val="22"/>
          <w:szCs w:val="22"/>
        </w:rPr>
        <w:t>p</w:t>
      </w:r>
      <w:r w:rsidRPr="00640D24">
        <w:rPr>
          <w:rFonts w:cs="Times New Roman"/>
          <w:sz w:val="22"/>
          <w:szCs w:val="22"/>
        </w:rPr>
        <w:t>lane yra identifikuoti siektini rodikliai, kurie rodo investicijų poreikį MTEP veikloms. Perėjimas į aukšta pridėtine verte grįstą ekonomiką padėtų paspartinti našumo augimą ir mažinti atotrūkį nuo ES vidurkio.</w:t>
      </w:r>
      <w:r w:rsidR="00F31A2D" w:rsidRPr="00640D24">
        <w:rPr>
          <w:rStyle w:val="Puslapioinaosnuoroda"/>
          <w:rFonts w:cs="Times New Roman"/>
          <w:sz w:val="22"/>
          <w:szCs w:val="22"/>
        </w:rPr>
        <w:footnoteReference w:id="23"/>
      </w:r>
    </w:p>
    <w:p w14:paraId="2820755A" w14:textId="5EF29686" w:rsidR="00682135" w:rsidRPr="00640D24" w:rsidRDefault="00F31A2D" w:rsidP="00170B5F">
      <w:pPr>
        <w:spacing w:before="60" w:after="60" w:line="240" w:lineRule="auto"/>
        <w:ind w:firstLine="567"/>
        <w:jc w:val="both"/>
        <w:rPr>
          <w:rFonts w:cs="Times New Roman"/>
          <w:sz w:val="22"/>
          <w:szCs w:val="22"/>
        </w:rPr>
      </w:pPr>
      <w:r w:rsidRPr="00640D24">
        <w:rPr>
          <w:rFonts w:cs="Times New Roman"/>
          <w:sz w:val="22"/>
          <w:szCs w:val="22"/>
        </w:rPr>
        <w:t>2021</w:t>
      </w:r>
      <w:r w:rsidR="00376FD2" w:rsidRPr="00640D24">
        <w:rPr>
          <w:rFonts w:cs="Times New Roman"/>
          <w:sz w:val="22"/>
          <w:szCs w:val="22"/>
        </w:rPr>
        <w:t>–</w:t>
      </w:r>
      <w:r w:rsidRPr="00640D24">
        <w:rPr>
          <w:rFonts w:cs="Times New Roman"/>
          <w:sz w:val="22"/>
          <w:szCs w:val="22"/>
        </w:rPr>
        <w:t>2027 m. p</w:t>
      </w:r>
      <w:r w:rsidR="00E45A8D" w:rsidRPr="00640D24">
        <w:rPr>
          <w:rFonts w:cs="Times New Roman"/>
          <w:sz w:val="22"/>
          <w:szCs w:val="22"/>
        </w:rPr>
        <w:t xml:space="preserve">rogramoje yra teigiama, </w:t>
      </w:r>
      <w:r w:rsidR="001B598E" w:rsidRPr="00640D24">
        <w:rPr>
          <w:rFonts w:cs="Times New Roman"/>
          <w:sz w:val="22"/>
          <w:szCs w:val="22"/>
        </w:rPr>
        <w:t>kad</w:t>
      </w:r>
      <w:r w:rsidR="00E45A8D" w:rsidRPr="00640D24">
        <w:rPr>
          <w:rFonts w:cs="Times New Roman"/>
          <w:sz w:val="22"/>
          <w:szCs w:val="22"/>
        </w:rPr>
        <w:t xml:space="preserve"> siekiant užtikrinti investicijų papildomumo principą, siūloma didžiąja dalimi finansavimą koncentruoti į MTEP</w:t>
      </w:r>
      <w:r w:rsidR="00CF09A0" w:rsidRPr="00640D24">
        <w:rPr>
          <w:rFonts w:cs="Times New Roman"/>
          <w:sz w:val="22"/>
          <w:szCs w:val="22"/>
        </w:rPr>
        <w:t>,</w:t>
      </w:r>
      <w:r w:rsidR="00E45A8D" w:rsidRPr="00640D24">
        <w:rPr>
          <w:rFonts w:cs="Times New Roman"/>
          <w:sz w:val="22"/>
          <w:szCs w:val="22"/>
        </w:rPr>
        <w:t xml:space="preserve"> </w:t>
      </w:r>
      <w:proofErr w:type="spellStart"/>
      <w:r w:rsidR="00E45A8D" w:rsidRPr="00640D24">
        <w:rPr>
          <w:rFonts w:cs="Times New Roman"/>
          <w:sz w:val="22"/>
          <w:szCs w:val="22"/>
        </w:rPr>
        <w:t>komercinamų</w:t>
      </w:r>
      <w:proofErr w:type="spellEnd"/>
      <w:r w:rsidR="00E45A8D" w:rsidRPr="00640D24">
        <w:rPr>
          <w:rFonts w:cs="Times New Roman"/>
          <w:sz w:val="22"/>
          <w:szCs w:val="22"/>
        </w:rPr>
        <w:t xml:space="preserve"> žinių kūrimą, perdavimą ir inovacijų diegimą, o fundamentinius tyrimus planuojama finansuoti iš </w:t>
      </w:r>
      <w:r w:rsidR="00070F20" w:rsidRPr="00640D24">
        <w:rPr>
          <w:rFonts w:cs="Times New Roman"/>
          <w:sz w:val="22"/>
          <w:szCs w:val="22"/>
        </w:rPr>
        <w:t>EGADP</w:t>
      </w:r>
      <w:r w:rsidR="00E45A8D" w:rsidRPr="00640D24">
        <w:rPr>
          <w:rFonts w:cs="Times New Roman"/>
          <w:sz w:val="22"/>
          <w:szCs w:val="22"/>
        </w:rPr>
        <w:t xml:space="preserve"> bei nacionalinių lėšų.</w:t>
      </w:r>
      <w:r w:rsidR="00231EBF" w:rsidRPr="00640D24">
        <w:rPr>
          <w:rFonts w:cs="Times New Roman"/>
          <w:sz w:val="22"/>
          <w:szCs w:val="22"/>
        </w:rPr>
        <w:t xml:space="preserve"> </w:t>
      </w:r>
    </w:p>
    <w:p w14:paraId="0042B96B" w14:textId="13A1BB5E" w:rsidR="002E7A14" w:rsidRPr="00640D24" w:rsidRDefault="00404E80" w:rsidP="00170B5F">
      <w:pPr>
        <w:spacing w:before="60" w:after="60" w:line="240" w:lineRule="auto"/>
        <w:ind w:firstLine="567"/>
        <w:jc w:val="both"/>
        <w:rPr>
          <w:rFonts w:cs="Times New Roman"/>
          <w:sz w:val="22"/>
          <w:szCs w:val="22"/>
        </w:rPr>
      </w:pPr>
      <w:proofErr w:type="spellStart"/>
      <w:r w:rsidRPr="00640D24">
        <w:rPr>
          <w:rFonts w:cs="Times New Roman"/>
          <w:sz w:val="22"/>
          <w:szCs w:val="22"/>
        </w:rPr>
        <w:t>Ex</w:t>
      </w:r>
      <w:proofErr w:type="spellEnd"/>
      <w:r w:rsidRPr="00640D24">
        <w:rPr>
          <w:rFonts w:cs="Times New Roman"/>
          <w:sz w:val="22"/>
          <w:szCs w:val="22"/>
        </w:rPr>
        <w:t xml:space="preserve"> </w:t>
      </w:r>
      <w:proofErr w:type="spellStart"/>
      <w:r w:rsidRPr="00640D24">
        <w:rPr>
          <w:rFonts w:cs="Times New Roman"/>
          <w:sz w:val="22"/>
          <w:szCs w:val="22"/>
        </w:rPr>
        <w:t>ante</w:t>
      </w:r>
      <w:proofErr w:type="spellEnd"/>
      <w:r w:rsidRPr="00640D24">
        <w:rPr>
          <w:rFonts w:cs="Times New Roman"/>
          <w:sz w:val="22"/>
          <w:szCs w:val="22"/>
        </w:rPr>
        <w:t xml:space="preserve"> bei apklausų atlikimo metu</w:t>
      </w:r>
      <w:r w:rsidR="00F31A2D" w:rsidRPr="00640D24">
        <w:rPr>
          <w:rFonts w:cs="Times New Roman"/>
          <w:sz w:val="22"/>
          <w:szCs w:val="22"/>
        </w:rPr>
        <w:t xml:space="preserve"> v</w:t>
      </w:r>
      <w:r w:rsidR="00231EBF" w:rsidRPr="00640D24">
        <w:rPr>
          <w:rFonts w:cs="Times New Roman"/>
          <w:sz w:val="22"/>
          <w:szCs w:val="22"/>
        </w:rPr>
        <w:t>erslo MTEP investicijos dominuoja Sostinės regione (70 proc.), kuris ženkliai viršija kitų regionų rezultatus pagal sukuriamą vertę (BVP rodiklius)</w:t>
      </w:r>
      <w:r w:rsidR="00682135" w:rsidRPr="00640D24">
        <w:rPr>
          <w:rFonts w:cs="Times New Roman"/>
          <w:sz w:val="22"/>
          <w:szCs w:val="22"/>
        </w:rPr>
        <w:t>.</w:t>
      </w:r>
      <w:r w:rsidR="00231EBF" w:rsidRPr="00640D24">
        <w:rPr>
          <w:rFonts w:cs="Times New Roman"/>
          <w:sz w:val="22"/>
          <w:szCs w:val="22"/>
        </w:rPr>
        <w:t xml:space="preserve"> </w:t>
      </w:r>
      <w:r w:rsidR="00682135" w:rsidRPr="00640D24">
        <w:rPr>
          <w:rFonts w:cs="Times New Roman"/>
          <w:sz w:val="22"/>
          <w:szCs w:val="22"/>
        </w:rPr>
        <w:t xml:space="preserve">Poreikių žemėlapio ataskaitoje teigiama, kad </w:t>
      </w:r>
      <w:r w:rsidR="00231EBF" w:rsidRPr="00640D24">
        <w:rPr>
          <w:rFonts w:cs="Times New Roman"/>
          <w:sz w:val="22"/>
          <w:szCs w:val="22"/>
        </w:rPr>
        <w:t xml:space="preserve">MTEP vykdymui Sostinės regione turėtų atsirasti daugiau įmonių poreikius </w:t>
      </w:r>
      <w:r w:rsidR="00231EBF" w:rsidRPr="00640D24">
        <w:rPr>
          <w:rFonts w:cs="Times New Roman"/>
          <w:sz w:val="22"/>
          <w:szCs w:val="22"/>
        </w:rPr>
        <w:lastRenderedPageBreak/>
        <w:t>atitinkančių finansavimo modelių, užtikrinančių finansinių šaltinių prieinamumą</w:t>
      </w:r>
      <w:r w:rsidR="00682135" w:rsidRPr="00640D24">
        <w:rPr>
          <w:rStyle w:val="Puslapioinaosnuoroda"/>
          <w:rFonts w:cs="Times New Roman"/>
          <w:sz w:val="22"/>
          <w:szCs w:val="22"/>
        </w:rPr>
        <w:footnoteReference w:id="24"/>
      </w:r>
      <w:r w:rsidR="00682135" w:rsidRPr="00640D24">
        <w:rPr>
          <w:rFonts w:cs="Times New Roman"/>
          <w:sz w:val="22"/>
          <w:szCs w:val="22"/>
        </w:rPr>
        <w:t>.</w:t>
      </w:r>
      <w:r w:rsidR="00C30A0B" w:rsidRPr="00640D24">
        <w:rPr>
          <w:rFonts w:cs="Times New Roman"/>
          <w:sz w:val="22"/>
          <w:szCs w:val="22"/>
        </w:rPr>
        <w:t xml:space="preserve"> Sostinės regiono galimybės pritraukti investicijas ir žmogiškąjį kapitalą yra išskiriam</w:t>
      </w:r>
      <w:r w:rsidR="00CF178B" w:rsidRPr="00640D24">
        <w:rPr>
          <w:rFonts w:cs="Times New Roman"/>
          <w:sz w:val="22"/>
          <w:szCs w:val="22"/>
        </w:rPr>
        <w:t>os</w:t>
      </w:r>
      <w:r w:rsidR="00C30A0B" w:rsidRPr="00640D24">
        <w:rPr>
          <w:rFonts w:cs="Times New Roman"/>
          <w:sz w:val="22"/>
          <w:szCs w:val="22"/>
        </w:rPr>
        <w:t xml:space="preserve"> ir 2014</w:t>
      </w:r>
      <w:r w:rsidR="00376FD2" w:rsidRPr="00640D24">
        <w:rPr>
          <w:rFonts w:cs="Times New Roman"/>
          <w:sz w:val="22"/>
          <w:szCs w:val="22"/>
        </w:rPr>
        <w:t>–</w:t>
      </w:r>
      <w:r w:rsidR="00C30A0B" w:rsidRPr="00640D24">
        <w:rPr>
          <w:rFonts w:cs="Times New Roman"/>
          <w:sz w:val="22"/>
          <w:szCs w:val="22"/>
        </w:rPr>
        <w:t>2020 m. ES fondų investicijų veiksmų programos prioriteto „Mokslinių tyrimų, eksperimentinės plėtros ir inovacijų skatinimas“ poveikio vertinime. Atliktame vertinime pabrėžiama, kad Sostinės regionas turi stipriausius absorbcinius pajėgumus</w:t>
      </w:r>
      <w:r w:rsidR="005F308C" w:rsidRPr="00640D24">
        <w:rPr>
          <w:rFonts w:cs="Times New Roman"/>
          <w:sz w:val="22"/>
          <w:szCs w:val="22"/>
        </w:rPr>
        <w:t xml:space="preserve"> (vieną iš svarbiausių investicijų sėkmės veiksnių)</w:t>
      </w:r>
      <w:r w:rsidR="00C30A0B" w:rsidRPr="00640D24">
        <w:rPr>
          <w:rFonts w:cs="Times New Roman"/>
          <w:sz w:val="22"/>
          <w:szCs w:val="22"/>
        </w:rPr>
        <w:t xml:space="preserve"> pasinaudoti inovacijų skatinimui skiriamomis investicijomis.</w:t>
      </w:r>
      <w:r w:rsidR="00C30A0B" w:rsidRPr="00640D24">
        <w:rPr>
          <w:rStyle w:val="Puslapioinaosnuoroda"/>
          <w:rFonts w:cs="Times New Roman"/>
          <w:sz w:val="22"/>
          <w:szCs w:val="22"/>
        </w:rPr>
        <w:footnoteReference w:id="25"/>
      </w:r>
      <w:r w:rsidR="002E7A14" w:rsidRPr="00640D24">
        <w:rPr>
          <w:rFonts w:cs="Times New Roman"/>
          <w:sz w:val="22"/>
          <w:szCs w:val="22"/>
        </w:rPr>
        <w:t xml:space="preserve"> </w:t>
      </w:r>
      <w:r w:rsidR="0056572E" w:rsidRPr="00640D24">
        <w:rPr>
          <w:rFonts w:cs="Times New Roman"/>
          <w:sz w:val="22"/>
          <w:szCs w:val="22"/>
        </w:rPr>
        <w:t xml:space="preserve">Atsižvelgiant į didelę MTEP investicijų koncentraciją Sostinės regione yra matomas didelis poreikis MTEP veiklų finansavimui. </w:t>
      </w:r>
      <w:r w:rsidR="002E7A14" w:rsidRPr="00640D24">
        <w:rPr>
          <w:rFonts w:cs="Times New Roman"/>
          <w:sz w:val="22"/>
          <w:szCs w:val="22"/>
        </w:rPr>
        <w:t>Finansavimas šioje srityje tiesiogiai prisidės prie 2021</w:t>
      </w:r>
      <w:r w:rsidR="005A46AE" w:rsidRPr="00640D24">
        <w:rPr>
          <w:rFonts w:cs="Times New Roman"/>
          <w:sz w:val="22"/>
          <w:szCs w:val="22"/>
        </w:rPr>
        <w:t>–</w:t>
      </w:r>
      <w:r w:rsidR="002E7A14" w:rsidRPr="00640D24">
        <w:rPr>
          <w:rFonts w:cs="Times New Roman"/>
          <w:sz w:val="22"/>
          <w:szCs w:val="22"/>
        </w:rPr>
        <w:t xml:space="preserve">2027 m. programos pirmojo politikos tikslo „Pažangesnė </w:t>
      </w:r>
      <w:r w:rsidR="00C664AC" w:rsidRPr="00640D24">
        <w:rPr>
          <w:rFonts w:cs="Times New Roman"/>
          <w:sz w:val="22"/>
          <w:szCs w:val="22"/>
        </w:rPr>
        <w:t>Eur</w:t>
      </w:r>
      <w:r w:rsidR="002E7A14" w:rsidRPr="00640D24">
        <w:rPr>
          <w:rFonts w:cs="Times New Roman"/>
          <w:sz w:val="22"/>
          <w:szCs w:val="22"/>
        </w:rPr>
        <w:t xml:space="preserve">opa“, o taip pat prie NP </w:t>
      </w:r>
      <w:r w:rsidR="00C664AC" w:rsidRPr="00640D24">
        <w:rPr>
          <w:rFonts w:cs="Times New Roman"/>
          <w:sz w:val="22"/>
          <w:szCs w:val="22"/>
        </w:rPr>
        <w:t>p</w:t>
      </w:r>
      <w:r w:rsidR="002E7A14" w:rsidRPr="00640D24">
        <w:rPr>
          <w:rFonts w:cs="Times New Roman"/>
          <w:sz w:val="22"/>
          <w:szCs w:val="22"/>
        </w:rPr>
        <w:t>lano I</w:t>
      </w:r>
      <w:r w:rsidR="00645085" w:rsidRPr="00640D24">
        <w:rPr>
          <w:rFonts w:cs="Times New Roman"/>
          <w:sz w:val="22"/>
          <w:szCs w:val="22"/>
        </w:rPr>
        <w:t>–</w:t>
      </w:r>
      <w:proofErr w:type="spellStart"/>
      <w:r w:rsidR="002E7A14" w:rsidRPr="00640D24">
        <w:rPr>
          <w:rFonts w:cs="Times New Roman"/>
          <w:sz w:val="22"/>
          <w:szCs w:val="22"/>
        </w:rPr>
        <w:t>ojo</w:t>
      </w:r>
      <w:proofErr w:type="spellEnd"/>
      <w:r w:rsidR="002E7A14" w:rsidRPr="00640D24">
        <w:rPr>
          <w:rFonts w:cs="Times New Roman"/>
          <w:sz w:val="22"/>
          <w:szCs w:val="22"/>
        </w:rPr>
        <w:t xml:space="preserve"> strateginio tikslo. </w:t>
      </w:r>
    </w:p>
    <w:p w14:paraId="1ACFE86F" w14:textId="54B95BAA" w:rsidR="00D72C0A" w:rsidRPr="00640D24" w:rsidRDefault="00A93202" w:rsidP="007E5DB7">
      <w:pPr>
        <w:pStyle w:val="Antrat4"/>
        <w:spacing w:before="120"/>
        <w:jc w:val="both"/>
      </w:pPr>
      <w:r w:rsidRPr="00640D24">
        <w:t>Pramonės įmonių</w:t>
      </w:r>
      <w:r w:rsidR="00D72C0A" w:rsidRPr="00640D24">
        <w:t xml:space="preserve"> transformacijos skatinim</w:t>
      </w:r>
      <w:r w:rsidR="00E306DD" w:rsidRPr="00640D24">
        <w:t>as</w:t>
      </w:r>
      <w:r w:rsidR="00D72C0A" w:rsidRPr="00640D24">
        <w:t xml:space="preserve"> (technologinių inovacijų diegim</w:t>
      </w:r>
      <w:r w:rsidR="00E306DD" w:rsidRPr="00640D24">
        <w:t>as</w:t>
      </w:r>
      <w:r w:rsidR="00D72C0A" w:rsidRPr="00640D24">
        <w:t>)</w:t>
      </w:r>
      <w:r w:rsidR="00B42E9B" w:rsidRPr="00640D24">
        <w:t xml:space="preserve"> </w:t>
      </w:r>
    </w:p>
    <w:p w14:paraId="3514A465" w14:textId="12F249C8" w:rsidR="00D72C0A" w:rsidRPr="00640D24" w:rsidRDefault="00023650" w:rsidP="00170B5F">
      <w:pPr>
        <w:spacing w:before="60" w:after="60" w:line="240" w:lineRule="auto"/>
        <w:ind w:firstLine="567"/>
        <w:jc w:val="both"/>
        <w:rPr>
          <w:rFonts w:cs="Times New Roman"/>
          <w:sz w:val="22"/>
          <w:szCs w:val="20"/>
        </w:rPr>
      </w:pPr>
      <w:r w:rsidRPr="00640D24">
        <w:rPr>
          <w:rFonts w:cs="Times New Roman"/>
          <w:sz w:val="22"/>
          <w:szCs w:val="20"/>
        </w:rPr>
        <w:t>NEKSVP</w:t>
      </w:r>
      <w:r w:rsidR="00D72C0A" w:rsidRPr="00640D24">
        <w:rPr>
          <w:rStyle w:val="Puslapioinaosnuoroda"/>
          <w:rFonts w:cs="Times New Roman"/>
          <w:sz w:val="22"/>
          <w:szCs w:val="20"/>
        </w:rPr>
        <w:footnoteReference w:id="26"/>
      </w:r>
      <w:r w:rsidR="00D72C0A" w:rsidRPr="00640D24">
        <w:rPr>
          <w:rFonts w:cs="Times New Roman"/>
          <w:sz w:val="22"/>
          <w:szCs w:val="20"/>
        </w:rPr>
        <w:t xml:space="preserve"> nurodoma, kad pramonė yra vienas iš trijų ūkio sektorių, kurie išmeta daugiausiai šiltnamio efektą sukeliančių dujų (toliau – ŠESD). NEKSVP taip pat teigiama, kad pramonė, kartu su transportu ir pastatais, turi didžiausią potencialą energijos efektyvumo didinimui.</w:t>
      </w:r>
    </w:p>
    <w:p w14:paraId="73F39626" w14:textId="21568198" w:rsidR="00D72C0A" w:rsidRPr="00640D24" w:rsidRDefault="00CB5423" w:rsidP="00170B5F">
      <w:pPr>
        <w:spacing w:before="60" w:after="60" w:line="240" w:lineRule="auto"/>
        <w:ind w:firstLine="567"/>
        <w:jc w:val="both"/>
        <w:rPr>
          <w:rFonts w:cs="Times New Roman"/>
          <w:sz w:val="22"/>
          <w:szCs w:val="20"/>
        </w:rPr>
      </w:pPr>
      <w:r w:rsidRPr="00640D24">
        <w:rPr>
          <w:rFonts w:cs="Times New Roman"/>
          <w:sz w:val="22"/>
          <w:szCs w:val="20"/>
        </w:rPr>
        <w:t>V</w:t>
      </w:r>
      <w:r w:rsidR="00D72C0A" w:rsidRPr="00640D24">
        <w:rPr>
          <w:rFonts w:cs="Times New Roman"/>
          <w:sz w:val="22"/>
          <w:szCs w:val="20"/>
        </w:rPr>
        <w:t xml:space="preserve">iena iš poveikio klimatui neutralizavimo </w:t>
      </w:r>
      <w:r w:rsidR="0071729B" w:rsidRPr="00640D24">
        <w:rPr>
          <w:rFonts w:cs="Times New Roman"/>
          <w:sz w:val="22"/>
          <w:szCs w:val="20"/>
        </w:rPr>
        <w:t>krypčių </w:t>
      </w:r>
      <w:r w:rsidR="00D72C0A" w:rsidRPr="00640D24">
        <w:rPr>
          <w:rFonts w:cs="Times New Roman"/>
          <w:sz w:val="22"/>
          <w:szCs w:val="20"/>
        </w:rPr>
        <w:t>– investicijos į inovacijas pramonėje</w:t>
      </w:r>
      <w:r w:rsidRPr="00640D24">
        <w:rPr>
          <w:rStyle w:val="Puslapioinaosnuoroda"/>
          <w:rFonts w:cs="Times New Roman"/>
          <w:sz w:val="22"/>
          <w:szCs w:val="20"/>
        </w:rPr>
        <w:footnoteReference w:id="27"/>
      </w:r>
      <w:r w:rsidR="00D72C0A" w:rsidRPr="00640D24">
        <w:rPr>
          <w:rFonts w:cs="Times New Roman"/>
          <w:sz w:val="22"/>
          <w:szCs w:val="20"/>
        </w:rPr>
        <w:t>. Siekiant žiedinės ekonomikos tikslų, svarbu užtikrinti efektyvų išteklių naudojimą, tačiau Lietuvoje išteklių produktyvumo rodiklis vis dar gerokai mažesnis už ES vidurkį. Didinti išteklių našumą galėtų padėti ekologinės inovacijos</w:t>
      </w:r>
      <w:r w:rsidR="00C72411" w:rsidRPr="00640D24">
        <w:rPr>
          <w:rFonts w:cs="Times New Roman"/>
          <w:sz w:val="22"/>
          <w:szCs w:val="20"/>
        </w:rPr>
        <w:t xml:space="preserve"> –</w:t>
      </w:r>
      <w:r w:rsidR="00D72C0A" w:rsidRPr="00640D24">
        <w:rPr>
          <w:rFonts w:cs="Times New Roman"/>
          <w:sz w:val="22"/>
          <w:szCs w:val="20"/>
        </w:rPr>
        <w:t xml:space="preserve"> šioje srityje Lietuva </w:t>
      </w:r>
      <w:r w:rsidR="00C72411" w:rsidRPr="00640D24">
        <w:rPr>
          <w:rFonts w:cs="Times New Roman"/>
          <w:sz w:val="22"/>
          <w:szCs w:val="20"/>
        </w:rPr>
        <w:t>kol</w:t>
      </w:r>
      <w:r w:rsidR="00CD129B" w:rsidRPr="00640D24">
        <w:rPr>
          <w:rFonts w:cs="Times New Roman"/>
          <w:sz w:val="22"/>
          <w:szCs w:val="20"/>
        </w:rPr>
        <w:t xml:space="preserve"> </w:t>
      </w:r>
      <w:r w:rsidR="00C72411" w:rsidRPr="00640D24">
        <w:rPr>
          <w:rFonts w:cs="Times New Roman"/>
          <w:sz w:val="22"/>
          <w:szCs w:val="20"/>
        </w:rPr>
        <w:t>kas</w:t>
      </w:r>
      <w:r w:rsidR="00D72C0A" w:rsidRPr="00640D24">
        <w:rPr>
          <w:rFonts w:cs="Times New Roman"/>
          <w:sz w:val="22"/>
          <w:szCs w:val="20"/>
        </w:rPr>
        <w:t xml:space="preserve"> atsilieka nuo ES vidurkio</w:t>
      </w:r>
      <w:r w:rsidR="00C72411" w:rsidRPr="00640D24">
        <w:rPr>
          <w:rFonts w:cs="Times New Roman"/>
          <w:sz w:val="22"/>
          <w:szCs w:val="20"/>
        </w:rPr>
        <w:t>.</w:t>
      </w:r>
      <w:r w:rsidR="00D72C0A" w:rsidRPr="00640D24">
        <w:rPr>
          <w:rFonts w:cs="Times New Roman"/>
          <w:sz w:val="22"/>
          <w:szCs w:val="20"/>
          <w:vertAlign w:val="superscript"/>
        </w:rPr>
        <w:footnoteReference w:id="28"/>
      </w:r>
    </w:p>
    <w:p w14:paraId="62D41960" w14:textId="77777777" w:rsidR="00D72C0A" w:rsidRPr="00640D24" w:rsidRDefault="00D72C0A" w:rsidP="00170B5F">
      <w:pPr>
        <w:spacing w:before="60" w:after="60" w:line="240" w:lineRule="auto"/>
        <w:ind w:firstLine="567"/>
        <w:jc w:val="both"/>
        <w:rPr>
          <w:rFonts w:cs="Times New Roman"/>
          <w:sz w:val="22"/>
          <w:szCs w:val="20"/>
        </w:rPr>
      </w:pPr>
      <w:r w:rsidRPr="00640D24">
        <w:rPr>
          <w:rFonts w:cs="Times New Roman"/>
          <w:sz w:val="22"/>
          <w:szCs w:val="20"/>
        </w:rPr>
        <w:t xml:space="preserve">Lietuvos pramonė </w:t>
      </w:r>
      <w:r w:rsidR="00C72411" w:rsidRPr="00640D24">
        <w:rPr>
          <w:rFonts w:cs="Times New Roman"/>
          <w:sz w:val="22"/>
          <w:szCs w:val="20"/>
        </w:rPr>
        <w:t>susiduria su trimis pagrindiniais iššūkiais</w:t>
      </w:r>
      <w:r w:rsidRPr="00640D24">
        <w:rPr>
          <w:rFonts w:cs="Times New Roman"/>
          <w:sz w:val="22"/>
          <w:szCs w:val="20"/>
        </w:rPr>
        <w:t xml:space="preserve">: </w:t>
      </w:r>
    </w:p>
    <w:p w14:paraId="7DDE7587" w14:textId="77777777" w:rsidR="00D72C0A" w:rsidRPr="00640D24" w:rsidRDefault="00D72C0A" w:rsidP="004511EC">
      <w:pPr>
        <w:pStyle w:val="Sraopastraipa"/>
        <w:numPr>
          <w:ilvl w:val="0"/>
          <w:numId w:val="12"/>
        </w:numPr>
        <w:spacing w:before="60" w:after="60" w:line="240" w:lineRule="auto"/>
        <w:jc w:val="both"/>
        <w:rPr>
          <w:rFonts w:cs="Times New Roman"/>
          <w:sz w:val="22"/>
          <w:szCs w:val="20"/>
        </w:rPr>
      </w:pPr>
      <w:r w:rsidRPr="00640D24">
        <w:rPr>
          <w:rFonts w:cs="Times New Roman"/>
          <w:sz w:val="22"/>
          <w:szCs w:val="20"/>
        </w:rPr>
        <w:t>neišnaudoja</w:t>
      </w:r>
      <w:r w:rsidR="00C72411" w:rsidRPr="00640D24">
        <w:rPr>
          <w:rFonts w:cs="Times New Roman"/>
          <w:sz w:val="22"/>
          <w:szCs w:val="20"/>
        </w:rPr>
        <w:t>mas</w:t>
      </w:r>
      <w:r w:rsidRPr="00640D24">
        <w:rPr>
          <w:rFonts w:cs="Times New Roman"/>
          <w:sz w:val="22"/>
          <w:szCs w:val="20"/>
        </w:rPr>
        <w:t xml:space="preserve"> žiedinės ekonomikos klimato kaitą mažinančių technologijų (atliekų pakartotinio panaudojimo, perdirbimo ir antrinių žaliavų panaudojimo ir </w:t>
      </w:r>
      <w:proofErr w:type="spellStart"/>
      <w:r w:rsidRPr="00640D24">
        <w:rPr>
          <w:rFonts w:cs="Times New Roman"/>
          <w:sz w:val="22"/>
          <w:szCs w:val="20"/>
        </w:rPr>
        <w:t>beatliekinės</w:t>
      </w:r>
      <w:proofErr w:type="spellEnd"/>
      <w:r w:rsidRPr="00640D24">
        <w:rPr>
          <w:rFonts w:cs="Times New Roman"/>
          <w:sz w:val="22"/>
          <w:szCs w:val="20"/>
        </w:rPr>
        <w:t xml:space="preserve"> gamybos) teikiam</w:t>
      </w:r>
      <w:r w:rsidR="00C72411" w:rsidRPr="00640D24">
        <w:rPr>
          <w:rFonts w:cs="Times New Roman"/>
          <w:sz w:val="22"/>
          <w:szCs w:val="20"/>
        </w:rPr>
        <w:t>as</w:t>
      </w:r>
      <w:r w:rsidRPr="00640D24">
        <w:rPr>
          <w:rFonts w:cs="Times New Roman"/>
          <w:sz w:val="22"/>
          <w:szCs w:val="20"/>
        </w:rPr>
        <w:t xml:space="preserve"> potencial</w:t>
      </w:r>
      <w:r w:rsidR="00C72411" w:rsidRPr="00640D24">
        <w:rPr>
          <w:rFonts w:cs="Times New Roman"/>
          <w:sz w:val="22"/>
          <w:szCs w:val="20"/>
        </w:rPr>
        <w:t>as</w:t>
      </w:r>
      <w:r w:rsidRPr="00640D24">
        <w:rPr>
          <w:rFonts w:cs="Times New Roman"/>
          <w:sz w:val="22"/>
          <w:szCs w:val="20"/>
        </w:rPr>
        <w:t xml:space="preserve">, </w:t>
      </w:r>
    </w:p>
    <w:p w14:paraId="5A4FAD55" w14:textId="6E1A7ACF" w:rsidR="00D72C0A" w:rsidRPr="00640D24" w:rsidRDefault="00D72C0A" w:rsidP="004511EC">
      <w:pPr>
        <w:pStyle w:val="Sraopastraipa"/>
        <w:numPr>
          <w:ilvl w:val="0"/>
          <w:numId w:val="12"/>
        </w:numPr>
        <w:spacing w:before="60" w:after="60" w:line="240" w:lineRule="auto"/>
        <w:jc w:val="both"/>
        <w:rPr>
          <w:rFonts w:cs="Times New Roman"/>
          <w:sz w:val="22"/>
          <w:szCs w:val="20"/>
        </w:rPr>
      </w:pPr>
      <w:r w:rsidRPr="00640D24">
        <w:rPr>
          <w:rFonts w:cs="Times New Roman"/>
          <w:sz w:val="22"/>
          <w:szCs w:val="20"/>
        </w:rPr>
        <w:t>orientuoja</w:t>
      </w:r>
      <w:r w:rsidR="00C72411" w:rsidRPr="00640D24">
        <w:rPr>
          <w:rFonts w:cs="Times New Roman"/>
          <w:sz w:val="22"/>
          <w:szCs w:val="20"/>
        </w:rPr>
        <w:t>masi</w:t>
      </w:r>
      <w:r w:rsidRPr="00640D24">
        <w:rPr>
          <w:rFonts w:cs="Times New Roman"/>
          <w:sz w:val="22"/>
          <w:szCs w:val="20"/>
        </w:rPr>
        <w:t xml:space="preserve"> į žemos pridėtinės vertės užsakomąją gamybą bei ribotai</w:t>
      </w:r>
      <w:r w:rsidR="00705533" w:rsidRPr="00640D24">
        <w:rPr>
          <w:rFonts w:cs="Times New Roman"/>
          <w:sz w:val="22"/>
          <w:szCs w:val="20"/>
        </w:rPr>
        <w:t>,</w:t>
      </w:r>
      <w:r w:rsidRPr="00640D24">
        <w:rPr>
          <w:rFonts w:cs="Times New Roman"/>
          <w:sz w:val="22"/>
          <w:szCs w:val="20"/>
        </w:rPr>
        <w:t xml:space="preserve"> nepakankamai kuria</w:t>
      </w:r>
      <w:r w:rsidR="00C72411" w:rsidRPr="00640D24">
        <w:rPr>
          <w:rFonts w:cs="Times New Roman"/>
          <w:sz w:val="22"/>
          <w:szCs w:val="20"/>
        </w:rPr>
        <w:t>mos</w:t>
      </w:r>
      <w:r w:rsidRPr="00640D24">
        <w:rPr>
          <w:rFonts w:cs="Times New Roman"/>
          <w:sz w:val="22"/>
          <w:szCs w:val="20"/>
        </w:rPr>
        <w:t xml:space="preserve"> aukštos pridėtinės vertės darbo vietas;</w:t>
      </w:r>
    </w:p>
    <w:p w14:paraId="3DB9884B" w14:textId="77777777" w:rsidR="00D72C0A" w:rsidRPr="00640D24" w:rsidRDefault="00D72C0A" w:rsidP="004511EC">
      <w:pPr>
        <w:pStyle w:val="Sraopastraipa"/>
        <w:numPr>
          <w:ilvl w:val="0"/>
          <w:numId w:val="12"/>
        </w:numPr>
        <w:spacing w:before="60" w:after="60" w:line="240" w:lineRule="auto"/>
        <w:jc w:val="both"/>
        <w:rPr>
          <w:rFonts w:cs="Times New Roman"/>
          <w:sz w:val="22"/>
          <w:szCs w:val="20"/>
        </w:rPr>
      </w:pPr>
      <w:r w:rsidRPr="00640D24">
        <w:rPr>
          <w:rFonts w:cs="Times New Roman"/>
          <w:sz w:val="22"/>
          <w:szCs w:val="20"/>
        </w:rPr>
        <w:t xml:space="preserve">silpni </w:t>
      </w:r>
      <w:proofErr w:type="spellStart"/>
      <w:r w:rsidRPr="00640D24">
        <w:rPr>
          <w:rFonts w:cs="Times New Roman"/>
          <w:sz w:val="22"/>
          <w:szCs w:val="20"/>
        </w:rPr>
        <w:t>ekosisteminiai</w:t>
      </w:r>
      <w:proofErr w:type="spellEnd"/>
      <w:r w:rsidRPr="00640D24">
        <w:rPr>
          <w:rFonts w:cs="Times New Roman"/>
          <w:sz w:val="22"/>
          <w:szCs w:val="20"/>
        </w:rPr>
        <w:t xml:space="preserve"> ryšiai nesudaro galimybės didinti konkurencingumo žiedinės ekonomikos siūlomo </w:t>
      </w:r>
      <w:proofErr w:type="spellStart"/>
      <w:r w:rsidRPr="00640D24">
        <w:rPr>
          <w:rFonts w:cs="Times New Roman"/>
          <w:sz w:val="22"/>
          <w:szCs w:val="20"/>
        </w:rPr>
        <w:t>tarpsektorinio</w:t>
      </w:r>
      <w:proofErr w:type="spellEnd"/>
      <w:r w:rsidRPr="00640D24">
        <w:rPr>
          <w:rFonts w:cs="Times New Roman"/>
          <w:sz w:val="22"/>
          <w:szCs w:val="20"/>
        </w:rPr>
        <w:t xml:space="preserve"> bendradarbiavimo galimybių, kuriant tvarius produktus.</w:t>
      </w:r>
      <w:r w:rsidR="00C72411" w:rsidRPr="00640D24">
        <w:rPr>
          <w:rStyle w:val="Puslapioinaosnuoroda"/>
          <w:rFonts w:cs="Times New Roman"/>
          <w:sz w:val="22"/>
          <w:szCs w:val="20"/>
        </w:rPr>
        <w:footnoteReference w:id="29"/>
      </w:r>
    </w:p>
    <w:p w14:paraId="7067C87A" w14:textId="5AE69655" w:rsidR="00D72C0A" w:rsidRPr="00640D24" w:rsidRDefault="00D72C0A" w:rsidP="00170B5F">
      <w:pPr>
        <w:spacing w:before="60" w:after="60" w:line="240" w:lineRule="auto"/>
        <w:ind w:firstLine="567"/>
        <w:jc w:val="both"/>
        <w:rPr>
          <w:rFonts w:cs="Times New Roman"/>
          <w:sz w:val="22"/>
          <w:szCs w:val="20"/>
        </w:rPr>
      </w:pPr>
      <w:r w:rsidRPr="00640D24">
        <w:rPr>
          <w:rFonts w:cs="Times New Roman"/>
          <w:sz w:val="22"/>
          <w:szCs w:val="20"/>
        </w:rPr>
        <w:t>2021</w:t>
      </w:r>
      <w:r w:rsidR="00E47FE3" w:rsidRPr="00640D24">
        <w:rPr>
          <w:rFonts w:cs="Times New Roman"/>
          <w:sz w:val="22"/>
          <w:szCs w:val="22"/>
        </w:rPr>
        <w:t>–</w:t>
      </w:r>
      <w:r w:rsidRPr="00640D24">
        <w:rPr>
          <w:rFonts w:cs="Times New Roman"/>
          <w:sz w:val="22"/>
          <w:szCs w:val="20"/>
        </w:rPr>
        <w:t>2027 m. programoje teigiama, kad</w:t>
      </w:r>
      <w:r w:rsidR="00E47FE3" w:rsidRPr="00640D24">
        <w:rPr>
          <w:rFonts w:cs="Times New Roman"/>
          <w:sz w:val="22"/>
          <w:szCs w:val="20"/>
        </w:rPr>
        <w:t>,</w:t>
      </w:r>
      <w:r w:rsidRPr="00640D24">
        <w:rPr>
          <w:rFonts w:cs="Times New Roman"/>
          <w:sz w:val="22"/>
          <w:szCs w:val="20"/>
        </w:rPr>
        <w:t xml:space="preserve"> siekiant paskatinti inovacinę veiklą vykdančių įmonių skaičiaus augimą, prioritetas bus teikiamas investicijoms į </w:t>
      </w:r>
      <w:proofErr w:type="spellStart"/>
      <w:r w:rsidRPr="00640D24">
        <w:rPr>
          <w:rFonts w:cs="Times New Roman"/>
          <w:sz w:val="22"/>
          <w:szCs w:val="20"/>
        </w:rPr>
        <w:t>ekoinovacijas</w:t>
      </w:r>
      <w:proofErr w:type="spellEnd"/>
      <w:r w:rsidRPr="00640D24">
        <w:rPr>
          <w:rFonts w:cs="Times New Roman"/>
          <w:sz w:val="22"/>
          <w:szCs w:val="20"/>
        </w:rPr>
        <w:t xml:space="preserve">, tvarių „žiedinių“ produktų gamybą. NP </w:t>
      </w:r>
      <w:r w:rsidR="00193AF4" w:rsidRPr="00640D24">
        <w:rPr>
          <w:rFonts w:cs="Times New Roman"/>
          <w:sz w:val="22"/>
          <w:szCs w:val="20"/>
        </w:rPr>
        <w:t>p</w:t>
      </w:r>
      <w:r w:rsidRPr="00640D24">
        <w:rPr>
          <w:rFonts w:cs="Times New Roman"/>
          <w:sz w:val="22"/>
          <w:szCs w:val="20"/>
        </w:rPr>
        <w:t>lane yra teigiama, kad bus skatinamas perėjimas prie žiedinės ekonomikos, didinamas išteklių produktyvumas, mažinamas ekonominio vystymosi neigiamas poveikis aplinkai. Tai bus atliekama skatinant mokslinius tyrimus ir inovacijas, kurios yra ypač svarbios pereinant prie žiedinės ekonomikos, bei sprendžiant aplinkos ir klimato kaitos problemas, įgalina</w:t>
      </w:r>
      <w:r w:rsidR="00E47FE3" w:rsidRPr="00640D24">
        <w:rPr>
          <w:rFonts w:cs="Times New Roman"/>
          <w:sz w:val="22"/>
          <w:szCs w:val="20"/>
        </w:rPr>
        <w:t>n</w:t>
      </w:r>
      <w:r w:rsidRPr="00640D24">
        <w:rPr>
          <w:rFonts w:cs="Times New Roman"/>
          <w:sz w:val="22"/>
          <w:szCs w:val="20"/>
        </w:rPr>
        <w:t>t</w:t>
      </w:r>
      <w:r w:rsidR="00B42E9B" w:rsidRPr="00640D24">
        <w:rPr>
          <w:rFonts w:cs="Times New Roman"/>
          <w:sz w:val="22"/>
          <w:szCs w:val="20"/>
        </w:rPr>
        <w:t xml:space="preserve"> įmones</w:t>
      </w:r>
      <w:r w:rsidRPr="00640D24">
        <w:rPr>
          <w:rFonts w:cs="Times New Roman"/>
          <w:sz w:val="22"/>
          <w:szCs w:val="20"/>
        </w:rPr>
        <w:t xml:space="preserve"> naudoti mažą ŠESD kiekį išmetančias ir netaršias technologijas, tvariems produktams gaminti ir paslaugoms kurti.</w:t>
      </w:r>
    </w:p>
    <w:p w14:paraId="54EE1CB7" w14:textId="3816BC45" w:rsidR="00CD486C" w:rsidRPr="00640D24" w:rsidRDefault="00CD486C" w:rsidP="00170B5F">
      <w:pPr>
        <w:spacing w:before="60" w:after="60" w:line="240" w:lineRule="auto"/>
        <w:ind w:firstLine="567"/>
        <w:jc w:val="both"/>
        <w:rPr>
          <w:rFonts w:cs="Times New Roman"/>
          <w:sz w:val="22"/>
          <w:szCs w:val="20"/>
        </w:rPr>
      </w:pPr>
      <w:r w:rsidRPr="00640D24">
        <w:rPr>
          <w:rFonts w:cs="Times New Roman"/>
          <w:sz w:val="22"/>
          <w:szCs w:val="20"/>
        </w:rPr>
        <w:t xml:space="preserve">Siekiant paskatinti inovacinę veiklą vykdančių įmonių skaičiaus augimą, sėkmingą į tvarumą ir švarią aplinką orientuotą pramonės perorientavimą, bus skatinamas </w:t>
      </w:r>
      <w:proofErr w:type="spellStart"/>
      <w:r w:rsidRPr="00640D24">
        <w:rPr>
          <w:rFonts w:cs="Times New Roman"/>
          <w:sz w:val="22"/>
          <w:szCs w:val="20"/>
        </w:rPr>
        <w:t>inovatyvių</w:t>
      </w:r>
      <w:proofErr w:type="spellEnd"/>
      <w:r w:rsidRPr="00640D24">
        <w:rPr>
          <w:rFonts w:cs="Times New Roman"/>
          <w:sz w:val="22"/>
          <w:szCs w:val="20"/>
        </w:rPr>
        <w:t xml:space="preserve"> skaitmeninių ir aplinkai draugiškų technologijų kūrimas, jų </w:t>
      </w:r>
      <w:r w:rsidR="00CD129B" w:rsidRPr="00640D24">
        <w:rPr>
          <w:rFonts w:cs="Times New Roman"/>
          <w:sz w:val="22"/>
          <w:szCs w:val="20"/>
        </w:rPr>
        <w:t>demonstravimas</w:t>
      </w:r>
      <w:r w:rsidRPr="00640D24">
        <w:rPr>
          <w:rFonts w:cs="Times New Roman"/>
          <w:sz w:val="22"/>
          <w:szCs w:val="20"/>
        </w:rPr>
        <w:t xml:space="preserve"> ir diegimas </w:t>
      </w:r>
      <w:r w:rsidR="00B42E9B" w:rsidRPr="00640D24">
        <w:rPr>
          <w:rFonts w:cs="Times New Roman"/>
          <w:sz w:val="22"/>
          <w:szCs w:val="20"/>
        </w:rPr>
        <w:t>įmonėse</w:t>
      </w:r>
      <w:r w:rsidRPr="00640D24">
        <w:rPr>
          <w:rFonts w:cs="Times New Roman"/>
          <w:sz w:val="22"/>
          <w:szCs w:val="20"/>
        </w:rPr>
        <w:t xml:space="preserve">, veikiančiose sumanios specializacijos srityse. </w:t>
      </w:r>
    </w:p>
    <w:p w14:paraId="5882ECB3" w14:textId="6D863D51" w:rsidR="00943747" w:rsidRPr="00640D24" w:rsidRDefault="00943747" w:rsidP="002A24FE">
      <w:pPr>
        <w:pStyle w:val="Antrat4"/>
        <w:spacing w:before="120"/>
      </w:pPr>
      <w:r w:rsidRPr="00640D24">
        <w:t xml:space="preserve">TUI pritraukimas MTEPI veiklų skatinimui </w:t>
      </w:r>
    </w:p>
    <w:p w14:paraId="31BF7CF3" w14:textId="117A28B1" w:rsidR="00E45A8D" w:rsidRPr="00640D24" w:rsidRDefault="00E45A8D" w:rsidP="00170B5F">
      <w:pPr>
        <w:spacing w:before="60" w:after="60" w:line="240" w:lineRule="auto"/>
        <w:ind w:firstLine="567"/>
        <w:jc w:val="both"/>
        <w:rPr>
          <w:rFonts w:cs="Times New Roman"/>
          <w:sz w:val="22"/>
          <w:szCs w:val="22"/>
          <w:vertAlign w:val="superscript"/>
        </w:rPr>
      </w:pPr>
      <w:r w:rsidRPr="00640D24">
        <w:rPr>
          <w:rFonts w:cs="Times New Roman"/>
          <w:sz w:val="22"/>
          <w:szCs w:val="22"/>
        </w:rPr>
        <w:t>Tarptautini</w:t>
      </w:r>
      <w:r w:rsidR="001B598E" w:rsidRPr="00640D24">
        <w:rPr>
          <w:rFonts w:cs="Times New Roman"/>
          <w:sz w:val="22"/>
          <w:szCs w:val="22"/>
        </w:rPr>
        <w:t>o</w:t>
      </w:r>
      <w:r w:rsidRPr="00640D24">
        <w:rPr>
          <w:rFonts w:cs="Times New Roman"/>
          <w:sz w:val="22"/>
          <w:szCs w:val="22"/>
        </w:rPr>
        <w:t xml:space="preserve"> valiutos fond</w:t>
      </w:r>
      <w:r w:rsidR="001B598E" w:rsidRPr="00640D24">
        <w:rPr>
          <w:rFonts w:cs="Times New Roman"/>
          <w:sz w:val="22"/>
          <w:szCs w:val="22"/>
        </w:rPr>
        <w:t>o</w:t>
      </w:r>
      <w:r w:rsidRPr="00640D24">
        <w:rPr>
          <w:rFonts w:cs="Times New Roman"/>
          <w:sz w:val="22"/>
          <w:szCs w:val="22"/>
        </w:rPr>
        <w:t xml:space="preserve"> (TVF) ir Ekonominio bendradarbiavimo ir plėtros organizacijos (EBPO) teigimu, TUI yra vienas iš esminių ekonomikos rodiklių ir variklių. TUI padeda sukurti daugiau darbo vietų, skatina ekonominį augimą, žmogiškojo kapitalo plėtrą, did</w:t>
      </w:r>
      <w:r w:rsidR="004377B7" w:rsidRPr="00640D24">
        <w:rPr>
          <w:rFonts w:cs="Times New Roman"/>
          <w:sz w:val="22"/>
          <w:szCs w:val="22"/>
        </w:rPr>
        <w:t>ina eksportą ir kt. Remiantis VŠ</w:t>
      </w:r>
      <w:r w:rsidRPr="00640D24">
        <w:rPr>
          <w:rFonts w:cs="Times New Roman"/>
          <w:sz w:val="22"/>
          <w:szCs w:val="22"/>
        </w:rPr>
        <w:t>Į „Investuok Lietuvoje“ duomenimis, pagal TUI projektų suplanuotas darbo vietas</w:t>
      </w:r>
      <w:r w:rsidR="0060782F" w:rsidRPr="00640D24">
        <w:rPr>
          <w:rFonts w:cs="Times New Roman"/>
          <w:sz w:val="22"/>
          <w:szCs w:val="22"/>
        </w:rPr>
        <w:t>,</w:t>
      </w:r>
      <w:r w:rsidRPr="00640D24">
        <w:rPr>
          <w:rFonts w:cs="Times New Roman"/>
          <w:sz w:val="22"/>
          <w:szCs w:val="22"/>
        </w:rPr>
        <w:t xml:space="preserve"> Lietuva atsilieka nuo ES vidurkio. Viena priežasčių, lėtinančių pažangą šioje srityje, yra tai, kad didesnės apimties projektuose Lietuva nusileidžia </w:t>
      </w:r>
      <w:r w:rsidRPr="00640D24">
        <w:rPr>
          <w:rFonts w:cs="Times New Roman"/>
          <w:sz w:val="22"/>
          <w:szCs w:val="22"/>
        </w:rPr>
        <w:lastRenderedPageBreak/>
        <w:t>daugeliui regiono valstybių savo dydžiu, o didelė darbuotojų pasiūla yra vienas esminių klausimų, rūpi</w:t>
      </w:r>
      <w:r w:rsidR="0060782F" w:rsidRPr="00640D24">
        <w:rPr>
          <w:rFonts w:cs="Times New Roman"/>
          <w:sz w:val="22"/>
          <w:szCs w:val="22"/>
        </w:rPr>
        <w:t>nčių</w:t>
      </w:r>
      <w:r w:rsidRPr="00640D24">
        <w:rPr>
          <w:rFonts w:cs="Times New Roman"/>
          <w:sz w:val="22"/>
          <w:szCs w:val="22"/>
        </w:rPr>
        <w:t xml:space="preserve"> investuotojams.</w:t>
      </w:r>
      <w:r w:rsidRPr="00640D24">
        <w:rPr>
          <w:rFonts w:cs="Times New Roman"/>
          <w:sz w:val="22"/>
          <w:szCs w:val="22"/>
          <w:vertAlign w:val="superscript"/>
        </w:rPr>
        <w:footnoteReference w:id="30"/>
      </w:r>
      <w:r w:rsidRPr="00640D24">
        <w:rPr>
          <w:rFonts w:cs="Times New Roman"/>
          <w:sz w:val="22"/>
          <w:szCs w:val="22"/>
          <w:vertAlign w:val="superscript"/>
        </w:rPr>
        <w:t xml:space="preserve"> </w:t>
      </w:r>
    </w:p>
    <w:p w14:paraId="1A293BAA" w14:textId="6DE192F4" w:rsidR="00DB01AC" w:rsidRPr="00640D24" w:rsidRDefault="00DB01AC" w:rsidP="00170B5F">
      <w:pPr>
        <w:spacing w:before="60" w:after="60" w:line="240" w:lineRule="auto"/>
        <w:ind w:firstLine="567"/>
        <w:jc w:val="both"/>
        <w:rPr>
          <w:rFonts w:cs="Times New Roman"/>
          <w:sz w:val="22"/>
          <w:szCs w:val="22"/>
        </w:rPr>
      </w:pPr>
      <w:r w:rsidRPr="00640D24">
        <w:rPr>
          <w:rFonts w:cs="Times New Roman"/>
          <w:sz w:val="22"/>
          <w:szCs w:val="22"/>
        </w:rPr>
        <w:t xml:space="preserve">Statistikos departamento duomenimis, 2018 m. sukauptosios TUI Lietuvoje sudarė 17 mlrd. </w:t>
      </w:r>
      <w:proofErr w:type="spellStart"/>
      <w:r w:rsidR="00C664AC" w:rsidRPr="00640D24">
        <w:rPr>
          <w:rFonts w:cs="Times New Roman"/>
          <w:sz w:val="22"/>
          <w:szCs w:val="22"/>
        </w:rPr>
        <w:t>E</w:t>
      </w:r>
      <w:r w:rsidR="00DD458E" w:rsidRPr="00640D24">
        <w:rPr>
          <w:rFonts w:cs="Times New Roman"/>
          <w:sz w:val="22"/>
          <w:szCs w:val="22"/>
        </w:rPr>
        <w:t>ur</w:t>
      </w:r>
      <w:proofErr w:type="spellEnd"/>
      <w:r w:rsidRPr="00640D24">
        <w:rPr>
          <w:rFonts w:cs="Times New Roman"/>
          <w:sz w:val="22"/>
          <w:szCs w:val="22"/>
        </w:rPr>
        <w:t xml:space="preserve"> ir, palyginti su 2017 m. duomenimis, padidėjo 4,5 proc.: Sostinės regione padidėjo 3,2 proc., Vidurio ir Vakarų Lietuvos regione – 7,6 proc. TUI vienam Lietuvos gyventojui išaugo 5 proc. ir sudarė vidutiniškai 6,1 tūkst. </w:t>
      </w:r>
      <w:proofErr w:type="spellStart"/>
      <w:r w:rsidR="00DD458E" w:rsidRPr="00640D24">
        <w:rPr>
          <w:rFonts w:cs="Times New Roman"/>
          <w:sz w:val="22"/>
          <w:szCs w:val="22"/>
        </w:rPr>
        <w:t>Eur</w:t>
      </w:r>
      <w:proofErr w:type="spellEnd"/>
      <w:r w:rsidRPr="00640D24">
        <w:rPr>
          <w:rFonts w:cs="Times New Roman"/>
          <w:sz w:val="22"/>
          <w:szCs w:val="22"/>
        </w:rPr>
        <w:t xml:space="preserve">. Vis dėlto daugiausia investuota Vilniaus apskrityje – 70,2 proc. visų šalies TUI (Vilniaus miesto savivaldybėje – 95 proc. visų Vilniaus apskrities TUI), Kauno apskrityje – 11,7 proc. (Kauno miesto savivaldybėje – 76,4 proc.), ir Klaipėdos apskrityje – 7,4 proc. (Klaipėdos miesto savivaldybėje – 75,4 proc.). TUI vienam gyventojui Sostinės regione teko 14,8 tūkst. </w:t>
      </w:r>
      <w:proofErr w:type="spellStart"/>
      <w:r w:rsidR="00C664AC" w:rsidRPr="00640D24">
        <w:rPr>
          <w:rFonts w:cs="Times New Roman"/>
          <w:sz w:val="22"/>
          <w:szCs w:val="22"/>
        </w:rPr>
        <w:t>E</w:t>
      </w:r>
      <w:r w:rsidR="004F35C1" w:rsidRPr="00640D24">
        <w:rPr>
          <w:rFonts w:cs="Times New Roman"/>
          <w:sz w:val="22"/>
          <w:szCs w:val="22"/>
        </w:rPr>
        <w:t>ur</w:t>
      </w:r>
      <w:proofErr w:type="spellEnd"/>
      <w:r w:rsidRPr="00640D24">
        <w:rPr>
          <w:rFonts w:cs="Times New Roman"/>
          <w:sz w:val="22"/>
          <w:szCs w:val="22"/>
        </w:rPr>
        <w:t xml:space="preserve">, Vidurio ir vakarų Lietuvos regione – 2,6 tūkst. </w:t>
      </w:r>
      <w:proofErr w:type="spellStart"/>
      <w:r w:rsidR="00C664AC" w:rsidRPr="00640D24">
        <w:rPr>
          <w:rFonts w:cs="Times New Roman"/>
          <w:sz w:val="22"/>
          <w:szCs w:val="22"/>
        </w:rPr>
        <w:t>E</w:t>
      </w:r>
      <w:r w:rsidR="00DD458E" w:rsidRPr="00640D24">
        <w:rPr>
          <w:rFonts w:cs="Times New Roman"/>
          <w:sz w:val="22"/>
          <w:szCs w:val="22"/>
        </w:rPr>
        <w:t>ur</w:t>
      </w:r>
      <w:proofErr w:type="spellEnd"/>
      <w:r w:rsidRPr="00640D24">
        <w:rPr>
          <w:rFonts w:cs="Times New Roman"/>
          <w:sz w:val="22"/>
          <w:szCs w:val="22"/>
        </w:rPr>
        <w:t>.</w:t>
      </w:r>
      <w:r w:rsidRPr="00640D24">
        <w:rPr>
          <w:rStyle w:val="Puslapioinaosnuoroda"/>
          <w:rFonts w:cs="Times New Roman"/>
          <w:sz w:val="22"/>
          <w:szCs w:val="22"/>
        </w:rPr>
        <w:footnoteReference w:id="31"/>
      </w:r>
      <w:r w:rsidRPr="00640D24">
        <w:rPr>
          <w:rFonts w:cs="Times New Roman"/>
          <w:sz w:val="22"/>
          <w:szCs w:val="22"/>
        </w:rPr>
        <w:t xml:space="preserve"> Apibendrinant, pastarųjų metų TUI tendencijos rodo didelį investicijų potencialą Vidurio ir Vakarų Lietuvos regione.</w:t>
      </w:r>
    </w:p>
    <w:p w14:paraId="3AE2A3E0" w14:textId="5912E5A6" w:rsidR="00E45A8D" w:rsidRPr="00640D24" w:rsidRDefault="00E45A8D" w:rsidP="00170B5F">
      <w:pPr>
        <w:spacing w:before="60" w:after="60" w:line="240" w:lineRule="auto"/>
        <w:ind w:firstLine="360"/>
        <w:jc w:val="both"/>
        <w:rPr>
          <w:rFonts w:cs="Times New Roman"/>
          <w:sz w:val="22"/>
          <w:szCs w:val="22"/>
        </w:rPr>
      </w:pPr>
      <w:r w:rsidRPr="00640D24">
        <w:rPr>
          <w:rFonts w:cs="Times New Roman"/>
          <w:sz w:val="22"/>
          <w:szCs w:val="22"/>
        </w:rPr>
        <w:t>Siekiant skatinti investicijas į aukštą pridėtinę vertę kuriančius sektorius, Lietuva planuoja tęsti 2014</w:t>
      </w:r>
      <w:r w:rsidR="005F6BB6" w:rsidRPr="00640D24">
        <w:rPr>
          <w:rFonts w:cs="Times New Roman"/>
          <w:sz w:val="22"/>
          <w:szCs w:val="22"/>
        </w:rPr>
        <w:t>–</w:t>
      </w:r>
      <w:r w:rsidRPr="00640D24">
        <w:rPr>
          <w:rFonts w:cs="Times New Roman"/>
          <w:sz w:val="22"/>
          <w:szCs w:val="22"/>
        </w:rPr>
        <w:t>2020 m. pradėtus veiksmus ir toliau skatinti TUI MTEP</w:t>
      </w:r>
      <w:r w:rsidR="00CF09A0" w:rsidRPr="00640D24">
        <w:rPr>
          <w:rFonts w:cs="Times New Roman"/>
          <w:sz w:val="22"/>
          <w:szCs w:val="22"/>
        </w:rPr>
        <w:t>I</w:t>
      </w:r>
      <w:r w:rsidRPr="00640D24">
        <w:rPr>
          <w:rFonts w:cs="Times New Roman"/>
          <w:sz w:val="22"/>
          <w:szCs w:val="22"/>
        </w:rPr>
        <w:t xml:space="preserve"> srityje. </w:t>
      </w:r>
      <w:r w:rsidR="00E92F50" w:rsidRPr="00640D24">
        <w:rPr>
          <w:rFonts w:cs="Times New Roman"/>
          <w:sz w:val="22"/>
          <w:szCs w:val="22"/>
        </w:rPr>
        <w:t>P</w:t>
      </w:r>
      <w:r w:rsidRPr="00640D24">
        <w:rPr>
          <w:rFonts w:cs="Times New Roman"/>
          <w:sz w:val="22"/>
          <w:szCs w:val="22"/>
        </w:rPr>
        <w:t xml:space="preserve">rogramoje teigiama, </w:t>
      </w:r>
      <w:r w:rsidR="0060782F" w:rsidRPr="00640D24">
        <w:rPr>
          <w:rFonts w:cs="Times New Roman"/>
          <w:sz w:val="22"/>
          <w:szCs w:val="22"/>
        </w:rPr>
        <w:t>kad</w:t>
      </w:r>
      <w:r w:rsidRPr="00640D24">
        <w:rPr>
          <w:rFonts w:cs="Times New Roman"/>
          <w:sz w:val="22"/>
          <w:szCs w:val="22"/>
        </w:rPr>
        <w:t xml:space="preserve"> bus skatinamos aukštos pridėtinės vertės TUI paieškos ir pritraukimo veiklos, skirtos paskatinti bendradarbiavimą ir (ar) technologijų perdavimą tarp didelių įmonių ir MVĮ MTEP</w:t>
      </w:r>
      <w:r w:rsidR="00CF09A0" w:rsidRPr="00640D24">
        <w:rPr>
          <w:rFonts w:cs="Times New Roman"/>
          <w:sz w:val="22"/>
          <w:szCs w:val="22"/>
        </w:rPr>
        <w:t>I</w:t>
      </w:r>
      <w:r w:rsidRPr="00640D24">
        <w:rPr>
          <w:rFonts w:cs="Times New Roman"/>
          <w:sz w:val="22"/>
          <w:szCs w:val="22"/>
        </w:rPr>
        <w:t xml:space="preserve"> srityje. Prioritetas bus teikiamas investicijoms, prisidedančioms prie integracijos į ES strategines vertės grandines, tvarių „žiedinių“ ir didelio poveikio technologijų ir produktų kūrimui. NP </w:t>
      </w:r>
      <w:r w:rsidR="00C664AC" w:rsidRPr="00640D24">
        <w:rPr>
          <w:rFonts w:cs="Times New Roman"/>
          <w:sz w:val="22"/>
          <w:szCs w:val="22"/>
        </w:rPr>
        <w:t>p</w:t>
      </w:r>
      <w:r w:rsidRPr="00640D24">
        <w:rPr>
          <w:rFonts w:cs="Times New Roman"/>
          <w:sz w:val="22"/>
          <w:szCs w:val="22"/>
        </w:rPr>
        <w:t>lane yra numatytas</w:t>
      </w:r>
      <w:r w:rsidR="009F4F86" w:rsidRPr="00640D24">
        <w:rPr>
          <w:rFonts w:cs="Times New Roman"/>
          <w:sz w:val="22"/>
          <w:szCs w:val="22"/>
        </w:rPr>
        <w:t xml:space="preserve"> bendras</w:t>
      </w:r>
      <w:r w:rsidRPr="00640D24">
        <w:rPr>
          <w:rFonts w:cs="Times New Roman"/>
          <w:sz w:val="22"/>
          <w:szCs w:val="22"/>
        </w:rPr>
        <w:t xml:space="preserve"> tikslas didinti TUI</w:t>
      </w:r>
      <w:r w:rsidR="009F4F86" w:rsidRPr="00640D24">
        <w:rPr>
          <w:rFonts w:cs="Times New Roman"/>
          <w:sz w:val="22"/>
          <w:szCs w:val="22"/>
        </w:rPr>
        <w:t xml:space="preserve"> Lietuvoje</w:t>
      </w:r>
      <w:r w:rsidRPr="00640D24">
        <w:rPr>
          <w:rFonts w:cs="Times New Roman"/>
          <w:sz w:val="22"/>
          <w:szCs w:val="22"/>
        </w:rPr>
        <w:t>, ypatingai pažangiųjų technologijų gamybos ir žinioms imlių paslaugų sektoriuose, tokiu būdu juose kuriant naujas darbo vietas, skatinant ekonomi</w:t>
      </w:r>
      <w:r w:rsidR="0060782F" w:rsidRPr="00640D24">
        <w:rPr>
          <w:rFonts w:cs="Times New Roman"/>
          <w:sz w:val="22"/>
          <w:szCs w:val="22"/>
        </w:rPr>
        <w:t>kos</w:t>
      </w:r>
      <w:r w:rsidRPr="00640D24">
        <w:rPr>
          <w:rFonts w:cs="Times New Roman"/>
          <w:sz w:val="22"/>
          <w:szCs w:val="22"/>
        </w:rPr>
        <w:t xml:space="preserve"> augimą, didinant aukštos pridėtinės vertės kūrimą, o taip pat prisidedant prie šalies saugumo užtikrinimo.</w:t>
      </w:r>
      <w:r w:rsidR="00DB01AC" w:rsidRPr="00640D24">
        <w:rPr>
          <w:rFonts w:cs="Times New Roman"/>
          <w:sz w:val="22"/>
          <w:szCs w:val="22"/>
        </w:rPr>
        <w:t xml:space="preserve"> </w:t>
      </w:r>
    </w:p>
    <w:p w14:paraId="23B5AE48" w14:textId="51EB4463" w:rsidR="00943747" w:rsidRPr="00640D24" w:rsidRDefault="00943747" w:rsidP="002A24FE">
      <w:pPr>
        <w:pStyle w:val="Antrat4"/>
        <w:spacing w:before="120"/>
      </w:pPr>
      <w:r w:rsidRPr="00640D24">
        <w:t xml:space="preserve">Trumpų vertės kūrimo grandinių formavimas ir plėtra tarp MVĮ </w:t>
      </w:r>
    </w:p>
    <w:p w14:paraId="0BEBB4D6" w14:textId="0D8F2BDA" w:rsidR="003F0004" w:rsidRPr="00640D24" w:rsidRDefault="00E45A8D" w:rsidP="00C71C48">
      <w:pPr>
        <w:spacing w:before="60" w:after="60" w:line="240" w:lineRule="auto"/>
        <w:ind w:firstLine="567"/>
        <w:jc w:val="both"/>
        <w:rPr>
          <w:rFonts w:cs="Times New Roman"/>
          <w:sz w:val="22"/>
          <w:szCs w:val="22"/>
        </w:rPr>
      </w:pPr>
      <w:r w:rsidRPr="00640D24">
        <w:rPr>
          <w:rFonts w:cs="Times New Roman"/>
          <w:sz w:val="22"/>
          <w:szCs w:val="22"/>
        </w:rPr>
        <w:t>Trumpos vertės grandinės</w:t>
      </w:r>
      <w:r w:rsidR="00C664AC" w:rsidRPr="00640D24">
        <w:rPr>
          <w:rFonts w:cs="Times New Roman"/>
          <w:sz w:val="22"/>
          <w:szCs w:val="22"/>
        </w:rPr>
        <w:t xml:space="preserve"> </w:t>
      </w:r>
      <w:r w:rsidRPr="00640D24">
        <w:rPr>
          <w:rFonts w:cs="Times New Roman"/>
          <w:sz w:val="22"/>
          <w:szCs w:val="22"/>
        </w:rPr>
        <w:t>yra ypač vertinamos bendrame ekonomikos kontekste dėl kuriamos pridėtinės vertės bendradarbiaujantiems verslams ir bendrai ekonomikai.</w:t>
      </w:r>
      <w:r w:rsidR="00F574C7" w:rsidRPr="00640D24">
        <w:rPr>
          <w:rFonts w:cs="Times New Roman"/>
          <w:sz w:val="22"/>
          <w:szCs w:val="22"/>
        </w:rPr>
        <w:t xml:space="preserve"> </w:t>
      </w:r>
      <w:r w:rsidR="003F0004" w:rsidRPr="00640D24">
        <w:rPr>
          <w:rFonts w:cs="Times New Roman"/>
          <w:sz w:val="22"/>
          <w:szCs w:val="22"/>
        </w:rPr>
        <w:t>2014</w:t>
      </w:r>
      <w:r w:rsidR="005F6BB6" w:rsidRPr="00640D24">
        <w:rPr>
          <w:rFonts w:cs="Times New Roman"/>
          <w:sz w:val="22"/>
          <w:szCs w:val="22"/>
        </w:rPr>
        <w:t>–</w:t>
      </w:r>
      <w:r w:rsidR="003F0004" w:rsidRPr="00640D24">
        <w:rPr>
          <w:rFonts w:cs="Times New Roman"/>
          <w:sz w:val="22"/>
          <w:szCs w:val="22"/>
        </w:rPr>
        <w:t>2020 m.</w:t>
      </w:r>
      <w:r w:rsidR="006C1877" w:rsidRPr="00640D24">
        <w:rPr>
          <w:rFonts w:cs="Times New Roman"/>
          <w:sz w:val="22"/>
          <w:szCs w:val="22"/>
        </w:rPr>
        <w:t xml:space="preserve"> programavimo</w:t>
      </w:r>
      <w:r w:rsidR="003F0004" w:rsidRPr="00640D24">
        <w:rPr>
          <w:rFonts w:cs="Times New Roman"/>
          <w:sz w:val="22"/>
          <w:szCs w:val="22"/>
        </w:rPr>
        <w:t xml:space="preserve"> laikotarpiu trumpos vertės kūrimo grandinės buvo finansuojamos iš Lietuvos kaimo plėtros 2014–2020 m. programos lėšų.</w:t>
      </w:r>
      <w:r w:rsidR="003F0004" w:rsidRPr="00640D24">
        <w:rPr>
          <w:rStyle w:val="Puslapioinaosnuoroda"/>
          <w:rFonts w:cs="Times New Roman"/>
          <w:sz w:val="22"/>
          <w:szCs w:val="22"/>
        </w:rPr>
        <w:footnoteReference w:id="32"/>
      </w:r>
      <w:r w:rsidR="003F0004" w:rsidRPr="00640D24">
        <w:rPr>
          <w:rFonts w:cs="Times New Roman"/>
          <w:sz w:val="22"/>
          <w:szCs w:val="22"/>
        </w:rPr>
        <w:t xml:space="preserve"> NP </w:t>
      </w:r>
      <w:r w:rsidR="00193AF4" w:rsidRPr="00640D24">
        <w:rPr>
          <w:rFonts w:cs="Times New Roman"/>
          <w:sz w:val="22"/>
          <w:szCs w:val="22"/>
        </w:rPr>
        <w:t>p</w:t>
      </w:r>
      <w:r w:rsidR="003F0004" w:rsidRPr="00640D24">
        <w:rPr>
          <w:rFonts w:cs="Times New Roman"/>
          <w:sz w:val="22"/>
          <w:szCs w:val="22"/>
        </w:rPr>
        <w:t>lane yra teigiama, kad atliepiant 2</w:t>
      </w:r>
      <w:r w:rsidR="00645085" w:rsidRPr="00640D24">
        <w:rPr>
          <w:rFonts w:cs="Times New Roman"/>
          <w:sz w:val="22"/>
          <w:szCs w:val="22"/>
        </w:rPr>
        <w:t>–</w:t>
      </w:r>
      <w:proofErr w:type="spellStart"/>
      <w:r w:rsidR="00F578FD" w:rsidRPr="00640D24">
        <w:rPr>
          <w:rFonts w:cs="Times New Roman"/>
          <w:sz w:val="22"/>
          <w:szCs w:val="22"/>
        </w:rPr>
        <w:t>ąjį</w:t>
      </w:r>
      <w:proofErr w:type="spellEnd"/>
      <w:r w:rsidR="003F0004" w:rsidRPr="00640D24">
        <w:rPr>
          <w:rFonts w:cs="Times New Roman"/>
          <w:sz w:val="22"/>
          <w:szCs w:val="22"/>
        </w:rPr>
        <w:t xml:space="preserve"> strateginį uždavinį, reikalinga ir toliau plėtoti vietos maisto sistemas – didinti vietos maisto produktų pasiūlą ir plėtoti veiksmingą trumpųjų tiekimo grandinių sistemą, skatinant vartotojus naudoti vietos produktus bei sudarant palankias investicines bei teisines sąlygas žemės ūkio ir maisto produktų gamintojams tiesiogiai produktus tiekti vartotojams, plėsti gaminamos produkcijos asortimentą.</w:t>
      </w:r>
    </w:p>
    <w:p w14:paraId="6C851D74" w14:textId="28EF1BBF" w:rsidR="003F0004" w:rsidRPr="00640D24" w:rsidRDefault="003F0004" w:rsidP="00C71C48">
      <w:pPr>
        <w:spacing w:before="60" w:after="60" w:line="240" w:lineRule="auto"/>
        <w:ind w:firstLine="567"/>
        <w:jc w:val="both"/>
        <w:rPr>
          <w:rFonts w:cs="Times New Roman"/>
          <w:sz w:val="22"/>
        </w:rPr>
      </w:pPr>
      <w:r w:rsidRPr="00640D24">
        <w:rPr>
          <w:rFonts w:cs="Times New Roman"/>
          <w:sz w:val="22"/>
          <w:szCs w:val="22"/>
        </w:rPr>
        <w:t>2021</w:t>
      </w:r>
      <w:r w:rsidR="002E1410" w:rsidRPr="00640D24">
        <w:rPr>
          <w:rFonts w:cs="Times New Roman"/>
          <w:sz w:val="22"/>
          <w:szCs w:val="22"/>
        </w:rPr>
        <w:t>–</w:t>
      </w:r>
      <w:r w:rsidRPr="00640D24">
        <w:rPr>
          <w:rFonts w:cs="Times New Roman"/>
          <w:sz w:val="22"/>
          <w:szCs w:val="22"/>
        </w:rPr>
        <w:t xml:space="preserve">2027 m. programoje numatyta, kad uždavinys „Skatinti pradedančiųjų SVV subjektų kūrimąsi, augimą ir plėtrą“ galėtų būti </w:t>
      </w:r>
      <w:r w:rsidRPr="00640D24">
        <w:rPr>
          <w:rFonts w:cs="Times New Roman"/>
          <w:sz w:val="22"/>
          <w:lang w:eastAsia="lt-LT"/>
        </w:rPr>
        <w:t xml:space="preserve">įgyvendinamas naudojant 2014–2020 m. </w:t>
      </w:r>
      <w:r w:rsidR="006C1877" w:rsidRPr="00640D24">
        <w:rPr>
          <w:rFonts w:cs="Times New Roman"/>
          <w:sz w:val="22"/>
          <w:lang w:eastAsia="lt-LT"/>
        </w:rPr>
        <w:t xml:space="preserve">programavimo </w:t>
      </w:r>
      <w:r w:rsidRPr="00640D24">
        <w:rPr>
          <w:rFonts w:cs="Times New Roman"/>
          <w:sz w:val="22"/>
          <w:lang w:eastAsia="lt-LT"/>
        </w:rPr>
        <w:t>laikotarpiu pasiteisinusias įgyvendintas FP, užtik</w:t>
      </w:r>
      <w:r w:rsidRPr="00640D24">
        <w:rPr>
          <w:rFonts w:cs="Times New Roman"/>
          <w:sz w:val="22"/>
        </w:rPr>
        <w:t>rinančias finansinių šaltinių prieinamumą</w:t>
      </w:r>
      <w:r w:rsidRPr="00640D24">
        <w:rPr>
          <w:rFonts w:cs="Times New Roman"/>
          <w:sz w:val="22"/>
          <w:lang w:eastAsia="lt-LT"/>
        </w:rPr>
        <w:t>. Trumpų vertės grandinių kūrimas nėra orientuotas tik į vienos srities skatinimą. 2021</w:t>
      </w:r>
      <w:r w:rsidR="002E1410" w:rsidRPr="00640D24">
        <w:rPr>
          <w:rFonts w:cs="Times New Roman"/>
          <w:sz w:val="22"/>
          <w:szCs w:val="22"/>
        </w:rPr>
        <w:t>–</w:t>
      </w:r>
      <w:r w:rsidRPr="00640D24">
        <w:rPr>
          <w:rFonts w:cs="Times New Roman"/>
          <w:sz w:val="22"/>
          <w:lang w:eastAsia="lt-LT"/>
        </w:rPr>
        <w:t>2027 m. programoje taip pat nurodoma, kad reikalinga s</w:t>
      </w:r>
      <w:r w:rsidRPr="00640D24">
        <w:rPr>
          <w:rFonts w:cs="Times New Roman"/>
          <w:sz w:val="22"/>
        </w:rPr>
        <w:t xml:space="preserve">katinti trumpų vertės kūrimo grandinių formavimąsi ir plėtrą tarp MVĮ Vidurio ir Vakarų Lietuvos regionuose investuojant į trumpose vertės kūrimo grandinėse dalyvaujančių MVĮ verslo procesų modernizavimą, prioritetą skiriant investicijoms, skatinančioms darbo vietų kūrimą MVĮ, dalyvaujančiose trumpose vertės kūrimo grandinėse. </w:t>
      </w:r>
    </w:p>
    <w:p w14:paraId="49C7CF52" w14:textId="77777777" w:rsidR="003F0004" w:rsidRPr="00640D24" w:rsidRDefault="003F0004" w:rsidP="00C71C48">
      <w:pPr>
        <w:spacing w:before="60" w:after="60" w:line="240" w:lineRule="auto"/>
        <w:ind w:firstLine="567"/>
        <w:jc w:val="both"/>
        <w:rPr>
          <w:rFonts w:cs="Times New Roman"/>
          <w:sz w:val="22"/>
          <w:szCs w:val="22"/>
        </w:rPr>
      </w:pPr>
      <w:r w:rsidRPr="00640D24">
        <w:rPr>
          <w:rFonts w:cs="Times New Roman"/>
          <w:sz w:val="22"/>
          <w:szCs w:val="22"/>
        </w:rPr>
        <w:t>Remiantis strateginiais dokumentais, galima daryti išvadą, kad trumpų grandinių formavimas ir skatinimas Vidurio ir Vakarų Lietuvoje gali prisidėti prie papildomų darbo vietų kūrimo į trumpą vertės grandinę įtrauktose įmonėse, padidinti regionų konkurencingumą, skatinti naujų MVĮ kūrimąsi ir trumpoje vertės grandinėje esančių MVĮ augimą ir plėtrą.</w:t>
      </w:r>
    </w:p>
    <w:p w14:paraId="11695116" w14:textId="7BD27654" w:rsidR="003F0004" w:rsidRPr="00640D24" w:rsidRDefault="003F0004" w:rsidP="00CC48BD">
      <w:pPr>
        <w:pStyle w:val="Antrat4"/>
      </w:pPr>
      <w:r w:rsidRPr="00640D24">
        <w:t xml:space="preserve">Pramonės </w:t>
      </w:r>
      <w:r w:rsidR="00BB331B" w:rsidRPr="00640D24">
        <w:t>įmonių gamybos</w:t>
      </w:r>
      <w:r w:rsidRPr="00640D24">
        <w:t xml:space="preserve"> procesų automatizavim</w:t>
      </w:r>
      <w:r w:rsidR="00C13DD2" w:rsidRPr="00640D24">
        <w:t>as</w:t>
      </w:r>
      <w:r w:rsidRPr="00640D24">
        <w:t xml:space="preserve"> ir </w:t>
      </w:r>
      <w:proofErr w:type="spellStart"/>
      <w:r w:rsidRPr="00640D24">
        <w:t>skaitmeninimo</w:t>
      </w:r>
      <w:proofErr w:type="spellEnd"/>
      <w:r w:rsidRPr="00640D24">
        <w:t xml:space="preserve"> technologijų diegimas (pramonės </w:t>
      </w:r>
      <w:proofErr w:type="spellStart"/>
      <w:r w:rsidRPr="00640D24">
        <w:t>skaitmeninimas</w:t>
      </w:r>
      <w:proofErr w:type="spellEnd"/>
      <w:r w:rsidRPr="00640D24">
        <w:t xml:space="preserve">) </w:t>
      </w:r>
    </w:p>
    <w:p w14:paraId="105879BC" w14:textId="7A9F475D" w:rsidR="003F0004" w:rsidRPr="00640D24" w:rsidRDefault="003F0004" w:rsidP="00170B5F">
      <w:pPr>
        <w:spacing w:before="60" w:after="60" w:line="240" w:lineRule="auto"/>
        <w:ind w:firstLine="567"/>
        <w:jc w:val="both"/>
        <w:rPr>
          <w:rFonts w:cs="Times New Roman"/>
          <w:sz w:val="22"/>
          <w:szCs w:val="22"/>
        </w:rPr>
      </w:pPr>
      <w:r w:rsidRPr="00640D24">
        <w:rPr>
          <w:rFonts w:cs="Times New Roman"/>
          <w:sz w:val="22"/>
          <w:szCs w:val="22"/>
        </w:rPr>
        <w:t>Gamybos sektorius yra didžiausias Lietuvos ekonomikos sektorius, sukuriantis 20,4 proc. Lietuvos BVP. Pramoninės prekės sudaro daugiau nei 80 proc. Lietuvos prekių ir paslaugų eksporto</w:t>
      </w:r>
      <w:r w:rsidRPr="00640D24">
        <w:rPr>
          <w:rStyle w:val="Puslapioinaosnuoroda"/>
          <w:rFonts w:cs="Times New Roman"/>
          <w:sz w:val="22"/>
          <w:szCs w:val="22"/>
        </w:rPr>
        <w:footnoteReference w:id="33"/>
      </w:r>
      <w:r w:rsidRPr="00640D24">
        <w:rPr>
          <w:rFonts w:cs="Times New Roman"/>
          <w:sz w:val="22"/>
          <w:szCs w:val="22"/>
        </w:rPr>
        <w:t xml:space="preserve">. Gamybos </w:t>
      </w:r>
      <w:r w:rsidRPr="00640D24">
        <w:rPr>
          <w:rFonts w:cs="Times New Roman"/>
          <w:sz w:val="22"/>
          <w:szCs w:val="22"/>
        </w:rPr>
        <w:lastRenderedPageBreak/>
        <w:t>sektorius padarė esminę įtaką dinamiškam Lietuvos eksporto augimui ir yra labai svarbi Lietuvos ekonomikos dalis</w:t>
      </w:r>
      <w:r w:rsidRPr="00640D24">
        <w:rPr>
          <w:rFonts w:cs="Times New Roman"/>
          <w:sz w:val="22"/>
          <w:szCs w:val="22"/>
          <w:vertAlign w:val="superscript"/>
        </w:rPr>
        <w:footnoteReference w:id="34"/>
      </w:r>
      <w:r w:rsidR="009F15E5" w:rsidRPr="00640D24">
        <w:rPr>
          <w:rFonts w:cs="Times New Roman"/>
          <w:sz w:val="22"/>
          <w:szCs w:val="22"/>
        </w:rPr>
        <w:t>.</w:t>
      </w:r>
      <w:r w:rsidRPr="00640D24">
        <w:rPr>
          <w:rFonts w:cs="Times New Roman"/>
          <w:sz w:val="22"/>
          <w:szCs w:val="22"/>
        </w:rPr>
        <w:t xml:space="preserve"> Atsižvelgiant į visame pasaulyje vykstančią „Pramonė 4.0“ revoliuciją, Lietuvos pramonė susiduria šiais sektoriaus iššūkiais</w:t>
      </w:r>
      <w:r w:rsidRPr="00640D24">
        <w:rPr>
          <w:rStyle w:val="Puslapioinaosnuoroda"/>
          <w:rFonts w:cs="Times New Roman"/>
          <w:sz w:val="22"/>
          <w:szCs w:val="22"/>
        </w:rPr>
        <w:footnoteReference w:id="35"/>
      </w:r>
      <w:r w:rsidRPr="00640D24">
        <w:rPr>
          <w:rFonts w:cs="Times New Roman"/>
          <w:sz w:val="22"/>
          <w:szCs w:val="22"/>
        </w:rPr>
        <w:t>:</w:t>
      </w:r>
    </w:p>
    <w:p w14:paraId="2D42D260" w14:textId="77777777" w:rsidR="003F0004" w:rsidRPr="00640D24" w:rsidRDefault="003F0004" w:rsidP="004511EC">
      <w:pPr>
        <w:pStyle w:val="Sraopastraipa"/>
        <w:numPr>
          <w:ilvl w:val="0"/>
          <w:numId w:val="11"/>
        </w:numPr>
        <w:spacing w:before="60" w:after="60" w:line="240" w:lineRule="auto"/>
        <w:jc w:val="both"/>
        <w:rPr>
          <w:rFonts w:cs="Times New Roman"/>
          <w:sz w:val="22"/>
          <w:szCs w:val="22"/>
        </w:rPr>
      </w:pPr>
      <w:r w:rsidRPr="00640D24">
        <w:rPr>
          <w:rFonts w:cs="Times New Roman"/>
          <w:sz w:val="22"/>
          <w:szCs w:val="22"/>
        </w:rPr>
        <w:t>Vietinėje pramonėje vyrauja žemo technologinio išsivystymo SVV – tai šiuo metu riboja investicijas į bendrą gamybos plėtojimą;</w:t>
      </w:r>
    </w:p>
    <w:p w14:paraId="778D85BD" w14:textId="77777777" w:rsidR="003F0004" w:rsidRPr="00640D24" w:rsidRDefault="003F0004" w:rsidP="004511EC">
      <w:pPr>
        <w:pStyle w:val="Sraopastraipa"/>
        <w:numPr>
          <w:ilvl w:val="0"/>
          <w:numId w:val="11"/>
        </w:numPr>
        <w:spacing w:before="60" w:after="60" w:line="240" w:lineRule="auto"/>
        <w:jc w:val="both"/>
        <w:rPr>
          <w:rFonts w:cs="Times New Roman"/>
          <w:sz w:val="22"/>
          <w:szCs w:val="22"/>
        </w:rPr>
      </w:pPr>
      <w:r w:rsidRPr="00640D24">
        <w:rPr>
          <w:rFonts w:cs="Times New Roman"/>
          <w:sz w:val="22"/>
          <w:szCs w:val="22"/>
        </w:rPr>
        <w:t>Vyrauja užsakomoji žemos pridėtinės vertės produktų gamyba – tai riboja moderniausių technologinių sprendimų poreikį ir nereikalauja glaudaus Lietuvos mokslinių tyrimų centrų bei pramonės bendradarbiavimo;</w:t>
      </w:r>
    </w:p>
    <w:p w14:paraId="0B508DD6" w14:textId="77777777" w:rsidR="003F0004" w:rsidRPr="00640D24" w:rsidRDefault="003F0004" w:rsidP="004511EC">
      <w:pPr>
        <w:pStyle w:val="Sraopastraipa"/>
        <w:numPr>
          <w:ilvl w:val="0"/>
          <w:numId w:val="11"/>
        </w:numPr>
        <w:spacing w:before="60" w:after="60" w:line="240" w:lineRule="auto"/>
        <w:jc w:val="both"/>
        <w:rPr>
          <w:rFonts w:cs="Times New Roman"/>
          <w:sz w:val="22"/>
          <w:szCs w:val="22"/>
        </w:rPr>
      </w:pPr>
      <w:r w:rsidRPr="00640D24">
        <w:rPr>
          <w:rFonts w:cs="Times New Roman"/>
          <w:sz w:val="22"/>
          <w:szCs w:val="22"/>
        </w:rPr>
        <w:t>Nepakankamai suderinti darbo rinkos ir išsilavinimo bei pramonės poreikiai;</w:t>
      </w:r>
    </w:p>
    <w:p w14:paraId="2C5E0D0E" w14:textId="77777777" w:rsidR="003F0004" w:rsidRPr="00640D24" w:rsidRDefault="003F0004" w:rsidP="004511EC">
      <w:pPr>
        <w:pStyle w:val="Sraopastraipa"/>
        <w:numPr>
          <w:ilvl w:val="0"/>
          <w:numId w:val="11"/>
        </w:numPr>
        <w:spacing w:before="60" w:after="60" w:line="240" w:lineRule="auto"/>
        <w:jc w:val="both"/>
        <w:rPr>
          <w:rFonts w:cs="Times New Roman"/>
          <w:sz w:val="22"/>
          <w:szCs w:val="22"/>
        </w:rPr>
      </w:pPr>
      <w:r w:rsidRPr="00640D24">
        <w:rPr>
          <w:rFonts w:cs="Times New Roman"/>
          <w:sz w:val="22"/>
          <w:szCs w:val="22"/>
        </w:rPr>
        <w:t xml:space="preserve">Išskaidyta paskatų </w:t>
      </w:r>
      <w:proofErr w:type="spellStart"/>
      <w:r w:rsidRPr="00640D24">
        <w:rPr>
          <w:rFonts w:cs="Times New Roman"/>
          <w:sz w:val="22"/>
          <w:szCs w:val="22"/>
        </w:rPr>
        <w:t>skaitmeninti</w:t>
      </w:r>
      <w:proofErr w:type="spellEnd"/>
      <w:r w:rsidRPr="00640D24">
        <w:rPr>
          <w:rFonts w:cs="Times New Roman"/>
          <w:sz w:val="22"/>
          <w:szCs w:val="22"/>
        </w:rPr>
        <w:t xml:space="preserve"> sistema, kurią sudaro daug elementų, jungiamų prastai funkcionuojančių jungčių;</w:t>
      </w:r>
    </w:p>
    <w:p w14:paraId="1805DE44" w14:textId="619639DD" w:rsidR="007E627F" w:rsidRPr="00640D24" w:rsidRDefault="003F0004" w:rsidP="004511EC">
      <w:pPr>
        <w:pStyle w:val="Sraopastraipa"/>
        <w:numPr>
          <w:ilvl w:val="0"/>
          <w:numId w:val="11"/>
        </w:numPr>
        <w:spacing w:before="60" w:after="60" w:line="240" w:lineRule="auto"/>
        <w:jc w:val="both"/>
        <w:rPr>
          <w:rFonts w:cs="Times New Roman"/>
          <w:sz w:val="22"/>
          <w:szCs w:val="22"/>
        </w:rPr>
      </w:pPr>
      <w:r w:rsidRPr="00640D24">
        <w:rPr>
          <w:rFonts w:cs="Times New Roman"/>
          <w:sz w:val="22"/>
          <w:szCs w:val="22"/>
        </w:rPr>
        <w:t xml:space="preserve">Lėtai besiplėtojanti partnerystės kultūra, kuri stabdo pagrindinių ekonominės sistemos dalyvių bendradarbiavimą ir bendradarbiavimą, paremtą įprastais B2B (verslas verslui, angl. </w:t>
      </w:r>
      <w:proofErr w:type="spellStart"/>
      <w:r w:rsidRPr="00640D24">
        <w:rPr>
          <w:rFonts w:cs="Times New Roman"/>
          <w:i/>
          <w:iCs/>
          <w:sz w:val="22"/>
          <w:szCs w:val="22"/>
        </w:rPr>
        <w:t>business</w:t>
      </w:r>
      <w:proofErr w:type="spellEnd"/>
      <w:r w:rsidR="00645085" w:rsidRPr="00640D24">
        <w:rPr>
          <w:rFonts w:cs="Times New Roman"/>
          <w:i/>
          <w:iCs/>
          <w:sz w:val="22"/>
          <w:szCs w:val="22"/>
        </w:rPr>
        <w:t>–</w:t>
      </w:r>
      <w:r w:rsidRPr="00640D24">
        <w:rPr>
          <w:rFonts w:cs="Times New Roman"/>
          <w:i/>
          <w:iCs/>
          <w:sz w:val="22"/>
          <w:szCs w:val="22"/>
        </w:rPr>
        <w:t>to</w:t>
      </w:r>
      <w:r w:rsidR="00645085" w:rsidRPr="00640D24">
        <w:rPr>
          <w:rFonts w:cs="Times New Roman"/>
          <w:i/>
          <w:iCs/>
          <w:sz w:val="22"/>
          <w:szCs w:val="22"/>
        </w:rPr>
        <w:t>–</w:t>
      </w:r>
      <w:proofErr w:type="spellStart"/>
      <w:r w:rsidRPr="00640D24">
        <w:rPr>
          <w:rFonts w:cs="Times New Roman"/>
          <w:i/>
          <w:iCs/>
          <w:sz w:val="22"/>
          <w:szCs w:val="22"/>
        </w:rPr>
        <w:t>business</w:t>
      </w:r>
      <w:proofErr w:type="spellEnd"/>
      <w:r w:rsidRPr="00640D24">
        <w:rPr>
          <w:rFonts w:cs="Times New Roman"/>
          <w:sz w:val="22"/>
          <w:szCs w:val="22"/>
        </w:rPr>
        <w:t>) santykiais.</w:t>
      </w:r>
    </w:p>
    <w:p w14:paraId="1E8E6532" w14:textId="77777777" w:rsidR="003F0004" w:rsidRPr="00640D24" w:rsidRDefault="003F0004" w:rsidP="00170B5F">
      <w:pPr>
        <w:spacing w:before="60" w:after="60" w:line="240" w:lineRule="auto"/>
        <w:ind w:firstLine="567"/>
        <w:jc w:val="both"/>
        <w:rPr>
          <w:rFonts w:cs="Times New Roman"/>
          <w:sz w:val="22"/>
          <w:szCs w:val="22"/>
        </w:rPr>
      </w:pPr>
      <w:r w:rsidRPr="00640D24">
        <w:rPr>
          <w:rFonts w:cs="Times New Roman"/>
          <w:sz w:val="22"/>
          <w:szCs w:val="22"/>
        </w:rPr>
        <w:t xml:space="preserve">NP plane yra teigiama, kad šalies konkurencingumo ir produktyvumo didinimui vienas iš esminių veiksnių yra visos valstybės </w:t>
      </w:r>
      <w:proofErr w:type="spellStart"/>
      <w:r w:rsidRPr="00640D24">
        <w:rPr>
          <w:rFonts w:cs="Times New Roman"/>
          <w:sz w:val="22"/>
          <w:szCs w:val="22"/>
        </w:rPr>
        <w:t>skaitmeninimas</w:t>
      </w:r>
      <w:proofErr w:type="spellEnd"/>
      <w:r w:rsidRPr="00640D24">
        <w:rPr>
          <w:rFonts w:cs="Times New Roman"/>
          <w:sz w:val="22"/>
          <w:szCs w:val="22"/>
        </w:rPr>
        <w:t xml:space="preserve"> ir technologinis atsinaujinimas, kuris sudaro pagrindą aukštos pridėtinės vertės produktų kūrimui. Skaitmeninės Europos programoje</w:t>
      </w:r>
      <w:r w:rsidRPr="00640D24">
        <w:rPr>
          <w:rStyle w:val="Puslapioinaosnuoroda"/>
          <w:rFonts w:cs="Times New Roman"/>
          <w:sz w:val="22"/>
          <w:szCs w:val="22"/>
        </w:rPr>
        <w:footnoteReference w:id="36"/>
      </w:r>
      <w:r w:rsidRPr="00640D24">
        <w:rPr>
          <w:rFonts w:cs="Times New Roman"/>
          <w:sz w:val="22"/>
          <w:szCs w:val="22"/>
        </w:rPr>
        <w:t xml:space="preserve"> akcentuojama, kad prioritetas turėtų būti skiriamas </w:t>
      </w:r>
      <w:proofErr w:type="spellStart"/>
      <w:r w:rsidRPr="00640D24">
        <w:rPr>
          <w:rFonts w:cs="Times New Roman"/>
          <w:sz w:val="22"/>
          <w:szCs w:val="22"/>
        </w:rPr>
        <w:t>superkompiuterijos</w:t>
      </w:r>
      <w:proofErr w:type="spellEnd"/>
      <w:r w:rsidRPr="00640D24">
        <w:rPr>
          <w:rFonts w:cs="Times New Roman"/>
          <w:sz w:val="22"/>
          <w:szCs w:val="22"/>
        </w:rPr>
        <w:t xml:space="preserve">, dirbtinio intelekto, kibernetinio saugumo, aukšto lygio skaitmeninių įgūdžių ir skaitmeninių technologijų plataus naudojimo užtikrinimui visose ekonomikos srityse ir visuomeniniame gyvenime. Atsižvelgiant į tai, įgyvendinant pirmąjį NP plano strateginį tikslą bus skatinamos produktyviosios investicijos, technologinė pažanga, </w:t>
      </w:r>
      <w:proofErr w:type="spellStart"/>
      <w:r w:rsidRPr="00640D24">
        <w:rPr>
          <w:rFonts w:cs="Times New Roman"/>
          <w:sz w:val="22"/>
          <w:szCs w:val="22"/>
        </w:rPr>
        <w:t>skaitmenizavimas</w:t>
      </w:r>
      <w:proofErr w:type="spellEnd"/>
      <w:r w:rsidRPr="00640D24">
        <w:rPr>
          <w:rFonts w:cs="Times New Roman"/>
          <w:sz w:val="22"/>
          <w:szCs w:val="22"/>
        </w:rPr>
        <w:t xml:space="preserve">, gerinama verslo aplinka, skatinamas verslumas. </w:t>
      </w:r>
    </w:p>
    <w:p w14:paraId="57CCFAD7" w14:textId="5B36C5A0" w:rsidR="003F0004" w:rsidRPr="00640D24" w:rsidRDefault="003F0004" w:rsidP="00170B5F">
      <w:pPr>
        <w:spacing w:before="60" w:after="60" w:line="240" w:lineRule="auto"/>
        <w:ind w:firstLine="567"/>
        <w:jc w:val="both"/>
        <w:rPr>
          <w:rFonts w:cs="Times New Roman"/>
          <w:i/>
          <w:iCs/>
          <w:sz w:val="22"/>
          <w:szCs w:val="22"/>
        </w:rPr>
      </w:pPr>
      <w:r w:rsidRPr="00640D24">
        <w:rPr>
          <w:rFonts w:cs="Times New Roman"/>
          <w:sz w:val="22"/>
          <w:szCs w:val="22"/>
        </w:rPr>
        <w:t xml:space="preserve">Su </w:t>
      </w:r>
      <w:r w:rsidR="00B42E9B" w:rsidRPr="00640D24">
        <w:rPr>
          <w:rFonts w:cs="Times New Roman"/>
          <w:sz w:val="22"/>
          <w:szCs w:val="22"/>
        </w:rPr>
        <w:t>įmonių</w:t>
      </w:r>
      <w:r w:rsidRPr="00640D24">
        <w:rPr>
          <w:rFonts w:cs="Times New Roman"/>
          <w:sz w:val="22"/>
          <w:szCs w:val="22"/>
        </w:rPr>
        <w:t xml:space="preserve"> </w:t>
      </w:r>
      <w:proofErr w:type="spellStart"/>
      <w:r w:rsidRPr="00640D24">
        <w:rPr>
          <w:rFonts w:cs="Times New Roman"/>
          <w:sz w:val="22"/>
          <w:szCs w:val="22"/>
        </w:rPr>
        <w:t>skaitmeninimu</w:t>
      </w:r>
      <w:proofErr w:type="spellEnd"/>
      <w:r w:rsidRPr="00640D24">
        <w:rPr>
          <w:rFonts w:cs="Times New Roman"/>
          <w:sz w:val="22"/>
          <w:szCs w:val="22"/>
        </w:rPr>
        <w:t xml:space="preserve"> susijusiais iššūkiais susiduria tiek Sostinės regionas, tiek Vidurio ir Vakarų Lietuvos regionas. Vis dėl to, atsižvelgiant į </w:t>
      </w:r>
      <w:r w:rsidR="00D41598" w:rsidRPr="00640D24">
        <w:rPr>
          <w:rFonts w:cs="Times New Roman"/>
          <w:sz w:val="22"/>
          <w:szCs w:val="22"/>
        </w:rPr>
        <w:t xml:space="preserve">egzistuojantį </w:t>
      </w:r>
      <w:r w:rsidRPr="00640D24">
        <w:rPr>
          <w:rFonts w:cs="Times New Roman"/>
          <w:sz w:val="22"/>
          <w:szCs w:val="22"/>
        </w:rPr>
        <w:t xml:space="preserve">Sostinės regiono pramonės </w:t>
      </w:r>
      <w:r w:rsidR="00B42E9B" w:rsidRPr="00640D24">
        <w:rPr>
          <w:rFonts w:cs="Times New Roman"/>
          <w:sz w:val="22"/>
          <w:szCs w:val="22"/>
        </w:rPr>
        <w:t>įmonių</w:t>
      </w:r>
      <w:r w:rsidRPr="00640D24">
        <w:rPr>
          <w:rFonts w:cs="Times New Roman"/>
          <w:sz w:val="22"/>
          <w:szCs w:val="22"/>
        </w:rPr>
        <w:t xml:space="preserve"> atotrūkį nuo Vidurio ir Vakarų Lietuvos regiono 2021</w:t>
      </w:r>
      <w:r w:rsidR="005F6BB6" w:rsidRPr="00640D24">
        <w:rPr>
          <w:rFonts w:cs="Times New Roman"/>
          <w:sz w:val="22"/>
          <w:szCs w:val="22"/>
        </w:rPr>
        <w:t>–</w:t>
      </w:r>
      <w:r w:rsidRPr="00640D24">
        <w:rPr>
          <w:rFonts w:cs="Times New Roman"/>
          <w:sz w:val="22"/>
          <w:szCs w:val="22"/>
        </w:rPr>
        <w:t xml:space="preserve">2027 m. programa nurodo, kad </w:t>
      </w:r>
      <w:r w:rsidR="00B42E9B" w:rsidRPr="00640D24">
        <w:rPr>
          <w:rFonts w:cs="Times New Roman"/>
          <w:sz w:val="22"/>
          <w:szCs w:val="22"/>
        </w:rPr>
        <w:t>įmonių</w:t>
      </w:r>
      <w:r w:rsidRPr="00640D24">
        <w:rPr>
          <w:rFonts w:cs="Times New Roman"/>
          <w:sz w:val="22"/>
          <w:szCs w:val="22"/>
        </w:rPr>
        <w:t xml:space="preserve"> </w:t>
      </w:r>
      <w:proofErr w:type="spellStart"/>
      <w:r w:rsidRPr="00640D24">
        <w:rPr>
          <w:rFonts w:cs="Times New Roman"/>
          <w:sz w:val="22"/>
          <w:szCs w:val="22"/>
        </w:rPr>
        <w:t>skaitmeninimas</w:t>
      </w:r>
      <w:proofErr w:type="spellEnd"/>
      <w:r w:rsidRPr="00640D24">
        <w:rPr>
          <w:rFonts w:cs="Times New Roman"/>
          <w:sz w:val="22"/>
          <w:szCs w:val="22"/>
        </w:rPr>
        <w:t xml:space="preserve"> Sostinės regione bus įgyvendinamas pagal sumanios specializacijos strategiją, o Vidurio ir Vakarų Lietuvos regione – bus pritaikytas tradiciniam verslui priklausiančiose </w:t>
      </w:r>
      <w:r w:rsidR="00EB5AEA" w:rsidRPr="00640D24">
        <w:rPr>
          <w:rFonts w:cs="Times New Roman"/>
          <w:sz w:val="22"/>
          <w:szCs w:val="22"/>
        </w:rPr>
        <w:t>įmonėse</w:t>
      </w:r>
      <w:r w:rsidRPr="00640D24">
        <w:rPr>
          <w:rFonts w:cs="Times New Roman"/>
          <w:sz w:val="22"/>
          <w:szCs w:val="22"/>
        </w:rPr>
        <w:t>. Finansavimas šioje srityje tiesiogiai prisidės prie 2021</w:t>
      </w:r>
      <w:r w:rsidR="005F6BB6" w:rsidRPr="00640D24">
        <w:rPr>
          <w:rFonts w:cs="Times New Roman"/>
          <w:sz w:val="22"/>
          <w:szCs w:val="22"/>
        </w:rPr>
        <w:t>–</w:t>
      </w:r>
      <w:r w:rsidRPr="00640D24">
        <w:rPr>
          <w:rFonts w:cs="Times New Roman"/>
          <w:sz w:val="22"/>
          <w:szCs w:val="22"/>
        </w:rPr>
        <w:t>2027 m. programos pirmojo politikos tikslo „Pažangesnė Europa“, o taip pat prie NP plano I</w:t>
      </w:r>
      <w:r w:rsidR="00645085" w:rsidRPr="00640D24">
        <w:rPr>
          <w:rFonts w:cs="Times New Roman"/>
          <w:sz w:val="22"/>
          <w:szCs w:val="22"/>
        </w:rPr>
        <w:t>–</w:t>
      </w:r>
      <w:proofErr w:type="spellStart"/>
      <w:r w:rsidRPr="00640D24">
        <w:rPr>
          <w:rFonts w:cs="Times New Roman"/>
          <w:sz w:val="22"/>
          <w:szCs w:val="22"/>
        </w:rPr>
        <w:t>ojo</w:t>
      </w:r>
      <w:proofErr w:type="spellEnd"/>
      <w:r w:rsidRPr="00640D24">
        <w:rPr>
          <w:rFonts w:cs="Times New Roman"/>
          <w:sz w:val="22"/>
          <w:szCs w:val="22"/>
        </w:rPr>
        <w:t xml:space="preserve"> strateginio tikslo.</w:t>
      </w:r>
    </w:p>
    <w:p w14:paraId="6DBFF57A" w14:textId="78645D3E" w:rsidR="00943747" w:rsidRPr="00640D24" w:rsidRDefault="00943747" w:rsidP="002A24FE">
      <w:pPr>
        <w:pStyle w:val="Antrat4"/>
        <w:spacing w:before="120"/>
      </w:pPr>
      <w:r w:rsidRPr="00640D24">
        <w:t xml:space="preserve">Aukštą pridėtinę vertę kuriančių </w:t>
      </w:r>
      <w:r w:rsidR="00A93202" w:rsidRPr="00640D24">
        <w:t xml:space="preserve">pramonės įmonių </w:t>
      </w:r>
      <w:r w:rsidR="00C13DD2" w:rsidRPr="00640D24">
        <w:t xml:space="preserve">gamybos </w:t>
      </w:r>
      <w:r w:rsidRPr="00640D24">
        <w:t xml:space="preserve">procesų </w:t>
      </w:r>
      <w:proofErr w:type="spellStart"/>
      <w:r w:rsidRPr="00640D24">
        <w:t>skaitmeninimas</w:t>
      </w:r>
      <w:proofErr w:type="spellEnd"/>
      <w:r w:rsidRPr="00640D24">
        <w:t xml:space="preserve"> </w:t>
      </w:r>
    </w:p>
    <w:p w14:paraId="21390EDA" w14:textId="591FEC8B" w:rsidR="007F7D3B" w:rsidRPr="00640D24" w:rsidRDefault="007F7D3B" w:rsidP="00170B5F">
      <w:pPr>
        <w:spacing w:before="60" w:after="60" w:line="240" w:lineRule="auto"/>
        <w:ind w:firstLine="567"/>
        <w:jc w:val="both"/>
        <w:rPr>
          <w:rFonts w:cs="Times New Roman"/>
          <w:sz w:val="22"/>
          <w:szCs w:val="22"/>
        </w:rPr>
      </w:pPr>
      <w:r w:rsidRPr="00640D24">
        <w:rPr>
          <w:rFonts w:cs="Times New Roman"/>
          <w:sz w:val="22"/>
          <w:szCs w:val="22"/>
        </w:rPr>
        <w:t>Valstybės pažangos strategijoje „Lietuva 2030“</w:t>
      </w:r>
      <w:r w:rsidRPr="00640D24">
        <w:rPr>
          <w:rFonts w:cs="Times New Roman"/>
          <w:sz w:val="22"/>
          <w:szCs w:val="22"/>
          <w:vertAlign w:val="superscript"/>
        </w:rPr>
        <w:footnoteReference w:id="37"/>
      </w:r>
      <w:r w:rsidRPr="00640D24">
        <w:rPr>
          <w:rFonts w:cs="Times New Roman"/>
          <w:sz w:val="22"/>
          <w:szCs w:val="22"/>
        </w:rPr>
        <w:t xml:space="preserve"> teigiama, kad nešiuolaikiški verslo procesai, pasenę technologiniai gamybos pajėgumai stabdo verslo įmonių galimybes konkuruoti tarptautinėse rinkose, kurti ir parduoti aukštesnės pridėtinės vertės produktus ir paslaugas. NP </w:t>
      </w:r>
      <w:r w:rsidR="00193AF4" w:rsidRPr="00640D24">
        <w:rPr>
          <w:rFonts w:cs="Times New Roman"/>
          <w:sz w:val="22"/>
          <w:szCs w:val="22"/>
        </w:rPr>
        <w:t>p</w:t>
      </w:r>
      <w:r w:rsidRPr="00640D24">
        <w:rPr>
          <w:rFonts w:cs="Times New Roman"/>
          <w:sz w:val="22"/>
          <w:szCs w:val="22"/>
        </w:rPr>
        <w:t xml:space="preserve">lane taip pat pabrėžiama, kad vienas esminių šalies konkurencingumo ir produktyvumo didinimo veiksnių yra </w:t>
      </w:r>
      <w:proofErr w:type="spellStart"/>
      <w:r w:rsidRPr="00640D24">
        <w:rPr>
          <w:rFonts w:cs="Times New Roman"/>
          <w:sz w:val="22"/>
          <w:szCs w:val="22"/>
        </w:rPr>
        <w:t>skaitmeninimas</w:t>
      </w:r>
      <w:proofErr w:type="spellEnd"/>
      <w:r w:rsidRPr="00640D24">
        <w:rPr>
          <w:rFonts w:cs="Times New Roman"/>
          <w:sz w:val="22"/>
          <w:szCs w:val="22"/>
        </w:rPr>
        <w:t xml:space="preserve"> ir technologinis atsinaujinimas – aukštos pridėtinės vertės produktų kūrimo pagrindas. Skaitmeninės Europos programoje pabrėžiama, kad prioritetas turėtų būti skiriamas </w:t>
      </w:r>
      <w:proofErr w:type="spellStart"/>
      <w:r w:rsidRPr="00640D24">
        <w:rPr>
          <w:rFonts w:cs="Times New Roman"/>
          <w:sz w:val="22"/>
          <w:szCs w:val="22"/>
        </w:rPr>
        <w:t>superkompiuterijos</w:t>
      </w:r>
      <w:proofErr w:type="spellEnd"/>
      <w:r w:rsidRPr="00640D24">
        <w:rPr>
          <w:rFonts w:cs="Times New Roman"/>
          <w:sz w:val="22"/>
          <w:szCs w:val="22"/>
        </w:rPr>
        <w:t>, dirbtinio intelekto, kibernetinio saugumo, aukšto lygio skaitmeninių įgūdžių ir skaitmeninių technologijų plataus naudojimo užtikrinimui visose ekonomikos srityse ir visuomeniniame gyvenime.</w:t>
      </w:r>
      <w:r w:rsidR="006935AA" w:rsidRPr="00640D24">
        <w:rPr>
          <w:rFonts w:cs="Times New Roman"/>
          <w:sz w:val="22"/>
          <w:szCs w:val="22"/>
        </w:rPr>
        <w:t xml:space="preserve"> </w:t>
      </w:r>
      <w:r w:rsidR="00435C5F" w:rsidRPr="00640D24">
        <w:rPr>
          <w:rFonts w:cs="Times New Roman"/>
          <w:sz w:val="22"/>
          <w:szCs w:val="22"/>
        </w:rPr>
        <w:t xml:space="preserve">Atsižvelgiant į procesų </w:t>
      </w:r>
      <w:proofErr w:type="spellStart"/>
      <w:r w:rsidR="00435C5F" w:rsidRPr="00640D24">
        <w:rPr>
          <w:rFonts w:cs="Times New Roman"/>
          <w:sz w:val="22"/>
          <w:szCs w:val="22"/>
        </w:rPr>
        <w:t>s</w:t>
      </w:r>
      <w:r w:rsidR="00247BEE" w:rsidRPr="00640D24">
        <w:rPr>
          <w:rFonts w:cs="Times New Roman"/>
          <w:sz w:val="22"/>
          <w:szCs w:val="22"/>
        </w:rPr>
        <w:t>kaitmeninimo</w:t>
      </w:r>
      <w:proofErr w:type="spellEnd"/>
      <w:r w:rsidR="00435C5F" w:rsidRPr="00640D24">
        <w:rPr>
          <w:rFonts w:cs="Times New Roman"/>
          <w:sz w:val="22"/>
          <w:szCs w:val="22"/>
        </w:rPr>
        <w:t xml:space="preserve"> sukuriamas naudas, </w:t>
      </w:r>
      <w:r w:rsidR="008A6E42" w:rsidRPr="00640D24">
        <w:rPr>
          <w:sz w:val="22"/>
        </w:rPr>
        <w:t>2021</w:t>
      </w:r>
      <w:r w:rsidR="005F6BB6" w:rsidRPr="00640D24">
        <w:rPr>
          <w:sz w:val="22"/>
        </w:rPr>
        <w:t>–</w:t>
      </w:r>
      <w:r w:rsidR="008A6E42" w:rsidRPr="00640D24">
        <w:rPr>
          <w:sz w:val="22"/>
        </w:rPr>
        <w:t xml:space="preserve">2027 m. </w:t>
      </w:r>
      <w:r w:rsidR="00435C5F" w:rsidRPr="00640D24">
        <w:rPr>
          <w:sz w:val="22"/>
        </w:rPr>
        <w:t xml:space="preserve">programoje numatyta investicijų į pramonės </w:t>
      </w:r>
      <w:r w:rsidR="00EB5AEA" w:rsidRPr="00640D24">
        <w:rPr>
          <w:sz w:val="22"/>
        </w:rPr>
        <w:t>įmonių</w:t>
      </w:r>
      <w:r w:rsidR="00435C5F" w:rsidRPr="00640D24">
        <w:rPr>
          <w:sz w:val="22"/>
        </w:rPr>
        <w:t xml:space="preserve"> gamybos procesų įrangos su integruotomis </w:t>
      </w:r>
      <w:proofErr w:type="spellStart"/>
      <w:r w:rsidR="00435C5F" w:rsidRPr="00640D24">
        <w:rPr>
          <w:sz w:val="22"/>
        </w:rPr>
        <w:t>skaitmeninimo</w:t>
      </w:r>
      <w:proofErr w:type="spellEnd"/>
      <w:r w:rsidR="00435C5F" w:rsidRPr="00640D24">
        <w:rPr>
          <w:sz w:val="22"/>
        </w:rPr>
        <w:t xml:space="preserve"> technologijomis diegimą. Dėl didesnio procesų </w:t>
      </w:r>
      <w:proofErr w:type="spellStart"/>
      <w:r w:rsidR="00435C5F" w:rsidRPr="00640D24">
        <w:rPr>
          <w:sz w:val="22"/>
        </w:rPr>
        <w:t>skaitmeninimo</w:t>
      </w:r>
      <w:proofErr w:type="spellEnd"/>
      <w:r w:rsidR="00435C5F" w:rsidRPr="00640D24">
        <w:rPr>
          <w:sz w:val="22"/>
        </w:rPr>
        <w:t xml:space="preserve"> poveikio aukštą pridėtinę vertę kuriančioms </w:t>
      </w:r>
      <w:r w:rsidR="00EB5AEA" w:rsidRPr="00640D24">
        <w:rPr>
          <w:sz w:val="22"/>
        </w:rPr>
        <w:t>įmonėms</w:t>
      </w:r>
      <w:r w:rsidR="00435C5F" w:rsidRPr="00640D24">
        <w:rPr>
          <w:sz w:val="22"/>
        </w:rPr>
        <w:t xml:space="preserve"> ir didesnės jų koncentracijos Sostinės </w:t>
      </w:r>
      <w:r w:rsidR="00020D07" w:rsidRPr="00640D24">
        <w:rPr>
          <w:sz w:val="22"/>
        </w:rPr>
        <w:t>regione</w:t>
      </w:r>
      <w:r w:rsidR="00435C5F" w:rsidRPr="00640D24">
        <w:rPr>
          <w:sz w:val="22"/>
        </w:rPr>
        <w:t>, šios veiklos tiksliniai naudos gavėjai – aukštą pridėtinę vertę kurian</w:t>
      </w:r>
      <w:r w:rsidR="00EB5AEA" w:rsidRPr="00640D24">
        <w:rPr>
          <w:sz w:val="22"/>
        </w:rPr>
        <w:t>čios įmonės</w:t>
      </w:r>
      <w:r w:rsidR="00D117D4" w:rsidRPr="00640D24">
        <w:rPr>
          <w:sz w:val="22"/>
        </w:rPr>
        <w:t>, pvz.:</w:t>
      </w:r>
      <w:r w:rsidR="00435C5F" w:rsidRPr="00640D24">
        <w:rPr>
          <w:sz w:val="22"/>
        </w:rPr>
        <w:t xml:space="preserve"> IT, biotechnologijų, tam tikrose pramonės šakose ir pan., veiklą vykdantys Sostinės regione.</w:t>
      </w:r>
      <w:r w:rsidR="00D14B2B" w:rsidRPr="00640D24">
        <w:rPr>
          <w:rFonts w:cs="Times New Roman"/>
          <w:sz w:val="22"/>
          <w:szCs w:val="22"/>
        </w:rPr>
        <w:t xml:space="preserve"> </w:t>
      </w:r>
    </w:p>
    <w:p w14:paraId="5011EEBE" w14:textId="3D5A0F88" w:rsidR="00752845" w:rsidRPr="00640D24" w:rsidRDefault="007F7D3B" w:rsidP="00F01F6B">
      <w:pPr>
        <w:spacing w:before="60" w:after="60" w:line="240" w:lineRule="auto"/>
        <w:ind w:firstLine="567"/>
        <w:jc w:val="both"/>
        <w:rPr>
          <w:rFonts w:cs="Times New Roman"/>
          <w:sz w:val="22"/>
          <w:szCs w:val="22"/>
        </w:rPr>
      </w:pPr>
      <w:r w:rsidRPr="00640D24">
        <w:rPr>
          <w:rFonts w:cs="Times New Roman"/>
          <w:sz w:val="22"/>
          <w:szCs w:val="22"/>
        </w:rPr>
        <w:t xml:space="preserve">Pirmojo „Pramonės </w:t>
      </w:r>
      <w:proofErr w:type="spellStart"/>
      <w:r w:rsidRPr="00640D24">
        <w:rPr>
          <w:rFonts w:cs="Times New Roman"/>
          <w:sz w:val="22"/>
          <w:szCs w:val="22"/>
        </w:rPr>
        <w:t>skaitmeninimas</w:t>
      </w:r>
      <w:proofErr w:type="spellEnd"/>
      <w:r w:rsidRPr="00640D24">
        <w:rPr>
          <w:rFonts w:cs="Times New Roman"/>
          <w:sz w:val="22"/>
          <w:szCs w:val="22"/>
        </w:rPr>
        <w:t xml:space="preserve"> LT“ priemonės kvietimo rezultatai rodo, kad įmonės dar vis renkasi diegti sąlyginai paprastas skaitmenines technologijas – daugiau nei du trečdaliai pareiškėjų, gavusių teigiamą sprendimą dėl finansavimo skyrimo, planuoja diegti automatizavimo sprendimus (95 pareiškėjai), ERP</w:t>
      </w:r>
      <w:r w:rsidR="00247BEE" w:rsidRPr="00640D24">
        <w:rPr>
          <w:rFonts w:cs="Times New Roman"/>
          <w:sz w:val="22"/>
          <w:szCs w:val="22"/>
        </w:rPr>
        <w:t xml:space="preserve"> (</w:t>
      </w:r>
      <w:r w:rsidR="00012C96" w:rsidRPr="00640D24">
        <w:rPr>
          <w:rFonts w:cs="Times New Roman"/>
          <w:sz w:val="22"/>
          <w:szCs w:val="22"/>
        </w:rPr>
        <w:t xml:space="preserve">angl. </w:t>
      </w:r>
      <w:proofErr w:type="spellStart"/>
      <w:r w:rsidR="00247BEE" w:rsidRPr="00640D24">
        <w:rPr>
          <w:rFonts w:cs="Times New Roman"/>
          <w:i/>
          <w:iCs/>
          <w:sz w:val="22"/>
          <w:szCs w:val="22"/>
        </w:rPr>
        <w:t>enterprise</w:t>
      </w:r>
      <w:proofErr w:type="spellEnd"/>
      <w:r w:rsidR="00247BEE" w:rsidRPr="00640D24">
        <w:rPr>
          <w:rFonts w:cs="Times New Roman"/>
          <w:i/>
          <w:iCs/>
          <w:sz w:val="22"/>
          <w:szCs w:val="22"/>
        </w:rPr>
        <w:t xml:space="preserve"> </w:t>
      </w:r>
      <w:proofErr w:type="spellStart"/>
      <w:r w:rsidR="00247BEE" w:rsidRPr="00640D24">
        <w:rPr>
          <w:rFonts w:cs="Times New Roman"/>
          <w:i/>
          <w:iCs/>
          <w:sz w:val="22"/>
          <w:szCs w:val="22"/>
        </w:rPr>
        <w:t>resource</w:t>
      </w:r>
      <w:proofErr w:type="spellEnd"/>
      <w:r w:rsidR="00247BEE" w:rsidRPr="00640D24">
        <w:rPr>
          <w:rFonts w:cs="Times New Roman"/>
          <w:i/>
          <w:iCs/>
          <w:sz w:val="22"/>
          <w:szCs w:val="22"/>
        </w:rPr>
        <w:t xml:space="preserve"> </w:t>
      </w:r>
      <w:proofErr w:type="spellStart"/>
      <w:r w:rsidR="00247BEE" w:rsidRPr="00640D24">
        <w:rPr>
          <w:rFonts w:cs="Times New Roman"/>
          <w:i/>
          <w:iCs/>
          <w:sz w:val="22"/>
          <w:szCs w:val="22"/>
        </w:rPr>
        <w:t>planning</w:t>
      </w:r>
      <w:proofErr w:type="spellEnd"/>
      <w:r w:rsidR="00247BEE" w:rsidRPr="00640D24">
        <w:rPr>
          <w:rFonts w:cs="Times New Roman"/>
          <w:sz w:val="22"/>
          <w:szCs w:val="22"/>
        </w:rPr>
        <w:t>)</w:t>
      </w:r>
      <w:r w:rsidRPr="00640D24">
        <w:rPr>
          <w:rFonts w:cs="Times New Roman"/>
          <w:sz w:val="22"/>
          <w:szCs w:val="22"/>
        </w:rPr>
        <w:t xml:space="preserve"> įmonės išteklių valdymo sistemas (29 pareiškėjai) ar </w:t>
      </w:r>
      <w:proofErr w:type="spellStart"/>
      <w:r w:rsidRPr="00640D24">
        <w:rPr>
          <w:rFonts w:cs="Times New Roman"/>
          <w:sz w:val="22"/>
          <w:szCs w:val="22"/>
        </w:rPr>
        <w:t>robotikos</w:t>
      </w:r>
      <w:proofErr w:type="spellEnd"/>
      <w:r w:rsidRPr="00640D24">
        <w:rPr>
          <w:rFonts w:cs="Times New Roman"/>
          <w:sz w:val="22"/>
          <w:szCs w:val="22"/>
        </w:rPr>
        <w:t xml:space="preserve"> technologijas </w:t>
      </w:r>
      <w:r w:rsidRPr="00640D24">
        <w:rPr>
          <w:rFonts w:cs="Times New Roman"/>
          <w:sz w:val="22"/>
          <w:szCs w:val="22"/>
        </w:rPr>
        <w:lastRenderedPageBreak/>
        <w:t xml:space="preserve">(27 pareiškėjai), o į </w:t>
      </w:r>
      <w:proofErr w:type="spellStart"/>
      <w:r w:rsidRPr="00640D24">
        <w:rPr>
          <w:rFonts w:cs="Times New Roman"/>
          <w:sz w:val="22"/>
          <w:szCs w:val="22"/>
        </w:rPr>
        <w:t>debesijos</w:t>
      </w:r>
      <w:proofErr w:type="spellEnd"/>
      <w:r w:rsidRPr="00640D24">
        <w:rPr>
          <w:rFonts w:cs="Times New Roman"/>
          <w:sz w:val="22"/>
          <w:szCs w:val="22"/>
        </w:rPr>
        <w:t xml:space="preserve"> technologijas, 3D spausdinimą ar dirbtinį intelektą investuos vos viena kita</w:t>
      </w:r>
      <w:r w:rsidR="00AC2366" w:rsidRPr="00640D24">
        <w:rPr>
          <w:rFonts w:cs="Times New Roman"/>
          <w:sz w:val="22"/>
          <w:szCs w:val="22"/>
        </w:rPr>
        <w:t xml:space="preserve"> </w:t>
      </w:r>
      <w:r w:rsidRPr="00640D24">
        <w:rPr>
          <w:rFonts w:cs="Times New Roman"/>
          <w:sz w:val="22"/>
          <w:szCs w:val="22"/>
        </w:rPr>
        <w:t>įmonė</w:t>
      </w:r>
      <w:r w:rsidR="006935AA" w:rsidRPr="00640D24">
        <w:rPr>
          <w:rStyle w:val="Puslapioinaosnuoroda"/>
          <w:rFonts w:cs="Times New Roman"/>
          <w:sz w:val="22"/>
          <w:szCs w:val="22"/>
        </w:rPr>
        <w:footnoteReference w:id="38"/>
      </w:r>
      <w:r w:rsidRPr="00640D24">
        <w:rPr>
          <w:rFonts w:cs="Times New Roman"/>
          <w:sz w:val="22"/>
          <w:szCs w:val="22"/>
        </w:rPr>
        <w:t xml:space="preserve"> Tai rodo, kad įmonių skaitmeninė branda kol kas yra gana žema, o ateityje </w:t>
      </w:r>
      <w:proofErr w:type="spellStart"/>
      <w:r w:rsidRPr="00640D24">
        <w:rPr>
          <w:rFonts w:cs="Times New Roman"/>
          <w:sz w:val="22"/>
          <w:szCs w:val="22"/>
        </w:rPr>
        <w:t>skaitmeninimo</w:t>
      </w:r>
      <w:proofErr w:type="spellEnd"/>
      <w:r w:rsidRPr="00640D24">
        <w:rPr>
          <w:rFonts w:cs="Times New Roman"/>
          <w:sz w:val="22"/>
          <w:szCs w:val="22"/>
        </w:rPr>
        <w:t xml:space="preserve"> poreikiai augs</w:t>
      </w:r>
      <w:r w:rsidRPr="00640D24">
        <w:rPr>
          <w:rStyle w:val="Puslapioinaosnuoroda"/>
          <w:rFonts w:cs="Times New Roman"/>
          <w:sz w:val="22"/>
          <w:szCs w:val="22"/>
        </w:rPr>
        <w:footnoteReference w:id="39"/>
      </w:r>
      <w:r w:rsidRPr="00640D24">
        <w:rPr>
          <w:rFonts w:cs="Times New Roman"/>
          <w:sz w:val="22"/>
          <w:szCs w:val="22"/>
        </w:rPr>
        <w:t xml:space="preserve"> Atsižvelgiant į Sostinės regione veikiančių aukštą pridėtinę vertę kuriančių </w:t>
      </w:r>
      <w:r w:rsidR="00EB5AEA" w:rsidRPr="00640D24">
        <w:rPr>
          <w:rFonts w:cs="Times New Roman"/>
          <w:sz w:val="22"/>
          <w:szCs w:val="22"/>
        </w:rPr>
        <w:t>įmonių</w:t>
      </w:r>
      <w:r w:rsidRPr="00640D24">
        <w:rPr>
          <w:rFonts w:cs="Times New Roman"/>
          <w:sz w:val="22"/>
          <w:szCs w:val="22"/>
        </w:rPr>
        <w:t xml:space="preserve"> koncentraciją, daroma prielaida, kad šios įmonės </w:t>
      </w:r>
      <w:r w:rsidR="008A6E42" w:rsidRPr="00640D24">
        <w:rPr>
          <w:rFonts w:cs="Times New Roman"/>
          <w:sz w:val="22"/>
          <w:szCs w:val="22"/>
        </w:rPr>
        <w:t xml:space="preserve">turi stipriausius absorbcinius pajėgumus pasinaudoti </w:t>
      </w:r>
      <w:proofErr w:type="spellStart"/>
      <w:r w:rsidR="008E563A" w:rsidRPr="00640D24">
        <w:rPr>
          <w:rFonts w:cs="Times New Roman"/>
          <w:sz w:val="22"/>
          <w:szCs w:val="22"/>
        </w:rPr>
        <w:t>skaitmeninimo</w:t>
      </w:r>
      <w:proofErr w:type="spellEnd"/>
      <w:r w:rsidR="008E563A" w:rsidRPr="00640D24">
        <w:rPr>
          <w:rFonts w:cs="Times New Roman"/>
          <w:sz w:val="22"/>
          <w:szCs w:val="22"/>
        </w:rPr>
        <w:t xml:space="preserve"> technologijų </w:t>
      </w:r>
      <w:r w:rsidR="008A6E42" w:rsidRPr="00640D24">
        <w:rPr>
          <w:rFonts w:cs="Times New Roman"/>
          <w:sz w:val="22"/>
          <w:szCs w:val="22"/>
        </w:rPr>
        <w:t>skatinimui skiriamomis investicijomis</w:t>
      </w:r>
      <w:r w:rsidR="008E563A" w:rsidRPr="00640D24">
        <w:rPr>
          <w:rFonts w:cs="Times New Roman"/>
          <w:sz w:val="22"/>
          <w:szCs w:val="22"/>
        </w:rPr>
        <w:t xml:space="preserve"> ir pakelti Lietuvos skaitmeninį potencialą į aukštesnį lygį. F</w:t>
      </w:r>
      <w:r w:rsidR="008A6E42" w:rsidRPr="00640D24">
        <w:rPr>
          <w:rFonts w:cs="Times New Roman"/>
          <w:sz w:val="22"/>
          <w:szCs w:val="22"/>
        </w:rPr>
        <w:t>inansavimas šioje srityje tiesiogiai prisidės prie 2021</w:t>
      </w:r>
      <w:r w:rsidR="002E1410" w:rsidRPr="00640D24">
        <w:rPr>
          <w:rFonts w:cs="Times New Roman"/>
          <w:sz w:val="22"/>
          <w:szCs w:val="22"/>
        </w:rPr>
        <w:t>–</w:t>
      </w:r>
      <w:r w:rsidR="008A6E42" w:rsidRPr="00640D24">
        <w:rPr>
          <w:rFonts w:cs="Times New Roman"/>
          <w:sz w:val="22"/>
          <w:szCs w:val="22"/>
        </w:rPr>
        <w:t xml:space="preserve">2027 m. programos pirmojo politikos tikslo „Pažangesnė </w:t>
      </w:r>
      <w:r w:rsidR="00C664AC" w:rsidRPr="00640D24">
        <w:rPr>
          <w:rFonts w:cs="Times New Roman"/>
          <w:sz w:val="22"/>
          <w:szCs w:val="22"/>
        </w:rPr>
        <w:t>Eur</w:t>
      </w:r>
      <w:r w:rsidR="008A6E42" w:rsidRPr="00640D24">
        <w:rPr>
          <w:rFonts w:cs="Times New Roman"/>
          <w:sz w:val="22"/>
          <w:szCs w:val="22"/>
        </w:rPr>
        <w:t xml:space="preserve">opa“, o taip pat prie NP </w:t>
      </w:r>
      <w:r w:rsidR="00C664AC" w:rsidRPr="00640D24">
        <w:rPr>
          <w:rFonts w:cs="Times New Roman"/>
          <w:sz w:val="22"/>
          <w:szCs w:val="22"/>
        </w:rPr>
        <w:t>p</w:t>
      </w:r>
      <w:r w:rsidR="008A6E42" w:rsidRPr="00640D24">
        <w:rPr>
          <w:rFonts w:cs="Times New Roman"/>
          <w:sz w:val="22"/>
          <w:szCs w:val="22"/>
        </w:rPr>
        <w:t>lano I</w:t>
      </w:r>
      <w:r w:rsidR="00645085" w:rsidRPr="00640D24">
        <w:rPr>
          <w:rFonts w:cs="Times New Roman"/>
          <w:sz w:val="22"/>
          <w:szCs w:val="22"/>
        </w:rPr>
        <w:t>–</w:t>
      </w:r>
      <w:proofErr w:type="spellStart"/>
      <w:r w:rsidR="008A6E42" w:rsidRPr="00640D24">
        <w:rPr>
          <w:rFonts w:cs="Times New Roman"/>
          <w:sz w:val="22"/>
          <w:szCs w:val="22"/>
        </w:rPr>
        <w:t>ojo</w:t>
      </w:r>
      <w:proofErr w:type="spellEnd"/>
      <w:r w:rsidR="008A6E42" w:rsidRPr="00640D24">
        <w:rPr>
          <w:rFonts w:cs="Times New Roman"/>
          <w:sz w:val="22"/>
          <w:szCs w:val="22"/>
        </w:rPr>
        <w:t xml:space="preserve"> strateginio tikslo. </w:t>
      </w:r>
      <w:bookmarkStart w:id="24" w:name="_Hlk143640103"/>
    </w:p>
    <w:p w14:paraId="6C6931F4" w14:textId="1610943E" w:rsidR="001A4648" w:rsidRPr="00640D24" w:rsidRDefault="001A4648" w:rsidP="00EB5AEA">
      <w:pPr>
        <w:pStyle w:val="Antrat4"/>
        <w:spacing w:before="120"/>
      </w:pPr>
      <w:r w:rsidRPr="00640D24">
        <w:t>Žaliųjų ir aukštos pridėtinės vertės technologijų vystymas bei gynybos ir saugumo pramonės konkurencingumo didinimas</w:t>
      </w:r>
    </w:p>
    <w:p w14:paraId="5C01CB5A" w14:textId="5644F82E" w:rsidR="00C70D08" w:rsidRPr="00640D24" w:rsidRDefault="00C978FD" w:rsidP="00B43706">
      <w:pPr>
        <w:spacing w:before="60" w:after="60" w:line="240" w:lineRule="auto"/>
        <w:ind w:firstLine="562"/>
        <w:jc w:val="both"/>
        <w:rPr>
          <w:sz w:val="22"/>
          <w:szCs w:val="22"/>
        </w:rPr>
      </w:pPr>
      <w:r w:rsidRPr="00640D24">
        <w:rPr>
          <w:sz w:val="22"/>
          <w:szCs w:val="22"/>
        </w:rPr>
        <w:t>Pastarųjų metų (2020–2022 m.) įvairūs ekonomikos pasiūlos pusės šokai sukėlė dideles rizikas įmonių ir šalies konkurencingumui. COVID</w:t>
      </w:r>
      <w:r w:rsidR="00645085" w:rsidRPr="00640D24">
        <w:rPr>
          <w:sz w:val="22"/>
          <w:szCs w:val="22"/>
        </w:rPr>
        <w:t>–</w:t>
      </w:r>
      <w:r w:rsidRPr="00640D24">
        <w:rPr>
          <w:sz w:val="22"/>
          <w:szCs w:val="22"/>
        </w:rPr>
        <w:t xml:space="preserve">19 pandemija ir </w:t>
      </w:r>
      <w:proofErr w:type="spellStart"/>
      <w:r w:rsidR="008C1BD8" w:rsidRPr="00640D24">
        <w:rPr>
          <w:sz w:val="22"/>
          <w:szCs w:val="22"/>
        </w:rPr>
        <w:t>r</w:t>
      </w:r>
      <w:r w:rsidR="00140C21" w:rsidRPr="00640D24">
        <w:rPr>
          <w:sz w:val="22"/>
          <w:szCs w:val="22"/>
        </w:rPr>
        <w:t>usijos</w:t>
      </w:r>
      <w:proofErr w:type="spellEnd"/>
      <w:r w:rsidRPr="00640D24">
        <w:rPr>
          <w:sz w:val="22"/>
          <w:szCs w:val="22"/>
        </w:rPr>
        <w:t xml:space="preserve"> sukeltas karas Ukrainoje lėmė didžiulius pasaulio tiekimo grandinių trukdžius. Tai ypač paveikė Lietuvą, nes ji, palyginti su kitomis ekonomikomis, yra labiau integruota į pasaulines tiekimo grandines. Tai reiškė, kad Lietuvos ekonomika buvo labiau paveikta padidėjusių žaliavų kainų ir transporto išlaidų. Tuo tarpu sutrikęs žaliavų ir energetinių prekių tiekimas dar labiau apsunkino šalies eksporto plėtrą. Sutrikus žaliavų ir energetinių prekių tiekimui, šoktelėjo žaliavų ir energijos kainos. Dėl pastarųjų smarkiai padidėjo gamybos sąnaudos</w:t>
      </w:r>
      <w:r w:rsidR="00B70F8F" w:rsidRPr="00640D24">
        <w:rPr>
          <w:sz w:val="22"/>
          <w:szCs w:val="22"/>
        </w:rPr>
        <w:t xml:space="preserve">. </w:t>
      </w:r>
      <w:r w:rsidRPr="00640D24">
        <w:rPr>
          <w:sz w:val="22"/>
          <w:szCs w:val="22"/>
        </w:rPr>
        <w:t>Šis poveikis buvo ypač ryškus žaliavoms intensyviuose ir daug energijos naudojančiuose sektoriuose, pavyzdžiui, chemijos, pagrindinių metalų ir medienos ir baldų pramonės sektoriuose, kurie sudaro reikšmingą dalį Lietuvos ekonomikos. Šių sektorių sulėtėjusi raida ir susitraukimas daugiausiai ir lėmė visos šalies ekonomikos susitraukimą 2022 m. ketvirtą ketvirtį ir 2023 m. pirmą ketvirtį.</w:t>
      </w:r>
      <w:r w:rsidR="00091295" w:rsidRPr="00640D24">
        <w:rPr>
          <w:sz w:val="22"/>
          <w:szCs w:val="22"/>
        </w:rPr>
        <w:t xml:space="preserve"> Ir nors nuo </w:t>
      </w:r>
      <w:proofErr w:type="spellStart"/>
      <w:r w:rsidR="00091295" w:rsidRPr="00640D24">
        <w:rPr>
          <w:sz w:val="22"/>
          <w:szCs w:val="22"/>
        </w:rPr>
        <w:t>rusijos</w:t>
      </w:r>
      <w:proofErr w:type="spellEnd"/>
      <w:r w:rsidR="00091295" w:rsidRPr="00640D24">
        <w:rPr>
          <w:sz w:val="22"/>
          <w:szCs w:val="22"/>
        </w:rPr>
        <w:t xml:space="preserve"> sukelto karo Ukrainoje jau daug nuveikta, siekiant sumažinti Lietuvos priklausomybę nuo energijos išteklių importo, dar vienas energijos išteklių kainų šokas</w:t>
      </w:r>
      <w:r w:rsidR="005D6E6E" w:rsidRPr="00640D24">
        <w:rPr>
          <w:sz w:val="22"/>
          <w:szCs w:val="22"/>
        </w:rPr>
        <w:t xml:space="preserve"> </w:t>
      </w:r>
      <w:r w:rsidR="00B43706" w:rsidRPr="00640D24">
        <w:rPr>
          <w:sz w:val="22"/>
          <w:szCs w:val="22"/>
        </w:rPr>
        <w:t>tikėtina,</w:t>
      </w:r>
      <w:r w:rsidR="00943093" w:rsidRPr="00640D24">
        <w:rPr>
          <w:sz w:val="22"/>
          <w:szCs w:val="22"/>
        </w:rPr>
        <w:t xml:space="preserve"> kad</w:t>
      </w:r>
      <w:r w:rsidR="00B43706" w:rsidRPr="00640D24">
        <w:rPr>
          <w:sz w:val="22"/>
          <w:szCs w:val="22"/>
        </w:rPr>
        <w:t xml:space="preserve"> turėtų patį tokį didelį neigiamą poveikį Lietuvos ekonomikos konkurencingumui. Atsižvelgiant į tai, spartesnės investicijos į žaliąsias technologijas</w:t>
      </w:r>
      <w:r w:rsidR="009E5A1B" w:rsidRPr="00640D24">
        <w:rPr>
          <w:sz w:val="22"/>
          <w:szCs w:val="22"/>
        </w:rPr>
        <w:t xml:space="preserve"> ir energijos taupymo sprendimus turėtų padėti sumažinti Lietuvos priklausomybę nuo energijos išteklių importo.</w:t>
      </w:r>
      <w:r w:rsidR="00B43706" w:rsidRPr="00640D24">
        <w:rPr>
          <w:sz w:val="22"/>
          <w:szCs w:val="22"/>
        </w:rPr>
        <w:t xml:space="preserve"> Pavyzdžiui, spartesnis žal</w:t>
      </w:r>
      <w:r w:rsidR="00C70D08" w:rsidRPr="00640D24">
        <w:rPr>
          <w:sz w:val="22"/>
          <w:szCs w:val="22"/>
        </w:rPr>
        <w:t>iojo</w:t>
      </w:r>
      <w:r w:rsidR="00B43706" w:rsidRPr="00640D24">
        <w:rPr>
          <w:sz w:val="22"/>
          <w:szCs w:val="22"/>
        </w:rPr>
        <w:t xml:space="preserve"> vandenilio technologijų</w:t>
      </w:r>
      <w:r w:rsidR="00C70D08" w:rsidRPr="00640D24">
        <w:rPr>
          <w:sz w:val="22"/>
          <w:szCs w:val="22"/>
        </w:rPr>
        <w:t xml:space="preserve"> pritaikymas chemijos pramonės sektoriuje leistų reikšmingai sumažinti sektoriaus priklausomybę nuo gamtinių dujų importo ir atitinkamai užtikrintų sektoriaus kainų konkurencingumą ilguoju laikotarpiu. Žaliųjų technologijų taikymas taip pat svarbus ir kituose sektoriuose. Produktai, paslaugos ir veiklos, paliekančios ryškų CO2 pėdsaką, tampa vis mažiau populiarios tarp vartotojų, kurių sąmoningumas aplinkosaugos klausimu sparčiai auga. Tad verslo pasaulis susiduria su vartotojų ir investuotojų spaudimu, skatinančiu pereiti prie tvaresnių verslo modelių</w:t>
      </w:r>
      <w:r w:rsidR="000A203F" w:rsidRPr="00640D24">
        <w:rPr>
          <w:sz w:val="22"/>
          <w:szCs w:val="22"/>
        </w:rPr>
        <w:t xml:space="preserve">. Atsižvelgiant į tai, </w:t>
      </w:r>
      <w:r w:rsidR="00943093" w:rsidRPr="00640D24">
        <w:rPr>
          <w:sz w:val="22"/>
          <w:szCs w:val="22"/>
        </w:rPr>
        <w:t xml:space="preserve">žaliųjų technologijų diegimas, kuris padėtų sumažinti teršalų emisiją, priklausomybę nuo energijos išteklių importo ir prisidėtų prie naujų, gamtai draugiškų produktų gamybos, leistų įmonėms sėkmingai konkuruoti ateityje. </w:t>
      </w:r>
    </w:p>
    <w:p w14:paraId="76CFF02B" w14:textId="443B8ECD" w:rsidR="00C978FD" w:rsidRPr="00640D24" w:rsidRDefault="00C978FD" w:rsidP="00C978FD">
      <w:pPr>
        <w:spacing w:before="60" w:after="60" w:line="240" w:lineRule="auto"/>
        <w:ind w:firstLine="562"/>
        <w:jc w:val="both"/>
        <w:rPr>
          <w:sz w:val="22"/>
          <w:szCs w:val="22"/>
        </w:rPr>
      </w:pPr>
      <w:r w:rsidRPr="00640D24">
        <w:rPr>
          <w:sz w:val="22"/>
          <w:szCs w:val="22"/>
        </w:rPr>
        <w:t xml:space="preserve">Taip pat pastebima, kad reikšminga dalis Lietuvos pramonės vis dar veikia žemos–vidutinės pridėtinės vertės sektoriuose. Esant dideliam neapibrėžtumui dėl energijos išteklių, žaliavų kainų ir atitinkamai ribotoms galimybėms toliau išlaikyti konkurencingumą, Lietuvai reikia pereiti prie konkuravimo produktų kokybe, skatinant naujų aukštos pridėtinės vertės komponentų gamybą ir vertikalią įmonių integraciją.  </w:t>
      </w:r>
    </w:p>
    <w:p w14:paraId="6FF63902" w14:textId="070DAFC7" w:rsidR="00124D6D" w:rsidRPr="00640D24" w:rsidRDefault="00C978FD" w:rsidP="00B43706">
      <w:pPr>
        <w:spacing w:before="60" w:after="60" w:line="240" w:lineRule="auto"/>
        <w:ind w:firstLine="562"/>
        <w:jc w:val="both"/>
        <w:rPr>
          <w:sz w:val="22"/>
          <w:szCs w:val="22"/>
        </w:rPr>
      </w:pPr>
      <w:r w:rsidRPr="00640D24">
        <w:rPr>
          <w:sz w:val="22"/>
          <w:szCs w:val="22"/>
        </w:rPr>
        <w:t xml:space="preserve">Nors pastaraisiais metais Lietuvoje darbo našumas augo pakankamai sparčiai, darbo našumo bazė vis dar yra žemesniame lygyje nei ES vidurkis. </w:t>
      </w:r>
      <w:r w:rsidR="00B70F8F" w:rsidRPr="00640D24">
        <w:rPr>
          <w:sz w:val="22"/>
          <w:szCs w:val="22"/>
        </w:rPr>
        <w:t>N</w:t>
      </w:r>
      <w:r w:rsidRPr="00640D24">
        <w:rPr>
          <w:sz w:val="22"/>
          <w:szCs w:val="22"/>
        </w:rPr>
        <w:t>aujausi tyrimai rodo, kad pastaruoju dešimtmečiu pačios ES vidutinis darbo našumo augimas buvo ženkliai mažesnis nei JAV</w:t>
      </w:r>
      <w:r w:rsidRPr="00640D24">
        <w:rPr>
          <w:rStyle w:val="Puslapioinaosnuoroda"/>
          <w:sz w:val="22"/>
          <w:szCs w:val="22"/>
        </w:rPr>
        <w:footnoteReference w:id="40"/>
      </w:r>
      <w:r w:rsidRPr="00640D24">
        <w:rPr>
          <w:sz w:val="22"/>
          <w:szCs w:val="22"/>
        </w:rPr>
        <w:t xml:space="preserve">. Pagrindinės to priežastys: JAV įmonės sėkmingiau integruoja įvairius technologinius, dirbtinio intelekto ir </w:t>
      </w:r>
      <w:proofErr w:type="spellStart"/>
      <w:r w:rsidRPr="00640D24">
        <w:rPr>
          <w:sz w:val="22"/>
          <w:szCs w:val="22"/>
        </w:rPr>
        <w:t>skaitmeninimo</w:t>
      </w:r>
      <w:proofErr w:type="spellEnd"/>
      <w:r w:rsidRPr="00640D24">
        <w:rPr>
          <w:sz w:val="22"/>
          <w:szCs w:val="22"/>
        </w:rPr>
        <w:t xml:space="preserve"> sprendimus gamybos procesuose. Tikėtina, kad 2022 m. priimtas JAV infliacijos mažinimo aktas tik dar labiau paskatins JAV pramonės </w:t>
      </w:r>
      <w:proofErr w:type="spellStart"/>
      <w:r w:rsidRPr="00640D24">
        <w:rPr>
          <w:sz w:val="22"/>
          <w:szCs w:val="22"/>
        </w:rPr>
        <w:t>skaitmenizavimą</w:t>
      </w:r>
      <w:proofErr w:type="spellEnd"/>
      <w:r w:rsidRPr="00640D24">
        <w:rPr>
          <w:sz w:val="22"/>
          <w:szCs w:val="22"/>
        </w:rPr>
        <w:t xml:space="preserve">, perėjimą prie klimatui neutralios produkcijos ir didesnio technologinio imlumo raidos. Šių veiksnių visuma kelia rizikas augančiam darbo našumo atotrūkiui tarp JAV ir Europos, </w:t>
      </w:r>
      <w:r w:rsidR="00B70F8F" w:rsidRPr="00640D24">
        <w:rPr>
          <w:sz w:val="22"/>
          <w:szCs w:val="22"/>
        </w:rPr>
        <w:t xml:space="preserve">tame tarpe </w:t>
      </w:r>
      <w:r w:rsidRPr="00640D24">
        <w:rPr>
          <w:sz w:val="22"/>
          <w:szCs w:val="22"/>
        </w:rPr>
        <w:t>ir Lietuvos</w:t>
      </w:r>
      <w:r w:rsidRPr="00640D24">
        <w:rPr>
          <w:rStyle w:val="Puslapioinaosnuoroda"/>
          <w:sz w:val="22"/>
          <w:szCs w:val="22"/>
        </w:rPr>
        <w:footnoteReference w:id="41"/>
      </w:r>
      <w:r w:rsidRPr="00640D24">
        <w:rPr>
          <w:sz w:val="22"/>
          <w:szCs w:val="22"/>
        </w:rPr>
        <w:t xml:space="preserve">. </w:t>
      </w:r>
    </w:p>
    <w:p w14:paraId="257A8880" w14:textId="22EB04CF" w:rsidR="00EB5AEA" w:rsidRPr="00640D24" w:rsidRDefault="00EB5AEA" w:rsidP="00EB5AEA">
      <w:pPr>
        <w:spacing w:before="60" w:after="60" w:line="240" w:lineRule="auto"/>
        <w:ind w:firstLine="562"/>
        <w:jc w:val="both"/>
        <w:rPr>
          <w:sz w:val="22"/>
          <w:szCs w:val="22"/>
        </w:rPr>
      </w:pPr>
      <w:r w:rsidRPr="00640D24">
        <w:rPr>
          <w:rFonts w:cs="Times New Roman"/>
          <w:sz w:val="22"/>
          <w:szCs w:val="22"/>
        </w:rPr>
        <w:t>COVID–19 pandemij</w:t>
      </w:r>
      <w:r w:rsidR="00773BF3" w:rsidRPr="00640D24">
        <w:rPr>
          <w:rFonts w:cs="Times New Roman"/>
          <w:sz w:val="22"/>
          <w:szCs w:val="22"/>
        </w:rPr>
        <w:t>a parodė biotechnologijų svarbą valstybių gerovei. Tos valstybės, kurių medicinos sistemos sugebėjo greitai reaguoti į pandemijos iššūkius ir kurių verslas sugebėjo atliepti išaugusią medicinos produktų paklausą, galėjo greitai atsitiesti nuo COVID</w:t>
      </w:r>
      <w:r w:rsidR="00645085" w:rsidRPr="00640D24">
        <w:rPr>
          <w:rFonts w:cs="Times New Roman"/>
          <w:sz w:val="22"/>
          <w:szCs w:val="22"/>
        </w:rPr>
        <w:t>–</w:t>
      </w:r>
      <w:r w:rsidR="00773BF3" w:rsidRPr="00640D24">
        <w:rPr>
          <w:rFonts w:cs="Times New Roman"/>
          <w:sz w:val="22"/>
          <w:szCs w:val="22"/>
        </w:rPr>
        <w:t>19 pandemijos sukeltų negandų</w:t>
      </w:r>
      <w:r w:rsidR="00124D6D" w:rsidRPr="00640D24">
        <w:rPr>
          <w:rFonts w:cs="Times New Roman"/>
          <w:sz w:val="22"/>
          <w:szCs w:val="22"/>
        </w:rPr>
        <w:t>.</w:t>
      </w:r>
      <w:r w:rsidR="00773BF3" w:rsidRPr="00640D24">
        <w:rPr>
          <w:rFonts w:cs="Times New Roman"/>
          <w:sz w:val="22"/>
          <w:szCs w:val="22"/>
        </w:rPr>
        <w:t xml:space="preserve"> Lietuva buvo viena iš </w:t>
      </w:r>
      <w:r w:rsidR="00773BF3" w:rsidRPr="00640D24">
        <w:rPr>
          <w:rFonts w:cs="Times New Roman"/>
          <w:sz w:val="22"/>
          <w:szCs w:val="22"/>
        </w:rPr>
        <w:lastRenderedPageBreak/>
        <w:t xml:space="preserve">tokių valstybių. Tokių įmonių kaip </w:t>
      </w:r>
      <w:proofErr w:type="spellStart"/>
      <w:r w:rsidR="00773BF3" w:rsidRPr="00640D24">
        <w:rPr>
          <w:rFonts w:cs="Times New Roman"/>
          <w:sz w:val="22"/>
          <w:szCs w:val="22"/>
        </w:rPr>
        <w:t>Thermo</w:t>
      </w:r>
      <w:proofErr w:type="spellEnd"/>
      <w:r w:rsidR="00773BF3" w:rsidRPr="00640D24">
        <w:rPr>
          <w:rFonts w:cs="Times New Roman"/>
          <w:sz w:val="22"/>
          <w:szCs w:val="22"/>
        </w:rPr>
        <w:t xml:space="preserve"> </w:t>
      </w:r>
      <w:proofErr w:type="spellStart"/>
      <w:r w:rsidR="00773BF3" w:rsidRPr="00640D24">
        <w:rPr>
          <w:rFonts w:cs="Times New Roman"/>
          <w:sz w:val="22"/>
          <w:szCs w:val="22"/>
        </w:rPr>
        <w:t>Fisher</w:t>
      </w:r>
      <w:proofErr w:type="spellEnd"/>
      <w:r w:rsidR="00773BF3" w:rsidRPr="00640D24">
        <w:rPr>
          <w:rFonts w:cs="Times New Roman"/>
          <w:sz w:val="22"/>
          <w:szCs w:val="22"/>
        </w:rPr>
        <w:t xml:space="preserve"> sėkmė net ir pandemijos laikotarpiu leido Lietuvos ekonomikai augti, o gaminami reagentai tiesiogiai prisidėjo prie </w:t>
      </w:r>
      <w:proofErr w:type="spellStart"/>
      <w:r w:rsidR="00773BF3" w:rsidRPr="00640D24">
        <w:rPr>
          <w:rFonts w:cs="Times New Roman"/>
          <w:sz w:val="22"/>
          <w:szCs w:val="22"/>
        </w:rPr>
        <w:t>mRNR</w:t>
      </w:r>
      <w:proofErr w:type="spellEnd"/>
      <w:r w:rsidR="00773BF3" w:rsidRPr="00640D24">
        <w:rPr>
          <w:rFonts w:cs="Times New Roman"/>
          <w:sz w:val="22"/>
          <w:szCs w:val="22"/>
        </w:rPr>
        <w:t xml:space="preserve"> technologijomis grįstų vakcinų</w:t>
      </w:r>
      <w:r w:rsidR="006E7DA3" w:rsidRPr="00640D24">
        <w:rPr>
          <w:rFonts w:cs="Times New Roman"/>
          <w:sz w:val="22"/>
          <w:szCs w:val="22"/>
        </w:rPr>
        <w:t xml:space="preserve"> gamybos.</w:t>
      </w:r>
      <w:r w:rsidR="00773BF3" w:rsidRPr="00640D24">
        <w:rPr>
          <w:rFonts w:cs="Times New Roman"/>
          <w:sz w:val="22"/>
          <w:szCs w:val="22"/>
        </w:rPr>
        <w:t xml:space="preserve"> Ir nors COVID–19 pandemija</w:t>
      </w:r>
      <w:r w:rsidR="006E7DA3" w:rsidRPr="00640D24">
        <w:rPr>
          <w:rFonts w:cs="Times New Roman"/>
          <w:sz w:val="22"/>
          <w:szCs w:val="22"/>
        </w:rPr>
        <w:t xml:space="preserve"> jau baigėsi, b</w:t>
      </w:r>
      <w:r w:rsidR="00773BF3" w:rsidRPr="00640D24">
        <w:rPr>
          <w:rFonts w:cs="Times New Roman"/>
          <w:sz w:val="22"/>
          <w:szCs w:val="22"/>
        </w:rPr>
        <w:t>iotechnologijų sektoriaus aktualumas at</w:t>
      </w:r>
      <w:r w:rsidR="006E7DA3" w:rsidRPr="00640D24">
        <w:rPr>
          <w:rFonts w:cs="Times New Roman"/>
          <w:sz w:val="22"/>
          <w:szCs w:val="22"/>
        </w:rPr>
        <w:t xml:space="preserve">eityje didės vien tik dėl senėjančios visuomenės.  Biotechnologijų sektoriaus svarba taip pat pabrėžiama viename iš NPP tikslų </w:t>
      </w:r>
      <w:r w:rsidR="006E7DA3" w:rsidRPr="00640D24">
        <w:rPr>
          <w:sz w:val="22"/>
          <w:szCs w:val="22"/>
        </w:rPr>
        <w:t>– pasiekti, kad gyvybės mokslų industrijos sukuriamos pridėtinės vertės dalis nuo bendros šalies pridėtinės vertės 2030 m. sudarytų 5 procentus. Atsižvelgiant į šių aplinkybių visumą, svarbu yra ir toliau plėtoti biotechnologinių įmonių pajėgumus ir vystyti inovacijas šioje srityje.</w:t>
      </w:r>
    </w:p>
    <w:p w14:paraId="47B3C11D" w14:textId="5CBD84A5" w:rsidR="00F01F6B" w:rsidRPr="00640D24" w:rsidRDefault="006E7DA3" w:rsidP="00FC2D11">
      <w:pPr>
        <w:spacing w:before="60" w:after="60" w:line="240" w:lineRule="auto"/>
        <w:ind w:firstLine="562"/>
        <w:jc w:val="both"/>
        <w:rPr>
          <w:sz w:val="22"/>
          <w:szCs w:val="22"/>
        </w:rPr>
      </w:pPr>
      <w:r w:rsidRPr="00640D24">
        <w:rPr>
          <w:sz w:val="22"/>
          <w:szCs w:val="22"/>
        </w:rPr>
        <w:t>Po COVID</w:t>
      </w:r>
      <w:r w:rsidR="00645085" w:rsidRPr="00640D24">
        <w:rPr>
          <w:sz w:val="22"/>
          <w:szCs w:val="22"/>
        </w:rPr>
        <w:t>–</w:t>
      </w:r>
      <w:r w:rsidRPr="00640D24">
        <w:rPr>
          <w:sz w:val="22"/>
          <w:szCs w:val="22"/>
        </w:rPr>
        <w:t xml:space="preserve">19 pandemijos prasidėjusi aktyvi </w:t>
      </w:r>
      <w:proofErr w:type="spellStart"/>
      <w:r w:rsidR="008C1BD8" w:rsidRPr="00640D24">
        <w:rPr>
          <w:sz w:val="22"/>
          <w:szCs w:val="22"/>
        </w:rPr>
        <w:t>r</w:t>
      </w:r>
      <w:r w:rsidRPr="00640D24">
        <w:rPr>
          <w:sz w:val="22"/>
          <w:szCs w:val="22"/>
        </w:rPr>
        <w:t>usijos</w:t>
      </w:r>
      <w:proofErr w:type="spellEnd"/>
      <w:r w:rsidRPr="00640D24">
        <w:rPr>
          <w:sz w:val="22"/>
          <w:szCs w:val="22"/>
        </w:rPr>
        <w:t xml:space="preserve"> karinės invazijos į Ukrainą faz</w:t>
      </w:r>
      <w:r w:rsidR="005E28C7" w:rsidRPr="00640D24">
        <w:rPr>
          <w:sz w:val="22"/>
          <w:szCs w:val="22"/>
        </w:rPr>
        <w:t xml:space="preserve">ė kelia dideles geopolitines rizikas Europoje. Šios rizikos didina poreikį ginklams, amunicijai, dvigubos paskirties produkcijai, ir, apskritai, gynybos ir saugumo sektoriaus technologijoms. Šiuo metu egzistuojantys gamybos pajėgumai Vakarų šalyse negali patenkinti išaugusios gynybos ir saugumo sektoriaus produktų paklausos. Atsižvelgiant į tai, seniai veikiančios įmonės svarsto galimybes plėsti savo gamybinius pajėgumus ir taip atliepti išaugusią paklausą. </w:t>
      </w:r>
      <w:r w:rsidR="00FC2D11" w:rsidRPr="00640D24">
        <w:rPr>
          <w:sz w:val="22"/>
          <w:szCs w:val="22"/>
        </w:rPr>
        <w:t>Lietuvai, kaip NATO išorinės sienos valstybei, geopolitinės grėsmės ir jų aktualumas yra dar didesnis. Tad seniai veikiančių įmonių pritraukimas, o taip pat Lietuvoje veikiančių įmonių plėtra leistų užtikrinti paklausą.</w:t>
      </w:r>
    </w:p>
    <w:p w14:paraId="4BED5C3C" w14:textId="634F291E" w:rsidR="00396E4D" w:rsidRPr="00640D24" w:rsidRDefault="009F6AD6" w:rsidP="00FC2D11">
      <w:pPr>
        <w:spacing w:before="60" w:after="60" w:line="240" w:lineRule="auto"/>
        <w:ind w:firstLine="562"/>
        <w:jc w:val="both"/>
        <w:rPr>
          <w:rFonts w:cs="Times New Roman"/>
          <w:sz w:val="22"/>
          <w:szCs w:val="22"/>
        </w:rPr>
      </w:pPr>
      <w:r w:rsidRPr="00640D24">
        <w:rPr>
          <w:sz w:val="22"/>
          <w:szCs w:val="22"/>
        </w:rPr>
        <w:t>Pristatytą konkurencingumo problematiką galėtų padėti spręsti pažangių technologijų vystymas ir diegimas įmonėse. Tai leistų šalies įmonėms pereiti prie aukštesnės pridėtinės vertės produkcijos ir padidintų darbo našumą. Tuo tarpu priklausomybę nuo energijos išteklių ir energijos sąnaudų mažinimą padėtų spręsti p</w:t>
      </w:r>
      <w:r w:rsidRPr="00640D24">
        <w:t>r</w:t>
      </w:r>
      <w:r w:rsidRPr="00640D24">
        <w:rPr>
          <w:sz w:val="22"/>
          <w:szCs w:val="22"/>
        </w:rPr>
        <w:t>amonės transformacijos skatinimas, pereinant prie klimatui neutralios gamybos</w:t>
      </w:r>
      <w:r w:rsidR="00B442C5" w:rsidRPr="00640D24">
        <w:rPr>
          <w:sz w:val="22"/>
          <w:szCs w:val="22"/>
        </w:rPr>
        <w:t>.</w:t>
      </w:r>
    </w:p>
    <w:p w14:paraId="5FA3460A" w14:textId="77777777" w:rsidR="00E1688C" w:rsidRPr="00640D24" w:rsidRDefault="00E1688C" w:rsidP="002A24FE">
      <w:pPr>
        <w:pStyle w:val="Antrat2"/>
        <w:numPr>
          <w:ilvl w:val="1"/>
          <w:numId w:val="1"/>
        </w:numPr>
        <w:spacing w:before="120" w:after="60" w:line="240" w:lineRule="auto"/>
        <w:ind w:left="567" w:hanging="567"/>
        <w:rPr>
          <w:rFonts w:ascii="Times New Roman" w:hAnsi="Times New Roman" w:cs="Times New Roman"/>
          <w:b/>
          <w:bCs/>
          <w:color w:val="auto"/>
        </w:rPr>
      </w:pPr>
      <w:bookmarkStart w:id="25" w:name="_Toc57225212"/>
      <w:bookmarkStart w:id="26" w:name="_Toc146812383"/>
      <w:bookmarkEnd w:id="24"/>
      <w:r w:rsidRPr="00640D24">
        <w:rPr>
          <w:rFonts w:ascii="Times New Roman" w:hAnsi="Times New Roman" w:cs="Times New Roman"/>
          <w:b/>
          <w:bCs/>
          <w:color w:val="auto"/>
        </w:rPr>
        <w:t>Investicijų pasiūla</w:t>
      </w:r>
      <w:bookmarkEnd w:id="25"/>
      <w:bookmarkEnd w:id="26"/>
      <w:r w:rsidRPr="00640D24">
        <w:rPr>
          <w:rFonts w:ascii="Times New Roman" w:hAnsi="Times New Roman" w:cs="Times New Roman"/>
          <w:b/>
          <w:bCs/>
          <w:color w:val="auto"/>
        </w:rPr>
        <w:t xml:space="preserve"> </w:t>
      </w:r>
    </w:p>
    <w:p w14:paraId="15C2DF3A" w14:textId="2F801C4F" w:rsidR="00F6326D" w:rsidRPr="00640D24" w:rsidRDefault="00F97116" w:rsidP="00F97116">
      <w:pPr>
        <w:spacing w:before="60" w:after="60" w:line="240" w:lineRule="auto"/>
        <w:ind w:firstLine="709"/>
        <w:jc w:val="both"/>
        <w:rPr>
          <w:rFonts w:eastAsia="Times New Roman" w:cs="Times New Roman"/>
          <w:sz w:val="22"/>
          <w:szCs w:val="22"/>
        </w:rPr>
      </w:pPr>
      <w:r w:rsidRPr="00640D24">
        <w:rPr>
          <w:rFonts w:eastAsia="Times New Roman" w:cs="Times New Roman"/>
          <w:sz w:val="22"/>
          <w:szCs w:val="22"/>
        </w:rPr>
        <w:t xml:space="preserve">2020 </w:t>
      </w:r>
      <w:r w:rsidR="00196ED6" w:rsidRPr="00640D24">
        <w:rPr>
          <w:rFonts w:eastAsia="Times New Roman" w:cs="Times New Roman"/>
          <w:sz w:val="22"/>
          <w:szCs w:val="22"/>
        </w:rPr>
        <w:t>m.</w:t>
      </w:r>
      <w:r w:rsidR="00617F5A" w:rsidRPr="00640D24">
        <w:rPr>
          <w:rFonts w:eastAsia="Times New Roman" w:cs="Times New Roman"/>
          <w:sz w:val="22"/>
          <w:szCs w:val="22"/>
        </w:rPr>
        <w:t xml:space="preserve"> </w:t>
      </w:r>
      <w:r w:rsidRPr="00640D24">
        <w:rPr>
          <w:rFonts w:eastAsia="Times New Roman" w:cs="Times New Roman"/>
          <w:sz w:val="22"/>
          <w:szCs w:val="22"/>
        </w:rPr>
        <w:t xml:space="preserve">paskolos įmonėms sumažėjo 15,2 proc. lyginant su 2019 m. Verslo paskolų portfelio likutis traukėsi visuose sektoriuose, daugiausia prekybos, transporto ir kontroliuojančiosiose bendrovėse. Visgi, pastebėtina, kad 2020 m. II pusmetį atsigavęs naujų verslo paskolų srautas jau buvo 20 proc. didesnis nei 2019 m. II pusmetį </w:t>
      </w:r>
      <w:r w:rsidRPr="00640D24">
        <w:rPr>
          <w:rStyle w:val="Puslapioinaosnuoroda"/>
          <w:rFonts w:eastAsia="Times New Roman" w:cs="Times New Roman"/>
          <w:sz w:val="22"/>
          <w:szCs w:val="22"/>
        </w:rPr>
        <w:footnoteReference w:id="42"/>
      </w:r>
      <w:r w:rsidR="00F6326D" w:rsidRPr="00640D24">
        <w:rPr>
          <w:rFonts w:eastAsia="Times New Roman" w:cs="Times New Roman"/>
          <w:sz w:val="22"/>
          <w:szCs w:val="22"/>
        </w:rPr>
        <w:t xml:space="preserve"> </w:t>
      </w:r>
      <w:r w:rsidR="00C45FE5" w:rsidRPr="00640D24">
        <w:rPr>
          <w:rFonts w:eastAsia="Times New Roman" w:cs="Times New Roman"/>
          <w:sz w:val="22"/>
          <w:szCs w:val="22"/>
        </w:rPr>
        <w:t>Lietuvos banko duomenimis 2017 m. bankai atsisakydavo tenkinti 16 proc. verslo paraiškų, o 2018 m</w:t>
      </w:r>
      <w:r w:rsidR="00694170" w:rsidRPr="00640D24">
        <w:rPr>
          <w:rFonts w:eastAsia="Times New Roman" w:cs="Times New Roman"/>
          <w:sz w:val="22"/>
          <w:szCs w:val="22"/>
        </w:rPr>
        <w:t>.</w:t>
      </w:r>
      <w:r w:rsidR="00C45FE5" w:rsidRPr="00640D24">
        <w:rPr>
          <w:rFonts w:eastAsia="Times New Roman" w:cs="Times New Roman"/>
          <w:sz w:val="22"/>
          <w:szCs w:val="22"/>
        </w:rPr>
        <w:t xml:space="preserve"> atmestų paraiškų dalis padvigubėjo ir priartėjo prie 30 proc. Mažų įmonių kategorijoje ši dalis dar didesnė.</w:t>
      </w:r>
      <w:r w:rsidR="00C45FE5" w:rsidRPr="00640D24">
        <w:rPr>
          <w:rStyle w:val="Puslapioinaosnuoroda"/>
          <w:rFonts w:eastAsia="Times New Roman" w:cs="Times New Roman"/>
          <w:sz w:val="22"/>
          <w:szCs w:val="22"/>
        </w:rPr>
        <w:footnoteReference w:id="43"/>
      </w:r>
      <w:r w:rsidR="00C45FE5" w:rsidRPr="00640D24">
        <w:rPr>
          <w:rFonts w:eastAsia="Times New Roman" w:cs="Times New Roman"/>
          <w:sz w:val="22"/>
          <w:szCs w:val="22"/>
        </w:rPr>
        <w:t xml:space="preserve"> </w:t>
      </w:r>
      <w:r w:rsidR="00F6326D" w:rsidRPr="00640D24">
        <w:rPr>
          <w:rFonts w:eastAsia="Times New Roman" w:cs="Times New Roman"/>
          <w:sz w:val="22"/>
          <w:szCs w:val="22"/>
        </w:rPr>
        <w:t xml:space="preserve">Pagrindinė nuosmukio Lietuvos verslo kreditavimo rinkoje priežastis – sumažėjęs bankų rizikos apetitas ir konkurencijos Lietuvos bankų sektoriuje stoka. Tai skatina bankus fokusuotis į stambius verslo klientus, tuo pat metu ribojant finansavimą </w:t>
      </w:r>
      <w:r w:rsidR="00533DB2" w:rsidRPr="00640D24">
        <w:rPr>
          <w:rFonts w:eastAsia="Times New Roman" w:cs="Times New Roman"/>
          <w:sz w:val="22"/>
          <w:szCs w:val="22"/>
        </w:rPr>
        <w:t>SVV</w:t>
      </w:r>
      <w:r w:rsidR="00F6326D" w:rsidRPr="00640D24">
        <w:rPr>
          <w:rFonts w:eastAsia="Times New Roman" w:cs="Times New Roman"/>
          <w:sz w:val="22"/>
          <w:szCs w:val="22"/>
        </w:rPr>
        <w:t>.</w:t>
      </w:r>
      <w:r w:rsidR="00F6326D" w:rsidRPr="00640D24">
        <w:rPr>
          <w:rFonts w:eastAsia="Times New Roman" w:cs="Times New Roman"/>
          <w:sz w:val="22"/>
          <w:szCs w:val="22"/>
          <w:vertAlign w:val="superscript"/>
        </w:rPr>
        <w:footnoteReference w:id="44"/>
      </w:r>
    </w:p>
    <w:p w14:paraId="6FFA75A1" w14:textId="0B539170" w:rsidR="004A49DE" w:rsidRPr="00640D24" w:rsidRDefault="00F6326D" w:rsidP="00170B5F">
      <w:pPr>
        <w:spacing w:before="60" w:after="60" w:line="240" w:lineRule="auto"/>
        <w:ind w:firstLine="709"/>
        <w:jc w:val="both"/>
        <w:rPr>
          <w:rFonts w:eastAsia="Times New Roman" w:cs="Times New Roman"/>
          <w:sz w:val="22"/>
          <w:szCs w:val="22"/>
        </w:rPr>
      </w:pPr>
      <w:r w:rsidRPr="00640D24">
        <w:rPr>
          <w:rFonts w:eastAsia="Times New Roman" w:cs="Times New Roman"/>
          <w:sz w:val="22"/>
          <w:szCs w:val="22"/>
        </w:rPr>
        <w:t xml:space="preserve">2019 m. Lietuva užėmė antrą vietą visoje </w:t>
      </w:r>
      <w:r w:rsidR="00C664AC" w:rsidRPr="00640D24">
        <w:rPr>
          <w:rFonts w:eastAsia="Times New Roman" w:cs="Times New Roman"/>
          <w:sz w:val="22"/>
          <w:szCs w:val="22"/>
        </w:rPr>
        <w:t>Eur</w:t>
      </w:r>
      <w:r w:rsidRPr="00640D24">
        <w:rPr>
          <w:rFonts w:eastAsia="Times New Roman" w:cs="Times New Roman"/>
          <w:sz w:val="22"/>
          <w:szCs w:val="22"/>
        </w:rPr>
        <w:t>o zonoje pagal naujų paskolų verslui pabrangimo tempą. Lietuvos verslas</w:t>
      </w:r>
      <w:r w:rsidR="00196ED6" w:rsidRPr="00640D24">
        <w:rPr>
          <w:rFonts w:eastAsia="Times New Roman" w:cs="Times New Roman"/>
          <w:sz w:val="22"/>
          <w:szCs w:val="22"/>
        </w:rPr>
        <w:t xml:space="preserve"> 2019 m.</w:t>
      </w:r>
      <w:r w:rsidRPr="00640D24">
        <w:rPr>
          <w:rFonts w:eastAsia="Times New Roman" w:cs="Times New Roman"/>
          <w:sz w:val="22"/>
          <w:szCs w:val="22"/>
        </w:rPr>
        <w:t xml:space="preserve"> skolin</w:t>
      </w:r>
      <w:r w:rsidR="00196ED6" w:rsidRPr="00640D24">
        <w:rPr>
          <w:rFonts w:eastAsia="Times New Roman" w:cs="Times New Roman"/>
          <w:sz w:val="22"/>
          <w:szCs w:val="22"/>
        </w:rPr>
        <w:t>o</w:t>
      </w:r>
      <w:r w:rsidRPr="00640D24">
        <w:rPr>
          <w:rFonts w:eastAsia="Times New Roman" w:cs="Times New Roman"/>
          <w:sz w:val="22"/>
          <w:szCs w:val="22"/>
        </w:rPr>
        <w:t>si brangiausiai nuo 2015 m</w:t>
      </w:r>
      <w:r w:rsidR="00694170" w:rsidRPr="00640D24">
        <w:rPr>
          <w:rFonts w:eastAsia="Times New Roman" w:cs="Times New Roman"/>
          <w:sz w:val="22"/>
          <w:szCs w:val="22"/>
        </w:rPr>
        <w:t>.</w:t>
      </w:r>
      <w:r w:rsidRPr="00640D24">
        <w:rPr>
          <w:rFonts w:eastAsia="Times New Roman" w:cs="Times New Roman"/>
          <w:sz w:val="22"/>
          <w:szCs w:val="22"/>
          <w:vertAlign w:val="superscript"/>
        </w:rPr>
        <w:footnoteReference w:id="45"/>
      </w:r>
      <w:r w:rsidR="00E92F50" w:rsidRPr="00640D24">
        <w:rPr>
          <w:rFonts w:eastAsia="Times New Roman" w:cs="Times New Roman"/>
          <w:sz w:val="22"/>
          <w:szCs w:val="22"/>
        </w:rPr>
        <w:t xml:space="preserve"> </w:t>
      </w:r>
      <w:r w:rsidRPr="00640D24">
        <w:rPr>
          <w:rFonts w:eastAsia="Times New Roman" w:cs="Times New Roman"/>
          <w:sz w:val="22"/>
          <w:szCs w:val="22"/>
        </w:rPr>
        <w:t xml:space="preserve">Ribotas verslo priėjimas prie bankų paskolų skatina įmones aktyviau ieškoti alternatyvaus finansavimo sprendimų: 27 proc. </w:t>
      </w:r>
      <w:r w:rsidR="00533DB2" w:rsidRPr="00640D24">
        <w:rPr>
          <w:rFonts w:eastAsia="Times New Roman" w:cs="Times New Roman"/>
          <w:sz w:val="22"/>
          <w:szCs w:val="22"/>
        </w:rPr>
        <w:t>įmonių, dalyvavusių</w:t>
      </w:r>
      <w:r w:rsidR="004B6BC6" w:rsidRPr="00640D24">
        <w:rPr>
          <w:rFonts w:eastAsia="Times New Roman" w:cs="Times New Roman"/>
          <w:sz w:val="22"/>
          <w:szCs w:val="22"/>
        </w:rPr>
        <w:t xml:space="preserve"> 2019 m.</w:t>
      </w:r>
      <w:r w:rsidR="00533DB2" w:rsidRPr="00640D24">
        <w:rPr>
          <w:rFonts w:eastAsia="Times New Roman" w:cs="Times New Roman"/>
          <w:sz w:val="22"/>
          <w:szCs w:val="22"/>
        </w:rPr>
        <w:t xml:space="preserve"> </w:t>
      </w:r>
      <w:r w:rsidRPr="00640D24">
        <w:rPr>
          <w:rFonts w:eastAsia="Times New Roman" w:cs="Times New Roman"/>
          <w:sz w:val="22"/>
          <w:szCs w:val="22"/>
        </w:rPr>
        <w:t xml:space="preserve">Lietuvos banko </w:t>
      </w:r>
      <w:r w:rsidR="004B6BC6" w:rsidRPr="00640D24">
        <w:rPr>
          <w:rFonts w:eastAsia="Times New Roman" w:cs="Times New Roman"/>
          <w:sz w:val="22"/>
          <w:szCs w:val="22"/>
        </w:rPr>
        <w:t xml:space="preserve">įmonių </w:t>
      </w:r>
      <w:r w:rsidRPr="00640D24">
        <w:rPr>
          <w:rFonts w:eastAsia="Times New Roman" w:cs="Times New Roman"/>
          <w:sz w:val="22"/>
          <w:szCs w:val="22"/>
        </w:rPr>
        <w:t>apklauso</w:t>
      </w:r>
      <w:r w:rsidR="00533DB2" w:rsidRPr="00640D24">
        <w:rPr>
          <w:rFonts w:eastAsia="Times New Roman" w:cs="Times New Roman"/>
          <w:sz w:val="22"/>
          <w:szCs w:val="22"/>
        </w:rPr>
        <w:t>je</w:t>
      </w:r>
      <w:r w:rsidR="004B6BC6" w:rsidRPr="00640D24">
        <w:rPr>
          <w:rStyle w:val="Puslapioinaosnuoroda"/>
          <w:rFonts w:eastAsia="Times New Roman" w:cs="Times New Roman"/>
          <w:sz w:val="22"/>
          <w:szCs w:val="22"/>
        </w:rPr>
        <w:footnoteReference w:id="46"/>
      </w:r>
      <w:r w:rsidRPr="00640D24">
        <w:rPr>
          <w:rFonts w:eastAsia="Times New Roman" w:cs="Times New Roman"/>
          <w:sz w:val="22"/>
          <w:szCs w:val="22"/>
        </w:rPr>
        <w:t xml:space="preserve"> teigia, kad jaučia alternatyvaus finansavimo poreikį, o </w:t>
      </w:r>
      <w:r w:rsidR="00E642B8" w:rsidRPr="00640D24">
        <w:rPr>
          <w:rFonts w:eastAsia="Times New Roman" w:cs="Times New Roman"/>
          <w:sz w:val="22"/>
          <w:szCs w:val="22"/>
        </w:rPr>
        <w:t>2019 m.</w:t>
      </w:r>
      <w:r w:rsidRPr="00640D24">
        <w:rPr>
          <w:rFonts w:eastAsia="Times New Roman" w:cs="Times New Roman"/>
          <w:sz w:val="22"/>
          <w:szCs w:val="22"/>
        </w:rPr>
        <w:t xml:space="preserve"> įmonių tarpusavio skolinimo apimtys padidėjo 16,6 proc.</w:t>
      </w:r>
      <w:r w:rsidR="004B6BC6" w:rsidRPr="00640D24">
        <w:rPr>
          <w:rFonts w:eastAsia="Times New Roman" w:cs="Times New Roman"/>
          <w:sz w:val="22"/>
          <w:szCs w:val="22"/>
        </w:rPr>
        <w:t xml:space="preserve"> Vis dėlto 2020 m. Lietuvo</w:t>
      </w:r>
      <w:r w:rsidR="00D14EAF" w:rsidRPr="00640D24">
        <w:rPr>
          <w:rFonts w:eastAsia="Times New Roman" w:cs="Times New Roman"/>
          <w:sz w:val="22"/>
          <w:szCs w:val="22"/>
        </w:rPr>
        <w:t>s</w:t>
      </w:r>
      <w:r w:rsidR="004B6BC6" w:rsidRPr="00640D24">
        <w:rPr>
          <w:rFonts w:eastAsia="Times New Roman" w:cs="Times New Roman"/>
          <w:sz w:val="22"/>
          <w:szCs w:val="22"/>
        </w:rPr>
        <w:t xml:space="preserve"> banko įmonių apklausoje, alternatyvių </w:t>
      </w:r>
      <w:r w:rsidR="00D14EAF" w:rsidRPr="00640D24">
        <w:rPr>
          <w:rFonts w:eastAsia="Times New Roman" w:cs="Times New Roman"/>
          <w:sz w:val="22"/>
          <w:szCs w:val="22"/>
        </w:rPr>
        <w:t>finansavimo</w:t>
      </w:r>
      <w:r w:rsidR="004B6BC6" w:rsidRPr="00640D24">
        <w:rPr>
          <w:rFonts w:eastAsia="Times New Roman" w:cs="Times New Roman"/>
          <w:sz w:val="22"/>
          <w:szCs w:val="22"/>
        </w:rPr>
        <w:t xml:space="preserve"> šaltinių poreikį išreiškė 10 proc. respondentų</w:t>
      </w:r>
      <w:r w:rsidR="004B6BC6" w:rsidRPr="00640D24">
        <w:rPr>
          <w:rStyle w:val="Puslapioinaosnuoroda"/>
          <w:rFonts w:eastAsia="Times New Roman" w:cs="Times New Roman"/>
          <w:sz w:val="22"/>
          <w:szCs w:val="22"/>
        </w:rPr>
        <w:footnoteReference w:id="47"/>
      </w:r>
      <w:r w:rsidR="004B6BC6" w:rsidRPr="00640D24">
        <w:rPr>
          <w:rFonts w:eastAsia="Times New Roman" w:cs="Times New Roman"/>
          <w:sz w:val="22"/>
          <w:szCs w:val="22"/>
        </w:rPr>
        <w:t>. Tai susiję su COVID</w:t>
      </w:r>
      <w:r w:rsidR="00376FD2" w:rsidRPr="00640D24">
        <w:rPr>
          <w:rFonts w:cs="Times New Roman"/>
          <w:sz w:val="22"/>
          <w:szCs w:val="22"/>
        </w:rPr>
        <w:t>–</w:t>
      </w:r>
      <w:r w:rsidR="004B6BC6" w:rsidRPr="00640D24">
        <w:rPr>
          <w:rFonts w:eastAsia="Times New Roman" w:cs="Times New Roman"/>
          <w:sz w:val="22"/>
          <w:szCs w:val="22"/>
        </w:rPr>
        <w:t>19 pandemijos pasekmėms įveikti skirt</w:t>
      </w:r>
      <w:r w:rsidR="00196ED6" w:rsidRPr="00640D24">
        <w:rPr>
          <w:rFonts w:eastAsia="Times New Roman" w:cs="Times New Roman"/>
          <w:sz w:val="22"/>
          <w:szCs w:val="22"/>
        </w:rPr>
        <w:t>omis</w:t>
      </w:r>
      <w:r w:rsidR="004B6BC6" w:rsidRPr="00640D24">
        <w:rPr>
          <w:rFonts w:eastAsia="Times New Roman" w:cs="Times New Roman"/>
          <w:sz w:val="22"/>
          <w:szCs w:val="22"/>
        </w:rPr>
        <w:t xml:space="preserve"> </w:t>
      </w:r>
      <w:r w:rsidR="00196ED6" w:rsidRPr="00640D24">
        <w:rPr>
          <w:rFonts w:eastAsia="Times New Roman" w:cs="Times New Roman"/>
          <w:sz w:val="22"/>
          <w:szCs w:val="22"/>
        </w:rPr>
        <w:t>FP</w:t>
      </w:r>
      <w:r w:rsidR="004B6BC6" w:rsidRPr="00640D24">
        <w:rPr>
          <w:rFonts w:eastAsia="Times New Roman" w:cs="Times New Roman"/>
          <w:sz w:val="22"/>
          <w:szCs w:val="22"/>
        </w:rPr>
        <w:t xml:space="preserve"> įmonėms, jų įvairove ir poveikiu.</w:t>
      </w:r>
    </w:p>
    <w:p w14:paraId="767F9F37" w14:textId="51F15EBC" w:rsidR="00F6326D" w:rsidRPr="00640D24" w:rsidRDefault="00F6326D" w:rsidP="00170B5F">
      <w:pPr>
        <w:spacing w:before="60" w:after="60" w:line="240" w:lineRule="auto"/>
        <w:ind w:firstLine="567"/>
        <w:jc w:val="both"/>
        <w:rPr>
          <w:rFonts w:cs="Times New Roman"/>
          <w:sz w:val="22"/>
          <w:szCs w:val="22"/>
        </w:rPr>
      </w:pPr>
      <w:r w:rsidRPr="00640D24">
        <w:rPr>
          <w:rFonts w:cs="Times New Roman"/>
          <w:sz w:val="22"/>
          <w:szCs w:val="22"/>
        </w:rPr>
        <w:t>Valstybės finansuojamos priemonės</w:t>
      </w:r>
      <w:r w:rsidR="00E92F50" w:rsidRPr="00640D24">
        <w:rPr>
          <w:rFonts w:cs="Times New Roman"/>
          <w:sz w:val="22"/>
          <w:szCs w:val="22"/>
        </w:rPr>
        <w:t xml:space="preserve"> verslui</w:t>
      </w:r>
      <w:r w:rsidRPr="00640D24">
        <w:rPr>
          <w:rFonts w:cs="Times New Roman"/>
          <w:sz w:val="22"/>
          <w:szCs w:val="22"/>
        </w:rPr>
        <w:t xml:space="preserve"> gali apimti keletą finansinių produktų (priemonių), įskaitant:</w:t>
      </w:r>
    </w:p>
    <w:p w14:paraId="190BF965" w14:textId="51D6DFF8" w:rsidR="00F6326D" w:rsidRPr="00640D24" w:rsidRDefault="00F6326D" w:rsidP="004511EC">
      <w:pPr>
        <w:pStyle w:val="Sraopastraipa"/>
        <w:numPr>
          <w:ilvl w:val="0"/>
          <w:numId w:val="5"/>
        </w:numPr>
        <w:tabs>
          <w:tab w:val="left" w:pos="993"/>
        </w:tabs>
        <w:spacing w:before="60" w:after="60" w:line="240" w:lineRule="auto"/>
        <w:ind w:left="993" w:hanging="426"/>
        <w:rPr>
          <w:rFonts w:cs="Times New Roman"/>
          <w:sz w:val="22"/>
          <w:szCs w:val="22"/>
        </w:rPr>
      </w:pPr>
      <w:r w:rsidRPr="00640D24">
        <w:rPr>
          <w:rFonts w:cs="Times New Roman"/>
          <w:sz w:val="22"/>
          <w:szCs w:val="22"/>
        </w:rPr>
        <w:t>paskolas, kredito linijas;</w:t>
      </w:r>
    </w:p>
    <w:p w14:paraId="7B6B4744" w14:textId="25BA200E" w:rsidR="00F6326D" w:rsidRPr="00640D24" w:rsidRDefault="00F6326D" w:rsidP="004511EC">
      <w:pPr>
        <w:pStyle w:val="Sraopastraipa"/>
        <w:numPr>
          <w:ilvl w:val="0"/>
          <w:numId w:val="5"/>
        </w:numPr>
        <w:tabs>
          <w:tab w:val="left" w:pos="993"/>
        </w:tabs>
        <w:spacing w:before="60" w:after="60" w:line="240" w:lineRule="auto"/>
        <w:ind w:left="993" w:hanging="426"/>
        <w:rPr>
          <w:rFonts w:cs="Times New Roman"/>
          <w:sz w:val="22"/>
          <w:szCs w:val="22"/>
        </w:rPr>
      </w:pPr>
      <w:r w:rsidRPr="00640D24">
        <w:rPr>
          <w:rFonts w:cs="Times New Roman"/>
          <w:sz w:val="22"/>
          <w:szCs w:val="22"/>
        </w:rPr>
        <w:t>labai mažas paskolas (</w:t>
      </w:r>
      <w:proofErr w:type="spellStart"/>
      <w:r w:rsidRPr="00640D24">
        <w:rPr>
          <w:rFonts w:cs="Times New Roman"/>
          <w:sz w:val="22"/>
          <w:szCs w:val="22"/>
        </w:rPr>
        <w:t>mikrokreditus</w:t>
      </w:r>
      <w:proofErr w:type="spellEnd"/>
      <w:r w:rsidRPr="00640D24">
        <w:rPr>
          <w:rFonts w:cs="Times New Roman"/>
          <w:sz w:val="22"/>
          <w:szCs w:val="22"/>
        </w:rPr>
        <w:t>);</w:t>
      </w:r>
    </w:p>
    <w:p w14:paraId="5D9A0904" w14:textId="05E57C3A" w:rsidR="00F6326D" w:rsidRPr="00640D24" w:rsidRDefault="00A336DE" w:rsidP="004511EC">
      <w:pPr>
        <w:pStyle w:val="Sraopastraipa"/>
        <w:numPr>
          <w:ilvl w:val="0"/>
          <w:numId w:val="5"/>
        </w:numPr>
        <w:tabs>
          <w:tab w:val="left" w:pos="993"/>
        </w:tabs>
        <w:spacing w:before="60" w:after="60" w:line="240" w:lineRule="auto"/>
        <w:ind w:left="993" w:hanging="426"/>
        <w:rPr>
          <w:rFonts w:cs="Times New Roman"/>
          <w:sz w:val="22"/>
          <w:szCs w:val="22"/>
        </w:rPr>
      </w:pPr>
      <w:r w:rsidRPr="00640D24">
        <w:rPr>
          <w:rFonts w:cs="Times New Roman"/>
          <w:sz w:val="22"/>
          <w:szCs w:val="22"/>
        </w:rPr>
        <w:t>finansinę nuomą (</w:t>
      </w:r>
      <w:r w:rsidR="00F6326D" w:rsidRPr="00640D24">
        <w:rPr>
          <w:rFonts w:cs="Times New Roman"/>
          <w:sz w:val="22"/>
          <w:szCs w:val="22"/>
        </w:rPr>
        <w:t>lizingą</w:t>
      </w:r>
      <w:r w:rsidRPr="00640D24">
        <w:rPr>
          <w:rFonts w:cs="Times New Roman"/>
          <w:sz w:val="22"/>
          <w:szCs w:val="22"/>
        </w:rPr>
        <w:t>)</w:t>
      </w:r>
      <w:r w:rsidR="00F6326D" w:rsidRPr="00640D24">
        <w:rPr>
          <w:rFonts w:cs="Times New Roman"/>
          <w:sz w:val="22"/>
          <w:szCs w:val="22"/>
        </w:rPr>
        <w:t>;</w:t>
      </w:r>
    </w:p>
    <w:p w14:paraId="7958CE78" w14:textId="65F18879" w:rsidR="00F6326D" w:rsidRPr="00640D24" w:rsidRDefault="00F6326D" w:rsidP="004511EC">
      <w:pPr>
        <w:pStyle w:val="Sraopastraipa"/>
        <w:numPr>
          <w:ilvl w:val="0"/>
          <w:numId w:val="5"/>
        </w:numPr>
        <w:tabs>
          <w:tab w:val="left" w:pos="993"/>
        </w:tabs>
        <w:spacing w:before="60" w:after="60" w:line="240" w:lineRule="auto"/>
        <w:ind w:left="993" w:hanging="426"/>
        <w:rPr>
          <w:rFonts w:cs="Times New Roman"/>
          <w:sz w:val="22"/>
          <w:szCs w:val="22"/>
        </w:rPr>
      </w:pPr>
      <w:r w:rsidRPr="00640D24">
        <w:rPr>
          <w:rFonts w:cs="Times New Roman"/>
          <w:sz w:val="22"/>
          <w:szCs w:val="22"/>
        </w:rPr>
        <w:t>faktoringą;</w:t>
      </w:r>
    </w:p>
    <w:p w14:paraId="5EF5C0A3" w14:textId="3943EB4E" w:rsidR="00F6326D" w:rsidRPr="00640D24" w:rsidRDefault="00F6326D" w:rsidP="004511EC">
      <w:pPr>
        <w:pStyle w:val="Sraopastraipa"/>
        <w:numPr>
          <w:ilvl w:val="0"/>
          <w:numId w:val="5"/>
        </w:numPr>
        <w:tabs>
          <w:tab w:val="left" w:pos="993"/>
        </w:tabs>
        <w:spacing w:before="60" w:after="60" w:line="240" w:lineRule="auto"/>
        <w:ind w:left="993" w:hanging="426"/>
        <w:rPr>
          <w:rFonts w:cs="Times New Roman"/>
          <w:sz w:val="22"/>
          <w:szCs w:val="22"/>
        </w:rPr>
      </w:pPr>
      <w:r w:rsidRPr="00640D24">
        <w:rPr>
          <w:rFonts w:cs="Times New Roman"/>
          <w:sz w:val="22"/>
          <w:szCs w:val="22"/>
        </w:rPr>
        <w:t>FĮ garantijas ir akredityvus;</w:t>
      </w:r>
    </w:p>
    <w:p w14:paraId="14EC0E8D" w14:textId="63D1C17E" w:rsidR="00F6326D" w:rsidRPr="00640D24" w:rsidRDefault="00196ED6" w:rsidP="004511EC">
      <w:pPr>
        <w:pStyle w:val="Sraopastraipa"/>
        <w:numPr>
          <w:ilvl w:val="0"/>
          <w:numId w:val="5"/>
        </w:numPr>
        <w:tabs>
          <w:tab w:val="left" w:pos="993"/>
        </w:tabs>
        <w:spacing w:before="60" w:after="60" w:line="240" w:lineRule="auto"/>
        <w:ind w:left="993" w:hanging="426"/>
        <w:rPr>
          <w:rFonts w:cs="Times New Roman"/>
          <w:sz w:val="22"/>
          <w:szCs w:val="22"/>
        </w:rPr>
      </w:pPr>
      <w:r w:rsidRPr="00640D24">
        <w:rPr>
          <w:rFonts w:cs="Times New Roman"/>
          <w:sz w:val="22"/>
          <w:szCs w:val="22"/>
        </w:rPr>
        <w:t>i</w:t>
      </w:r>
      <w:r w:rsidR="008A4688" w:rsidRPr="00640D24">
        <w:rPr>
          <w:rFonts w:cs="Times New Roman"/>
          <w:sz w:val="22"/>
          <w:szCs w:val="22"/>
        </w:rPr>
        <w:t xml:space="preserve">nvesticijas į </w:t>
      </w:r>
      <w:r w:rsidR="00F6326D" w:rsidRPr="00640D24">
        <w:rPr>
          <w:rFonts w:cs="Times New Roman"/>
          <w:sz w:val="22"/>
          <w:szCs w:val="22"/>
        </w:rPr>
        <w:t xml:space="preserve">akcinį kapitalą ir pusiau akcinį kapitalą, pvz., rizikos kapitalą (angl. </w:t>
      </w:r>
      <w:proofErr w:type="spellStart"/>
      <w:r w:rsidR="00F6326D" w:rsidRPr="00640D24">
        <w:rPr>
          <w:rFonts w:cs="Times New Roman"/>
          <w:i/>
          <w:sz w:val="22"/>
          <w:szCs w:val="22"/>
        </w:rPr>
        <w:t>venture</w:t>
      </w:r>
      <w:proofErr w:type="spellEnd"/>
      <w:r w:rsidR="00F6326D" w:rsidRPr="00640D24">
        <w:rPr>
          <w:rFonts w:cs="Times New Roman"/>
          <w:i/>
          <w:sz w:val="22"/>
          <w:szCs w:val="22"/>
        </w:rPr>
        <w:t xml:space="preserve"> </w:t>
      </w:r>
      <w:proofErr w:type="spellStart"/>
      <w:r w:rsidR="00F6326D" w:rsidRPr="00640D24">
        <w:rPr>
          <w:rFonts w:cs="Times New Roman"/>
          <w:i/>
          <w:sz w:val="22"/>
          <w:szCs w:val="22"/>
        </w:rPr>
        <w:t>capital</w:t>
      </w:r>
      <w:proofErr w:type="spellEnd"/>
      <w:r w:rsidR="00F6326D" w:rsidRPr="00640D24">
        <w:rPr>
          <w:rFonts w:cs="Times New Roman"/>
          <w:sz w:val="22"/>
          <w:szCs w:val="22"/>
        </w:rPr>
        <w:t xml:space="preserve">), </w:t>
      </w:r>
      <w:proofErr w:type="spellStart"/>
      <w:r w:rsidR="00F6326D" w:rsidRPr="00640D24">
        <w:rPr>
          <w:rFonts w:cs="Times New Roman"/>
          <w:sz w:val="22"/>
          <w:szCs w:val="22"/>
        </w:rPr>
        <w:t>mezaniną</w:t>
      </w:r>
      <w:proofErr w:type="spellEnd"/>
      <w:r w:rsidR="00F6326D" w:rsidRPr="00640D24">
        <w:rPr>
          <w:rFonts w:cs="Times New Roman"/>
          <w:sz w:val="22"/>
          <w:szCs w:val="22"/>
        </w:rPr>
        <w:t xml:space="preserve"> ir į įmonės plėtrą nukreiptą kapitalą (angl. </w:t>
      </w:r>
      <w:proofErr w:type="spellStart"/>
      <w:r w:rsidR="00F6326D" w:rsidRPr="00640D24">
        <w:rPr>
          <w:rFonts w:cs="Times New Roman"/>
          <w:i/>
          <w:sz w:val="22"/>
          <w:szCs w:val="22"/>
        </w:rPr>
        <w:t>growth</w:t>
      </w:r>
      <w:proofErr w:type="spellEnd"/>
      <w:r w:rsidR="00F6326D" w:rsidRPr="00640D24">
        <w:rPr>
          <w:rFonts w:cs="Times New Roman"/>
          <w:i/>
          <w:sz w:val="22"/>
          <w:szCs w:val="22"/>
        </w:rPr>
        <w:t>/</w:t>
      </w:r>
      <w:proofErr w:type="spellStart"/>
      <w:r w:rsidR="00F6326D" w:rsidRPr="00640D24">
        <w:rPr>
          <w:rFonts w:cs="Times New Roman"/>
          <w:i/>
          <w:sz w:val="22"/>
          <w:szCs w:val="22"/>
        </w:rPr>
        <w:t>expansion</w:t>
      </w:r>
      <w:proofErr w:type="spellEnd"/>
      <w:r w:rsidR="00F6326D" w:rsidRPr="00640D24">
        <w:rPr>
          <w:rFonts w:cs="Times New Roman"/>
          <w:i/>
          <w:sz w:val="22"/>
          <w:szCs w:val="22"/>
        </w:rPr>
        <w:t xml:space="preserve"> </w:t>
      </w:r>
      <w:proofErr w:type="spellStart"/>
      <w:r w:rsidR="00F6326D" w:rsidRPr="00640D24">
        <w:rPr>
          <w:rFonts w:cs="Times New Roman"/>
          <w:i/>
          <w:sz w:val="22"/>
          <w:szCs w:val="22"/>
        </w:rPr>
        <w:t>capital</w:t>
      </w:r>
      <w:proofErr w:type="spellEnd"/>
      <w:r w:rsidR="00F6326D" w:rsidRPr="00640D24">
        <w:rPr>
          <w:rFonts w:cs="Times New Roman"/>
          <w:sz w:val="22"/>
          <w:szCs w:val="22"/>
        </w:rPr>
        <w:t>);</w:t>
      </w:r>
    </w:p>
    <w:p w14:paraId="3EF6E8D3" w14:textId="024BD10F" w:rsidR="00F6326D" w:rsidRPr="00640D24" w:rsidRDefault="00F6326D" w:rsidP="004511EC">
      <w:pPr>
        <w:pStyle w:val="Sraopastraipa"/>
        <w:numPr>
          <w:ilvl w:val="0"/>
          <w:numId w:val="5"/>
        </w:numPr>
        <w:tabs>
          <w:tab w:val="left" w:pos="993"/>
        </w:tabs>
        <w:spacing w:before="60" w:after="60" w:line="240" w:lineRule="auto"/>
        <w:ind w:left="993" w:hanging="426"/>
        <w:rPr>
          <w:rFonts w:cs="Times New Roman"/>
          <w:sz w:val="22"/>
          <w:szCs w:val="22"/>
        </w:rPr>
      </w:pPr>
      <w:r w:rsidRPr="00640D24">
        <w:rPr>
          <w:rFonts w:cs="Times New Roman"/>
          <w:sz w:val="22"/>
          <w:szCs w:val="22"/>
        </w:rPr>
        <w:t>technologijų perdavimo fondus (</w:t>
      </w:r>
      <w:proofErr w:type="spellStart"/>
      <w:r w:rsidRPr="00640D24">
        <w:rPr>
          <w:rFonts w:cs="Times New Roman"/>
          <w:sz w:val="22"/>
          <w:szCs w:val="22"/>
        </w:rPr>
        <w:t>angl</w:t>
      </w:r>
      <w:proofErr w:type="spellEnd"/>
      <w:r w:rsidRPr="00640D24">
        <w:rPr>
          <w:rFonts w:cs="Times New Roman"/>
          <w:sz w:val="22"/>
          <w:szCs w:val="22"/>
          <w:lang w:val="en-US"/>
        </w:rPr>
        <w:t xml:space="preserve">. </w:t>
      </w:r>
      <w:r w:rsidRPr="00640D24">
        <w:rPr>
          <w:rFonts w:cs="Times New Roman"/>
          <w:i/>
          <w:sz w:val="22"/>
          <w:szCs w:val="22"/>
          <w:lang w:val="en-US"/>
        </w:rPr>
        <w:t>technology transfer funds</w:t>
      </w:r>
      <w:proofErr w:type="gramStart"/>
      <w:r w:rsidRPr="00640D24">
        <w:rPr>
          <w:rFonts w:cs="Times New Roman"/>
          <w:sz w:val="22"/>
          <w:szCs w:val="22"/>
        </w:rPr>
        <w:t>);</w:t>
      </w:r>
      <w:proofErr w:type="gramEnd"/>
    </w:p>
    <w:p w14:paraId="214EC9EF" w14:textId="76D66ADE" w:rsidR="00F6326D" w:rsidRPr="00640D24" w:rsidRDefault="00F6326D" w:rsidP="004511EC">
      <w:pPr>
        <w:pStyle w:val="Sraopastraipa"/>
        <w:numPr>
          <w:ilvl w:val="0"/>
          <w:numId w:val="5"/>
        </w:numPr>
        <w:tabs>
          <w:tab w:val="left" w:pos="993"/>
        </w:tabs>
        <w:spacing w:before="60" w:after="60" w:line="240" w:lineRule="auto"/>
        <w:ind w:left="993" w:hanging="426"/>
        <w:jc w:val="both"/>
        <w:rPr>
          <w:rFonts w:cs="Times New Roman"/>
          <w:sz w:val="22"/>
          <w:szCs w:val="22"/>
        </w:rPr>
      </w:pPr>
      <w:r w:rsidRPr="00640D24">
        <w:rPr>
          <w:rFonts w:cs="Times New Roman"/>
          <w:sz w:val="22"/>
          <w:szCs w:val="22"/>
        </w:rPr>
        <w:lastRenderedPageBreak/>
        <w:t xml:space="preserve">pakeitimui (angl. </w:t>
      </w:r>
      <w:r w:rsidRPr="00640D24">
        <w:rPr>
          <w:rFonts w:cs="Times New Roman"/>
          <w:i/>
          <w:sz w:val="22"/>
          <w:szCs w:val="22"/>
          <w:lang w:val="en-US"/>
        </w:rPr>
        <w:t>replacement capital</w:t>
      </w:r>
      <w:r w:rsidRPr="00640D24">
        <w:rPr>
          <w:rFonts w:cs="Times New Roman"/>
          <w:sz w:val="22"/>
          <w:szCs w:val="22"/>
        </w:rPr>
        <w:t xml:space="preserve">), gelbėjimui (apyvartumui) (angl. </w:t>
      </w:r>
      <w:r w:rsidRPr="00640D24">
        <w:rPr>
          <w:rFonts w:cs="Times New Roman"/>
          <w:sz w:val="22"/>
          <w:szCs w:val="22"/>
          <w:lang w:val="en-US"/>
        </w:rPr>
        <w:t>r</w:t>
      </w:r>
      <w:r w:rsidRPr="00640D24">
        <w:rPr>
          <w:rFonts w:cs="Times New Roman"/>
          <w:i/>
          <w:sz w:val="22"/>
          <w:szCs w:val="22"/>
          <w:lang w:val="en-US"/>
        </w:rPr>
        <w:t>escue/turnaround</w:t>
      </w:r>
      <w:r w:rsidRPr="00640D24">
        <w:rPr>
          <w:rFonts w:cs="Times New Roman"/>
          <w:sz w:val="22"/>
          <w:szCs w:val="22"/>
        </w:rPr>
        <w:t>) ir išpirkimui (</w:t>
      </w:r>
      <w:proofErr w:type="spellStart"/>
      <w:r w:rsidRPr="00640D24">
        <w:rPr>
          <w:rFonts w:cs="Times New Roman"/>
          <w:sz w:val="22"/>
          <w:szCs w:val="22"/>
        </w:rPr>
        <w:t>angl</w:t>
      </w:r>
      <w:proofErr w:type="spellEnd"/>
      <w:r w:rsidRPr="00640D24">
        <w:rPr>
          <w:rFonts w:cs="Times New Roman"/>
          <w:sz w:val="22"/>
          <w:szCs w:val="22"/>
          <w:lang w:val="en-US"/>
        </w:rPr>
        <w:t xml:space="preserve">. </w:t>
      </w:r>
      <w:r w:rsidRPr="00640D24">
        <w:rPr>
          <w:rFonts w:cs="Times New Roman"/>
          <w:i/>
          <w:sz w:val="22"/>
          <w:szCs w:val="22"/>
          <w:lang w:val="en-US"/>
        </w:rPr>
        <w:t>buyout</w:t>
      </w:r>
      <w:r w:rsidRPr="00640D24">
        <w:rPr>
          <w:rFonts w:cs="Times New Roman"/>
          <w:sz w:val="22"/>
          <w:szCs w:val="22"/>
        </w:rPr>
        <w:t xml:space="preserve">) skirtą </w:t>
      </w:r>
      <w:proofErr w:type="gramStart"/>
      <w:r w:rsidRPr="00640D24">
        <w:rPr>
          <w:rFonts w:cs="Times New Roman"/>
          <w:sz w:val="22"/>
          <w:szCs w:val="22"/>
        </w:rPr>
        <w:t>kapitalą;</w:t>
      </w:r>
      <w:proofErr w:type="gramEnd"/>
    </w:p>
    <w:p w14:paraId="66A5A326" w14:textId="6D54BBEC" w:rsidR="00533DB2" w:rsidRPr="00640D24" w:rsidRDefault="00F6326D" w:rsidP="004511EC">
      <w:pPr>
        <w:pStyle w:val="Sraopastraipa"/>
        <w:numPr>
          <w:ilvl w:val="0"/>
          <w:numId w:val="5"/>
        </w:numPr>
        <w:tabs>
          <w:tab w:val="left" w:pos="993"/>
        </w:tabs>
        <w:spacing w:before="60" w:after="60" w:line="240" w:lineRule="auto"/>
        <w:ind w:left="993" w:hanging="426"/>
        <w:rPr>
          <w:rFonts w:cs="Times New Roman"/>
          <w:sz w:val="22"/>
          <w:szCs w:val="22"/>
        </w:rPr>
      </w:pPr>
      <w:r w:rsidRPr="00640D24">
        <w:rPr>
          <w:rFonts w:cs="Times New Roman"/>
          <w:sz w:val="22"/>
          <w:szCs w:val="22"/>
        </w:rPr>
        <w:t>grąžinamąsias subsidijas</w:t>
      </w:r>
      <w:r w:rsidRPr="00640D24">
        <w:rPr>
          <w:rStyle w:val="Puslapioinaosnuoroda"/>
          <w:rFonts w:cs="Times New Roman"/>
          <w:sz w:val="22"/>
          <w:szCs w:val="22"/>
        </w:rPr>
        <w:footnoteReference w:id="48"/>
      </w:r>
      <w:r w:rsidRPr="00640D24">
        <w:rPr>
          <w:rFonts w:cs="Times New Roman"/>
          <w:sz w:val="22"/>
          <w:szCs w:val="22"/>
        </w:rPr>
        <w:t>;</w:t>
      </w:r>
    </w:p>
    <w:p w14:paraId="7B70D406" w14:textId="2805948C" w:rsidR="00533DB2" w:rsidRPr="00640D24" w:rsidRDefault="00F6326D" w:rsidP="004511EC">
      <w:pPr>
        <w:pStyle w:val="Sraopastraipa"/>
        <w:numPr>
          <w:ilvl w:val="0"/>
          <w:numId w:val="5"/>
        </w:numPr>
        <w:tabs>
          <w:tab w:val="left" w:pos="993"/>
        </w:tabs>
        <w:spacing w:before="60" w:after="60" w:line="240" w:lineRule="auto"/>
        <w:ind w:left="993" w:hanging="426"/>
        <w:rPr>
          <w:rFonts w:cs="Times New Roman"/>
          <w:sz w:val="22"/>
          <w:szCs w:val="22"/>
        </w:rPr>
      </w:pPr>
      <w:r w:rsidRPr="00640D24">
        <w:rPr>
          <w:rFonts w:cs="Times New Roman"/>
          <w:sz w:val="22"/>
          <w:szCs w:val="22"/>
        </w:rPr>
        <w:t>negrąžinamąsias subsidijas;</w:t>
      </w:r>
    </w:p>
    <w:p w14:paraId="3282E79C" w14:textId="255DEC21" w:rsidR="00F6326D" w:rsidRPr="00640D24" w:rsidRDefault="00F6326D" w:rsidP="004511EC">
      <w:pPr>
        <w:pStyle w:val="Sraopastraipa"/>
        <w:numPr>
          <w:ilvl w:val="0"/>
          <w:numId w:val="5"/>
        </w:numPr>
        <w:tabs>
          <w:tab w:val="left" w:pos="993"/>
        </w:tabs>
        <w:spacing w:before="60" w:after="60" w:line="240" w:lineRule="auto"/>
        <w:ind w:left="993" w:hanging="426"/>
        <w:rPr>
          <w:rFonts w:cs="Times New Roman"/>
          <w:bCs/>
          <w:sz w:val="22"/>
          <w:szCs w:val="22"/>
        </w:rPr>
      </w:pPr>
      <w:r w:rsidRPr="00640D24">
        <w:rPr>
          <w:rFonts w:cs="Times New Roman"/>
          <w:bCs/>
          <w:sz w:val="22"/>
          <w:szCs w:val="22"/>
        </w:rPr>
        <w:t>sutelktinį finansavimą.</w:t>
      </w:r>
    </w:p>
    <w:p w14:paraId="62FC2835" w14:textId="2136A179" w:rsidR="00F6326D" w:rsidRPr="00640D24" w:rsidRDefault="00995AA8" w:rsidP="00170B5F">
      <w:pPr>
        <w:spacing w:before="60" w:after="60" w:line="240" w:lineRule="auto"/>
        <w:ind w:firstLine="567"/>
        <w:jc w:val="both"/>
        <w:rPr>
          <w:rFonts w:cs="Times New Roman"/>
          <w:sz w:val="22"/>
          <w:szCs w:val="22"/>
        </w:rPr>
      </w:pPr>
      <w:r w:rsidRPr="00640D24">
        <w:rPr>
          <w:rFonts w:cs="Times New Roman"/>
          <w:sz w:val="22"/>
          <w:szCs w:val="22"/>
        </w:rPr>
        <w:t>Toliau yra pateikiama priemonių, finansuotų 2014</w:t>
      </w:r>
      <w:r w:rsidR="00757B42" w:rsidRPr="00640D24">
        <w:rPr>
          <w:rFonts w:cs="Times New Roman"/>
          <w:sz w:val="22"/>
          <w:szCs w:val="22"/>
        </w:rPr>
        <w:t>–</w:t>
      </w:r>
      <w:r w:rsidRPr="00640D24">
        <w:rPr>
          <w:rFonts w:cs="Times New Roman"/>
          <w:sz w:val="22"/>
          <w:szCs w:val="22"/>
        </w:rPr>
        <w:t xml:space="preserve">2020 m. ES investicijų programavimo laikotarpiu, analizė. Analizė yra struktūruojama pagal finansavimo formą. </w:t>
      </w:r>
    </w:p>
    <w:p w14:paraId="56E92B90" w14:textId="1FB3D61D" w:rsidR="007F228E" w:rsidRPr="00640D24" w:rsidRDefault="006E12BD" w:rsidP="007F228E">
      <w:pPr>
        <w:pStyle w:val="Antrat3"/>
        <w:spacing w:before="120"/>
      </w:pPr>
      <w:bookmarkStart w:id="27" w:name="_Toc51580641"/>
      <w:bookmarkStart w:id="28" w:name="_Toc57225213"/>
      <w:bookmarkStart w:id="29" w:name="_Toc146812384"/>
      <w:r w:rsidRPr="00640D24">
        <w:rPr>
          <w:rFonts w:cs="Times New Roman"/>
          <w:noProof/>
          <w:lang w:eastAsia="lt-LT"/>
        </w:rPr>
        <w:drawing>
          <wp:anchor distT="0" distB="0" distL="114300" distR="114300" simplePos="0" relativeHeight="251658255" behindDoc="0" locked="0" layoutInCell="1" allowOverlap="1" wp14:anchorId="7C05942E" wp14:editId="2DD13F1A">
            <wp:simplePos x="0" y="0"/>
            <wp:positionH relativeFrom="column">
              <wp:posOffset>635</wp:posOffset>
            </wp:positionH>
            <wp:positionV relativeFrom="paragraph">
              <wp:posOffset>328930</wp:posOffset>
            </wp:positionV>
            <wp:extent cx="6137910" cy="2294255"/>
            <wp:effectExtent l="0" t="0" r="0" b="0"/>
            <wp:wrapTopAndBottom/>
            <wp:docPr id="137564842" name="Chart 137564842">
              <a:extLst xmlns:a="http://schemas.openxmlformats.org/drawingml/2006/main">
                <a:ext uri="{FF2B5EF4-FFF2-40B4-BE49-F238E27FC236}">
                  <a16:creationId xmlns:a16="http://schemas.microsoft.com/office/drawing/2014/main" id="{A8C0EE2C-7E04-4765-951F-F6DC412D21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r w:rsidR="001A47BB" w:rsidRPr="00640D24">
        <w:t>2.2.1. Subsidijos</w:t>
      </w:r>
      <w:bookmarkEnd w:id="27"/>
      <w:bookmarkEnd w:id="28"/>
      <w:bookmarkEnd w:id="29"/>
      <w:r w:rsidR="007F228E" w:rsidRPr="00640D24">
        <w:rPr>
          <w:rFonts w:cs="Times New Roman"/>
          <w:noProof/>
          <w:lang w:eastAsia="lt-LT"/>
        </w:rPr>
        <mc:AlternateContent>
          <mc:Choice Requires="wps">
            <w:drawing>
              <wp:anchor distT="0" distB="0" distL="114300" distR="114300" simplePos="0" relativeHeight="251658256" behindDoc="0" locked="0" layoutInCell="1" allowOverlap="1" wp14:anchorId="725A7A11" wp14:editId="60DEED01">
                <wp:simplePos x="0" y="0"/>
                <wp:positionH relativeFrom="margin">
                  <wp:posOffset>2025</wp:posOffset>
                </wp:positionH>
                <wp:positionV relativeFrom="paragraph">
                  <wp:posOffset>2573823</wp:posOffset>
                </wp:positionV>
                <wp:extent cx="5902960" cy="635"/>
                <wp:effectExtent l="0" t="0" r="2540" b="0"/>
                <wp:wrapSquare wrapText="bothSides"/>
                <wp:docPr id="1437779244" name="Text Box 1437779244"/>
                <wp:cNvGraphicFramePr/>
                <a:graphic xmlns:a="http://schemas.openxmlformats.org/drawingml/2006/main">
                  <a:graphicData uri="http://schemas.microsoft.com/office/word/2010/wordprocessingShape">
                    <wps:wsp>
                      <wps:cNvSpPr txBox="1"/>
                      <wps:spPr>
                        <a:xfrm>
                          <a:off x="0" y="0"/>
                          <a:ext cx="5902960" cy="635"/>
                        </a:xfrm>
                        <a:prstGeom prst="rect">
                          <a:avLst/>
                        </a:prstGeom>
                        <a:solidFill>
                          <a:prstClr val="white"/>
                        </a:solidFill>
                        <a:ln>
                          <a:noFill/>
                        </a:ln>
                      </wps:spPr>
                      <wps:txbx>
                        <w:txbxContent>
                          <w:p w14:paraId="55C8962C" w14:textId="77777777" w:rsidR="007F228E" w:rsidRPr="003A0CAF" w:rsidRDefault="007F228E" w:rsidP="007F228E">
                            <w:pPr>
                              <w:pStyle w:val="Antrat"/>
                              <w:ind w:firstLine="0"/>
                              <w:rPr>
                                <w:rFonts w:cs="Times New Roman"/>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w:t>
                            </w:r>
                            <w:r w:rsidRPr="00C544DD">
                              <w:rPr>
                                <w:b w:val="0"/>
                                <w:bCs w:val="0"/>
                                <w:i/>
                                <w:iCs/>
                                <w:color w:val="auto"/>
                                <w:sz w:val="22"/>
                                <w:szCs w:val="16"/>
                              </w:rPr>
                              <w:fldChar w:fldCharType="begin"/>
                            </w:r>
                            <w:r w:rsidRPr="00C544DD">
                              <w:rPr>
                                <w:b w:val="0"/>
                                <w:bCs w:val="0"/>
                                <w:i/>
                                <w:iCs/>
                                <w:color w:val="auto"/>
                                <w:sz w:val="22"/>
                                <w:szCs w:val="16"/>
                              </w:rPr>
                              <w:instrText xml:space="preserve"> SEQ Pav._Nr._ \* ARABIC </w:instrText>
                            </w:r>
                            <w:r w:rsidRPr="00C544DD">
                              <w:rPr>
                                <w:b w:val="0"/>
                                <w:bCs w:val="0"/>
                                <w:i/>
                                <w:iCs/>
                                <w:color w:val="auto"/>
                                <w:sz w:val="22"/>
                                <w:szCs w:val="16"/>
                              </w:rPr>
                              <w:fldChar w:fldCharType="separate"/>
                            </w:r>
                            <w:r>
                              <w:rPr>
                                <w:b w:val="0"/>
                                <w:bCs w:val="0"/>
                                <w:i/>
                                <w:iCs/>
                                <w:noProof/>
                                <w:color w:val="auto"/>
                                <w:sz w:val="22"/>
                                <w:szCs w:val="16"/>
                              </w:rPr>
                              <w:t>1</w:t>
                            </w:r>
                            <w:r w:rsidRPr="00C544DD">
                              <w:rPr>
                                <w:b w:val="0"/>
                                <w:bCs w:val="0"/>
                                <w:i/>
                                <w:iCs/>
                                <w:color w:val="auto"/>
                                <w:sz w:val="22"/>
                                <w:szCs w:val="16"/>
                              </w:rPr>
                              <w:fldChar w:fldCharType="end"/>
                            </w:r>
                            <w:r w:rsidRPr="00C544DD">
                              <w:rPr>
                                <w:b w:val="0"/>
                                <w:bCs w:val="0"/>
                                <w:i/>
                                <w:iCs/>
                                <w:color w:val="auto"/>
                                <w:sz w:val="22"/>
                                <w:szCs w:val="16"/>
                              </w:rPr>
                              <w:t>.</w:t>
                            </w:r>
                            <w:r>
                              <w:t xml:space="preserve"> </w:t>
                            </w:r>
                            <w:r>
                              <w:rPr>
                                <w:b w:val="0"/>
                                <w:bCs w:val="0"/>
                                <w:i/>
                                <w:iCs/>
                                <w:color w:val="auto"/>
                                <w:sz w:val="22"/>
                                <w:szCs w:val="16"/>
                              </w:rPr>
                              <w:t>Verslo finansavimas pagal finansavimo formas, 2014</w:t>
                            </w:r>
                            <w:r w:rsidRPr="00355961">
                              <w:rPr>
                                <w:rFonts w:cs="Times New Roman"/>
                                <w:sz w:val="22"/>
                                <w:szCs w:val="22"/>
                              </w:rPr>
                              <w:t>–</w:t>
                            </w:r>
                            <w:r>
                              <w:rPr>
                                <w:b w:val="0"/>
                                <w:bCs w:val="0"/>
                                <w:i/>
                                <w:iCs/>
                                <w:color w:val="auto"/>
                                <w:sz w:val="22"/>
                                <w:szCs w:val="16"/>
                              </w:rPr>
                              <w:t xml:space="preserve">2020 m., mln. </w:t>
                            </w:r>
                            <w:r w:rsidRPr="001E276C">
                              <w:rPr>
                                <w:b w:val="0"/>
                                <w:bCs w:val="0"/>
                                <w:i/>
                                <w:iCs/>
                                <w:color w:val="auto"/>
                                <w:sz w:val="22"/>
                                <w:szCs w:val="16"/>
                              </w:rPr>
                              <w:t>Eur.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25A7A11" id="_x0000_t202" coordsize="21600,21600" o:spt="202" path="m,l,21600r21600,l21600,xe">
                <v:stroke joinstyle="miter"/>
                <v:path gradientshapeok="t" o:connecttype="rect"/>
              </v:shapetype>
              <v:shape id="Text Box 1437779244" o:spid="_x0000_s1026" type="#_x0000_t202" style="position:absolute;left:0;text-align:left;margin-left:.15pt;margin-top:202.65pt;width:464.8pt;height:.05pt;z-index:2516582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" stroked="f">
                <v:textbox style="mso-fit-shape-to-text:t" inset="0,0,0,0">
                  <w:txbxContent>
                    <w:p w14:paraId="55C8962C" w14:textId="77777777" w:rsidR="007F228E" w:rsidRPr="003A0CAF" w:rsidRDefault="007F228E" w:rsidP="007F228E">
                      <w:pPr>
                        <w:pStyle w:val="Antrat"/>
                        <w:ind w:firstLine="0"/>
                        <w:rPr>
                          <w:rFonts w:cs="Times New Roman"/>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w:t>
                      </w:r>
                      <w:r w:rsidRPr="00C544DD">
                        <w:rPr>
                          <w:b w:val="0"/>
                          <w:bCs w:val="0"/>
                          <w:i/>
                          <w:iCs/>
                          <w:color w:val="auto"/>
                          <w:sz w:val="22"/>
                          <w:szCs w:val="16"/>
                        </w:rPr>
                        <w:fldChar w:fldCharType="begin"/>
                      </w:r>
                      <w:r w:rsidRPr="00C544DD">
                        <w:rPr>
                          <w:b w:val="0"/>
                          <w:bCs w:val="0"/>
                          <w:i/>
                          <w:iCs/>
                          <w:color w:val="auto"/>
                          <w:sz w:val="22"/>
                          <w:szCs w:val="16"/>
                        </w:rPr>
                        <w:instrText xml:space="preserve"> SEQ Pav._Nr._ \* ARABIC </w:instrText>
                      </w:r>
                      <w:r w:rsidRPr="00C544DD">
                        <w:rPr>
                          <w:b w:val="0"/>
                          <w:bCs w:val="0"/>
                          <w:i/>
                          <w:iCs/>
                          <w:color w:val="auto"/>
                          <w:sz w:val="22"/>
                          <w:szCs w:val="16"/>
                        </w:rPr>
                        <w:fldChar w:fldCharType="separate"/>
                      </w:r>
                      <w:r>
                        <w:rPr>
                          <w:b w:val="0"/>
                          <w:bCs w:val="0"/>
                          <w:i/>
                          <w:iCs/>
                          <w:noProof/>
                          <w:color w:val="auto"/>
                          <w:sz w:val="22"/>
                          <w:szCs w:val="16"/>
                        </w:rPr>
                        <w:t>1</w:t>
                      </w:r>
                      <w:r w:rsidRPr="00C544DD">
                        <w:rPr>
                          <w:b w:val="0"/>
                          <w:bCs w:val="0"/>
                          <w:i/>
                          <w:iCs/>
                          <w:color w:val="auto"/>
                          <w:sz w:val="22"/>
                          <w:szCs w:val="16"/>
                        </w:rPr>
                        <w:fldChar w:fldCharType="end"/>
                      </w:r>
                      <w:r w:rsidRPr="00C544DD">
                        <w:rPr>
                          <w:b w:val="0"/>
                          <w:bCs w:val="0"/>
                          <w:i/>
                          <w:iCs/>
                          <w:color w:val="auto"/>
                          <w:sz w:val="22"/>
                          <w:szCs w:val="16"/>
                        </w:rPr>
                        <w:t>.</w:t>
                      </w:r>
                      <w:r>
                        <w:t xml:space="preserve"> </w:t>
                      </w:r>
                      <w:r>
                        <w:rPr>
                          <w:b w:val="0"/>
                          <w:bCs w:val="0"/>
                          <w:i/>
                          <w:iCs/>
                          <w:color w:val="auto"/>
                          <w:sz w:val="22"/>
                          <w:szCs w:val="16"/>
                        </w:rPr>
                        <w:t>Verslo finansavimas pagal finansavimo formas, 2014</w:t>
                      </w:r>
                      <w:r w:rsidRPr="00355961">
                        <w:rPr>
                          <w:rFonts w:cs="Times New Roman"/>
                          <w:sz w:val="22"/>
                          <w:szCs w:val="22"/>
                        </w:rPr>
                        <w:t>–</w:t>
                      </w:r>
                      <w:r>
                        <w:rPr>
                          <w:b w:val="0"/>
                          <w:bCs w:val="0"/>
                          <w:i/>
                          <w:iCs/>
                          <w:color w:val="auto"/>
                          <w:sz w:val="22"/>
                          <w:szCs w:val="16"/>
                        </w:rPr>
                        <w:t xml:space="preserve">2020 m., mln. </w:t>
                      </w:r>
                      <w:r w:rsidRPr="001E276C">
                        <w:rPr>
                          <w:b w:val="0"/>
                          <w:bCs w:val="0"/>
                          <w:i/>
                          <w:iCs/>
                          <w:color w:val="auto"/>
                          <w:sz w:val="22"/>
                          <w:szCs w:val="16"/>
                        </w:rPr>
                        <w:t>Eur.</w:t>
                      </w:r>
                    </w:p>
                  </w:txbxContent>
                </v:textbox>
                <w10:wrap type="square" anchorx="margin"/>
              </v:shape>
            </w:pict>
          </mc:Fallback>
        </mc:AlternateContent>
      </w:r>
    </w:p>
    <w:p w14:paraId="43239BCB" w14:textId="73C3C46F" w:rsidR="001A47BB" w:rsidRPr="00640D24" w:rsidRDefault="001A47BB" w:rsidP="00170B5F">
      <w:pPr>
        <w:spacing w:before="60" w:after="60" w:line="240" w:lineRule="auto"/>
        <w:ind w:firstLine="567"/>
        <w:jc w:val="both"/>
        <w:rPr>
          <w:rFonts w:cs="Times New Roman"/>
        </w:rPr>
      </w:pPr>
      <w:r w:rsidRPr="00640D24">
        <w:rPr>
          <w:rFonts w:cs="Times New Roman"/>
          <w:sz w:val="22"/>
          <w:szCs w:val="22"/>
        </w:rPr>
        <w:t xml:space="preserve">Bendrame analizuojamų finansavimo priemonių kontekste, subsidijos pritaikymas sudarė </w:t>
      </w:r>
      <w:r w:rsidR="00BF27B7" w:rsidRPr="00640D24">
        <w:rPr>
          <w:rFonts w:cs="Times New Roman"/>
          <w:sz w:val="22"/>
          <w:szCs w:val="22"/>
        </w:rPr>
        <w:t>51</w:t>
      </w:r>
      <w:r w:rsidRPr="00640D24">
        <w:rPr>
          <w:rFonts w:cs="Times New Roman"/>
          <w:sz w:val="22"/>
          <w:szCs w:val="22"/>
        </w:rPr>
        <w:t>,</w:t>
      </w:r>
      <w:r w:rsidR="00BF27B7" w:rsidRPr="00640D24">
        <w:rPr>
          <w:rFonts w:cs="Times New Roman"/>
          <w:sz w:val="22"/>
          <w:szCs w:val="22"/>
        </w:rPr>
        <w:t>43</w:t>
      </w:r>
      <w:r w:rsidR="00A336DE" w:rsidRPr="00640D24">
        <w:rPr>
          <w:rFonts w:cs="Times New Roman"/>
          <w:sz w:val="22"/>
          <w:szCs w:val="22"/>
        </w:rPr>
        <w:t xml:space="preserve"> proc.</w:t>
      </w:r>
      <w:r w:rsidRPr="00640D24">
        <w:rPr>
          <w:rFonts w:cs="Times New Roman"/>
          <w:sz w:val="22"/>
          <w:szCs w:val="22"/>
        </w:rPr>
        <w:t xml:space="preserve"> skirto finansavimo</w:t>
      </w:r>
      <w:r w:rsidR="00206397" w:rsidRPr="00640D24">
        <w:rPr>
          <w:rFonts w:cs="Times New Roman"/>
          <w:sz w:val="22"/>
          <w:szCs w:val="22"/>
        </w:rPr>
        <w:t xml:space="preserve"> (įskaitant grąžinamąsias, negrąžinamąsias subsidijas ir dalines subsidijas</w:t>
      </w:r>
      <w:r w:rsidR="004333E5" w:rsidRPr="00640D24">
        <w:rPr>
          <w:rFonts w:cs="Times New Roman"/>
          <w:sz w:val="22"/>
          <w:szCs w:val="22"/>
        </w:rPr>
        <w:t>,</w:t>
      </w:r>
      <w:r w:rsidR="00206397" w:rsidRPr="00640D24">
        <w:rPr>
          <w:rFonts w:cs="Times New Roman"/>
          <w:sz w:val="22"/>
          <w:szCs w:val="22"/>
        </w:rPr>
        <w:t xml:space="preserve"> ir dalinį palūkanų kompensavimą) (žr. Paveikslas Nr. 1)</w:t>
      </w:r>
      <w:r w:rsidRPr="00640D24">
        <w:rPr>
          <w:rFonts w:cs="Times New Roman"/>
          <w:sz w:val="22"/>
          <w:szCs w:val="22"/>
        </w:rPr>
        <w:t>. 2014</w:t>
      </w:r>
      <w:r w:rsidR="00376FD2" w:rsidRPr="00640D24">
        <w:rPr>
          <w:rFonts w:cs="Times New Roman"/>
          <w:sz w:val="22"/>
          <w:szCs w:val="22"/>
        </w:rPr>
        <w:t>–</w:t>
      </w:r>
      <w:r w:rsidRPr="00640D24">
        <w:rPr>
          <w:rFonts w:cs="Times New Roman"/>
          <w:sz w:val="22"/>
          <w:szCs w:val="22"/>
        </w:rPr>
        <w:t>2020 m. finansavimo perspektyvoje pradėta taikyti nauja, iki šiol Lietuvoje netaikyta finansavimo forma – grąžinamo</w:t>
      </w:r>
      <w:r w:rsidR="00012C96" w:rsidRPr="00640D24">
        <w:rPr>
          <w:rFonts w:cs="Times New Roman"/>
          <w:sz w:val="22"/>
          <w:szCs w:val="22"/>
        </w:rPr>
        <w:t>ji</w:t>
      </w:r>
      <w:r w:rsidRPr="00640D24">
        <w:rPr>
          <w:rFonts w:cs="Times New Roman"/>
          <w:sz w:val="22"/>
          <w:szCs w:val="22"/>
        </w:rPr>
        <w:t xml:space="preserve"> subsidij</w:t>
      </w:r>
      <w:r w:rsidR="00012C96" w:rsidRPr="00640D24">
        <w:rPr>
          <w:rFonts w:cs="Times New Roman"/>
          <w:sz w:val="22"/>
          <w:szCs w:val="22"/>
        </w:rPr>
        <w:t>a</w:t>
      </w:r>
      <w:r w:rsidRPr="00640D24">
        <w:rPr>
          <w:rFonts w:cs="Times New Roman"/>
          <w:sz w:val="22"/>
          <w:szCs w:val="22"/>
        </w:rPr>
        <w:t xml:space="preserve">. Bendrųjų nuostatų reglamento Nr. 1303/2013 (toliau – Bendrųjų nuostatų reglamentas) 66 str. grąžinamoji subsidija yra įvardijama kaip viena iš paramos formų greta subsidijų, apdovanojimų ir finansinių priemonių. Vis dėl to, naujoji ES subsidijos forma analizuojamose srityse buvo taikoma retai – bendra finansavimo suma, finansuojama grąžinamosios subsidijos forma siekia tik </w:t>
      </w:r>
      <w:r w:rsidR="00BF27B7" w:rsidRPr="00640D24">
        <w:rPr>
          <w:rFonts w:cs="Times New Roman"/>
          <w:sz w:val="22"/>
          <w:szCs w:val="22"/>
        </w:rPr>
        <w:t>2</w:t>
      </w:r>
      <w:r w:rsidRPr="00640D24">
        <w:rPr>
          <w:rFonts w:cs="Times New Roman"/>
          <w:sz w:val="22"/>
          <w:szCs w:val="22"/>
        </w:rPr>
        <w:t>,</w:t>
      </w:r>
      <w:r w:rsidR="00BF27B7" w:rsidRPr="00640D24">
        <w:rPr>
          <w:rFonts w:cs="Times New Roman"/>
          <w:sz w:val="22"/>
          <w:szCs w:val="22"/>
        </w:rPr>
        <w:t>1</w:t>
      </w:r>
      <w:r w:rsidR="008B7ACF" w:rsidRPr="00640D24">
        <w:rPr>
          <w:rFonts w:cs="Times New Roman"/>
          <w:sz w:val="22"/>
          <w:szCs w:val="22"/>
        </w:rPr>
        <w:t>3</w:t>
      </w:r>
      <w:r w:rsidRPr="00640D24">
        <w:rPr>
          <w:rFonts w:cs="Times New Roman"/>
          <w:sz w:val="22"/>
          <w:szCs w:val="22"/>
        </w:rPr>
        <w:t xml:space="preserve"> proc. Grąžinamoji subsidija </w:t>
      </w:r>
      <w:r w:rsidR="001F3F5B" w:rsidRPr="00640D24">
        <w:rPr>
          <w:rFonts w:cs="Times New Roman"/>
          <w:sz w:val="22"/>
          <w:szCs w:val="22"/>
        </w:rPr>
        <w:t xml:space="preserve">verslo finansavimo srityje </w:t>
      </w:r>
      <w:r w:rsidRPr="00640D24">
        <w:rPr>
          <w:rFonts w:cs="Times New Roman"/>
          <w:sz w:val="22"/>
          <w:szCs w:val="22"/>
        </w:rPr>
        <w:t>buvo taikoma</w:t>
      </w:r>
      <w:r w:rsidR="006C1877" w:rsidRPr="00640D24">
        <w:rPr>
          <w:rFonts w:cs="Times New Roman"/>
          <w:sz w:val="22"/>
          <w:szCs w:val="22"/>
        </w:rPr>
        <w:t xml:space="preserve"> priemonei</w:t>
      </w:r>
      <w:r w:rsidRPr="00640D24">
        <w:rPr>
          <w:rFonts w:cs="Times New Roman"/>
          <w:sz w:val="22"/>
          <w:szCs w:val="22"/>
        </w:rPr>
        <w:t xml:space="preserve"> „</w:t>
      </w:r>
      <w:proofErr w:type="spellStart"/>
      <w:r w:rsidRPr="00640D24">
        <w:rPr>
          <w:rFonts w:cs="Times New Roman"/>
          <w:sz w:val="22"/>
          <w:szCs w:val="22"/>
        </w:rPr>
        <w:t>Regio</w:t>
      </w:r>
      <w:proofErr w:type="spellEnd"/>
      <w:r w:rsidRPr="00640D24">
        <w:rPr>
          <w:rFonts w:cs="Times New Roman"/>
          <w:sz w:val="22"/>
          <w:szCs w:val="22"/>
        </w:rPr>
        <w:t xml:space="preserve"> potencialas LT“</w:t>
      </w:r>
      <w:r w:rsidR="006C1877" w:rsidRPr="00640D24">
        <w:rPr>
          <w:rFonts w:cs="Times New Roman"/>
          <w:sz w:val="22"/>
          <w:szCs w:val="22"/>
        </w:rPr>
        <w:t>, kuria buvo skatinamos MVĮ investicijos į moderniųjų technologijų diegimą.</w:t>
      </w:r>
    </w:p>
    <w:p w14:paraId="481C9688" w14:textId="08C1A8EB" w:rsidR="00BC2215" w:rsidRPr="00640D24" w:rsidRDefault="0011522A" w:rsidP="00170B5F">
      <w:pPr>
        <w:spacing w:before="60" w:after="60" w:line="240" w:lineRule="auto"/>
        <w:ind w:firstLine="567"/>
        <w:jc w:val="both"/>
        <w:rPr>
          <w:rFonts w:cs="Times New Roman"/>
          <w:sz w:val="22"/>
          <w:szCs w:val="22"/>
        </w:rPr>
      </w:pPr>
      <w:r w:rsidRPr="00640D24">
        <w:rPr>
          <w:rFonts w:cs="Times New Roman"/>
          <w:sz w:val="22"/>
          <w:szCs w:val="22"/>
        </w:rPr>
        <w:t>Subsidijos dominuoja verslo srities finansavimo formų tarpe</w:t>
      </w:r>
      <w:r w:rsidR="001A47BB" w:rsidRPr="00640D24">
        <w:rPr>
          <w:rFonts w:cs="Times New Roman"/>
          <w:sz w:val="22"/>
          <w:szCs w:val="22"/>
        </w:rPr>
        <w:t xml:space="preserve">. Įvertinus skirtingas </w:t>
      </w:r>
      <w:r w:rsidR="00083C62" w:rsidRPr="00640D24">
        <w:rPr>
          <w:rFonts w:cs="Times New Roman"/>
          <w:sz w:val="22"/>
          <w:szCs w:val="22"/>
        </w:rPr>
        <w:t xml:space="preserve">verslo </w:t>
      </w:r>
      <w:r w:rsidR="001A47BB" w:rsidRPr="00640D24">
        <w:rPr>
          <w:rFonts w:cs="Times New Roman"/>
          <w:sz w:val="22"/>
          <w:szCs w:val="22"/>
        </w:rPr>
        <w:t>sritis</w:t>
      </w:r>
      <w:r w:rsidR="00206397" w:rsidRPr="00640D24">
        <w:rPr>
          <w:rFonts w:cs="Times New Roman"/>
          <w:sz w:val="22"/>
          <w:szCs w:val="22"/>
        </w:rPr>
        <w:t>,</w:t>
      </w:r>
      <w:r w:rsidR="001A47BB" w:rsidRPr="00640D24">
        <w:rPr>
          <w:rFonts w:cs="Times New Roman"/>
          <w:sz w:val="22"/>
          <w:szCs w:val="22"/>
        </w:rPr>
        <w:t xml:space="preserve"> yra matoma, </w:t>
      </w:r>
      <w:r w:rsidR="0013600A" w:rsidRPr="00640D24">
        <w:rPr>
          <w:rFonts w:cs="Times New Roman"/>
          <w:sz w:val="22"/>
          <w:szCs w:val="22"/>
        </w:rPr>
        <w:t>kad</w:t>
      </w:r>
      <w:r w:rsidR="001A47BB" w:rsidRPr="00640D24">
        <w:rPr>
          <w:rFonts w:cs="Times New Roman"/>
          <w:sz w:val="22"/>
          <w:szCs w:val="22"/>
        </w:rPr>
        <w:t xml:space="preserve"> verslo finansavimo priemonėse daugiausiai subsidijų buvo skiriama MTEP</w:t>
      </w:r>
      <w:r w:rsidR="00D02D81" w:rsidRPr="00640D24">
        <w:rPr>
          <w:rFonts w:cs="Times New Roman"/>
          <w:sz w:val="22"/>
          <w:szCs w:val="22"/>
        </w:rPr>
        <w:t>I</w:t>
      </w:r>
      <w:r w:rsidR="001A47BB" w:rsidRPr="00640D24">
        <w:rPr>
          <w:rFonts w:cs="Times New Roman"/>
          <w:sz w:val="22"/>
          <w:szCs w:val="22"/>
        </w:rPr>
        <w:t xml:space="preserve"> veiklų vykdymui</w:t>
      </w:r>
      <w:r w:rsidR="009F1620" w:rsidRPr="00640D24">
        <w:rPr>
          <w:rFonts w:cs="Times New Roman"/>
          <w:sz w:val="22"/>
          <w:szCs w:val="22"/>
        </w:rPr>
        <w:t xml:space="preserve"> (</w:t>
      </w:r>
      <w:r w:rsidR="00F02FB7" w:rsidRPr="00640D24">
        <w:rPr>
          <w:rFonts w:cs="Times New Roman"/>
          <w:sz w:val="22"/>
          <w:szCs w:val="22"/>
        </w:rPr>
        <w:t>40,66</w:t>
      </w:r>
      <w:r w:rsidR="009F1620" w:rsidRPr="00640D24">
        <w:rPr>
          <w:rFonts w:cs="Times New Roman"/>
          <w:sz w:val="22"/>
          <w:szCs w:val="22"/>
        </w:rPr>
        <w:t xml:space="preserve"> proc. – 3</w:t>
      </w:r>
      <w:r w:rsidR="006D42B6" w:rsidRPr="00640D24">
        <w:rPr>
          <w:rFonts w:cs="Times New Roman"/>
          <w:sz w:val="22"/>
          <w:szCs w:val="22"/>
        </w:rPr>
        <w:t>12</w:t>
      </w:r>
      <w:r w:rsidR="009F1620" w:rsidRPr="00640D24">
        <w:rPr>
          <w:rFonts w:cs="Times New Roman"/>
          <w:sz w:val="22"/>
          <w:szCs w:val="22"/>
        </w:rPr>
        <w:t>,</w:t>
      </w:r>
      <w:r w:rsidR="006D42B6" w:rsidRPr="00640D24">
        <w:rPr>
          <w:rFonts w:cs="Times New Roman"/>
          <w:sz w:val="22"/>
          <w:szCs w:val="22"/>
        </w:rPr>
        <w:t>89</w:t>
      </w:r>
      <w:r w:rsidR="009F1620" w:rsidRPr="00640D24">
        <w:rPr>
          <w:rFonts w:cs="Times New Roman"/>
          <w:sz w:val="22"/>
          <w:szCs w:val="22"/>
        </w:rPr>
        <w:t xml:space="preserve"> mln. </w:t>
      </w:r>
      <w:proofErr w:type="spellStart"/>
      <w:r w:rsidR="009F1620" w:rsidRPr="00640D24">
        <w:rPr>
          <w:rFonts w:cs="Times New Roman"/>
          <w:sz w:val="22"/>
          <w:szCs w:val="22"/>
        </w:rPr>
        <w:t>Eur</w:t>
      </w:r>
      <w:proofErr w:type="spellEnd"/>
      <w:r w:rsidR="009F1620" w:rsidRPr="00640D24">
        <w:rPr>
          <w:rFonts w:cs="Times New Roman"/>
          <w:sz w:val="22"/>
          <w:szCs w:val="22"/>
        </w:rPr>
        <w:t>)</w:t>
      </w:r>
      <w:r w:rsidR="001A47BB" w:rsidRPr="00640D24">
        <w:rPr>
          <w:rFonts w:cs="Times New Roman"/>
          <w:sz w:val="22"/>
          <w:szCs w:val="22"/>
        </w:rPr>
        <w:t xml:space="preserve"> ir </w:t>
      </w:r>
      <w:r w:rsidR="009F1620" w:rsidRPr="00640D24">
        <w:rPr>
          <w:rFonts w:cs="Times New Roman"/>
          <w:sz w:val="22"/>
          <w:szCs w:val="22"/>
        </w:rPr>
        <w:t xml:space="preserve">MVĮ, veikiančių pramonės sektoriuje, </w:t>
      </w:r>
      <w:proofErr w:type="spellStart"/>
      <w:r w:rsidR="009F1620" w:rsidRPr="00640D24">
        <w:rPr>
          <w:rFonts w:cs="Times New Roman"/>
          <w:sz w:val="22"/>
          <w:szCs w:val="22"/>
        </w:rPr>
        <w:t>skaitmeninimui</w:t>
      </w:r>
      <w:proofErr w:type="spellEnd"/>
      <w:r w:rsidR="009F1620" w:rsidRPr="00640D24">
        <w:rPr>
          <w:rFonts w:cs="Times New Roman"/>
          <w:sz w:val="22"/>
          <w:szCs w:val="22"/>
        </w:rPr>
        <w:t xml:space="preserve"> ir</w:t>
      </w:r>
      <w:r w:rsidR="004333E5" w:rsidRPr="00640D24">
        <w:rPr>
          <w:rFonts w:cs="Times New Roman"/>
          <w:sz w:val="22"/>
          <w:szCs w:val="22"/>
        </w:rPr>
        <w:t xml:space="preserve"> (</w:t>
      </w:r>
      <w:r w:rsidR="009F1620" w:rsidRPr="00640D24">
        <w:rPr>
          <w:rFonts w:cs="Times New Roman"/>
          <w:sz w:val="22"/>
          <w:szCs w:val="22"/>
        </w:rPr>
        <w:t>ar</w:t>
      </w:r>
      <w:r w:rsidR="004333E5" w:rsidRPr="00640D24">
        <w:rPr>
          <w:rFonts w:cs="Times New Roman"/>
          <w:sz w:val="22"/>
          <w:szCs w:val="22"/>
        </w:rPr>
        <w:t>)</w:t>
      </w:r>
      <w:r w:rsidR="009F1620" w:rsidRPr="00640D24">
        <w:rPr>
          <w:rFonts w:cs="Times New Roman"/>
          <w:sz w:val="22"/>
          <w:szCs w:val="22"/>
        </w:rPr>
        <w:t xml:space="preserve"> technologinių inovacijų diegimui (</w:t>
      </w:r>
      <w:r w:rsidR="00F02FB7" w:rsidRPr="00640D24">
        <w:rPr>
          <w:rFonts w:cs="Times New Roman"/>
          <w:sz w:val="22"/>
          <w:szCs w:val="22"/>
        </w:rPr>
        <w:t>3</w:t>
      </w:r>
      <w:r w:rsidR="006D42B6" w:rsidRPr="00640D24">
        <w:rPr>
          <w:rFonts w:cs="Times New Roman"/>
          <w:sz w:val="22"/>
          <w:szCs w:val="22"/>
        </w:rPr>
        <w:t>4</w:t>
      </w:r>
      <w:r w:rsidR="009F1620" w:rsidRPr="00640D24">
        <w:rPr>
          <w:rFonts w:cs="Times New Roman"/>
          <w:sz w:val="22"/>
          <w:szCs w:val="22"/>
        </w:rPr>
        <w:t>,</w:t>
      </w:r>
      <w:r w:rsidR="006D42B6" w:rsidRPr="00640D24">
        <w:rPr>
          <w:rFonts w:cs="Times New Roman"/>
          <w:sz w:val="22"/>
          <w:szCs w:val="22"/>
        </w:rPr>
        <w:t>93</w:t>
      </w:r>
      <w:r w:rsidR="009F1620" w:rsidRPr="00640D24">
        <w:rPr>
          <w:rFonts w:cs="Times New Roman"/>
          <w:sz w:val="22"/>
          <w:szCs w:val="22"/>
        </w:rPr>
        <w:t xml:space="preserve"> proc. – 276,48 mln. </w:t>
      </w:r>
      <w:proofErr w:type="spellStart"/>
      <w:r w:rsidR="009F1620" w:rsidRPr="00640D24">
        <w:rPr>
          <w:rFonts w:cs="Times New Roman"/>
          <w:sz w:val="22"/>
          <w:szCs w:val="22"/>
        </w:rPr>
        <w:t>Eur</w:t>
      </w:r>
      <w:proofErr w:type="spellEnd"/>
      <w:r w:rsidR="009F1620" w:rsidRPr="00640D24">
        <w:rPr>
          <w:rFonts w:cs="Times New Roman"/>
          <w:sz w:val="22"/>
          <w:szCs w:val="22"/>
        </w:rPr>
        <w:t>)</w:t>
      </w:r>
      <w:r w:rsidR="001A47BB" w:rsidRPr="00640D24">
        <w:rPr>
          <w:rFonts w:cs="Times New Roman"/>
          <w:sz w:val="22"/>
          <w:szCs w:val="22"/>
        </w:rPr>
        <w:t xml:space="preserve">. </w:t>
      </w:r>
      <w:r w:rsidR="006D42B6" w:rsidRPr="00640D24">
        <w:rPr>
          <w:rFonts w:cs="Times New Roman"/>
          <w:sz w:val="22"/>
          <w:szCs w:val="22"/>
        </w:rPr>
        <w:t>6</w:t>
      </w:r>
      <w:r w:rsidR="009F1620" w:rsidRPr="00640D24">
        <w:rPr>
          <w:rFonts w:cs="Times New Roman"/>
          <w:sz w:val="22"/>
          <w:szCs w:val="22"/>
        </w:rPr>
        <w:t>,</w:t>
      </w:r>
      <w:r w:rsidR="006D42B6" w:rsidRPr="00640D24">
        <w:rPr>
          <w:rFonts w:cs="Times New Roman"/>
          <w:sz w:val="22"/>
          <w:szCs w:val="22"/>
        </w:rPr>
        <w:t>44</w:t>
      </w:r>
      <w:r w:rsidR="009F1620" w:rsidRPr="00640D24">
        <w:rPr>
          <w:rFonts w:cs="Times New Roman"/>
          <w:sz w:val="22"/>
          <w:szCs w:val="22"/>
        </w:rPr>
        <w:t xml:space="preserve"> proc. (</w:t>
      </w:r>
      <w:r w:rsidR="006D42B6" w:rsidRPr="00640D24">
        <w:rPr>
          <w:rFonts w:cs="Times New Roman"/>
          <w:sz w:val="22"/>
          <w:szCs w:val="22"/>
        </w:rPr>
        <w:t>50</w:t>
      </w:r>
      <w:r w:rsidR="009F1620" w:rsidRPr="00640D24">
        <w:rPr>
          <w:rFonts w:cs="Times New Roman"/>
          <w:sz w:val="22"/>
          <w:szCs w:val="22"/>
        </w:rPr>
        <w:t>,</w:t>
      </w:r>
      <w:r w:rsidR="006D42B6" w:rsidRPr="00640D24">
        <w:rPr>
          <w:rFonts w:cs="Times New Roman"/>
          <w:sz w:val="22"/>
          <w:szCs w:val="22"/>
        </w:rPr>
        <w:t>99</w:t>
      </w:r>
      <w:r w:rsidR="009F1620" w:rsidRPr="00640D24">
        <w:rPr>
          <w:rFonts w:cs="Times New Roman"/>
          <w:sz w:val="22"/>
          <w:szCs w:val="22"/>
        </w:rPr>
        <w:t xml:space="preserve"> mln. </w:t>
      </w:r>
      <w:proofErr w:type="spellStart"/>
      <w:r w:rsidR="009F1620" w:rsidRPr="00640D24">
        <w:rPr>
          <w:rFonts w:cs="Times New Roman"/>
          <w:sz w:val="22"/>
          <w:szCs w:val="22"/>
        </w:rPr>
        <w:t>Eur</w:t>
      </w:r>
      <w:proofErr w:type="spellEnd"/>
      <w:r w:rsidR="009F1620" w:rsidRPr="00640D24">
        <w:rPr>
          <w:rFonts w:cs="Times New Roman"/>
          <w:sz w:val="22"/>
          <w:szCs w:val="22"/>
        </w:rPr>
        <w:t>) visų investicijų buvo skirta</w:t>
      </w:r>
      <w:r w:rsidR="001A47BB" w:rsidRPr="00640D24">
        <w:rPr>
          <w:rFonts w:cs="Times New Roman"/>
          <w:sz w:val="22"/>
          <w:szCs w:val="22"/>
        </w:rPr>
        <w:t xml:space="preserve"> TUI projektų finansavimui, </w:t>
      </w:r>
      <w:r w:rsidR="009F1620" w:rsidRPr="00640D24">
        <w:rPr>
          <w:rFonts w:cs="Times New Roman"/>
          <w:sz w:val="22"/>
          <w:szCs w:val="22"/>
        </w:rPr>
        <w:t>1</w:t>
      </w:r>
      <w:r w:rsidR="006D42B6" w:rsidRPr="00640D24">
        <w:rPr>
          <w:rFonts w:cs="Times New Roman"/>
          <w:sz w:val="22"/>
          <w:szCs w:val="22"/>
        </w:rPr>
        <w:t>7</w:t>
      </w:r>
      <w:r w:rsidR="009F1620" w:rsidRPr="00640D24">
        <w:rPr>
          <w:rFonts w:cs="Times New Roman"/>
          <w:sz w:val="22"/>
          <w:szCs w:val="22"/>
        </w:rPr>
        <w:t>,</w:t>
      </w:r>
      <w:r w:rsidR="006D42B6" w:rsidRPr="00640D24">
        <w:rPr>
          <w:rFonts w:cs="Times New Roman"/>
          <w:sz w:val="22"/>
          <w:szCs w:val="22"/>
        </w:rPr>
        <w:t>97</w:t>
      </w:r>
      <w:r w:rsidR="009F1620" w:rsidRPr="00640D24">
        <w:rPr>
          <w:rFonts w:cs="Times New Roman"/>
          <w:sz w:val="22"/>
          <w:szCs w:val="22"/>
        </w:rPr>
        <w:t xml:space="preserve"> proc. (142,23</w:t>
      </w:r>
      <w:r w:rsidR="001A47BB" w:rsidRPr="00640D24">
        <w:rPr>
          <w:rFonts w:cs="Times New Roman"/>
          <w:sz w:val="22"/>
          <w:szCs w:val="22"/>
        </w:rPr>
        <w:t xml:space="preserve"> mln. </w:t>
      </w:r>
      <w:proofErr w:type="spellStart"/>
      <w:r w:rsidR="00C664AC" w:rsidRPr="00640D24">
        <w:rPr>
          <w:rFonts w:cs="Times New Roman"/>
          <w:sz w:val="22"/>
          <w:szCs w:val="22"/>
        </w:rPr>
        <w:t>Eur</w:t>
      </w:r>
      <w:proofErr w:type="spellEnd"/>
      <w:r w:rsidR="009F1620" w:rsidRPr="00640D24">
        <w:rPr>
          <w:rFonts w:cs="Times New Roman"/>
          <w:sz w:val="22"/>
          <w:szCs w:val="22"/>
        </w:rPr>
        <w:t>)</w:t>
      </w:r>
      <w:r w:rsidR="001A47BB" w:rsidRPr="00640D24">
        <w:rPr>
          <w:rFonts w:cs="Times New Roman"/>
          <w:sz w:val="22"/>
          <w:szCs w:val="22"/>
        </w:rPr>
        <w:t xml:space="preserve"> – </w:t>
      </w:r>
      <w:proofErr w:type="spellStart"/>
      <w:r w:rsidR="001A47BB" w:rsidRPr="00640D24">
        <w:rPr>
          <w:rFonts w:cs="Times New Roman"/>
          <w:sz w:val="22"/>
          <w:szCs w:val="22"/>
        </w:rPr>
        <w:t>startuolių</w:t>
      </w:r>
      <w:proofErr w:type="spellEnd"/>
      <w:r w:rsidR="001A47BB" w:rsidRPr="00640D24">
        <w:rPr>
          <w:rFonts w:cs="Times New Roman"/>
          <w:sz w:val="22"/>
          <w:szCs w:val="22"/>
        </w:rPr>
        <w:t xml:space="preserve"> vystymui.</w:t>
      </w:r>
    </w:p>
    <w:p w14:paraId="0BC7CCCE" w14:textId="13373619" w:rsidR="00BC2215" w:rsidRPr="00640D24" w:rsidRDefault="0000081C" w:rsidP="007E5DB7">
      <w:pPr>
        <w:spacing w:before="60" w:after="60" w:line="240" w:lineRule="auto"/>
        <w:ind w:firstLine="567"/>
        <w:jc w:val="both"/>
        <w:rPr>
          <w:rFonts w:cs="Times New Roman"/>
          <w:sz w:val="22"/>
          <w:szCs w:val="22"/>
        </w:rPr>
      </w:pPr>
      <w:r w:rsidRPr="00640D24">
        <w:rPr>
          <w:rFonts w:cs="Times New Roman"/>
          <w:noProof/>
          <w:lang w:eastAsia="lt-LT"/>
        </w:rPr>
        <w:lastRenderedPageBreak/>
        <mc:AlternateContent>
          <mc:Choice Requires="wps">
            <w:drawing>
              <wp:anchor distT="0" distB="0" distL="114300" distR="114300" simplePos="0" relativeHeight="251658242" behindDoc="0" locked="0" layoutInCell="1" allowOverlap="1" wp14:anchorId="2AC5EFFE" wp14:editId="61364117">
                <wp:simplePos x="0" y="0"/>
                <wp:positionH relativeFrom="margin">
                  <wp:posOffset>-4902</wp:posOffset>
                </wp:positionH>
                <wp:positionV relativeFrom="paragraph">
                  <wp:posOffset>2459762</wp:posOffset>
                </wp:positionV>
                <wp:extent cx="6378575" cy="635"/>
                <wp:effectExtent l="0" t="0" r="3175" b="0"/>
                <wp:wrapSquare wrapText="bothSides"/>
                <wp:docPr id="18" name="Text Box 18"/>
                <wp:cNvGraphicFramePr/>
                <a:graphic xmlns:a="http://schemas.openxmlformats.org/drawingml/2006/main">
                  <a:graphicData uri="http://schemas.microsoft.com/office/word/2010/wordprocessingShape">
                    <wps:wsp>
                      <wps:cNvSpPr txBox="1"/>
                      <wps:spPr>
                        <a:xfrm>
                          <a:off x="0" y="0"/>
                          <a:ext cx="6378575" cy="635"/>
                        </a:xfrm>
                        <a:prstGeom prst="rect">
                          <a:avLst/>
                        </a:prstGeom>
                        <a:solidFill>
                          <a:prstClr val="white"/>
                        </a:solidFill>
                        <a:ln>
                          <a:noFill/>
                        </a:ln>
                      </wps:spPr>
                      <wps:txbx>
                        <w:txbxContent>
                          <w:p w14:paraId="02E28528" w14:textId="11B5CA48" w:rsidR="00EC688C" w:rsidRPr="003A0CAF" w:rsidRDefault="00EC688C" w:rsidP="007E5DB7">
                            <w:pPr>
                              <w:pStyle w:val="Antrat"/>
                              <w:ind w:firstLine="0"/>
                              <w:rPr>
                                <w:rFonts w:cs="Times New Roman"/>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2</w:t>
                            </w:r>
                            <w:r w:rsidRPr="00C544DD">
                              <w:rPr>
                                <w:b w:val="0"/>
                                <w:bCs w:val="0"/>
                                <w:i/>
                                <w:iCs/>
                                <w:color w:val="auto"/>
                                <w:sz w:val="22"/>
                                <w:szCs w:val="16"/>
                              </w:rPr>
                              <w:t>.</w:t>
                            </w:r>
                            <w:r>
                              <w:t xml:space="preserve"> </w:t>
                            </w:r>
                            <w:r>
                              <w:rPr>
                                <w:b w:val="0"/>
                                <w:bCs w:val="0"/>
                                <w:i/>
                                <w:iCs/>
                                <w:color w:val="auto"/>
                                <w:sz w:val="22"/>
                                <w:szCs w:val="16"/>
                              </w:rPr>
                              <w:t>Subsidijų finansavimas pagal verslo sritis, 2014</w:t>
                            </w:r>
                            <w:r w:rsidRPr="00355961">
                              <w:rPr>
                                <w:rFonts w:cs="Times New Roman"/>
                                <w:sz w:val="22"/>
                                <w:szCs w:val="22"/>
                              </w:rPr>
                              <w:t>–</w:t>
                            </w:r>
                            <w:r>
                              <w:rPr>
                                <w:b w:val="0"/>
                                <w:bCs w:val="0"/>
                                <w:i/>
                                <w:iCs/>
                                <w:color w:val="auto"/>
                                <w:sz w:val="22"/>
                                <w:szCs w:val="16"/>
                              </w:rPr>
                              <w:t>2020 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AC5EFFE" id="Text Box 18" o:spid="_x0000_s1027" type="#_x0000_t202" style="position:absolute;left:0;text-align:left;margin-left:-.4pt;margin-top:193.7pt;width:502.25pt;height:.05pt;z-index:25165824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" stroked="f">
                <v:textbox style="mso-fit-shape-to-text:t" inset="0,0,0,0">
                  <w:txbxContent>
                    <w:p w14:paraId="02E28528" w14:textId="11B5CA48" w:rsidR="00EC688C" w:rsidRPr="003A0CAF" w:rsidRDefault="00EC688C" w:rsidP="007E5DB7">
                      <w:pPr>
                        <w:pStyle w:val="Antrat"/>
                        <w:ind w:firstLine="0"/>
                        <w:rPr>
                          <w:rFonts w:cs="Times New Roman"/>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2</w:t>
                      </w:r>
                      <w:r w:rsidRPr="00C544DD">
                        <w:rPr>
                          <w:b w:val="0"/>
                          <w:bCs w:val="0"/>
                          <w:i/>
                          <w:iCs/>
                          <w:color w:val="auto"/>
                          <w:sz w:val="22"/>
                          <w:szCs w:val="16"/>
                        </w:rPr>
                        <w:t>.</w:t>
                      </w:r>
                      <w:r>
                        <w:t xml:space="preserve"> </w:t>
                      </w:r>
                      <w:r>
                        <w:rPr>
                          <w:b w:val="0"/>
                          <w:bCs w:val="0"/>
                          <w:i/>
                          <w:iCs/>
                          <w:color w:val="auto"/>
                          <w:sz w:val="22"/>
                          <w:szCs w:val="16"/>
                        </w:rPr>
                        <w:t>Subsidijų finansavimas pagal verslo sritis, 2014</w:t>
                      </w:r>
                      <w:r w:rsidRPr="00355961">
                        <w:rPr>
                          <w:rFonts w:cs="Times New Roman"/>
                          <w:sz w:val="22"/>
                          <w:szCs w:val="22"/>
                        </w:rPr>
                        <w:t>–</w:t>
                      </w:r>
                      <w:r>
                        <w:rPr>
                          <w:b w:val="0"/>
                          <w:bCs w:val="0"/>
                          <w:i/>
                          <w:iCs/>
                          <w:color w:val="auto"/>
                          <w:sz w:val="22"/>
                          <w:szCs w:val="16"/>
                        </w:rPr>
                        <w:t>2020 m.</w:t>
                      </w:r>
                    </w:p>
                  </w:txbxContent>
                </v:textbox>
                <w10:wrap type="square" anchorx="margin"/>
              </v:shape>
            </w:pict>
          </mc:Fallback>
        </mc:AlternateContent>
      </w:r>
      <w:r w:rsidRPr="00640D24">
        <w:rPr>
          <w:rFonts w:cs="Times New Roman"/>
          <w:noProof/>
          <w:lang w:eastAsia="lt-LT"/>
        </w:rPr>
        <w:drawing>
          <wp:anchor distT="0" distB="0" distL="114300" distR="114300" simplePos="0" relativeHeight="251658243" behindDoc="1" locked="0" layoutInCell="1" allowOverlap="1" wp14:anchorId="7CE5E2A9" wp14:editId="796BF94D">
            <wp:simplePos x="0" y="0"/>
            <wp:positionH relativeFrom="column">
              <wp:posOffset>-146685</wp:posOffset>
            </wp:positionH>
            <wp:positionV relativeFrom="paragraph">
              <wp:posOffset>133350</wp:posOffset>
            </wp:positionV>
            <wp:extent cx="6404610" cy="2294890"/>
            <wp:effectExtent l="0" t="0" r="0" b="0"/>
            <wp:wrapTight wrapText="bothSides">
              <wp:wrapPolygon edited="0">
                <wp:start x="0" y="0"/>
                <wp:lineTo x="0" y="21337"/>
                <wp:lineTo x="21523" y="21337"/>
                <wp:lineTo x="21523" y="0"/>
                <wp:lineTo x="0" y="0"/>
              </wp:wrapPolygon>
            </wp:wrapTight>
            <wp:docPr id="30" name="Chart 30">
              <a:extLst xmlns:a="http://schemas.openxmlformats.org/drawingml/2006/main">
                <a:ext uri="{FF2B5EF4-FFF2-40B4-BE49-F238E27FC236}">
                  <a16:creationId xmlns:a16="http://schemas.microsoft.com/office/drawing/2014/main" id="{981F97BB-3287-47D6-85EA-A64950AC1F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anchor>
        </w:drawing>
      </w:r>
      <w:r w:rsidR="001A47BB" w:rsidRPr="00640D24">
        <w:rPr>
          <w:rFonts w:cs="Times New Roman"/>
          <w:sz w:val="22"/>
          <w:szCs w:val="22"/>
        </w:rPr>
        <w:t>Atsižvelgiant į 2</w:t>
      </w:r>
      <w:r w:rsidR="001A47BB" w:rsidRPr="00640D24">
        <w:rPr>
          <w:rFonts w:cs="Times New Roman"/>
          <w:color w:val="000000"/>
          <w:sz w:val="22"/>
          <w:szCs w:val="22"/>
        </w:rPr>
        <w:t>014</w:t>
      </w:r>
      <w:r w:rsidR="00757B42" w:rsidRPr="00640D24">
        <w:rPr>
          <w:rFonts w:cs="Times New Roman"/>
          <w:sz w:val="22"/>
          <w:szCs w:val="22"/>
        </w:rPr>
        <w:t>–</w:t>
      </w:r>
      <w:r w:rsidR="001A47BB" w:rsidRPr="00640D24">
        <w:rPr>
          <w:rFonts w:cs="Times New Roman"/>
          <w:color w:val="000000"/>
          <w:sz w:val="22"/>
          <w:szCs w:val="22"/>
        </w:rPr>
        <w:t xml:space="preserve">2020 metų </w:t>
      </w:r>
      <w:r w:rsidR="0013600A" w:rsidRPr="00640D24">
        <w:rPr>
          <w:rFonts w:cs="Times New Roman"/>
          <w:color w:val="000000"/>
          <w:sz w:val="22"/>
          <w:szCs w:val="22"/>
        </w:rPr>
        <w:t>ES</w:t>
      </w:r>
      <w:r w:rsidR="001A47BB" w:rsidRPr="00640D24">
        <w:rPr>
          <w:rFonts w:cs="Times New Roman"/>
          <w:color w:val="000000"/>
          <w:sz w:val="22"/>
          <w:szCs w:val="22"/>
        </w:rPr>
        <w:t xml:space="preserve"> fondų investicijų programos prioritetus</w:t>
      </w:r>
      <w:r w:rsidR="00F02FB7" w:rsidRPr="00640D24">
        <w:rPr>
          <w:rFonts w:cs="Times New Roman"/>
          <w:color w:val="000000"/>
          <w:sz w:val="22"/>
          <w:szCs w:val="22"/>
        </w:rPr>
        <w:t xml:space="preserve"> ir 2021</w:t>
      </w:r>
      <w:r w:rsidR="00757B42" w:rsidRPr="00640D24">
        <w:rPr>
          <w:rFonts w:cs="Times New Roman"/>
          <w:sz w:val="22"/>
          <w:szCs w:val="22"/>
        </w:rPr>
        <w:t>–</w:t>
      </w:r>
      <w:r w:rsidR="00F02FB7" w:rsidRPr="00640D24">
        <w:rPr>
          <w:rFonts w:cs="Times New Roman"/>
          <w:color w:val="000000"/>
          <w:sz w:val="22"/>
          <w:szCs w:val="22"/>
        </w:rPr>
        <w:t>2027 m. planuojamas finansuoti verslo sritis</w:t>
      </w:r>
      <w:r w:rsidR="0013600A" w:rsidRPr="00640D24">
        <w:rPr>
          <w:rFonts w:cs="Times New Roman"/>
          <w:color w:val="000000"/>
          <w:sz w:val="22"/>
          <w:szCs w:val="22"/>
        </w:rPr>
        <w:t>,</w:t>
      </w:r>
      <w:r w:rsidR="001A47BB" w:rsidRPr="00640D24">
        <w:rPr>
          <w:rFonts w:cs="Times New Roman"/>
          <w:color w:val="000000"/>
          <w:sz w:val="22"/>
          <w:szCs w:val="22"/>
        </w:rPr>
        <w:t xml:space="preserve"> </w:t>
      </w:r>
      <w:r w:rsidR="006D21FF" w:rsidRPr="00640D24">
        <w:rPr>
          <w:rFonts w:cs="Times New Roman"/>
          <w:color w:val="000000"/>
          <w:sz w:val="22"/>
          <w:szCs w:val="22"/>
        </w:rPr>
        <w:t>šiame</w:t>
      </w:r>
      <w:r w:rsidR="00C664AC" w:rsidRPr="00640D24">
        <w:rPr>
          <w:rFonts w:cs="Times New Roman"/>
          <w:i/>
          <w:color w:val="000000"/>
          <w:sz w:val="22"/>
          <w:szCs w:val="22"/>
        </w:rPr>
        <w:t xml:space="preserve"> </w:t>
      </w:r>
      <w:proofErr w:type="spellStart"/>
      <w:r w:rsidR="00C664AC" w:rsidRPr="00640D24">
        <w:rPr>
          <w:rFonts w:cs="Times New Roman"/>
          <w:i/>
          <w:color w:val="000000"/>
          <w:sz w:val="22"/>
          <w:szCs w:val="22"/>
        </w:rPr>
        <w:t>ex</w:t>
      </w:r>
      <w:proofErr w:type="spellEnd"/>
      <w:r w:rsidR="00376FD2" w:rsidRPr="00640D24">
        <w:rPr>
          <w:rFonts w:cs="Times New Roman"/>
          <w:i/>
          <w:color w:val="000000"/>
          <w:sz w:val="22"/>
          <w:szCs w:val="22"/>
        </w:rPr>
        <w:t xml:space="preserve"> </w:t>
      </w:r>
      <w:proofErr w:type="spellStart"/>
      <w:r w:rsidR="00C664AC" w:rsidRPr="00640D24">
        <w:rPr>
          <w:rFonts w:cs="Times New Roman"/>
          <w:i/>
          <w:color w:val="000000"/>
          <w:sz w:val="22"/>
          <w:szCs w:val="22"/>
        </w:rPr>
        <w:t>ante</w:t>
      </w:r>
      <w:proofErr w:type="spellEnd"/>
      <w:r w:rsidR="001A47BB" w:rsidRPr="00640D24">
        <w:rPr>
          <w:rFonts w:cs="Times New Roman"/>
          <w:color w:val="000000"/>
          <w:sz w:val="22"/>
          <w:szCs w:val="22"/>
        </w:rPr>
        <w:t xml:space="preserve"> vertinime analizuojam</w:t>
      </w:r>
      <w:r w:rsidR="00817C19" w:rsidRPr="00640D24">
        <w:rPr>
          <w:rFonts w:cs="Times New Roman"/>
          <w:color w:val="000000"/>
          <w:sz w:val="22"/>
          <w:szCs w:val="22"/>
        </w:rPr>
        <w:t>ų</w:t>
      </w:r>
      <w:r w:rsidR="001A47BB" w:rsidRPr="00640D24">
        <w:rPr>
          <w:rFonts w:cs="Times New Roman"/>
          <w:color w:val="000000"/>
          <w:sz w:val="22"/>
          <w:szCs w:val="22"/>
        </w:rPr>
        <w:t xml:space="preserve"> </w:t>
      </w:r>
      <w:proofErr w:type="spellStart"/>
      <w:r w:rsidR="002750F6" w:rsidRPr="00640D24">
        <w:rPr>
          <w:rFonts w:cs="Times New Roman"/>
          <w:color w:val="000000"/>
          <w:sz w:val="22"/>
          <w:szCs w:val="22"/>
        </w:rPr>
        <w:t>subsidi</w:t>
      </w:r>
      <w:r w:rsidR="00817C19" w:rsidRPr="00640D24">
        <w:rPr>
          <w:rFonts w:cs="Times New Roman"/>
          <w:color w:val="000000"/>
          <w:sz w:val="22"/>
          <w:szCs w:val="22"/>
        </w:rPr>
        <w:t>nių</w:t>
      </w:r>
      <w:proofErr w:type="spellEnd"/>
      <w:r w:rsidR="00817C19" w:rsidRPr="00640D24">
        <w:rPr>
          <w:rFonts w:cs="Times New Roman"/>
          <w:color w:val="000000"/>
          <w:sz w:val="22"/>
          <w:szCs w:val="22"/>
        </w:rPr>
        <w:t xml:space="preserve"> priemonių sąrašas</w:t>
      </w:r>
      <w:r w:rsidR="001A47BB" w:rsidRPr="00640D24">
        <w:rPr>
          <w:rFonts w:cs="Times New Roman"/>
          <w:color w:val="000000"/>
          <w:sz w:val="22"/>
          <w:szCs w:val="22"/>
        </w:rPr>
        <w:t xml:space="preserve"> yra pateikt</w:t>
      </w:r>
      <w:r w:rsidR="00817C19" w:rsidRPr="00640D24">
        <w:rPr>
          <w:rFonts w:cs="Times New Roman"/>
          <w:color w:val="000000"/>
          <w:sz w:val="22"/>
          <w:szCs w:val="22"/>
        </w:rPr>
        <w:t>a</w:t>
      </w:r>
      <w:r w:rsidR="001A47BB" w:rsidRPr="00640D24">
        <w:rPr>
          <w:rFonts w:cs="Times New Roman"/>
          <w:color w:val="000000"/>
          <w:sz w:val="22"/>
          <w:szCs w:val="22"/>
        </w:rPr>
        <w:t xml:space="preserve">s </w:t>
      </w:r>
      <w:r w:rsidR="00715D82" w:rsidRPr="00640D24">
        <w:rPr>
          <w:rFonts w:cs="Times New Roman"/>
          <w:color w:val="000000"/>
          <w:sz w:val="22"/>
          <w:szCs w:val="22"/>
        </w:rPr>
        <w:t xml:space="preserve">šios Vertinimo ataskaitos </w:t>
      </w:r>
      <w:r w:rsidR="00817C19" w:rsidRPr="00640D24">
        <w:rPr>
          <w:rFonts w:cs="Times New Roman"/>
          <w:color w:val="000000"/>
          <w:sz w:val="22"/>
          <w:szCs w:val="22"/>
        </w:rPr>
        <w:t>priede</w:t>
      </w:r>
      <w:r w:rsidR="00715D82" w:rsidRPr="00640D24">
        <w:rPr>
          <w:rFonts w:cs="Times New Roman"/>
          <w:color w:val="000000"/>
          <w:sz w:val="22"/>
          <w:szCs w:val="22"/>
        </w:rPr>
        <w:t xml:space="preserve"> Nr. </w:t>
      </w:r>
      <w:r w:rsidR="003030EF" w:rsidRPr="00640D24">
        <w:rPr>
          <w:rFonts w:cs="Times New Roman"/>
          <w:color w:val="000000"/>
          <w:sz w:val="22"/>
          <w:szCs w:val="22"/>
        </w:rPr>
        <w:t>3</w:t>
      </w:r>
      <w:r w:rsidR="00817C19" w:rsidRPr="00640D24">
        <w:rPr>
          <w:rFonts w:cs="Times New Roman"/>
          <w:color w:val="000000"/>
          <w:sz w:val="22"/>
          <w:szCs w:val="22"/>
        </w:rPr>
        <w:t xml:space="preserve">. </w:t>
      </w:r>
    </w:p>
    <w:p w14:paraId="778D8EF5" w14:textId="0337B064" w:rsidR="001A47BB" w:rsidRPr="00640D24" w:rsidRDefault="001A47BB" w:rsidP="002A24FE">
      <w:pPr>
        <w:pStyle w:val="Antrat3"/>
        <w:spacing w:before="120"/>
      </w:pPr>
      <w:bookmarkStart w:id="30" w:name="_Toc51580642"/>
      <w:bookmarkStart w:id="31" w:name="_Toc57225214"/>
      <w:bookmarkStart w:id="32" w:name="_Toc146812385"/>
      <w:r w:rsidRPr="00640D24">
        <w:t>2.2.2. Finansinės priemonės</w:t>
      </w:r>
      <w:bookmarkEnd w:id="30"/>
      <w:bookmarkEnd w:id="31"/>
      <w:bookmarkEnd w:id="32"/>
    </w:p>
    <w:p w14:paraId="30E6A961" w14:textId="2C58A5BE" w:rsidR="001A47BB" w:rsidRPr="00640D24" w:rsidRDefault="001A47BB" w:rsidP="006C1877">
      <w:pPr>
        <w:spacing w:before="60" w:after="60" w:line="240" w:lineRule="auto"/>
        <w:ind w:firstLine="567"/>
        <w:jc w:val="both"/>
        <w:rPr>
          <w:rFonts w:cs="Times New Roman"/>
          <w:sz w:val="22"/>
          <w:szCs w:val="22"/>
        </w:rPr>
      </w:pPr>
      <w:r w:rsidRPr="00640D24">
        <w:rPr>
          <w:rFonts w:cs="Times New Roman"/>
          <w:sz w:val="22"/>
          <w:szCs w:val="22"/>
        </w:rPr>
        <w:t>FP, skirtos verslo finansavimui, Lietuvoje pradėtos įgyvendinti 2001 m., k</w:t>
      </w:r>
      <w:r w:rsidR="002962EF" w:rsidRPr="00640D24">
        <w:rPr>
          <w:rFonts w:cs="Times New Roman"/>
          <w:sz w:val="22"/>
          <w:szCs w:val="22"/>
        </w:rPr>
        <w:t>uomet</w:t>
      </w:r>
      <w:r w:rsidRPr="00640D24">
        <w:rPr>
          <w:rFonts w:cs="Times New Roman"/>
          <w:sz w:val="22"/>
          <w:szCs w:val="22"/>
        </w:rPr>
        <w:t xml:space="preserve"> buvo pradėtos teikti individualios garantijos už SVV </w:t>
      </w:r>
      <w:r w:rsidR="00064F4D" w:rsidRPr="00640D24">
        <w:rPr>
          <w:rFonts w:cs="Times New Roman"/>
          <w:sz w:val="22"/>
          <w:szCs w:val="22"/>
        </w:rPr>
        <w:t xml:space="preserve">subjektams išduodamas </w:t>
      </w:r>
      <w:r w:rsidRPr="00640D24">
        <w:rPr>
          <w:rFonts w:cs="Times New Roman"/>
          <w:sz w:val="22"/>
          <w:szCs w:val="22"/>
        </w:rPr>
        <w:t xml:space="preserve">paskolas. FP, finansuojamos iš ES SF ir grįžusių </w:t>
      </w:r>
      <w:r w:rsidR="00064F4D" w:rsidRPr="00640D24">
        <w:rPr>
          <w:rFonts w:cs="Times New Roman"/>
          <w:sz w:val="22"/>
          <w:szCs w:val="22"/>
        </w:rPr>
        <w:t xml:space="preserve">ir ar grįšiančių </w:t>
      </w:r>
      <w:r w:rsidRPr="00640D24">
        <w:rPr>
          <w:rFonts w:cs="Times New Roman"/>
          <w:sz w:val="22"/>
          <w:szCs w:val="22"/>
        </w:rPr>
        <w:t>lėšų, buvo pradėtos įgyvendinti 2007</w:t>
      </w:r>
      <w:r w:rsidR="00D30D6E" w:rsidRPr="00640D24">
        <w:rPr>
          <w:rFonts w:cs="Times New Roman"/>
          <w:sz w:val="22"/>
          <w:szCs w:val="22"/>
        </w:rPr>
        <w:t>–</w:t>
      </w:r>
      <w:r w:rsidRPr="00640D24">
        <w:rPr>
          <w:rFonts w:cs="Times New Roman"/>
          <w:sz w:val="22"/>
          <w:szCs w:val="22"/>
        </w:rPr>
        <w:t>2013 m. programavimo laikotarpiu. Šiuo laikotarpiu Lietuvoje buvo įsteigti trys kontroliuojantieji fondai</w:t>
      </w:r>
      <w:r w:rsidR="00D31071" w:rsidRPr="00640D24">
        <w:rPr>
          <w:rFonts w:cs="Times New Roman"/>
          <w:sz w:val="22"/>
          <w:szCs w:val="22"/>
        </w:rPr>
        <w:t xml:space="preserve"> (JEREMIE kontroliuojantysis fondas,</w:t>
      </w:r>
      <w:r w:rsidRPr="00640D24">
        <w:rPr>
          <w:rFonts w:cs="Times New Roman"/>
          <w:sz w:val="22"/>
          <w:szCs w:val="22"/>
        </w:rPr>
        <w:t xml:space="preserve"> </w:t>
      </w:r>
      <w:r w:rsidR="00D31071" w:rsidRPr="00640D24">
        <w:rPr>
          <w:rFonts w:cs="Times New Roman"/>
          <w:sz w:val="22"/>
          <w:szCs w:val="22"/>
        </w:rPr>
        <w:t xml:space="preserve">INVEGOS kontroliuojantysis fondas </w:t>
      </w:r>
      <w:r w:rsidRPr="00640D24">
        <w:rPr>
          <w:rFonts w:cs="Times New Roman"/>
          <w:sz w:val="22"/>
          <w:szCs w:val="22"/>
        </w:rPr>
        <w:t xml:space="preserve">ir </w:t>
      </w:r>
      <w:r w:rsidR="00D31071" w:rsidRPr="00640D24">
        <w:rPr>
          <w:rFonts w:cs="Times New Roman"/>
          <w:sz w:val="22"/>
          <w:szCs w:val="22"/>
        </w:rPr>
        <w:t xml:space="preserve">Verslumo skatinimo fondas) bei </w:t>
      </w:r>
      <w:r w:rsidRPr="00640D24">
        <w:rPr>
          <w:rFonts w:cs="Times New Roman"/>
          <w:sz w:val="22"/>
          <w:szCs w:val="22"/>
        </w:rPr>
        <w:t xml:space="preserve">viena </w:t>
      </w:r>
      <w:r w:rsidR="006B7969" w:rsidRPr="00640D24">
        <w:rPr>
          <w:rFonts w:cs="Times New Roman"/>
          <w:sz w:val="22"/>
          <w:szCs w:val="22"/>
        </w:rPr>
        <w:t>garantijų fondo (</w:t>
      </w:r>
      <w:r w:rsidR="00D31071" w:rsidRPr="00640D24">
        <w:rPr>
          <w:rFonts w:cs="Times New Roman"/>
          <w:sz w:val="22"/>
          <w:szCs w:val="22"/>
        </w:rPr>
        <w:t>GF</w:t>
      </w:r>
      <w:r w:rsidR="006B7969" w:rsidRPr="00640D24">
        <w:rPr>
          <w:rFonts w:cs="Times New Roman"/>
          <w:sz w:val="22"/>
          <w:szCs w:val="22"/>
        </w:rPr>
        <w:t>)</w:t>
      </w:r>
      <w:r w:rsidR="00D31071" w:rsidRPr="00640D24">
        <w:rPr>
          <w:rFonts w:cs="Times New Roman"/>
          <w:sz w:val="22"/>
          <w:szCs w:val="22"/>
        </w:rPr>
        <w:t xml:space="preserve"> </w:t>
      </w:r>
      <w:r w:rsidRPr="00640D24">
        <w:rPr>
          <w:rFonts w:cs="Times New Roman"/>
          <w:sz w:val="22"/>
          <w:szCs w:val="22"/>
        </w:rPr>
        <w:t>priemonė, esanti ne kontroliuojančiajame fonde, skirti išimtinai ūkio subjektams finansuoti</w:t>
      </w:r>
      <w:r w:rsidR="008E3429" w:rsidRPr="00640D24">
        <w:rPr>
          <w:rFonts w:cs="Times New Roman"/>
          <w:sz w:val="22"/>
          <w:szCs w:val="22"/>
        </w:rPr>
        <w:t>.</w:t>
      </w:r>
    </w:p>
    <w:p w14:paraId="1BFCBC9E" w14:textId="23E85538" w:rsidR="001A47BB" w:rsidRPr="00640D24" w:rsidRDefault="001A47BB" w:rsidP="006C1877">
      <w:pPr>
        <w:pStyle w:val="Sraopastraipa"/>
        <w:spacing w:before="60" w:after="60" w:line="240" w:lineRule="auto"/>
        <w:ind w:left="0" w:firstLine="567"/>
        <w:contextualSpacing w:val="0"/>
        <w:jc w:val="both"/>
        <w:rPr>
          <w:rFonts w:cs="Times New Roman"/>
          <w:sz w:val="22"/>
          <w:szCs w:val="22"/>
        </w:rPr>
      </w:pPr>
      <w:r w:rsidRPr="00640D24">
        <w:rPr>
          <w:rFonts w:cs="Times New Roman"/>
          <w:sz w:val="22"/>
          <w:szCs w:val="22"/>
        </w:rPr>
        <w:t xml:space="preserve">2014–2020 m. </w:t>
      </w:r>
      <w:r w:rsidR="006C1877" w:rsidRPr="00640D24">
        <w:rPr>
          <w:rFonts w:cs="Times New Roman"/>
          <w:sz w:val="22"/>
          <w:szCs w:val="22"/>
        </w:rPr>
        <w:t xml:space="preserve">programavimo </w:t>
      </w:r>
      <w:r w:rsidRPr="00640D24">
        <w:rPr>
          <w:rFonts w:cs="Times New Roman"/>
          <w:sz w:val="22"/>
          <w:szCs w:val="22"/>
        </w:rPr>
        <w:t>laikotarpiu įsteigti du fondų fondai ir viena FP, nepriklausanti fondų fondui:</w:t>
      </w:r>
    </w:p>
    <w:p w14:paraId="49DCACB9" w14:textId="5608BC0E" w:rsidR="001A47BB" w:rsidRPr="00640D24" w:rsidRDefault="00505D56" w:rsidP="004511EC">
      <w:pPr>
        <w:pStyle w:val="Sraopastraipa"/>
        <w:numPr>
          <w:ilvl w:val="0"/>
          <w:numId w:val="6"/>
        </w:numPr>
        <w:tabs>
          <w:tab w:val="left" w:pos="993"/>
        </w:tabs>
        <w:spacing w:before="60" w:after="60" w:line="240" w:lineRule="auto"/>
        <w:ind w:left="993" w:hanging="426"/>
        <w:jc w:val="both"/>
        <w:rPr>
          <w:rFonts w:cs="Times New Roman"/>
          <w:sz w:val="22"/>
          <w:szCs w:val="22"/>
        </w:rPr>
      </w:pPr>
      <w:r w:rsidRPr="00640D24">
        <w:rPr>
          <w:rFonts w:cs="Times New Roman"/>
          <w:sz w:val="22"/>
          <w:szCs w:val="22"/>
        </w:rPr>
        <w:t>Fondų fondas „</w:t>
      </w:r>
      <w:r w:rsidR="001A47BB" w:rsidRPr="00640D24">
        <w:rPr>
          <w:rFonts w:cs="Times New Roman"/>
          <w:sz w:val="22"/>
          <w:szCs w:val="22"/>
        </w:rPr>
        <w:t>Verslo finansavimo fondas</w:t>
      </w:r>
      <w:r w:rsidRPr="00640D24">
        <w:rPr>
          <w:rFonts w:cs="Times New Roman"/>
          <w:sz w:val="22"/>
          <w:szCs w:val="22"/>
        </w:rPr>
        <w:t>, finansuojamas iš Europos regioninės plėtros fondo“</w:t>
      </w:r>
      <w:r w:rsidR="001A47BB" w:rsidRPr="00640D24">
        <w:rPr>
          <w:rFonts w:cs="Times New Roman"/>
          <w:sz w:val="22"/>
          <w:szCs w:val="22"/>
        </w:rPr>
        <w:t xml:space="preserve"> (toliau – VFF) įsteigtas 2016 m. balandžio 15 d., valdomas INVEGOS ir finansuojamas ERPF lėšomis (fonde esančios FP: </w:t>
      </w:r>
      <w:r w:rsidR="00064F4D" w:rsidRPr="00640D24">
        <w:rPr>
          <w:rFonts w:cs="Times New Roman"/>
          <w:sz w:val="22"/>
          <w:szCs w:val="22"/>
        </w:rPr>
        <w:t xml:space="preserve">„Finansinė priemonė „Startuok“, (toliau – „Startuok“), </w:t>
      </w:r>
      <w:r w:rsidR="00406CE9" w:rsidRPr="00640D24">
        <w:rPr>
          <w:rFonts w:cs="Times New Roman"/>
          <w:sz w:val="22"/>
          <w:szCs w:val="22"/>
        </w:rPr>
        <w:t>„Pasidalytos rizikos paskolos</w:t>
      </w:r>
      <w:r w:rsidR="004B11CA" w:rsidRPr="00640D24">
        <w:rPr>
          <w:rFonts w:cs="Times New Roman"/>
          <w:sz w:val="22"/>
          <w:szCs w:val="22"/>
        </w:rPr>
        <w:t>, finansuojama iš Europos regioninės plėtros fondo</w:t>
      </w:r>
      <w:r w:rsidR="00406CE9" w:rsidRPr="00640D24">
        <w:rPr>
          <w:rFonts w:cs="Times New Roman"/>
          <w:sz w:val="22"/>
          <w:szCs w:val="22"/>
        </w:rPr>
        <w:t xml:space="preserve">“ (toliau – </w:t>
      </w:r>
      <w:r w:rsidR="001A47BB" w:rsidRPr="00640D24">
        <w:rPr>
          <w:rFonts w:cs="Times New Roman"/>
          <w:sz w:val="22"/>
          <w:szCs w:val="22"/>
        </w:rPr>
        <w:t>PRP</w:t>
      </w:r>
      <w:r w:rsidR="00406CE9" w:rsidRPr="00640D24">
        <w:rPr>
          <w:rFonts w:cs="Times New Roman"/>
          <w:sz w:val="22"/>
          <w:szCs w:val="22"/>
        </w:rPr>
        <w:t>)</w:t>
      </w:r>
      <w:r w:rsidR="001A47BB" w:rsidRPr="00640D24">
        <w:rPr>
          <w:rFonts w:cs="Times New Roman"/>
          <w:sz w:val="22"/>
          <w:szCs w:val="22"/>
        </w:rPr>
        <w:t>,</w:t>
      </w:r>
      <w:r w:rsidR="00406CE9" w:rsidRPr="00640D24">
        <w:rPr>
          <w:rFonts w:cs="Times New Roman"/>
          <w:sz w:val="22"/>
          <w:szCs w:val="22"/>
        </w:rPr>
        <w:t xml:space="preserve"> „</w:t>
      </w:r>
      <w:r w:rsidR="004B11CA" w:rsidRPr="00640D24">
        <w:rPr>
          <w:rFonts w:cs="Times New Roman"/>
          <w:sz w:val="22"/>
          <w:szCs w:val="22"/>
        </w:rPr>
        <w:t>Portfelinės garantijos paskoloms, finansuojamos iš Europos regioninės plėtros fondo</w:t>
      </w:r>
      <w:r w:rsidR="00406CE9" w:rsidRPr="00640D24">
        <w:rPr>
          <w:rFonts w:cs="Times New Roman"/>
          <w:sz w:val="22"/>
          <w:szCs w:val="22"/>
        </w:rPr>
        <w:t>“</w:t>
      </w:r>
      <w:r w:rsidR="001A47BB" w:rsidRPr="00640D24">
        <w:rPr>
          <w:rFonts w:cs="Times New Roman"/>
          <w:sz w:val="22"/>
          <w:szCs w:val="22"/>
        </w:rPr>
        <w:t xml:space="preserve"> </w:t>
      </w:r>
      <w:r w:rsidR="00406CE9" w:rsidRPr="00640D24">
        <w:rPr>
          <w:rFonts w:cs="Times New Roman"/>
          <w:sz w:val="22"/>
          <w:szCs w:val="22"/>
        </w:rPr>
        <w:t>(toliau –</w:t>
      </w:r>
      <w:r w:rsidR="001A47BB" w:rsidRPr="00640D24">
        <w:rPr>
          <w:rFonts w:cs="Times New Roman"/>
          <w:sz w:val="22"/>
          <w:szCs w:val="22"/>
        </w:rPr>
        <w:t xml:space="preserve"> PGP</w:t>
      </w:r>
      <w:r w:rsidR="00406CE9" w:rsidRPr="00640D24">
        <w:rPr>
          <w:rFonts w:cs="Times New Roman"/>
          <w:sz w:val="22"/>
          <w:szCs w:val="22"/>
        </w:rPr>
        <w:t>)</w:t>
      </w:r>
      <w:r w:rsidR="001A47BB" w:rsidRPr="00640D24">
        <w:rPr>
          <w:rFonts w:cs="Times New Roman"/>
          <w:sz w:val="22"/>
          <w:szCs w:val="22"/>
        </w:rPr>
        <w:t xml:space="preserve">, </w:t>
      </w:r>
      <w:r w:rsidR="00406CE9" w:rsidRPr="00640D24">
        <w:rPr>
          <w:rFonts w:cs="Times New Roman"/>
          <w:sz w:val="22"/>
          <w:szCs w:val="22"/>
        </w:rPr>
        <w:t>„</w:t>
      </w:r>
      <w:r w:rsidR="004B11CA" w:rsidRPr="00640D24">
        <w:rPr>
          <w:rFonts w:cs="Times New Roman"/>
          <w:sz w:val="22"/>
          <w:szCs w:val="22"/>
        </w:rPr>
        <w:t>Portfelinės garantijos lizingo sandoriams, finansuojamos iš Europos regioninės plėtros fondo</w:t>
      </w:r>
      <w:r w:rsidR="00406CE9" w:rsidRPr="00640D24">
        <w:rPr>
          <w:rFonts w:cs="Times New Roman"/>
          <w:sz w:val="22"/>
          <w:szCs w:val="22"/>
        </w:rPr>
        <w:t>“ (</w:t>
      </w:r>
      <w:r w:rsidR="00D30D6E" w:rsidRPr="00640D24">
        <w:rPr>
          <w:rFonts w:cs="Times New Roman"/>
          <w:sz w:val="22"/>
          <w:szCs w:val="22"/>
        </w:rPr>
        <w:t>toliau </w:t>
      </w:r>
      <w:r w:rsidR="00406CE9" w:rsidRPr="00640D24">
        <w:rPr>
          <w:rFonts w:cs="Times New Roman"/>
          <w:sz w:val="22"/>
          <w:szCs w:val="22"/>
        </w:rPr>
        <w:t>–</w:t>
      </w:r>
      <w:r w:rsidR="001A47BB" w:rsidRPr="00640D24">
        <w:rPr>
          <w:rFonts w:cs="Times New Roman"/>
          <w:sz w:val="22"/>
          <w:szCs w:val="22"/>
        </w:rPr>
        <w:t xml:space="preserve"> PGL</w:t>
      </w:r>
      <w:r w:rsidR="00406CE9" w:rsidRPr="00640D24">
        <w:rPr>
          <w:rFonts w:cs="Times New Roman"/>
          <w:sz w:val="22"/>
          <w:szCs w:val="22"/>
        </w:rPr>
        <w:t>)</w:t>
      </w:r>
      <w:r w:rsidR="001A47BB" w:rsidRPr="00640D24">
        <w:rPr>
          <w:rFonts w:cs="Times New Roman"/>
          <w:sz w:val="22"/>
          <w:szCs w:val="22"/>
        </w:rPr>
        <w:t>, „Ankstyvos stadijos ir plėtros fondas II“</w:t>
      </w:r>
      <w:r w:rsidR="004B11CA" w:rsidRPr="00640D24">
        <w:rPr>
          <w:rFonts w:cs="Times New Roman"/>
          <w:sz w:val="22"/>
          <w:szCs w:val="22"/>
        </w:rPr>
        <w:t xml:space="preserve"> (toliau – ASIPF II)</w:t>
      </w:r>
      <w:r w:rsidR="001A47BB" w:rsidRPr="00640D24">
        <w:rPr>
          <w:rFonts w:cs="Times New Roman"/>
          <w:sz w:val="22"/>
          <w:szCs w:val="22"/>
        </w:rPr>
        <w:t>, „Ko</w:t>
      </w:r>
      <w:r w:rsidR="00645085" w:rsidRPr="00640D24">
        <w:rPr>
          <w:rFonts w:cs="Times New Roman"/>
          <w:sz w:val="22"/>
          <w:szCs w:val="22"/>
        </w:rPr>
        <w:t>–</w:t>
      </w:r>
      <w:r w:rsidR="001A47BB" w:rsidRPr="00640D24">
        <w:rPr>
          <w:rFonts w:cs="Times New Roman"/>
          <w:sz w:val="22"/>
          <w:szCs w:val="22"/>
        </w:rPr>
        <w:t>investicinis fondas II“, „Plėtros fondas I“, „Plėtros fondas II“, „Bendrai su verslo angelais investuojantis fondas“, „Ko</w:t>
      </w:r>
      <w:r w:rsidR="00645085" w:rsidRPr="00640D24">
        <w:rPr>
          <w:rFonts w:cs="Times New Roman"/>
          <w:sz w:val="22"/>
          <w:szCs w:val="22"/>
        </w:rPr>
        <w:t>–</w:t>
      </w:r>
      <w:r w:rsidR="001A47BB" w:rsidRPr="00640D24">
        <w:rPr>
          <w:rFonts w:cs="Times New Roman"/>
          <w:sz w:val="22"/>
          <w:szCs w:val="22"/>
        </w:rPr>
        <w:t>investicinis fondas MTEPI“ ir „</w:t>
      </w:r>
      <w:proofErr w:type="spellStart"/>
      <w:r w:rsidR="001A47BB" w:rsidRPr="00640D24">
        <w:rPr>
          <w:rFonts w:cs="Times New Roman"/>
          <w:sz w:val="22"/>
          <w:szCs w:val="22"/>
        </w:rPr>
        <w:t>Akceleravimo</w:t>
      </w:r>
      <w:proofErr w:type="spellEnd"/>
      <w:r w:rsidR="001A47BB" w:rsidRPr="00640D24">
        <w:rPr>
          <w:rFonts w:cs="Times New Roman"/>
          <w:sz w:val="22"/>
          <w:szCs w:val="22"/>
        </w:rPr>
        <w:t xml:space="preserve"> fondas“)</w:t>
      </w:r>
      <w:r w:rsidR="0013600A" w:rsidRPr="00640D24">
        <w:rPr>
          <w:rFonts w:cs="Times New Roman"/>
          <w:sz w:val="22"/>
          <w:szCs w:val="22"/>
        </w:rPr>
        <w:t>;</w:t>
      </w:r>
    </w:p>
    <w:p w14:paraId="31DB1F4F" w14:textId="5AAE430B" w:rsidR="001A47BB" w:rsidRPr="00640D24" w:rsidRDefault="007C381F" w:rsidP="004511EC">
      <w:pPr>
        <w:pStyle w:val="Sraopastraipa"/>
        <w:numPr>
          <w:ilvl w:val="0"/>
          <w:numId w:val="6"/>
        </w:numPr>
        <w:tabs>
          <w:tab w:val="left" w:pos="993"/>
        </w:tabs>
        <w:spacing w:before="60" w:after="60" w:line="240" w:lineRule="auto"/>
        <w:ind w:left="993" w:hanging="426"/>
        <w:jc w:val="both"/>
        <w:rPr>
          <w:rFonts w:cs="Times New Roman"/>
          <w:sz w:val="22"/>
          <w:szCs w:val="22"/>
        </w:rPr>
      </w:pPr>
      <w:r w:rsidRPr="00640D24">
        <w:rPr>
          <w:rFonts w:cs="Times New Roman"/>
          <w:sz w:val="22"/>
          <w:szCs w:val="22"/>
        </w:rPr>
        <w:t>Fondų fondas „</w:t>
      </w:r>
      <w:r w:rsidR="001A47BB" w:rsidRPr="00640D24">
        <w:rPr>
          <w:rFonts w:cs="Times New Roman"/>
          <w:sz w:val="22"/>
          <w:szCs w:val="22"/>
        </w:rPr>
        <w:t>Verslumo skatinimo fondas 2014</w:t>
      </w:r>
      <w:r w:rsidR="00893EAA" w:rsidRPr="00640D24">
        <w:rPr>
          <w:rFonts w:cs="Times New Roman"/>
          <w:sz w:val="22"/>
          <w:szCs w:val="22"/>
        </w:rPr>
        <w:t>–</w:t>
      </w:r>
      <w:r w:rsidR="001A47BB" w:rsidRPr="00640D24">
        <w:rPr>
          <w:rFonts w:cs="Times New Roman"/>
          <w:sz w:val="22"/>
          <w:szCs w:val="22"/>
        </w:rPr>
        <w:t>2020</w:t>
      </w:r>
      <w:r w:rsidR="00D0384F" w:rsidRPr="00640D24">
        <w:rPr>
          <w:rFonts w:cs="Times New Roman"/>
          <w:sz w:val="22"/>
          <w:szCs w:val="22"/>
        </w:rPr>
        <w:t>, finansuojamas iš Europos socialinio fondo</w:t>
      </w:r>
      <w:r w:rsidRPr="00640D24">
        <w:rPr>
          <w:rFonts w:cs="Times New Roman"/>
          <w:sz w:val="22"/>
          <w:szCs w:val="22"/>
        </w:rPr>
        <w:t>“</w:t>
      </w:r>
      <w:r w:rsidR="001A47BB" w:rsidRPr="00640D24">
        <w:rPr>
          <w:rFonts w:cs="Times New Roman"/>
          <w:sz w:val="22"/>
          <w:szCs w:val="22"/>
        </w:rPr>
        <w:t xml:space="preserve"> (toliau </w:t>
      </w:r>
      <w:r w:rsidR="00A336DE" w:rsidRPr="00640D24">
        <w:rPr>
          <w:rFonts w:cs="Times New Roman"/>
          <w:sz w:val="22"/>
          <w:szCs w:val="22"/>
        </w:rPr>
        <w:t>–</w:t>
      </w:r>
      <w:r w:rsidR="001A47BB" w:rsidRPr="00640D24">
        <w:rPr>
          <w:rFonts w:cs="Times New Roman"/>
          <w:sz w:val="22"/>
          <w:szCs w:val="22"/>
        </w:rPr>
        <w:t xml:space="preserve"> VSF II), įsteigtas 2015 m. gruodžio 8 d., valdomas INVEGOS ir finansuojamas </w:t>
      </w:r>
      <w:r w:rsidR="00C664AC" w:rsidRPr="00640D24">
        <w:rPr>
          <w:rFonts w:cs="Times New Roman"/>
          <w:sz w:val="22"/>
          <w:szCs w:val="22"/>
        </w:rPr>
        <w:t>Eur</w:t>
      </w:r>
      <w:r w:rsidR="008811F6" w:rsidRPr="00640D24">
        <w:rPr>
          <w:rFonts w:cs="Times New Roman"/>
          <w:sz w:val="22"/>
          <w:szCs w:val="22"/>
        </w:rPr>
        <w:t>opos socialinio fondo (toliau – ESF)</w:t>
      </w:r>
      <w:r w:rsidR="001A47BB" w:rsidRPr="00640D24">
        <w:rPr>
          <w:rFonts w:cs="Times New Roman"/>
          <w:sz w:val="22"/>
          <w:szCs w:val="22"/>
        </w:rPr>
        <w:t xml:space="preserve"> lėšomis;</w:t>
      </w:r>
    </w:p>
    <w:p w14:paraId="3E4CD4F8" w14:textId="28234DFD" w:rsidR="001A47BB" w:rsidRPr="00640D24" w:rsidRDefault="001A47BB" w:rsidP="004511EC">
      <w:pPr>
        <w:pStyle w:val="Sraopastraipa"/>
        <w:numPr>
          <w:ilvl w:val="0"/>
          <w:numId w:val="6"/>
        </w:numPr>
        <w:tabs>
          <w:tab w:val="left" w:pos="993"/>
        </w:tabs>
        <w:spacing w:before="60" w:after="60" w:line="240" w:lineRule="auto"/>
        <w:ind w:left="992" w:hanging="425"/>
        <w:contextualSpacing w:val="0"/>
        <w:jc w:val="both"/>
        <w:rPr>
          <w:rFonts w:cs="Times New Roman"/>
          <w:sz w:val="22"/>
          <w:szCs w:val="22"/>
        </w:rPr>
      </w:pPr>
      <w:r w:rsidRPr="00640D24">
        <w:rPr>
          <w:rFonts w:cs="Times New Roman"/>
          <w:sz w:val="22"/>
          <w:szCs w:val="22"/>
        </w:rPr>
        <w:t>FP „Ko</w:t>
      </w:r>
      <w:r w:rsidR="00645085" w:rsidRPr="00640D24">
        <w:rPr>
          <w:rFonts w:cs="Times New Roman"/>
          <w:sz w:val="22"/>
          <w:szCs w:val="22"/>
        </w:rPr>
        <w:t>–</w:t>
      </w:r>
      <w:r w:rsidRPr="00640D24">
        <w:rPr>
          <w:rFonts w:cs="Times New Roman"/>
          <w:sz w:val="22"/>
          <w:szCs w:val="22"/>
        </w:rPr>
        <w:t>investicinis fondas susisiekimui“, įsteigta</w:t>
      </w:r>
      <w:r w:rsidR="00D31071" w:rsidRPr="00640D24">
        <w:rPr>
          <w:rFonts w:cs="Times New Roman"/>
          <w:sz w:val="22"/>
          <w:szCs w:val="22"/>
        </w:rPr>
        <w:t>s</w:t>
      </w:r>
      <w:r w:rsidRPr="00640D24">
        <w:rPr>
          <w:rFonts w:cs="Times New Roman"/>
          <w:sz w:val="22"/>
          <w:szCs w:val="22"/>
        </w:rPr>
        <w:t xml:space="preserve"> 2019 m. gegužės 6 d. </w:t>
      </w:r>
      <w:r w:rsidR="006C1877" w:rsidRPr="00640D24">
        <w:rPr>
          <w:rFonts w:cs="Times New Roman"/>
          <w:sz w:val="22"/>
          <w:szCs w:val="22"/>
        </w:rPr>
        <w:t xml:space="preserve">Ši </w:t>
      </w:r>
      <w:r w:rsidRPr="00640D24">
        <w:rPr>
          <w:rFonts w:cs="Times New Roman"/>
          <w:sz w:val="22"/>
          <w:szCs w:val="22"/>
        </w:rPr>
        <w:t xml:space="preserve">FP valdoma INVEGOS ir finansuojama </w:t>
      </w:r>
      <w:r w:rsidR="00D31071" w:rsidRPr="00640D24">
        <w:rPr>
          <w:rFonts w:cs="Times New Roman"/>
          <w:sz w:val="22"/>
          <w:szCs w:val="22"/>
        </w:rPr>
        <w:t xml:space="preserve">ES </w:t>
      </w:r>
      <w:r w:rsidRPr="00640D24">
        <w:rPr>
          <w:rFonts w:cs="Times New Roman"/>
          <w:sz w:val="22"/>
          <w:szCs w:val="22"/>
        </w:rPr>
        <w:t>SF lėšomis.</w:t>
      </w:r>
    </w:p>
    <w:p w14:paraId="498965DD" w14:textId="77777777" w:rsidR="00FC2D11" w:rsidRPr="00640D24" w:rsidRDefault="00FC2D11" w:rsidP="006C1877">
      <w:pPr>
        <w:spacing w:before="60" w:after="60" w:line="240" w:lineRule="auto"/>
        <w:ind w:firstLine="567"/>
        <w:jc w:val="both"/>
        <w:rPr>
          <w:rFonts w:cs="Times New Roman"/>
          <w:sz w:val="22"/>
          <w:szCs w:val="22"/>
        </w:rPr>
      </w:pPr>
      <w:r w:rsidRPr="00640D24">
        <w:rPr>
          <w:rFonts w:cs="Times New Roman"/>
          <w:sz w:val="22"/>
          <w:szCs w:val="22"/>
        </w:rPr>
        <w:t>2020 m. metų pabaigoje INVEGA kartu su LR krašto apsaugos ministerija įsteigė „Gynybos investicijų fondą“ (toliau – GIF), kuriuo siekiama skatinti eksperimentinę plėtrą ir inovacinę veiklą gynybos ir saugumo srityje Lietuvoje. 2022 m. rugpjūčio 22 d. buvo pasirašyta Teisių ir pareigų perleidimo sutartis, kur EIM perėmė perleidžiamas teises ir pareigas iš LR krašto apsaugos ministerijos bei įsipareigojo jas tinkamai vykdyti pagal GIF sutartį. Taip pat 2020 m. pabaigoje EIM, FM ir INVEGA įsteigė „Inovacijų skatinimo fondą“, kuris skatina investicijas į fundamentinius mokslinius tyrimus, taikomuosius mokslinius tyrimus, eksperimentinę plėtrą ir inovacinę veiklą.</w:t>
      </w:r>
    </w:p>
    <w:p w14:paraId="5E4950FE" w14:textId="081211FC" w:rsidR="00FC2D11" w:rsidRPr="00640D24" w:rsidRDefault="00FC2D11" w:rsidP="00FC2D11">
      <w:pPr>
        <w:spacing w:before="60" w:after="60" w:line="240" w:lineRule="auto"/>
        <w:ind w:firstLine="567"/>
        <w:jc w:val="both"/>
        <w:rPr>
          <w:rFonts w:cs="Times New Roman"/>
          <w:sz w:val="22"/>
          <w:szCs w:val="22"/>
        </w:rPr>
      </w:pPr>
      <w:bookmarkStart w:id="33" w:name="_Toc18010601"/>
      <w:bookmarkStart w:id="34" w:name="_Toc51580643"/>
      <w:r w:rsidRPr="00640D24">
        <w:rPr>
          <w:rFonts w:cs="Times New Roman"/>
          <w:sz w:val="22"/>
          <w:szCs w:val="22"/>
        </w:rPr>
        <w:lastRenderedPageBreak/>
        <w:t>INVEGA paskelbė keletą naujų FP ir (arba) pagerino ankstesnių FP sąlygas, siekiant užtikrinti pagalbą verslui, patyrusiam neigiamus COVID</w:t>
      </w:r>
      <w:r w:rsidR="00645085" w:rsidRPr="00640D24">
        <w:rPr>
          <w:rFonts w:cs="Times New Roman"/>
          <w:sz w:val="22"/>
          <w:szCs w:val="22"/>
        </w:rPr>
        <w:t>–</w:t>
      </w:r>
      <w:r w:rsidRPr="00640D24">
        <w:rPr>
          <w:rFonts w:cs="Times New Roman"/>
          <w:sz w:val="22"/>
          <w:szCs w:val="22"/>
        </w:rPr>
        <w:t xml:space="preserve">19 situacijos, Kinijos Liaudies Respublikos neskelbiamų ekonominių sankcijų bei </w:t>
      </w:r>
      <w:proofErr w:type="spellStart"/>
      <w:r w:rsidR="008C1BD8" w:rsidRPr="00640D24">
        <w:rPr>
          <w:rFonts w:cs="Times New Roman"/>
          <w:sz w:val="22"/>
          <w:szCs w:val="22"/>
        </w:rPr>
        <w:t>r</w:t>
      </w:r>
      <w:r w:rsidRPr="00640D24">
        <w:rPr>
          <w:rFonts w:cs="Times New Roman"/>
          <w:sz w:val="22"/>
          <w:szCs w:val="22"/>
        </w:rPr>
        <w:t>usijos</w:t>
      </w:r>
      <w:proofErr w:type="spellEnd"/>
      <w:r w:rsidRPr="00640D24">
        <w:rPr>
          <w:rFonts w:cs="Times New Roman"/>
          <w:sz w:val="22"/>
          <w:szCs w:val="22"/>
        </w:rPr>
        <w:t xml:space="preserve"> karinių veiksmų Ukrainoje padarinius:</w:t>
      </w:r>
    </w:p>
    <w:p w14:paraId="3DB5128A" w14:textId="77777777" w:rsidR="00FC2D11" w:rsidRPr="00640D24" w:rsidRDefault="00FC2D11" w:rsidP="00FC2D11">
      <w:pPr>
        <w:pStyle w:val="Sraopastraipa"/>
        <w:numPr>
          <w:ilvl w:val="0"/>
          <w:numId w:val="7"/>
        </w:numPr>
        <w:tabs>
          <w:tab w:val="left" w:pos="993"/>
        </w:tabs>
        <w:spacing w:before="60" w:after="60" w:line="240" w:lineRule="auto"/>
        <w:ind w:left="1134" w:hanging="567"/>
        <w:jc w:val="both"/>
        <w:rPr>
          <w:rFonts w:cs="Times New Roman"/>
          <w:sz w:val="22"/>
          <w:szCs w:val="22"/>
        </w:rPr>
      </w:pPr>
      <w:r w:rsidRPr="00640D24">
        <w:rPr>
          <w:rFonts w:cs="Times New Roman"/>
          <w:sz w:val="22"/>
          <w:szCs w:val="22"/>
        </w:rPr>
        <w:t>Atidėtų paskolų (finansinės nuomos (lizingo) mokėjimų palūkanų kompensavimas) (įgyvendinta);</w:t>
      </w:r>
    </w:p>
    <w:p w14:paraId="6695120B" w14:textId="77777777" w:rsidR="00FC2D11" w:rsidRPr="00640D24" w:rsidRDefault="00FC2D11" w:rsidP="00FC2D11">
      <w:pPr>
        <w:pStyle w:val="Sraopastraipa"/>
        <w:numPr>
          <w:ilvl w:val="0"/>
          <w:numId w:val="7"/>
        </w:numPr>
        <w:tabs>
          <w:tab w:val="left" w:pos="993"/>
        </w:tabs>
        <w:spacing w:before="60" w:after="60" w:line="240" w:lineRule="auto"/>
        <w:ind w:left="1134" w:hanging="567"/>
        <w:jc w:val="both"/>
        <w:rPr>
          <w:rFonts w:cs="Times New Roman"/>
          <w:sz w:val="22"/>
          <w:szCs w:val="22"/>
        </w:rPr>
      </w:pPr>
      <w:r w:rsidRPr="00640D24">
        <w:rPr>
          <w:rFonts w:cs="Times New Roman"/>
          <w:sz w:val="22"/>
          <w:szCs w:val="22"/>
        </w:rPr>
        <w:t>Kelionių organizatorių prievolių įvykdymo užtikrinimo garantijos;</w:t>
      </w:r>
    </w:p>
    <w:p w14:paraId="7FE22EFF" w14:textId="77777777" w:rsidR="00FC2D11" w:rsidRPr="00640D24" w:rsidRDefault="00FC2D11" w:rsidP="00FC2D11">
      <w:pPr>
        <w:pStyle w:val="Sraopastraipa"/>
        <w:numPr>
          <w:ilvl w:val="0"/>
          <w:numId w:val="7"/>
        </w:numPr>
        <w:tabs>
          <w:tab w:val="left" w:pos="993"/>
        </w:tabs>
        <w:spacing w:before="60" w:after="60" w:line="240" w:lineRule="auto"/>
        <w:ind w:left="1134" w:hanging="567"/>
        <w:jc w:val="both"/>
        <w:rPr>
          <w:rFonts w:cs="Times New Roman"/>
          <w:sz w:val="22"/>
          <w:szCs w:val="22"/>
        </w:rPr>
      </w:pPr>
      <w:r w:rsidRPr="00640D24">
        <w:rPr>
          <w:rFonts w:cs="Times New Roman"/>
          <w:sz w:val="22"/>
          <w:szCs w:val="22"/>
          <w:lang w:eastAsia="lt-LT"/>
        </w:rPr>
        <w:t>Apmokėtinų sąskaitų paskolos (ASAP) (įgyvendinta);</w:t>
      </w:r>
    </w:p>
    <w:p w14:paraId="2331E845" w14:textId="77777777" w:rsidR="00FC2D11" w:rsidRPr="00640D24" w:rsidRDefault="00FC2D11" w:rsidP="00FC2D11">
      <w:pPr>
        <w:pStyle w:val="Sraopastraipa"/>
        <w:numPr>
          <w:ilvl w:val="0"/>
          <w:numId w:val="7"/>
        </w:numPr>
        <w:tabs>
          <w:tab w:val="left" w:pos="993"/>
        </w:tabs>
        <w:spacing w:before="60" w:after="60" w:line="240" w:lineRule="auto"/>
        <w:ind w:left="1134" w:hanging="567"/>
        <w:jc w:val="both"/>
        <w:rPr>
          <w:rFonts w:cs="Times New Roman"/>
          <w:sz w:val="22"/>
          <w:szCs w:val="22"/>
        </w:rPr>
      </w:pPr>
      <w:r w:rsidRPr="00640D24">
        <w:rPr>
          <w:rFonts w:cs="Times New Roman"/>
          <w:sz w:val="22"/>
          <w:szCs w:val="22"/>
        </w:rPr>
        <w:t>Paskolos turizmo ir viešojo maitinimo paslaugų tiekėjams;</w:t>
      </w:r>
    </w:p>
    <w:p w14:paraId="4CA86DD1" w14:textId="38489723" w:rsidR="00FC2D11" w:rsidRPr="00640D24" w:rsidRDefault="00FC2D11" w:rsidP="00FC2D11">
      <w:pPr>
        <w:pStyle w:val="Sraopastraipa"/>
        <w:numPr>
          <w:ilvl w:val="0"/>
          <w:numId w:val="7"/>
        </w:numPr>
        <w:tabs>
          <w:tab w:val="left" w:pos="993"/>
        </w:tabs>
        <w:spacing w:before="60" w:after="60" w:line="240" w:lineRule="auto"/>
        <w:ind w:left="1134" w:hanging="567"/>
        <w:jc w:val="both"/>
        <w:rPr>
          <w:rFonts w:cs="Times New Roman"/>
          <w:sz w:val="22"/>
          <w:szCs w:val="22"/>
        </w:rPr>
      </w:pPr>
      <w:r w:rsidRPr="00640D24">
        <w:rPr>
          <w:rFonts w:cs="Times New Roman"/>
          <w:sz w:val="22"/>
          <w:szCs w:val="22"/>
        </w:rPr>
        <w:t>Paskolos labiausiai nuo COVID</w:t>
      </w:r>
      <w:r w:rsidR="00645085" w:rsidRPr="00640D24">
        <w:rPr>
          <w:rFonts w:cs="Times New Roman"/>
          <w:sz w:val="22"/>
          <w:szCs w:val="22"/>
        </w:rPr>
        <w:t>–</w:t>
      </w:r>
      <w:r w:rsidRPr="00640D24">
        <w:rPr>
          <w:rFonts w:cs="Times New Roman"/>
          <w:sz w:val="22"/>
          <w:szCs w:val="22"/>
        </w:rPr>
        <w:t>19 nukentėjusiems verslams (įgyvendinta);</w:t>
      </w:r>
    </w:p>
    <w:p w14:paraId="7489C117" w14:textId="77777777" w:rsidR="00FC2D11" w:rsidRPr="00640D24" w:rsidRDefault="00FC2D11" w:rsidP="00FC2D11">
      <w:pPr>
        <w:pStyle w:val="Sraopastraipa"/>
        <w:numPr>
          <w:ilvl w:val="0"/>
          <w:numId w:val="7"/>
        </w:numPr>
        <w:tabs>
          <w:tab w:val="left" w:pos="993"/>
        </w:tabs>
        <w:spacing w:before="60" w:after="60" w:line="240" w:lineRule="auto"/>
        <w:ind w:left="1134" w:hanging="567"/>
        <w:jc w:val="both"/>
        <w:rPr>
          <w:rFonts w:cs="Times New Roman"/>
          <w:sz w:val="22"/>
          <w:szCs w:val="22"/>
        </w:rPr>
      </w:pPr>
      <w:r w:rsidRPr="00640D24">
        <w:rPr>
          <w:rFonts w:cs="Times New Roman"/>
          <w:sz w:val="22"/>
          <w:szCs w:val="22"/>
        </w:rPr>
        <w:t>Finansų inžinerijos priemonė „Sutelktinės paskolos „Avietė“ (toliau – „Avietė“);</w:t>
      </w:r>
    </w:p>
    <w:p w14:paraId="63C18B36" w14:textId="77777777" w:rsidR="00FC2D11" w:rsidRPr="00640D24" w:rsidRDefault="00FC2D11" w:rsidP="00FC2D11">
      <w:pPr>
        <w:pStyle w:val="Sraopastraipa"/>
        <w:numPr>
          <w:ilvl w:val="0"/>
          <w:numId w:val="7"/>
        </w:numPr>
        <w:tabs>
          <w:tab w:val="left" w:pos="993"/>
        </w:tabs>
        <w:spacing w:before="60" w:after="60" w:line="240" w:lineRule="auto"/>
        <w:ind w:left="1134" w:hanging="567"/>
        <w:jc w:val="both"/>
        <w:rPr>
          <w:rFonts w:cs="Times New Roman"/>
          <w:sz w:val="22"/>
          <w:szCs w:val="22"/>
        </w:rPr>
      </w:pPr>
      <w:r w:rsidRPr="00640D24">
        <w:rPr>
          <w:rFonts w:cs="Times New Roman"/>
          <w:sz w:val="22"/>
          <w:szCs w:val="22"/>
        </w:rPr>
        <w:t>Portfelinės garantijos paskoloms 2 (toliau – PGP2);</w:t>
      </w:r>
    </w:p>
    <w:p w14:paraId="13067A33" w14:textId="53DAE218" w:rsidR="00FC2D11" w:rsidRPr="00640D24" w:rsidRDefault="00FC2D11" w:rsidP="00FC2D11">
      <w:pPr>
        <w:pStyle w:val="Sraopastraipa"/>
        <w:numPr>
          <w:ilvl w:val="0"/>
          <w:numId w:val="7"/>
        </w:numPr>
        <w:tabs>
          <w:tab w:val="left" w:pos="993"/>
        </w:tabs>
        <w:spacing w:before="60" w:after="60" w:line="240" w:lineRule="auto"/>
        <w:ind w:left="1134" w:hanging="567"/>
        <w:jc w:val="both"/>
        <w:rPr>
          <w:rFonts w:cs="Times New Roman"/>
          <w:sz w:val="22"/>
          <w:szCs w:val="22"/>
        </w:rPr>
      </w:pPr>
      <w:r w:rsidRPr="00640D24">
        <w:rPr>
          <w:rFonts w:cs="Times New Roman"/>
          <w:sz w:val="22"/>
          <w:szCs w:val="22"/>
        </w:rPr>
        <w:t>Tiesioginės COVID</w:t>
      </w:r>
      <w:r w:rsidR="00645085" w:rsidRPr="00640D24">
        <w:rPr>
          <w:rFonts w:cs="Times New Roman"/>
          <w:sz w:val="22"/>
          <w:szCs w:val="22"/>
        </w:rPr>
        <w:t>–</w:t>
      </w:r>
      <w:r w:rsidRPr="00640D24">
        <w:rPr>
          <w:rFonts w:cs="Times New Roman"/>
          <w:sz w:val="22"/>
          <w:szCs w:val="22"/>
        </w:rPr>
        <w:t>19 paskolos;</w:t>
      </w:r>
    </w:p>
    <w:p w14:paraId="7A8AB95C" w14:textId="77777777" w:rsidR="00FC2D11" w:rsidRPr="00640D24" w:rsidRDefault="00FC2D11" w:rsidP="00FC2D11">
      <w:pPr>
        <w:pStyle w:val="Sraopastraipa"/>
        <w:numPr>
          <w:ilvl w:val="0"/>
          <w:numId w:val="7"/>
        </w:numPr>
        <w:tabs>
          <w:tab w:val="left" w:pos="993"/>
        </w:tabs>
        <w:spacing w:before="60" w:after="60" w:line="240" w:lineRule="auto"/>
        <w:ind w:left="1134" w:hanging="567"/>
        <w:jc w:val="both"/>
        <w:rPr>
          <w:rFonts w:cs="Times New Roman"/>
          <w:sz w:val="22"/>
          <w:szCs w:val="22"/>
        </w:rPr>
      </w:pPr>
      <w:r w:rsidRPr="00640D24">
        <w:rPr>
          <w:rFonts w:cs="Times New Roman"/>
          <w:sz w:val="22"/>
          <w:szCs w:val="22"/>
        </w:rPr>
        <w:t>Tiesioginės paskolos nuo trečiųjų šalių veiksmų nukentėjusiems verslo subjektams;</w:t>
      </w:r>
    </w:p>
    <w:p w14:paraId="36F5FF86" w14:textId="77777777" w:rsidR="00FC2D11" w:rsidRPr="00640D24" w:rsidRDefault="00FC2D11" w:rsidP="00FC2D11">
      <w:pPr>
        <w:pStyle w:val="Sraopastraipa"/>
        <w:numPr>
          <w:ilvl w:val="0"/>
          <w:numId w:val="7"/>
        </w:numPr>
        <w:tabs>
          <w:tab w:val="left" w:pos="993"/>
        </w:tabs>
        <w:spacing w:before="60" w:after="60" w:line="240" w:lineRule="auto"/>
        <w:ind w:left="1134" w:hanging="567"/>
        <w:jc w:val="both"/>
        <w:rPr>
          <w:rFonts w:cs="Times New Roman"/>
          <w:sz w:val="22"/>
          <w:szCs w:val="22"/>
        </w:rPr>
      </w:pPr>
      <w:r w:rsidRPr="00640D24">
        <w:rPr>
          <w:rFonts w:cs="Times New Roman"/>
          <w:sz w:val="22"/>
          <w:szCs w:val="22"/>
        </w:rPr>
        <w:t>Tiesioginės paskolos nuo karo nukentėjusiems verslo subjektams.</w:t>
      </w:r>
    </w:p>
    <w:p w14:paraId="3B7C31CE" w14:textId="77777777" w:rsidR="001A47BB" w:rsidRPr="00640D24" w:rsidRDefault="001A47BB" w:rsidP="007E5DB7">
      <w:pPr>
        <w:pStyle w:val="Antrat4"/>
        <w:spacing w:before="60" w:after="60"/>
      </w:pPr>
      <w:r w:rsidRPr="00640D24">
        <w:t>FP, skirtos paskoloms teikti</w:t>
      </w:r>
      <w:bookmarkEnd w:id="33"/>
      <w:bookmarkEnd w:id="34"/>
    </w:p>
    <w:p w14:paraId="68842C7D" w14:textId="68172B1B" w:rsidR="001A47BB" w:rsidRPr="00640D24" w:rsidRDefault="000A46BD" w:rsidP="00677AA6">
      <w:pPr>
        <w:spacing w:before="60" w:after="60" w:line="240" w:lineRule="auto"/>
        <w:ind w:firstLine="567"/>
        <w:jc w:val="both"/>
        <w:rPr>
          <w:rFonts w:cs="Times New Roman"/>
          <w:sz w:val="22"/>
          <w:szCs w:val="22"/>
        </w:rPr>
      </w:pPr>
      <w:r w:rsidRPr="00640D24">
        <w:rPr>
          <w:rFonts w:cs="Times New Roman"/>
          <w:sz w:val="22"/>
          <w:szCs w:val="22"/>
        </w:rPr>
        <w:t xml:space="preserve">INVEGA administruoja </w:t>
      </w:r>
      <w:r w:rsidR="008D5CF0" w:rsidRPr="00640D24">
        <w:rPr>
          <w:rFonts w:cs="Times New Roman"/>
          <w:sz w:val="22"/>
          <w:szCs w:val="22"/>
        </w:rPr>
        <w:t xml:space="preserve">iš ES SF lėšų ir (ar) grįžtančių (grįšiančių) lėšų finansuojamas </w:t>
      </w:r>
      <w:r w:rsidRPr="00640D24">
        <w:rPr>
          <w:rFonts w:cs="Times New Roman"/>
          <w:sz w:val="22"/>
          <w:szCs w:val="22"/>
        </w:rPr>
        <w:t xml:space="preserve">priemones, kurių dėka SVV subjektai gali pasiskolinti verslo pradžiai ar plėtrai reikalingų lėšų. Įvairaus dydžio paskolas teikia skirtingos kredito įstaigos, todėl, atsižvelgus į skolinimosi lėšų poreikį ir įvertinus kreditavimo galimybes, galima pasirinkti labiausiai tinkamą finansavimą. </w:t>
      </w:r>
      <w:r w:rsidR="003030EF" w:rsidRPr="00640D24">
        <w:rPr>
          <w:rFonts w:cs="Times New Roman"/>
          <w:sz w:val="22"/>
          <w:szCs w:val="22"/>
        </w:rPr>
        <w:t>A</w:t>
      </w:r>
      <w:r w:rsidR="0011522A" w:rsidRPr="00640D24">
        <w:rPr>
          <w:rFonts w:cs="Times New Roman"/>
          <w:sz w:val="22"/>
          <w:szCs w:val="22"/>
        </w:rPr>
        <w:t>pibendrinta</w:t>
      </w:r>
      <w:r w:rsidR="001A47BB" w:rsidRPr="00640D24">
        <w:rPr>
          <w:rFonts w:cs="Times New Roman"/>
          <w:sz w:val="22"/>
          <w:szCs w:val="22"/>
        </w:rPr>
        <w:t xml:space="preserve"> INVEG</w:t>
      </w:r>
      <w:r w:rsidR="008E3429" w:rsidRPr="00640D24">
        <w:rPr>
          <w:rFonts w:cs="Times New Roman"/>
          <w:sz w:val="22"/>
          <w:szCs w:val="22"/>
        </w:rPr>
        <w:t>OS</w:t>
      </w:r>
      <w:r w:rsidR="001A47BB" w:rsidRPr="00640D24">
        <w:rPr>
          <w:rFonts w:cs="Times New Roman"/>
          <w:sz w:val="22"/>
          <w:szCs w:val="22"/>
        </w:rPr>
        <w:t xml:space="preserve"> administruojam</w:t>
      </w:r>
      <w:r w:rsidR="0011522A" w:rsidRPr="00640D24">
        <w:rPr>
          <w:rFonts w:cs="Times New Roman"/>
          <w:sz w:val="22"/>
          <w:szCs w:val="22"/>
        </w:rPr>
        <w:t>ų</w:t>
      </w:r>
      <w:r w:rsidR="001A47BB" w:rsidRPr="00640D24">
        <w:rPr>
          <w:rFonts w:cs="Times New Roman"/>
          <w:sz w:val="22"/>
          <w:szCs w:val="22"/>
        </w:rPr>
        <w:t xml:space="preserve"> </w:t>
      </w:r>
      <w:r w:rsidRPr="00640D24">
        <w:rPr>
          <w:rFonts w:cs="Times New Roman"/>
          <w:sz w:val="22"/>
          <w:szCs w:val="22"/>
        </w:rPr>
        <w:t xml:space="preserve">paskolų </w:t>
      </w:r>
      <w:r w:rsidR="001A47BB" w:rsidRPr="00640D24">
        <w:rPr>
          <w:rFonts w:cs="Times New Roman"/>
          <w:sz w:val="22"/>
          <w:szCs w:val="22"/>
        </w:rPr>
        <w:t>FP</w:t>
      </w:r>
      <w:r w:rsidRPr="00640D24">
        <w:rPr>
          <w:rFonts w:cs="Times New Roman"/>
          <w:sz w:val="22"/>
          <w:szCs w:val="22"/>
        </w:rPr>
        <w:t>,</w:t>
      </w:r>
      <w:r w:rsidR="001A47BB" w:rsidRPr="00640D24">
        <w:rPr>
          <w:rFonts w:cs="Times New Roman"/>
          <w:sz w:val="22"/>
          <w:szCs w:val="22"/>
        </w:rPr>
        <w:t xml:space="preserve"> </w:t>
      </w:r>
      <w:r w:rsidRPr="00640D24">
        <w:rPr>
          <w:rFonts w:cs="Times New Roman"/>
          <w:sz w:val="22"/>
          <w:szCs w:val="22"/>
        </w:rPr>
        <w:t xml:space="preserve">skirtų </w:t>
      </w:r>
      <w:r w:rsidR="001A47BB" w:rsidRPr="00640D24">
        <w:rPr>
          <w:rFonts w:cs="Times New Roman"/>
          <w:sz w:val="22"/>
          <w:szCs w:val="22"/>
        </w:rPr>
        <w:t>verslo skatinimui</w:t>
      </w:r>
      <w:r w:rsidRPr="00640D24">
        <w:rPr>
          <w:rFonts w:cs="Times New Roman"/>
          <w:sz w:val="22"/>
          <w:szCs w:val="22"/>
        </w:rPr>
        <w:t>,</w:t>
      </w:r>
      <w:r w:rsidR="001A47BB" w:rsidRPr="00640D24">
        <w:rPr>
          <w:rFonts w:cs="Times New Roman"/>
          <w:sz w:val="22"/>
          <w:szCs w:val="22"/>
        </w:rPr>
        <w:t xml:space="preserve"> </w:t>
      </w:r>
      <w:r w:rsidR="0011522A" w:rsidRPr="00640D24">
        <w:rPr>
          <w:rFonts w:cs="Times New Roman"/>
          <w:sz w:val="22"/>
          <w:szCs w:val="22"/>
        </w:rPr>
        <w:t>informacija</w:t>
      </w:r>
      <w:r w:rsidR="003030EF" w:rsidRPr="00640D24">
        <w:rPr>
          <w:rFonts w:cs="Times New Roman"/>
          <w:sz w:val="22"/>
          <w:szCs w:val="22"/>
        </w:rPr>
        <w:t xml:space="preserve"> yra pateikta dokumento „Verslo finansavimo 2014–2020 metų Europos Sąjungos struktūrinių fondų lėšomis išankstinis vertinimas“ 6 priede (žr. 2021 m. liepos 20 d. redakciją)</w:t>
      </w:r>
      <w:r w:rsidR="003030EF" w:rsidRPr="00640D24">
        <w:rPr>
          <w:rStyle w:val="Puslapioinaosnuoroda"/>
          <w:rFonts w:cs="Times New Roman"/>
          <w:sz w:val="22"/>
          <w:szCs w:val="22"/>
        </w:rPr>
        <w:footnoteReference w:id="49"/>
      </w:r>
      <w:r w:rsidR="003A5CF5" w:rsidRPr="00640D24">
        <w:rPr>
          <w:rFonts w:cs="Times New Roman"/>
          <w:sz w:val="22"/>
          <w:szCs w:val="22"/>
        </w:rPr>
        <w:t>.</w:t>
      </w:r>
    </w:p>
    <w:p w14:paraId="143D7BAD" w14:textId="77777777" w:rsidR="001A47BB" w:rsidRPr="00640D24" w:rsidRDefault="001A47BB" w:rsidP="002A24FE">
      <w:pPr>
        <w:pStyle w:val="Antrat4"/>
        <w:spacing w:before="120"/>
      </w:pPr>
      <w:bookmarkStart w:id="35" w:name="_Toc230785730"/>
      <w:bookmarkStart w:id="36" w:name="_Toc230785947"/>
      <w:bookmarkStart w:id="37" w:name="_Toc18010602"/>
      <w:bookmarkStart w:id="38" w:name="_Toc51580644"/>
      <w:r w:rsidRPr="00640D24">
        <w:t>FP, skirtos garantijoms teikti</w:t>
      </w:r>
      <w:bookmarkEnd w:id="35"/>
      <w:bookmarkEnd w:id="36"/>
      <w:bookmarkEnd w:id="37"/>
      <w:bookmarkEnd w:id="38"/>
    </w:p>
    <w:p w14:paraId="15BE5A31" w14:textId="358320E9" w:rsidR="00313F7F" w:rsidRPr="00640D24" w:rsidRDefault="00313F7F" w:rsidP="00170B5F">
      <w:pPr>
        <w:spacing w:before="60" w:after="60" w:line="240" w:lineRule="auto"/>
        <w:ind w:firstLine="567"/>
        <w:jc w:val="both"/>
        <w:rPr>
          <w:rFonts w:cs="Times New Roman"/>
          <w:sz w:val="22"/>
          <w:szCs w:val="22"/>
        </w:rPr>
      </w:pPr>
      <w:r w:rsidRPr="00640D24">
        <w:rPr>
          <w:rFonts w:cs="Times New Roman"/>
          <w:sz w:val="22"/>
          <w:szCs w:val="22"/>
        </w:rPr>
        <w:t xml:space="preserve">INVEGOS teikiamos garantijos verslui yra skirstomos į </w:t>
      </w:r>
      <w:r w:rsidR="00EF3466" w:rsidRPr="00640D24">
        <w:rPr>
          <w:rFonts w:cs="Times New Roman"/>
          <w:sz w:val="22"/>
          <w:szCs w:val="22"/>
        </w:rPr>
        <w:t xml:space="preserve">dvi </w:t>
      </w:r>
      <w:r w:rsidRPr="00640D24">
        <w:rPr>
          <w:rFonts w:cs="Times New Roman"/>
          <w:sz w:val="22"/>
          <w:szCs w:val="22"/>
        </w:rPr>
        <w:t>kategorijas:</w:t>
      </w:r>
    </w:p>
    <w:p w14:paraId="4296C212" w14:textId="0C454E23" w:rsidR="00313F7F" w:rsidRPr="00640D24" w:rsidRDefault="00313F7F" w:rsidP="00160B10">
      <w:pPr>
        <w:pStyle w:val="Sraopastraipa"/>
        <w:numPr>
          <w:ilvl w:val="0"/>
          <w:numId w:val="13"/>
        </w:numPr>
        <w:spacing w:before="60" w:after="60" w:line="240" w:lineRule="auto"/>
        <w:jc w:val="both"/>
        <w:rPr>
          <w:rFonts w:cs="Times New Roman"/>
          <w:sz w:val="22"/>
          <w:szCs w:val="22"/>
        </w:rPr>
      </w:pPr>
      <w:r w:rsidRPr="00640D24">
        <w:rPr>
          <w:rFonts w:cs="Times New Roman"/>
          <w:sz w:val="22"/>
          <w:szCs w:val="22"/>
        </w:rPr>
        <w:t>Individualios garantijos – skirtos paskoloms</w:t>
      </w:r>
      <w:r w:rsidR="00994E3F" w:rsidRPr="00640D24">
        <w:rPr>
          <w:rFonts w:cs="Times New Roman"/>
          <w:sz w:val="22"/>
          <w:szCs w:val="22"/>
        </w:rPr>
        <w:t>,</w:t>
      </w:r>
      <w:r w:rsidRPr="00640D24">
        <w:rPr>
          <w:rFonts w:cs="Times New Roman"/>
          <w:sz w:val="22"/>
          <w:szCs w:val="22"/>
        </w:rPr>
        <w:t xml:space="preserve"> lizingui ir eksportui;</w:t>
      </w:r>
    </w:p>
    <w:p w14:paraId="2CA01631" w14:textId="77777777" w:rsidR="00313F7F" w:rsidRPr="00640D24" w:rsidRDefault="00313F7F" w:rsidP="00160B10">
      <w:pPr>
        <w:pStyle w:val="Sraopastraipa"/>
        <w:numPr>
          <w:ilvl w:val="0"/>
          <w:numId w:val="13"/>
        </w:numPr>
        <w:spacing w:before="60" w:after="60" w:line="240" w:lineRule="auto"/>
        <w:jc w:val="both"/>
        <w:rPr>
          <w:rFonts w:cs="Times New Roman"/>
          <w:sz w:val="22"/>
          <w:szCs w:val="22"/>
        </w:rPr>
      </w:pPr>
      <w:r w:rsidRPr="00640D24">
        <w:rPr>
          <w:rFonts w:cs="Times New Roman"/>
          <w:sz w:val="22"/>
          <w:szCs w:val="22"/>
        </w:rPr>
        <w:t>Portfelinės garantijos – skirtos paskoloms, lizingui, faktoringui;</w:t>
      </w:r>
    </w:p>
    <w:p w14:paraId="0F9772F8" w14:textId="2109943C" w:rsidR="00313F7F" w:rsidRPr="00640D24" w:rsidRDefault="00313F7F" w:rsidP="00170B5F">
      <w:pPr>
        <w:spacing w:before="60" w:after="60" w:line="240" w:lineRule="auto"/>
        <w:ind w:firstLine="567"/>
        <w:jc w:val="both"/>
        <w:rPr>
          <w:rFonts w:cs="Times New Roman"/>
          <w:sz w:val="22"/>
          <w:szCs w:val="22"/>
        </w:rPr>
      </w:pPr>
      <w:r w:rsidRPr="00640D24">
        <w:rPr>
          <w:rFonts w:cs="Times New Roman"/>
          <w:sz w:val="22"/>
          <w:szCs w:val="22"/>
        </w:rPr>
        <w:t>2014</w:t>
      </w:r>
      <w:r w:rsidR="00846D89" w:rsidRPr="00640D24">
        <w:rPr>
          <w:rFonts w:cs="Times New Roman"/>
          <w:sz w:val="22"/>
          <w:szCs w:val="22"/>
        </w:rPr>
        <w:t>–</w:t>
      </w:r>
      <w:r w:rsidRPr="00640D24">
        <w:rPr>
          <w:rFonts w:cs="Times New Roman"/>
          <w:sz w:val="22"/>
          <w:szCs w:val="22"/>
        </w:rPr>
        <w:t>2020 m. programavimo laikotarpiu buvo padidintas verslui prieinamas garantijų FP skaičius ir pradėta įgyvendinti:</w:t>
      </w:r>
    </w:p>
    <w:p w14:paraId="40223E47" w14:textId="1D52E1C9" w:rsidR="00313F7F" w:rsidRPr="00640D24" w:rsidRDefault="00313F7F" w:rsidP="00160B10">
      <w:pPr>
        <w:pStyle w:val="Sraopastraipa"/>
        <w:numPr>
          <w:ilvl w:val="0"/>
          <w:numId w:val="30"/>
        </w:numPr>
        <w:spacing w:before="60" w:after="60" w:line="240" w:lineRule="auto"/>
        <w:jc w:val="both"/>
        <w:rPr>
          <w:rFonts w:cs="Times New Roman"/>
          <w:sz w:val="22"/>
          <w:szCs w:val="22"/>
        </w:rPr>
      </w:pPr>
      <w:r w:rsidRPr="00640D24">
        <w:rPr>
          <w:rFonts w:cs="Times New Roman"/>
          <w:sz w:val="22"/>
          <w:szCs w:val="22"/>
        </w:rPr>
        <w:t xml:space="preserve">iš VSF grįžusių lėšų finansuojama garantijų FP – individualios valstybės garantijos pradedantiesiems verslą. SVV subjektai, pasinaudoję VSF II teikiamomis lengvatinėmis paskolomis verslo pradžiai, ir SVV subjektai, veikiantys iki 1 metų bei imantys paskolą iki 25 tūkst. </w:t>
      </w:r>
      <w:proofErr w:type="spellStart"/>
      <w:r w:rsidRPr="00640D24">
        <w:rPr>
          <w:rFonts w:cs="Times New Roman"/>
          <w:sz w:val="22"/>
          <w:szCs w:val="22"/>
        </w:rPr>
        <w:t>Eur</w:t>
      </w:r>
      <w:proofErr w:type="spellEnd"/>
      <w:r w:rsidRPr="00640D24">
        <w:rPr>
          <w:rFonts w:cs="Times New Roman"/>
          <w:sz w:val="22"/>
          <w:szCs w:val="22"/>
        </w:rPr>
        <w:t>, gali pasinaudoti ir garantijomis, kurios gali siekti iki 80 proc. paskolos sumos</w:t>
      </w:r>
      <w:r w:rsidR="00846D89" w:rsidRPr="00640D24">
        <w:rPr>
          <w:rFonts w:cs="Times New Roman"/>
          <w:sz w:val="22"/>
          <w:szCs w:val="22"/>
        </w:rPr>
        <w:t>;</w:t>
      </w:r>
    </w:p>
    <w:p w14:paraId="40CF2743" w14:textId="0FAC9B90" w:rsidR="00165220" w:rsidRPr="00640D24" w:rsidRDefault="00313F7F" w:rsidP="00160B10">
      <w:pPr>
        <w:pStyle w:val="Sraopastraipa"/>
        <w:numPr>
          <w:ilvl w:val="0"/>
          <w:numId w:val="30"/>
        </w:numPr>
        <w:spacing w:before="60" w:after="60" w:line="240" w:lineRule="auto"/>
        <w:jc w:val="both"/>
        <w:rPr>
          <w:rFonts w:cs="Times New Roman"/>
          <w:sz w:val="22"/>
          <w:szCs w:val="22"/>
        </w:rPr>
      </w:pPr>
      <w:r w:rsidRPr="00640D24">
        <w:rPr>
          <w:rFonts w:cs="Times New Roman"/>
          <w:sz w:val="22"/>
          <w:szCs w:val="22"/>
        </w:rPr>
        <w:t xml:space="preserve">iš į INVEGOS fondą grįžusių ir (ar) grįžtančių lėšų PGF kuri skirta palengvinti įmonių atsiskaitymą su prekybos partneriais ir paskatinti eksporto augimą ir kuriai skirta iki 4 mln. </w:t>
      </w:r>
      <w:proofErr w:type="spellStart"/>
      <w:r w:rsidRPr="00640D24">
        <w:rPr>
          <w:rFonts w:cs="Times New Roman"/>
          <w:sz w:val="22"/>
          <w:szCs w:val="22"/>
        </w:rPr>
        <w:t>Eur</w:t>
      </w:r>
      <w:proofErr w:type="spellEnd"/>
      <w:r w:rsidR="00846D89" w:rsidRPr="00640D24">
        <w:rPr>
          <w:rFonts w:cs="Times New Roman"/>
          <w:sz w:val="22"/>
          <w:szCs w:val="22"/>
        </w:rPr>
        <w:t>;</w:t>
      </w:r>
    </w:p>
    <w:p w14:paraId="55683E10" w14:textId="0FEC8430" w:rsidR="00313F7F" w:rsidRPr="00640D24" w:rsidRDefault="00313F7F" w:rsidP="00160B10">
      <w:pPr>
        <w:pStyle w:val="Sraopastraipa"/>
        <w:numPr>
          <w:ilvl w:val="0"/>
          <w:numId w:val="30"/>
        </w:numPr>
        <w:spacing w:before="60" w:after="60" w:line="240" w:lineRule="auto"/>
        <w:jc w:val="both"/>
        <w:rPr>
          <w:rFonts w:cs="Times New Roman"/>
          <w:sz w:val="22"/>
          <w:szCs w:val="22"/>
        </w:rPr>
      </w:pPr>
      <w:r w:rsidRPr="00640D24">
        <w:rPr>
          <w:rFonts w:cs="Times New Roman"/>
          <w:sz w:val="22"/>
          <w:szCs w:val="22"/>
        </w:rPr>
        <w:t xml:space="preserve">EKG, pagal kurią teikiamos garantijos už lietuviškų prekių ir paslaugų eksportą į neparduotinos rizikos valstybes, tokias kaip Ukraina, </w:t>
      </w:r>
      <w:r w:rsidR="00FF6D4F" w:rsidRPr="00640D24">
        <w:rPr>
          <w:rFonts w:cs="Times New Roman"/>
          <w:sz w:val="22"/>
          <w:szCs w:val="22"/>
        </w:rPr>
        <w:t>Moldova,</w:t>
      </w:r>
      <w:r w:rsidR="00033EB4" w:rsidRPr="00640D24">
        <w:rPr>
          <w:rFonts w:cs="Times New Roman"/>
          <w:sz w:val="22"/>
          <w:szCs w:val="22"/>
        </w:rPr>
        <w:t xml:space="preserve"> </w:t>
      </w:r>
      <w:r w:rsidR="001F0832" w:rsidRPr="00640D24">
        <w:rPr>
          <w:rFonts w:cs="Times New Roman"/>
          <w:sz w:val="22"/>
          <w:szCs w:val="22"/>
        </w:rPr>
        <w:t>Egiptas</w:t>
      </w:r>
      <w:r w:rsidR="00FF6D4F" w:rsidRPr="00640D24">
        <w:rPr>
          <w:rFonts w:cs="Times New Roman"/>
          <w:sz w:val="22"/>
          <w:szCs w:val="22"/>
        </w:rPr>
        <w:t xml:space="preserve"> </w:t>
      </w:r>
      <w:r w:rsidRPr="00640D24">
        <w:rPr>
          <w:rFonts w:cs="Times New Roman"/>
          <w:sz w:val="22"/>
          <w:szCs w:val="22"/>
        </w:rPr>
        <w:t xml:space="preserve">ir pan. FP EKG skirta iki </w:t>
      </w:r>
      <w:r w:rsidR="00165220" w:rsidRPr="00640D24">
        <w:rPr>
          <w:rFonts w:cs="Times New Roman"/>
          <w:sz w:val="22"/>
          <w:szCs w:val="22"/>
        </w:rPr>
        <w:t>1</w:t>
      </w:r>
      <w:r w:rsidR="00AF3726" w:rsidRPr="00640D24">
        <w:rPr>
          <w:rFonts w:cs="Times New Roman"/>
          <w:sz w:val="22"/>
          <w:szCs w:val="22"/>
        </w:rPr>
        <w:t>7</w:t>
      </w:r>
      <w:r w:rsidRPr="00640D24">
        <w:rPr>
          <w:rFonts w:cs="Times New Roman"/>
          <w:sz w:val="22"/>
          <w:szCs w:val="22"/>
        </w:rPr>
        <w:t xml:space="preserve"> mln. </w:t>
      </w:r>
      <w:proofErr w:type="spellStart"/>
      <w:r w:rsidRPr="00640D24">
        <w:rPr>
          <w:rFonts w:cs="Times New Roman"/>
          <w:sz w:val="22"/>
          <w:szCs w:val="22"/>
        </w:rPr>
        <w:t>Eur</w:t>
      </w:r>
      <w:proofErr w:type="spellEnd"/>
      <w:r w:rsidRPr="00640D24">
        <w:rPr>
          <w:rFonts w:cs="Times New Roman"/>
          <w:sz w:val="22"/>
          <w:szCs w:val="22"/>
        </w:rPr>
        <w:t xml:space="preserve">, o maksimali eksporto kredito garantijų suma vienam eksportuotojui siekia 2 mln. </w:t>
      </w:r>
      <w:proofErr w:type="spellStart"/>
      <w:r w:rsidRPr="00640D24">
        <w:rPr>
          <w:rFonts w:cs="Times New Roman"/>
          <w:sz w:val="22"/>
          <w:szCs w:val="22"/>
        </w:rPr>
        <w:t>Eur</w:t>
      </w:r>
      <w:proofErr w:type="spellEnd"/>
      <w:r w:rsidR="00846D89" w:rsidRPr="00640D24">
        <w:rPr>
          <w:rFonts w:cs="Times New Roman"/>
          <w:sz w:val="22"/>
          <w:szCs w:val="22"/>
        </w:rPr>
        <w:t>;</w:t>
      </w:r>
    </w:p>
    <w:p w14:paraId="1B21D863" w14:textId="54C5C627" w:rsidR="006B7969" w:rsidRPr="00640D24" w:rsidRDefault="00313F7F" w:rsidP="00160B10">
      <w:pPr>
        <w:pStyle w:val="Sraopastraipa"/>
        <w:numPr>
          <w:ilvl w:val="0"/>
          <w:numId w:val="30"/>
        </w:numPr>
        <w:spacing w:before="60" w:after="60" w:line="240" w:lineRule="auto"/>
        <w:jc w:val="both"/>
        <w:rPr>
          <w:rFonts w:cs="Times New Roman"/>
          <w:sz w:val="22"/>
          <w:szCs w:val="22"/>
        </w:rPr>
      </w:pPr>
      <w:r w:rsidRPr="00640D24">
        <w:rPr>
          <w:rFonts w:cs="Times New Roman"/>
          <w:sz w:val="22"/>
          <w:szCs w:val="22"/>
        </w:rPr>
        <w:t xml:space="preserve">nauja individualių garantijų FP GIF III. Priemonės įgyvendinimui skirta iki </w:t>
      </w:r>
      <w:r w:rsidR="005A483C" w:rsidRPr="00640D24">
        <w:rPr>
          <w:rFonts w:cs="Times New Roman"/>
          <w:sz w:val="22"/>
          <w:szCs w:val="22"/>
        </w:rPr>
        <w:t xml:space="preserve">47 </w:t>
      </w:r>
      <w:r w:rsidRPr="00640D24">
        <w:rPr>
          <w:rFonts w:cs="Times New Roman"/>
          <w:sz w:val="22"/>
          <w:szCs w:val="22"/>
        </w:rPr>
        <w:t xml:space="preserve">mln. </w:t>
      </w:r>
      <w:proofErr w:type="spellStart"/>
      <w:r w:rsidRPr="00640D24">
        <w:rPr>
          <w:rFonts w:cs="Times New Roman"/>
          <w:sz w:val="22"/>
          <w:szCs w:val="22"/>
        </w:rPr>
        <w:t>Eur</w:t>
      </w:r>
      <w:proofErr w:type="spellEnd"/>
      <w:r w:rsidRPr="00640D24">
        <w:rPr>
          <w:rFonts w:cs="Times New Roman"/>
          <w:sz w:val="22"/>
          <w:szCs w:val="22"/>
        </w:rPr>
        <w:t xml:space="preserve"> iš į INVEGOS fondą grįžusių ir (ar) grįžtančių lėšų.</w:t>
      </w:r>
      <w:r w:rsidR="006B7969" w:rsidRPr="00640D24">
        <w:rPr>
          <w:rFonts w:cs="Times New Roman"/>
          <w:sz w:val="22"/>
          <w:szCs w:val="22"/>
        </w:rPr>
        <w:t xml:space="preserve"> </w:t>
      </w:r>
    </w:p>
    <w:p w14:paraId="16815BEA" w14:textId="5B5245BB" w:rsidR="00596B33" w:rsidRPr="00640D24" w:rsidRDefault="00313F7F" w:rsidP="00596B33">
      <w:pPr>
        <w:spacing w:before="60" w:after="60" w:line="240" w:lineRule="auto"/>
        <w:ind w:firstLine="567"/>
        <w:jc w:val="both"/>
        <w:rPr>
          <w:rFonts w:cs="Times New Roman"/>
          <w:sz w:val="22"/>
          <w:szCs w:val="22"/>
        </w:rPr>
      </w:pPr>
      <w:r w:rsidRPr="00640D24">
        <w:rPr>
          <w:rFonts w:cs="Times New Roman"/>
          <w:sz w:val="22"/>
          <w:szCs w:val="22"/>
        </w:rPr>
        <w:t>COVID</w:t>
      </w:r>
      <w:r w:rsidR="004C3250" w:rsidRPr="00640D24">
        <w:rPr>
          <w:rFonts w:cs="Times New Roman"/>
          <w:sz w:val="22"/>
          <w:szCs w:val="22"/>
        </w:rPr>
        <w:t>–</w:t>
      </w:r>
      <w:r w:rsidRPr="00640D24">
        <w:rPr>
          <w:rFonts w:cs="Times New Roman"/>
          <w:sz w:val="22"/>
          <w:szCs w:val="22"/>
        </w:rPr>
        <w:t xml:space="preserve">19 kontekste, siekiant sumažinti įmonių tarpusavio įsiskolinimą </w:t>
      </w:r>
      <w:r w:rsidR="00AA61C1" w:rsidRPr="00640D24">
        <w:rPr>
          <w:rFonts w:cs="Times New Roman"/>
          <w:sz w:val="22"/>
          <w:szCs w:val="22"/>
        </w:rPr>
        <w:t xml:space="preserve">ankstesnių FP pagrindu </w:t>
      </w:r>
      <w:r w:rsidRPr="00640D24">
        <w:rPr>
          <w:rFonts w:cs="Times New Roman"/>
          <w:sz w:val="22"/>
          <w:szCs w:val="22"/>
        </w:rPr>
        <w:t xml:space="preserve">buvo </w:t>
      </w:r>
      <w:r w:rsidR="00AA61C1" w:rsidRPr="00640D24">
        <w:rPr>
          <w:rFonts w:cs="Times New Roman"/>
          <w:sz w:val="22"/>
          <w:szCs w:val="22"/>
        </w:rPr>
        <w:t>tęsiamos</w:t>
      </w:r>
      <w:r w:rsidR="004C001E" w:rsidRPr="00640D24">
        <w:rPr>
          <w:rFonts w:cs="Times New Roman"/>
          <w:sz w:val="22"/>
          <w:szCs w:val="22"/>
        </w:rPr>
        <w:t xml:space="preserve"> portfelinės garantijos faktoringo sandoriams ir paskoloms. </w:t>
      </w:r>
      <w:r w:rsidR="00AA61C1" w:rsidRPr="00640D24">
        <w:rPr>
          <w:rFonts w:cs="Times New Roman"/>
          <w:sz w:val="22"/>
          <w:szCs w:val="22"/>
        </w:rPr>
        <w:t xml:space="preserve">Taip pat, </w:t>
      </w:r>
      <w:r w:rsidR="00596B33" w:rsidRPr="00640D24">
        <w:rPr>
          <w:rFonts w:cs="Times New Roman"/>
          <w:sz w:val="22"/>
          <w:szCs w:val="22"/>
        </w:rPr>
        <w:t>siekiant padėti SVV subjektams bei verslininkams, turintiems galiojantį kelionių organizatoriaus pažymėjimą, suteikiantį teisę verstis išvykstamuoju ir (ar) vietiniu turizmu, gauti iš draudimo įmonių ar finansų įstaigų privalomų prievolių įvykdymo užtikrinimo draudimą buvo pradėtos teikti „Kelionių organizatorių prievolių įvykdymo užtikrinimo garantijos“</w:t>
      </w:r>
    </w:p>
    <w:p w14:paraId="7EB97DBA" w14:textId="2697B578" w:rsidR="000A46BD" w:rsidRPr="00640D24" w:rsidRDefault="00FC2D11" w:rsidP="00596B33">
      <w:pPr>
        <w:spacing w:before="60" w:after="60" w:line="240" w:lineRule="auto"/>
        <w:ind w:firstLine="567"/>
        <w:jc w:val="both"/>
        <w:rPr>
          <w:szCs w:val="22"/>
        </w:rPr>
      </w:pPr>
      <w:r w:rsidRPr="00640D24">
        <w:rPr>
          <w:rFonts w:cs="Times New Roman"/>
          <w:sz w:val="22"/>
          <w:szCs w:val="22"/>
        </w:rPr>
        <w:lastRenderedPageBreak/>
        <w:t>B</w:t>
      </w:r>
      <w:r w:rsidR="00313F7F" w:rsidRPr="00640D24">
        <w:rPr>
          <w:rFonts w:cs="Times New Roman"/>
          <w:sz w:val="22"/>
          <w:szCs w:val="22"/>
        </w:rPr>
        <w:t xml:space="preserve">endrą garantijų FP portfelį sudaro </w:t>
      </w:r>
      <w:r w:rsidR="00846D89" w:rsidRPr="00640D24">
        <w:rPr>
          <w:rFonts w:cs="Times New Roman"/>
          <w:sz w:val="22"/>
          <w:szCs w:val="22"/>
        </w:rPr>
        <w:t>9 </w:t>
      </w:r>
      <w:r w:rsidR="00313F7F" w:rsidRPr="00640D24">
        <w:rPr>
          <w:rFonts w:cs="Times New Roman"/>
          <w:sz w:val="22"/>
          <w:szCs w:val="22"/>
        </w:rPr>
        <w:t>skirtingos FP, kurių detalus aprašymas yra pateiktas</w:t>
      </w:r>
      <w:r w:rsidR="00D25143" w:rsidRPr="00640D24">
        <w:rPr>
          <w:rFonts w:cs="Times New Roman"/>
          <w:sz w:val="22"/>
          <w:szCs w:val="22"/>
        </w:rPr>
        <w:t xml:space="preserve"> </w:t>
      </w:r>
      <w:r w:rsidR="003030EF" w:rsidRPr="00640D24">
        <w:rPr>
          <w:rFonts w:cs="Times New Roman"/>
          <w:sz w:val="22"/>
          <w:szCs w:val="22"/>
        </w:rPr>
        <w:t xml:space="preserve">dokumento „Verslo finansavimo 2014–2020 metų Europos Sąjungos struktūrinių fondų lėšomis išankstinis vertinimas“ </w:t>
      </w:r>
      <w:r w:rsidR="00C7535E" w:rsidRPr="00640D24">
        <w:rPr>
          <w:rFonts w:cs="Times New Roman"/>
          <w:sz w:val="22"/>
          <w:szCs w:val="22"/>
        </w:rPr>
        <w:t>7</w:t>
      </w:r>
      <w:r w:rsidR="003030EF" w:rsidRPr="00640D24">
        <w:rPr>
          <w:rFonts w:cs="Times New Roman"/>
          <w:sz w:val="22"/>
          <w:szCs w:val="22"/>
        </w:rPr>
        <w:t xml:space="preserve"> priede (žr. 2021 m. liepos 20 d. redakciją)</w:t>
      </w:r>
      <w:r w:rsidR="003030EF" w:rsidRPr="00640D24">
        <w:rPr>
          <w:rStyle w:val="Puslapioinaosnuoroda"/>
          <w:rFonts w:cs="Times New Roman"/>
          <w:sz w:val="22"/>
          <w:szCs w:val="22"/>
        </w:rPr>
        <w:footnoteReference w:id="50"/>
      </w:r>
      <w:r w:rsidR="003030EF" w:rsidRPr="00640D24">
        <w:rPr>
          <w:rFonts w:cs="Times New Roman"/>
          <w:sz w:val="22"/>
          <w:szCs w:val="22"/>
        </w:rPr>
        <w:t>.</w:t>
      </w:r>
    </w:p>
    <w:p w14:paraId="65637D5F" w14:textId="69F65725" w:rsidR="001A47BB" w:rsidRPr="00640D24" w:rsidRDefault="001A47BB" w:rsidP="002A24FE">
      <w:pPr>
        <w:pStyle w:val="Antrat4"/>
        <w:spacing w:before="120"/>
      </w:pPr>
      <w:bookmarkStart w:id="39" w:name="_Toc51580645"/>
      <w:r w:rsidRPr="00640D24">
        <w:t>FP, skirtos investicijoms į įmonių kapitalą</w:t>
      </w:r>
      <w:bookmarkEnd w:id="39"/>
      <w:r w:rsidRPr="00640D24">
        <w:t xml:space="preserve"> </w:t>
      </w:r>
    </w:p>
    <w:p w14:paraId="34CDA4BE" w14:textId="7CD89961" w:rsidR="001A47BB" w:rsidRPr="00640D24" w:rsidRDefault="001A47BB" w:rsidP="00170B5F">
      <w:pPr>
        <w:spacing w:before="60" w:after="60" w:line="240" w:lineRule="auto"/>
        <w:ind w:firstLine="567"/>
        <w:jc w:val="both"/>
        <w:rPr>
          <w:rFonts w:cs="Times New Roman"/>
          <w:sz w:val="22"/>
          <w:szCs w:val="22"/>
        </w:rPr>
      </w:pPr>
      <w:r w:rsidRPr="00640D24">
        <w:rPr>
          <w:rFonts w:cs="Times New Roman"/>
          <w:sz w:val="22"/>
          <w:szCs w:val="22"/>
        </w:rPr>
        <w:t>Rizikos kapitalo rinka Lietuvoje yra pakankamai jauna, tačiau sparčiai besivystanti. Prie rizikos kapitalo infrastruktūros plėtros šalyje itin prisidėjo iš 2007</w:t>
      </w:r>
      <w:r w:rsidR="00846D89" w:rsidRPr="00640D24">
        <w:rPr>
          <w:rFonts w:cs="Times New Roman"/>
          <w:sz w:val="22"/>
          <w:szCs w:val="22"/>
        </w:rPr>
        <w:t>–</w:t>
      </w:r>
      <w:r w:rsidRPr="00640D24">
        <w:rPr>
          <w:rFonts w:cs="Times New Roman"/>
          <w:sz w:val="22"/>
          <w:szCs w:val="22"/>
        </w:rPr>
        <w:t xml:space="preserve">2013 m. </w:t>
      </w:r>
      <w:r w:rsidR="006C1877" w:rsidRPr="00640D24">
        <w:rPr>
          <w:rFonts w:cs="Times New Roman"/>
          <w:sz w:val="22"/>
          <w:szCs w:val="22"/>
        </w:rPr>
        <w:t xml:space="preserve">programavimo </w:t>
      </w:r>
      <w:r w:rsidRPr="00640D24">
        <w:rPr>
          <w:rFonts w:cs="Times New Roman"/>
          <w:sz w:val="22"/>
          <w:szCs w:val="22"/>
        </w:rPr>
        <w:t xml:space="preserve">laikotarpio ES lėšų įsteigti </w:t>
      </w:r>
      <w:r w:rsidR="00380AD4" w:rsidRPr="00640D24">
        <w:rPr>
          <w:rFonts w:cs="Times New Roman"/>
          <w:sz w:val="22"/>
          <w:szCs w:val="22"/>
        </w:rPr>
        <w:t xml:space="preserve">rizikos kapitalo fondai (toliau – </w:t>
      </w:r>
      <w:r w:rsidRPr="00640D24">
        <w:rPr>
          <w:rFonts w:cs="Times New Roman"/>
          <w:sz w:val="22"/>
          <w:szCs w:val="22"/>
        </w:rPr>
        <w:t>RKF</w:t>
      </w:r>
      <w:r w:rsidR="00380AD4" w:rsidRPr="00640D24">
        <w:rPr>
          <w:rFonts w:cs="Times New Roman"/>
          <w:sz w:val="22"/>
          <w:szCs w:val="22"/>
        </w:rPr>
        <w:t>)</w:t>
      </w:r>
      <w:r w:rsidRPr="00640D24">
        <w:rPr>
          <w:rFonts w:cs="Times New Roman"/>
          <w:sz w:val="22"/>
          <w:szCs w:val="22"/>
        </w:rPr>
        <w:t>: KŪB „</w:t>
      </w:r>
      <w:proofErr w:type="spellStart"/>
      <w:r w:rsidRPr="00640D24">
        <w:rPr>
          <w:rFonts w:cs="Times New Roman"/>
          <w:sz w:val="22"/>
          <w:szCs w:val="22"/>
        </w:rPr>
        <w:t>Lithuania</w:t>
      </w:r>
      <w:proofErr w:type="spellEnd"/>
      <w:r w:rsidRPr="00640D24">
        <w:rPr>
          <w:rFonts w:cs="Times New Roman"/>
          <w:sz w:val="22"/>
          <w:szCs w:val="22"/>
        </w:rPr>
        <w:t xml:space="preserve"> SME </w:t>
      </w:r>
      <w:proofErr w:type="spellStart"/>
      <w:r w:rsidRPr="00640D24">
        <w:rPr>
          <w:rFonts w:cs="Times New Roman"/>
          <w:sz w:val="22"/>
          <w:szCs w:val="22"/>
        </w:rPr>
        <w:t>Fund</w:t>
      </w:r>
      <w:proofErr w:type="spellEnd"/>
      <w:r w:rsidRPr="00640D24">
        <w:rPr>
          <w:rFonts w:cs="Times New Roman"/>
          <w:sz w:val="22"/>
          <w:szCs w:val="22"/>
        </w:rPr>
        <w:t>“ („</w:t>
      </w:r>
      <w:proofErr w:type="spellStart"/>
      <w:r w:rsidRPr="00640D24">
        <w:rPr>
          <w:rFonts w:cs="Times New Roman"/>
          <w:sz w:val="22"/>
          <w:szCs w:val="22"/>
        </w:rPr>
        <w:t>BaltCap</w:t>
      </w:r>
      <w:proofErr w:type="spellEnd"/>
      <w:r w:rsidRPr="00640D24">
        <w:rPr>
          <w:rFonts w:cs="Times New Roman"/>
          <w:sz w:val="22"/>
          <w:szCs w:val="22"/>
        </w:rPr>
        <w:t>“), KŪB „</w:t>
      </w:r>
      <w:proofErr w:type="spellStart"/>
      <w:r w:rsidRPr="00640D24">
        <w:rPr>
          <w:rFonts w:cs="Times New Roman"/>
          <w:sz w:val="22"/>
          <w:szCs w:val="22"/>
        </w:rPr>
        <w:t>LitCapital</w:t>
      </w:r>
      <w:proofErr w:type="spellEnd"/>
      <w:r w:rsidRPr="00640D24">
        <w:rPr>
          <w:rFonts w:cs="Times New Roman"/>
          <w:sz w:val="22"/>
          <w:szCs w:val="22"/>
        </w:rPr>
        <w:t xml:space="preserve"> I“, </w:t>
      </w:r>
      <w:r w:rsidR="00846D89" w:rsidRPr="00640D24">
        <w:rPr>
          <w:rFonts w:cs="Times New Roman"/>
          <w:sz w:val="22"/>
          <w:szCs w:val="22"/>
        </w:rPr>
        <w:t>KŪB </w:t>
      </w:r>
      <w:r w:rsidRPr="00640D24">
        <w:rPr>
          <w:rFonts w:cs="Times New Roman"/>
          <w:sz w:val="22"/>
          <w:szCs w:val="22"/>
        </w:rPr>
        <w:t>„Verslo angelų fondas I“ (bendrai investuojantis fondas), KŪB „</w:t>
      </w:r>
      <w:proofErr w:type="spellStart"/>
      <w:r w:rsidRPr="00640D24">
        <w:rPr>
          <w:rFonts w:cs="Times New Roman"/>
          <w:sz w:val="22"/>
          <w:szCs w:val="22"/>
        </w:rPr>
        <w:t>Practica</w:t>
      </w:r>
      <w:proofErr w:type="spellEnd"/>
      <w:r w:rsidRPr="00640D24">
        <w:rPr>
          <w:rFonts w:cs="Times New Roman"/>
          <w:sz w:val="22"/>
          <w:szCs w:val="22"/>
        </w:rPr>
        <w:t xml:space="preserve"> </w:t>
      </w:r>
      <w:proofErr w:type="spellStart"/>
      <w:r w:rsidRPr="00640D24">
        <w:rPr>
          <w:rFonts w:cs="Times New Roman"/>
          <w:sz w:val="22"/>
          <w:szCs w:val="22"/>
        </w:rPr>
        <w:t>Seed</w:t>
      </w:r>
      <w:proofErr w:type="spellEnd"/>
      <w:r w:rsidRPr="00640D24">
        <w:rPr>
          <w:rFonts w:cs="Times New Roman"/>
          <w:sz w:val="22"/>
          <w:szCs w:val="22"/>
        </w:rPr>
        <w:t xml:space="preserve"> </w:t>
      </w:r>
      <w:proofErr w:type="spellStart"/>
      <w:r w:rsidRPr="00640D24">
        <w:rPr>
          <w:rFonts w:cs="Times New Roman"/>
          <w:sz w:val="22"/>
          <w:szCs w:val="22"/>
        </w:rPr>
        <w:t>Capital</w:t>
      </w:r>
      <w:proofErr w:type="spellEnd"/>
      <w:r w:rsidRPr="00640D24">
        <w:rPr>
          <w:rFonts w:cs="Times New Roman"/>
          <w:sz w:val="22"/>
          <w:szCs w:val="22"/>
        </w:rPr>
        <w:t xml:space="preserve">“ ir </w:t>
      </w:r>
      <w:r w:rsidR="00846D89" w:rsidRPr="00640D24">
        <w:rPr>
          <w:rFonts w:cs="Times New Roman"/>
          <w:sz w:val="22"/>
          <w:szCs w:val="22"/>
        </w:rPr>
        <w:t>KŪB </w:t>
      </w:r>
      <w:r w:rsidRPr="00640D24">
        <w:rPr>
          <w:rFonts w:cs="Times New Roman"/>
          <w:sz w:val="22"/>
          <w:szCs w:val="22"/>
        </w:rPr>
        <w:t>„</w:t>
      </w:r>
      <w:proofErr w:type="spellStart"/>
      <w:r w:rsidRPr="00640D24">
        <w:rPr>
          <w:rFonts w:cs="Times New Roman"/>
          <w:sz w:val="22"/>
          <w:szCs w:val="22"/>
        </w:rPr>
        <w:t>Practica</w:t>
      </w:r>
      <w:proofErr w:type="spellEnd"/>
      <w:r w:rsidRPr="00640D24">
        <w:rPr>
          <w:rFonts w:cs="Times New Roman"/>
          <w:sz w:val="22"/>
          <w:szCs w:val="22"/>
        </w:rPr>
        <w:t xml:space="preserve"> </w:t>
      </w:r>
      <w:proofErr w:type="spellStart"/>
      <w:r w:rsidRPr="00640D24">
        <w:rPr>
          <w:rFonts w:cs="Times New Roman"/>
          <w:sz w:val="22"/>
          <w:szCs w:val="22"/>
        </w:rPr>
        <w:t>Venture</w:t>
      </w:r>
      <w:proofErr w:type="spellEnd"/>
      <w:r w:rsidRPr="00640D24">
        <w:rPr>
          <w:rFonts w:cs="Times New Roman"/>
          <w:sz w:val="22"/>
          <w:szCs w:val="22"/>
        </w:rPr>
        <w:t xml:space="preserve"> </w:t>
      </w:r>
      <w:proofErr w:type="spellStart"/>
      <w:r w:rsidRPr="00640D24">
        <w:rPr>
          <w:rFonts w:cs="Times New Roman"/>
          <w:sz w:val="22"/>
          <w:szCs w:val="22"/>
        </w:rPr>
        <w:t>Capital</w:t>
      </w:r>
      <w:proofErr w:type="spellEnd"/>
      <w:r w:rsidRPr="00640D24">
        <w:rPr>
          <w:rFonts w:cs="Times New Roman"/>
          <w:sz w:val="22"/>
          <w:szCs w:val="22"/>
        </w:rPr>
        <w:t xml:space="preserve">“. </w:t>
      </w:r>
      <w:r w:rsidR="005F4853" w:rsidRPr="00640D24">
        <w:rPr>
          <w:rFonts w:cs="Times New Roman"/>
          <w:sz w:val="22"/>
          <w:szCs w:val="22"/>
        </w:rPr>
        <w:t xml:space="preserve">Nurodytų </w:t>
      </w:r>
      <w:r w:rsidRPr="00640D24">
        <w:rPr>
          <w:rFonts w:cs="Times New Roman"/>
          <w:sz w:val="22"/>
          <w:szCs w:val="22"/>
        </w:rPr>
        <w:t>RKF tikslas buvo padidinti finansavimo prieinamumą SVV ir skatinti SVV augimą.</w:t>
      </w:r>
    </w:p>
    <w:p w14:paraId="5035D0D5" w14:textId="3121F9B8" w:rsidR="001A47BB" w:rsidRPr="00640D24" w:rsidRDefault="001A47BB" w:rsidP="00170B5F">
      <w:pPr>
        <w:spacing w:before="60" w:after="60" w:line="240" w:lineRule="auto"/>
        <w:ind w:firstLine="567"/>
        <w:jc w:val="both"/>
        <w:rPr>
          <w:rFonts w:cs="Times New Roman"/>
          <w:sz w:val="22"/>
          <w:szCs w:val="22"/>
        </w:rPr>
      </w:pPr>
      <w:r w:rsidRPr="00640D24">
        <w:rPr>
          <w:rFonts w:cs="Times New Roman"/>
          <w:sz w:val="22"/>
          <w:szCs w:val="22"/>
        </w:rPr>
        <w:t xml:space="preserve"> 2014</w:t>
      </w:r>
      <w:r w:rsidR="00846D89" w:rsidRPr="00640D24">
        <w:rPr>
          <w:rFonts w:cs="Times New Roman"/>
          <w:sz w:val="22"/>
          <w:szCs w:val="22"/>
        </w:rPr>
        <w:t>–</w:t>
      </w:r>
      <w:r w:rsidRPr="00640D24">
        <w:rPr>
          <w:rFonts w:cs="Times New Roman"/>
          <w:sz w:val="22"/>
          <w:szCs w:val="22"/>
        </w:rPr>
        <w:t xml:space="preserve">2020 m. </w:t>
      </w:r>
      <w:r w:rsidR="006C1877" w:rsidRPr="00640D24">
        <w:rPr>
          <w:rFonts w:cs="Times New Roman"/>
          <w:sz w:val="22"/>
          <w:szCs w:val="22"/>
        </w:rPr>
        <w:t>programavimo laikotarpiu</w:t>
      </w:r>
      <w:r w:rsidRPr="00640D24">
        <w:rPr>
          <w:rFonts w:cs="Times New Roman"/>
          <w:sz w:val="22"/>
          <w:szCs w:val="22"/>
        </w:rPr>
        <w:t xml:space="preserve"> padidėjo </w:t>
      </w:r>
      <w:r w:rsidR="009074BD" w:rsidRPr="00640D24">
        <w:rPr>
          <w:rFonts w:cs="Times New Roman"/>
          <w:sz w:val="22"/>
          <w:szCs w:val="22"/>
        </w:rPr>
        <w:t>RKF</w:t>
      </w:r>
      <w:r w:rsidRPr="00640D24">
        <w:rPr>
          <w:rFonts w:cs="Times New Roman"/>
          <w:sz w:val="22"/>
          <w:szCs w:val="22"/>
        </w:rPr>
        <w:t xml:space="preserve"> pasiūla. </w:t>
      </w:r>
      <w:r w:rsidR="004C001E" w:rsidRPr="00640D24">
        <w:rPr>
          <w:rFonts w:cs="Times New Roman"/>
          <w:sz w:val="22"/>
          <w:szCs w:val="22"/>
        </w:rPr>
        <w:t xml:space="preserve">Lietuvoje veikia 11 RKF, kuriuose ES SF lėšos yra vienas iš finansavimo šaltinių. Detali informacija apie veikiančius RKF yra pateikta </w:t>
      </w:r>
      <w:r w:rsidR="00C7535E" w:rsidRPr="00640D24">
        <w:rPr>
          <w:rFonts w:cs="Times New Roman"/>
          <w:sz w:val="22"/>
          <w:szCs w:val="22"/>
        </w:rPr>
        <w:t>dokumento „Verslo finansavimo 2014–2020 metų Europos Sąjungos struktūrinių fondų lėšomis išankstinis vertinimas“ 8 priede (žr. 2021 m. liepos 20 d. redakciją)</w:t>
      </w:r>
      <w:r w:rsidR="00C7535E" w:rsidRPr="00640D24">
        <w:rPr>
          <w:rStyle w:val="Puslapioinaosnuoroda"/>
          <w:rFonts w:cs="Times New Roman"/>
          <w:sz w:val="22"/>
          <w:szCs w:val="22"/>
        </w:rPr>
        <w:footnoteReference w:id="51"/>
      </w:r>
      <w:r w:rsidR="00C7535E" w:rsidRPr="00640D24">
        <w:rPr>
          <w:rFonts w:cs="Times New Roman"/>
          <w:sz w:val="22"/>
          <w:szCs w:val="22"/>
        </w:rPr>
        <w:t>.</w:t>
      </w:r>
    </w:p>
    <w:p w14:paraId="529DC603" w14:textId="77777777" w:rsidR="001A47BB" w:rsidRPr="00640D24" w:rsidRDefault="001A47BB" w:rsidP="002A24FE">
      <w:pPr>
        <w:pStyle w:val="Antrat4"/>
        <w:spacing w:before="120"/>
      </w:pPr>
      <w:bookmarkStart w:id="40" w:name="_Toc18010604"/>
      <w:bookmarkStart w:id="41" w:name="_Toc51580646"/>
      <w:r w:rsidRPr="00640D24">
        <w:t>Dalinis palūkanų kompensavimas</w:t>
      </w:r>
      <w:bookmarkEnd w:id="40"/>
      <w:bookmarkEnd w:id="41"/>
    </w:p>
    <w:p w14:paraId="09C24E6A" w14:textId="4FF5A769" w:rsidR="002856A0" w:rsidRPr="00640D24" w:rsidRDefault="001A47BB" w:rsidP="00170B5F">
      <w:pPr>
        <w:spacing w:before="60" w:after="60" w:line="240" w:lineRule="auto"/>
        <w:ind w:firstLine="567"/>
        <w:jc w:val="both"/>
        <w:rPr>
          <w:rFonts w:cs="Times New Roman"/>
          <w:sz w:val="22"/>
          <w:szCs w:val="22"/>
        </w:rPr>
      </w:pPr>
      <w:r w:rsidRPr="00640D24">
        <w:rPr>
          <w:rFonts w:cs="Times New Roman"/>
          <w:sz w:val="22"/>
          <w:szCs w:val="22"/>
        </w:rPr>
        <w:t>Dalinis palūkanų kompensavimas (toliau</w:t>
      </w:r>
      <w:r w:rsidR="002856A0" w:rsidRPr="00640D24">
        <w:rPr>
          <w:rFonts w:cs="Times New Roman"/>
          <w:sz w:val="22"/>
          <w:szCs w:val="22"/>
        </w:rPr>
        <w:t xml:space="preserve"> – </w:t>
      </w:r>
      <w:r w:rsidRPr="00640D24">
        <w:rPr>
          <w:rFonts w:cs="Times New Roman"/>
          <w:sz w:val="22"/>
          <w:szCs w:val="22"/>
        </w:rPr>
        <w:t>DPK) – tai negrąžintinų subsidijų priemonė</w:t>
      </w:r>
      <w:r w:rsidR="00D83B1B" w:rsidRPr="00640D24">
        <w:rPr>
          <w:rFonts w:cs="Times New Roman"/>
          <w:sz w:val="22"/>
          <w:szCs w:val="22"/>
        </w:rPr>
        <w:t xml:space="preserve">, kurią galima derinti </w:t>
      </w:r>
      <w:r w:rsidR="002916DE" w:rsidRPr="00640D24">
        <w:rPr>
          <w:rFonts w:cs="Times New Roman"/>
          <w:sz w:val="22"/>
          <w:szCs w:val="22"/>
        </w:rPr>
        <w:t>su</w:t>
      </w:r>
      <w:r w:rsidR="00D83B1B" w:rsidRPr="00640D24">
        <w:rPr>
          <w:rFonts w:cs="Times New Roman"/>
          <w:sz w:val="22"/>
          <w:szCs w:val="22"/>
        </w:rPr>
        <w:t xml:space="preserve"> FP</w:t>
      </w:r>
      <w:r w:rsidRPr="00640D24">
        <w:rPr>
          <w:rFonts w:cs="Times New Roman"/>
          <w:sz w:val="22"/>
          <w:szCs w:val="22"/>
        </w:rPr>
        <w:t>. Paskolų palūkanos kompensuojamos nuo 2002 m. Iki 2009 m. palūkanos buvo iš dalies kompensuojamos iš nacionalinių lėšų, nuo 2009 m. pradėtos kompensuoti naudojant ES SF lėšas</w:t>
      </w:r>
      <w:r w:rsidR="002856A0" w:rsidRPr="00640D24">
        <w:rPr>
          <w:rFonts w:cs="Times New Roman"/>
          <w:sz w:val="22"/>
          <w:szCs w:val="22"/>
        </w:rPr>
        <w:t xml:space="preserve">. Nuo 2020 m. </w:t>
      </w:r>
      <w:r w:rsidR="00F60AD0" w:rsidRPr="00640D24">
        <w:rPr>
          <w:rFonts w:cs="Times New Roman"/>
          <w:sz w:val="22"/>
          <w:szCs w:val="22"/>
        </w:rPr>
        <w:t>gegužės 13 d. palūkanos kompensuojamos</w:t>
      </w:r>
      <w:r w:rsidR="002856A0" w:rsidRPr="00640D24">
        <w:rPr>
          <w:rFonts w:cs="Times New Roman"/>
          <w:sz w:val="22"/>
          <w:szCs w:val="22"/>
        </w:rPr>
        <w:t xml:space="preserve"> iš </w:t>
      </w:r>
      <w:r w:rsidR="00A57FD0" w:rsidRPr="00640D24">
        <w:rPr>
          <w:rFonts w:cs="Times New Roman"/>
          <w:sz w:val="22"/>
          <w:szCs w:val="22"/>
        </w:rPr>
        <w:t>valstybės</w:t>
      </w:r>
      <w:r w:rsidR="002856A0" w:rsidRPr="00640D24">
        <w:rPr>
          <w:rFonts w:cs="Times New Roman"/>
          <w:sz w:val="22"/>
          <w:szCs w:val="22"/>
        </w:rPr>
        <w:t xml:space="preserve"> biudžeto lėšų</w:t>
      </w:r>
      <w:r w:rsidR="002856A0" w:rsidRPr="00640D24">
        <w:rPr>
          <w:rStyle w:val="Puslapioinaosnuoroda"/>
          <w:rFonts w:cs="Times New Roman"/>
          <w:sz w:val="22"/>
          <w:szCs w:val="22"/>
        </w:rPr>
        <w:footnoteReference w:id="52"/>
      </w:r>
      <w:r w:rsidR="002856A0" w:rsidRPr="00640D24">
        <w:rPr>
          <w:rFonts w:cs="Times New Roman"/>
          <w:sz w:val="22"/>
          <w:szCs w:val="22"/>
        </w:rPr>
        <w:t>.</w:t>
      </w:r>
    </w:p>
    <w:p w14:paraId="01EC1351" w14:textId="6D33E15C" w:rsidR="00C667EE" w:rsidRPr="00640D24" w:rsidRDefault="00C667EE" w:rsidP="00170B5F">
      <w:pPr>
        <w:spacing w:before="60" w:after="60" w:line="240" w:lineRule="auto"/>
        <w:ind w:firstLine="567"/>
        <w:jc w:val="both"/>
        <w:rPr>
          <w:rFonts w:cs="Times New Roman"/>
          <w:sz w:val="22"/>
          <w:szCs w:val="22"/>
        </w:rPr>
      </w:pPr>
      <w:bookmarkStart w:id="42" w:name="_Hlk25678889"/>
      <w:bookmarkStart w:id="43" w:name="_Hlk25678935"/>
      <w:r w:rsidRPr="00640D24">
        <w:rPr>
          <w:rFonts w:cs="Times New Roman"/>
          <w:sz w:val="22"/>
          <w:szCs w:val="22"/>
        </w:rPr>
        <w:t>Atsižvelgiant į COVID</w:t>
      </w:r>
      <w:r w:rsidR="00645085" w:rsidRPr="00640D24">
        <w:rPr>
          <w:rFonts w:cs="Times New Roman"/>
          <w:sz w:val="22"/>
          <w:szCs w:val="22"/>
        </w:rPr>
        <w:t>–</w:t>
      </w:r>
      <w:r w:rsidRPr="00640D24">
        <w:rPr>
          <w:rFonts w:cs="Times New Roman"/>
          <w:sz w:val="22"/>
          <w:szCs w:val="22"/>
        </w:rPr>
        <w:t>19 pasekmes, buvo patikslintas priemonės Nr. J03</w:t>
      </w:r>
      <w:r w:rsidR="00645085" w:rsidRPr="00640D24">
        <w:rPr>
          <w:rFonts w:cs="Times New Roman"/>
          <w:sz w:val="22"/>
          <w:szCs w:val="22"/>
        </w:rPr>
        <w:t>–</w:t>
      </w:r>
      <w:r w:rsidRPr="00640D24">
        <w:rPr>
          <w:rFonts w:cs="Times New Roman"/>
          <w:sz w:val="22"/>
          <w:szCs w:val="22"/>
        </w:rPr>
        <w:t>IVG</w:t>
      </w:r>
      <w:r w:rsidR="00645085" w:rsidRPr="00640D24">
        <w:rPr>
          <w:rFonts w:cs="Times New Roman"/>
          <w:sz w:val="22"/>
          <w:szCs w:val="22"/>
        </w:rPr>
        <w:t>–</w:t>
      </w:r>
      <w:r w:rsidRPr="00640D24">
        <w:rPr>
          <w:rFonts w:cs="Times New Roman"/>
          <w:sz w:val="22"/>
          <w:szCs w:val="22"/>
        </w:rPr>
        <w:t>T „Dalinis palūkanų kompensavimas“ projektų finansavimo sąlygų aprašas Nr. 1., kuris sudar</w:t>
      </w:r>
      <w:r w:rsidR="00C7535E" w:rsidRPr="00640D24">
        <w:rPr>
          <w:rFonts w:cs="Times New Roman"/>
          <w:sz w:val="22"/>
          <w:szCs w:val="22"/>
        </w:rPr>
        <w:t>ė</w:t>
      </w:r>
      <w:r w:rsidRPr="00640D24">
        <w:rPr>
          <w:rFonts w:cs="Times New Roman"/>
          <w:sz w:val="22"/>
          <w:szCs w:val="22"/>
        </w:rPr>
        <w:t xml:space="preserve"> sąlygas gauti palūkanų kompensavimą iki 100 proc. palūkanų kompensaciją tuo atveju, jeigu </w:t>
      </w:r>
      <w:r w:rsidR="00F60AD0" w:rsidRPr="00640D24">
        <w:rPr>
          <w:rFonts w:cs="Times New Roman"/>
          <w:sz w:val="22"/>
          <w:szCs w:val="22"/>
        </w:rPr>
        <w:t>paskolos gavėjas ir</w:t>
      </w:r>
      <w:r w:rsidRPr="00640D24">
        <w:rPr>
          <w:rFonts w:cs="Times New Roman"/>
          <w:sz w:val="22"/>
          <w:szCs w:val="22"/>
        </w:rPr>
        <w:t xml:space="preserve"> bank</w:t>
      </w:r>
      <w:r w:rsidR="00F60AD0" w:rsidRPr="00640D24">
        <w:rPr>
          <w:rFonts w:cs="Times New Roman"/>
          <w:sz w:val="22"/>
          <w:szCs w:val="22"/>
        </w:rPr>
        <w:t>as pasirašė susitarimą dėl</w:t>
      </w:r>
      <w:r w:rsidRPr="00640D24">
        <w:rPr>
          <w:rFonts w:cs="Times New Roman"/>
          <w:sz w:val="22"/>
          <w:szCs w:val="22"/>
        </w:rPr>
        <w:t xml:space="preserve"> paskolos mokėjim</w:t>
      </w:r>
      <w:r w:rsidR="00F60AD0" w:rsidRPr="00640D24">
        <w:rPr>
          <w:rFonts w:cs="Times New Roman"/>
          <w:sz w:val="22"/>
          <w:szCs w:val="22"/>
        </w:rPr>
        <w:t>o</w:t>
      </w:r>
      <w:r w:rsidRPr="00640D24">
        <w:rPr>
          <w:rFonts w:cs="Times New Roman"/>
          <w:sz w:val="22"/>
          <w:szCs w:val="22"/>
        </w:rPr>
        <w:t xml:space="preserve"> atidė</w:t>
      </w:r>
      <w:r w:rsidR="00F60AD0" w:rsidRPr="00640D24">
        <w:rPr>
          <w:rFonts w:cs="Times New Roman"/>
          <w:sz w:val="22"/>
          <w:szCs w:val="22"/>
        </w:rPr>
        <w:t>jimo. Nuo 2020 m. gegužės 13 d., padėjus mokėti kompensacijas iš valstybės biudžeto lėšų, palūkanos</w:t>
      </w:r>
      <w:r w:rsidRPr="00640D24">
        <w:rPr>
          <w:rFonts w:cs="Times New Roman"/>
          <w:sz w:val="22"/>
          <w:szCs w:val="22"/>
        </w:rPr>
        <w:t xml:space="preserve"> </w:t>
      </w:r>
      <w:r w:rsidR="00C7535E" w:rsidRPr="00640D24">
        <w:rPr>
          <w:rFonts w:cs="Times New Roman"/>
          <w:sz w:val="22"/>
          <w:szCs w:val="22"/>
        </w:rPr>
        <w:t xml:space="preserve">buvo </w:t>
      </w:r>
      <w:r w:rsidRPr="00640D24">
        <w:rPr>
          <w:rFonts w:cs="Times New Roman"/>
          <w:sz w:val="22"/>
          <w:szCs w:val="22"/>
        </w:rPr>
        <w:t>kompensuojam</w:t>
      </w:r>
      <w:r w:rsidR="00F60AD0" w:rsidRPr="00640D24">
        <w:rPr>
          <w:rFonts w:cs="Times New Roman"/>
          <w:sz w:val="22"/>
          <w:szCs w:val="22"/>
        </w:rPr>
        <w:t>os</w:t>
      </w:r>
      <w:r w:rsidRPr="00640D24">
        <w:rPr>
          <w:rFonts w:cs="Times New Roman"/>
          <w:sz w:val="22"/>
          <w:szCs w:val="22"/>
        </w:rPr>
        <w:t xml:space="preserve"> ir</w:t>
      </w:r>
      <w:r w:rsidR="004E22F6" w:rsidRPr="00640D24">
        <w:rPr>
          <w:rFonts w:cs="Times New Roman"/>
          <w:sz w:val="22"/>
          <w:szCs w:val="22"/>
        </w:rPr>
        <w:t xml:space="preserve"> </w:t>
      </w:r>
      <w:r w:rsidR="00F60AD0" w:rsidRPr="00640D24">
        <w:rPr>
          <w:rFonts w:cs="Times New Roman"/>
          <w:sz w:val="22"/>
          <w:szCs w:val="22"/>
        </w:rPr>
        <w:t xml:space="preserve">už </w:t>
      </w:r>
      <w:r w:rsidR="004E22F6" w:rsidRPr="00640D24">
        <w:rPr>
          <w:rFonts w:cs="Times New Roman"/>
          <w:sz w:val="22"/>
          <w:szCs w:val="22"/>
        </w:rPr>
        <w:t>anksčiau nefinansuot</w:t>
      </w:r>
      <w:r w:rsidR="00F60AD0" w:rsidRPr="00640D24">
        <w:rPr>
          <w:rFonts w:cs="Times New Roman"/>
          <w:sz w:val="22"/>
          <w:szCs w:val="22"/>
        </w:rPr>
        <w:t>ą</w:t>
      </w:r>
      <w:r w:rsidRPr="00640D24">
        <w:rPr>
          <w:rFonts w:cs="Times New Roman"/>
          <w:sz w:val="22"/>
          <w:szCs w:val="22"/>
        </w:rPr>
        <w:t xml:space="preserve"> krovinių vežimo sausumos keliais veikl</w:t>
      </w:r>
      <w:r w:rsidR="00F60AD0" w:rsidRPr="00640D24">
        <w:rPr>
          <w:rFonts w:cs="Times New Roman"/>
          <w:sz w:val="22"/>
          <w:szCs w:val="22"/>
        </w:rPr>
        <w:t>ą</w:t>
      </w:r>
      <w:r w:rsidRPr="00640D24">
        <w:rPr>
          <w:rFonts w:cs="Times New Roman"/>
          <w:sz w:val="22"/>
          <w:szCs w:val="22"/>
        </w:rPr>
        <w:t>.</w:t>
      </w:r>
      <w:r w:rsidR="00C7535E" w:rsidRPr="00640D24">
        <w:rPr>
          <w:rFonts w:cs="Times New Roman"/>
          <w:sz w:val="22"/>
          <w:szCs w:val="22"/>
        </w:rPr>
        <w:t xml:space="preserve"> Minėtos sąlygos galiojo iki 2020 m. gruodžio 31 d. </w:t>
      </w:r>
      <w:r w:rsidR="00455F8E" w:rsidRPr="00640D24">
        <w:rPr>
          <w:rFonts w:cs="Times New Roman"/>
          <w:sz w:val="22"/>
          <w:szCs w:val="22"/>
        </w:rPr>
        <w:t xml:space="preserve">Vadovaujantis galiojančiu aprašu, kompensuojama iki </w:t>
      </w:r>
      <w:r w:rsidR="00661638" w:rsidRPr="00640D24">
        <w:rPr>
          <w:rFonts w:cs="Times New Roman"/>
          <w:sz w:val="22"/>
          <w:szCs w:val="22"/>
        </w:rPr>
        <w:t>50</w:t>
      </w:r>
      <w:r w:rsidR="00455F8E" w:rsidRPr="00640D24">
        <w:rPr>
          <w:rFonts w:cs="Times New Roman"/>
          <w:sz w:val="22"/>
          <w:szCs w:val="22"/>
        </w:rPr>
        <w:t xml:space="preserve"> proc. nuo faktiškai sumokėtų palūkanų sumos, bet ne daugiau kaip 7 proc. metinių palūkanų. </w:t>
      </w:r>
    </w:p>
    <w:p w14:paraId="2FB11B72" w14:textId="77777777" w:rsidR="002C4260" w:rsidRPr="00640D24" w:rsidRDefault="002C4260" w:rsidP="00170B5F">
      <w:pPr>
        <w:spacing w:before="60" w:after="60" w:line="240" w:lineRule="auto"/>
        <w:ind w:firstLine="567"/>
        <w:jc w:val="both"/>
        <w:rPr>
          <w:rFonts w:cs="Times New Roman"/>
          <w:sz w:val="20"/>
          <w:szCs w:val="20"/>
        </w:rPr>
      </w:pPr>
    </w:p>
    <w:tbl>
      <w:tblPr>
        <w:tblStyle w:val="Lentelstinklelis"/>
        <w:tblW w:w="0" w:type="auto"/>
        <w:tblLook w:val="04A0" w:firstRow="1" w:lastRow="0" w:firstColumn="1" w:lastColumn="0" w:noHBand="0" w:noVBand="1"/>
      </w:tblPr>
      <w:tblGrid>
        <w:gridCol w:w="9628"/>
      </w:tblGrid>
      <w:tr w:rsidR="003A5CF5" w:rsidRPr="00640D24" w14:paraId="161827D4" w14:textId="77777777" w:rsidTr="003A5CF5">
        <w:tc>
          <w:tcPr>
            <w:tcW w:w="9854" w:type="dxa"/>
          </w:tcPr>
          <w:p w14:paraId="0A08FE80" w14:textId="205BC66E" w:rsidR="003A5CF5" w:rsidRPr="00640D24" w:rsidRDefault="003A5CF5" w:rsidP="00811262">
            <w:pPr>
              <w:spacing w:before="60" w:after="60" w:line="240" w:lineRule="auto"/>
              <w:ind w:firstLine="567"/>
              <w:jc w:val="both"/>
              <w:rPr>
                <w:rFonts w:cs="Times New Roman"/>
                <w:sz w:val="22"/>
                <w:szCs w:val="22"/>
                <w:lang w:val="lt-LT"/>
              </w:rPr>
            </w:pPr>
            <w:r w:rsidRPr="00640D24">
              <w:rPr>
                <w:rFonts w:cs="Times New Roman"/>
                <w:sz w:val="22"/>
                <w:szCs w:val="22"/>
                <w:lang w:val="lt-LT"/>
              </w:rPr>
              <w:t>Verslo finansavimas Lietuvoje vykdomas tiek subsidijų, tiek FP forma. 2014</w:t>
            </w:r>
            <w:r w:rsidR="00846D89" w:rsidRPr="00640D24">
              <w:rPr>
                <w:rFonts w:cs="Times New Roman"/>
                <w:sz w:val="22"/>
                <w:szCs w:val="22"/>
                <w:lang w:val="lt-LT"/>
              </w:rPr>
              <w:t>–</w:t>
            </w:r>
            <w:r w:rsidRPr="00640D24">
              <w:rPr>
                <w:rFonts w:cs="Times New Roman"/>
                <w:sz w:val="22"/>
                <w:szCs w:val="22"/>
                <w:lang w:val="lt-LT"/>
              </w:rPr>
              <w:t xml:space="preserve">2020 m. ES SF programavimo laikotarpiu, verslo finansavimo priemonėse daugiausiai subsidijų buvo skiriama MTEP veiklų vykdymui ir MVĮ </w:t>
            </w:r>
            <w:proofErr w:type="spellStart"/>
            <w:r w:rsidRPr="00640D24">
              <w:rPr>
                <w:rFonts w:cs="Times New Roman"/>
                <w:sz w:val="22"/>
                <w:szCs w:val="22"/>
                <w:lang w:val="lt-LT"/>
              </w:rPr>
              <w:t>skaitmenizavimo</w:t>
            </w:r>
            <w:proofErr w:type="spellEnd"/>
            <w:r w:rsidRPr="00640D24">
              <w:rPr>
                <w:rFonts w:cs="Times New Roman"/>
                <w:sz w:val="22"/>
                <w:szCs w:val="22"/>
                <w:lang w:val="lt-LT"/>
              </w:rPr>
              <w:t xml:space="preserve"> ir technologinių inovacijų diegimo projektams. </w:t>
            </w:r>
            <w:r w:rsidR="00D83B1B" w:rsidRPr="00640D24">
              <w:rPr>
                <w:rFonts w:cs="Times New Roman"/>
                <w:sz w:val="22"/>
                <w:szCs w:val="22"/>
                <w:lang w:val="lt-LT"/>
              </w:rPr>
              <w:t>FP prieinamumas yra didelis ir paklausos padidėjimas yra ypač matomas nuo COVID</w:t>
            </w:r>
            <w:r w:rsidR="00645085" w:rsidRPr="00640D24">
              <w:rPr>
                <w:rFonts w:cs="Times New Roman"/>
                <w:sz w:val="22"/>
                <w:szCs w:val="22"/>
                <w:lang w:val="lt-LT"/>
              </w:rPr>
              <w:t>–</w:t>
            </w:r>
            <w:r w:rsidR="00D83B1B" w:rsidRPr="00640D24">
              <w:rPr>
                <w:rFonts w:cs="Times New Roman"/>
                <w:sz w:val="22"/>
                <w:szCs w:val="22"/>
                <w:lang w:val="lt-LT"/>
              </w:rPr>
              <w:t xml:space="preserve">19 pandemijos pradžios. Vertinimo metu nustatyta, kad FP poreikis 2021–2027 m. </w:t>
            </w:r>
            <w:r w:rsidR="00EF4A2E" w:rsidRPr="00640D24">
              <w:rPr>
                <w:rFonts w:cs="Times New Roman"/>
                <w:sz w:val="22"/>
                <w:szCs w:val="22"/>
                <w:lang w:val="lt-LT"/>
              </w:rPr>
              <w:t xml:space="preserve">ES SF programavimo laikotarpiu </w:t>
            </w:r>
            <w:r w:rsidR="00D83B1B" w:rsidRPr="00640D24">
              <w:rPr>
                <w:rFonts w:cs="Times New Roman"/>
                <w:sz w:val="22"/>
                <w:szCs w:val="22"/>
                <w:lang w:val="lt-LT"/>
              </w:rPr>
              <w:t xml:space="preserve">ir toliau išliks didelis, ypač atsižvelgiant į </w:t>
            </w:r>
            <w:r w:rsidR="009F15E5" w:rsidRPr="00640D24">
              <w:rPr>
                <w:rFonts w:cs="Times New Roman"/>
                <w:sz w:val="22"/>
                <w:szCs w:val="22"/>
                <w:lang w:val="lt-LT"/>
              </w:rPr>
              <w:t>poreikį</w:t>
            </w:r>
            <w:r w:rsidR="00D83B1B" w:rsidRPr="00640D24">
              <w:rPr>
                <w:rFonts w:cs="Times New Roman"/>
                <w:sz w:val="22"/>
                <w:szCs w:val="22"/>
                <w:lang w:val="lt-LT"/>
              </w:rPr>
              <w:t xml:space="preserve"> sumažinti </w:t>
            </w:r>
            <w:r w:rsidR="00811262" w:rsidRPr="00640D24">
              <w:rPr>
                <w:rFonts w:cs="Times New Roman"/>
                <w:sz w:val="22"/>
                <w:szCs w:val="22"/>
                <w:lang w:val="lt-LT"/>
              </w:rPr>
              <w:t xml:space="preserve">dotacijų </w:t>
            </w:r>
            <w:r w:rsidR="00D83B1B" w:rsidRPr="00640D24">
              <w:rPr>
                <w:rFonts w:cs="Times New Roman"/>
                <w:sz w:val="22"/>
                <w:szCs w:val="22"/>
                <w:lang w:val="lt-LT"/>
              </w:rPr>
              <w:t xml:space="preserve">apimtis. </w:t>
            </w:r>
          </w:p>
        </w:tc>
      </w:tr>
    </w:tbl>
    <w:p w14:paraId="537E6B56" w14:textId="516B993E" w:rsidR="001D460B" w:rsidRPr="00640D24" w:rsidRDefault="001D460B" w:rsidP="007E5DB7">
      <w:pPr>
        <w:pStyle w:val="Antrat2"/>
        <w:numPr>
          <w:ilvl w:val="1"/>
          <w:numId w:val="1"/>
        </w:numPr>
        <w:spacing w:before="120" w:after="60" w:line="240" w:lineRule="auto"/>
        <w:ind w:left="567" w:hanging="567"/>
        <w:rPr>
          <w:rFonts w:ascii="Times New Roman" w:hAnsi="Times New Roman" w:cs="Times New Roman"/>
          <w:b/>
          <w:bCs/>
          <w:color w:val="auto"/>
          <w:sz w:val="24"/>
          <w:szCs w:val="24"/>
        </w:rPr>
      </w:pPr>
      <w:bookmarkStart w:id="44" w:name="_Toc57225215"/>
      <w:bookmarkStart w:id="45" w:name="_Toc146812386"/>
      <w:bookmarkEnd w:id="42"/>
      <w:bookmarkEnd w:id="43"/>
      <w:r w:rsidRPr="00640D24">
        <w:rPr>
          <w:rFonts w:ascii="Times New Roman" w:hAnsi="Times New Roman" w:cs="Times New Roman"/>
          <w:b/>
          <w:bCs/>
          <w:color w:val="auto"/>
          <w:sz w:val="24"/>
          <w:szCs w:val="24"/>
        </w:rPr>
        <w:t>Investicijų paklausa</w:t>
      </w:r>
      <w:r w:rsidR="003E798B" w:rsidRPr="00640D24">
        <w:rPr>
          <w:rFonts w:ascii="Times New Roman" w:hAnsi="Times New Roman" w:cs="Times New Roman"/>
          <w:b/>
          <w:bCs/>
          <w:color w:val="auto"/>
          <w:sz w:val="24"/>
          <w:szCs w:val="24"/>
        </w:rPr>
        <w:t xml:space="preserve"> ir finansavimo poreikis</w:t>
      </w:r>
      <w:bookmarkEnd w:id="44"/>
      <w:bookmarkEnd w:id="45"/>
    </w:p>
    <w:p w14:paraId="3341F8A2" w14:textId="3FC9EC1B" w:rsidR="002116A6" w:rsidRPr="00640D24" w:rsidRDefault="00386E7F" w:rsidP="00170B5F">
      <w:pPr>
        <w:spacing w:before="60" w:after="60" w:line="240" w:lineRule="auto"/>
        <w:ind w:firstLine="567"/>
        <w:jc w:val="both"/>
        <w:rPr>
          <w:rFonts w:cs="Times New Roman"/>
          <w:sz w:val="22"/>
          <w:szCs w:val="22"/>
        </w:rPr>
      </w:pPr>
      <w:r w:rsidRPr="00640D24">
        <w:rPr>
          <w:rFonts w:cs="Times New Roman"/>
          <w:sz w:val="22"/>
          <w:szCs w:val="22"/>
        </w:rPr>
        <w:t xml:space="preserve">Šioje dalyje yra </w:t>
      </w:r>
      <w:r w:rsidR="00F63CAD" w:rsidRPr="00640D24">
        <w:rPr>
          <w:rFonts w:cs="Times New Roman"/>
          <w:sz w:val="22"/>
          <w:szCs w:val="22"/>
        </w:rPr>
        <w:t>nagrinėjama</w:t>
      </w:r>
      <w:r w:rsidRPr="00640D24">
        <w:rPr>
          <w:rFonts w:cs="Times New Roman"/>
          <w:sz w:val="22"/>
          <w:szCs w:val="22"/>
        </w:rPr>
        <w:t xml:space="preserve"> investicijų paklausa ir numatomas finansavimo poreikis 2021</w:t>
      </w:r>
      <w:r w:rsidR="00882E86" w:rsidRPr="00640D24">
        <w:rPr>
          <w:rFonts w:cs="Times New Roman"/>
          <w:sz w:val="22"/>
          <w:szCs w:val="22"/>
        </w:rPr>
        <w:t>–</w:t>
      </w:r>
      <w:r w:rsidRPr="00640D24">
        <w:rPr>
          <w:rFonts w:cs="Times New Roman"/>
          <w:sz w:val="22"/>
          <w:szCs w:val="22"/>
        </w:rPr>
        <w:t>202</w:t>
      </w:r>
      <w:r w:rsidR="003E1154" w:rsidRPr="00640D24">
        <w:rPr>
          <w:rFonts w:cs="Times New Roman"/>
          <w:sz w:val="22"/>
          <w:szCs w:val="22"/>
        </w:rPr>
        <w:t xml:space="preserve">7 </w:t>
      </w:r>
      <w:r w:rsidRPr="00640D24">
        <w:rPr>
          <w:rFonts w:cs="Times New Roman"/>
          <w:sz w:val="22"/>
          <w:szCs w:val="22"/>
        </w:rPr>
        <w:t xml:space="preserve">m. </w:t>
      </w:r>
      <w:r w:rsidR="003E1154" w:rsidRPr="00640D24">
        <w:rPr>
          <w:rFonts w:cs="Times New Roman"/>
          <w:sz w:val="22"/>
          <w:szCs w:val="22"/>
        </w:rPr>
        <w:t xml:space="preserve">ES SF programavimo laikotarpiu. </w:t>
      </w:r>
      <w:r w:rsidRPr="00640D24">
        <w:rPr>
          <w:rFonts w:cs="Times New Roman"/>
          <w:sz w:val="22"/>
          <w:szCs w:val="22"/>
        </w:rPr>
        <w:t xml:space="preserve">Ši dalis yra struktūruojama pagal numatytas finansuoti </w:t>
      </w:r>
      <w:r w:rsidR="00466406" w:rsidRPr="00640D24">
        <w:rPr>
          <w:rFonts w:cs="Times New Roman"/>
          <w:sz w:val="22"/>
          <w:szCs w:val="22"/>
        </w:rPr>
        <w:t>veiklas</w:t>
      </w:r>
      <w:r w:rsidRPr="00640D24">
        <w:rPr>
          <w:rFonts w:cs="Times New Roman"/>
          <w:sz w:val="22"/>
          <w:szCs w:val="22"/>
        </w:rPr>
        <w:t xml:space="preserve">. </w:t>
      </w:r>
    </w:p>
    <w:p w14:paraId="43A5372D" w14:textId="2E87249A" w:rsidR="009B1F5C" w:rsidRPr="00640D24" w:rsidRDefault="009B1F5C" w:rsidP="00AF3726">
      <w:pPr>
        <w:spacing w:before="60" w:after="60" w:line="240" w:lineRule="auto"/>
        <w:ind w:firstLine="567"/>
        <w:jc w:val="both"/>
        <w:rPr>
          <w:rFonts w:cs="Times New Roman"/>
          <w:sz w:val="22"/>
          <w:szCs w:val="22"/>
        </w:rPr>
      </w:pPr>
      <w:r w:rsidRPr="00640D24">
        <w:rPr>
          <w:rFonts w:cs="Times New Roman"/>
          <w:sz w:val="22"/>
          <w:szCs w:val="22"/>
        </w:rPr>
        <w:t>Siekiant įvertinti investicijų paklausą ir nustatyti finansavimo poreikį buvo</w:t>
      </w:r>
      <w:r w:rsidR="00CE2936" w:rsidRPr="00640D24">
        <w:rPr>
          <w:rFonts w:cs="Times New Roman"/>
          <w:sz w:val="22"/>
          <w:szCs w:val="22"/>
        </w:rPr>
        <w:t xml:space="preserve"> atlikta</w:t>
      </w:r>
      <w:r w:rsidRPr="00640D24">
        <w:rPr>
          <w:rFonts w:cs="Times New Roman"/>
          <w:sz w:val="22"/>
          <w:szCs w:val="22"/>
        </w:rPr>
        <w:t>:</w:t>
      </w:r>
    </w:p>
    <w:p w14:paraId="78273E65" w14:textId="19AE1A8B" w:rsidR="009B1F5C" w:rsidRPr="00640D24" w:rsidRDefault="00466406" w:rsidP="00160B10">
      <w:pPr>
        <w:pStyle w:val="Sraopastraipa"/>
        <w:numPr>
          <w:ilvl w:val="0"/>
          <w:numId w:val="17"/>
        </w:numPr>
        <w:spacing w:before="60" w:after="60" w:line="240" w:lineRule="auto"/>
        <w:jc w:val="both"/>
        <w:rPr>
          <w:rFonts w:cs="Times New Roman"/>
          <w:sz w:val="22"/>
          <w:szCs w:val="22"/>
        </w:rPr>
      </w:pPr>
      <w:r w:rsidRPr="00640D24">
        <w:rPr>
          <w:sz w:val="22"/>
        </w:rPr>
        <w:t xml:space="preserve">2019 m. </w:t>
      </w:r>
      <w:proofErr w:type="spellStart"/>
      <w:r w:rsidR="00653CB6" w:rsidRPr="00640D24">
        <w:rPr>
          <w:sz w:val="22"/>
        </w:rPr>
        <w:t>PwC</w:t>
      </w:r>
      <w:proofErr w:type="spellEnd"/>
      <w:r w:rsidR="00653CB6" w:rsidRPr="00640D24">
        <w:rPr>
          <w:sz w:val="22"/>
        </w:rPr>
        <w:t xml:space="preserve"> </w:t>
      </w:r>
      <w:r w:rsidR="00B32A83" w:rsidRPr="00640D24">
        <w:rPr>
          <w:sz w:val="22"/>
        </w:rPr>
        <w:t>vykdytos</w:t>
      </w:r>
      <w:r w:rsidRPr="00640D24">
        <w:rPr>
          <w:sz w:val="22"/>
        </w:rPr>
        <w:t xml:space="preserve"> </w:t>
      </w:r>
      <w:r w:rsidR="009B1F5C" w:rsidRPr="00640D24">
        <w:rPr>
          <w:sz w:val="22"/>
        </w:rPr>
        <w:t>SVV subjektų apklaus</w:t>
      </w:r>
      <w:r w:rsidRPr="00640D24">
        <w:rPr>
          <w:sz w:val="22"/>
        </w:rPr>
        <w:t>os rezultatų analizė</w:t>
      </w:r>
      <w:r w:rsidR="009B1F5C" w:rsidRPr="00640D24">
        <w:rPr>
          <w:sz w:val="22"/>
        </w:rPr>
        <w:t>.</w:t>
      </w:r>
      <w:r w:rsidR="009B1F5C" w:rsidRPr="00640D24">
        <w:rPr>
          <w:rFonts w:cs="Times New Roman"/>
          <w:sz w:val="22"/>
          <w:szCs w:val="22"/>
        </w:rPr>
        <w:t xml:space="preserve"> </w:t>
      </w:r>
      <w:r w:rsidR="004C001E" w:rsidRPr="00640D24">
        <w:rPr>
          <w:rFonts w:eastAsia="Times New Roman" w:cs="Times New Roman"/>
          <w:color w:val="222222"/>
          <w:sz w:val="22"/>
          <w:szCs w:val="22"/>
          <w:lang w:eastAsia="lt-LT"/>
        </w:rPr>
        <w:t>Apklausos</w:t>
      </w:r>
      <w:r w:rsidR="0085262D" w:rsidRPr="00640D24">
        <w:rPr>
          <w:rFonts w:eastAsia="Times New Roman" w:cs="Times New Roman"/>
          <w:color w:val="222222"/>
          <w:sz w:val="22"/>
          <w:szCs w:val="22"/>
          <w:lang w:eastAsia="lt-LT"/>
        </w:rPr>
        <w:t xml:space="preserve"> rezultatų</w:t>
      </w:r>
      <w:r w:rsidR="004C001E" w:rsidRPr="00640D24">
        <w:rPr>
          <w:rFonts w:eastAsia="Times New Roman" w:cs="Times New Roman"/>
          <w:color w:val="222222"/>
          <w:sz w:val="22"/>
          <w:szCs w:val="22"/>
          <w:lang w:eastAsia="lt-LT"/>
        </w:rPr>
        <w:t xml:space="preserve"> analizė buvo pritaikoma skirtingų veiklų investicijų paklausos ir finansavimo poreikio analizei. </w:t>
      </w:r>
      <w:r w:rsidR="00D54B84" w:rsidRPr="00640D24">
        <w:rPr>
          <w:rFonts w:cs="Times New Roman"/>
          <w:sz w:val="22"/>
          <w:szCs w:val="22"/>
        </w:rPr>
        <w:t xml:space="preserve">Apklausos rezultatai </w:t>
      </w:r>
      <w:r w:rsidR="00653CB6" w:rsidRPr="00640D24">
        <w:rPr>
          <w:rFonts w:cs="Times New Roman"/>
          <w:sz w:val="22"/>
          <w:szCs w:val="22"/>
        </w:rPr>
        <w:t xml:space="preserve">turėjo įtakos </w:t>
      </w:r>
      <w:r w:rsidR="004C001E" w:rsidRPr="00640D24">
        <w:rPr>
          <w:rFonts w:cs="Times New Roman"/>
          <w:sz w:val="22"/>
          <w:szCs w:val="22"/>
        </w:rPr>
        <w:t>nustatant</w:t>
      </w:r>
      <w:r w:rsidR="00B32A83" w:rsidRPr="00640D24">
        <w:rPr>
          <w:rFonts w:cs="Times New Roman"/>
          <w:sz w:val="22"/>
          <w:szCs w:val="22"/>
        </w:rPr>
        <w:t>,</w:t>
      </w:r>
      <w:r w:rsidR="004C001E" w:rsidRPr="00640D24">
        <w:rPr>
          <w:rFonts w:cs="Times New Roman"/>
          <w:sz w:val="22"/>
          <w:szCs w:val="22"/>
        </w:rPr>
        <w:t xml:space="preserve"> </w:t>
      </w:r>
      <w:r w:rsidR="005F42FA" w:rsidRPr="00640D24">
        <w:rPr>
          <w:rFonts w:eastAsia="Times New Roman" w:cs="Times New Roman"/>
          <w:color w:val="222222"/>
          <w:sz w:val="22"/>
          <w:szCs w:val="22"/>
          <w:lang w:eastAsia="lt-LT"/>
        </w:rPr>
        <w:t xml:space="preserve">kokia dalis SVV subjektų planuoja kreiptis dėl </w:t>
      </w:r>
      <w:r w:rsidR="00653CB6" w:rsidRPr="00640D24">
        <w:rPr>
          <w:rFonts w:eastAsia="Times New Roman" w:cs="Times New Roman"/>
          <w:color w:val="222222"/>
          <w:sz w:val="22"/>
          <w:szCs w:val="22"/>
          <w:lang w:eastAsia="lt-LT"/>
        </w:rPr>
        <w:t xml:space="preserve">išorės </w:t>
      </w:r>
      <w:r w:rsidR="005F42FA" w:rsidRPr="00640D24">
        <w:rPr>
          <w:rFonts w:eastAsia="Times New Roman" w:cs="Times New Roman"/>
          <w:color w:val="222222"/>
          <w:sz w:val="22"/>
          <w:szCs w:val="22"/>
          <w:lang w:eastAsia="lt-LT"/>
        </w:rPr>
        <w:t>finansavimo, kokioms veikloms SVV subjektai planuoja kreiptis finansavimo (investicijoms, apyvartinėms lėšoms, kt.), kokio dydžio</w:t>
      </w:r>
      <w:r w:rsidR="00653CB6" w:rsidRPr="00640D24">
        <w:rPr>
          <w:rFonts w:eastAsia="Times New Roman" w:cs="Times New Roman"/>
          <w:color w:val="222222"/>
          <w:sz w:val="22"/>
          <w:szCs w:val="22"/>
          <w:lang w:eastAsia="lt-LT"/>
        </w:rPr>
        <w:t xml:space="preserve"> </w:t>
      </w:r>
      <w:r w:rsidR="005F42FA" w:rsidRPr="00640D24">
        <w:rPr>
          <w:rFonts w:eastAsia="Times New Roman" w:cs="Times New Roman"/>
          <w:color w:val="222222"/>
          <w:sz w:val="22"/>
          <w:szCs w:val="22"/>
          <w:lang w:eastAsia="lt-LT"/>
        </w:rPr>
        <w:t>investicijas planuoja įgyvendinti</w:t>
      </w:r>
      <w:r w:rsidR="00653CB6" w:rsidRPr="00640D24">
        <w:rPr>
          <w:rFonts w:eastAsia="Times New Roman" w:cs="Times New Roman"/>
          <w:color w:val="222222"/>
          <w:sz w:val="22"/>
          <w:szCs w:val="22"/>
          <w:lang w:eastAsia="lt-LT"/>
        </w:rPr>
        <w:t>.</w:t>
      </w:r>
      <w:r w:rsidR="004C001E" w:rsidRPr="00640D24">
        <w:rPr>
          <w:rFonts w:eastAsia="Times New Roman" w:cs="Times New Roman"/>
          <w:color w:val="222222"/>
          <w:sz w:val="22"/>
          <w:szCs w:val="22"/>
          <w:lang w:eastAsia="lt-LT"/>
        </w:rPr>
        <w:t xml:space="preserve"> </w:t>
      </w:r>
    </w:p>
    <w:p w14:paraId="4BF792CE" w14:textId="299F106E" w:rsidR="00D40544" w:rsidRPr="00640D24" w:rsidRDefault="00D40544" w:rsidP="00160B10">
      <w:pPr>
        <w:pStyle w:val="Sraopastraipa"/>
        <w:numPr>
          <w:ilvl w:val="0"/>
          <w:numId w:val="17"/>
        </w:numPr>
        <w:spacing w:before="60" w:after="60" w:line="240" w:lineRule="auto"/>
        <w:jc w:val="both"/>
        <w:rPr>
          <w:rFonts w:cs="Times New Roman"/>
          <w:sz w:val="22"/>
          <w:szCs w:val="22"/>
        </w:rPr>
      </w:pPr>
      <w:r w:rsidRPr="00640D24">
        <w:rPr>
          <w:rFonts w:cs="Times New Roman"/>
          <w:sz w:val="22"/>
          <w:szCs w:val="22"/>
        </w:rPr>
        <w:lastRenderedPageBreak/>
        <w:t xml:space="preserve">Interviu su </w:t>
      </w:r>
      <w:r w:rsidR="002116A6" w:rsidRPr="00640D24">
        <w:rPr>
          <w:rFonts w:cs="Times New Roman"/>
          <w:sz w:val="22"/>
          <w:szCs w:val="22"/>
        </w:rPr>
        <w:t xml:space="preserve">7 </w:t>
      </w:r>
      <w:r w:rsidR="0059424C" w:rsidRPr="00640D24">
        <w:rPr>
          <w:rFonts w:cs="Times New Roman"/>
          <w:sz w:val="22"/>
          <w:szCs w:val="22"/>
        </w:rPr>
        <w:t>FT</w:t>
      </w:r>
      <w:r w:rsidRPr="00640D24">
        <w:rPr>
          <w:rFonts w:cs="Times New Roman"/>
          <w:sz w:val="22"/>
          <w:szCs w:val="22"/>
        </w:rPr>
        <w:t xml:space="preserve"> ir </w:t>
      </w:r>
      <w:r w:rsidR="002116A6" w:rsidRPr="00640D24">
        <w:rPr>
          <w:rFonts w:cs="Times New Roman"/>
          <w:sz w:val="22"/>
          <w:szCs w:val="22"/>
        </w:rPr>
        <w:t xml:space="preserve">2 </w:t>
      </w:r>
      <w:r w:rsidRPr="00640D24">
        <w:rPr>
          <w:rFonts w:cs="Times New Roman"/>
          <w:sz w:val="22"/>
          <w:szCs w:val="22"/>
        </w:rPr>
        <w:t>ministerijomis</w:t>
      </w:r>
      <w:r w:rsidR="0085262D" w:rsidRPr="00640D24">
        <w:rPr>
          <w:rFonts w:cs="Times New Roman"/>
          <w:sz w:val="22"/>
          <w:szCs w:val="22"/>
        </w:rPr>
        <w:t xml:space="preserve"> (</w:t>
      </w:r>
      <w:r w:rsidR="00590DBC" w:rsidRPr="00640D24">
        <w:rPr>
          <w:rFonts w:cs="Times New Roman"/>
          <w:sz w:val="22"/>
          <w:szCs w:val="22"/>
        </w:rPr>
        <w:t>EIM</w:t>
      </w:r>
      <w:r w:rsidR="0085262D" w:rsidRPr="00640D24">
        <w:rPr>
          <w:rFonts w:cs="Times New Roman"/>
          <w:sz w:val="22"/>
          <w:szCs w:val="22"/>
        </w:rPr>
        <w:t xml:space="preserve"> ir LR kultūros ministerija)</w:t>
      </w:r>
      <w:r w:rsidR="00653CB6" w:rsidRPr="00640D24">
        <w:rPr>
          <w:rFonts w:cs="Times New Roman"/>
          <w:sz w:val="22"/>
          <w:szCs w:val="22"/>
        </w:rPr>
        <w:t xml:space="preserve"> padėjo įvertinti investicijų paklausą ir </w:t>
      </w:r>
      <w:r w:rsidR="00BB0254" w:rsidRPr="00640D24">
        <w:rPr>
          <w:rFonts w:cs="Times New Roman"/>
          <w:sz w:val="22"/>
          <w:szCs w:val="22"/>
        </w:rPr>
        <w:t xml:space="preserve">įvertinti </w:t>
      </w:r>
      <w:r w:rsidR="00653CB6" w:rsidRPr="00640D24">
        <w:rPr>
          <w:rFonts w:cs="Times New Roman"/>
          <w:sz w:val="22"/>
          <w:szCs w:val="22"/>
        </w:rPr>
        <w:t>FP pritaikomumą (aktualu 3 skyriuje).</w:t>
      </w:r>
    </w:p>
    <w:p w14:paraId="13281A08" w14:textId="458949EC" w:rsidR="005F42FA" w:rsidRPr="00640D24" w:rsidRDefault="00817C19" w:rsidP="00160B10">
      <w:pPr>
        <w:pStyle w:val="Sraopastraipa"/>
        <w:numPr>
          <w:ilvl w:val="0"/>
          <w:numId w:val="17"/>
        </w:numPr>
        <w:spacing w:before="60" w:after="60" w:line="240" w:lineRule="auto"/>
        <w:jc w:val="both"/>
        <w:rPr>
          <w:rFonts w:cs="Times New Roman"/>
          <w:sz w:val="22"/>
          <w:szCs w:val="22"/>
        </w:rPr>
      </w:pPr>
      <w:r w:rsidRPr="00640D24">
        <w:rPr>
          <w:rFonts w:cs="Times New Roman"/>
          <w:sz w:val="22"/>
          <w:szCs w:val="22"/>
        </w:rPr>
        <w:t>Pirminių šaltinių analizė</w:t>
      </w:r>
      <w:r w:rsidR="00653CB6" w:rsidRPr="00640D24">
        <w:rPr>
          <w:rFonts w:cs="Times New Roman"/>
          <w:sz w:val="22"/>
          <w:szCs w:val="22"/>
        </w:rPr>
        <w:t xml:space="preserve"> (</w:t>
      </w:r>
      <w:r w:rsidRPr="00640D24">
        <w:rPr>
          <w:rFonts w:cs="Times New Roman"/>
          <w:sz w:val="22"/>
          <w:szCs w:val="22"/>
        </w:rPr>
        <w:t>Statistikos departamento</w:t>
      </w:r>
      <w:r w:rsidR="00653CB6" w:rsidRPr="00640D24">
        <w:rPr>
          <w:rFonts w:cs="Times New Roman"/>
          <w:sz w:val="22"/>
          <w:szCs w:val="22"/>
        </w:rPr>
        <w:t>, Lietuvos banko ir kt.</w:t>
      </w:r>
      <w:r w:rsidRPr="00640D24">
        <w:rPr>
          <w:rFonts w:cs="Times New Roman"/>
          <w:sz w:val="22"/>
          <w:szCs w:val="22"/>
        </w:rPr>
        <w:t xml:space="preserve"> duomenys</w:t>
      </w:r>
      <w:r w:rsidR="00653CB6" w:rsidRPr="00640D24">
        <w:rPr>
          <w:rFonts w:cs="Times New Roman"/>
          <w:sz w:val="22"/>
          <w:szCs w:val="22"/>
        </w:rPr>
        <w:t>)</w:t>
      </w:r>
      <w:r w:rsidRPr="00640D24">
        <w:rPr>
          <w:rFonts w:cs="Times New Roman"/>
          <w:sz w:val="22"/>
          <w:szCs w:val="22"/>
        </w:rPr>
        <w:t>.</w:t>
      </w:r>
      <w:r w:rsidR="005F42FA" w:rsidRPr="00640D24">
        <w:rPr>
          <w:rFonts w:cs="Times New Roman"/>
          <w:sz w:val="22"/>
          <w:szCs w:val="22"/>
        </w:rPr>
        <w:t xml:space="preserve"> Atlikta pirminių šaltinių analizė padėjo nustatyti MVĮ skaičių</w:t>
      </w:r>
      <w:r w:rsidR="0077018C" w:rsidRPr="00640D24">
        <w:rPr>
          <w:rFonts w:cs="Times New Roman"/>
          <w:sz w:val="22"/>
          <w:szCs w:val="22"/>
        </w:rPr>
        <w:t>,</w:t>
      </w:r>
      <w:r w:rsidR="005F42FA" w:rsidRPr="00640D24">
        <w:rPr>
          <w:rFonts w:cs="Times New Roman"/>
          <w:sz w:val="22"/>
          <w:szCs w:val="22"/>
        </w:rPr>
        <w:t xml:space="preserve"> veikiančių tam tikruose regionuose. </w:t>
      </w:r>
      <w:r w:rsidR="00653CB6" w:rsidRPr="00640D24">
        <w:rPr>
          <w:rFonts w:cs="Times New Roman"/>
          <w:sz w:val="22"/>
          <w:szCs w:val="22"/>
        </w:rPr>
        <w:t xml:space="preserve">Taip pat, remiantis pirminiais duomenimis buvo nustatomi </w:t>
      </w:r>
      <w:r w:rsidR="0077018C" w:rsidRPr="00640D24">
        <w:rPr>
          <w:rFonts w:cs="Times New Roman"/>
          <w:sz w:val="22"/>
          <w:szCs w:val="22"/>
        </w:rPr>
        <w:t>konkrečių</w:t>
      </w:r>
      <w:r w:rsidR="00653CB6" w:rsidRPr="00640D24">
        <w:rPr>
          <w:rFonts w:cs="Times New Roman"/>
          <w:sz w:val="22"/>
          <w:szCs w:val="22"/>
        </w:rPr>
        <w:t xml:space="preserve"> rodiklių augimo </w:t>
      </w:r>
      <w:r w:rsidR="00CD129B" w:rsidRPr="00640D24">
        <w:rPr>
          <w:rFonts w:cs="Times New Roman"/>
          <w:sz w:val="22"/>
          <w:szCs w:val="22"/>
        </w:rPr>
        <w:t>koeficientai</w:t>
      </w:r>
      <w:r w:rsidR="004C001E" w:rsidRPr="00640D24">
        <w:rPr>
          <w:rFonts w:cs="Times New Roman"/>
          <w:sz w:val="22"/>
          <w:szCs w:val="22"/>
        </w:rPr>
        <w:t>, pvz.: išlaidų MTEP veikloms</w:t>
      </w:r>
      <w:r w:rsidR="00653CB6" w:rsidRPr="00640D24">
        <w:rPr>
          <w:rFonts w:cs="Times New Roman"/>
          <w:sz w:val="22"/>
          <w:szCs w:val="22"/>
        </w:rPr>
        <w:t>. Pirminių šaltinių duomenys buvo naudojami</w:t>
      </w:r>
      <w:r w:rsidR="005F42FA" w:rsidRPr="00640D24">
        <w:rPr>
          <w:rFonts w:cs="Times New Roman"/>
          <w:sz w:val="22"/>
          <w:szCs w:val="22"/>
        </w:rPr>
        <w:t xml:space="preserve"> siekiant įvertinti visų veiklų finansavimo poreikį.</w:t>
      </w:r>
    </w:p>
    <w:p w14:paraId="088F1D71" w14:textId="01961D12" w:rsidR="00392633" w:rsidRPr="00640D24" w:rsidRDefault="00817C19" w:rsidP="00160B10">
      <w:pPr>
        <w:pStyle w:val="Sraopastraipa"/>
        <w:numPr>
          <w:ilvl w:val="0"/>
          <w:numId w:val="17"/>
        </w:numPr>
        <w:spacing w:before="60" w:after="60" w:line="240" w:lineRule="auto"/>
        <w:jc w:val="both"/>
        <w:rPr>
          <w:rFonts w:cs="Times New Roman"/>
          <w:sz w:val="22"/>
          <w:szCs w:val="22"/>
        </w:rPr>
      </w:pPr>
      <w:r w:rsidRPr="00640D24">
        <w:rPr>
          <w:rFonts w:cs="Times New Roman"/>
          <w:sz w:val="22"/>
          <w:szCs w:val="22"/>
        </w:rPr>
        <w:t>Antrinių šaltinių, tokių kaip užsienio studijų</w:t>
      </w:r>
      <w:r w:rsidR="00392633" w:rsidRPr="00640D24">
        <w:rPr>
          <w:rFonts w:cs="Times New Roman"/>
          <w:sz w:val="22"/>
          <w:szCs w:val="22"/>
        </w:rPr>
        <w:t>, rinkos tyrim</w:t>
      </w:r>
      <w:r w:rsidRPr="00640D24">
        <w:rPr>
          <w:rFonts w:cs="Times New Roman"/>
          <w:sz w:val="22"/>
          <w:szCs w:val="22"/>
        </w:rPr>
        <w:t>ų,</w:t>
      </w:r>
      <w:r w:rsidR="00392633" w:rsidRPr="00640D24">
        <w:rPr>
          <w:rFonts w:cs="Times New Roman"/>
          <w:sz w:val="22"/>
          <w:szCs w:val="22"/>
        </w:rPr>
        <w:t xml:space="preserve"> anksčiau </w:t>
      </w:r>
      <w:r w:rsidRPr="00640D24">
        <w:rPr>
          <w:rFonts w:cs="Times New Roman"/>
          <w:sz w:val="22"/>
          <w:szCs w:val="22"/>
        </w:rPr>
        <w:t>atliktų apklausų, analizė</w:t>
      </w:r>
      <w:r w:rsidR="00BB0254" w:rsidRPr="00640D24">
        <w:rPr>
          <w:rFonts w:cs="Times New Roman"/>
          <w:sz w:val="22"/>
          <w:szCs w:val="22"/>
        </w:rPr>
        <w:t xml:space="preserve"> padėjo įvertinti investicijų paklausą ir finansavimo trūkumą bei palyginti kitais metodais gautus duomenis</w:t>
      </w:r>
      <w:r w:rsidR="00BB0254" w:rsidRPr="00640D24" w:rsidDel="00BB0254">
        <w:rPr>
          <w:rFonts w:cs="Times New Roman"/>
          <w:sz w:val="22"/>
          <w:szCs w:val="22"/>
        </w:rPr>
        <w:t xml:space="preserve"> </w:t>
      </w:r>
      <w:r w:rsidR="00BB0254" w:rsidRPr="00640D24">
        <w:rPr>
          <w:rFonts w:cs="Times New Roman"/>
          <w:sz w:val="22"/>
          <w:szCs w:val="22"/>
        </w:rPr>
        <w:t>su atliktomis studijomis.</w:t>
      </w:r>
    </w:p>
    <w:p w14:paraId="01EA9D2F" w14:textId="71D2C02B" w:rsidR="005460CB" w:rsidRPr="00640D24" w:rsidRDefault="005F42FA" w:rsidP="00160B10">
      <w:pPr>
        <w:pStyle w:val="Sraopastraipa"/>
        <w:numPr>
          <w:ilvl w:val="0"/>
          <w:numId w:val="17"/>
        </w:numPr>
        <w:spacing w:before="60" w:after="60" w:line="240" w:lineRule="auto"/>
        <w:jc w:val="both"/>
        <w:rPr>
          <w:rFonts w:cs="Times New Roman"/>
          <w:sz w:val="22"/>
          <w:szCs w:val="22"/>
        </w:rPr>
      </w:pPr>
      <w:r w:rsidRPr="00640D24">
        <w:rPr>
          <w:rFonts w:cs="Times New Roman"/>
          <w:sz w:val="22"/>
          <w:szCs w:val="22"/>
        </w:rPr>
        <w:t>Retrospektyvinė pateiktų paraiškų analizė pagal duomenis</w:t>
      </w:r>
      <w:r w:rsidR="0085262D" w:rsidRPr="00640D24">
        <w:rPr>
          <w:rFonts w:cs="Times New Roman"/>
          <w:sz w:val="22"/>
          <w:szCs w:val="22"/>
        </w:rPr>
        <w:t>,</w:t>
      </w:r>
      <w:r w:rsidRPr="00640D24">
        <w:rPr>
          <w:rFonts w:cs="Times New Roman"/>
          <w:sz w:val="22"/>
          <w:szCs w:val="22"/>
        </w:rPr>
        <w:t xml:space="preserve"> prieinamus </w:t>
      </w:r>
      <w:proofErr w:type="spellStart"/>
      <w:r w:rsidRPr="00640D24">
        <w:rPr>
          <w:rFonts w:cs="Times New Roman"/>
          <w:i/>
          <w:iCs/>
          <w:sz w:val="22"/>
          <w:szCs w:val="22"/>
        </w:rPr>
        <w:t>esinvesticijos.lt</w:t>
      </w:r>
      <w:proofErr w:type="spellEnd"/>
      <w:r w:rsidRPr="00640D24">
        <w:rPr>
          <w:rFonts w:cs="Times New Roman"/>
          <w:i/>
          <w:iCs/>
          <w:sz w:val="22"/>
          <w:szCs w:val="22"/>
        </w:rPr>
        <w:t>.</w:t>
      </w:r>
      <w:r w:rsidRPr="00640D24">
        <w:rPr>
          <w:rFonts w:cs="Times New Roman"/>
          <w:sz w:val="22"/>
          <w:szCs w:val="22"/>
        </w:rPr>
        <w:t xml:space="preserve"> Analizė </w:t>
      </w:r>
      <w:r w:rsidR="00653CB6" w:rsidRPr="00640D24">
        <w:rPr>
          <w:rFonts w:cs="Times New Roman"/>
          <w:sz w:val="22"/>
          <w:szCs w:val="22"/>
        </w:rPr>
        <w:t>buvo atliekama vertinant du aspektus:</w:t>
      </w:r>
    </w:p>
    <w:p w14:paraId="58426519" w14:textId="77777777" w:rsidR="00301F1F" w:rsidRPr="00640D24" w:rsidRDefault="00301F1F" w:rsidP="00301F1F">
      <w:pPr>
        <w:pStyle w:val="Sraopastraipa"/>
        <w:numPr>
          <w:ilvl w:val="1"/>
          <w:numId w:val="17"/>
        </w:numPr>
        <w:spacing w:before="60" w:after="60" w:line="240" w:lineRule="auto"/>
        <w:jc w:val="both"/>
        <w:rPr>
          <w:rFonts w:cs="Times New Roman"/>
          <w:sz w:val="22"/>
          <w:szCs w:val="22"/>
        </w:rPr>
      </w:pPr>
      <w:proofErr w:type="spellStart"/>
      <w:r w:rsidRPr="00640D24">
        <w:rPr>
          <w:rFonts w:cs="Times New Roman"/>
          <w:sz w:val="22"/>
          <w:szCs w:val="22"/>
        </w:rPr>
        <w:t>Regioniškumą</w:t>
      </w:r>
      <w:proofErr w:type="spellEnd"/>
      <w:r w:rsidRPr="00640D24">
        <w:rPr>
          <w:rFonts w:cs="Times New Roman"/>
          <w:sz w:val="22"/>
          <w:szCs w:val="22"/>
        </w:rPr>
        <w:t xml:space="preserve">: buvo atlikta pateiktų paraiškų analizė, atsižvelgiant į atskiras Vertinime analizuojamas verslo finansavimo veiklas ir aktualius regionus. Vertinimo metu buvo atlikta ~2 tūkst. paraiškų analizė, išskiriant investicijas vykdomas Sostinės regione ir Vidurio ir Vakarų Lietuvos regione. </w:t>
      </w:r>
    </w:p>
    <w:p w14:paraId="31945343" w14:textId="2553BF73" w:rsidR="00301F1F" w:rsidRPr="00640D24" w:rsidRDefault="00301F1F" w:rsidP="00301F1F">
      <w:pPr>
        <w:pStyle w:val="Sraopastraipa"/>
        <w:numPr>
          <w:ilvl w:val="1"/>
          <w:numId w:val="17"/>
        </w:numPr>
        <w:spacing w:before="60" w:after="60" w:line="240" w:lineRule="auto"/>
        <w:jc w:val="both"/>
        <w:rPr>
          <w:rFonts w:cs="Times New Roman"/>
          <w:sz w:val="22"/>
          <w:szCs w:val="22"/>
        </w:rPr>
      </w:pPr>
      <w:r w:rsidRPr="00640D24">
        <w:rPr>
          <w:rFonts w:cs="Times New Roman"/>
          <w:sz w:val="22"/>
          <w:szCs w:val="22"/>
        </w:rPr>
        <w:t xml:space="preserve">Duomenų lygiagretumą. Gauti duomenys padėjo įvertinti paklausą skirtingoms Vertinime analizuojamoms veikloms. Ši analizė buvo vertinga </w:t>
      </w:r>
      <w:proofErr w:type="spellStart"/>
      <w:r w:rsidRPr="00640D24">
        <w:rPr>
          <w:rFonts w:cs="Times New Roman"/>
          <w:sz w:val="22"/>
          <w:szCs w:val="22"/>
        </w:rPr>
        <w:t>sulygiagretinant</w:t>
      </w:r>
      <w:proofErr w:type="spellEnd"/>
      <w:r w:rsidRPr="00640D24">
        <w:rPr>
          <w:rFonts w:cs="Times New Roman"/>
          <w:sz w:val="22"/>
          <w:szCs w:val="22"/>
        </w:rPr>
        <w:t xml:space="preserve"> kitų metodų būdu gautą finansavimo poreikį 2021–2027 m. </w:t>
      </w:r>
      <w:r w:rsidR="003E1154" w:rsidRPr="00640D24">
        <w:rPr>
          <w:rFonts w:cs="Times New Roman"/>
          <w:sz w:val="22"/>
          <w:szCs w:val="22"/>
        </w:rPr>
        <w:t xml:space="preserve">ES SF programavimo laikotarpiu </w:t>
      </w:r>
      <w:r w:rsidRPr="00640D24">
        <w:rPr>
          <w:rFonts w:cs="Times New Roman"/>
          <w:sz w:val="22"/>
          <w:szCs w:val="22"/>
        </w:rPr>
        <w:t>su ankstesne patirtimi.</w:t>
      </w:r>
    </w:p>
    <w:p w14:paraId="1B79194C" w14:textId="2B4B9EA7" w:rsidR="00E64FE9" w:rsidRPr="00640D24" w:rsidRDefault="00E64FE9" w:rsidP="00E64FE9">
      <w:pPr>
        <w:pStyle w:val="Sraopastraipa"/>
        <w:numPr>
          <w:ilvl w:val="0"/>
          <w:numId w:val="17"/>
        </w:numPr>
        <w:spacing w:before="60" w:after="60" w:line="240" w:lineRule="auto"/>
        <w:jc w:val="both"/>
        <w:rPr>
          <w:rFonts w:cs="Times New Roman"/>
          <w:sz w:val="22"/>
          <w:szCs w:val="22"/>
        </w:rPr>
      </w:pPr>
      <w:r w:rsidRPr="00640D24">
        <w:rPr>
          <w:rFonts w:cs="Times New Roman"/>
          <w:sz w:val="22"/>
          <w:szCs w:val="22"/>
        </w:rPr>
        <w:t>2023</w:t>
      </w:r>
      <w:r w:rsidR="00323F90" w:rsidRPr="00640D24">
        <w:rPr>
          <w:rFonts w:cs="Times New Roman"/>
          <w:sz w:val="22"/>
          <w:szCs w:val="22"/>
        </w:rPr>
        <w:t xml:space="preserve"> m.</w:t>
      </w:r>
      <w:r w:rsidRPr="00640D24">
        <w:rPr>
          <w:rFonts w:cs="Times New Roman"/>
          <w:sz w:val="22"/>
          <w:szCs w:val="22"/>
        </w:rPr>
        <w:t xml:space="preserve"> birželio–liepos mėn. Vertintojų užsakymu tyrimų bendrovė „Norstat“ atliko MVĮ ir DĮ apklausą, siekiant identifikuoti suplanuotų investicijų mastą ir poreikį pažangių gamybos technologijų vystymo ir diegimo ir pramonės transformacijos skatinimo, pereinant prie klimatui neutralios gamybos, tikslinėse srityse. </w:t>
      </w:r>
    </w:p>
    <w:p w14:paraId="600BFEE8" w14:textId="110E523A" w:rsidR="00E64FE9" w:rsidRPr="00640D24" w:rsidRDefault="00E64FE9" w:rsidP="00E64FE9">
      <w:pPr>
        <w:pStyle w:val="Sraopastraipa"/>
        <w:numPr>
          <w:ilvl w:val="0"/>
          <w:numId w:val="17"/>
        </w:numPr>
        <w:spacing w:before="60" w:after="60" w:line="240" w:lineRule="auto"/>
        <w:jc w:val="both"/>
        <w:rPr>
          <w:rFonts w:cs="Times New Roman"/>
          <w:sz w:val="22"/>
          <w:szCs w:val="22"/>
        </w:rPr>
      </w:pPr>
      <w:r w:rsidRPr="00640D24">
        <w:rPr>
          <w:rFonts w:cs="Times New Roman"/>
          <w:sz w:val="22"/>
          <w:szCs w:val="22"/>
        </w:rPr>
        <w:t>2023</w:t>
      </w:r>
      <w:r w:rsidR="00323F90" w:rsidRPr="00640D24">
        <w:rPr>
          <w:rFonts w:cs="Times New Roman"/>
          <w:sz w:val="22"/>
          <w:szCs w:val="22"/>
        </w:rPr>
        <w:t xml:space="preserve"> m.</w:t>
      </w:r>
      <w:r w:rsidRPr="00640D24">
        <w:rPr>
          <w:rFonts w:cs="Times New Roman"/>
          <w:sz w:val="22"/>
          <w:szCs w:val="22"/>
        </w:rPr>
        <w:t xml:space="preserve"> birželio–liepos mėn. Vertintojai atliko biotechnologijų ir gynybos ir sau</w:t>
      </w:r>
      <w:r w:rsidR="005A478E" w:rsidRPr="00640D24">
        <w:rPr>
          <w:rFonts w:cs="Times New Roman"/>
          <w:sz w:val="22"/>
          <w:szCs w:val="22"/>
        </w:rPr>
        <w:t>gumo sektoriaus įmonių apklausą</w:t>
      </w:r>
      <w:r w:rsidRPr="00640D24">
        <w:rPr>
          <w:rFonts w:cs="Times New Roman"/>
          <w:sz w:val="22"/>
          <w:szCs w:val="22"/>
        </w:rPr>
        <w:t xml:space="preserve">. Turimų atsakymų skaičius neleido užtikrinti 5 proc. atsakymų paklaidą prie 95 proc. patikimumo lygio. Vis dėlto, apklausos rezultatai suteikė bendrinių kokybinių įžvalgų dėl investicijų poreikio biotechnologijų ir gynybos ir saugumo sektoriaus įmonių segmente. 2023 rugsėjo mėn. Vertintojai pakartotinai atliko biotechnologijų sektoriaus įmonių apklausą. </w:t>
      </w:r>
    </w:p>
    <w:p w14:paraId="54C13FBA" w14:textId="11E775A8" w:rsidR="00E64FE9" w:rsidRPr="00640D24" w:rsidRDefault="00E64FE9" w:rsidP="00E64FE9">
      <w:pPr>
        <w:pStyle w:val="Sraopastraipa"/>
        <w:numPr>
          <w:ilvl w:val="0"/>
          <w:numId w:val="17"/>
        </w:numPr>
        <w:spacing w:before="60" w:after="60" w:line="240" w:lineRule="auto"/>
        <w:jc w:val="both"/>
        <w:rPr>
          <w:rFonts w:cs="Times New Roman"/>
          <w:sz w:val="22"/>
          <w:szCs w:val="22"/>
        </w:rPr>
      </w:pPr>
      <w:r w:rsidRPr="00640D24">
        <w:rPr>
          <w:rFonts w:cs="Times New Roman"/>
          <w:sz w:val="22"/>
          <w:szCs w:val="22"/>
        </w:rPr>
        <w:t>2023 m. liepos mėn. Vertintojai atliko Lietuvos pramoninkų konfederacijos atstovų ir narių apklausą. Respondentams buvo išsiųsta identiška apklaus</w:t>
      </w:r>
      <w:r w:rsidR="001C0257" w:rsidRPr="00640D24">
        <w:rPr>
          <w:rFonts w:cs="Times New Roman"/>
          <w:sz w:val="22"/>
          <w:szCs w:val="22"/>
        </w:rPr>
        <w:t>a</w:t>
      </w:r>
      <w:r w:rsidRPr="00640D24">
        <w:rPr>
          <w:rFonts w:cs="Times New Roman"/>
          <w:sz w:val="22"/>
          <w:szCs w:val="22"/>
        </w:rPr>
        <w:t>, kurią 2023 m. birželio–liepos mėn. atliko UAB „Norstat“ apklausiant 49 DĮ. Atlikta Lietuvos pramoninkų konfederacijos atstovų ir narių apklausa leido kokybinėmis įžvalgom</w:t>
      </w:r>
      <w:r w:rsidR="001C0257" w:rsidRPr="00640D24">
        <w:rPr>
          <w:rFonts w:cs="Times New Roman"/>
          <w:sz w:val="22"/>
          <w:szCs w:val="22"/>
        </w:rPr>
        <w:t>is</w:t>
      </w:r>
      <w:r w:rsidRPr="00640D24">
        <w:rPr>
          <w:rFonts w:cs="Times New Roman"/>
          <w:sz w:val="22"/>
          <w:szCs w:val="22"/>
        </w:rPr>
        <w:t xml:space="preserve"> ir papildoma kiekybine informacija sustiprinti DĮ įmonių apklausą.</w:t>
      </w:r>
    </w:p>
    <w:p w14:paraId="36816A2C" w14:textId="40739655" w:rsidR="000C5F05" w:rsidRPr="00640D24" w:rsidRDefault="00301F1F" w:rsidP="008409F1">
      <w:pPr>
        <w:pStyle w:val="Sraopastraipa"/>
        <w:numPr>
          <w:ilvl w:val="0"/>
          <w:numId w:val="17"/>
        </w:numPr>
        <w:spacing w:before="60" w:after="60" w:line="240" w:lineRule="auto"/>
        <w:jc w:val="both"/>
        <w:rPr>
          <w:rFonts w:cs="Times New Roman"/>
          <w:sz w:val="22"/>
          <w:szCs w:val="22"/>
        </w:rPr>
      </w:pPr>
      <w:r w:rsidRPr="00640D24">
        <w:rPr>
          <w:rFonts w:cs="Times New Roman"/>
          <w:sz w:val="22"/>
          <w:szCs w:val="22"/>
        </w:rPr>
        <w:t>Interviu su 3 FT, 3 su asociacij</w:t>
      </w:r>
      <w:r w:rsidR="001563FB" w:rsidRPr="00640D24">
        <w:rPr>
          <w:rFonts w:cs="Times New Roman"/>
          <w:sz w:val="22"/>
          <w:szCs w:val="22"/>
        </w:rPr>
        <w:t>omis</w:t>
      </w:r>
      <w:r w:rsidRPr="00640D24">
        <w:rPr>
          <w:rFonts w:cs="Times New Roman"/>
          <w:sz w:val="22"/>
          <w:szCs w:val="22"/>
        </w:rPr>
        <w:t xml:space="preserve">, 7 su pramonės įmonėmis, padėjo įvertinti investicijų paklausą ir įvertinti FP pritaikomumą. </w:t>
      </w:r>
    </w:p>
    <w:p w14:paraId="6F4D3C7B" w14:textId="07A56FC8" w:rsidR="0085262D" w:rsidRPr="00640D24" w:rsidRDefault="009F15E5" w:rsidP="007E4A40">
      <w:pPr>
        <w:spacing w:before="60" w:after="60" w:line="240" w:lineRule="auto"/>
        <w:ind w:firstLine="567"/>
        <w:jc w:val="both"/>
        <w:rPr>
          <w:rFonts w:cs="Times New Roman"/>
          <w:sz w:val="22"/>
          <w:szCs w:val="22"/>
        </w:rPr>
      </w:pPr>
      <w:r w:rsidRPr="00640D24">
        <w:rPr>
          <w:rFonts w:cs="Times New Roman"/>
          <w:sz w:val="22"/>
          <w:szCs w:val="22"/>
        </w:rPr>
        <w:t>Kiek</w:t>
      </w:r>
      <w:r w:rsidR="0085262D" w:rsidRPr="00640D24">
        <w:rPr>
          <w:rFonts w:cs="Times New Roman"/>
          <w:sz w:val="22"/>
          <w:szCs w:val="22"/>
        </w:rPr>
        <w:t>vienos iš planuojamų įgyvendinti veiklų kontekste investicijų paklausos skaičiavimo metodai ir priemonės</w:t>
      </w:r>
      <w:r w:rsidRPr="00640D24">
        <w:rPr>
          <w:rFonts w:cs="Times New Roman"/>
          <w:sz w:val="22"/>
          <w:szCs w:val="22"/>
        </w:rPr>
        <w:t xml:space="preserve"> šiek tiek</w:t>
      </w:r>
      <w:r w:rsidR="0085262D" w:rsidRPr="00640D24">
        <w:rPr>
          <w:rFonts w:cs="Times New Roman"/>
          <w:sz w:val="22"/>
          <w:szCs w:val="22"/>
        </w:rPr>
        <w:t xml:space="preserve"> kito, </w:t>
      </w:r>
      <w:r w:rsidRPr="00640D24">
        <w:rPr>
          <w:rFonts w:cs="Times New Roman"/>
          <w:sz w:val="22"/>
          <w:szCs w:val="22"/>
        </w:rPr>
        <w:t xml:space="preserve">tačiau metodika liko tokia pati. </w:t>
      </w:r>
    </w:p>
    <w:p w14:paraId="27C48FA0" w14:textId="0087C53B" w:rsidR="00197C2C" w:rsidRPr="00640D24" w:rsidRDefault="00AF3726" w:rsidP="007E5DB7">
      <w:pPr>
        <w:pStyle w:val="Antrat3"/>
        <w:spacing w:before="120"/>
      </w:pPr>
      <w:bookmarkStart w:id="46" w:name="_Toc146812387"/>
      <w:bookmarkStart w:id="47" w:name="_Toc57307044"/>
      <w:bookmarkStart w:id="48" w:name="_Hlk56088967"/>
      <w:r w:rsidRPr="00640D24">
        <w:t>2.3.</w:t>
      </w:r>
      <w:r w:rsidR="00B769AD" w:rsidRPr="00640D24">
        <w:t>1</w:t>
      </w:r>
      <w:r w:rsidRPr="00640D24">
        <w:t xml:space="preserve">. </w:t>
      </w:r>
      <w:r w:rsidR="00494BBB" w:rsidRPr="00640D24">
        <w:t xml:space="preserve">SVV subjektų kūrimasis, augimas bei </w:t>
      </w:r>
      <w:proofErr w:type="spellStart"/>
      <w:r w:rsidR="00B442C5" w:rsidRPr="00640D24">
        <w:t>s</w:t>
      </w:r>
      <w:r w:rsidR="00197C2C" w:rsidRPr="00640D24">
        <w:t>tartuolių</w:t>
      </w:r>
      <w:proofErr w:type="spellEnd"/>
      <w:r w:rsidR="00197C2C" w:rsidRPr="00640D24">
        <w:t xml:space="preserve"> vystymas</w:t>
      </w:r>
      <w:r w:rsidR="00F20BFF" w:rsidRPr="00640D24">
        <w:t>,</w:t>
      </w:r>
      <w:r w:rsidR="00197C2C" w:rsidRPr="00640D24">
        <w:t xml:space="preserve"> </w:t>
      </w:r>
      <w:proofErr w:type="spellStart"/>
      <w:r w:rsidR="00197C2C" w:rsidRPr="00640D24">
        <w:t>akceleravimas</w:t>
      </w:r>
      <w:proofErr w:type="spellEnd"/>
      <w:r w:rsidR="00F20BFF" w:rsidRPr="00640D24">
        <w:t xml:space="preserve"> ir plėtra</w:t>
      </w:r>
      <w:bookmarkEnd w:id="46"/>
      <w:r w:rsidR="00F20BFF" w:rsidRPr="00640D24">
        <w:t xml:space="preserve"> </w:t>
      </w:r>
      <w:bookmarkEnd w:id="47"/>
    </w:p>
    <w:bookmarkEnd w:id="48"/>
    <w:p w14:paraId="122D6EE1" w14:textId="2C443838" w:rsidR="001E354A" w:rsidRPr="00640D24" w:rsidRDefault="00B32A83" w:rsidP="001B2ECC">
      <w:pPr>
        <w:spacing w:before="120" w:after="120" w:line="240" w:lineRule="auto"/>
        <w:jc w:val="both"/>
        <w:rPr>
          <w:rFonts w:cs="Times New Roman"/>
          <w:i/>
          <w:iCs/>
          <w:sz w:val="22"/>
          <w:szCs w:val="22"/>
        </w:rPr>
      </w:pPr>
      <w:r w:rsidRPr="00640D24">
        <w:rPr>
          <w:rFonts w:cs="Times New Roman"/>
          <w:i/>
          <w:iCs/>
          <w:sz w:val="22"/>
          <w:szCs w:val="22"/>
        </w:rPr>
        <w:t>Investicijų paklaus</w:t>
      </w:r>
      <w:r w:rsidR="0085262D" w:rsidRPr="00640D24">
        <w:rPr>
          <w:rFonts w:cs="Times New Roman"/>
          <w:i/>
          <w:iCs/>
          <w:sz w:val="22"/>
          <w:szCs w:val="22"/>
        </w:rPr>
        <w:t>os analizė</w:t>
      </w:r>
    </w:p>
    <w:p w14:paraId="0FC91801" w14:textId="456ECFC3" w:rsidR="001A0BAA" w:rsidRPr="00640D24" w:rsidRDefault="009F15E5" w:rsidP="00170B5F">
      <w:pPr>
        <w:autoSpaceDE w:val="0"/>
        <w:autoSpaceDN w:val="0"/>
        <w:adjustRightInd w:val="0"/>
        <w:spacing w:before="60" w:after="60" w:line="240" w:lineRule="auto"/>
        <w:ind w:firstLine="567"/>
        <w:jc w:val="both"/>
        <w:rPr>
          <w:rFonts w:cs="Times New Roman"/>
          <w:sz w:val="22"/>
          <w:szCs w:val="22"/>
        </w:rPr>
      </w:pPr>
      <w:r w:rsidRPr="00640D24">
        <w:rPr>
          <w:rFonts w:cs="Times New Roman"/>
          <w:noProof/>
          <w:lang w:eastAsia="lt-LT"/>
        </w:rPr>
        <w:lastRenderedPageBreak/>
        <mc:AlternateContent>
          <mc:Choice Requires="wps">
            <w:drawing>
              <wp:anchor distT="0" distB="0" distL="114300" distR="114300" simplePos="0" relativeHeight="251658246" behindDoc="0" locked="0" layoutInCell="1" allowOverlap="1" wp14:anchorId="3A2D285F" wp14:editId="60C93106">
                <wp:simplePos x="0" y="0"/>
                <wp:positionH relativeFrom="margin">
                  <wp:posOffset>-3175</wp:posOffset>
                </wp:positionH>
                <wp:positionV relativeFrom="paragraph">
                  <wp:posOffset>2545863</wp:posOffset>
                </wp:positionV>
                <wp:extent cx="6115685" cy="225425"/>
                <wp:effectExtent l="0" t="0" r="0" b="3175"/>
                <wp:wrapTight wrapText="bothSides">
                  <wp:wrapPolygon edited="0">
                    <wp:start x="0" y="0"/>
                    <wp:lineTo x="0" y="20079"/>
                    <wp:lineTo x="21530" y="20079"/>
                    <wp:lineTo x="21530" y="0"/>
                    <wp:lineTo x="0" y="0"/>
                  </wp:wrapPolygon>
                </wp:wrapTight>
                <wp:docPr id="21" name="Text Box 21"/>
                <wp:cNvGraphicFramePr/>
                <a:graphic xmlns:a="http://schemas.openxmlformats.org/drawingml/2006/main">
                  <a:graphicData uri="http://schemas.microsoft.com/office/word/2010/wordprocessingShape">
                    <wps:wsp>
                      <wps:cNvSpPr txBox="1"/>
                      <wps:spPr>
                        <a:xfrm>
                          <a:off x="0" y="0"/>
                          <a:ext cx="6115685" cy="225425"/>
                        </a:xfrm>
                        <a:prstGeom prst="rect">
                          <a:avLst/>
                        </a:prstGeom>
                        <a:solidFill>
                          <a:prstClr val="white"/>
                        </a:solidFill>
                        <a:ln>
                          <a:noFill/>
                        </a:ln>
                      </wps:spPr>
                      <wps:txbx>
                        <w:txbxContent>
                          <w:p w14:paraId="3609C0F5" w14:textId="0C8DAA5B" w:rsidR="00EC688C" w:rsidRPr="00C544DD" w:rsidRDefault="00EC688C" w:rsidP="001A0BAA">
                            <w:pPr>
                              <w:pStyle w:val="Antrat"/>
                              <w:ind w:firstLine="0"/>
                              <w:jc w:val="both"/>
                              <w:rPr>
                                <w:b w:val="0"/>
                                <w:bCs w:val="0"/>
                                <w:i/>
                                <w:iCs/>
                                <w:color w:val="auto"/>
                                <w:sz w:val="18"/>
                                <w:szCs w:val="22"/>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3</w:t>
                            </w:r>
                            <w:r w:rsidRPr="00C544DD">
                              <w:rPr>
                                <w:b w:val="0"/>
                                <w:bCs w:val="0"/>
                                <w:i/>
                                <w:iCs/>
                                <w:color w:val="auto"/>
                                <w:sz w:val="22"/>
                                <w:szCs w:val="16"/>
                              </w:rPr>
                              <w:t xml:space="preserve">. </w:t>
                            </w:r>
                            <w:r>
                              <w:rPr>
                                <w:b w:val="0"/>
                                <w:bCs w:val="0"/>
                                <w:i/>
                                <w:iCs/>
                                <w:color w:val="auto"/>
                                <w:sz w:val="22"/>
                                <w:szCs w:val="16"/>
                              </w:rPr>
                              <w:t>Kreipimasis</w:t>
                            </w:r>
                            <w:r w:rsidRPr="001A0BAA">
                              <w:rPr>
                                <w:b w:val="0"/>
                                <w:bCs w:val="0"/>
                                <w:i/>
                                <w:iCs/>
                                <w:color w:val="auto"/>
                                <w:sz w:val="22"/>
                                <w:szCs w:val="16"/>
                              </w:rPr>
                              <w:t xml:space="preserve"> dėl išorinio verslo finansavimo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D285F" id="Text Box 21" o:spid="_x0000_s1028" type="#_x0000_t202" style="position:absolute;left:0;text-align:left;margin-left:-.25pt;margin-top:200.45pt;width:481.55pt;height:17.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" stroked="f">
                <v:textbox inset="0,0,0,0">
                  <w:txbxContent>
                    <w:p w14:paraId="3609C0F5" w14:textId="0C8DAA5B" w:rsidR="00EC688C" w:rsidRPr="00C544DD" w:rsidRDefault="00EC688C" w:rsidP="001A0BAA">
                      <w:pPr>
                        <w:pStyle w:val="Antrat"/>
                        <w:ind w:firstLine="0"/>
                        <w:jc w:val="both"/>
                        <w:rPr>
                          <w:b w:val="0"/>
                          <w:bCs w:val="0"/>
                          <w:i/>
                          <w:iCs/>
                          <w:color w:val="auto"/>
                          <w:sz w:val="18"/>
                          <w:szCs w:val="22"/>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3</w:t>
                      </w:r>
                      <w:r w:rsidRPr="00C544DD">
                        <w:rPr>
                          <w:b w:val="0"/>
                          <w:bCs w:val="0"/>
                          <w:i/>
                          <w:iCs/>
                          <w:color w:val="auto"/>
                          <w:sz w:val="22"/>
                          <w:szCs w:val="16"/>
                        </w:rPr>
                        <w:t xml:space="preserve">. </w:t>
                      </w:r>
                      <w:r>
                        <w:rPr>
                          <w:b w:val="0"/>
                          <w:bCs w:val="0"/>
                          <w:i/>
                          <w:iCs/>
                          <w:color w:val="auto"/>
                          <w:sz w:val="22"/>
                          <w:szCs w:val="16"/>
                        </w:rPr>
                        <w:t>Kreipimasis</w:t>
                      </w:r>
                      <w:r w:rsidRPr="001A0BAA">
                        <w:rPr>
                          <w:b w:val="0"/>
                          <w:bCs w:val="0"/>
                          <w:i/>
                          <w:iCs/>
                          <w:color w:val="auto"/>
                          <w:sz w:val="22"/>
                          <w:szCs w:val="16"/>
                        </w:rPr>
                        <w:t xml:space="preserve"> dėl išorinio verslo finansavimo</w:t>
                      </w:r>
                    </w:p>
                  </w:txbxContent>
                </v:textbox>
                <w10:wrap type="tight" anchorx="margin"/>
              </v:shape>
            </w:pict>
          </mc:Fallback>
        </mc:AlternateContent>
      </w:r>
      <w:r w:rsidRPr="00640D24">
        <w:rPr>
          <w:rFonts w:cs="Times New Roman"/>
          <w:noProof/>
          <w:lang w:eastAsia="lt-LT"/>
        </w:rPr>
        <w:drawing>
          <wp:anchor distT="0" distB="0" distL="114300" distR="114300" simplePos="0" relativeHeight="251658241" behindDoc="0" locked="0" layoutInCell="1" allowOverlap="1" wp14:anchorId="51B3F987" wp14:editId="38CB101F">
            <wp:simplePos x="0" y="0"/>
            <wp:positionH relativeFrom="column">
              <wp:posOffset>0</wp:posOffset>
            </wp:positionH>
            <wp:positionV relativeFrom="paragraph">
              <wp:posOffset>66040</wp:posOffset>
            </wp:positionV>
            <wp:extent cx="6089650" cy="2469515"/>
            <wp:effectExtent l="0" t="0" r="6350" b="6985"/>
            <wp:wrapTopAndBottom/>
            <wp:docPr id="19" name="Chart 19">
              <a:extLst xmlns:a="http://schemas.openxmlformats.org/drawingml/2006/main">
                <a:ext uri="{FF2B5EF4-FFF2-40B4-BE49-F238E27FC236}">
                  <a16:creationId xmlns:a16="http://schemas.microsoft.com/office/drawing/2014/main" id="{410804B2-A787-41E6-A610-9A659AB775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6317EF" w:rsidRPr="00640D24">
        <w:rPr>
          <w:rFonts w:cs="Times New Roman"/>
          <w:sz w:val="22"/>
          <w:szCs w:val="22"/>
        </w:rPr>
        <w:t xml:space="preserve">6 proc. </w:t>
      </w:r>
      <w:r w:rsidR="000B115B" w:rsidRPr="00640D24">
        <w:rPr>
          <w:rFonts w:cs="Times New Roman"/>
          <w:sz w:val="22"/>
          <w:szCs w:val="22"/>
        </w:rPr>
        <w:t xml:space="preserve">SVV apklausoje dalyvavusių </w:t>
      </w:r>
      <w:r w:rsidR="006317EF" w:rsidRPr="00640D24">
        <w:rPr>
          <w:rFonts w:cs="Times New Roman"/>
          <w:sz w:val="22"/>
          <w:szCs w:val="22"/>
        </w:rPr>
        <w:t xml:space="preserve">respondentų veiklos trukmė buvo iki 1 metų arba nuo 1 iki </w:t>
      </w:r>
      <w:r w:rsidR="0017787A" w:rsidRPr="00640D24">
        <w:rPr>
          <w:rFonts w:cs="Times New Roman"/>
          <w:sz w:val="22"/>
          <w:szCs w:val="22"/>
        </w:rPr>
        <w:t>3 </w:t>
      </w:r>
      <w:r w:rsidR="006317EF" w:rsidRPr="00640D24">
        <w:rPr>
          <w:rFonts w:cs="Times New Roman"/>
          <w:sz w:val="22"/>
          <w:szCs w:val="22"/>
        </w:rPr>
        <w:t>metų. 48 proc. apklaustųjų nurodė, kad veiklą vykdė ne Vilniaus apskrityje. 61,5 proc. apklaustųjų, veiklą vykdančių Vidurio ir Vakarų Lietuvoje teigė, k</w:t>
      </w:r>
      <w:r w:rsidR="001A0BAA" w:rsidRPr="00640D24">
        <w:rPr>
          <w:rFonts w:cs="Times New Roman"/>
          <w:sz w:val="22"/>
          <w:szCs w:val="22"/>
        </w:rPr>
        <w:t xml:space="preserve">ad yra kreipęsi į </w:t>
      </w:r>
      <w:r w:rsidR="0059424C" w:rsidRPr="00640D24">
        <w:rPr>
          <w:rFonts w:cs="Times New Roman"/>
          <w:sz w:val="22"/>
          <w:szCs w:val="22"/>
        </w:rPr>
        <w:t>FT</w:t>
      </w:r>
      <w:r w:rsidR="001A0BAA" w:rsidRPr="00640D24">
        <w:rPr>
          <w:rFonts w:cs="Times New Roman"/>
          <w:sz w:val="22"/>
          <w:szCs w:val="22"/>
        </w:rPr>
        <w:t xml:space="preserve"> dėl išorinio finansavimo.</w:t>
      </w:r>
    </w:p>
    <w:p w14:paraId="093F8EA9" w14:textId="44223823" w:rsidR="00F168F3" w:rsidRPr="00640D24" w:rsidRDefault="00F4000D" w:rsidP="00123B7B">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SVV subjektų apklausos duomenimis 87,5 proc. apklaustųjų finansavimas buvo reikalingas tolimesnėms investicijoms</w:t>
      </w:r>
      <w:r w:rsidR="007A756A" w:rsidRPr="00640D24">
        <w:rPr>
          <w:rFonts w:cs="Times New Roman"/>
          <w:sz w:val="22"/>
          <w:szCs w:val="22"/>
        </w:rPr>
        <w:t xml:space="preserve">. Paveiksle Nr. </w:t>
      </w:r>
      <w:r w:rsidR="004D58EE" w:rsidRPr="00640D24">
        <w:rPr>
          <w:rFonts w:cs="Times New Roman"/>
          <w:sz w:val="22"/>
          <w:szCs w:val="22"/>
        </w:rPr>
        <w:t>4</w:t>
      </w:r>
      <w:r w:rsidR="00460CD6" w:rsidRPr="00640D24">
        <w:rPr>
          <w:rFonts w:cs="Times New Roman"/>
          <w:sz w:val="22"/>
          <w:szCs w:val="22"/>
        </w:rPr>
        <w:t xml:space="preserve"> pavaizdu</w:t>
      </w:r>
      <w:r w:rsidR="004576A7" w:rsidRPr="00640D24">
        <w:rPr>
          <w:rFonts w:cs="Times New Roman"/>
          <w:sz w:val="22"/>
          <w:szCs w:val="22"/>
        </w:rPr>
        <w:t>o</w:t>
      </w:r>
      <w:r w:rsidR="00460CD6" w:rsidRPr="00640D24">
        <w:rPr>
          <w:rFonts w:cs="Times New Roman"/>
          <w:sz w:val="22"/>
          <w:szCs w:val="22"/>
        </w:rPr>
        <w:t xml:space="preserve">ta dėl kokio dydžio sumos </w:t>
      </w:r>
      <w:proofErr w:type="spellStart"/>
      <w:r w:rsidR="00460CD6" w:rsidRPr="00640D24">
        <w:rPr>
          <w:rFonts w:cs="Times New Roman"/>
          <w:sz w:val="22"/>
          <w:szCs w:val="22"/>
        </w:rPr>
        <w:t>startuoliai</w:t>
      </w:r>
      <w:proofErr w:type="spellEnd"/>
      <w:r w:rsidR="00460CD6" w:rsidRPr="00640D24">
        <w:rPr>
          <w:rFonts w:cs="Times New Roman"/>
          <w:sz w:val="22"/>
          <w:szCs w:val="22"/>
        </w:rPr>
        <w:t xml:space="preserve"> kreipėsi išorinio finansavimo. Vis dėl to, net 87,5 proc., t. y. 7 iš 8 </w:t>
      </w:r>
      <w:proofErr w:type="spellStart"/>
      <w:r w:rsidR="00460CD6" w:rsidRPr="00640D24">
        <w:rPr>
          <w:rFonts w:cs="Times New Roman"/>
          <w:sz w:val="22"/>
          <w:szCs w:val="22"/>
        </w:rPr>
        <w:t>startuolių</w:t>
      </w:r>
      <w:proofErr w:type="spellEnd"/>
      <w:r w:rsidR="00460CD6" w:rsidRPr="00640D24">
        <w:rPr>
          <w:rFonts w:cs="Times New Roman"/>
          <w:sz w:val="22"/>
          <w:szCs w:val="22"/>
        </w:rPr>
        <w:t xml:space="preserve">, išorinio finansavimo negavo ir galimybes gauti išorės finansavimą vertino kaip vidutines arba žemas. </w:t>
      </w:r>
      <w:r w:rsidR="00A5171F" w:rsidRPr="00640D24">
        <w:rPr>
          <w:rFonts w:cs="Times New Roman"/>
          <w:sz w:val="22"/>
          <w:szCs w:val="22"/>
        </w:rPr>
        <w:t>Ateityje net 62,5 proc. apklaustų</w:t>
      </w:r>
      <w:r w:rsidR="000B115B" w:rsidRPr="00640D24">
        <w:rPr>
          <w:rFonts w:cs="Times New Roman"/>
          <w:sz w:val="22"/>
          <w:szCs w:val="22"/>
        </w:rPr>
        <w:t xml:space="preserve"> naujų įmonių</w:t>
      </w:r>
      <w:r w:rsidR="000B115B" w:rsidRPr="00640D24">
        <w:rPr>
          <w:rStyle w:val="Puslapioinaosnuoroda"/>
          <w:rFonts w:cs="Times New Roman"/>
          <w:sz w:val="22"/>
          <w:szCs w:val="22"/>
        </w:rPr>
        <w:footnoteReference w:id="53"/>
      </w:r>
      <w:r w:rsidR="00A5171F" w:rsidRPr="00640D24">
        <w:rPr>
          <w:rFonts w:cs="Times New Roman"/>
          <w:sz w:val="22"/>
          <w:szCs w:val="22"/>
        </w:rPr>
        <w:t xml:space="preserve"> planuoja kreiptis išorinio finansavimo dėl investicijų į MTEPI veiklas. </w:t>
      </w:r>
    </w:p>
    <w:p w14:paraId="70BF11A3" w14:textId="1C49ADC9" w:rsidR="00F168F3" w:rsidRPr="00640D24" w:rsidRDefault="00F168F3" w:rsidP="00F168F3">
      <w:pPr>
        <w:autoSpaceDE w:val="0"/>
        <w:autoSpaceDN w:val="0"/>
        <w:adjustRightInd w:val="0"/>
        <w:spacing w:before="60" w:after="60" w:line="240" w:lineRule="auto"/>
        <w:jc w:val="both"/>
        <w:rPr>
          <w:rFonts w:cs="Times New Roman"/>
          <w:i/>
          <w:sz w:val="22"/>
          <w:szCs w:val="22"/>
        </w:rPr>
      </w:pPr>
      <w:r w:rsidRPr="00640D24">
        <w:rPr>
          <w:noProof/>
          <w:lang w:eastAsia="lt-LT"/>
        </w:rPr>
        <w:drawing>
          <wp:anchor distT="0" distB="0" distL="114300" distR="114300" simplePos="0" relativeHeight="251658253" behindDoc="0" locked="0" layoutInCell="1" allowOverlap="1" wp14:anchorId="36830782" wp14:editId="1C5A85F6">
            <wp:simplePos x="0" y="0"/>
            <wp:positionH relativeFrom="column">
              <wp:posOffset>635</wp:posOffset>
            </wp:positionH>
            <wp:positionV relativeFrom="paragraph">
              <wp:posOffset>193675</wp:posOffset>
            </wp:positionV>
            <wp:extent cx="6231255" cy="2147570"/>
            <wp:effectExtent l="0" t="0" r="0" b="5080"/>
            <wp:wrapSquare wrapText="bothSides"/>
            <wp:docPr id="2" name="Chart 2">
              <a:extLst xmlns:a="http://schemas.openxmlformats.org/drawingml/2006/main">
                <a:ext uri="{FF2B5EF4-FFF2-40B4-BE49-F238E27FC236}">
                  <a16:creationId xmlns:a16="http://schemas.microsoft.com/office/drawing/2014/main" id="{5302DBCC-9DD9-40F6-B7A4-6A714AF31C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640D24">
        <w:rPr>
          <w:rFonts w:cs="Times New Roman"/>
          <w:i/>
          <w:sz w:val="22"/>
          <w:szCs w:val="22"/>
        </w:rPr>
        <w:t xml:space="preserve">Paveikslas Nr. </w:t>
      </w:r>
      <w:r w:rsidR="004D58EE" w:rsidRPr="00640D24">
        <w:rPr>
          <w:rFonts w:cs="Times New Roman"/>
          <w:i/>
          <w:sz w:val="22"/>
          <w:szCs w:val="22"/>
        </w:rPr>
        <w:t>4.</w:t>
      </w:r>
      <w:r w:rsidRPr="00640D24">
        <w:rPr>
          <w:rFonts w:cs="Times New Roman"/>
          <w:i/>
          <w:sz w:val="22"/>
          <w:szCs w:val="22"/>
        </w:rPr>
        <w:t xml:space="preserve"> </w:t>
      </w:r>
      <w:r w:rsidR="00B43706" w:rsidRPr="00640D24">
        <w:rPr>
          <w:rFonts w:cs="Times New Roman"/>
          <w:i/>
          <w:sz w:val="22"/>
          <w:szCs w:val="22"/>
        </w:rPr>
        <w:t xml:space="preserve">Respondentų investicijų poreikis per ateinančius </w:t>
      </w:r>
      <w:r w:rsidR="00B43706" w:rsidRPr="00640D24">
        <w:rPr>
          <w:rFonts w:cs="Times New Roman"/>
          <w:i/>
          <w:sz w:val="22"/>
          <w:szCs w:val="22"/>
          <w:lang w:val="en-US"/>
        </w:rPr>
        <w:t xml:space="preserve">3–7 </w:t>
      </w:r>
      <w:proofErr w:type="spellStart"/>
      <w:r w:rsidR="00B43706" w:rsidRPr="00640D24">
        <w:rPr>
          <w:rFonts w:cs="Times New Roman"/>
          <w:i/>
          <w:sz w:val="22"/>
          <w:szCs w:val="22"/>
          <w:lang w:val="en-US"/>
        </w:rPr>
        <w:t>metus</w:t>
      </w:r>
      <w:proofErr w:type="spellEnd"/>
      <w:r w:rsidR="00943093" w:rsidRPr="00640D24">
        <w:rPr>
          <w:rFonts w:cs="Times New Roman"/>
          <w:i/>
          <w:sz w:val="22"/>
          <w:szCs w:val="22"/>
          <w:lang w:val="en-US"/>
        </w:rPr>
        <w:t>.</w:t>
      </w:r>
    </w:p>
    <w:p w14:paraId="3B489D9E" w14:textId="455FD4FD" w:rsidR="00CF2243" w:rsidRPr="00640D24" w:rsidRDefault="00455F8E" w:rsidP="007E5DB7">
      <w:pPr>
        <w:autoSpaceDE w:val="0"/>
        <w:autoSpaceDN w:val="0"/>
        <w:adjustRightInd w:val="0"/>
        <w:spacing w:before="60" w:after="60" w:line="240" w:lineRule="auto"/>
        <w:ind w:firstLine="567"/>
        <w:jc w:val="both"/>
        <w:rPr>
          <w:rFonts w:cs="Times New Roman"/>
          <w:sz w:val="22"/>
          <w:szCs w:val="22"/>
        </w:rPr>
      </w:pPr>
      <w:r w:rsidRPr="00640D24">
        <w:rPr>
          <w:noProof/>
          <w:lang w:eastAsia="lt-LT"/>
        </w:rPr>
        <w:lastRenderedPageBreak/>
        <w:drawing>
          <wp:anchor distT="0" distB="0" distL="114300" distR="114300" simplePos="0" relativeHeight="251658244" behindDoc="0" locked="0" layoutInCell="1" allowOverlap="1" wp14:anchorId="64FD9004" wp14:editId="3E47F908">
            <wp:simplePos x="0" y="0"/>
            <wp:positionH relativeFrom="margin">
              <wp:posOffset>0</wp:posOffset>
            </wp:positionH>
            <wp:positionV relativeFrom="paragraph">
              <wp:posOffset>1088366</wp:posOffset>
            </wp:positionV>
            <wp:extent cx="6082030" cy="3053080"/>
            <wp:effectExtent l="0" t="0" r="0" b="0"/>
            <wp:wrapSquare wrapText="bothSides"/>
            <wp:docPr id="9" name="Chart 9">
              <a:extLst xmlns:a="http://schemas.openxmlformats.org/drawingml/2006/main">
                <a:ext uri="{FF2B5EF4-FFF2-40B4-BE49-F238E27FC236}">
                  <a16:creationId xmlns:a16="http://schemas.microsoft.com/office/drawing/2014/main" id="{49FACEB4-65F0-4AB7-9259-F009C7597E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r w:rsidR="009F15E5" w:rsidRPr="00640D24">
        <w:rPr>
          <w:rFonts w:cs="Times New Roman"/>
          <w:noProof/>
          <w:lang w:eastAsia="lt-LT"/>
        </w:rPr>
        <w:drawing>
          <wp:anchor distT="0" distB="0" distL="114300" distR="114300" simplePos="0" relativeHeight="251658240" behindDoc="0" locked="0" layoutInCell="1" allowOverlap="1" wp14:anchorId="723DC07A" wp14:editId="0266B219">
            <wp:simplePos x="0" y="0"/>
            <wp:positionH relativeFrom="column">
              <wp:posOffset>190</wp:posOffset>
            </wp:positionH>
            <wp:positionV relativeFrom="paragraph">
              <wp:posOffset>1086114</wp:posOffset>
            </wp:positionV>
            <wp:extent cx="6064250" cy="2172970"/>
            <wp:effectExtent l="0" t="0" r="0" b="0"/>
            <wp:wrapTopAndBottom/>
            <wp:docPr id="22" name="Chart 22">
              <a:extLst xmlns:a="http://schemas.openxmlformats.org/drawingml/2006/main">
                <a:ext uri="{FF2B5EF4-FFF2-40B4-BE49-F238E27FC236}">
                  <a16:creationId xmlns:a16="http://schemas.microsoft.com/office/drawing/2014/main" id="{43456EFF-FB2B-4977-A31F-EF3D140FF7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E5333F" w:rsidRPr="00640D24">
        <w:rPr>
          <w:rFonts w:cs="Times New Roman"/>
          <w:sz w:val="22"/>
          <w:szCs w:val="22"/>
        </w:rPr>
        <w:t xml:space="preserve">Siekiant </w:t>
      </w:r>
      <w:r w:rsidR="00E930CE" w:rsidRPr="00640D24">
        <w:rPr>
          <w:rFonts w:cs="Times New Roman"/>
          <w:sz w:val="22"/>
          <w:szCs w:val="22"/>
        </w:rPr>
        <w:t>nustatyti</w:t>
      </w:r>
      <w:r w:rsidR="00E5333F" w:rsidRPr="00640D24">
        <w:rPr>
          <w:rFonts w:cs="Times New Roman"/>
          <w:sz w:val="22"/>
          <w:szCs w:val="22"/>
        </w:rPr>
        <w:t xml:space="preserve"> </w:t>
      </w:r>
      <w:r w:rsidR="005E50C2" w:rsidRPr="00640D24">
        <w:rPr>
          <w:rFonts w:cs="Times New Roman"/>
          <w:sz w:val="22"/>
          <w:szCs w:val="22"/>
        </w:rPr>
        <w:t xml:space="preserve">investicijų </w:t>
      </w:r>
      <w:proofErr w:type="spellStart"/>
      <w:r w:rsidR="00E5333F" w:rsidRPr="00640D24">
        <w:rPr>
          <w:rFonts w:cs="Times New Roman"/>
          <w:sz w:val="22"/>
          <w:szCs w:val="22"/>
        </w:rPr>
        <w:t>startuolių</w:t>
      </w:r>
      <w:proofErr w:type="spellEnd"/>
      <w:r w:rsidR="00E5333F" w:rsidRPr="00640D24">
        <w:rPr>
          <w:rFonts w:cs="Times New Roman"/>
          <w:sz w:val="22"/>
          <w:szCs w:val="22"/>
        </w:rPr>
        <w:t xml:space="preserve"> vystym</w:t>
      </w:r>
      <w:r w:rsidR="005E50C2" w:rsidRPr="00640D24">
        <w:rPr>
          <w:rFonts w:cs="Times New Roman"/>
          <w:sz w:val="22"/>
          <w:szCs w:val="22"/>
        </w:rPr>
        <w:t xml:space="preserve">ui, </w:t>
      </w:r>
      <w:proofErr w:type="spellStart"/>
      <w:r w:rsidR="00E5333F" w:rsidRPr="00640D24">
        <w:rPr>
          <w:rFonts w:cs="Times New Roman"/>
          <w:sz w:val="22"/>
          <w:szCs w:val="22"/>
        </w:rPr>
        <w:t>akceleravim</w:t>
      </w:r>
      <w:r w:rsidR="005E50C2" w:rsidRPr="00640D24">
        <w:rPr>
          <w:rFonts w:cs="Times New Roman"/>
          <w:sz w:val="22"/>
          <w:szCs w:val="22"/>
        </w:rPr>
        <w:t>ui</w:t>
      </w:r>
      <w:proofErr w:type="spellEnd"/>
      <w:r w:rsidR="005E50C2" w:rsidRPr="00640D24">
        <w:rPr>
          <w:rFonts w:cs="Times New Roman"/>
          <w:sz w:val="22"/>
          <w:szCs w:val="22"/>
        </w:rPr>
        <w:t xml:space="preserve"> ir plėtrai</w:t>
      </w:r>
      <w:r w:rsidR="00E5333F" w:rsidRPr="00640D24">
        <w:rPr>
          <w:rFonts w:cs="Times New Roman"/>
          <w:sz w:val="22"/>
          <w:szCs w:val="22"/>
        </w:rPr>
        <w:t xml:space="preserve"> paklausą</w:t>
      </w:r>
      <w:r w:rsidR="00782DC9" w:rsidRPr="00640D24">
        <w:rPr>
          <w:rFonts w:cs="Times New Roman"/>
          <w:sz w:val="22"/>
          <w:szCs w:val="22"/>
        </w:rPr>
        <w:t>,</w:t>
      </w:r>
      <w:r w:rsidR="00380AD4" w:rsidRPr="00640D24">
        <w:rPr>
          <w:rFonts w:cs="Times New Roman"/>
          <w:sz w:val="22"/>
          <w:szCs w:val="22"/>
        </w:rPr>
        <w:t xml:space="preserve"> </w:t>
      </w:r>
      <w:r w:rsidR="00E5333F" w:rsidRPr="00640D24">
        <w:rPr>
          <w:rFonts w:cs="Times New Roman"/>
          <w:sz w:val="22"/>
          <w:szCs w:val="22"/>
        </w:rPr>
        <w:t xml:space="preserve">buvo </w:t>
      </w:r>
      <w:r w:rsidR="000869D6" w:rsidRPr="00640D24">
        <w:rPr>
          <w:rFonts w:cs="Times New Roman"/>
          <w:sz w:val="22"/>
          <w:szCs w:val="22"/>
        </w:rPr>
        <w:t xml:space="preserve">atlikta </w:t>
      </w:r>
      <w:r w:rsidR="001C2C15" w:rsidRPr="00640D24">
        <w:rPr>
          <w:rFonts w:cs="Times New Roman"/>
          <w:sz w:val="22"/>
          <w:szCs w:val="22"/>
        </w:rPr>
        <w:t>10</w:t>
      </w:r>
      <w:r w:rsidR="00E5333F" w:rsidRPr="00640D24">
        <w:rPr>
          <w:rFonts w:cs="Times New Roman"/>
          <w:sz w:val="22"/>
          <w:szCs w:val="22"/>
        </w:rPr>
        <w:t xml:space="preserve"> </w:t>
      </w:r>
      <w:r w:rsidR="00380AD4" w:rsidRPr="00640D24">
        <w:rPr>
          <w:rFonts w:cs="Times New Roman"/>
          <w:sz w:val="22"/>
          <w:szCs w:val="22"/>
        </w:rPr>
        <w:t xml:space="preserve">ES SF </w:t>
      </w:r>
      <w:r w:rsidR="00E5333F" w:rsidRPr="00640D24">
        <w:rPr>
          <w:rFonts w:cs="Times New Roman"/>
          <w:sz w:val="22"/>
          <w:szCs w:val="22"/>
        </w:rPr>
        <w:t>finansavimo priemon</w:t>
      </w:r>
      <w:r w:rsidR="00380AD4" w:rsidRPr="00640D24">
        <w:rPr>
          <w:rFonts w:cs="Times New Roman"/>
          <w:sz w:val="22"/>
          <w:szCs w:val="22"/>
        </w:rPr>
        <w:t>ių (</w:t>
      </w:r>
      <w:r w:rsidR="00A3670B" w:rsidRPr="00640D24">
        <w:rPr>
          <w:rFonts w:cs="Times New Roman"/>
          <w:sz w:val="22"/>
          <w:szCs w:val="22"/>
        </w:rPr>
        <w:t>žr.</w:t>
      </w:r>
      <w:r w:rsidR="00380AD4" w:rsidRPr="00640D24">
        <w:rPr>
          <w:rFonts w:cs="Times New Roman"/>
          <w:sz w:val="22"/>
          <w:szCs w:val="22"/>
        </w:rPr>
        <w:t xml:space="preserve"> paveiksle Nr. </w:t>
      </w:r>
      <w:r w:rsidR="004D58EE" w:rsidRPr="00640D24">
        <w:rPr>
          <w:rFonts w:cs="Times New Roman"/>
          <w:sz w:val="22"/>
          <w:szCs w:val="22"/>
        </w:rPr>
        <w:t>5</w:t>
      </w:r>
      <w:r w:rsidR="00380AD4" w:rsidRPr="00640D24">
        <w:rPr>
          <w:rFonts w:cs="Times New Roman"/>
          <w:sz w:val="22"/>
          <w:szCs w:val="22"/>
        </w:rPr>
        <w:t xml:space="preserve">) </w:t>
      </w:r>
      <w:r w:rsidR="00F20BFF" w:rsidRPr="00640D24">
        <w:rPr>
          <w:rFonts w:cs="Times New Roman"/>
          <w:sz w:val="22"/>
          <w:szCs w:val="22"/>
        </w:rPr>
        <w:t>faktini</w:t>
      </w:r>
      <w:r w:rsidR="000869D6" w:rsidRPr="00640D24">
        <w:rPr>
          <w:rFonts w:cs="Times New Roman"/>
          <w:sz w:val="22"/>
          <w:szCs w:val="22"/>
        </w:rPr>
        <w:t>o</w:t>
      </w:r>
      <w:r w:rsidR="00F20BFF" w:rsidRPr="00640D24">
        <w:rPr>
          <w:rFonts w:cs="Times New Roman"/>
          <w:sz w:val="22"/>
          <w:szCs w:val="22"/>
        </w:rPr>
        <w:t xml:space="preserve"> lėšų iki 2020 m. liepos</w:t>
      </w:r>
      <w:r w:rsidR="006317EF" w:rsidRPr="00640D24">
        <w:rPr>
          <w:rFonts w:cs="Times New Roman"/>
          <w:sz w:val="22"/>
          <w:szCs w:val="22"/>
        </w:rPr>
        <w:t xml:space="preserve"> 31 d. </w:t>
      </w:r>
      <w:proofErr w:type="spellStart"/>
      <w:r w:rsidR="00380AD4" w:rsidRPr="00640D24">
        <w:rPr>
          <w:rFonts w:cs="Times New Roman"/>
          <w:sz w:val="22"/>
          <w:szCs w:val="22"/>
        </w:rPr>
        <w:t>panaudojamum</w:t>
      </w:r>
      <w:r w:rsidR="000869D6" w:rsidRPr="00640D24">
        <w:rPr>
          <w:rFonts w:cs="Times New Roman"/>
          <w:sz w:val="22"/>
          <w:szCs w:val="22"/>
        </w:rPr>
        <w:t>o</w:t>
      </w:r>
      <w:proofErr w:type="spellEnd"/>
      <w:r w:rsidR="000869D6" w:rsidRPr="00640D24">
        <w:rPr>
          <w:rFonts w:cs="Times New Roman"/>
          <w:sz w:val="22"/>
          <w:szCs w:val="22"/>
        </w:rPr>
        <w:t xml:space="preserve"> analizė</w:t>
      </w:r>
      <w:r w:rsidR="00E5333F" w:rsidRPr="00640D24">
        <w:rPr>
          <w:rFonts w:cs="Times New Roman"/>
          <w:sz w:val="22"/>
          <w:szCs w:val="22"/>
        </w:rPr>
        <w:t xml:space="preserve">. </w:t>
      </w:r>
      <w:r w:rsidR="00380AD4" w:rsidRPr="00640D24">
        <w:rPr>
          <w:rFonts w:cs="Times New Roman"/>
          <w:sz w:val="22"/>
          <w:szCs w:val="22"/>
        </w:rPr>
        <w:t>2014</w:t>
      </w:r>
      <w:r w:rsidR="00376FD2" w:rsidRPr="00640D24">
        <w:rPr>
          <w:rFonts w:cs="Times New Roman"/>
          <w:sz w:val="22"/>
          <w:szCs w:val="22"/>
        </w:rPr>
        <w:t>–</w:t>
      </w:r>
      <w:r w:rsidR="00380AD4" w:rsidRPr="00640D24">
        <w:rPr>
          <w:rFonts w:cs="Times New Roman"/>
          <w:sz w:val="22"/>
          <w:szCs w:val="22"/>
        </w:rPr>
        <w:t>2020</w:t>
      </w:r>
      <w:r w:rsidR="009E1564" w:rsidRPr="00640D24">
        <w:rPr>
          <w:rFonts w:cs="Times New Roman"/>
          <w:sz w:val="22"/>
          <w:szCs w:val="22"/>
        </w:rPr>
        <w:t> </w:t>
      </w:r>
      <w:r w:rsidR="00380AD4" w:rsidRPr="00640D24">
        <w:rPr>
          <w:rFonts w:cs="Times New Roman"/>
          <w:sz w:val="22"/>
          <w:szCs w:val="22"/>
        </w:rPr>
        <w:t>m. ES investicijų programavimo laikotarpiu i</w:t>
      </w:r>
      <w:r w:rsidR="00B01796" w:rsidRPr="00640D24">
        <w:rPr>
          <w:rFonts w:cs="Times New Roman"/>
          <w:sz w:val="22"/>
          <w:szCs w:val="22"/>
        </w:rPr>
        <w:t xml:space="preserve">š viso </w:t>
      </w:r>
      <w:proofErr w:type="spellStart"/>
      <w:r w:rsidR="00B01796" w:rsidRPr="00640D24">
        <w:rPr>
          <w:rFonts w:cs="Times New Roman"/>
          <w:sz w:val="22"/>
          <w:szCs w:val="22"/>
        </w:rPr>
        <w:t>startuoliams</w:t>
      </w:r>
      <w:proofErr w:type="spellEnd"/>
      <w:r w:rsidR="00B01796" w:rsidRPr="00640D24">
        <w:rPr>
          <w:rFonts w:cs="Times New Roman"/>
          <w:sz w:val="22"/>
          <w:szCs w:val="22"/>
        </w:rPr>
        <w:t xml:space="preserve"> finansuoti yra skirta 11</w:t>
      </w:r>
      <w:r w:rsidR="00634182" w:rsidRPr="00640D24">
        <w:rPr>
          <w:rFonts w:cs="Times New Roman"/>
          <w:sz w:val="22"/>
          <w:szCs w:val="22"/>
        </w:rPr>
        <w:t>7</w:t>
      </w:r>
      <w:r w:rsidR="00B01796" w:rsidRPr="00640D24">
        <w:rPr>
          <w:rFonts w:cs="Times New Roman"/>
          <w:sz w:val="22"/>
          <w:szCs w:val="22"/>
        </w:rPr>
        <w:t xml:space="preserve">,65 mln. </w:t>
      </w:r>
      <w:proofErr w:type="spellStart"/>
      <w:r w:rsidR="00C664AC" w:rsidRPr="00640D24">
        <w:rPr>
          <w:rFonts w:cs="Times New Roman"/>
          <w:sz w:val="22"/>
          <w:szCs w:val="22"/>
        </w:rPr>
        <w:t>Eur</w:t>
      </w:r>
      <w:proofErr w:type="spellEnd"/>
      <w:r w:rsidR="00B01796" w:rsidRPr="00640D24">
        <w:rPr>
          <w:rFonts w:cs="Times New Roman"/>
          <w:sz w:val="22"/>
          <w:szCs w:val="22"/>
        </w:rPr>
        <w:t>, iš kurių šiuo metu yra panaudota 42,</w:t>
      </w:r>
      <w:r w:rsidR="00101992" w:rsidRPr="00640D24">
        <w:rPr>
          <w:rFonts w:cs="Times New Roman"/>
          <w:sz w:val="22"/>
          <w:szCs w:val="22"/>
        </w:rPr>
        <w:t>34</w:t>
      </w:r>
      <w:r w:rsidR="00B01796" w:rsidRPr="00640D24">
        <w:rPr>
          <w:rFonts w:cs="Times New Roman"/>
          <w:sz w:val="22"/>
          <w:szCs w:val="22"/>
        </w:rPr>
        <w:t xml:space="preserve"> mln. </w:t>
      </w:r>
      <w:proofErr w:type="spellStart"/>
      <w:r w:rsidR="00C664AC" w:rsidRPr="00640D24">
        <w:rPr>
          <w:rFonts w:cs="Times New Roman"/>
          <w:sz w:val="22"/>
          <w:szCs w:val="22"/>
        </w:rPr>
        <w:t>Eur</w:t>
      </w:r>
      <w:proofErr w:type="spellEnd"/>
      <w:r w:rsidR="00B01796" w:rsidRPr="00640D24">
        <w:rPr>
          <w:rFonts w:cs="Times New Roman"/>
          <w:sz w:val="22"/>
          <w:szCs w:val="22"/>
        </w:rPr>
        <w:t>.</w:t>
      </w:r>
      <w:r w:rsidR="008B3AC7" w:rsidRPr="00640D24">
        <w:rPr>
          <w:rFonts w:cs="Times New Roman"/>
          <w:sz w:val="22"/>
          <w:szCs w:val="22"/>
        </w:rPr>
        <w:t xml:space="preserve"> Finansavimas </w:t>
      </w:r>
      <w:proofErr w:type="spellStart"/>
      <w:r w:rsidR="008B3AC7" w:rsidRPr="00640D24">
        <w:rPr>
          <w:rFonts w:cs="Times New Roman"/>
          <w:sz w:val="22"/>
          <w:szCs w:val="22"/>
        </w:rPr>
        <w:t>startuolių</w:t>
      </w:r>
      <w:proofErr w:type="spellEnd"/>
      <w:r w:rsidR="008B3AC7" w:rsidRPr="00640D24">
        <w:rPr>
          <w:rFonts w:cs="Times New Roman"/>
          <w:sz w:val="22"/>
          <w:szCs w:val="22"/>
        </w:rPr>
        <w:t xml:space="preserve"> vystymui, </w:t>
      </w:r>
      <w:proofErr w:type="spellStart"/>
      <w:r w:rsidR="008B3AC7" w:rsidRPr="00640D24">
        <w:rPr>
          <w:rFonts w:cs="Times New Roman"/>
          <w:sz w:val="22"/>
          <w:szCs w:val="22"/>
        </w:rPr>
        <w:t>akceleravimui</w:t>
      </w:r>
      <w:proofErr w:type="spellEnd"/>
      <w:r w:rsidR="008B3AC7" w:rsidRPr="00640D24">
        <w:rPr>
          <w:rFonts w:cs="Times New Roman"/>
          <w:sz w:val="22"/>
          <w:szCs w:val="22"/>
        </w:rPr>
        <w:t xml:space="preserve"> ir plėtrai </w:t>
      </w:r>
      <w:r w:rsidR="000869D6" w:rsidRPr="00640D24">
        <w:rPr>
          <w:rFonts w:cs="Times New Roman"/>
          <w:sz w:val="22"/>
          <w:szCs w:val="22"/>
        </w:rPr>
        <w:t xml:space="preserve">buvo </w:t>
      </w:r>
      <w:r w:rsidR="008B3AC7" w:rsidRPr="00640D24">
        <w:rPr>
          <w:rFonts w:cs="Times New Roman"/>
          <w:sz w:val="22"/>
          <w:szCs w:val="22"/>
        </w:rPr>
        <w:t>skir</w:t>
      </w:r>
      <w:r w:rsidR="000869D6" w:rsidRPr="00640D24">
        <w:rPr>
          <w:rFonts w:cs="Times New Roman"/>
          <w:sz w:val="22"/>
          <w:szCs w:val="22"/>
        </w:rPr>
        <w:t>iamas</w:t>
      </w:r>
      <w:r w:rsidR="008B3AC7" w:rsidRPr="00640D24">
        <w:rPr>
          <w:rFonts w:cs="Times New Roman"/>
          <w:sz w:val="22"/>
          <w:szCs w:val="22"/>
        </w:rPr>
        <w:t xml:space="preserve"> </w:t>
      </w:r>
      <w:r w:rsidR="002916DE" w:rsidRPr="00640D24">
        <w:rPr>
          <w:rFonts w:cs="Times New Roman"/>
          <w:sz w:val="22"/>
          <w:szCs w:val="22"/>
        </w:rPr>
        <w:t>rizikos kapitalo investicijų</w:t>
      </w:r>
      <w:r w:rsidR="000A2C8E" w:rsidRPr="00640D24">
        <w:rPr>
          <w:rFonts w:cs="Times New Roman"/>
          <w:sz w:val="22"/>
          <w:szCs w:val="22"/>
        </w:rPr>
        <w:t xml:space="preserve"> FP, paskolų ir garantijų FP bei subsidijų forma.</w:t>
      </w:r>
    </w:p>
    <w:p w14:paraId="508EF580" w14:textId="09F40793" w:rsidR="001B086C" w:rsidRPr="00640D24" w:rsidRDefault="001B086C" w:rsidP="00170B5F">
      <w:pPr>
        <w:autoSpaceDE w:val="0"/>
        <w:autoSpaceDN w:val="0"/>
        <w:adjustRightInd w:val="0"/>
        <w:spacing w:before="60" w:after="60" w:line="240" w:lineRule="auto"/>
        <w:jc w:val="both"/>
        <w:rPr>
          <w:rFonts w:cs="Times New Roman"/>
          <w:sz w:val="22"/>
          <w:szCs w:val="22"/>
        </w:rPr>
      </w:pPr>
      <w:r w:rsidRPr="00640D24">
        <w:rPr>
          <w:rFonts w:cs="Times New Roman"/>
          <w:i/>
          <w:iCs/>
          <w:sz w:val="22"/>
          <w:szCs w:val="16"/>
        </w:rPr>
        <w:t xml:space="preserve">Paveikslas Nr. </w:t>
      </w:r>
      <w:r w:rsidR="004D58EE" w:rsidRPr="00640D24">
        <w:rPr>
          <w:rFonts w:cs="Times New Roman"/>
          <w:i/>
          <w:iCs/>
          <w:sz w:val="22"/>
          <w:szCs w:val="16"/>
        </w:rPr>
        <w:t>5</w:t>
      </w:r>
      <w:r w:rsidRPr="00640D24">
        <w:rPr>
          <w:rFonts w:cs="Times New Roman"/>
          <w:i/>
          <w:iCs/>
          <w:sz w:val="22"/>
          <w:szCs w:val="16"/>
        </w:rPr>
        <w:t xml:space="preserve">. </w:t>
      </w:r>
      <w:proofErr w:type="spellStart"/>
      <w:r w:rsidRPr="00640D24">
        <w:rPr>
          <w:rFonts w:cs="Times New Roman"/>
          <w:i/>
          <w:iCs/>
          <w:sz w:val="22"/>
          <w:szCs w:val="16"/>
        </w:rPr>
        <w:t>Startuoliams</w:t>
      </w:r>
      <w:proofErr w:type="spellEnd"/>
      <w:r w:rsidRPr="00640D24">
        <w:rPr>
          <w:rFonts w:cs="Times New Roman"/>
          <w:i/>
          <w:iCs/>
          <w:sz w:val="22"/>
          <w:szCs w:val="16"/>
        </w:rPr>
        <w:t xml:space="preserve"> skirtos ir panaudotos lėšos</w:t>
      </w:r>
      <w:r w:rsidR="00CF2243" w:rsidRPr="00640D24">
        <w:rPr>
          <w:rFonts w:cs="Times New Roman"/>
          <w:i/>
          <w:iCs/>
          <w:sz w:val="22"/>
          <w:szCs w:val="16"/>
        </w:rPr>
        <w:t>, įskaitant ES SF ir grįžusias lėšas,</w:t>
      </w:r>
      <w:r w:rsidRPr="00640D24">
        <w:rPr>
          <w:rFonts w:cs="Times New Roman"/>
          <w:i/>
          <w:iCs/>
          <w:sz w:val="22"/>
          <w:szCs w:val="16"/>
        </w:rPr>
        <w:t xml:space="preserve"> 2014</w:t>
      </w:r>
      <w:r w:rsidR="00893EAA" w:rsidRPr="00640D24">
        <w:rPr>
          <w:rFonts w:cs="Times New Roman"/>
          <w:sz w:val="22"/>
          <w:szCs w:val="22"/>
        </w:rPr>
        <w:t>–</w:t>
      </w:r>
      <w:r w:rsidRPr="00640D24">
        <w:rPr>
          <w:rFonts w:cs="Times New Roman"/>
          <w:i/>
          <w:iCs/>
          <w:sz w:val="22"/>
          <w:szCs w:val="16"/>
        </w:rPr>
        <w:t xml:space="preserve">2020 m., mln. </w:t>
      </w:r>
      <w:proofErr w:type="spellStart"/>
      <w:r w:rsidRPr="00640D24">
        <w:rPr>
          <w:rFonts w:cs="Times New Roman"/>
          <w:i/>
          <w:sz w:val="22"/>
          <w:szCs w:val="16"/>
        </w:rPr>
        <w:t>Eur</w:t>
      </w:r>
      <w:proofErr w:type="spellEnd"/>
      <w:r w:rsidRPr="00640D24">
        <w:rPr>
          <w:rFonts w:cs="Times New Roman"/>
          <w:i/>
          <w:sz w:val="22"/>
          <w:szCs w:val="16"/>
        </w:rPr>
        <w:t>.</w:t>
      </w:r>
    </w:p>
    <w:p w14:paraId="764D701A" w14:textId="2F7227E4" w:rsidR="00B01796" w:rsidRPr="00640D24" w:rsidRDefault="000A2C8E" w:rsidP="00170B5F">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 xml:space="preserve">Didžiausia </w:t>
      </w:r>
      <w:r w:rsidR="00494BBB" w:rsidRPr="00640D24">
        <w:rPr>
          <w:rFonts w:cs="Times New Roman"/>
          <w:sz w:val="22"/>
          <w:szCs w:val="22"/>
        </w:rPr>
        <w:t xml:space="preserve">pradedančiųjų SVV </w:t>
      </w:r>
      <w:r w:rsidR="00F20BFF" w:rsidRPr="00640D24">
        <w:rPr>
          <w:rFonts w:cs="Times New Roman"/>
          <w:sz w:val="22"/>
          <w:szCs w:val="22"/>
        </w:rPr>
        <w:t xml:space="preserve">finansavimui </w:t>
      </w:r>
      <w:r w:rsidRPr="00640D24">
        <w:rPr>
          <w:rFonts w:cs="Times New Roman"/>
          <w:sz w:val="22"/>
          <w:szCs w:val="22"/>
        </w:rPr>
        <w:t xml:space="preserve">skirta priemonė </w:t>
      </w:r>
      <w:r w:rsidR="00FE12CC" w:rsidRPr="00640D24">
        <w:rPr>
          <w:rFonts w:cs="Times New Roman"/>
          <w:sz w:val="22"/>
          <w:szCs w:val="22"/>
        </w:rPr>
        <w:t xml:space="preserve">yra </w:t>
      </w:r>
      <w:r w:rsidR="00194E80" w:rsidRPr="00640D24">
        <w:rPr>
          <w:rFonts w:cs="Times New Roman"/>
          <w:sz w:val="22"/>
          <w:szCs w:val="22"/>
        </w:rPr>
        <w:t xml:space="preserve">FP </w:t>
      </w:r>
      <w:r w:rsidRPr="00640D24">
        <w:rPr>
          <w:rFonts w:cs="Times New Roman"/>
          <w:sz w:val="22"/>
          <w:szCs w:val="22"/>
        </w:rPr>
        <w:t>Nr. 07.3.3</w:t>
      </w:r>
      <w:r w:rsidR="00645085" w:rsidRPr="00640D24">
        <w:rPr>
          <w:rFonts w:cs="Times New Roman"/>
          <w:sz w:val="22"/>
          <w:szCs w:val="22"/>
        </w:rPr>
        <w:t>–</w:t>
      </w:r>
      <w:r w:rsidRPr="00640D24">
        <w:rPr>
          <w:rFonts w:cs="Times New Roman"/>
          <w:sz w:val="22"/>
          <w:szCs w:val="22"/>
        </w:rPr>
        <w:t>FM</w:t>
      </w:r>
      <w:r w:rsidR="00645085" w:rsidRPr="00640D24">
        <w:rPr>
          <w:rFonts w:cs="Times New Roman"/>
          <w:sz w:val="22"/>
          <w:szCs w:val="22"/>
        </w:rPr>
        <w:t>–</w:t>
      </w:r>
      <w:r w:rsidRPr="00640D24">
        <w:rPr>
          <w:rFonts w:cs="Times New Roman"/>
          <w:sz w:val="22"/>
          <w:szCs w:val="22"/>
        </w:rPr>
        <w:t>F</w:t>
      </w:r>
      <w:r w:rsidR="00645085" w:rsidRPr="00640D24">
        <w:rPr>
          <w:rFonts w:cs="Times New Roman"/>
          <w:sz w:val="22"/>
          <w:szCs w:val="22"/>
        </w:rPr>
        <w:t>–</w:t>
      </w:r>
      <w:r w:rsidRPr="00640D24">
        <w:rPr>
          <w:rFonts w:cs="Times New Roman"/>
          <w:sz w:val="22"/>
          <w:szCs w:val="22"/>
        </w:rPr>
        <w:t>424 „Verslumo skatinimas 2014</w:t>
      </w:r>
      <w:r w:rsidR="0017787A" w:rsidRPr="00640D24">
        <w:rPr>
          <w:rFonts w:cs="Times New Roman"/>
          <w:sz w:val="22"/>
          <w:szCs w:val="22"/>
        </w:rPr>
        <w:t>–</w:t>
      </w:r>
      <w:r w:rsidRPr="00640D24">
        <w:rPr>
          <w:rFonts w:cs="Times New Roman"/>
          <w:sz w:val="22"/>
          <w:szCs w:val="22"/>
        </w:rPr>
        <w:t>2020“.</w:t>
      </w:r>
      <w:r w:rsidR="00B01796" w:rsidRPr="00640D24">
        <w:rPr>
          <w:rFonts w:cs="Times New Roman"/>
          <w:sz w:val="22"/>
          <w:szCs w:val="22"/>
        </w:rPr>
        <w:t xml:space="preserve"> </w:t>
      </w:r>
      <w:r w:rsidR="00C85435" w:rsidRPr="00640D24">
        <w:rPr>
          <w:rFonts w:cs="Times New Roman"/>
          <w:sz w:val="22"/>
          <w:szCs w:val="22"/>
        </w:rPr>
        <w:t>P</w:t>
      </w:r>
      <w:r w:rsidRPr="00640D24">
        <w:rPr>
          <w:rFonts w:cs="Times New Roman"/>
          <w:sz w:val="22"/>
          <w:szCs w:val="22"/>
        </w:rPr>
        <w:t xml:space="preserve">riemonės </w:t>
      </w:r>
      <w:proofErr w:type="spellStart"/>
      <w:r w:rsidRPr="00640D24">
        <w:rPr>
          <w:rFonts w:cs="Times New Roman"/>
          <w:sz w:val="22"/>
          <w:szCs w:val="22"/>
        </w:rPr>
        <w:t>panaudojamumas</w:t>
      </w:r>
      <w:proofErr w:type="spellEnd"/>
      <w:r w:rsidRPr="00640D24">
        <w:rPr>
          <w:rFonts w:cs="Times New Roman"/>
          <w:sz w:val="22"/>
          <w:szCs w:val="22"/>
        </w:rPr>
        <w:t xml:space="preserve"> 2020 m. liepos</w:t>
      </w:r>
      <w:r w:rsidR="00A3670B" w:rsidRPr="00640D24">
        <w:rPr>
          <w:rFonts w:cs="Times New Roman"/>
          <w:sz w:val="22"/>
          <w:szCs w:val="22"/>
        </w:rPr>
        <w:t xml:space="preserve"> 31 d.</w:t>
      </w:r>
      <w:r w:rsidRPr="00640D24">
        <w:rPr>
          <w:rFonts w:cs="Times New Roman"/>
          <w:sz w:val="22"/>
          <w:szCs w:val="22"/>
        </w:rPr>
        <w:t xml:space="preserve"> duomenimis siekia </w:t>
      </w:r>
      <w:r w:rsidR="00D23216" w:rsidRPr="00640D24">
        <w:rPr>
          <w:rFonts w:cs="Times New Roman"/>
          <w:sz w:val="22"/>
          <w:szCs w:val="22"/>
        </w:rPr>
        <w:t>79,</w:t>
      </w:r>
      <w:r w:rsidR="001C2C15" w:rsidRPr="00640D24">
        <w:rPr>
          <w:rFonts w:cs="Times New Roman"/>
          <w:sz w:val="22"/>
          <w:szCs w:val="22"/>
        </w:rPr>
        <w:t>3</w:t>
      </w:r>
      <w:r w:rsidR="00D23216" w:rsidRPr="00640D24">
        <w:rPr>
          <w:rFonts w:cs="Times New Roman"/>
          <w:sz w:val="22"/>
          <w:szCs w:val="22"/>
        </w:rPr>
        <w:t xml:space="preserve"> proc.</w:t>
      </w:r>
      <w:r w:rsidRPr="00640D24">
        <w:rPr>
          <w:rFonts w:cs="Times New Roman"/>
          <w:sz w:val="22"/>
          <w:szCs w:val="22"/>
        </w:rPr>
        <w:t xml:space="preserve">, tačiau tikimasi, kad iki priemonės pabaigos visa skirtų lėšų suma bus paskirstyta pareiškėjams. </w:t>
      </w:r>
      <w:r w:rsidR="00B01796" w:rsidRPr="00640D24">
        <w:rPr>
          <w:rFonts w:cs="Times New Roman"/>
          <w:sz w:val="22"/>
          <w:szCs w:val="22"/>
        </w:rPr>
        <w:t xml:space="preserve">Ši FP yra skirta fiziniams asmenims arba labai mažoms ir mažoms įmonėms </w:t>
      </w:r>
      <w:r w:rsidR="009F15E5" w:rsidRPr="00640D24">
        <w:rPr>
          <w:rFonts w:cs="Times New Roman"/>
          <w:sz w:val="22"/>
          <w:szCs w:val="22"/>
        </w:rPr>
        <w:t xml:space="preserve">(toliau – MĮ) </w:t>
      </w:r>
      <w:r w:rsidR="00B01796" w:rsidRPr="00640D24">
        <w:rPr>
          <w:rFonts w:cs="Times New Roman"/>
          <w:sz w:val="22"/>
          <w:szCs w:val="22"/>
        </w:rPr>
        <w:t>siekiant sukurti palankias sąlygas gauti paskolą ir pradėti ar vystyti iki 1 metų veikiantį verslą</w:t>
      </w:r>
      <w:r w:rsidR="008E20E8" w:rsidRPr="00640D24">
        <w:rPr>
          <w:rFonts w:cs="Times New Roman"/>
          <w:sz w:val="22"/>
          <w:szCs w:val="22"/>
        </w:rPr>
        <w:t>.</w:t>
      </w:r>
      <w:r w:rsidR="002116A6" w:rsidRPr="00640D24">
        <w:rPr>
          <w:rFonts w:cs="Times New Roman"/>
          <w:sz w:val="22"/>
          <w:szCs w:val="22"/>
        </w:rPr>
        <w:t xml:space="preserve"> Pareiškėjai, kurie pasinaudojo paskolų FP turi galimybę kreiptis dėl priemonės </w:t>
      </w:r>
      <w:bookmarkStart w:id="49" w:name="_Hlk57213618"/>
      <w:r w:rsidR="002116A6" w:rsidRPr="00640D24">
        <w:rPr>
          <w:rFonts w:cs="Times New Roman"/>
          <w:sz w:val="22"/>
          <w:szCs w:val="22"/>
        </w:rPr>
        <w:t>„Subsidijos verslo pradžiai“.</w:t>
      </w:r>
      <w:r w:rsidR="008E20E8" w:rsidRPr="00640D24">
        <w:rPr>
          <w:rFonts w:cs="Times New Roman"/>
          <w:sz w:val="22"/>
          <w:szCs w:val="22"/>
        </w:rPr>
        <w:t xml:space="preserve"> </w:t>
      </w:r>
      <w:bookmarkEnd w:id="49"/>
      <w:r w:rsidR="008E20E8" w:rsidRPr="00640D24">
        <w:rPr>
          <w:rFonts w:cs="Times New Roman"/>
          <w:sz w:val="22"/>
          <w:szCs w:val="22"/>
        </w:rPr>
        <w:t xml:space="preserve">Pagal panaudotas ES SF fondų lėšas matoma, kad subsidijos verslo pradžiai, skirtos darbuotojų darbo užmokesčio išlaidoms kompensuoti </w:t>
      </w:r>
      <w:r w:rsidR="002116A6" w:rsidRPr="00640D24">
        <w:rPr>
          <w:rFonts w:cs="Times New Roman"/>
          <w:sz w:val="22"/>
          <w:szCs w:val="22"/>
        </w:rPr>
        <w:t xml:space="preserve">taip pat </w:t>
      </w:r>
      <w:r w:rsidR="008E20E8" w:rsidRPr="00640D24">
        <w:rPr>
          <w:rFonts w:cs="Times New Roman"/>
          <w:sz w:val="22"/>
          <w:szCs w:val="22"/>
        </w:rPr>
        <w:t xml:space="preserve">buvo populiari priemonė tarp pareiškėjų. </w:t>
      </w:r>
      <w:r w:rsidR="00B2666D" w:rsidRPr="00640D24">
        <w:rPr>
          <w:rFonts w:cs="Times New Roman"/>
          <w:sz w:val="22"/>
          <w:szCs w:val="22"/>
        </w:rPr>
        <w:t xml:space="preserve">Atlikus pateiktų paraiškų pagal priemonę „Subsidijos verslo pradžiai“ </w:t>
      </w:r>
      <w:proofErr w:type="spellStart"/>
      <w:r w:rsidR="00B2666D" w:rsidRPr="00640D24">
        <w:rPr>
          <w:rFonts w:cs="Times New Roman"/>
          <w:sz w:val="22"/>
          <w:szCs w:val="22"/>
        </w:rPr>
        <w:t>regioniškumo</w:t>
      </w:r>
      <w:proofErr w:type="spellEnd"/>
      <w:r w:rsidR="00B2666D" w:rsidRPr="00640D24">
        <w:rPr>
          <w:rFonts w:cs="Times New Roman"/>
          <w:sz w:val="22"/>
          <w:szCs w:val="22"/>
        </w:rPr>
        <w:t xml:space="preserve"> vertinimą buvo pastebėta, kad net 73 proc. prašomos finansuoti sumos yra nukreipta į Vidurio ir Vakarų Lietuvos regioną.  </w:t>
      </w:r>
    </w:p>
    <w:p w14:paraId="4FBDB35F" w14:textId="19C879AD" w:rsidR="00BF7A2D" w:rsidRPr="00640D24" w:rsidRDefault="00BF7A2D" w:rsidP="00170B5F">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Atliekant Vertinimą</w:t>
      </w:r>
      <w:r w:rsidRPr="00640D24">
        <w:rPr>
          <w:rStyle w:val="Puslapioinaosnuoroda"/>
          <w:rFonts w:cs="Times New Roman"/>
          <w:sz w:val="22"/>
          <w:szCs w:val="22"/>
        </w:rPr>
        <w:footnoteReference w:id="54"/>
      </w:r>
      <w:r w:rsidR="00E9376B" w:rsidRPr="00640D24">
        <w:rPr>
          <w:rFonts w:cs="Times New Roman"/>
          <w:sz w:val="22"/>
          <w:szCs w:val="22"/>
        </w:rPr>
        <w:t xml:space="preserve">, RKF investicijoms skirtų lėšų </w:t>
      </w:r>
      <w:proofErr w:type="spellStart"/>
      <w:r w:rsidR="00E9376B" w:rsidRPr="00640D24">
        <w:rPr>
          <w:rFonts w:cs="Times New Roman"/>
          <w:sz w:val="22"/>
          <w:szCs w:val="22"/>
        </w:rPr>
        <w:t>panaudojamumas</w:t>
      </w:r>
      <w:proofErr w:type="spellEnd"/>
      <w:r w:rsidR="00E9376B" w:rsidRPr="00640D24">
        <w:rPr>
          <w:rFonts w:cs="Times New Roman"/>
          <w:sz w:val="22"/>
          <w:szCs w:val="22"/>
        </w:rPr>
        <w:t xml:space="preserve"> nėra esminis rodiklis vertinant </w:t>
      </w:r>
      <w:r w:rsidRPr="00640D24">
        <w:rPr>
          <w:rFonts w:cs="Times New Roman"/>
          <w:sz w:val="22"/>
          <w:szCs w:val="22"/>
        </w:rPr>
        <w:t xml:space="preserve">rizikos kapitalo </w:t>
      </w:r>
      <w:r w:rsidR="00E9376B" w:rsidRPr="00640D24">
        <w:rPr>
          <w:rFonts w:cs="Times New Roman"/>
          <w:sz w:val="22"/>
          <w:szCs w:val="22"/>
        </w:rPr>
        <w:t>investicijų poreikį.</w:t>
      </w:r>
      <w:r w:rsidR="00954BA7" w:rsidRPr="00640D24">
        <w:rPr>
          <w:rFonts w:cs="Times New Roman"/>
          <w:sz w:val="22"/>
          <w:szCs w:val="22"/>
        </w:rPr>
        <w:t xml:space="preserve"> </w:t>
      </w:r>
      <w:r w:rsidR="00E9376B" w:rsidRPr="00640D24">
        <w:rPr>
          <w:rFonts w:cs="Times New Roman"/>
          <w:sz w:val="22"/>
          <w:szCs w:val="22"/>
        </w:rPr>
        <w:t xml:space="preserve">RKF atstovai </w:t>
      </w:r>
      <w:r w:rsidRPr="00640D24">
        <w:rPr>
          <w:rFonts w:cs="Times New Roman"/>
          <w:sz w:val="22"/>
          <w:szCs w:val="22"/>
        </w:rPr>
        <w:t>interviu</w:t>
      </w:r>
      <w:r w:rsidR="00E9376B" w:rsidRPr="00640D24">
        <w:rPr>
          <w:rFonts w:cs="Times New Roman"/>
          <w:sz w:val="22"/>
          <w:szCs w:val="22"/>
        </w:rPr>
        <w:t xml:space="preserve"> metu nurodė</w:t>
      </w:r>
      <w:r w:rsidRPr="00640D24">
        <w:rPr>
          <w:rFonts w:cs="Times New Roman"/>
          <w:sz w:val="22"/>
          <w:szCs w:val="22"/>
        </w:rPr>
        <w:t>, kad</w:t>
      </w:r>
      <w:r w:rsidR="00CE0C3F" w:rsidRPr="00640D24">
        <w:rPr>
          <w:rFonts w:cs="Times New Roman"/>
          <w:sz w:val="22"/>
          <w:szCs w:val="22"/>
        </w:rPr>
        <w:t>,</w:t>
      </w:r>
      <w:r w:rsidRPr="00640D24">
        <w:rPr>
          <w:rFonts w:cs="Times New Roman"/>
          <w:sz w:val="22"/>
          <w:szCs w:val="22"/>
        </w:rPr>
        <w:t xml:space="preserve"> atsižvelgiant į RKF veiklos ciklą ir specifiką, šiuo metu rinkoje veikiantys RKF dar tik pradėjo aktyviai investuoti į įmones (investavimo laikotarpis – iki 2023 m.)</w:t>
      </w:r>
      <w:r w:rsidR="00E9376B" w:rsidRPr="00640D24">
        <w:rPr>
          <w:rFonts w:cs="Times New Roman"/>
          <w:sz w:val="22"/>
          <w:szCs w:val="22"/>
        </w:rPr>
        <w:t xml:space="preserve">. </w:t>
      </w:r>
      <w:r w:rsidRPr="00640D24">
        <w:rPr>
          <w:rFonts w:cs="Times New Roman"/>
          <w:sz w:val="22"/>
          <w:szCs w:val="22"/>
        </w:rPr>
        <w:t xml:space="preserve">Taip pat, buvo teigiama, kad rizikos kapitalo investicijos Lietuvoje tampa labai svarbus </w:t>
      </w:r>
      <w:proofErr w:type="spellStart"/>
      <w:r w:rsidRPr="00640D24">
        <w:rPr>
          <w:rFonts w:cs="Times New Roman"/>
          <w:sz w:val="22"/>
          <w:szCs w:val="22"/>
        </w:rPr>
        <w:t>startuolių</w:t>
      </w:r>
      <w:proofErr w:type="spellEnd"/>
      <w:r w:rsidRPr="00640D24">
        <w:rPr>
          <w:rFonts w:cs="Times New Roman"/>
          <w:sz w:val="22"/>
          <w:szCs w:val="22"/>
        </w:rPr>
        <w:t xml:space="preserve"> išorinio finansavimo šaltinis. Tikėtina, kad rizikos kapitalo investicijų paklausa augs.</w:t>
      </w:r>
    </w:p>
    <w:p w14:paraId="70E7CC57" w14:textId="497123AE" w:rsidR="0091636C" w:rsidRPr="00640D24" w:rsidRDefault="0091636C" w:rsidP="0091636C">
      <w:pPr>
        <w:autoSpaceDE w:val="0"/>
        <w:autoSpaceDN w:val="0"/>
        <w:adjustRightInd w:val="0"/>
        <w:spacing w:before="60" w:after="60" w:line="240" w:lineRule="auto"/>
        <w:ind w:firstLine="567"/>
        <w:jc w:val="both"/>
        <w:rPr>
          <w:rFonts w:cs="Times New Roman"/>
          <w:sz w:val="22"/>
          <w:szCs w:val="22"/>
        </w:rPr>
      </w:pPr>
      <w:bookmarkStart w:id="50" w:name="_Hlk82535194"/>
      <w:r w:rsidRPr="00640D24">
        <w:rPr>
          <w:rFonts w:cs="Times New Roman"/>
          <w:sz w:val="22"/>
          <w:szCs w:val="22"/>
        </w:rPr>
        <w:t xml:space="preserve">Vertinimo metu atliktos interviu programos metu nustatyta, kad poreikis investuoti į </w:t>
      </w:r>
      <w:proofErr w:type="spellStart"/>
      <w:r w:rsidRPr="00640D24">
        <w:rPr>
          <w:rFonts w:cs="Times New Roman"/>
          <w:sz w:val="22"/>
          <w:szCs w:val="22"/>
        </w:rPr>
        <w:t>startuolius</w:t>
      </w:r>
      <w:proofErr w:type="spellEnd"/>
      <w:r w:rsidRPr="00640D24">
        <w:rPr>
          <w:rFonts w:cs="Times New Roman"/>
          <w:sz w:val="22"/>
          <w:szCs w:val="22"/>
        </w:rPr>
        <w:t xml:space="preserve"> yra didelis ir ateityje valstybės intervencijos bus reikalingos </w:t>
      </w:r>
      <w:proofErr w:type="spellStart"/>
      <w:r w:rsidRPr="00640D24">
        <w:rPr>
          <w:rFonts w:cs="Times New Roman"/>
          <w:sz w:val="22"/>
          <w:szCs w:val="22"/>
        </w:rPr>
        <w:t>priešankstyvosios</w:t>
      </w:r>
      <w:proofErr w:type="spellEnd"/>
      <w:r w:rsidRPr="00640D24">
        <w:rPr>
          <w:rFonts w:cs="Times New Roman"/>
          <w:sz w:val="22"/>
          <w:szCs w:val="22"/>
        </w:rPr>
        <w:t xml:space="preserve"> ir ankstyvosios stadijos </w:t>
      </w:r>
      <w:proofErr w:type="spellStart"/>
      <w:r w:rsidRPr="00640D24">
        <w:rPr>
          <w:rFonts w:cs="Times New Roman"/>
          <w:sz w:val="22"/>
          <w:szCs w:val="22"/>
        </w:rPr>
        <w:t>startuoliams</w:t>
      </w:r>
      <w:proofErr w:type="spellEnd"/>
      <w:r w:rsidRPr="00640D24">
        <w:rPr>
          <w:rFonts w:cs="Times New Roman"/>
          <w:sz w:val="22"/>
          <w:szCs w:val="22"/>
        </w:rPr>
        <w:t>. 2020 m. liepos 31 d. duomenimis, FP „</w:t>
      </w:r>
      <w:proofErr w:type="spellStart"/>
      <w:r w:rsidRPr="00640D24">
        <w:rPr>
          <w:rFonts w:cs="Times New Roman"/>
          <w:sz w:val="22"/>
          <w:szCs w:val="22"/>
        </w:rPr>
        <w:t>Akceleravimo</w:t>
      </w:r>
      <w:proofErr w:type="spellEnd"/>
      <w:r w:rsidRPr="00640D24">
        <w:rPr>
          <w:rFonts w:cs="Times New Roman"/>
          <w:sz w:val="22"/>
          <w:szCs w:val="22"/>
        </w:rPr>
        <w:t xml:space="preserve"> fondas“ ES SF lėšos siekė 14,48 mln. </w:t>
      </w:r>
      <w:proofErr w:type="spellStart"/>
      <w:r w:rsidRPr="00640D24">
        <w:rPr>
          <w:rFonts w:cs="Times New Roman"/>
          <w:sz w:val="22"/>
          <w:szCs w:val="22"/>
        </w:rPr>
        <w:t>Eur</w:t>
      </w:r>
      <w:proofErr w:type="spellEnd"/>
      <w:r w:rsidRPr="00640D24">
        <w:rPr>
          <w:rFonts w:cs="Times New Roman"/>
          <w:sz w:val="22"/>
          <w:szCs w:val="22"/>
        </w:rPr>
        <w:t xml:space="preserve"> (paskutinėje</w:t>
      </w:r>
      <w:r w:rsidRPr="00640D24">
        <w:rPr>
          <w:rStyle w:val="Puslapioinaosnuoroda"/>
          <w:rFonts w:cs="Times New Roman"/>
          <w:sz w:val="22"/>
          <w:szCs w:val="22"/>
        </w:rPr>
        <w:footnoteReference w:id="55"/>
      </w:r>
      <w:r w:rsidRPr="00640D24">
        <w:rPr>
          <w:rFonts w:cs="Times New Roman"/>
          <w:sz w:val="22"/>
          <w:szCs w:val="22"/>
        </w:rPr>
        <w:t xml:space="preserve"> 2014–2020 m. išankstinio verslo finansavimo vertinimo versijoje buvo nustatytas papildomas 20 mln. </w:t>
      </w:r>
      <w:proofErr w:type="spellStart"/>
      <w:r w:rsidRPr="00640D24">
        <w:rPr>
          <w:rFonts w:cs="Times New Roman"/>
          <w:sz w:val="22"/>
          <w:szCs w:val="22"/>
        </w:rPr>
        <w:t>Eur</w:t>
      </w:r>
      <w:proofErr w:type="spellEnd"/>
      <w:r w:rsidRPr="00640D24">
        <w:rPr>
          <w:rFonts w:cs="Times New Roman"/>
          <w:sz w:val="22"/>
          <w:szCs w:val="22"/>
        </w:rPr>
        <w:t xml:space="preserve"> finansavimo poreikis), o fondo panaudotos lėšos sudarė apie 30 proc., t. y. 4,52  mln. </w:t>
      </w:r>
      <w:proofErr w:type="spellStart"/>
      <w:r w:rsidRPr="00640D24">
        <w:rPr>
          <w:rFonts w:cs="Times New Roman"/>
          <w:sz w:val="22"/>
          <w:szCs w:val="22"/>
        </w:rPr>
        <w:t>Eur</w:t>
      </w:r>
      <w:proofErr w:type="spellEnd"/>
      <w:r w:rsidRPr="00640D24">
        <w:rPr>
          <w:rFonts w:cs="Times New Roman"/>
          <w:sz w:val="22"/>
          <w:szCs w:val="22"/>
        </w:rPr>
        <w:t>. Remiantis 2020 m. birželio 30 d. duomenimis, kitų RKF lėšų panaudojimas yra mažesnis – Ko–investicinio fondo I panaudojimas siekia 4,4 proc.</w:t>
      </w:r>
      <w:r w:rsidRPr="00640D24">
        <w:rPr>
          <w:rStyle w:val="Puslapioinaosnuoroda"/>
          <w:rFonts w:cs="Times New Roman"/>
          <w:sz w:val="22"/>
          <w:szCs w:val="22"/>
        </w:rPr>
        <w:footnoteReference w:id="56"/>
      </w:r>
      <w:r w:rsidRPr="00640D24">
        <w:rPr>
          <w:rFonts w:cs="Times New Roman"/>
          <w:sz w:val="22"/>
          <w:szCs w:val="22"/>
        </w:rPr>
        <w:t>, Ko</w:t>
      </w:r>
      <w:r w:rsidR="00645085" w:rsidRPr="00640D24">
        <w:rPr>
          <w:rFonts w:cs="Times New Roman"/>
          <w:sz w:val="22"/>
          <w:szCs w:val="22"/>
        </w:rPr>
        <w:t>–</w:t>
      </w:r>
      <w:r w:rsidRPr="00640D24">
        <w:rPr>
          <w:rFonts w:cs="Times New Roman"/>
          <w:sz w:val="22"/>
          <w:szCs w:val="22"/>
        </w:rPr>
        <w:t xml:space="preserve">investicinio fondo susisiekimui – 6,3 proc., Bendrai su verslo </w:t>
      </w:r>
      <w:r w:rsidRPr="00640D24">
        <w:rPr>
          <w:rFonts w:cs="Times New Roman"/>
          <w:sz w:val="22"/>
          <w:szCs w:val="22"/>
        </w:rPr>
        <w:lastRenderedPageBreak/>
        <w:t>angelais investuojantis fondo – apie 8 proc., Ankstyvosios stadijos ir plėtros fondo (toliau – ASIPF) II – 14,6 proc., Plėtros fondo I – 16,99 proc.; ASIPF I – 25,1 proc., Ko–investicinio fondo II – 26,4 proc.</w:t>
      </w:r>
      <w:bookmarkEnd w:id="50"/>
    </w:p>
    <w:p w14:paraId="0BFCBBB8" w14:textId="1FD1A4B9" w:rsidR="000974F3" w:rsidRPr="00640D24" w:rsidRDefault="008A41E9" w:rsidP="00170B5F">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 xml:space="preserve">Atliekant </w:t>
      </w:r>
      <w:r w:rsidR="00454325" w:rsidRPr="00640D24">
        <w:rPr>
          <w:rFonts w:cs="Times New Roman"/>
          <w:sz w:val="22"/>
          <w:szCs w:val="22"/>
        </w:rPr>
        <w:t>V</w:t>
      </w:r>
      <w:r w:rsidRPr="00640D24">
        <w:rPr>
          <w:rFonts w:cs="Times New Roman"/>
          <w:sz w:val="22"/>
          <w:szCs w:val="22"/>
        </w:rPr>
        <w:t xml:space="preserve">ertinimą </w:t>
      </w:r>
      <w:r w:rsidR="00454325" w:rsidRPr="00640D24">
        <w:rPr>
          <w:rFonts w:cs="Times New Roman"/>
          <w:sz w:val="22"/>
          <w:szCs w:val="22"/>
        </w:rPr>
        <w:t xml:space="preserve">buvo </w:t>
      </w:r>
      <w:r w:rsidR="00C76057" w:rsidRPr="00640D24">
        <w:rPr>
          <w:rFonts w:cs="Times New Roman"/>
          <w:sz w:val="22"/>
          <w:szCs w:val="22"/>
        </w:rPr>
        <w:t>įvard</w:t>
      </w:r>
      <w:r w:rsidR="002916DE" w:rsidRPr="00640D24">
        <w:rPr>
          <w:rFonts w:cs="Times New Roman"/>
          <w:sz w:val="22"/>
          <w:szCs w:val="22"/>
        </w:rPr>
        <w:t>y</w:t>
      </w:r>
      <w:r w:rsidR="00C76057" w:rsidRPr="00640D24">
        <w:rPr>
          <w:rFonts w:cs="Times New Roman"/>
          <w:sz w:val="22"/>
          <w:szCs w:val="22"/>
        </w:rPr>
        <w:t xml:space="preserve">tas </w:t>
      </w:r>
      <w:r w:rsidRPr="00640D24">
        <w:rPr>
          <w:rFonts w:cs="Times New Roman"/>
          <w:sz w:val="22"/>
          <w:szCs w:val="22"/>
        </w:rPr>
        <w:t>poreikis</w:t>
      </w:r>
      <w:r w:rsidR="00B37743" w:rsidRPr="00640D24">
        <w:rPr>
          <w:rFonts w:cs="Times New Roman"/>
          <w:sz w:val="22"/>
          <w:szCs w:val="22"/>
        </w:rPr>
        <w:t xml:space="preserve"> specializuotoms </w:t>
      </w:r>
      <w:proofErr w:type="spellStart"/>
      <w:r w:rsidR="00B37743" w:rsidRPr="00640D24">
        <w:rPr>
          <w:rFonts w:cs="Times New Roman"/>
          <w:sz w:val="22"/>
          <w:szCs w:val="22"/>
        </w:rPr>
        <w:t>akceleravimo</w:t>
      </w:r>
      <w:proofErr w:type="spellEnd"/>
      <w:r w:rsidR="00B37743" w:rsidRPr="00640D24">
        <w:rPr>
          <w:rFonts w:cs="Times New Roman"/>
          <w:sz w:val="22"/>
          <w:szCs w:val="22"/>
        </w:rPr>
        <w:t xml:space="preserve"> programoms. </w:t>
      </w:r>
      <w:r w:rsidR="00454325" w:rsidRPr="00640D24">
        <w:rPr>
          <w:rFonts w:cs="Times New Roman"/>
          <w:sz w:val="22"/>
          <w:szCs w:val="22"/>
        </w:rPr>
        <w:t>Vertinimo metu buvo nustatyta</w:t>
      </w:r>
      <w:r w:rsidRPr="00640D24">
        <w:rPr>
          <w:rFonts w:cs="Times New Roman"/>
          <w:sz w:val="22"/>
          <w:szCs w:val="22"/>
        </w:rPr>
        <w:t>,</w:t>
      </w:r>
      <w:r w:rsidR="00454325" w:rsidRPr="00640D24">
        <w:rPr>
          <w:rFonts w:cs="Times New Roman"/>
          <w:sz w:val="22"/>
          <w:szCs w:val="22"/>
        </w:rPr>
        <w:t xml:space="preserve"> kad</w:t>
      </w:r>
      <w:r w:rsidRPr="00640D24">
        <w:rPr>
          <w:rFonts w:cs="Times New Roman"/>
          <w:sz w:val="22"/>
          <w:szCs w:val="22"/>
        </w:rPr>
        <w:t xml:space="preserve"> 2014</w:t>
      </w:r>
      <w:r w:rsidR="00713B4A" w:rsidRPr="00640D24">
        <w:rPr>
          <w:rFonts w:cs="Times New Roman"/>
          <w:sz w:val="22"/>
          <w:szCs w:val="22"/>
        </w:rPr>
        <w:t>–</w:t>
      </w:r>
      <w:r w:rsidRPr="00640D24">
        <w:rPr>
          <w:rFonts w:cs="Times New Roman"/>
          <w:sz w:val="22"/>
          <w:szCs w:val="22"/>
        </w:rPr>
        <w:t xml:space="preserve">2020 m. ES SF </w:t>
      </w:r>
      <w:r w:rsidR="006C1877" w:rsidRPr="00640D24">
        <w:rPr>
          <w:rFonts w:cs="Times New Roman"/>
          <w:sz w:val="22"/>
          <w:szCs w:val="22"/>
        </w:rPr>
        <w:t xml:space="preserve">programavimo </w:t>
      </w:r>
      <w:r w:rsidRPr="00640D24">
        <w:rPr>
          <w:rFonts w:cs="Times New Roman"/>
          <w:sz w:val="22"/>
          <w:szCs w:val="22"/>
        </w:rPr>
        <w:t>laikotarpiu,</w:t>
      </w:r>
      <w:r w:rsidR="00B37743" w:rsidRPr="00640D24">
        <w:rPr>
          <w:rFonts w:cs="Times New Roman"/>
          <w:sz w:val="22"/>
          <w:szCs w:val="22"/>
        </w:rPr>
        <w:t xml:space="preserve"> </w:t>
      </w:r>
      <w:proofErr w:type="spellStart"/>
      <w:r w:rsidR="00B37743" w:rsidRPr="00640D24">
        <w:rPr>
          <w:rFonts w:cs="Times New Roman"/>
          <w:sz w:val="22"/>
          <w:szCs w:val="22"/>
        </w:rPr>
        <w:t>akceleravimo</w:t>
      </w:r>
      <w:proofErr w:type="spellEnd"/>
      <w:r w:rsidR="00B37743" w:rsidRPr="00640D24">
        <w:rPr>
          <w:rFonts w:cs="Times New Roman"/>
          <w:sz w:val="22"/>
          <w:szCs w:val="22"/>
        </w:rPr>
        <w:t xml:space="preserve"> programose dalyvaujantys verslai turi </w:t>
      </w:r>
      <w:r w:rsidRPr="00640D24">
        <w:rPr>
          <w:rFonts w:cs="Times New Roman"/>
          <w:sz w:val="22"/>
          <w:szCs w:val="22"/>
        </w:rPr>
        <w:t>ribotas</w:t>
      </w:r>
      <w:r w:rsidR="00B37743" w:rsidRPr="00640D24">
        <w:rPr>
          <w:rFonts w:cs="Times New Roman"/>
          <w:sz w:val="22"/>
          <w:szCs w:val="22"/>
        </w:rPr>
        <w:t xml:space="preserve"> galimybes gauti </w:t>
      </w:r>
      <w:r w:rsidR="00101992" w:rsidRPr="00640D24">
        <w:rPr>
          <w:rFonts w:cs="Times New Roman"/>
          <w:sz w:val="22"/>
          <w:szCs w:val="22"/>
        </w:rPr>
        <w:t>tikslinių</w:t>
      </w:r>
      <w:r w:rsidR="00B37743" w:rsidRPr="00640D24">
        <w:rPr>
          <w:rFonts w:cs="Times New Roman"/>
          <w:sz w:val="22"/>
          <w:szCs w:val="22"/>
        </w:rPr>
        <w:t xml:space="preserve"> žinių ir kompetencijų tolimesniam verslo vystymui</w:t>
      </w:r>
      <w:r w:rsidR="00101992" w:rsidRPr="00640D24">
        <w:rPr>
          <w:rFonts w:cs="Times New Roman"/>
          <w:sz w:val="22"/>
          <w:szCs w:val="22"/>
        </w:rPr>
        <w:t xml:space="preserve"> konkrečiuose sektoriuose.</w:t>
      </w:r>
      <w:r w:rsidR="00454325" w:rsidRPr="00640D24">
        <w:rPr>
          <w:rFonts w:cs="Times New Roman"/>
          <w:sz w:val="22"/>
          <w:szCs w:val="22"/>
        </w:rPr>
        <w:t xml:space="preserve"> </w:t>
      </w:r>
      <w:r w:rsidR="0016455F" w:rsidRPr="00640D24">
        <w:rPr>
          <w:rFonts w:cs="Times New Roman"/>
          <w:sz w:val="22"/>
          <w:szCs w:val="22"/>
        </w:rPr>
        <w:t>A</w:t>
      </w:r>
      <w:r w:rsidR="007D1FE4" w:rsidRPr="00640D24">
        <w:rPr>
          <w:rFonts w:cs="Times New Roman"/>
          <w:sz w:val="22"/>
          <w:szCs w:val="22"/>
        </w:rPr>
        <w:t>tliktas</w:t>
      </w:r>
      <w:r w:rsidR="00454325" w:rsidRPr="00640D24">
        <w:rPr>
          <w:rFonts w:cs="Times New Roman"/>
          <w:sz w:val="22"/>
          <w:szCs w:val="22"/>
        </w:rPr>
        <w:t xml:space="preserve"> kokybinis tyrimas patvirtino 2020 m. atlikto verslo finansavimo srities </w:t>
      </w:r>
      <w:proofErr w:type="spellStart"/>
      <w:r w:rsidR="00C97E03" w:rsidRPr="00640D24">
        <w:rPr>
          <w:rFonts w:cs="Times New Roman"/>
          <w:i/>
          <w:iCs/>
          <w:sz w:val="22"/>
          <w:szCs w:val="22"/>
        </w:rPr>
        <w:t>ex</w:t>
      </w:r>
      <w:proofErr w:type="spellEnd"/>
      <w:r w:rsidR="00645085" w:rsidRPr="00640D24">
        <w:rPr>
          <w:rFonts w:cs="Times New Roman"/>
          <w:i/>
          <w:iCs/>
          <w:sz w:val="22"/>
          <w:szCs w:val="22"/>
        </w:rPr>
        <w:t>–</w:t>
      </w:r>
      <w:proofErr w:type="spellStart"/>
      <w:r w:rsidR="00C97E03" w:rsidRPr="00640D24">
        <w:rPr>
          <w:rFonts w:cs="Times New Roman"/>
          <w:i/>
          <w:iCs/>
          <w:sz w:val="22"/>
          <w:szCs w:val="22"/>
        </w:rPr>
        <w:t>ante</w:t>
      </w:r>
      <w:proofErr w:type="spellEnd"/>
      <w:r w:rsidR="00C97E03" w:rsidRPr="00640D24">
        <w:rPr>
          <w:rFonts w:cs="Times New Roman"/>
          <w:sz w:val="22"/>
          <w:szCs w:val="22"/>
        </w:rPr>
        <w:t xml:space="preserve"> </w:t>
      </w:r>
      <w:r w:rsidR="00454325" w:rsidRPr="00640D24">
        <w:rPr>
          <w:rFonts w:cs="Times New Roman"/>
          <w:sz w:val="22"/>
          <w:szCs w:val="22"/>
        </w:rPr>
        <w:t xml:space="preserve">vertinimo </w:t>
      </w:r>
      <w:r w:rsidR="00C97E03" w:rsidRPr="00640D24">
        <w:rPr>
          <w:rFonts w:cs="Times New Roman"/>
          <w:sz w:val="22"/>
          <w:szCs w:val="22"/>
        </w:rPr>
        <w:t xml:space="preserve">atnaujinimo </w:t>
      </w:r>
      <w:r w:rsidR="00454325" w:rsidRPr="00640D24">
        <w:rPr>
          <w:rFonts w:cs="Times New Roman"/>
          <w:sz w:val="22"/>
          <w:szCs w:val="22"/>
        </w:rPr>
        <w:t xml:space="preserve">metu gautus rezultatus – FT </w:t>
      </w:r>
      <w:r w:rsidR="007D1FE4" w:rsidRPr="00640D24">
        <w:rPr>
          <w:rFonts w:cs="Times New Roman"/>
          <w:sz w:val="22"/>
          <w:szCs w:val="22"/>
        </w:rPr>
        <w:t>patvirtino</w:t>
      </w:r>
      <w:r w:rsidR="00454325" w:rsidRPr="00640D24">
        <w:rPr>
          <w:rFonts w:cs="Times New Roman"/>
          <w:sz w:val="22"/>
          <w:szCs w:val="22"/>
        </w:rPr>
        <w:t xml:space="preserve">, kad </w:t>
      </w:r>
      <w:r w:rsidR="007D1FE4" w:rsidRPr="00640D24">
        <w:rPr>
          <w:rFonts w:cs="Times New Roman"/>
          <w:sz w:val="22"/>
          <w:szCs w:val="22"/>
        </w:rPr>
        <w:t>šiuo metu</w:t>
      </w:r>
      <w:r w:rsidR="00454325" w:rsidRPr="00640D24">
        <w:rPr>
          <w:rFonts w:cs="Times New Roman"/>
          <w:sz w:val="22"/>
          <w:szCs w:val="22"/>
        </w:rPr>
        <w:t xml:space="preserve"> aktualus</w:t>
      </w:r>
      <w:r w:rsidR="00302656" w:rsidRPr="00640D24">
        <w:rPr>
          <w:rFonts w:cs="Times New Roman"/>
          <w:sz w:val="22"/>
          <w:szCs w:val="22"/>
        </w:rPr>
        <w:t xml:space="preserve"> </w:t>
      </w:r>
      <w:r w:rsidR="00E635ED" w:rsidRPr="00640D24">
        <w:rPr>
          <w:rFonts w:cs="Times New Roman"/>
          <w:sz w:val="22"/>
          <w:szCs w:val="22"/>
        </w:rPr>
        <w:t>papildomų investicijų poreik</w:t>
      </w:r>
      <w:r w:rsidR="00B37743" w:rsidRPr="00640D24">
        <w:rPr>
          <w:rFonts w:cs="Times New Roman"/>
          <w:sz w:val="22"/>
          <w:szCs w:val="22"/>
        </w:rPr>
        <w:t>is</w:t>
      </w:r>
      <w:r w:rsidR="00E635ED" w:rsidRPr="00640D24">
        <w:rPr>
          <w:rFonts w:cs="Times New Roman"/>
          <w:sz w:val="22"/>
          <w:szCs w:val="22"/>
        </w:rPr>
        <w:t xml:space="preserve"> </w:t>
      </w:r>
      <w:r w:rsidR="00454325" w:rsidRPr="00640D24">
        <w:rPr>
          <w:rFonts w:cs="Times New Roman"/>
          <w:sz w:val="22"/>
          <w:szCs w:val="22"/>
        </w:rPr>
        <w:t xml:space="preserve">specializuotoms, į tam tikrus konkrečius ūkio sektorius orientuotoms </w:t>
      </w:r>
      <w:proofErr w:type="spellStart"/>
      <w:r w:rsidR="00454325" w:rsidRPr="00640D24">
        <w:rPr>
          <w:rFonts w:cs="Times New Roman"/>
          <w:sz w:val="22"/>
          <w:szCs w:val="22"/>
        </w:rPr>
        <w:t>akceleravimo</w:t>
      </w:r>
      <w:proofErr w:type="spellEnd"/>
      <w:r w:rsidR="00454325" w:rsidRPr="00640D24">
        <w:rPr>
          <w:rFonts w:cs="Times New Roman"/>
          <w:sz w:val="22"/>
          <w:szCs w:val="22"/>
        </w:rPr>
        <w:t xml:space="preserve"> programoms, tokioms kaip </w:t>
      </w:r>
      <w:r w:rsidR="00E635ED" w:rsidRPr="00640D24">
        <w:rPr>
          <w:rFonts w:cs="Times New Roman"/>
          <w:sz w:val="22"/>
          <w:szCs w:val="22"/>
        </w:rPr>
        <w:t>giliųjų technologijų</w:t>
      </w:r>
      <w:r w:rsidR="000213E0" w:rsidRPr="00640D24">
        <w:rPr>
          <w:rFonts w:cs="Times New Roman"/>
          <w:sz w:val="22"/>
          <w:szCs w:val="22"/>
        </w:rPr>
        <w:t xml:space="preserve"> (angl. </w:t>
      </w:r>
      <w:proofErr w:type="spellStart"/>
      <w:r w:rsidR="000213E0" w:rsidRPr="00640D24">
        <w:rPr>
          <w:rFonts w:cs="Times New Roman"/>
          <w:i/>
          <w:iCs/>
          <w:sz w:val="22"/>
          <w:szCs w:val="22"/>
        </w:rPr>
        <w:t>deeptech</w:t>
      </w:r>
      <w:proofErr w:type="spellEnd"/>
      <w:r w:rsidR="000213E0" w:rsidRPr="00640D24">
        <w:rPr>
          <w:rFonts w:cs="Times New Roman"/>
          <w:sz w:val="22"/>
          <w:szCs w:val="22"/>
        </w:rPr>
        <w:t>)</w:t>
      </w:r>
      <w:r w:rsidR="00CF2243" w:rsidRPr="00640D24">
        <w:rPr>
          <w:rFonts w:cs="Times New Roman"/>
          <w:sz w:val="22"/>
          <w:szCs w:val="22"/>
        </w:rPr>
        <w:t xml:space="preserve"> </w:t>
      </w:r>
      <w:r w:rsidR="00E635ED" w:rsidRPr="00640D24">
        <w:rPr>
          <w:rFonts w:cs="Times New Roman"/>
          <w:sz w:val="22"/>
          <w:szCs w:val="22"/>
        </w:rPr>
        <w:t>ir gyvybės mokslų.</w:t>
      </w:r>
      <w:r w:rsidR="00D40544" w:rsidRPr="00640D24">
        <w:rPr>
          <w:rFonts w:cs="Times New Roman"/>
          <w:sz w:val="22"/>
          <w:szCs w:val="22"/>
        </w:rPr>
        <w:t xml:space="preserve"> </w:t>
      </w:r>
    </w:p>
    <w:p w14:paraId="26135266" w14:textId="36037190" w:rsidR="00B32A83" w:rsidRPr="00640D24" w:rsidRDefault="0059424C" w:rsidP="00B32A83">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 xml:space="preserve">Atlikus </w:t>
      </w:r>
      <w:r w:rsidR="002916DE" w:rsidRPr="00640D24">
        <w:rPr>
          <w:rFonts w:cs="Times New Roman"/>
          <w:sz w:val="22"/>
          <w:szCs w:val="22"/>
        </w:rPr>
        <w:t>rizikos kapitalo</w:t>
      </w:r>
      <w:r w:rsidRPr="00640D24">
        <w:rPr>
          <w:rFonts w:cs="Times New Roman"/>
          <w:sz w:val="22"/>
          <w:szCs w:val="22"/>
        </w:rPr>
        <w:t xml:space="preserve"> investicijas gavusių </w:t>
      </w:r>
      <w:proofErr w:type="spellStart"/>
      <w:r w:rsidRPr="00640D24">
        <w:rPr>
          <w:rFonts w:cs="Times New Roman"/>
          <w:sz w:val="22"/>
          <w:szCs w:val="22"/>
        </w:rPr>
        <w:t>startuolių</w:t>
      </w:r>
      <w:proofErr w:type="spellEnd"/>
      <w:r w:rsidRPr="00640D24">
        <w:rPr>
          <w:rFonts w:cs="Times New Roman"/>
          <w:sz w:val="22"/>
          <w:szCs w:val="22"/>
        </w:rPr>
        <w:t xml:space="preserve"> analizę buvo nustatyta,</w:t>
      </w:r>
      <w:r w:rsidR="00E510B5" w:rsidRPr="00640D24">
        <w:rPr>
          <w:rFonts w:cs="Times New Roman"/>
          <w:sz w:val="22"/>
          <w:szCs w:val="22"/>
        </w:rPr>
        <w:t xml:space="preserve"> kad iš 127 </w:t>
      </w:r>
      <w:r w:rsidR="009F15E5" w:rsidRPr="00640D24">
        <w:rPr>
          <w:rFonts w:cs="Times New Roman"/>
          <w:sz w:val="22"/>
          <w:szCs w:val="22"/>
        </w:rPr>
        <w:t xml:space="preserve">investicijas gavusių </w:t>
      </w:r>
      <w:proofErr w:type="spellStart"/>
      <w:r w:rsidR="00E510B5" w:rsidRPr="00640D24">
        <w:rPr>
          <w:rFonts w:cs="Times New Roman"/>
          <w:sz w:val="22"/>
          <w:szCs w:val="22"/>
        </w:rPr>
        <w:t>startuolių</w:t>
      </w:r>
      <w:proofErr w:type="spellEnd"/>
      <w:r w:rsidR="00E510B5" w:rsidRPr="00640D24">
        <w:rPr>
          <w:rFonts w:cs="Times New Roman"/>
          <w:sz w:val="22"/>
          <w:szCs w:val="22"/>
        </w:rPr>
        <w:t xml:space="preserve"> net 105 </w:t>
      </w:r>
      <w:proofErr w:type="spellStart"/>
      <w:r w:rsidR="00E510B5" w:rsidRPr="00640D24">
        <w:rPr>
          <w:rFonts w:cs="Times New Roman"/>
          <w:sz w:val="22"/>
          <w:szCs w:val="22"/>
        </w:rPr>
        <w:t>startuoliai</w:t>
      </w:r>
      <w:proofErr w:type="spellEnd"/>
      <w:r w:rsidR="00E510B5" w:rsidRPr="00640D24">
        <w:rPr>
          <w:rFonts w:cs="Times New Roman"/>
          <w:sz w:val="22"/>
          <w:szCs w:val="22"/>
        </w:rPr>
        <w:t xml:space="preserve"> yra registruoti Sostinės regione. Remiantis prieinama informacija tik 6,4 </w:t>
      </w:r>
      <w:r w:rsidR="00DC76EA" w:rsidRPr="00640D24">
        <w:rPr>
          <w:rFonts w:cs="Times New Roman"/>
          <w:sz w:val="22"/>
          <w:szCs w:val="22"/>
        </w:rPr>
        <w:t> </w:t>
      </w:r>
      <w:r w:rsidR="00E510B5" w:rsidRPr="00640D24">
        <w:rPr>
          <w:rFonts w:cs="Times New Roman"/>
          <w:sz w:val="22"/>
          <w:szCs w:val="22"/>
        </w:rPr>
        <w:t xml:space="preserve">mln. </w:t>
      </w:r>
      <w:proofErr w:type="spellStart"/>
      <w:r w:rsidR="00E510B5" w:rsidRPr="00640D24">
        <w:rPr>
          <w:rFonts w:cs="Times New Roman"/>
          <w:sz w:val="22"/>
          <w:szCs w:val="22"/>
        </w:rPr>
        <w:t>Eur</w:t>
      </w:r>
      <w:proofErr w:type="spellEnd"/>
      <w:r w:rsidR="00E510B5" w:rsidRPr="00640D24">
        <w:rPr>
          <w:rFonts w:cs="Times New Roman"/>
          <w:sz w:val="22"/>
          <w:szCs w:val="22"/>
        </w:rPr>
        <w:t xml:space="preserve"> iš 25,2</w:t>
      </w:r>
      <w:r w:rsidR="001225B6" w:rsidRPr="00640D24">
        <w:rPr>
          <w:rFonts w:cs="Times New Roman"/>
          <w:sz w:val="22"/>
          <w:szCs w:val="22"/>
        </w:rPr>
        <w:t>5</w:t>
      </w:r>
      <w:r w:rsidR="00BD226E" w:rsidRPr="00640D24">
        <w:rPr>
          <w:rFonts w:cs="Times New Roman"/>
          <w:sz w:val="22"/>
          <w:szCs w:val="22"/>
        </w:rPr>
        <w:t> </w:t>
      </w:r>
      <w:r w:rsidR="00E510B5" w:rsidRPr="00640D24">
        <w:rPr>
          <w:rFonts w:cs="Times New Roman"/>
          <w:sz w:val="22"/>
          <w:szCs w:val="22"/>
        </w:rPr>
        <w:t xml:space="preserve">mln. </w:t>
      </w:r>
      <w:proofErr w:type="spellStart"/>
      <w:r w:rsidR="00E510B5" w:rsidRPr="00640D24">
        <w:rPr>
          <w:rFonts w:cs="Times New Roman"/>
          <w:sz w:val="22"/>
          <w:szCs w:val="22"/>
        </w:rPr>
        <w:t>Eur</w:t>
      </w:r>
      <w:proofErr w:type="spellEnd"/>
      <w:r w:rsidR="00E510B5" w:rsidRPr="00640D24">
        <w:rPr>
          <w:rFonts w:cs="Times New Roman"/>
          <w:sz w:val="22"/>
          <w:szCs w:val="22"/>
        </w:rPr>
        <w:t xml:space="preserve"> investicijų buvo skirta Vidurio ir Vakarų regione įsikūrusioms įmonėms, o didžioji dalis </w:t>
      </w:r>
      <w:r w:rsidR="009574A6" w:rsidRPr="00640D24">
        <w:rPr>
          <w:rFonts w:cs="Times New Roman"/>
          <w:sz w:val="22"/>
          <w:szCs w:val="22"/>
        </w:rPr>
        <w:t xml:space="preserve">minimų </w:t>
      </w:r>
      <w:r w:rsidR="00E510B5" w:rsidRPr="00640D24">
        <w:rPr>
          <w:rFonts w:cs="Times New Roman"/>
          <w:sz w:val="22"/>
          <w:szCs w:val="22"/>
        </w:rPr>
        <w:t xml:space="preserve">investicijų buvo </w:t>
      </w:r>
      <w:r w:rsidR="00DA4BC7" w:rsidRPr="00640D24">
        <w:rPr>
          <w:rFonts w:cs="Times New Roman"/>
          <w:sz w:val="22"/>
          <w:szCs w:val="22"/>
        </w:rPr>
        <w:t>pritrauktos į didžiuosius miestus – Kauną ir Klaipėdą</w:t>
      </w:r>
      <w:r w:rsidR="009171BF" w:rsidRPr="00640D24">
        <w:rPr>
          <w:rStyle w:val="Puslapioinaosnuoroda"/>
          <w:rFonts w:cs="Times New Roman"/>
          <w:sz w:val="22"/>
          <w:szCs w:val="22"/>
        </w:rPr>
        <w:footnoteReference w:id="57"/>
      </w:r>
      <w:r w:rsidR="00DA4BC7" w:rsidRPr="00640D24">
        <w:rPr>
          <w:rFonts w:cs="Times New Roman"/>
          <w:sz w:val="22"/>
          <w:szCs w:val="22"/>
        </w:rPr>
        <w:t xml:space="preserve">. </w:t>
      </w:r>
    </w:p>
    <w:p w14:paraId="4798763F" w14:textId="1B09D785" w:rsidR="00494BBB" w:rsidRPr="00640D24" w:rsidRDefault="00494BBB" w:rsidP="00B32A83">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Taip pat atsižvelgiant į SVV subjektų dažniausiai įvardytus išorinio finansavimo iššūkius, tokius kaip nepakankama nuosavų lėšų suma, siekiant įgyvendinti investicinį projektą, nepakankama turimų apyvartinių lėšų suma, siekiant sėkmingai plėstis, nepakankamas pradinis kapitalas ir kt., buvo nustatyta, kad išorinio finansavimo rinkos nepakankamumas (trūkumas) gali būti sumažinamas įgyvendinant arba tęsiant įgyvendinamas paskolines FP</w:t>
      </w:r>
      <w:r w:rsidR="00B442C5" w:rsidRPr="00640D24">
        <w:rPr>
          <w:rFonts w:cs="Times New Roman"/>
          <w:sz w:val="22"/>
          <w:szCs w:val="22"/>
        </w:rPr>
        <w:t>.</w:t>
      </w:r>
    </w:p>
    <w:p w14:paraId="2F736BC5" w14:textId="59D8A16E" w:rsidR="005F42FA" w:rsidRPr="00640D24" w:rsidRDefault="005F42FA" w:rsidP="001B2ECC">
      <w:pPr>
        <w:spacing w:before="120" w:after="120" w:line="240" w:lineRule="auto"/>
        <w:ind w:firstLine="567"/>
        <w:jc w:val="both"/>
        <w:rPr>
          <w:rFonts w:cs="Times New Roman"/>
          <w:i/>
          <w:iCs/>
          <w:sz w:val="22"/>
          <w:szCs w:val="22"/>
        </w:rPr>
      </w:pPr>
      <w:r w:rsidRPr="00640D24">
        <w:rPr>
          <w:rFonts w:cs="Times New Roman"/>
          <w:i/>
          <w:iCs/>
          <w:sz w:val="22"/>
          <w:szCs w:val="22"/>
        </w:rPr>
        <w:t xml:space="preserve">Finansavimo </w:t>
      </w:r>
      <w:r w:rsidR="0085262D" w:rsidRPr="00640D24">
        <w:rPr>
          <w:rFonts w:cs="Times New Roman"/>
          <w:i/>
          <w:iCs/>
          <w:sz w:val="22"/>
          <w:szCs w:val="22"/>
        </w:rPr>
        <w:t xml:space="preserve">lėšų </w:t>
      </w:r>
      <w:r w:rsidRPr="00640D24">
        <w:rPr>
          <w:rFonts w:cs="Times New Roman"/>
          <w:i/>
          <w:iCs/>
          <w:sz w:val="22"/>
          <w:szCs w:val="22"/>
        </w:rPr>
        <w:t>poreikis</w:t>
      </w:r>
    </w:p>
    <w:p w14:paraId="6F63ABC2" w14:textId="29FB7A8F" w:rsidR="001B086C" w:rsidRPr="00640D24" w:rsidRDefault="001B086C" w:rsidP="00170B5F">
      <w:pPr>
        <w:autoSpaceDE w:val="0"/>
        <w:autoSpaceDN w:val="0"/>
        <w:adjustRightInd w:val="0"/>
        <w:spacing w:before="60" w:after="60" w:line="240" w:lineRule="auto"/>
        <w:ind w:firstLine="567"/>
        <w:jc w:val="both"/>
        <w:rPr>
          <w:rFonts w:cs="Times New Roman"/>
          <w:sz w:val="22"/>
          <w:szCs w:val="22"/>
        </w:rPr>
      </w:pPr>
      <w:proofErr w:type="spellStart"/>
      <w:r w:rsidRPr="00640D24">
        <w:rPr>
          <w:rFonts w:cs="Times New Roman"/>
          <w:i/>
          <w:iCs/>
          <w:sz w:val="22"/>
          <w:szCs w:val="22"/>
        </w:rPr>
        <w:t>Startup</w:t>
      </w:r>
      <w:proofErr w:type="spellEnd"/>
      <w:r w:rsidRPr="00640D24">
        <w:rPr>
          <w:rFonts w:cs="Times New Roman"/>
          <w:i/>
          <w:iCs/>
          <w:sz w:val="22"/>
          <w:szCs w:val="22"/>
        </w:rPr>
        <w:t xml:space="preserve"> </w:t>
      </w:r>
      <w:proofErr w:type="spellStart"/>
      <w:r w:rsidRPr="00640D24">
        <w:rPr>
          <w:rFonts w:cs="Times New Roman"/>
          <w:i/>
          <w:iCs/>
          <w:sz w:val="22"/>
          <w:szCs w:val="22"/>
        </w:rPr>
        <w:t>Lithuania</w:t>
      </w:r>
      <w:proofErr w:type="spellEnd"/>
      <w:r w:rsidRPr="00640D24">
        <w:rPr>
          <w:rFonts w:cs="Times New Roman"/>
          <w:sz w:val="22"/>
          <w:szCs w:val="22"/>
        </w:rPr>
        <w:t xml:space="preserve"> atliktos apklausos duomenimis</w:t>
      </w:r>
      <w:r w:rsidRPr="00640D24">
        <w:rPr>
          <w:rStyle w:val="Puslapioinaosnuoroda"/>
          <w:rFonts w:cs="Times New Roman"/>
          <w:sz w:val="22"/>
          <w:szCs w:val="22"/>
        </w:rPr>
        <w:footnoteReference w:id="58"/>
      </w:r>
      <w:r w:rsidRPr="00640D24">
        <w:rPr>
          <w:rFonts w:cs="Times New Roman"/>
          <w:sz w:val="22"/>
          <w:szCs w:val="22"/>
        </w:rPr>
        <w:t xml:space="preserve"> pagrindinėmis kliūtimis vystyti verslą </w:t>
      </w:r>
      <w:proofErr w:type="spellStart"/>
      <w:r w:rsidRPr="00640D24">
        <w:rPr>
          <w:rFonts w:cs="Times New Roman"/>
          <w:sz w:val="22"/>
          <w:szCs w:val="22"/>
        </w:rPr>
        <w:t>startuoliai</w:t>
      </w:r>
      <w:proofErr w:type="spellEnd"/>
      <w:r w:rsidRPr="00640D24">
        <w:rPr>
          <w:rFonts w:cs="Times New Roman"/>
          <w:sz w:val="22"/>
          <w:szCs w:val="22"/>
        </w:rPr>
        <w:t xml:space="preserve"> įvardija finansų trūkumą (42 proc.), verslo reguliavimą (26 proc.) ir talentų trūkumą (22 proc.). Atliktos SVV subjektų apklausos duomenimis, finansavimo </w:t>
      </w:r>
      <w:r w:rsidR="00CD129B" w:rsidRPr="00640D24">
        <w:rPr>
          <w:rFonts w:cs="Times New Roman"/>
          <w:sz w:val="22"/>
          <w:szCs w:val="22"/>
        </w:rPr>
        <w:t>prieinamumas</w:t>
      </w:r>
      <w:r w:rsidRPr="00640D24">
        <w:rPr>
          <w:rFonts w:cs="Times New Roman"/>
          <w:sz w:val="22"/>
          <w:szCs w:val="22"/>
        </w:rPr>
        <w:t xml:space="preserve"> </w:t>
      </w:r>
      <w:proofErr w:type="spellStart"/>
      <w:r w:rsidRPr="00640D24">
        <w:rPr>
          <w:rFonts w:cs="Times New Roman"/>
          <w:sz w:val="22"/>
          <w:szCs w:val="22"/>
        </w:rPr>
        <w:t>startuoliams</w:t>
      </w:r>
      <w:proofErr w:type="spellEnd"/>
      <w:r w:rsidRPr="00640D24">
        <w:rPr>
          <w:rFonts w:cs="Times New Roman"/>
          <w:sz w:val="22"/>
          <w:szCs w:val="22"/>
        </w:rPr>
        <w:t xml:space="preserve"> ir naujoms </w:t>
      </w:r>
      <w:r w:rsidR="00713B4A" w:rsidRPr="00640D24">
        <w:rPr>
          <w:rFonts w:cs="Times New Roman"/>
          <w:sz w:val="22"/>
          <w:szCs w:val="22"/>
        </w:rPr>
        <w:t>įmonėms </w:t>
      </w:r>
      <w:r w:rsidRPr="00640D24">
        <w:rPr>
          <w:rFonts w:cs="Times New Roman"/>
          <w:sz w:val="22"/>
          <w:szCs w:val="22"/>
        </w:rPr>
        <w:t xml:space="preserve">– opi problema. Ypač didelį finansavimo trūkumą jaučia naujos įmonės (iki 3 m.), dar neturinčios pakankamų </w:t>
      </w:r>
      <w:r w:rsidR="001225B6" w:rsidRPr="00640D24">
        <w:rPr>
          <w:rFonts w:cs="Times New Roman"/>
          <w:sz w:val="22"/>
          <w:szCs w:val="22"/>
        </w:rPr>
        <w:t>finansinės veiklos</w:t>
      </w:r>
      <w:r w:rsidRPr="00640D24">
        <w:rPr>
          <w:rFonts w:cs="Times New Roman"/>
          <w:sz w:val="22"/>
          <w:szCs w:val="22"/>
        </w:rPr>
        <w:t xml:space="preserve"> rodiklių, kurie suteiktų galimybę skolintis iš bankų, kurioms reikalingas didesnis nei 25 tūkst. </w:t>
      </w:r>
      <w:proofErr w:type="spellStart"/>
      <w:r w:rsidRPr="00640D24">
        <w:rPr>
          <w:rFonts w:cs="Times New Roman"/>
          <w:sz w:val="22"/>
          <w:szCs w:val="22"/>
        </w:rPr>
        <w:t>Eur</w:t>
      </w:r>
      <w:proofErr w:type="spellEnd"/>
      <w:r w:rsidRPr="00640D24">
        <w:rPr>
          <w:rFonts w:cs="Times New Roman"/>
          <w:sz w:val="22"/>
          <w:szCs w:val="22"/>
        </w:rPr>
        <w:t xml:space="preserve"> finansavimas. Remiantis </w:t>
      </w:r>
      <w:r w:rsidR="002D042D" w:rsidRPr="00640D24">
        <w:rPr>
          <w:rFonts w:cs="Times New Roman"/>
          <w:sz w:val="22"/>
          <w:szCs w:val="22"/>
        </w:rPr>
        <w:t>atliktų interviu</w:t>
      </w:r>
      <w:r w:rsidRPr="00640D24">
        <w:rPr>
          <w:rFonts w:cs="Times New Roman"/>
          <w:sz w:val="22"/>
          <w:szCs w:val="22"/>
        </w:rPr>
        <w:t xml:space="preserve"> </w:t>
      </w:r>
      <w:r w:rsidR="002D042D" w:rsidRPr="00640D24">
        <w:rPr>
          <w:rFonts w:cs="Times New Roman"/>
          <w:sz w:val="22"/>
          <w:szCs w:val="22"/>
        </w:rPr>
        <w:t>gautais rezultatais</w:t>
      </w:r>
      <w:r w:rsidRPr="00640D24">
        <w:rPr>
          <w:rFonts w:cs="Times New Roman"/>
          <w:sz w:val="22"/>
          <w:szCs w:val="22"/>
        </w:rPr>
        <w:t xml:space="preserve"> daroma prielaida, kad finansavimo trūkumas turėtų būti skatinamas dvejomis kryptimis: </w:t>
      </w:r>
      <w:r w:rsidR="0003666F" w:rsidRPr="00640D24">
        <w:rPr>
          <w:rFonts w:cs="Times New Roman"/>
          <w:sz w:val="22"/>
          <w:szCs w:val="22"/>
        </w:rPr>
        <w:t xml:space="preserve">technologijų ir inovacijų sektoriuje veikiantiems </w:t>
      </w:r>
      <w:proofErr w:type="spellStart"/>
      <w:r w:rsidR="0003666F" w:rsidRPr="00640D24">
        <w:rPr>
          <w:rFonts w:cs="Times New Roman"/>
          <w:sz w:val="22"/>
          <w:szCs w:val="22"/>
        </w:rPr>
        <w:t>startuoliams</w:t>
      </w:r>
      <w:proofErr w:type="spellEnd"/>
      <w:r w:rsidR="0003666F" w:rsidRPr="00640D24">
        <w:rPr>
          <w:rFonts w:cs="Times New Roman"/>
          <w:sz w:val="22"/>
          <w:szCs w:val="22"/>
        </w:rPr>
        <w:t xml:space="preserve"> ir kitą veiklą vykdantiems </w:t>
      </w:r>
      <w:proofErr w:type="spellStart"/>
      <w:r w:rsidR="0003666F" w:rsidRPr="00640D24">
        <w:rPr>
          <w:rFonts w:cs="Times New Roman"/>
          <w:sz w:val="22"/>
          <w:szCs w:val="22"/>
        </w:rPr>
        <w:t>startuoliams</w:t>
      </w:r>
      <w:proofErr w:type="spellEnd"/>
      <w:r w:rsidR="0003666F" w:rsidRPr="00640D24">
        <w:rPr>
          <w:rFonts w:cs="Times New Roman"/>
          <w:sz w:val="22"/>
          <w:szCs w:val="22"/>
        </w:rPr>
        <w:t xml:space="preserve">. </w:t>
      </w:r>
    </w:p>
    <w:p w14:paraId="43BADB73" w14:textId="1554C058" w:rsidR="001B086C" w:rsidRPr="00640D24" w:rsidRDefault="001B086C" w:rsidP="00170B5F">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RKF finansavimo poreikis yra apskaičiuotas remiantis šiomis prielaidomis:</w:t>
      </w:r>
    </w:p>
    <w:p w14:paraId="39F769B6" w14:textId="34B2D473" w:rsidR="007036D1" w:rsidRPr="00640D24" w:rsidRDefault="007036D1" w:rsidP="00160B10">
      <w:pPr>
        <w:pStyle w:val="Sraopastraipa"/>
        <w:numPr>
          <w:ilvl w:val="0"/>
          <w:numId w:val="19"/>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2007–2013 ir 2014–2020 m. programavimo laikotarpiais buvo padarytas svarbus indėlis kuriant rizikos kapitalo rinką Lietuvoje. Siekiant užtikrinti šios rinkos tęstinumą ir pritraukti privačius investuotojus, reikalingos tolesnės viešosios investicijos į rizikos kapitalą.</w:t>
      </w:r>
    </w:p>
    <w:p w14:paraId="72819A46" w14:textId="6F9ECBA5" w:rsidR="001B086C" w:rsidRPr="00640D24" w:rsidRDefault="001B086C" w:rsidP="00160B10">
      <w:pPr>
        <w:pStyle w:val="Sraopastraipa"/>
        <w:numPr>
          <w:ilvl w:val="0"/>
          <w:numId w:val="19"/>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Siekiant įvertinti RKF investicijų trūkumą nėra tikslinga remtis 2014</w:t>
      </w:r>
      <w:r w:rsidR="004A2484" w:rsidRPr="00640D24">
        <w:rPr>
          <w:rFonts w:cs="Times New Roman"/>
          <w:sz w:val="22"/>
          <w:szCs w:val="22"/>
        </w:rPr>
        <w:t>–</w:t>
      </w:r>
      <w:r w:rsidRPr="00640D24">
        <w:rPr>
          <w:rFonts w:cs="Times New Roman"/>
          <w:sz w:val="22"/>
          <w:szCs w:val="22"/>
        </w:rPr>
        <w:t xml:space="preserve">2020 m. </w:t>
      </w:r>
      <w:r w:rsidR="00AF3726" w:rsidRPr="00640D24">
        <w:rPr>
          <w:rFonts w:cs="Times New Roman"/>
          <w:sz w:val="22"/>
          <w:szCs w:val="22"/>
        </w:rPr>
        <w:t>programavimo</w:t>
      </w:r>
      <w:r w:rsidR="006C1877" w:rsidRPr="00640D24">
        <w:rPr>
          <w:rFonts w:cs="Times New Roman"/>
          <w:sz w:val="22"/>
          <w:szCs w:val="22"/>
        </w:rPr>
        <w:t xml:space="preserve"> </w:t>
      </w:r>
      <w:r w:rsidRPr="00640D24">
        <w:rPr>
          <w:rFonts w:cs="Times New Roman"/>
          <w:sz w:val="22"/>
          <w:szCs w:val="22"/>
        </w:rPr>
        <w:t xml:space="preserve">laikotarpyje įsteigtais RKF ir jų lėšų </w:t>
      </w:r>
      <w:proofErr w:type="spellStart"/>
      <w:r w:rsidRPr="00640D24">
        <w:rPr>
          <w:rFonts w:cs="Times New Roman"/>
          <w:sz w:val="22"/>
          <w:szCs w:val="22"/>
        </w:rPr>
        <w:t>panaudojamumu</w:t>
      </w:r>
      <w:proofErr w:type="spellEnd"/>
      <w:r w:rsidRPr="00640D24">
        <w:rPr>
          <w:rFonts w:cs="Times New Roman"/>
          <w:sz w:val="22"/>
          <w:szCs w:val="22"/>
        </w:rPr>
        <w:t xml:space="preserve">, nes beveik visų jų investicijų laikotarpis yra nesibaigęs. </w:t>
      </w:r>
    </w:p>
    <w:p w14:paraId="710864EA" w14:textId="02D9E87B" w:rsidR="001B086C" w:rsidRPr="00640D24" w:rsidRDefault="001B086C" w:rsidP="00160B10">
      <w:pPr>
        <w:pStyle w:val="Sraopastraipa"/>
        <w:numPr>
          <w:ilvl w:val="0"/>
          <w:numId w:val="19"/>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 xml:space="preserve">Viena iš pagrindinių </w:t>
      </w:r>
      <w:r w:rsidR="005A7F09" w:rsidRPr="00640D24">
        <w:rPr>
          <w:rFonts w:cs="Times New Roman"/>
          <w:sz w:val="22"/>
          <w:szCs w:val="22"/>
        </w:rPr>
        <w:t xml:space="preserve">MVĮ, tame tarpe ir </w:t>
      </w:r>
      <w:proofErr w:type="spellStart"/>
      <w:r w:rsidRPr="00640D24">
        <w:rPr>
          <w:rFonts w:cs="Times New Roman"/>
          <w:sz w:val="22"/>
          <w:szCs w:val="22"/>
        </w:rPr>
        <w:t>startuolių</w:t>
      </w:r>
      <w:proofErr w:type="spellEnd"/>
      <w:r w:rsidR="00810EAB" w:rsidRPr="00640D24">
        <w:rPr>
          <w:rFonts w:cs="Times New Roman"/>
          <w:sz w:val="22"/>
          <w:szCs w:val="22"/>
        </w:rPr>
        <w:t>,</w:t>
      </w:r>
      <w:r w:rsidR="00C063BA" w:rsidRPr="00640D24">
        <w:rPr>
          <w:rFonts w:cs="Times New Roman"/>
          <w:sz w:val="22"/>
          <w:szCs w:val="22"/>
        </w:rPr>
        <w:t xml:space="preserve"> </w:t>
      </w:r>
      <w:r w:rsidRPr="00640D24">
        <w:rPr>
          <w:rFonts w:cs="Times New Roman"/>
          <w:sz w:val="22"/>
          <w:szCs w:val="22"/>
        </w:rPr>
        <w:t>finansavimo trūkumo priežasčių buvo įvard</w:t>
      </w:r>
      <w:r w:rsidR="00E45AF2" w:rsidRPr="00640D24">
        <w:rPr>
          <w:rFonts w:cs="Times New Roman"/>
          <w:sz w:val="22"/>
          <w:szCs w:val="22"/>
        </w:rPr>
        <w:t>y</w:t>
      </w:r>
      <w:r w:rsidRPr="00640D24">
        <w:rPr>
          <w:rFonts w:cs="Times New Roman"/>
          <w:sz w:val="22"/>
          <w:szCs w:val="22"/>
        </w:rPr>
        <w:t xml:space="preserve">ta didelė investavimo rizika, kurios privatūs investuotojai nėra linkę prisiimti. Ši rizika yra ypač didelė </w:t>
      </w:r>
      <w:proofErr w:type="spellStart"/>
      <w:r w:rsidRPr="00640D24">
        <w:rPr>
          <w:rFonts w:cs="Times New Roman"/>
          <w:sz w:val="22"/>
          <w:szCs w:val="22"/>
        </w:rPr>
        <w:t>priešankstyvojoje</w:t>
      </w:r>
      <w:proofErr w:type="spellEnd"/>
      <w:r w:rsidRPr="00640D24">
        <w:rPr>
          <w:rFonts w:cs="Times New Roman"/>
          <w:sz w:val="22"/>
          <w:szCs w:val="22"/>
        </w:rPr>
        <w:t xml:space="preserve"> ir ankstyvojoje </w:t>
      </w:r>
      <w:r w:rsidR="005A7F09" w:rsidRPr="00640D24">
        <w:rPr>
          <w:rFonts w:cs="Times New Roman"/>
          <w:sz w:val="22"/>
          <w:szCs w:val="22"/>
        </w:rPr>
        <w:t xml:space="preserve">įmonių </w:t>
      </w:r>
      <w:r w:rsidRPr="00640D24">
        <w:rPr>
          <w:rFonts w:cs="Times New Roman"/>
          <w:sz w:val="22"/>
          <w:szCs w:val="22"/>
        </w:rPr>
        <w:t xml:space="preserve">plėtros stadijoje. Ekspertai pastebi, kad pradiniame verslo vystymo etape </w:t>
      </w:r>
      <w:proofErr w:type="spellStart"/>
      <w:r w:rsidRPr="00640D24">
        <w:rPr>
          <w:rFonts w:cs="Times New Roman"/>
          <w:sz w:val="22"/>
          <w:szCs w:val="22"/>
        </w:rPr>
        <w:t>startuoliams</w:t>
      </w:r>
      <w:proofErr w:type="spellEnd"/>
      <w:r w:rsidRPr="00640D24">
        <w:rPr>
          <w:rFonts w:cs="Times New Roman"/>
          <w:sz w:val="22"/>
          <w:szCs w:val="22"/>
        </w:rPr>
        <w:t xml:space="preserve"> yra ypač svarbu gauti verslo valdymo žinių, </w:t>
      </w:r>
      <w:proofErr w:type="spellStart"/>
      <w:r w:rsidRPr="00640D24">
        <w:rPr>
          <w:rFonts w:cs="Times New Roman"/>
          <w:sz w:val="22"/>
          <w:szCs w:val="22"/>
        </w:rPr>
        <w:t>mentorystės</w:t>
      </w:r>
      <w:proofErr w:type="spellEnd"/>
      <w:r w:rsidRPr="00640D24">
        <w:rPr>
          <w:rFonts w:cs="Times New Roman"/>
          <w:sz w:val="22"/>
          <w:szCs w:val="22"/>
        </w:rPr>
        <w:t>, konsultacijų, bendradarbiavimo galimybių ir, žinoma, prieigą, prie finansavimo šaltinių. 2014</w:t>
      </w:r>
      <w:r w:rsidR="00404241" w:rsidRPr="00640D24">
        <w:rPr>
          <w:rFonts w:cs="Times New Roman"/>
          <w:sz w:val="22"/>
          <w:szCs w:val="22"/>
        </w:rPr>
        <w:t>–</w:t>
      </w:r>
      <w:r w:rsidRPr="00640D24">
        <w:rPr>
          <w:rFonts w:cs="Times New Roman"/>
          <w:sz w:val="22"/>
          <w:szCs w:val="22"/>
        </w:rPr>
        <w:t>2020 m. programavimo laikotarpyje valstybės dalyvavimas steigiant FP „</w:t>
      </w:r>
      <w:proofErr w:type="spellStart"/>
      <w:r w:rsidRPr="00640D24">
        <w:rPr>
          <w:rFonts w:cs="Times New Roman"/>
          <w:sz w:val="22"/>
          <w:szCs w:val="22"/>
        </w:rPr>
        <w:t>Akceleravimo</w:t>
      </w:r>
      <w:proofErr w:type="spellEnd"/>
      <w:r w:rsidRPr="00640D24">
        <w:rPr>
          <w:rFonts w:cs="Times New Roman"/>
          <w:sz w:val="22"/>
          <w:szCs w:val="22"/>
        </w:rPr>
        <w:t xml:space="preserve"> fondas“ yra suprantamas kaip itin reikšmingas žingsnis užtikrinant galimybes </w:t>
      </w:r>
      <w:proofErr w:type="spellStart"/>
      <w:r w:rsidRPr="00640D24">
        <w:rPr>
          <w:rFonts w:cs="Times New Roman"/>
          <w:sz w:val="22"/>
        </w:rPr>
        <w:t>priešankstyvosios</w:t>
      </w:r>
      <w:proofErr w:type="spellEnd"/>
      <w:r w:rsidRPr="00640D24">
        <w:rPr>
          <w:rFonts w:cs="Times New Roman"/>
          <w:sz w:val="22"/>
        </w:rPr>
        <w:t xml:space="preserve"> ir ankstyvosios </w:t>
      </w:r>
      <w:r w:rsidR="00404241" w:rsidRPr="00640D24">
        <w:rPr>
          <w:rFonts w:cs="Times New Roman"/>
          <w:sz w:val="22"/>
        </w:rPr>
        <w:t xml:space="preserve">stadijos </w:t>
      </w:r>
      <w:proofErr w:type="spellStart"/>
      <w:r w:rsidRPr="00640D24">
        <w:rPr>
          <w:rFonts w:cs="Times New Roman"/>
          <w:sz w:val="22"/>
        </w:rPr>
        <w:t>startuoliams</w:t>
      </w:r>
      <w:proofErr w:type="spellEnd"/>
      <w:r w:rsidRPr="00640D24">
        <w:rPr>
          <w:rFonts w:cs="Times New Roman"/>
          <w:sz w:val="22"/>
        </w:rPr>
        <w:t xml:space="preserve"> gauti reikalingą pagalbą ir pradinį finansavimą pradinėms verslo idėjoms išbandyti</w:t>
      </w:r>
      <w:r w:rsidRPr="00640D24">
        <w:rPr>
          <w:rFonts w:cs="Times New Roman"/>
          <w:sz w:val="22"/>
          <w:szCs w:val="22"/>
        </w:rPr>
        <w:t>.</w:t>
      </w:r>
    </w:p>
    <w:p w14:paraId="6A145E04" w14:textId="65D54E93" w:rsidR="001B086C" w:rsidRPr="00640D24" w:rsidRDefault="001B086C" w:rsidP="00160B10">
      <w:pPr>
        <w:pStyle w:val="Sraopastraipa"/>
        <w:numPr>
          <w:ilvl w:val="0"/>
          <w:numId w:val="19"/>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 xml:space="preserve">Remiantis iki 2020 m. liepos 31 d. finansavimo sutartis su RKF pasirašiusių </w:t>
      </w:r>
      <w:r w:rsidR="005A7F09" w:rsidRPr="00640D24">
        <w:rPr>
          <w:rFonts w:cs="Times New Roman"/>
          <w:sz w:val="22"/>
          <w:szCs w:val="22"/>
        </w:rPr>
        <w:t xml:space="preserve">įmonių </w:t>
      </w:r>
      <w:r w:rsidRPr="00640D24">
        <w:rPr>
          <w:rFonts w:cs="Times New Roman"/>
          <w:sz w:val="22"/>
          <w:szCs w:val="22"/>
        </w:rPr>
        <w:t>analize buvo pastebėta didelė investicijų paklausa Sostinės regione.</w:t>
      </w:r>
      <w:r w:rsidR="00026B2C" w:rsidRPr="00640D24">
        <w:t xml:space="preserve"> </w:t>
      </w:r>
      <w:r w:rsidR="00026B2C" w:rsidRPr="00640D24">
        <w:rPr>
          <w:rFonts w:cs="Times New Roman"/>
          <w:sz w:val="22"/>
        </w:rPr>
        <w:t xml:space="preserve">Atsižvelgiant į tai, kad Vertinime nagrinėjama Vidurio ir Vakarų Lietuvoje veikiančių </w:t>
      </w:r>
      <w:proofErr w:type="spellStart"/>
      <w:r w:rsidR="00026B2C" w:rsidRPr="00640D24">
        <w:rPr>
          <w:rFonts w:cs="Times New Roman"/>
          <w:sz w:val="22"/>
        </w:rPr>
        <w:t>startuolių</w:t>
      </w:r>
      <w:proofErr w:type="spellEnd"/>
      <w:r w:rsidR="00026B2C" w:rsidRPr="00640D24">
        <w:rPr>
          <w:rFonts w:cs="Times New Roman"/>
          <w:sz w:val="22"/>
        </w:rPr>
        <w:t xml:space="preserve"> vystymo, </w:t>
      </w:r>
      <w:proofErr w:type="spellStart"/>
      <w:r w:rsidR="00026B2C" w:rsidRPr="00640D24">
        <w:rPr>
          <w:rFonts w:cs="Times New Roman"/>
          <w:sz w:val="22"/>
        </w:rPr>
        <w:t>akceleravimo</w:t>
      </w:r>
      <w:proofErr w:type="spellEnd"/>
      <w:r w:rsidR="00026B2C" w:rsidRPr="00640D24">
        <w:rPr>
          <w:rFonts w:cs="Times New Roman"/>
          <w:sz w:val="22"/>
        </w:rPr>
        <w:t xml:space="preserve"> ir plėtros veikla, dėl sąlyginai mažesnės investicijų paklausos (lyginant su Sostinės regionu), specializuoti </w:t>
      </w:r>
      <w:proofErr w:type="spellStart"/>
      <w:r w:rsidR="00026B2C" w:rsidRPr="00640D24">
        <w:rPr>
          <w:rFonts w:cs="Times New Roman"/>
          <w:sz w:val="22"/>
        </w:rPr>
        <w:t>akceleravimo</w:t>
      </w:r>
      <w:proofErr w:type="spellEnd"/>
      <w:r w:rsidR="00026B2C" w:rsidRPr="00640D24">
        <w:rPr>
          <w:rFonts w:cs="Times New Roman"/>
          <w:sz w:val="22"/>
        </w:rPr>
        <w:t xml:space="preserve"> </w:t>
      </w:r>
      <w:r w:rsidR="00026B2C" w:rsidRPr="00640D24">
        <w:rPr>
          <w:rFonts w:cs="Times New Roman"/>
          <w:sz w:val="22"/>
        </w:rPr>
        <w:lastRenderedPageBreak/>
        <w:t xml:space="preserve">fondai </w:t>
      </w:r>
      <w:r w:rsidR="00CE0C3F" w:rsidRPr="00640D24">
        <w:rPr>
          <w:rFonts w:cs="Times New Roman"/>
          <w:sz w:val="22"/>
        </w:rPr>
        <w:t xml:space="preserve">išimtinai </w:t>
      </w:r>
      <w:r w:rsidR="00026B2C" w:rsidRPr="00640D24">
        <w:rPr>
          <w:rFonts w:cs="Times New Roman"/>
          <w:sz w:val="22"/>
        </w:rPr>
        <w:t xml:space="preserve">Vidurio ir Vakarų Lietuvos regione veikiantiems </w:t>
      </w:r>
      <w:proofErr w:type="spellStart"/>
      <w:r w:rsidR="00026B2C" w:rsidRPr="00640D24">
        <w:rPr>
          <w:rFonts w:cs="Times New Roman"/>
          <w:sz w:val="22"/>
        </w:rPr>
        <w:t>startuoliams</w:t>
      </w:r>
      <w:proofErr w:type="spellEnd"/>
      <w:r w:rsidR="00026B2C" w:rsidRPr="00640D24">
        <w:rPr>
          <w:rFonts w:cs="Times New Roman"/>
          <w:sz w:val="22"/>
        </w:rPr>
        <w:t xml:space="preserve"> nėra rekomenduotini įgyvendinti.</w:t>
      </w:r>
    </w:p>
    <w:p w14:paraId="2A67A6C8" w14:textId="43343AD7" w:rsidR="001B086C" w:rsidRPr="00640D24" w:rsidRDefault="001B086C" w:rsidP="00160B10">
      <w:pPr>
        <w:pStyle w:val="Sraopastraipa"/>
        <w:numPr>
          <w:ilvl w:val="0"/>
          <w:numId w:val="19"/>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 xml:space="preserve">Remiantis SVV subjektų apklausos duomenimis ir atlikta antrinių šaltinių analize daroma išvada, kad RKF panaudojimas yra populiarus būdas pritraukti išorės finansavimą </w:t>
      </w:r>
      <w:r w:rsidR="005A7F09" w:rsidRPr="00640D24">
        <w:rPr>
          <w:rFonts w:cs="Times New Roman"/>
          <w:sz w:val="22"/>
          <w:szCs w:val="22"/>
        </w:rPr>
        <w:t>įmonėms</w:t>
      </w:r>
      <w:r w:rsidRPr="00640D24">
        <w:rPr>
          <w:rFonts w:cs="Times New Roman"/>
          <w:sz w:val="22"/>
          <w:szCs w:val="22"/>
        </w:rPr>
        <w:t xml:space="preserve">. </w:t>
      </w:r>
    </w:p>
    <w:p w14:paraId="65760CA3" w14:textId="449CB7C6" w:rsidR="001B086C" w:rsidRPr="00640D24" w:rsidRDefault="001B086C" w:rsidP="00160B10">
      <w:pPr>
        <w:pStyle w:val="Sraopastraipa"/>
        <w:numPr>
          <w:ilvl w:val="0"/>
          <w:numId w:val="19"/>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SVV apklausos duomenimis skaičiuojama, kad 12</w:t>
      </w:r>
      <w:r w:rsidR="00026B2C" w:rsidRPr="00640D24">
        <w:rPr>
          <w:rFonts w:cs="Times New Roman"/>
          <w:sz w:val="22"/>
          <w:szCs w:val="22"/>
        </w:rPr>
        <w:t>,</w:t>
      </w:r>
      <w:r w:rsidR="00793825" w:rsidRPr="00640D24">
        <w:rPr>
          <w:rFonts w:cs="Times New Roman"/>
          <w:sz w:val="22"/>
          <w:szCs w:val="22"/>
        </w:rPr>
        <w:t>5</w:t>
      </w:r>
      <w:r w:rsidRPr="00640D24">
        <w:rPr>
          <w:rFonts w:cs="Times New Roman"/>
          <w:sz w:val="22"/>
          <w:szCs w:val="22"/>
        </w:rPr>
        <w:t xml:space="preserve"> proc. </w:t>
      </w:r>
      <w:proofErr w:type="spellStart"/>
      <w:r w:rsidRPr="00640D24">
        <w:rPr>
          <w:rFonts w:cs="Times New Roman"/>
          <w:sz w:val="22"/>
          <w:szCs w:val="22"/>
        </w:rPr>
        <w:t>startuolių</w:t>
      </w:r>
      <w:proofErr w:type="spellEnd"/>
      <w:r w:rsidRPr="00640D24">
        <w:rPr>
          <w:rFonts w:cs="Times New Roman"/>
          <w:sz w:val="22"/>
          <w:szCs w:val="22"/>
        </w:rPr>
        <w:t xml:space="preserve"> arba naujų įmonių </w:t>
      </w:r>
      <w:r w:rsidR="00793825" w:rsidRPr="00640D24">
        <w:rPr>
          <w:rFonts w:cs="Times New Roman"/>
          <w:sz w:val="22"/>
          <w:szCs w:val="22"/>
        </w:rPr>
        <w:t>planuoja kreiptis</w:t>
      </w:r>
      <w:r w:rsidRPr="00640D24">
        <w:rPr>
          <w:rFonts w:cs="Times New Roman"/>
          <w:sz w:val="22"/>
          <w:szCs w:val="22"/>
        </w:rPr>
        <w:t xml:space="preserve"> į RKF dėl išorinio finans</w:t>
      </w:r>
      <w:r w:rsidR="00DA71DD" w:rsidRPr="00640D24">
        <w:rPr>
          <w:rFonts w:cs="Times New Roman"/>
          <w:sz w:val="22"/>
          <w:szCs w:val="22"/>
        </w:rPr>
        <w:t>a</w:t>
      </w:r>
      <w:r w:rsidRPr="00640D24">
        <w:rPr>
          <w:rFonts w:cs="Times New Roman"/>
          <w:sz w:val="22"/>
          <w:szCs w:val="22"/>
        </w:rPr>
        <w:t xml:space="preserve">vimo. Remiantis </w:t>
      </w:r>
      <w:proofErr w:type="spellStart"/>
      <w:r w:rsidRPr="00640D24">
        <w:rPr>
          <w:rFonts w:cs="Times New Roman"/>
          <w:i/>
          <w:iCs/>
          <w:sz w:val="22"/>
          <w:szCs w:val="22"/>
        </w:rPr>
        <w:t>Startup</w:t>
      </w:r>
      <w:proofErr w:type="spellEnd"/>
      <w:r w:rsidRPr="00640D24">
        <w:rPr>
          <w:rFonts w:cs="Times New Roman"/>
          <w:i/>
          <w:iCs/>
          <w:sz w:val="22"/>
          <w:szCs w:val="22"/>
        </w:rPr>
        <w:t xml:space="preserve"> </w:t>
      </w:r>
      <w:proofErr w:type="spellStart"/>
      <w:r w:rsidRPr="00640D24">
        <w:rPr>
          <w:rFonts w:cs="Times New Roman"/>
          <w:i/>
          <w:iCs/>
          <w:sz w:val="22"/>
          <w:szCs w:val="22"/>
        </w:rPr>
        <w:t>Lithuania</w:t>
      </w:r>
      <w:proofErr w:type="spellEnd"/>
      <w:r w:rsidRPr="00640D24">
        <w:rPr>
          <w:rFonts w:cs="Times New Roman"/>
          <w:sz w:val="22"/>
          <w:szCs w:val="22"/>
        </w:rPr>
        <w:t xml:space="preserve"> duomenimis Vidurio ir Vakarų Lietuvoje veiklą vykdo 474 </w:t>
      </w:r>
      <w:proofErr w:type="spellStart"/>
      <w:r w:rsidRPr="00640D24">
        <w:rPr>
          <w:rFonts w:cs="Times New Roman"/>
          <w:sz w:val="22"/>
          <w:szCs w:val="22"/>
        </w:rPr>
        <w:t>startuoliai</w:t>
      </w:r>
      <w:proofErr w:type="spellEnd"/>
      <w:r w:rsidRPr="00640D24">
        <w:rPr>
          <w:rFonts w:cs="Times New Roman"/>
          <w:sz w:val="22"/>
          <w:szCs w:val="22"/>
        </w:rPr>
        <w:t>. Skaičiuojama, kad RKF finansavimas 2021</w:t>
      </w:r>
      <w:r w:rsidR="004A7252" w:rsidRPr="00640D24">
        <w:rPr>
          <w:rFonts w:cs="Times New Roman"/>
          <w:sz w:val="22"/>
          <w:szCs w:val="22"/>
        </w:rPr>
        <w:t>–</w:t>
      </w:r>
      <w:r w:rsidRPr="00640D24">
        <w:rPr>
          <w:rFonts w:cs="Times New Roman"/>
          <w:sz w:val="22"/>
          <w:szCs w:val="22"/>
        </w:rPr>
        <w:t xml:space="preserve">2027 m. </w:t>
      </w:r>
      <w:r w:rsidR="003E1154" w:rsidRPr="00640D24">
        <w:rPr>
          <w:rFonts w:cs="Times New Roman"/>
          <w:sz w:val="22"/>
          <w:szCs w:val="22"/>
        </w:rPr>
        <w:t xml:space="preserve">ES SF programavimo laikotarpiu </w:t>
      </w:r>
      <w:r w:rsidR="00B2033C" w:rsidRPr="00640D24">
        <w:rPr>
          <w:rFonts w:cs="Times New Roman"/>
          <w:sz w:val="22"/>
          <w:szCs w:val="22"/>
        </w:rPr>
        <w:t xml:space="preserve">tikėtina bus </w:t>
      </w:r>
      <w:r w:rsidRPr="00640D24">
        <w:rPr>
          <w:rFonts w:cs="Times New Roman"/>
          <w:sz w:val="22"/>
          <w:szCs w:val="22"/>
        </w:rPr>
        <w:t>reikalingas ~5</w:t>
      </w:r>
      <w:r w:rsidR="00793825" w:rsidRPr="00640D24">
        <w:rPr>
          <w:rFonts w:cs="Times New Roman"/>
          <w:sz w:val="22"/>
          <w:szCs w:val="22"/>
        </w:rPr>
        <w:t>9,25</w:t>
      </w:r>
      <w:r w:rsidRPr="00640D24">
        <w:rPr>
          <w:rFonts w:cs="Times New Roman"/>
          <w:sz w:val="22"/>
          <w:szCs w:val="22"/>
        </w:rPr>
        <w:t xml:space="preserve"> </w:t>
      </w:r>
      <w:r w:rsidR="00B2033C" w:rsidRPr="00640D24">
        <w:rPr>
          <w:rFonts w:cs="Times New Roman"/>
          <w:sz w:val="22"/>
          <w:szCs w:val="22"/>
        </w:rPr>
        <w:t>įmonėms</w:t>
      </w:r>
      <w:r w:rsidRPr="00640D24">
        <w:rPr>
          <w:rFonts w:cs="Times New Roman"/>
          <w:sz w:val="22"/>
          <w:szCs w:val="22"/>
        </w:rPr>
        <w:t xml:space="preserve">. </w:t>
      </w:r>
    </w:p>
    <w:p w14:paraId="7CCFBC14" w14:textId="72B96A9E" w:rsidR="001B086C" w:rsidRPr="00640D24" w:rsidRDefault="001B086C" w:rsidP="00160B10">
      <w:pPr>
        <w:pStyle w:val="Sraopastraipa"/>
        <w:numPr>
          <w:ilvl w:val="0"/>
          <w:numId w:val="19"/>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 xml:space="preserve">SVV subjektų apklausos duomenimis yra gauta, kad reikalingos išorinio </w:t>
      </w:r>
      <w:r w:rsidR="00CD129B" w:rsidRPr="00640D24">
        <w:rPr>
          <w:rFonts w:cs="Times New Roman"/>
          <w:sz w:val="22"/>
          <w:szCs w:val="22"/>
        </w:rPr>
        <w:t>finansavimo</w:t>
      </w:r>
      <w:r w:rsidRPr="00640D24">
        <w:rPr>
          <w:rFonts w:cs="Times New Roman"/>
          <w:sz w:val="22"/>
          <w:szCs w:val="22"/>
        </w:rPr>
        <w:t xml:space="preserve"> sumos mediana siekia 468,75 tūkst. </w:t>
      </w:r>
      <w:proofErr w:type="spellStart"/>
      <w:r w:rsidRPr="00640D24">
        <w:rPr>
          <w:rFonts w:cs="Times New Roman"/>
          <w:sz w:val="22"/>
          <w:szCs w:val="22"/>
        </w:rPr>
        <w:t>Eur</w:t>
      </w:r>
      <w:proofErr w:type="spellEnd"/>
      <w:r w:rsidRPr="00640D24">
        <w:rPr>
          <w:rFonts w:cs="Times New Roman"/>
          <w:sz w:val="22"/>
          <w:szCs w:val="22"/>
        </w:rPr>
        <w:t xml:space="preserve">, o vidutinė suma – 540,625 tūkst. </w:t>
      </w:r>
      <w:proofErr w:type="spellStart"/>
      <w:r w:rsidRPr="00640D24">
        <w:rPr>
          <w:rFonts w:cs="Times New Roman"/>
          <w:sz w:val="22"/>
          <w:szCs w:val="22"/>
        </w:rPr>
        <w:t>Eur</w:t>
      </w:r>
      <w:proofErr w:type="spellEnd"/>
      <w:r w:rsidRPr="00640D24">
        <w:rPr>
          <w:rFonts w:cs="Times New Roman"/>
          <w:sz w:val="22"/>
          <w:szCs w:val="22"/>
        </w:rPr>
        <w:t xml:space="preserve">. </w:t>
      </w:r>
    </w:p>
    <w:p w14:paraId="536690FD" w14:textId="357D4820" w:rsidR="001B086C" w:rsidRPr="00640D24" w:rsidRDefault="00DB2D71" w:rsidP="00170B5F">
      <w:pPr>
        <w:autoSpaceDE w:val="0"/>
        <w:autoSpaceDN w:val="0"/>
        <w:adjustRightInd w:val="0"/>
        <w:spacing w:before="60" w:after="60" w:line="240" w:lineRule="auto"/>
        <w:ind w:firstLine="567"/>
        <w:jc w:val="both"/>
        <w:rPr>
          <w:rFonts w:cs="Times New Roman"/>
          <w:sz w:val="16"/>
          <w:szCs w:val="16"/>
        </w:rPr>
      </w:pPr>
      <w:r w:rsidRPr="00640D24">
        <w:rPr>
          <w:rFonts w:cs="Times New Roman"/>
          <w:sz w:val="22"/>
          <w:szCs w:val="22"/>
        </w:rPr>
        <w:t xml:space="preserve">SVV subjektų apklausos duomenimis  įvertinus vidutinę prašomą finansuoti sumą, įvertinus </w:t>
      </w:r>
      <w:proofErr w:type="spellStart"/>
      <w:r w:rsidRPr="00640D24">
        <w:rPr>
          <w:rFonts w:cs="Times New Roman"/>
          <w:sz w:val="22"/>
          <w:szCs w:val="22"/>
        </w:rPr>
        <w:t>startuolių</w:t>
      </w:r>
      <w:proofErr w:type="spellEnd"/>
      <w:r w:rsidRPr="00640D24">
        <w:rPr>
          <w:rFonts w:cs="Times New Roman"/>
          <w:sz w:val="22"/>
          <w:szCs w:val="22"/>
        </w:rPr>
        <w:t xml:space="preserve"> skaičių ir kiek proc. </w:t>
      </w:r>
      <w:r w:rsidR="00B2033C" w:rsidRPr="00640D24">
        <w:rPr>
          <w:rFonts w:cs="Times New Roman"/>
          <w:sz w:val="22"/>
          <w:szCs w:val="22"/>
        </w:rPr>
        <w:t xml:space="preserve">įmonių </w:t>
      </w:r>
      <w:r w:rsidRPr="00640D24">
        <w:rPr>
          <w:rFonts w:cs="Times New Roman"/>
          <w:sz w:val="22"/>
          <w:szCs w:val="22"/>
        </w:rPr>
        <w:t xml:space="preserve">užsitikrino RKF finansavimą nustatyta, kad finansavimo trūkumas </w:t>
      </w:r>
      <w:r w:rsidR="005A7F09" w:rsidRPr="00640D24">
        <w:rPr>
          <w:rFonts w:cs="Times New Roman"/>
          <w:sz w:val="22"/>
          <w:szCs w:val="22"/>
        </w:rPr>
        <w:t>įmonėms</w:t>
      </w:r>
      <w:r w:rsidRPr="00640D24">
        <w:rPr>
          <w:rFonts w:cs="Times New Roman"/>
          <w:sz w:val="22"/>
          <w:szCs w:val="22"/>
        </w:rPr>
        <w:t xml:space="preserve"> bendras visoje Lietuvoje yra </w:t>
      </w:r>
      <w:r w:rsidR="00106BF0" w:rsidRPr="00640D24">
        <w:rPr>
          <w:rFonts w:cs="Times New Roman"/>
          <w:sz w:val="22"/>
          <w:szCs w:val="22"/>
        </w:rPr>
        <w:t>82,73</w:t>
      </w:r>
      <w:r w:rsidR="00645085" w:rsidRPr="00640D24">
        <w:rPr>
          <w:rFonts w:cs="Times New Roman"/>
          <w:sz w:val="22"/>
          <w:szCs w:val="22"/>
        </w:rPr>
        <w:t>–</w:t>
      </w:r>
      <w:r w:rsidR="00106BF0" w:rsidRPr="00640D24">
        <w:rPr>
          <w:rFonts w:cs="Times New Roman"/>
          <w:sz w:val="22"/>
          <w:szCs w:val="22"/>
        </w:rPr>
        <w:t>95,42</w:t>
      </w:r>
      <w:r w:rsidRPr="00640D24">
        <w:rPr>
          <w:rFonts w:cs="Times New Roman"/>
          <w:sz w:val="22"/>
          <w:szCs w:val="22"/>
        </w:rPr>
        <w:t xml:space="preserve"> mln</w:t>
      </w:r>
      <w:r w:rsidR="00954BA7" w:rsidRPr="00640D24">
        <w:rPr>
          <w:rFonts w:cs="Times New Roman"/>
          <w:sz w:val="22"/>
          <w:szCs w:val="22"/>
        </w:rPr>
        <w:t>.</w:t>
      </w:r>
      <w:r w:rsidRPr="00640D24">
        <w:rPr>
          <w:rFonts w:cs="Times New Roman"/>
          <w:sz w:val="22"/>
          <w:szCs w:val="22"/>
        </w:rPr>
        <w:t xml:space="preserve"> </w:t>
      </w:r>
      <w:proofErr w:type="spellStart"/>
      <w:r w:rsidRPr="00640D24">
        <w:rPr>
          <w:rFonts w:cs="Times New Roman"/>
          <w:sz w:val="22"/>
          <w:szCs w:val="22"/>
        </w:rPr>
        <w:t>Eur</w:t>
      </w:r>
      <w:proofErr w:type="spellEnd"/>
      <w:r w:rsidRPr="00640D24">
        <w:rPr>
          <w:rFonts w:cs="Times New Roman"/>
          <w:sz w:val="22"/>
          <w:szCs w:val="22"/>
        </w:rPr>
        <w:t xml:space="preserve">, o </w:t>
      </w:r>
      <w:r w:rsidR="00B2033C" w:rsidRPr="00640D24">
        <w:rPr>
          <w:rFonts w:cs="Times New Roman"/>
          <w:sz w:val="22"/>
          <w:szCs w:val="22"/>
        </w:rPr>
        <w:t xml:space="preserve">vykdančioms </w:t>
      </w:r>
      <w:r w:rsidRPr="00640D24">
        <w:rPr>
          <w:rFonts w:cs="Times New Roman"/>
          <w:sz w:val="22"/>
          <w:szCs w:val="22"/>
        </w:rPr>
        <w:t xml:space="preserve">veiklą Vidurio ir Vakarų Lietuvoje (vertinant tik naujas, Vakarų ir Vidurio Lietuvos regione veiklą vykdančias įmones ir veiklą vykdančių </w:t>
      </w:r>
      <w:proofErr w:type="spellStart"/>
      <w:r w:rsidRPr="00640D24">
        <w:rPr>
          <w:rFonts w:cs="Times New Roman"/>
          <w:sz w:val="22"/>
          <w:szCs w:val="22"/>
        </w:rPr>
        <w:t>startuolių</w:t>
      </w:r>
      <w:proofErr w:type="spellEnd"/>
      <w:r w:rsidRPr="00640D24">
        <w:rPr>
          <w:rFonts w:cs="Times New Roman"/>
          <w:sz w:val="22"/>
          <w:szCs w:val="22"/>
        </w:rPr>
        <w:t xml:space="preserve"> skaičių Vidurio ir Vakarų Lietuvoje) sieks –</w:t>
      </w:r>
      <w:r w:rsidR="00037A00" w:rsidRPr="00640D24">
        <w:rPr>
          <w:rFonts w:cs="Times New Roman"/>
          <w:b/>
          <w:sz w:val="22"/>
          <w:szCs w:val="22"/>
        </w:rPr>
        <w:t xml:space="preserve"> 37,38</w:t>
      </w:r>
      <w:r w:rsidR="00645085" w:rsidRPr="00640D24">
        <w:rPr>
          <w:rFonts w:cs="Times New Roman"/>
          <w:b/>
          <w:sz w:val="22"/>
          <w:szCs w:val="22"/>
        </w:rPr>
        <w:t>–</w:t>
      </w:r>
      <w:r w:rsidR="00037A00" w:rsidRPr="00640D24">
        <w:rPr>
          <w:rFonts w:cs="Times New Roman"/>
          <w:b/>
          <w:sz w:val="22"/>
          <w:szCs w:val="22"/>
        </w:rPr>
        <w:t>43,11</w:t>
      </w:r>
      <w:r w:rsidR="00106BF0" w:rsidRPr="00640D24">
        <w:rPr>
          <w:rFonts w:cs="Times New Roman"/>
          <w:b/>
          <w:sz w:val="22"/>
          <w:szCs w:val="22"/>
        </w:rPr>
        <w:t xml:space="preserve"> </w:t>
      </w:r>
      <w:r w:rsidRPr="00640D24">
        <w:rPr>
          <w:rFonts w:cs="Times New Roman"/>
          <w:b/>
          <w:sz w:val="22"/>
          <w:szCs w:val="22"/>
        </w:rPr>
        <w:t xml:space="preserve">mln. </w:t>
      </w:r>
      <w:proofErr w:type="spellStart"/>
      <w:r w:rsidRPr="00640D24">
        <w:rPr>
          <w:rFonts w:cs="Times New Roman"/>
          <w:b/>
          <w:sz w:val="22"/>
          <w:szCs w:val="22"/>
        </w:rPr>
        <w:t>Eur</w:t>
      </w:r>
      <w:proofErr w:type="spellEnd"/>
      <w:r w:rsidRPr="00640D24">
        <w:rPr>
          <w:rFonts w:cs="Times New Roman"/>
          <w:sz w:val="22"/>
          <w:szCs w:val="22"/>
        </w:rPr>
        <w:t xml:space="preserve">. </w:t>
      </w:r>
    </w:p>
    <w:p w14:paraId="5A8D153B" w14:textId="3439871F" w:rsidR="005F42FA" w:rsidRPr="00640D24" w:rsidRDefault="005F42FA" w:rsidP="00170B5F">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 xml:space="preserve">Atsižvelgiant į </w:t>
      </w:r>
      <w:r w:rsidR="00194E80" w:rsidRPr="00640D24">
        <w:rPr>
          <w:rFonts w:cs="Times New Roman"/>
          <w:sz w:val="22"/>
          <w:szCs w:val="22"/>
        </w:rPr>
        <w:t xml:space="preserve">FP </w:t>
      </w:r>
      <w:r w:rsidRPr="00640D24">
        <w:rPr>
          <w:rFonts w:cs="Times New Roman"/>
          <w:sz w:val="22"/>
          <w:szCs w:val="22"/>
        </w:rPr>
        <w:t>„Verslumo skatinimas 2014</w:t>
      </w:r>
      <w:r w:rsidR="004A7252" w:rsidRPr="00640D24">
        <w:rPr>
          <w:rFonts w:cs="Times New Roman"/>
          <w:sz w:val="22"/>
          <w:szCs w:val="22"/>
        </w:rPr>
        <w:t>–</w:t>
      </w:r>
      <w:r w:rsidRPr="00640D24">
        <w:rPr>
          <w:rFonts w:cs="Times New Roman"/>
          <w:sz w:val="22"/>
          <w:szCs w:val="22"/>
        </w:rPr>
        <w:t xml:space="preserve">2020“ lėšų </w:t>
      </w:r>
      <w:proofErr w:type="spellStart"/>
      <w:r w:rsidRPr="00640D24">
        <w:rPr>
          <w:rFonts w:cs="Times New Roman"/>
          <w:sz w:val="22"/>
          <w:szCs w:val="22"/>
        </w:rPr>
        <w:t>panaudojamumą</w:t>
      </w:r>
      <w:proofErr w:type="spellEnd"/>
      <w:r w:rsidRPr="00640D24">
        <w:rPr>
          <w:rFonts w:cs="Times New Roman"/>
          <w:sz w:val="22"/>
          <w:szCs w:val="22"/>
        </w:rPr>
        <w:t xml:space="preserve"> yra matomas </w:t>
      </w:r>
      <w:proofErr w:type="spellStart"/>
      <w:r w:rsidRPr="00640D24">
        <w:rPr>
          <w:rFonts w:cs="Times New Roman"/>
          <w:sz w:val="22"/>
          <w:szCs w:val="22"/>
        </w:rPr>
        <w:t>mikrokreditų</w:t>
      </w:r>
      <w:proofErr w:type="spellEnd"/>
      <w:r w:rsidRPr="00640D24">
        <w:rPr>
          <w:rFonts w:cs="Times New Roman"/>
          <w:sz w:val="22"/>
          <w:szCs w:val="22"/>
        </w:rPr>
        <w:t xml:space="preserve"> poreikis verslo pradžiai (skirtas ne tik </w:t>
      </w:r>
      <w:proofErr w:type="spellStart"/>
      <w:r w:rsidRPr="00640D24">
        <w:rPr>
          <w:rFonts w:cs="Times New Roman"/>
          <w:sz w:val="22"/>
          <w:szCs w:val="22"/>
        </w:rPr>
        <w:t>inovatyvius</w:t>
      </w:r>
      <w:proofErr w:type="spellEnd"/>
      <w:r w:rsidRPr="00640D24">
        <w:rPr>
          <w:rFonts w:cs="Times New Roman"/>
          <w:sz w:val="22"/>
          <w:szCs w:val="22"/>
        </w:rPr>
        <w:t xml:space="preserve"> produktus kuriantiems </w:t>
      </w:r>
      <w:proofErr w:type="spellStart"/>
      <w:r w:rsidRPr="00640D24">
        <w:rPr>
          <w:rFonts w:cs="Times New Roman"/>
          <w:sz w:val="22"/>
          <w:szCs w:val="22"/>
        </w:rPr>
        <w:t>startuoliams</w:t>
      </w:r>
      <w:proofErr w:type="spellEnd"/>
      <w:r w:rsidRPr="00640D24">
        <w:rPr>
          <w:rFonts w:cs="Times New Roman"/>
          <w:sz w:val="22"/>
          <w:szCs w:val="22"/>
        </w:rPr>
        <w:t>). Remiantis įmonių pasinaudojusių priemone Nr. 07.3.3</w:t>
      </w:r>
      <w:r w:rsidR="00645085" w:rsidRPr="00640D24">
        <w:rPr>
          <w:rFonts w:cs="Times New Roman"/>
          <w:sz w:val="22"/>
          <w:szCs w:val="22"/>
        </w:rPr>
        <w:t>–</w:t>
      </w:r>
      <w:r w:rsidRPr="00640D24">
        <w:rPr>
          <w:rFonts w:cs="Times New Roman"/>
          <w:sz w:val="22"/>
          <w:szCs w:val="22"/>
        </w:rPr>
        <w:t>IVG</w:t>
      </w:r>
      <w:r w:rsidR="00645085" w:rsidRPr="00640D24">
        <w:rPr>
          <w:rFonts w:cs="Times New Roman"/>
          <w:sz w:val="22"/>
          <w:szCs w:val="22"/>
        </w:rPr>
        <w:t>–</w:t>
      </w:r>
      <w:r w:rsidRPr="00640D24">
        <w:rPr>
          <w:rFonts w:cs="Times New Roman"/>
          <w:sz w:val="22"/>
          <w:szCs w:val="22"/>
        </w:rPr>
        <w:t>T</w:t>
      </w:r>
      <w:r w:rsidR="00645085" w:rsidRPr="00640D24">
        <w:rPr>
          <w:rFonts w:cs="Times New Roman"/>
          <w:sz w:val="22"/>
          <w:szCs w:val="22"/>
        </w:rPr>
        <w:t>–</w:t>
      </w:r>
      <w:r w:rsidRPr="00640D24">
        <w:rPr>
          <w:rFonts w:cs="Times New Roman"/>
          <w:sz w:val="22"/>
          <w:szCs w:val="22"/>
        </w:rPr>
        <w:t xml:space="preserve">428 „Subsidijos verslo pradžiai“ </w:t>
      </w:r>
      <w:proofErr w:type="spellStart"/>
      <w:r w:rsidRPr="00640D24">
        <w:rPr>
          <w:rFonts w:cs="Times New Roman"/>
          <w:sz w:val="22"/>
          <w:szCs w:val="22"/>
        </w:rPr>
        <w:t>regioniškumo</w:t>
      </w:r>
      <w:proofErr w:type="spellEnd"/>
      <w:r w:rsidRPr="00640D24">
        <w:rPr>
          <w:rFonts w:cs="Times New Roman"/>
          <w:sz w:val="22"/>
          <w:szCs w:val="22"/>
        </w:rPr>
        <w:t xml:space="preserve"> analizės duomenimis buvo nustatyta, kad Vidurio ir Vakarų Lietuvoje prašomas finansavimas siekė ~73 proc. 2014</w:t>
      </w:r>
      <w:r w:rsidR="004A7252" w:rsidRPr="00640D24">
        <w:rPr>
          <w:rFonts w:cs="Times New Roman"/>
          <w:sz w:val="22"/>
          <w:szCs w:val="22"/>
        </w:rPr>
        <w:t>–</w:t>
      </w:r>
      <w:r w:rsidRPr="00640D24">
        <w:rPr>
          <w:rFonts w:cs="Times New Roman"/>
          <w:sz w:val="22"/>
          <w:szCs w:val="22"/>
        </w:rPr>
        <w:t xml:space="preserve">2020 m. programavimo laikotarpiu numatyto biudžeto. Remiantis Statistikos departamento duomenimis ir darant prielaidą, kad vidutiniškai naujai įsteigtų ūkio subjektų skaičius auga ~4 </w:t>
      </w:r>
      <w:r w:rsidR="00BD226E" w:rsidRPr="00640D24">
        <w:rPr>
          <w:rFonts w:cs="Times New Roman"/>
          <w:sz w:val="22"/>
          <w:szCs w:val="22"/>
        </w:rPr>
        <w:t> </w:t>
      </w:r>
      <w:r w:rsidRPr="00640D24">
        <w:rPr>
          <w:rFonts w:cs="Times New Roman"/>
          <w:sz w:val="22"/>
          <w:szCs w:val="22"/>
        </w:rPr>
        <w:t>proc</w:t>
      </w:r>
      <w:r w:rsidR="00CD129B" w:rsidRPr="00640D24">
        <w:rPr>
          <w:rFonts w:cs="Times New Roman"/>
          <w:sz w:val="22"/>
          <w:szCs w:val="22"/>
        </w:rPr>
        <w:t>.</w:t>
      </w:r>
      <w:r w:rsidRPr="00640D24">
        <w:rPr>
          <w:rStyle w:val="Puslapioinaosnuoroda"/>
          <w:rFonts w:cs="Times New Roman"/>
          <w:sz w:val="22"/>
          <w:szCs w:val="22"/>
        </w:rPr>
        <w:footnoteReference w:id="59"/>
      </w:r>
      <w:r w:rsidRPr="00640D24">
        <w:rPr>
          <w:rFonts w:cs="Times New Roman"/>
          <w:sz w:val="22"/>
          <w:szCs w:val="22"/>
        </w:rPr>
        <w:t>, skaičiuojama, kad paskolų FP trūkumas 2021</w:t>
      </w:r>
      <w:r w:rsidR="004A7252" w:rsidRPr="00640D24">
        <w:rPr>
          <w:rFonts w:cs="Times New Roman"/>
          <w:sz w:val="22"/>
          <w:szCs w:val="22"/>
        </w:rPr>
        <w:t>–</w:t>
      </w:r>
      <w:r w:rsidRPr="00640D24">
        <w:rPr>
          <w:rFonts w:cs="Times New Roman"/>
          <w:sz w:val="22"/>
          <w:szCs w:val="22"/>
        </w:rPr>
        <w:t xml:space="preserve">2027 m. </w:t>
      </w:r>
      <w:r w:rsidR="003E1154" w:rsidRPr="00640D24">
        <w:rPr>
          <w:rFonts w:cs="Times New Roman"/>
          <w:sz w:val="22"/>
          <w:szCs w:val="22"/>
        </w:rPr>
        <w:t xml:space="preserve">ES SF programavimo laikotarpiu </w:t>
      </w:r>
      <w:r w:rsidRPr="00640D24">
        <w:rPr>
          <w:rFonts w:cs="Times New Roman"/>
          <w:sz w:val="22"/>
          <w:szCs w:val="22"/>
        </w:rPr>
        <w:t xml:space="preserve">sieks </w:t>
      </w:r>
      <w:r w:rsidR="00106BF0" w:rsidRPr="00640D24">
        <w:rPr>
          <w:rFonts w:cs="Times New Roman"/>
          <w:b/>
          <w:bCs/>
          <w:sz w:val="22"/>
          <w:szCs w:val="22"/>
        </w:rPr>
        <w:t>38,26</w:t>
      </w:r>
      <w:r w:rsidR="00033EB4" w:rsidRPr="00640D24">
        <w:rPr>
          <w:rFonts w:cs="Times New Roman"/>
          <w:b/>
          <w:bCs/>
          <w:sz w:val="22"/>
          <w:szCs w:val="22"/>
        </w:rPr>
        <w:t xml:space="preserve"> </w:t>
      </w:r>
      <w:r w:rsidRPr="00640D24">
        <w:rPr>
          <w:rFonts w:cs="Times New Roman"/>
          <w:b/>
          <w:bCs/>
          <w:sz w:val="22"/>
          <w:szCs w:val="22"/>
        </w:rPr>
        <w:t xml:space="preserve">mln. </w:t>
      </w:r>
      <w:proofErr w:type="spellStart"/>
      <w:r w:rsidRPr="00640D24">
        <w:rPr>
          <w:rFonts w:cs="Times New Roman"/>
          <w:b/>
          <w:bCs/>
          <w:sz w:val="22"/>
          <w:szCs w:val="22"/>
        </w:rPr>
        <w:t>Eur</w:t>
      </w:r>
      <w:proofErr w:type="spellEnd"/>
      <w:r w:rsidRPr="00640D24">
        <w:rPr>
          <w:rFonts w:cs="Times New Roman"/>
          <w:sz w:val="22"/>
          <w:szCs w:val="22"/>
        </w:rPr>
        <w:t xml:space="preserve">. </w:t>
      </w:r>
      <w:r w:rsidR="00DB2D71" w:rsidRPr="00640D24">
        <w:rPr>
          <w:rFonts w:cs="Times New Roman"/>
          <w:bCs/>
          <w:sz w:val="22"/>
          <w:szCs w:val="22"/>
        </w:rPr>
        <w:t xml:space="preserve"> Vakarų ir Vidurio Lietuvoje, o bendras visoje Lietuvoje </w:t>
      </w:r>
      <w:r w:rsidR="00954BA7" w:rsidRPr="00640D24">
        <w:rPr>
          <w:rFonts w:cs="Times New Roman"/>
          <w:sz w:val="22"/>
          <w:szCs w:val="22"/>
        </w:rPr>
        <w:t>–</w:t>
      </w:r>
      <w:r w:rsidR="00DB2D71" w:rsidRPr="00640D24">
        <w:rPr>
          <w:rFonts w:cs="Times New Roman"/>
          <w:b/>
          <w:bCs/>
          <w:sz w:val="22"/>
          <w:szCs w:val="22"/>
        </w:rPr>
        <w:t xml:space="preserve"> </w:t>
      </w:r>
      <w:r w:rsidR="00106BF0" w:rsidRPr="00640D24">
        <w:rPr>
          <w:rFonts w:cs="Times New Roman"/>
          <w:b/>
          <w:bCs/>
          <w:sz w:val="22"/>
          <w:szCs w:val="22"/>
        </w:rPr>
        <w:t>53,14</w:t>
      </w:r>
      <w:r w:rsidR="00DB2D71" w:rsidRPr="00640D24">
        <w:rPr>
          <w:rFonts w:cs="Times New Roman"/>
          <w:b/>
          <w:bCs/>
          <w:sz w:val="22"/>
          <w:szCs w:val="22"/>
        </w:rPr>
        <w:t xml:space="preserve"> </w:t>
      </w:r>
      <w:r w:rsidR="00CD129B" w:rsidRPr="00640D24">
        <w:rPr>
          <w:rFonts w:cs="Times New Roman"/>
          <w:b/>
          <w:bCs/>
          <w:sz w:val="22"/>
          <w:szCs w:val="22"/>
        </w:rPr>
        <w:t>mln.</w:t>
      </w:r>
      <w:r w:rsidR="00DB2D71" w:rsidRPr="00640D24">
        <w:rPr>
          <w:rFonts w:cs="Times New Roman"/>
          <w:b/>
          <w:bCs/>
          <w:sz w:val="22"/>
          <w:szCs w:val="22"/>
        </w:rPr>
        <w:t xml:space="preserve"> </w:t>
      </w:r>
      <w:proofErr w:type="spellStart"/>
      <w:r w:rsidR="00DB2D71" w:rsidRPr="00640D24">
        <w:rPr>
          <w:rFonts w:cs="Times New Roman"/>
          <w:b/>
          <w:bCs/>
          <w:sz w:val="22"/>
          <w:szCs w:val="22"/>
        </w:rPr>
        <w:t>Eur</w:t>
      </w:r>
      <w:proofErr w:type="spellEnd"/>
      <w:r w:rsidR="00DB2D71" w:rsidRPr="00640D24">
        <w:rPr>
          <w:rFonts w:cs="Times New Roman"/>
          <w:sz w:val="22"/>
          <w:szCs w:val="22"/>
        </w:rPr>
        <w:t xml:space="preserve">. </w:t>
      </w:r>
      <w:r w:rsidR="00026B2C" w:rsidRPr="00640D24">
        <w:rPr>
          <w:rFonts w:cs="Times New Roman"/>
          <w:sz w:val="22"/>
          <w:szCs w:val="22"/>
        </w:rPr>
        <w:t>Šis finansavimo poreikis gali būti patenkintas iš grįžusių ir (ar) grįšiančių lėšų</w:t>
      </w:r>
      <w:r w:rsidR="00A7568B" w:rsidRPr="00640D24">
        <w:rPr>
          <w:rFonts w:cs="Times New Roman"/>
          <w:sz w:val="22"/>
          <w:szCs w:val="22"/>
        </w:rPr>
        <w:t>, gautų</w:t>
      </w:r>
      <w:r w:rsidR="00026B2C" w:rsidRPr="00640D24">
        <w:rPr>
          <w:rFonts w:cs="Times New Roman"/>
          <w:sz w:val="22"/>
          <w:szCs w:val="22"/>
        </w:rPr>
        <w:t xml:space="preserve"> </w:t>
      </w:r>
      <w:r w:rsidR="00A7568B" w:rsidRPr="00640D24">
        <w:rPr>
          <w:rFonts w:cs="Times New Roman"/>
          <w:sz w:val="22"/>
          <w:szCs w:val="22"/>
        </w:rPr>
        <w:t>įgyvendinant</w:t>
      </w:r>
      <w:r w:rsidR="00026B2C" w:rsidRPr="00640D24">
        <w:rPr>
          <w:rFonts w:cs="Times New Roman"/>
          <w:sz w:val="22"/>
          <w:szCs w:val="22"/>
        </w:rPr>
        <w:t xml:space="preserve"> ankstesnes </w:t>
      </w:r>
      <w:proofErr w:type="spellStart"/>
      <w:r w:rsidR="00026B2C" w:rsidRPr="00640D24">
        <w:rPr>
          <w:rFonts w:cs="Times New Roman"/>
          <w:sz w:val="22"/>
          <w:szCs w:val="22"/>
        </w:rPr>
        <w:t>mikrokreditų</w:t>
      </w:r>
      <w:proofErr w:type="spellEnd"/>
      <w:r w:rsidR="00026B2C" w:rsidRPr="00640D24">
        <w:rPr>
          <w:rFonts w:cs="Times New Roman"/>
          <w:sz w:val="22"/>
          <w:szCs w:val="22"/>
        </w:rPr>
        <w:t xml:space="preserve"> FP.</w:t>
      </w:r>
    </w:p>
    <w:p w14:paraId="6081012B" w14:textId="48CB088D" w:rsidR="00551D20" w:rsidRPr="00640D24" w:rsidRDefault="00551D20" w:rsidP="00551D20">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Taip pat tikslinga yra tęsti FP „Startuok, finansuojamą Europos regioninės plėtros fondo lėšomis“</w:t>
      </w:r>
      <w:r w:rsidR="00140C21" w:rsidRPr="00640D24">
        <w:rPr>
          <w:rFonts w:cs="Times New Roman"/>
          <w:sz w:val="22"/>
          <w:szCs w:val="22"/>
        </w:rPr>
        <w:t xml:space="preserve"> (toliau – „Startuok“)</w:t>
      </w:r>
      <w:r w:rsidRPr="00640D24">
        <w:rPr>
          <w:rFonts w:cs="Times New Roman"/>
          <w:sz w:val="22"/>
          <w:szCs w:val="22"/>
        </w:rPr>
        <w:t xml:space="preserve">, kurios tikslas – užtikrinti finansinių šaltinių prieinamumą SVV subjektams, veikiantiems ne ilgiau kaip trejus metus, SVV subjektams, vykdantiems socialinio poveikio projektus, veikiantiems ne ilgiau kaip penkerius metus, ir SVV subjektams, kurių dalyvis (akcininkas, narys, dalininkas) ar savininkas yra leidimą gyventi Lietuvoje turintis Ukrainos pilietis arba Ukrainos juridinis asmuo, veikiantiems ne ilgiau kaip penkerius metus, ir Ukrainos pilietybę ir leidimą gyventi Lietuvoje turintiems verslininkams, veikiantiems ne ilgiau kaip penkerius metus. „Startuok“ sulaukė didelio susidomėjimo, 2023 m. rugpjūčio pab. buvo suteikta finansavimo SVV </w:t>
      </w:r>
      <w:r w:rsidR="00140C21" w:rsidRPr="00640D24">
        <w:rPr>
          <w:rFonts w:cs="Times New Roman"/>
          <w:sz w:val="22"/>
          <w:szCs w:val="22"/>
        </w:rPr>
        <w:t xml:space="preserve">subjektams </w:t>
      </w:r>
      <w:r w:rsidRPr="00640D24">
        <w:rPr>
          <w:rFonts w:cs="Times New Roman"/>
          <w:sz w:val="22"/>
          <w:szCs w:val="22"/>
        </w:rPr>
        <w:t xml:space="preserve">už 18 mln. </w:t>
      </w:r>
      <w:proofErr w:type="spellStart"/>
      <w:r w:rsidRPr="00640D24">
        <w:rPr>
          <w:rFonts w:cs="Times New Roman"/>
          <w:sz w:val="22"/>
          <w:szCs w:val="22"/>
        </w:rPr>
        <w:t>Eur</w:t>
      </w:r>
      <w:proofErr w:type="spellEnd"/>
      <w:r w:rsidR="00140C21" w:rsidRPr="00640D24">
        <w:rPr>
          <w:rFonts w:cs="Times New Roman"/>
          <w:sz w:val="22"/>
          <w:szCs w:val="22"/>
        </w:rPr>
        <w:t>.</w:t>
      </w:r>
    </w:p>
    <w:p w14:paraId="5016C35C" w14:textId="3C5AA791" w:rsidR="00551D20" w:rsidRPr="00640D24" w:rsidRDefault="00551D20" w:rsidP="00551D20">
      <w:pPr>
        <w:autoSpaceDE w:val="0"/>
        <w:autoSpaceDN w:val="0"/>
        <w:adjustRightInd w:val="0"/>
        <w:spacing w:before="60" w:after="60" w:line="240" w:lineRule="auto"/>
        <w:jc w:val="both"/>
        <w:rPr>
          <w:rFonts w:cs="Times New Roman"/>
          <w:sz w:val="22"/>
          <w:szCs w:val="22"/>
        </w:rPr>
      </w:pPr>
      <w:r w:rsidRPr="00640D24">
        <w:rPr>
          <w:rFonts w:cs="Times New Roman"/>
          <w:sz w:val="22"/>
          <w:szCs w:val="22"/>
        </w:rPr>
        <w:t xml:space="preserve">Siekiant dar labiau palengvinti SVV subjektų finansavimo naštą, siūloma </w:t>
      </w:r>
      <w:r w:rsidR="00B10A43" w:rsidRPr="00640D24">
        <w:rPr>
          <w:rFonts w:cs="Times New Roman"/>
          <w:sz w:val="22"/>
          <w:szCs w:val="22"/>
        </w:rPr>
        <w:t xml:space="preserve">FP, skirtas SVV subjektams </w:t>
      </w:r>
      <w:r w:rsidRPr="00640D24">
        <w:rPr>
          <w:rFonts w:cs="Times New Roman"/>
          <w:sz w:val="22"/>
          <w:szCs w:val="22"/>
        </w:rPr>
        <w:t xml:space="preserve">derinti su </w:t>
      </w:r>
      <w:r w:rsidR="00C15515" w:rsidRPr="00640D24">
        <w:rPr>
          <w:rFonts w:cs="Times New Roman"/>
          <w:sz w:val="22"/>
          <w:szCs w:val="22"/>
        </w:rPr>
        <w:t>dotacija</w:t>
      </w:r>
      <w:r w:rsidRPr="00640D24">
        <w:rPr>
          <w:rFonts w:cs="Times New Roman"/>
          <w:sz w:val="22"/>
          <w:szCs w:val="22"/>
        </w:rPr>
        <w:t xml:space="preserve">. Rekomenduojama teikti </w:t>
      </w:r>
      <w:r w:rsidR="00C15515" w:rsidRPr="00640D24">
        <w:rPr>
          <w:rFonts w:cs="Times New Roman"/>
          <w:sz w:val="22"/>
          <w:szCs w:val="22"/>
        </w:rPr>
        <w:t>dotaciją</w:t>
      </w:r>
      <w:r w:rsidRPr="00640D24">
        <w:rPr>
          <w:rFonts w:cs="Times New Roman"/>
          <w:sz w:val="22"/>
          <w:szCs w:val="22"/>
        </w:rPr>
        <w:t xml:space="preserve"> palūkanų kompensavimui arba dalies paskolos nurašymui, kai </w:t>
      </w:r>
      <w:r w:rsidR="00140C21" w:rsidRPr="00640D24">
        <w:rPr>
          <w:rFonts w:cs="Times New Roman"/>
          <w:sz w:val="22"/>
          <w:szCs w:val="22"/>
        </w:rPr>
        <w:t>verslo subjektui</w:t>
      </w:r>
      <w:r w:rsidRPr="00640D24">
        <w:rPr>
          <w:rFonts w:cs="Times New Roman"/>
          <w:sz w:val="22"/>
          <w:szCs w:val="22"/>
        </w:rPr>
        <w:t>, tinkamai įgyvendinus projektą ir grąžinus dalį skolinio finansavimo, dalis suteikto</w:t>
      </w:r>
      <w:r w:rsidR="00140C21" w:rsidRPr="00640D24">
        <w:rPr>
          <w:rFonts w:cs="Times New Roman"/>
          <w:sz w:val="22"/>
          <w:szCs w:val="22"/>
        </w:rPr>
        <w:t>s paskolos</w:t>
      </w:r>
      <w:r w:rsidRPr="00640D24">
        <w:rPr>
          <w:rFonts w:cs="Times New Roman"/>
          <w:sz w:val="22"/>
          <w:szCs w:val="22"/>
        </w:rPr>
        <w:t xml:space="preserve"> galėtų būti negrąžinama (angl. </w:t>
      </w:r>
      <w:proofErr w:type="spellStart"/>
      <w:r w:rsidRPr="00640D24">
        <w:rPr>
          <w:rFonts w:cs="Times New Roman"/>
          <w:i/>
          <w:iCs/>
          <w:sz w:val="22"/>
          <w:szCs w:val="22"/>
        </w:rPr>
        <w:t>capital</w:t>
      </w:r>
      <w:proofErr w:type="spellEnd"/>
      <w:r w:rsidRPr="00640D24">
        <w:rPr>
          <w:rFonts w:cs="Times New Roman"/>
          <w:i/>
          <w:iCs/>
          <w:sz w:val="22"/>
          <w:szCs w:val="22"/>
        </w:rPr>
        <w:t xml:space="preserve"> </w:t>
      </w:r>
      <w:proofErr w:type="spellStart"/>
      <w:r w:rsidRPr="00640D24">
        <w:rPr>
          <w:rFonts w:cs="Times New Roman"/>
          <w:i/>
          <w:iCs/>
          <w:sz w:val="22"/>
          <w:szCs w:val="22"/>
        </w:rPr>
        <w:t>rebate</w:t>
      </w:r>
      <w:proofErr w:type="spellEnd"/>
      <w:r w:rsidRPr="00640D24">
        <w:rPr>
          <w:rFonts w:cs="Times New Roman"/>
          <w:sz w:val="22"/>
          <w:szCs w:val="22"/>
        </w:rPr>
        <w:t>)</w:t>
      </w:r>
      <w:r w:rsidR="008C1BD8" w:rsidRPr="00640D24">
        <w:rPr>
          <w:rFonts w:cs="Times New Roman"/>
          <w:sz w:val="22"/>
          <w:szCs w:val="22"/>
        </w:rPr>
        <w:t>, ar taikyti kitus finansinių priemonių derinimo su dotacijomis būdus</w:t>
      </w:r>
      <w:r w:rsidR="00B10A43" w:rsidRPr="00640D24">
        <w:rPr>
          <w:rFonts w:cs="Times New Roman"/>
          <w:sz w:val="22"/>
          <w:szCs w:val="22"/>
        </w:rPr>
        <w:t>,</w:t>
      </w:r>
      <w:r w:rsidR="00184A61" w:rsidRPr="00640D24">
        <w:rPr>
          <w:rFonts w:cs="Times New Roman"/>
          <w:sz w:val="22"/>
          <w:szCs w:val="22"/>
        </w:rPr>
        <w:t xml:space="preserve"> </w:t>
      </w:r>
      <w:r w:rsidR="00B10A43" w:rsidRPr="00640D24">
        <w:rPr>
          <w:rFonts w:cs="Times New Roman"/>
          <w:sz w:val="22"/>
          <w:szCs w:val="22"/>
        </w:rPr>
        <w:t>siekiant palengvinti SVV paskolos grąžinimą ar/ir sumažinti paskolos sąnaudas, nesant pastoviems pinigų srautams. Toks siūlymas ypatingai aktualus dėl išaugusios skolinimosi kainos (EURIBOR) ir geopolitinės situacijos neapibrėžtumo.</w:t>
      </w:r>
    </w:p>
    <w:p w14:paraId="5967C882" w14:textId="77777777" w:rsidR="002C4260" w:rsidRPr="00640D24" w:rsidRDefault="002C4260" w:rsidP="00170B5F">
      <w:pPr>
        <w:autoSpaceDE w:val="0"/>
        <w:autoSpaceDN w:val="0"/>
        <w:adjustRightInd w:val="0"/>
        <w:spacing w:before="60" w:after="60" w:line="240" w:lineRule="auto"/>
        <w:ind w:firstLine="567"/>
        <w:jc w:val="both"/>
        <w:rPr>
          <w:rFonts w:cs="Times New Roman"/>
          <w:sz w:val="22"/>
          <w:szCs w:val="22"/>
        </w:rPr>
      </w:pPr>
    </w:p>
    <w:tbl>
      <w:tblPr>
        <w:tblStyle w:val="Lentelstinklelis"/>
        <w:tblW w:w="0" w:type="auto"/>
        <w:tblLook w:val="04A0" w:firstRow="1" w:lastRow="0" w:firstColumn="1" w:lastColumn="0" w:noHBand="0" w:noVBand="1"/>
      </w:tblPr>
      <w:tblGrid>
        <w:gridCol w:w="9628"/>
      </w:tblGrid>
      <w:tr w:rsidR="0003666F" w:rsidRPr="00640D24" w14:paraId="02682EE0" w14:textId="77777777" w:rsidTr="00F01F6B">
        <w:tc>
          <w:tcPr>
            <w:tcW w:w="9628" w:type="dxa"/>
          </w:tcPr>
          <w:p w14:paraId="32670B0D" w14:textId="5E077255" w:rsidR="0003666F" w:rsidRPr="00640D24" w:rsidRDefault="0003666F" w:rsidP="003342E4">
            <w:pPr>
              <w:autoSpaceDE w:val="0"/>
              <w:autoSpaceDN w:val="0"/>
              <w:adjustRightInd w:val="0"/>
              <w:spacing w:before="60" w:after="60" w:line="240" w:lineRule="auto"/>
              <w:ind w:firstLine="567"/>
              <w:jc w:val="both"/>
              <w:rPr>
                <w:rFonts w:cs="Times New Roman"/>
                <w:b/>
                <w:sz w:val="22"/>
                <w:szCs w:val="22"/>
                <w:lang w:val="lt-LT"/>
              </w:rPr>
            </w:pPr>
            <w:r w:rsidRPr="00640D24">
              <w:rPr>
                <w:rFonts w:cs="Times New Roman"/>
                <w:sz w:val="22"/>
                <w:szCs w:val="22"/>
                <w:lang w:val="lt-LT"/>
              </w:rPr>
              <w:t xml:space="preserve">Remiantis pateikta investicijų paklausos analize matoma, kad yra didelė paklausa </w:t>
            </w:r>
            <w:proofErr w:type="spellStart"/>
            <w:r w:rsidRPr="00640D24">
              <w:rPr>
                <w:rFonts w:cs="Times New Roman"/>
                <w:sz w:val="22"/>
                <w:szCs w:val="22"/>
                <w:lang w:val="lt-LT"/>
              </w:rPr>
              <w:t>startuolių</w:t>
            </w:r>
            <w:proofErr w:type="spellEnd"/>
            <w:r w:rsidRPr="00640D24">
              <w:rPr>
                <w:rFonts w:cs="Times New Roman"/>
                <w:sz w:val="22"/>
                <w:szCs w:val="22"/>
                <w:lang w:val="lt-LT"/>
              </w:rPr>
              <w:t xml:space="preserve"> vystymui, </w:t>
            </w:r>
            <w:proofErr w:type="spellStart"/>
            <w:r w:rsidRPr="00640D24">
              <w:rPr>
                <w:rFonts w:cs="Times New Roman"/>
                <w:sz w:val="22"/>
                <w:szCs w:val="22"/>
                <w:lang w:val="lt-LT"/>
              </w:rPr>
              <w:t>akceleravimui</w:t>
            </w:r>
            <w:proofErr w:type="spellEnd"/>
            <w:r w:rsidRPr="00640D24">
              <w:rPr>
                <w:rFonts w:cs="Times New Roman"/>
                <w:sz w:val="22"/>
                <w:szCs w:val="22"/>
                <w:lang w:val="lt-LT"/>
              </w:rPr>
              <w:t xml:space="preserve"> ir plėtrai Vidurio ir Vakarų Lietuvoje. Remiantis atlikta finansavimo paklausos analize nustatyta, kad </w:t>
            </w:r>
            <w:r w:rsidR="00716816" w:rsidRPr="00640D24">
              <w:rPr>
                <w:rFonts w:cs="Times New Roman"/>
                <w:sz w:val="22"/>
                <w:szCs w:val="22"/>
                <w:lang w:val="lt-LT"/>
              </w:rPr>
              <w:t>2021</w:t>
            </w:r>
            <w:r w:rsidR="009813DD" w:rsidRPr="00640D24">
              <w:rPr>
                <w:rFonts w:cs="Times New Roman"/>
                <w:sz w:val="22"/>
                <w:szCs w:val="22"/>
                <w:lang w:val="lt-LT"/>
              </w:rPr>
              <w:t>–</w:t>
            </w:r>
            <w:r w:rsidR="00716816" w:rsidRPr="00640D24">
              <w:rPr>
                <w:rFonts w:cs="Times New Roman"/>
                <w:sz w:val="22"/>
                <w:szCs w:val="22"/>
                <w:lang w:val="lt-LT"/>
              </w:rPr>
              <w:t xml:space="preserve">2027 m. </w:t>
            </w:r>
            <w:r w:rsidR="003E1154" w:rsidRPr="00640D24">
              <w:rPr>
                <w:rFonts w:cs="Times New Roman"/>
                <w:sz w:val="22"/>
                <w:szCs w:val="22"/>
                <w:lang w:val="lt-LT"/>
              </w:rPr>
              <w:t xml:space="preserve">ES SF </w:t>
            </w:r>
            <w:r w:rsidR="00716816" w:rsidRPr="00640D24">
              <w:rPr>
                <w:rFonts w:cs="Times New Roman"/>
                <w:sz w:val="22"/>
                <w:szCs w:val="22"/>
                <w:lang w:val="lt-LT"/>
              </w:rPr>
              <w:t xml:space="preserve">programavimo laikotarpiu </w:t>
            </w:r>
            <w:proofErr w:type="spellStart"/>
            <w:r w:rsidRPr="00640D24">
              <w:rPr>
                <w:rFonts w:cs="Times New Roman"/>
                <w:sz w:val="22"/>
                <w:szCs w:val="22"/>
                <w:lang w:val="lt-LT"/>
              </w:rPr>
              <w:t>startuolių</w:t>
            </w:r>
            <w:proofErr w:type="spellEnd"/>
            <w:r w:rsidRPr="00640D24">
              <w:rPr>
                <w:rFonts w:cs="Times New Roman"/>
                <w:sz w:val="22"/>
                <w:szCs w:val="22"/>
                <w:lang w:val="lt-LT"/>
              </w:rPr>
              <w:t xml:space="preserve"> vystymui ir </w:t>
            </w:r>
            <w:proofErr w:type="spellStart"/>
            <w:r w:rsidRPr="00640D24">
              <w:rPr>
                <w:rFonts w:cs="Times New Roman"/>
                <w:sz w:val="22"/>
                <w:szCs w:val="22"/>
                <w:lang w:val="lt-LT"/>
              </w:rPr>
              <w:t>akceleravimui</w:t>
            </w:r>
            <w:proofErr w:type="spellEnd"/>
            <w:r w:rsidRPr="00640D24">
              <w:rPr>
                <w:rFonts w:cs="Times New Roman"/>
                <w:sz w:val="22"/>
                <w:szCs w:val="22"/>
                <w:lang w:val="lt-LT"/>
              </w:rPr>
              <w:t xml:space="preserve"> Vidurio ir Vakarų Lietuvos regione reikalinga </w:t>
            </w:r>
            <w:r w:rsidR="009813DD" w:rsidRPr="00640D24">
              <w:rPr>
                <w:rFonts w:cs="Times New Roman"/>
                <w:sz w:val="22"/>
                <w:szCs w:val="22"/>
                <w:lang w:val="lt-LT"/>
              </w:rPr>
              <w:t>–</w:t>
            </w:r>
            <w:r w:rsidR="00376FD2" w:rsidRPr="00640D24">
              <w:rPr>
                <w:rFonts w:cs="Times New Roman"/>
                <w:sz w:val="22"/>
                <w:szCs w:val="22"/>
                <w:lang w:val="lt-LT"/>
              </w:rPr>
              <w:t xml:space="preserve"> </w:t>
            </w:r>
            <w:r w:rsidR="00B91FC2" w:rsidRPr="00640D24">
              <w:rPr>
                <w:rFonts w:cs="Times New Roman"/>
                <w:b/>
                <w:bCs/>
                <w:sz w:val="22"/>
                <w:szCs w:val="22"/>
                <w:lang w:val="lt-LT"/>
              </w:rPr>
              <w:t xml:space="preserve">iki </w:t>
            </w:r>
            <w:r w:rsidR="00037A00" w:rsidRPr="00640D24">
              <w:rPr>
                <w:rFonts w:cs="Times New Roman"/>
                <w:b/>
                <w:bCs/>
                <w:sz w:val="22"/>
                <w:szCs w:val="22"/>
                <w:lang w:val="lt-LT"/>
              </w:rPr>
              <w:t>81</w:t>
            </w:r>
            <w:r w:rsidR="004D5185" w:rsidRPr="00640D24">
              <w:rPr>
                <w:rFonts w:cs="Times New Roman"/>
                <w:b/>
                <w:bCs/>
                <w:sz w:val="22"/>
                <w:szCs w:val="22"/>
                <w:lang w:val="lt-LT"/>
              </w:rPr>
              <w:t>,</w:t>
            </w:r>
            <w:r w:rsidR="00037A00" w:rsidRPr="00640D24">
              <w:rPr>
                <w:rFonts w:cs="Times New Roman"/>
                <w:b/>
                <w:bCs/>
                <w:sz w:val="22"/>
                <w:szCs w:val="22"/>
                <w:lang w:val="lt-LT"/>
              </w:rPr>
              <w:t>34</w:t>
            </w:r>
            <w:r w:rsidRPr="00640D24">
              <w:rPr>
                <w:rFonts w:cs="Times New Roman"/>
                <w:b/>
                <w:bCs/>
                <w:sz w:val="22"/>
                <w:szCs w:val="22"/>
                <w:lang w:val="lt-LT"/>
              </w:rPr>
              <w:t xml:space="preserve"> mln. </w:t>
            </w:r>
            <w:proofErr w:type="spellStart"/>
            <w:r w:rsidRPr="00640D24">
              <w:rPr>
                <w:rFonts w:cs="Times New Roman"/>
                <w:b/>
                <w:bCs/>
                <w:sz w:val="22"/>
                <w:szCs w:val="22"/>
                <w:lang w:val="lt-LT"/>
              </w:rPr>
              <w:t>Eur</w:t>
            </w:r>
            <w:proofErr w:type="spellEnd"/>
            <w:r w:rsidRPr="00640D24">
              <w:rPr>
                <w:rFonts w:cs="Times New Roman"/>
                <w:sz w:val="22"/>
                <w:szCs w:val="22"/>
                <w:lang w:val="lt-LT"/>
              </w:rPr>
              <w:t xml:space="preserve"> suma.</w:t>
            </w:r>
            <w:r w:rsidR="00DB2D71" w:rsidRPr="00640D24">
              <w:rPr>
                <w:rFonts w:cs="Times New Roman"/>
                <w:sz w:val="22"/>
                <w:szCs w:val="22"/>
                <w:lang w:val="lt-LT"/>
              </w:rPr>
              <w:t xml:space="preserve"> </w:t>
            </w:r>
            <w:r w:rsidR="003342E4" w:rsidRPr="00640D24">
              <w:rPr>
                <w:rFonts w:cs="Times New Roman"/>
                <w:sz w:val="22"/>
                <w:szCs w:val="22"/>
                <w:lang w:val="lt-LT"/>
              </w:rPr>
              <w:t>B</w:t>
            </w:r>
            <w:r w:rsidR="00DB2D71" w:rsidRPr="00640D24">
              <w:rPr>
                <w:rFonts w:cs="Times New Roman"/>
                <w:sz w:val="22"/>
                <w:szCs w:val="22"/>
                <w:lang w:val="lt-LT"/>
              </w:rPr>
              <w:t xml:space="preserve">endras </w:t>
            </w:r>
            <w:proofErr w:type="spellStart"/>
            <w:r w:rsidR="00DB2D71" w:rsidRPr="00640D24">
              <w:rPr>
                <w:rFonts w:cs="Times New Roman"/>
                <w:sz w:val="22"/>
                <w:szCs w:val="22"/>
                <w:lang w:val="lt-LT"/>
              </w:rPr>
              <w:t>sta</w:t>
            </w:r>
            <w:r w:rsidR="00DD030C" w:rsidRPr="00640D24">
              <w:rPr>
                <w:rFonts w:cs="Times New Roman"/>
                <w:sz w:val="22"/>
                <w:szCs w:val="22"/>
                <w:lang w:val="lt-LT"/>
              </w:rPr>
              <w:t>r</w:t>
            </w:r>
            <w:r w:rsidR="00DB2D71" w:rsidRPr="00640D24">
              <w:rPr>
                <w:rFonts w:cs="Times New Roman"/>
                <w:sz w:val="22"/>
                <w:szCs w:val="22"/>
                <w:lang w:val="lt-LT"/>
              </w:rPr>
              <w:t>tuolių</w:t>
            </w:r>
            <w:proofErr w:type="spellEnd"/>
            <w:r w:rsidR="00DB2D71" w:rsidRPr="00640D24">
              <w:rPr>
                <w:rFonts w:cs="Times New Roman"/>
                <w:sz w:val="22"/>
                <w:szCs w:val="22"/>
                <w:lang w:val="lt-LT"/>
              </w:rPr>
              <w:t xml:space="preserve"> vystymo, </w:t>
            </w:r>
            <w:proofErr w:type="spellStart"/>
            <w:r w:rsidR="00DB2D71" w:rsidRPr="00640D24">
              <w:rPr>
                <w:rFonts w:cs="Times New Roman"/>
                <w:sz w:val="22"/>
                <w:szCs w:val="22"/>
                <w:lang w:val="lt-LT"/>
              </w:rPr>
              <w:t>akceleravimo</w:t>
            </w:r>
            <w:proofErr w:type="spellEnd"/>
            <w:r w:rsidR="00DB2D71" w:rsidRPr="00640D24">
              <w:rPr>
                <w:rFonts w:cs="Times New Roman"/>
                <w:sz w:val="22"/>
                <w:szCs w:val="22"/>
                <w:lang w:val="lt-LT"/>
              </w:rPr>
              <w:t xml:space="preserve"> ir plėtros finansavimo poreikis siekia </w:t>
            </w:r>
            <w:r w:rsidR="00B91FC2" w:rsidRPr="00640D24">
              <w:rPr>
                <w:rFonts w:cs="Times New Roman"/>
                <w:b/>
                <w:sz w:val="22"/>
                <w:szCs w:val="22"/>
                <w:lang w:val="lt-LT"/>
              </w:rPr>
              <w:t>iki</w:t>
            </w:r>
            <w:r w:rsidR="00A65B41" w:rsidRPr="00640D24">
              <w:rPr>
                <w:rFonts w:cs="Times New Roman"/>
                <w:b/>
                <w:sz w:val="22"/>
                <w:szCs w:val="22"/>
                <w:lang w:val="lt-LT"/>
              </w:rPr>
              <w:t xml:space="preserve"> </w:t>
            </w:r>
            <w:r w:rsidR="00037A00" w:rsidRPr="00640D24">
              <w:rPr>
                <w:rFonts w:cs="Times New Roman"/>
                <w:b/>
                <w:sz w:val="22"/>
                <w:szCs w:val="22"/>
                <w:lang w:val="lt-LT"/>
              </w:rPr>
              <w:t>148</w:t>
            </w:r>
            <w:r w:rsidR="00A65B41" w:rsidRPr="00640D24">
              <w:rPr>
                <w:rFonts w:cs="Times New Roman"/>
                <w:b/>
                <w:sz w:val="22"/>
                <w:szCs w:val="22"/>
                <w:lang w:val="lt-LT"/>
              </w:rPr>
              <w:t>,</w:t>
            </w:r>
            <w:r w:rsidR="00037A00" w:rsidRPr="00640D24">
              <w:rPr>
                <w:rFonts w:cs="Times New Roman"/>
                <w:b/>
                <w:sz w:val="22"/>
                <w:szCs w:val="22"/>
                <w:lang w:val="lt-LT"/>
              </w:rPr>
              <w:t>55</w:t>
            </w:r>
            <w:r w:rsidR="00DB2D71" w:rsidRPr="00640D24">
              <w:rPr>
                <w:rFonts w:cs="Times New Roman"/>
                <w:b/>
                <w:sz w:val="22"/>
                <w:szCs w:val="22"/>
                <w:lang w:val="lt-LT"/>
              </w:rPr>
              <w:t>mln</w:t>
            </w:r>
            <w:r w:rsidR="00954BA7" w:rsidRPr="00640D24">
              <w:rPr>
                <w:rFonts w:cs="Times New Roman"/>
                <w:b/>
                <w:sz w:val="22"/>
                <w:szCs w:val="22"/>
                <w:lang w:val="lt-LT"/>
              </w:rPr>
              <w:t>.</w:t>
            </w:r>
            <w:r w:rsidR="00DB2D71" w:rsidRPr="00640D24">
              <w:rPr>
                <w:rFonts w:cs="Times New Roman"/>
                <w:b/>
                <w:sz w:val="22"/>
                <w:szCs w:val="22"/>
                <w:lang w:val="lt-LT"/>
              </w:rPr>
              <w:t xml:space="preserve"> </w:t>
            </w:r>
            <w:proofErr w:type="spellStart"/>
            <w:r w:rsidR="00DB2D71" w:rsidRPr="00640D24">
              <w:rPr>
                <w:rFonts w:cs="Times New Roman"/>
                <w:b/>
                <w:sz w:val="22"/>
                <w:szCs w:val="22"/>
                <w:lang w:val="lt-LT"/>
              </w:rPr>
              <w:t>Eur</w:t>
            </w:r>
            <w:proofErr w:type="spellEnd"/>
            <w:r w:rsidR="00DB2D71" w:rsidRPr="00640D24">
              <w:rPr>
                <w:rFonts w:cs="Times New Roman"/>
                <w:b/>
                <w:sz w:val="22"/>
                <w:szCs w:val="22"/>
                <w:lang w:val="lt-LT"/>
              </w:rPr>
              <w:t>.</w:t>
            </w:r>
          </w:p>
          <w:p w14:paraId="4E648C53" w14:textId="11FA5781" w:rsidR="001F7962" w:rsidRPr="00640D24" w:rsidRDefault="00940B83" w:rsidP="003342E4">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lang w:val="lt-LT"/>
              </w:rPr>
              <w:t xml:space="preserve">Atsižvelgiant į pateiktas prielaidas finansavimo poreikis </w:t>
            </w:r>
            <w:r w:rsidRPr="00640D24">
              <w:rPr>
                <w:lang w:val="lt-LT"/>
              </w:rPr>
              <w:t xml:space="preserve">SVV subjektų kūrimuisi, augimui ir plėtrai sudarys iki </w:t>
            </w:r>
            <w:r w:rsidRPr="00640D24">
              <w:rPr>
                <w:b/>
                <w:bCs/>
                <w:lang w:val="lt-LT"/>
              </w:rPr>
              <w:t xml:space="preserve">389 mln. </w:t>
            </w:r>
            <w:proofErr w:type="spellStart"/>
            <w:r w:rsidRPr="00640D24">
              <w:rPr>
                <w:b/>
                <w:bCs/>
                <w:lang w:val="lt-LT"/>
              </w:rPr>
              <w:t>Eur</w:t>
            </w:r>
            <w:proofErr w:type="spellEnd"/>
            <w:r w:rsidRPr="00640D24">
              <w:rPr>
                <w:lang w:val="lt-LT"/>
              </w:rPr>
              <w:t xml:space="preserve">, iš kurių iki </w:t>
            </w:r>
            <w:r w:rsidRPr="00640D24">
              <w:rPr>
                <w:b/>
                <w:bCs/>
                <w:lang w:val="lt-LT"/>
              </w:rPr>
              <w:t xml:space="preserve">272 mln. </w:t>
            </w:r>
            <w:proofErr w:type="spellStart"/>
            <w:r w:rsidRPr="00640D24">
              <w:rPr>
                <w:b/>
                <w:bCs/>
                <w:lang w:val="lt-LT"/>
              </w:rPr>
              <w:t>Eur</w:t>
            </w:r>
            <w:proofErr w:type="spellEnd"/>
            <w:r w:rsidRPr="00640D24">
              <w:rPr>
                <w:lang w:val="lt-LT"/>
              </w:rPr>
              <w:t xml:space="preserve"> </w:t>
            </w:r>
            <w:r w:rsidRPr="00640D24">
              <w:rPr>
                <w:rFonts w:cs="Times New Roman"/>
                <w:sz w:val="22"/>
                <w:szCs w:val="22"/>
                <w:lang w:val="lt-LT"/>
              </w:rPr>
              <w:t>Vidurio ir Vakarų Lietuvos regione.</w:t>
            </w:r>
          </w:p>
        </w:tc>
      </w:tr>
    </w:tbl>
    <w:p w14:paraId="108E9482" w14:textId="006010CE" w:rsidR="00F01F6B" w:rsidRPr="00640D24" w:rsidRDefault="00F01F6B" w:rsidP="00F01F6B">
      <w:pPr>
        <w:pStyle w:val="Antrat3"/>
        <w:spacing w:before="120"/>
      </w:pPr>
      <w:bookmarkStart w:id="51" w:name="_Toc146812388"/>
      <w:bookmarkStart w:id="52" w:name="_Toc57307045"/>
      <w:bookmarkStart w:id="53" w:name="_Hlk56088976"/>
      <w:bookmarkStart w:id="54" w:name="_Toc57225216"/>
      <w:bookmarkStart w:id="55" w:name="_Hlk83379334"/>
      <w:r w:rsidRPr="00640D24">
        <w:lastRenderedPageBreak/>
        <w:t>2.3.2. MTEP vykdymas</w:t>
      </w:r>
      <w:bookmarkEnd w:id="51"/>
      <w:r w:rsidRPr="00640D24">
        <w:t xml:space="preserve"> </w:t>
      </w:r>
      <w:bookmarkEnd w:id="52"/>
    </w:p>
    <w:p w14:paraId="48E3F4BA" w14:textId="77777777" w:rsidR="00F01F6B" w:rsidRPr="00640D24" w:rsidRDefault="00F01F6B" w:rsidP="00F01F6B">
      <w:pPr>
        <w:spacing w:before="60" w:after="60" w:line="240" w:lineRule="auto"/>
        <w:ind w:left="360"/>
        <w:jc w:val="both"/>
        <w:rPr>
          <w:rFonts w:cs="Times New Roman"/>
          <w:i/>
          <w:iCs/>
          <w:sz w:val="22"/>
          <w:szCs w:val="22"/>
        </w:rPr>
      </w:pPr>
      <w:r w:rsidRPr="00640D24">
        <w:rPr>
          <w:rFonts w:cs="Times New Roman"/>
          <w:i/>
          <w:iCs/>
          <w:sz w:val="22"/>
          <w:szCs w:val="22"/>
        </w:rPr>
        <w:t>Investicijų paklausos analizė</w:t>
      </w:r>
    </w:p>
    <w:bookmarkEnd w:id="53"/>
    <w:p w14:paraId="6C305191" w14:textId="2661E043" w:rsidR="00F01F6B" w:rsidRPr="00640D24" w:rsidRDefault="00F01F6B" w:rsidP="00F01F6B">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 xml:space="preserve">2014–2020 m. programavimo laikotarpiu negrąžinamosios subsidijos forma MTEP veikloms buvo skirta 321,89 mln. </w:t>
      </w:r>
      <w:proofErr w:type="spellStart"/>
      <w:r w:rsidRPr="00640D24">
        <w:rPr>
          <w:rFonts w:cs="Times New Roman"/>
          <w:sz w:val="22"/>
          <w:szCs w:val="22"/>
        </w:rPr>
        <w:t>Eur</w:t>
      </w:r>
      <w:proofErr w:type="spellEnd"/>
      <w:r w:rsidRPr="00640D24">
        <w:rPr>
          <w:rFonts w:cs="Times New Roman"/>
          <w:sz w:val="22"/>
          <w:szCs w:val="22"/>
        </w:rPr>
        <w:t>.</w:t>
      </w:r>
      <w:r w:rsidRPr="00640D24">
        <w:rPr>
          <w:rFonts w:cs="Times New Roman"/>
        </w:rPr>
        <w:t xml:space="preserve"> </w:t>
      </w:r>
      <w:r w:rsidRPr="00640D24">
        <w:rPr>
          <w:rFonts w:cs="Times New Roman"/>
          <w:sz w:val="22"/>
          <w:szCs w:val="22"/>
        </w:rPr>
        <w:t>2014–2020 m. programavimo laikotarpiu verslas aktyviausiai naudojosi naujiems produktams kurti skirtomis paramos priemonėmis, tokiomis kaip Nr. 01.2.1</w:t>
      </w:r>
      <w:r w:rsidR="00645085" w:rsidRPr="00640D24">
        <w:rPr>
          <w:rFonts w:cs="Times New Roman"/>
          <w:sz w:val="22"/>
          <w:szCs w:val="22"/>
        </w:rPr>
        <w:t>–</w:t>
      </w:r>
      <w:r w:rsidRPr="00640D24">
        <w:rPr>
          <w:rFonts w:cs="Times New Roman"/>
          <w:sz w:val="22"/>
          <w:szCs w:val="22"/>
        </w:rPr>
        <w:t>MITA</w:t>
      </w:r>
      <w:r w:rsidR="00645085" w:rsidRPr="00640D24">
        <w:rPr>
          <w:rFonts w:cs="Times New Roman"/>
          <w:sz w:val="22"/>
          <w:szCs w:val="22"/>
        </w:rPr>
        <w:t>–</w:t>
      </w:r>
      <w:r w:rsidRPr="00640D24">
        <w:rPr>
          <w:rFonts w:cs="Times New Roman"/>
          <w:sz w:val="22"/>
          <w:szCs w:val="22"/>
        </w:rPr>
        <w:t>T</w:t>
      </w:r>
      <w:r w:rsidR="00645085" w:rsidRPr="00640D24">
        <w:rPr>
          <w:rFonts w:cs="Times New Roman"/>
          <w:sz w:val="22"/>
          <w:szCs w:val="22"/>
        </w:rPr>
        <w:t>–</w:t>
      </w:r>
      <w:r w:rsidRPr="00640D24">
        <w:rPr>
          <w:rFonts w:cs="Times New Roman"/>
          <w:sz w:val="22"/>
          <w:szCs w:val="22"/>
        </w:rPr>
        <w:t>852 „</w:t>
      </w:r>
      <w:proofErr w:type="spellStart"/>
      <w:r w:rsidRPr="00640D24">
        <w:rPr>
          <w:rFonts w:cs="Times New Roman"/>
          <w:sz w:val="22"/>
          <w:szCs w:val="22"/>
        </w:rPr>
        <w:t>Inostartas</w:t>
      </w:r>
      <w:proofErr w:type="spellEnd"/>
      <w:r w:rsidRPr="00640D24">
        <w:rPr>
          <w:rFonts w:cs="Times New Roman"/>
          <w:sz w:val="22"/>
          <w:szCs w:val="22"/>
        </w:rPr>
        <w:t>“, Nr. 01.2.1</w:t>
      </w:r>
      <w:r w:rsidR="00645085" w:rsidRPr="00640D24">
        <w:rPr>
          <w:rFonts w:cs="Times New Roman"/>
          <w:sz w:val="22"/>
          <w:szCs w:val="22"/>
        </w:rPr>
        <w:t>–</w:t>
      </w:r>
      <w:r w:rsidRPr="00640D24">
        <w:rPr>
          <w:rFonts w:cs="Times New Roman"/>
          <w:sz w:val="22"/>
          <w:szCs w:val="22"/>
        </w:rPr>
        <w:t>LVPA</w:t>
      </w:r>
      <w:r w:rsidR="00645085" w:rsidRPr="00640D24">
        <w:rPr>
          <w:rFonts w:cs="Times New Roman"/>
          <w:sz w:val="22"/>
          <w:szCs w:val="22"/>
        </w:rPr>
        <w:t>–</w:t>
      </w:r>
      <w:r w:rsidRPr="00640D24">
        <w:rPr>
          <w:rFonts w:cs="Times New Roman"/>
          <w:sz w:val="22"/>
          <w:szCs w:val="22"/>
        </w:rPr>
        <w:t>K</w:t>
      </w:r>
      <w:r w:rsidR="00645085" w:rsidRPr="00640D24">
        <w:rPr>
          <w:rFonts w:cs="Times New Roman"/>
          <w:sz w:val="22"/>
          <w:szCs w:val="22"/>
        </w:rPr>
        <w:t>–</w:t>
      </w:r>
      <w:r w:rsidRPr="00640D24">
        <w:rPr>
          <w:rFonts w:cs="Times New Roman"/>
          <w:sz w:val="22"/>
          <w:szCs w:val="22"/>
        </w:rPr>
        <w:t>856 „Eksperimentas“, Nr. 01.2.1</w:t>
      </w:r>
      <w:r w:rsidR="00645085" w:rsidRPr="00640D24">
        <w:rPr>
          <w:rFonts w:cs="Times New Roman"/>
          <w:sz w:val="22"/>
          <w:szCs w:val="22"/>
        </w:rPr>
        <w:t>–</w:t>
      </w:r>
      <w:r w:rsidRPr="00640D24">
        <w:rPr>
          <w:rFonts w:cs="Times New Roman"/>
          <w:sz w:val="22"/>
          <w:szCs w:val="22"/>
        </w:rPr>
        <w:t>LVPA</w:t>
      </w:r>
      <w:r w:rsidR="00645085" w:rsidRPr="00640D24">
        <w:rPr>
          <w:rFonts w:cs="Times New Roman"/>
          <w:sz w:val="22"/>
          <w:szCs w:val="22"/>
        </w:rPr>
        <w:t>–</w:t>
      </w:r>
      <w:r w:rsidRPr="00640D24">
        <w:rPr>
          <w:rFonts w:cs="Times New Roman"/>
          <w:sz w:val="22"/>
          <w:szCs w:val="22"/>
        </w:rPr>
        <w:t>K</w:t>
      </w:r>
      <w:r w:rsidR="00645085" w:rsidRPr="00640D24">
        <w:rPr>
          <w:rFonts w:cs="Times New Roman"/>
          <w:sz w:val="22"/>
          <w:szCs w:val="22"/>
        </w:rPr>
        <w:t>–</w:t>
      </w:r>
      <w:r w:rsidRPr="00640D24">
        <w:rPr>
          <w:rFonts w:cs="Times New Roman"/>
          <w:sz w:val="22"/>
          <w:szCs w:val="22"/>
        </w:rPr>
        <w:t>828 „Intelektas. Bendri mokslo</w:t>
      </w:r>
      <w:r w:rsidR="00645085" w:rsidRPr="00640D24">
        <w:rPr>
          <w:rFonts w:cs="Times New Roman"/>
          <w:sz w:val="22"/>
          <w:szCs w:val="22"/>
        </w:rPr>
        <w:t>–</w:t>
      </w:r>
      <w:r w:rsidRPr="00640D24">
        <w:rPr>
          <w:rFonts w:cs="Times New Roman"/>
          <w:sz w:val="22"/>
          <w:szCs w:val="22"/>
        </w:rPr>
        <w:t>verslo projektai“, Nr. 01.2.1</w:t>
      </w:r>
      <w:r w:rsidR="00645085" w:rsidRPr="00640D24">
        <w:rPr>
          <w:rFonts w:cs="Times New Roman"/>
          <w:sz w:val="22"/>
          <w:szCs w:val="22"/>
        </w:rPr>
        <w:t>–</w:t>
      </w:r>
      <w:r w:rsidRPr="00640D24">
        <w:rPr>
          <w:rFonts w:cs="Times New Roman"/>
          <w:sz w:val="22"/>
          <w:szCs w:val="22"/>
        </w:rPr>
        <w:t>LVPA</w:t>
      </w:r>
      <w:r w:rsidR="00645085" w:rsidRPr="00640D24">
        <w:rPr>
          <w:rFonts w:cs="Times New Roman"/>
          <w:sz w:val="22"/>
          <w:szCs w:val="22"/>
        </w:rPr>
        <w:t>–</w:t>
      </w:r>
      <w:r w:rsidRPr="00640D24">
        <w:rPr>
          <w:rFonts w:cs="Times New Roman"/>
          <w:sz w:val="22"/>
          <w:szCs w:val="22"/>
        </w:rPr>
        <w:t>K</w:t>
      </w:r>
      <w:r w:rsidR="00645085" w:rsidRPr="00640D24">
        <w:rPr>
          <w:rFonts w:cs="Times New Roman"/>
          <w:sz w:val="22"/>
          <w:szCs w:val="22"/>
        </w:rPr>
        <w:t>–</w:t>
      </w:r>
      <w:r w:rsidRPr="00640D24">
        <w:rPr>
          <w:rFonts w:cs="Times New Roman"/>
          <w:sz w:val="22"/>
          <w:szCs w:val="22"/>
        </w:rPr>
        <w:t>855 „Intelektas LT</w:t>
      </w:r>
      <w:r w:rsidR="00645085" w:rsidRPr="00640D24">
        <w:rPr>
          <w:rFonts w:cs="Times New Roman"/>
          <w:sz w:val="22"/>
          <w:szCs w:val="22"/>
        </w:rPr>
        <w:t>–</w:t>
      </w:r>
      <w:r w:rsidRPr="00640D24">
        <w:rPr>
          <w:rFonts w:cs="Times New Roman"/>
          <w:sz w:val="22"/>
          <w:szCs w:val="22"/>
        </w:rPr>
        <w:t>2“. Dėl didelio MTEP projektų populiarumo 2014–2020 m. programavimo laikotarpiu buvo tikslinami skirtingų priemonių aprašai ir aktyviai perskirstomos ES SF lėšų sumos. Pasinaudojimas šiomis paramos priemonėmis viršijo skirtą ES SF lėšų sumą – daugeliu atvejų EIM nusprendė padidinti skiriamų ES SF lėšų sumą ir patenkinti visus arba dalį rezerviniame sąraše buvusių, tačiau teigiamai įvertintų projektų. Vėliausiais duomenimis buvo perskirstytos lėšos ir atnaujinti du priemonės Nr. 01.2.1</w:t>
      </w:r>
      <w:r w:rsidR="00645085" w:rsidRPr="00640D24">
        <w:rPr>
          <w:rFonts w:cs="Times New Roman"/>
          <w:sz w:val="22"/>
          <w:szCs w:val="22"/>
        </w:rPr>
        <w:t>–</w:t>
      </w:r>
      <w:r w:rsidRPr="00640D24">
        <w:rPr>
          <w:rFonts w:cs="Times New Roman"/>
          <w:sz w:val="22"/>
          <w:szCs w:val="22"/>
        </w:rPr>
        <w:t>MITA</w:t>
      </w:r>
      <w:r w:rsidR="00645085" w:rsidRPr="00640D24">
        <w:rPr>
          <w:rFonts w:cs="Times New Roman"/>
          <w:sz w:val="22"/>
          <w:szCs w:val="22"/>
        </w:rPr>
        <w:t>–</w:t>
      </w:r>
      <w:r w:rsidRPr="00640D24">
        <w:rPr>
          <w:rFonts w:cs="Times New Roman"/>
          <w:sz w:val="22"/>
          <w:szCs w:val="22"/>
        </w:rPr>
        <w:t>T</w:t>
      </w:r>
      <w:r w:rsidR="00645085" w:rsidRPr="00640D24">
        <w:rPr>
          <w:rFonts w:cs="Times New Roman"/>
          <w:sz w:val="22"/>
          <w:szCs w:val="22"/>
        </w:rPr>
        <w:t>–</w:t>
      </w:r>
      <w:r w:rsidRPr="00640D24">
        <w:rPr>
          <w:rFonts w:cs="Times New Roman"/>
          <w:sz w:val="22"/>
          <w:szCs w:val="22"/>
        </w:rPr>
        <w:t>852 „</w:t>
      </w:r>
      <w:proofErr w:type="spellStart"/>
      <w:r w:rsidRPr="00640D24">
        <w:rPr>
          <w:rFonts w:cs="Times New Roman"/>
          <w:sz w:val="22"/>
          <w:szCs w:val="22"/>
        </w:rPr>
        <w:t>Inostartas</w:t>
      </w:r>
      <w:proofErr w:type="spellEnd"/>
      <w:r w:rsidRPr="00640D24">
        <w:rPr>
          <w:rFonts w:cs="Times New Roman"/>
          <w:sz w:val="22"/>
          <w:szCs w:val="22"/>
        </w:rPr>
        <w:t xml:space="preserve">“ kvietimai. Žemiau paveiksle yra matomas skirtų ir panaudotų ES SF fondų skirtumas MTEP veikloms, remiantis 2020 m. rugsėjo mėn. duomenimis. </w:t>
      </w:r>
    </w:p>
    <w:p w14:paraId="14B62B41" w14:textId="77777777" w:rsidR="00F01F6B" w:rsidRPr="00640D24" w:rsidRDefault="00F01F6B" w:rsidP="00F01F6B">
      <w:pPr>
        <w:autoSpaceDE w:val="0"/>
        <w:autoSpaceDN w:val="0"/>
        <w:adjustRightInd w:val="0"/>
        <w:spacing w:before="60" w:after="60" w:line="240" w:lineRule="auto"/>
        <w:ind w:firstLine="567"/>
        <w:jc w:val="both"/>
        <w:rPr>
          <w:rFonts w:cs="Times New Roman"/>
          <w:sz w:val="22"/>
          <w:szCs w:val="22"/>
        </w:rPr>
      </w:pPr>
      <w:r w:rsidRPr="00640D24">
        <w:rPr>
          <w:rFonts w:cs="Times New Roman"/>
          <w:noProof/>
          <w:lang w:eastAsia="lt-LT"/>
        </w:rPr>
        <w:drawing>
          <wp:anchor distT="0" distB="0" distL="114300" distR="114300" simplePos="0" relativeHeight="251658245" behindDoc="0" locked="0" layoutInCell="1" allowOverlap="1" wp14:anchorId="3E272BF3" wp14:editId="7B84A183">
            <wp:simplePos x="0" y="0"/>
            <wp:positionH relativeFrom="column">
              <wp:posOffset>0</wp:posOffset>
            </wp:positionH>
            <wp:positionV relativeFrom="paragraph">
              <wp:posOffset>198755</wp:posOffset>
            </wp:positionV>
            <wp:extent cx="6089650" cy="2406650"/>
            <wp:effectExtent l="0" t="0" r="6350" b="12700"/>
            <wp:wrapTopAndBottom/>
            <wp:docPr id="12" name="Chart 12">
              <a:extLst xmlns:a="http://schemas.openxmlformats.org/drawingml/2006/main">
                <a:ext uri="{FF2B5EF4-FFF2-40B4-BE49-F238E27FC236}">
                  <a16:creationId xmlns:a16="http://schemas.microsoft.com/office/drawing/2014/main" id="{15038853-D7CB-4300-99B6-72891595E6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2BA60E98" w14:textId="6E687111" w:rsidR="00F01F6B" w:rsidRPr="00640D24" w:rsidRDefault="00F01F6B" w:rsidP="00F01F6B">
      <w:pPr>
        <w:autoSpaceDE w:val="0"/>
        <w:autoSpaceDN w:val="0"/>
        <w:adjustRightInd w:val="0"/>
        <w:spacing w:before="60" w:after="60" w:line="240" w:lineRule="auto"/>
        <w:ind w:firstLine="567"/>
        <w:jc w:val="both"/>
        <w:rPr>
          <w:rFonts w:cs="Times New Roman"/>
          <w:b/>
          <w:bCs/>
          <w:sz w:val="22"/>
          <w:szCs w:val="22"/>
        </w:rPr>
      </w:pPr>
      <w:r w:rsidRPr="00640D24">
        <w:rPr>
          <w:rFonts w:cs="Times New Roman"/>
          <w:sz w:val="22"/>
          <w:szCs w:val="22"/>
        </w:rPr>
        <w:t>Išoriniu finansavimu MTEP veikloms finansuoti yra dažniausiai naudojamasi didžiuosiuose miestuose, ypač Sostinės regione. Pagal priemonę Nr.  01.2.1</w:t>
      </w:r>
      <w:r w:rsidR="00645085" w:rsidRPr="00640D24">
        <w:rPr>
          <w:rFonts w:cs="Times New Roman"/>
          <w:sz w:val="22"/>
          <w:szCs w:val="22"/>
        </w:rPr>
        <w:t>–</w:t>
      </w:r>
      <w:r w:rsidRPr="00640D24">
        <w:rPr>
          <w:rFonts w:cs="Times New Roman"/>
          <w:sz w:val="22"/>
          <w:szCs w:val="22"/>
        </w:rPr>
        <w:t> LVPA</w:t>
      </w:r>
      <w:r w:rsidR="00645085" w:rsidRPr="00640D24">
        <w:rPr>
          <w:rFonts w:cs="Times New Roman"/>
          <w:sz w:val="22"/>
          <w:szCs w:val="22"/>
        </w:rPr>
        <w:t>–</w:t>
      </w:r>
      <w:r w:rsidRPr="00640D24">
        <w:rPr>
          <w:rFonts w:cs="Times New Roman"/>
          <w:sz w:val="22"/>
          <w:szCs w:val="22"/>
        </w:rPr>
        <w:t>K</w:t>
      </w:r>
      <w:r w:rsidR="00645085" w:rsidRPr="00640D24">
        <w:rPr>
          <w:rFonts w:cs="Times New Roman"/>
          <w:sz w:val="22"/>
          <w:szCs w:val="22"/>
        </w:rPr>
        <w:t>–</w:t>
      </w:r>
      <w:r w:rsidRPr="00640D24">
        <w:rPr>
          <w:rFonts w:cs="Times New Roman"/>
          <w:sz w:val="22"/>
          <w:szCs w:val="22"/>
        </w:rPr>
        <w:t xml:space="preserve">856 „Eksperimentas“ regionuose veikiančiam verslui buvo skirta 25 mln. </w:t>
      </w:r>
      <w:proofErr w:type="spellStart"/>
      <w:r w:rsidRPr="00640D24">
        <w:rPr>
          <w:rFonts w:cs="Times New Roman"/>
          <w:sz w:val="22"/>
          <w:szCs w:val="22"/>
        </w:rPr>
        <w:t>Eur</w:t>
      </w:r>
      <w:proofErr w:type="spellEnd"/>
      <w:r w:rsidRPr="00640D24">
        <w:rPr>
          <w:rFonts w:cs="Times New Roman"/>
          <w:sz w:val="22"/>
          <w:szCs w:val="22"/>
        </w:rPr>
        <w:t xml:space="preserve"> suma, tačiau finansavimo sutartys buvo pasirašytos tik dėl 9,6 mln. </w:t>
      </w:r>
      <w:proofErr w:type="spellStart"/>
      <w:r w:rsidRPr="00640D24">
        <w:rPr>
          <w:rFonts w:cs="Times New Roman"/>
          <w:sz w:val="22"/>
          <w:szCs w:val="22"/>
        </w:rPr>
        <w:t>Eur</w:t>
      </w:r>
      <w:proofErr w:type="spellEnd"/>
      <w:r w:rsidRPr="00640D24">
        <w:rPr>
          <w:rFonts w:cs="Times New Roman"/>
          <w:sz w:val="22"/>
          <w:szCs w:val="22"/>
        </w:rPr>
        <w:t>, o likusioji dalis finansavimo buvo perskirstyta visoje Lietuvoje planuojamiems įgyvendinti projektams. Išanalizavus viešai prieinamą informaciją apie pareiškėjus ir jų veiklos geografiją, galima daryti prielaidas, kad dėl didelės universitetų koncentracijos ir talentų pritraukimo galimybių, didesnis poreikis finansavimui MTEP veikloms bus reikalingas didžiuosiuose miestuose, ypač Sostinės regione. Skaičiuojama, kad įgyvendinant didelės apimties MTEP projektus (Nr. 01.2.1</w:t>
      </w:r>
      <w:r w:rsidR="00645085" w:rsidRPr="00640D24">
        <w:rPr>
          <w:rFonts w:cs="Times New Roman"/>
          <w:sz w:val="22"/>
          <w:szCs w:val="22"/>
        </w:rPr>
        <w:t>–</w:t>
      </w:r>
      <w:r w:rsidRPr="00640D24">
        <w:rPr>
          <w:rFonts w:cs="Times New Roman"/>
          <w:sz w:val="22"/>
          <w:szCs w:val="22"/>
        </w:rPr>
        <w:t>LVPA</w:t>
      </w:r>
      <w:r w:rsidR="00645085" w:rsidRPr="00640D24">
        <w:rPr>
          <w:rFonts w:cs="Times New Roman"/>
          <w:sz w:val="22"/>
          <w:szCs w:val="22"/>
        </w:rPr>
        <w:t>–</w:t>
      </w:r>
      <w:r w:rsidRPr="00640D24">
        <w:rPr>
          <w:rFonts w:cs="Times New Roman"/>
          <w:sz w:val="22"/>
          <w:szCs w:val="22"/>
        </w:rPr>
        <w:t>K</w:t>
      </w:r>
      <w:r w:rsidR="00645085" w:rsidRPr="00640D24">
        <w:rPr>
          <w:rFonts w:cs="Times New Roman"/>
          <w:sz w:val="22"/>
          <w:szCs w:val="22"/>
        </w:rPr>
        <w:t>–</w:t>
      </w:r>
      <w:r w:rsidRPr="00640D24">
        <w:rPr>
          <w:rFonts w:cs="Times New Roman"/>
          <w:sz w:val="22"/>
          <w:szCs w:val="22"/>
        </w:rPr>
        <w:t>856 „Eksperimentas“, Nr. 01.2.1</w:t>
      </w:r>
      <w:r w:rsidR="00645085" w:rsidRPr="00640D24">
        <w:rPr>
          <w:rFonts w:cs="Times New Roman"/>
          <w:sz w:val="22"/>
          <w:szCs w:val="22"/>
        </w:rPr>
        <w:t>–</w:t>
      </w:r>
      <w:r w:rsidRPr="00640D24">
        <w:rPr>
          <w:rFonts w:cs="Times New Roman"/>
          <w:sz w:val="22"/>
          <w:szCs w:val="22"/>
        </w:rPr>
        <w:t>LVPA</w:t>
      </w:r>
      <w:r w:rsidR="00645085" w:rsidRPr="00640D24">
        <w:rPr>
          <w:rFonts w:cs="Times New Roman"/>
          <w:sz w:val="22"/>
          <w:szCs w:val="22"/>
        </w:rPr>
        <w:t>–</w:t>
      </w:r>
      <w:r w:rsidRPr="00640D24">
        <w:rPr>
          <w:rFonts w:cs="Times New Roman"/>
          <w:sz w:val="22"/>
          <w:szCs w:val="22"/>
        </w:rPr>
        <w:t>K</w:t>
      </w:r>
      <w:r w:rsidR="00645085" w:rsidRPr="00640D24">
        <w:rPr>
          <w:rFonts w:cs="Times New Roman"/>
          <w:sz w:val="22"/>
          <w:szCs w:val="22"/>
        </w:rPr>
        <w:t>–</w:t>
      </w:r>
      <w:r w:rsidRPr="00640D24">
        <w:rPr>
          <w:rFonts w:cs="Times New Roman"/>
          <w:sz w:val="22"/>
          <w:szCs w:val="22"/>
        </w:rPr>
        <w:t>828 „Intelektas. Bendri mokslo</w:t>
      </w:r>
      <w:r w:rsidR="00645085" w:rsidRPr="00640D24">
        <w:rPr>
          <w:rFonts w:cs="Times New Roman"/>
          <w:sz w:val="22"/>
          <w:szCs w:val="22"/>
        </w:rPr>
        <w:t>–</w:t>
      </w:r>
      <w:r w:rsidRPr="00640D24">
        <w:rPr>
          <w:rFonts w:cs="Times New Roman"/>
          <w:sz w:val="22"/>
          <w:szCs w:val="22"/>
        </w:rPr>
        <w:t>verslo projektai“, Nr. 01.2.1</w:t>
      </w:r>
      <w:r w:rsidR="00645085" w:rsidRPr="00640D24">
        <w:rPr>
          <w:rFonts w:cs="Times New Roman"/>
          <w:sz w:val="22"/>
          <w:szCs w:val="22"/>
        </w:rPr>
        <w:t>–</w:t>
      </w:r>
      <w:r w:rsidRPr="00640D24">
        <w:rPr>
          <w:rFonts w:cs="Times New Roman"/>
          <w:sz w:val="22"/>
          <w:szCs w:val="22"/>
        </w:rPr>
        <w:t>LVPA</w:t>
      </w:r>
      <w:r w:rsidR="00645085" w:rsidRPr="00640D24">
        <w:rPr>
          <w:rFonts w:cs="Times New Roman"/>
          <w:sz w:val="22"/>
          <w:szCs w:val="22"/>
        </w:rPr>
        <w:t>–</w:t>
      </w:r>
      <w:r w:rsidRPr="00640D24">
        <w:rPr>
          <w:rFonts w:cs="Times New Roman"/>
          <w:sz w:val="22"/>
          <w:szCs w:val="22"/>
        </w:rPr>
        <w:t>K</w:t>
      </w:r>
      <w:r w:rsidR="00645085" w:rsidRPr="00640D24">
        <w:rPr>
          <w:rFonts w:cs="Times New Roman"/>
          <w:sz w:val="22"/>
          <w:szCs w:val="22"/>
        </w:rPr>
        <w:t>–</w:t>
      </w:r>
      <w:r w:rsidRPr="00640D24">
        <w:rPr>
          <w:rFonts w:cs="Times New Roman"/>
          <w:sz w:val="22"/>
          <w:szCs w:val="22"/>
        </w:rPr>
        <w:t>855 „Intelektas LT</w:t>
      </w:r>
      <w:r w:rsidR="00645085" w:rsidRPr="00640D24">
        <w:rPr>
          <w:rFonts w:cs="Times New Roman"/>
          <w:sz w:val="22"/>
          <w:szCs w:val="22"/>
        </w:rPr>
        <w:t>–</w:t>
      </w:r>
      <w:r w:rsidRPr="00640D24">
        <w:rPr>
          <w:rFonts w:cs="Times New Roman"/>
          <w:sz w:val="22"/>
          <w:szCs w:val="22"/>
        </w:rPr>
        <w:t xml:space="preserve">2“) bendra prašoma finansuoti suma sudarė 550,678 mln. </w:t>
      </w:r>
      <w:proofErr w:type="spellStart"/>
      <w:r w:rsidRPr="00640D24">
        <w:rPr>
          <w:rFonts w:cs="Times New Roman"/>
          <w:sz w:val="22"/>
          <w:szCs w:val="22"/>
        </w:rPr>
        <w:t>Eur</w:t>
      </w:r>
      <w:proofErr w:type="spellEnd"/>
      <w:r w:rsidRPr="00640D24">
        <w:rPr>
          <w:rFonts w:cs="Times New Roman"/>
          <w:sz w:val="22"/>
          <w:szCs w:val="22"/>
        </w:rPr>
        <w:t xml:space="preserve">, iš jų net 367,314 mln. </w:t>
      </w:r>
      <w:proofErr w:type="spellStart"/>
      <w:r w:rsidRPr="00640D24">
        <w:rPr>
          <w:rFonts w:cs="Times New Roman"/>
          <w:sz w:val="22"/>
          <w:szCs w:val="22"/>
        </w:rPr>
        <w:t>Eur</w:t>
      </w:r>
      <w:proofErr w:type="spellEnd"/>
      <w:r w:rsidRPr="00640D24">
        <w:rPr>
          <w:rFonts w:cs="Times New Roman"/>
          <w:sz w:val="22"/>
          <w:szCs w:val="22"/>
        </w:rPr>
        <w:t xml:space="preserve"> sudarė prašomas finansavimas Sostinės regione. Atsižvelgiant į projektų, teikusių paraiškas ir gavusių finansavimą šiuose regionuose – investicijų skaičius yra mažesnis (projektai, kurių statusas yra „Nutrauktas“ arba „Nesudaryta sutartis“ nėra įtraukti) ir siekia – 251,278 mln. </w:t>
      </w:r>
      <w:proofErr w:type="spellStart"/>
      <w:r w:rsidRPr="00640D24">
        <w:rPr>
          <w:rFonts w:cs="Times New Roman"/>
          <w:sz w:val="22"/>
          <w:szCs w:val="22"/>
        </w:rPr>
        <w:t>Eur</w:t>
      </w:r>
      <w:proofErr w:type="spellEnd"/>
      <w:r w:rsidRPr="00640D24">
        <w:rPr>
          <w:rFonts w:cs="Times New Roman"/>
          <w:sz w:val="22"/>
          <w:szCs w:val="22"/>
        </w:rPr>
        <w:t xml:space="preserve">. Lyginant su kituose regionuose įgyvendinamais projektais, investicijų poreikis MTEP veiklą vykdančioms įmonėms Sostinės regione yra 2,5 karto didesnis nei likusioje Lietuvos dalyje. Vidutinis vieno analizuoto visų priemonių projekto dydis siekė 497 485.39 </w:t>
      </w:r>
      <w:proofErr w:type="spellStart"/>
      <w:r w:rsidRPr="00640D24">
        <w:rPr>
          <w:rFonts w:cs="Times New Roman"/>
          <w:sz w:val="22"/>
          <w:szCs w:val="22"/>
        </w:rPr>
        <w:t>Eur</w:t>
      </w:r>
      <w:proofErr w:type="spellEnd"/>
      <w:r w:rsidRPr="00640D24">
        <w:rPr>
          <w:rFonts w:cs="Times New Roman"/>
          <w:sz w:val="22"/>
          <w:szCs w:val="22"/>
        </w:rPr>
        <w:t>.</w:t>
      </w:r>
    </w:p>
    <w:p w14:paraId="1C8A969E" w14:textId="71BFDC2C" w:rsidR="00F01F6B" w:rsidRPr="00640D24" w:rsidRDefault="00F01F6B" w:rsidP="00F01F6B">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 xml:space="preserve">ES SF panaudojimo vertinimų metu nustatyta, kad poreikis MTEP veiklų finansavimui nuolat auga. Tai taip pat pagrindžia ir Valstybės duomenų agentūros (toliau – VDA) analizė. Remiantis VDA duomenimis  verslo įmonių išlaidos MTEP veikloms nuo 2015 m. auga, skaičiuojama, kad išlaidų MTEP veikloms metinis prieaugis vidutiniškai siekia ~8 proc. 2015–2021 m. Tad siekiant nustatyti MTEP veiklų finansavimo poreikį iki 2029 m., 2023 m. liepos mėn. buvo atlikta MVĮ ir DĮ subjektų apklausos, kurių metu didelis dėmesys buvo skiriamas MTEP veiklos finansavimo poreikio Lietuvoje analizėje. Iš visų apklaustų respondentų MVĮ apklausoje, maždaug penktadalis (18 proc.) respondentų Sostinės regione nurodė, kad per artimiausius 3 metus planuoja įgyvendinti MTEP veiklas. Tokių įmonių Vidurio ir Vakarų Lietuvos regione buvo tik 7 proc. Tad </w:t>
      </w:r>
      <w:r w:rsidRPr="00640D24">
        <w:rPr>
          <w:rFonts w:cs="Times New Roman"/>
          <w:sz w:val="22"/>
          <w:szCs w:val="22"/>
        </w:rPr>
        <w:lastRenderedPageBreak/>
        <w:t>visos Lietuvos mastu maždaug 11 proc. MVĮ įmonių yra suplanavusios investuoti į MTEP veiklas (detalūs anketinės apklausos rezultatai pristatomi</w:t>
      </w:r>
      <w:r w:rsidR="00A91DFB" w:rsidRPr="00640D24">
        <w:rPr>
          <w:rFonts w:cs="Times New Roman"/>
          <w:sz w:val="22"/>
          <w:szCs w:val="22"/>
        </w:rPr>
        <w:t xml:space="preserve"> 5</w:t>
      </w:r>
      <w:r w:rsidRPr="00640D24">
        <w:rPr>
          <w:rFonts w:cs="Times New Roman"/>
          <w:sz w:val="22"/>
          <w:szCs w:val="22"/>
        </w:rPr>
        <w:t xml:space="preserve"> priede). </w:t>
      </w:r>
    </w:p>
    <w:p w14:paraId="0BC0E41F" w14:textId="1C6A8F11" w:rsidR="00F01F6B" w:rsidRPr="00640D24" w:rsidRDefault="00F01F6B" w:rsidP="00F01F6B">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Tuo tarpu DĮ apklausos atveju, lygiai penktadalis (20 proc.) įmonių Sostinės regione nurodė, kad investuos į MTEP veiklas per ateinančius 3 metus. Kaip ir MVĮ apklausos atveju, reikšmingai mažesnė DĮ respondentų dalis Vidurio ir Vakarų Lietuvos regione nurodė, kad investuos į MTEP – tik 7 proc. Tad visos Lietuvos mastu maždaug 9 proc. DĮ įmonių yra suplanavusios investuoti į MTEP veiklas per artimiausius 3 metus. (detalūs anketinės apklausos rezultatai pristatomi</w:t>
      </w:r>
      <w:r w:rsidR="00A91DFB" w:rsidRPr="00640D24">
        <w:rPr>
          <w:rFonts w:cs="Times New Roman"/>
          <w:sz w:val="22"/>
          <w:szCs w:val="22"/>
        </w:rPr>
        <w:t xml:space="preserve"> 6</w:t>
      </w:r>
      <w:r w:rsidRPr="00640D24">
        <w:rPr>
          <w:rFonts w:cs="Times New Roman"/>
          <w:sz w:val="22"/>
          <w:szCs w:val="22"/>
        </w:rPr>
        <w:t xml:space="preserve"> priede). </w:t>
      </w:r>
    </w:p>
    <w:p w14:paraId="01FC4000" w14:textId="77777777" w:rsidR="00F01F6B" w:rsidRPr="00640D24" w:rsidRDefault="00F01F6B" w:rsidP="00F01F6B">
      <w:pPr>
        <w:spacing w:before="60" w:after="60" w:line="240" w:lineRule="auto"/>
        <w:ind w:firstLine="567"/>
        <w:jc w:val="both"/>
        <w:rPr>
          <w:rFonts w:cs="Times New Roman"/>
          <w:i/>
          <w:iCs/>
          <w:sz w:val="22"/>
          <w:szCs w:val="22"/>
        </w:rPr>
      </w:pPr>
      <w:r w:rsidRPr="00640D24">
        <w:rPr>
          <w:rFonts w:cs="Times New Roman"/>
          <w:i/>
          <w:iCs/>
          <w:sz w:val="22"/>
          <w:szCs w:val="22"/>
        </w:rPr>
        <w:t>Finansavimo lėšų poreikis</w:t>
      </w:r>
    </w:p>
    <w:p w14:paraId="452FDF18" w14:textId="77777777" w:rsidR="00F01F6B" w:rsidRPr="00640D24" w:rsidRDefault="00F01F6B" w:rsidP="00F01F6B">
      <w:pPr>
        <w:spacing w:before="60" w:after="60" w:line="240" w:lineRule="auto"/>
        <w:ind w:firstLine="567"/>
        <w:jc w:val="both"/>
        <w:rPr>
          <w:rFonts w:cs="Times New Roman"/>
          <w:sz w:val="22"/>
          <w:szCs w:val="22"/>
        </w:rPr>
      </w:pPr>
      <w:r w:rsidRPr="00640D24">
        <w:rPr>
          <w:rFonts w:cs="Times New Roman"/>
          <w:sz w:val="22"/>
          <w:szCs w:val="22"/>
        </w:rPr>
        <w:t>Remiantis anksčiau atlikta analize, toliau yra pateikiamos investicijų paklausos skaičiavimų prielaidos:</w:t>
      </w:r>
    </w:p>
    <w:p w14:paraId="588E842C" w14:textId="44F2E3B7" w:rsidR="00F01F6B" w:rsidRPr="00640D24" w:rsidRDefault="00F01F6B" w:rsidP="00160B10">
      <w:pPr>
        <w:pStyle w:val="Sraopastraipa"/>
        <w:numPr>
          <w:ilvl w:val="0"/>
          <w:numId w:val="20"/>
        </w:numPr>
        <w:spacing w:before="60" w:after="60" w:line="240" w:lineRule="auto"/>
        <w:jc w:val="both"/>
        <w:rPr>
          <w:rFonts w:cs="Times New Roman"/>
          <w:sz w:val="22"/>
          <w:szCs w:val="22"/>
        </w:rPr>
      </w:pPr>
      <w:r w:rsidRPr="00640D24">
        <w:rPr>
          <w:rFonts w:cs="Times New Roman"/>
          <w:sz w:val="22"/>
          <w:szCs w:val="22"/>
        </w:rPr>
        <w:t xml:space="preserve">MVĮ apklausos analizė parodė, kad maždaug 11 proc. įmonių investuos į MTEP veiklas per ateinančius 3 metus. DĮ apklausa parodė, kad tokių įmonių bus 9 proc. </w:t>
      </w:r>
      <w:proofErr w:type="spellStart"/>
      <w:r w:rsidRPr="00640D24">
        <w:rPr>
          <w:rFonts w:cs="Times New Roman"/>
          <w:sz w:val="22"/>
          <w:szCs w:val="22"/>
        </w:rPr>
        <w:t>Ekstrapoliavus</w:t>
      </w:r>
      <w:proofErr w:type="spellEnd"/>
      <w:r w:rsidRPr="00640D24">
        <w:rPr>
          <w:rFonts w:cs="Times New Roman"/>
          <w:sz w:val="22"/>
          <w:szCs w:val="22"/>
        </w:rPr>
        <w:t xml:space="preserve"> apklausų rezultatų skaičius Lietuvos įmonių populiacijai ir padalinus iš trijų (kaip jau minėta, apklausos metu </w:t>
      </w:r>
      <w:r w:rsidR="00DA1DE0" w:rsidRPr="00640D24">
        <w:rPr>
          <w:rFonts w:cs="Times New Roman"/>
          <w:sz w:val="22"/>
          <w:szCs w:val="22"/>
        </w:rPr>
        <w:t>buvo i</w:t>
      </w:r>
      <w:r w:rsidRPr="00640D24">
        <w:rPr>
          <w:rFonts w:cs="Times New Roman"/>
          <w:sz w:val="22"/>
          <w:szCs w:val="22"/>
        </w:rPr>
        <w:t xml:space="preserve">dentifikuotas projektų skaičius per ateinančius 3 metus), gautas įgyvendintinų projektų skaičius per metus. </w:t>
      </w:r>
    </w:p>
    <w:p w14:paraId="6E715E67" w14:textId="77777777" w:rsidR="00F01F6B" w:rsidRPr="00640D24" w:rsidRDefault="00F01F6B" w:rsidP="00160B10">
      <w:pPr>
        <w:pStyle w:val="Sraopastraipa"/>
        <w:numPr>
          <w:ilvl w:val="0"/>
          <w:numId w:val="20"/>
        </w:numPr>
        <w:spacing w:before="60" w:after="60" w:line="240" w:lineRule="auto"/>
        <w:jc w:val="both"/>
        <w:rPr>
          <w:rFonts w:cs="Times New Roman"/>
          <w:sz w:val="22"/>
          <w:szCs w:val="22"/>
        </w:rPr>
      </w:pPr>
      <w:r w:rsidRPr="00640D24">
        <w:rPr>
          <w:rFonts w:cs="Times New Roman"/>
          <w:sz w:val="22"/>
          <w:szCs w:val="22"/>
        </w:rPr>
        <w:t xml:space="preserve">Atsižvelgiant į anksčiau atliktą 2014–2020 m. ES SF priemonių analizę nustatyta, kad vidutinė vieno įgyvendinto MTEP projekto suma siekė 722 207,87 </w:t>
      </w:r>
      <w:proofErr w:type="spellStart"/>
      <w:r w:rsidRPr="00640D24">
        <w:rPr>
          <w:rFonts w:cs="Times New Roman"/>
          <w:sz w:val="22"/>
          <w:szCs w:val="22"/>
        </w:rPr>
        <w:t>Eur</w:t>
      </w:r>
      <w:proofErr w:type="spellEnd"/>
      <w:r w:rsidRPr="00640D24">
        <w:rPr>
          <w:rFonts w:cs="Times New Roman"/>
          <w:sz w:val="22"/>
          <w:szCs w:val="22"/>
        </w:rPr>
        <w:t xml:space="preserve">. Ši suma buvo suapvalinta skaičiavimo patogumo tikslais iki 722 000 </w:t>
      </w:r>
      <w:proofErr w:type="spellStart"/>
      <w:r w:rsidRPr="00640D24">
        <w:rPr>
          <w:rFonts w:cs="Times New Roman"/>
          <w:sz w:val="22"/>
          <w:szCs w:val="22"/>
        </w:rPr>
        <w:t>Eur</w:t>
      </w:r>
      <w:proofErr w:type="spellEnd"/>
      <w:r w:rsidRPr="00640D24">
        <w:rPr>
          <w:rFonts w:cs="Times New Roman"/>
          <w:sz w:val="22"/>
          <w:szCs w:val="22"/>
        </w:rPr>
        <w:t xml:space="preserve"> ir naudojama skaičiuojant visą investicijų paklausą tarp MVĮ. Tuo tarpu remiantis DĮ apklausa, vieno įgyvendintino projekto dydis varijuoja nuo 6 214 538,54 </w:t>
      </w:r>
      <w:proofErr w:type="spellStart"/>
      <w:r w:rsidRPr="00640D24">
        <w:rPr>
          <w:rFonts w:cs="Times New Roman"/>
          <w:sz w:val="22"/>
          <w:szCs w:val="22"/>
        </w:rPr>
        <w:t>Eur</w:t>
      </w:r>
      <w:proofErr w:type="spellEnd"/>
      <w:r w:rsidRPr="00640D24">
        <w:rPr>
          <w:rFonts w:cs="Times New Roman"/>
          <w:sz w:val="22"/>
          <w:szCs w:val="22"/>
        </w:rPr>
        <w:t xml:space="preserve"> iki 9 143 023,26 </w:t>
      </w:r>
      <w:proofErr w:type="spellStart"/>
      <w:r w:rsidRPr="00640D24">
        <w:rPr>
          <w:rFonts w:cs="Times New Roman"/>
          <w:sz w:val="22"/>
          <w:szCs w:val="22"/>
        </w:rPr>
        <w:t>Eur</w:t>
      </w:r>
      <w:proofErr w:type="spellEnd"/>
      <w:r w:rsidRPr="00640D24">
        <w:rPr>
          <w:rFonts w:cs="Times New Roman"/>
          <w:sz w:val="22"/>
          <w:szCs w:val="22"/>
        </w:rPr>
        <w:t xml:space="preserve">. Skaičiavimo patogumo tikslais buvo pasirinktas vidurinis intervalo rėžis ir jis suapvalintas iki 7 500 000 </w:t>
      </w:r>
      <w:proofErr w:type="spellStart"/>
      <w:r w:rsidRPr="00640D24">
        <w:rPr>
          <w:rFonts w:cs="Times New Roman"/>
          <w:sz w:val="22"/>
          <w:szCs w:val="22"/>
        </w:rPr>
        <w:t>Eur</w:t>
      </w:r>
      <w:proofErr w:type="spellEnd"/>
      <w:r w:rsidRPr="00640D24">
        <w:rPr>
          <w:rFonts w:cs="Times New Roman"/>
          <w:sz w:val="22"/>
          <w:szCs w:val="22"/>
        </w:rPr>
        <w:t>. Ši suma buvo naudota skaičiuojant visą investicijų paklausą tarp DĮ.</w:t>
      </w:r>
    </w:p>
    <w:p w14:paraId="0E3F8E21" w14:textId="29A64200" w:rsidR="00F01F6B" w:rsidRPr="00640D24" w:rsidRDefault="00F01F6B" w:rsidP="00160B10">
      <w:pPr>
        <w:pStyle w:val="Sraopastraipa"/>
        <w:numPr>
          <w:ilvl w:val="0"/>
          <w:numId w:val="20"/>
        </w:numPr>
        <w:spacing w:before="60" w:after="60" w:line="240" w:lineRule="auto"/>
        <w:jc w:val="both"/>
        <w:rPr>
          <w:rFonts w:cs="Times New Roman"/>
          <w:sz w:val="22"/>
          <w:szCs w:val="22"/>
        </w:rPr>
      </w:pPr>
      <w:r w:rsidRPr="00640D24">
        <w:rPr>
          <w:rFonts w:cs="Times New Roman"/>
          <w:sz w:val="22"/>
          <w:szCs w:val="22"/>
        </w:rPr>
        <w:t>Kadangi MTEP išlaidos kiekvienais</w:t>
      </w:r>
      <w:r w:rsidR="002D33BD" w:rsidRPr="00640D24">
        <w:rPr>
          <w:rFonts w:cs="Times New Roman"/>
          <w:sz w:val="22"/>
          <w:szCs w:val="22"/>
        </w:rPr>
        <w:t xml:space="preserve"> metais</w:t>
      </w:r>
      <w:r w:rsidRPr="00640D24">
        <w:rPr>
          <w:rFonts w:cs="Times New Roman"/>
          <w:sz w:val="22"/>
          <w:szCs w:val="22"/>
        </w:rPr>
        <w:t xml:space="preserve"> auga, tai daroma prielaida, kad vieno investicijų projekto vertė augs vidutiniškai po 8 proc. kasmet. Šis augimo koeficientas atitinka vidutinį MTEP išlaidų augimą 2015–2021 m. laikotarpiu.</w:t>
      </w:r>
    </w:p>
    <w:p w14:paraId="373C5371" w14:textId="5ECAFDF1" w:rsidR="00F01F6B" w:rsidRPr="00640D24" w:rsidRDefault="00F01F6B" w:rsidP="00160B10">
      <w:pPr>
        <w:pStyle w:val="Sraopastraipa"/>
        <w:numPr>
          <w:ilvl w:val="0"/>
          <w:numId w:val="20"/>
        </w:numPr>
        <w:spacing w:before="60" w:after="60" w:line="240" w:lineRule="auto"/>
        <w:jc w:val="both"/>
        <w:rPr>
          <w:rFonts w:cs="Times New Roman"/>
          <w:sz w:val="22"/>
          <w:szCs w:val="22"/>
        </w:rPr>
      </w:pPr>
      <w:r w:rsidRPr="00640D24">
        <w:rPr>
          <w:rFonts w:cs="Times New Roman"/>
          <w:sz w:val="22"/>
          <w:szCs w:val="22"/>
        </w:rPr>
        <w:t xml:space="preserve">Siekiant apskaičiuoti realų investicijų trūkumą daroma prielaida, kad dalis investicijų bus finansuojama nuosavomis ar skolintomis lėšomis. Atsižvelgiant į anksčiau atliktą 2014–2020 m. ES SF priemonių analizę, daroma prielaida, kad </w:t>
      </w:r>
      <w:r w:rsidR="00CF507E" w:rsidRPr="00640D24">
        <w:rPr>
          <w:rFonts w:cs="Times New Roman"/>
          <w:sz w:val="22"/>
          <w:szCs w:val="22"/>
        </w:rPr>
        <w:t xml:space="preserve">įmonės </w:t>
      </w:r>
      <w:r w:rsidRPr="00640D24">
        <w:rPr>
          <w:rFonts w:cs="Times New Roman"/>
          <w:sz w:val="22"/>
          <w:szCs w:val="22"/>
        </w:rPr>
        <w:t xml:space="preserve">nuosavomis ar skolintomis lėšomis finansuos </w:t>
      </w:r>
      <w:r w:rsidR="00645085" w:rsidRPr="00640D24">
        <w:rPr>
          <w:rFonts w:cs="Times New Roman"/>
          <w:sz w:val="22"/>
          <w:szCs w:val="22"/>
        </w:rPr>
        <w:t>20–</w:t>
      </w:r>
      <w:r w:rsidRPr="00640D24">
        <w:rPr>
          <w:rFonts w:cs="Times New Roman"/>
          <w:sz w:val="22"/>
          <w:szCs w:val="22"/>
        </w:rPr>
        <w:t xml:space="preserve">30 proc. projekto. Šis koeficientas gautas įvertinus vidutinį skirtumą tarp įgyvendinto projekto dydžio ir prašomo finansavimo anksčiau analizuotų priemonių atvejais. </w:t>
      </w:r>
    </w:p>
    <w:p w14:paraId="516D5F4F" w14:textId="607F8DEB" w:rsidR="00E07635" w:rsidRPr="00640D24" w:rsidRDefault="00E07635" w:rsidP="00E07635">
      <w:pPr>
        <w:pStyle w:val="Sraopastraipa"/>
        <w:numPr>
          <w:ilvl w:val="0"/>
          <w:numId w:val="20"/>
        </w:numPr>
        <w:spacing w:before="60" w:after="60" w:line="240" w:lineRule="auto"/>
        <w:jc w:val="both"/>
        <w:rPr>
          <w:rFonts w:cs="Times New Roman"/>
          <w:sz w:val="22"/>
          <w:szCs w:val="22"/>
        </w:rPr>
      </w:pPr>
      <w:r w:rsidRPr="00640D24">
        <w:rPr>
          <w:rFonts w:cs="Times New Roman"/>
          <w:sz w:val="22"/>
          <w:szCs w:val="22"/>
        </w:rPr>
        <w:t xml:space="preserve">Įgyvendinant finansinę priemonę MTEP veiklų finansavimui, reiktų įvertinti INVEGOS įgyvendinamos finansinės priemonės „Perspektyva“ patirtį, </w:t>
      </w:r>
      <w:bookmarkStart w:id="56" w:name="_Hlk130997360"/>
      <w:r w:rsidRPr="00640D24">
        <w:rPr>
          <w:rFonts w:cs="Times New Roman"/>
          <w:sz w:val="22"/>
          <w:szCs w:val="22"/>
        </w:rPr>
        <w:t xml:space="preserve">derinant paskolas </w:t>
      </w:r>
      <w:r w:rsidR="00184A61" w:rsidRPr="00640D24">
        <w:rPr>
          <w:rFonts w:cs="Times New Roman"/>
          <w:sz w:val="22"/>
          <w:szCs w:val="22"/>
        </w:rPr>
        <w:t>ir dotacijas</w:t>
      </w:r>
      <w:r w:rsidRPr="00640D24">
        <w:rPr>
          <w:rFonts w:cs="Times New Roman"/>
          <w:sz w:val="22"/>
          <w:szCs w:val="22"/>
        </w:rPr>
        <w:t>, kai įgyvendinus finansuojamą projektą yra sudaroma galimybė nebegrąžinti dalies suteiktos paskolos</w:t>
      </w:r>
      <w:bookmarkEnd w:id="56"/>
      <w:r w:rsidRPr="00640D24">
        <w:rPr>
          <w:rFonts w:cs="Times New Roman"/>
          <w:sz w:val="22"/>
          <w:szCs w:val="22"/>
        </w:rPr>
        <w:t xml:space="preserve">.  Paskolos ir </w:t>
      </w:r>
      <w:r w:rsidR="00184A61" w:rsidRPr="00640D24">
        <w:rPr>
          <w:rFonts w:cs="Times New Roman"/>
          <w:sz w:val="22"/>
          <w:szCs w:val="22"/>
        </w:rPr>
        <w:t>dotacijos</w:t>
      </w:r>
      <w:r w:rsidRPr="00640D24">
        <w:rPr>
          <w:rFonts w:cs="Times New Roman"/>
          <w:sz w:val="22"/>
          <w:szCs w:val="22"/>
        </w:rPr>
        <w:t xml:space="preserve"> (dalies paskolos negrąžinimo) derinimas skatina paskolos gavėjus drąsiau imtis įgyvendinti MTEP veiklas ankstyvose stadijose ir siekti geresnių bei greitesnių MTEP veiklų pasiekimo rezultatų. </w:t>
      </w:r>
    </w:p>
    <w:p w14:paraId="5F68ABD2" w14:textId="77777777" w:rsidR="003B6127" w:rsidRPr="00640D24" w:rsidRDefault="003B6127" w:rsidP="003B6127">
      <w:pPr>
        <w:spacing w:before="60" w:after="60" w:line="240" w:lineRule="auto"/>
        <w:jc w:val="both"/>
        <w:rPr>
          <w:rFonts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F01F6B" w:rsidRPr="00640D24" w14:paraId="210CF7A0" w14:textId="77777777" w:rsidTr="00280FDF">
        <w:tc>
          <w:tcPr>
            <w:tcW w:w="9854" w:type="dxa"/>
          </w:tcPr>
          <w:p w14:paraId="068B1763" w14:textId="44E6B83D" w:rsidR="00F01F6B" w:rsidRPr="00640D24" w:rsidRDefault="00F01F6B" w:rsidP="00280FDF">
            <w:pPr>
              <w:spacing w:before="60" w:after="60" w:line="240" w:lineRule="auto"/>
              <w:ind w:firstLine="567"/>
              <w:jc w:val="both"/>
              <w:rPr>
                <w:rFonts w:cs="Times New Roman"/>
                <w:b/>
                <w:bCs/>
                <w:sz w:val="22"/>
                <w:szCs w:val="22"/>
              </w:rPr>
            </w:pPr>
            <w:bookmarkStart w:id="57" w:name="_Hlk56088986"/>
            <w:r w:rsidRPr="00640D24">
              <w:rPr>
                <w:b/>
                <w:bCs/>
                <w:sz w:val="22"/>
              </w:rPr>
              <w:t xml:space="preserve">Remiantis pateiktomis prielaidomis skaičiuojama, kad </w:t>
            </w:r>
            <w:bookmarkEnd w:id="57"/>
            <w:r w:rsidRPr="00640D24">
              <w:rPr>
                <w:b/>
                <w:bCs/>
                <w:sz w:val="22"/>
              </w:rPr>
              <w:t xml:space="preserve">visos Lietuvos mastu MTEP veiklų vykdymui prireiks </w:t>
            </w:r>
            <w:r w:rsidR="009A7E23" w:rsidRPr="00640D24">
              <w:rPr>
                <w:b/>
                <w:bCs/>
                <w:sz w:val="22"/>
              </w:rPr>
              <w:t xml:space="preserve">476 </w:t>
            </w:r>
            <w:r w:rsidRPr="00640D24">
              <w:rPr>
                <w:b/>
                <w:bCs/>
                <w:sz w:val="22"/>
              </w:rPr>
              <w:t xml:space="preserve"> mln. </w:t>
            </w:r>
            <w:proofErr w:type="spellStart"/>
            <w:r w:rsidRPr="00640D24">
              <w:rPr>
                <w:b/>
                <w:bCs/>
                <w:sz w:val="22"/>
              </w:rPr>
              <w:t>Eur</w:t>
            </w:r>
            <w:proofErr w:type="spellEnd"/>
            <w:r w:rsidRPr="00640D24">
              <w:rPr>
                <w:b/>
                <w:bCs/>
                <w:sz w:val="22"/>
              </w:rPr>
              <w:t xml:space="preserve">, iš kurių </w:t>
            </w:r>
            <w:r w:rsidR="009A7E23" w:rsidRPr="00640D24">
              <w:rPr>
                <w:rFonts w:eastAsia="Times New Roman" w:cs="Times New Roman"/>
                <w:b/>
                <w:bCs/>
                <w:color w:val="000000"/>
                <w:sz w:val="21"/>
                <w:szCs w:val="21"/>
              </w:rPr>
              <w:t>386</w:t>
            </w:r>
            <w:r w:rsidRPr="00640D24">
              <w:rPr>
                <w:rFonts w:eastAsia="Times New Roman" w:cs="Times New Roman"/>
                <w:b/>
                <w:bCs/>
                <w:color w:val="000000"/>
                <w:sz w:val="21"/>
                <w:szCs w:val="21"/>
              </w:rPr>
              <w:t xml:space="preserve"> mln. </w:t>
            </w:r>
            <w:proofErr w:type="spellStart"/>
            <w:r w:rsidRPr="00640D24">
              <w:rPr>
                <w:rFonts w:eastAsia="Times New Roman" w:cs="Times New Roman"/>
                <w:b/>
                <w:bCs/>
                <w:color w:val="000000"/>
                <w:sz w:val="21"/>
                <w:szCs w:val="21"/>
              </w:rPr>
              <w:t>Eur</w:t>
            </w:r>
            <w:proofErr w:type="spellEnd"/>
            <w:r w:rsidRPr="00640D24">
              <w:rPr>
                <w:rFonts w:eastAsia="Times New Roman" w:cs="Times New Roman"/>
                <w:b/>
                <w:bCs/>
                <w:color w:val="000000"/>
                <w:sz w:val="21"/>
                <w:szCs w:val="21"/>
              </w:rPr>
              <w:t xml:space="preserve"> Sostinės regione.</w:t>
            </w:r>
          </w:p>
        </w:tc>
      </w:tr>
    </w:tbl>
    <w:p w14:paraId="6F23FBAD" w14:textId="6236CF67" w:rsidR="00280FDF" w:rsidRPr="00640D24" w:rsidRDefault="00280FDF" w:rsidP="00280FDF">
      <w:pPr>
        <w:pStyle w:val="Antrat3"/>
        <w:spacing w:before="120"/>
      </w:pPr>
      <w:bookmarkStart w:id="58" w:name="_Toc146812389"/>
      <w:bookmarkStart w:id="59" w:name="_Toc57307047"/>
      <w:bookmarkStart w:id="60" w:name="_Hlk56089246"/>
      <w:r w:rsidRPr="00640D24">
        <w:t>2.3.3. Trumpų vertės kūrimo grandinių formavimas ir plėtra tarp MVĮ</w:t>
      </w:r>
      <w:bookmarkEnd w:id="58"/>
      <w:r w:rsidRPr="00640D24">
        <w:t xml:space="preserve"> </w:t>
      </w:r>
    </w:p>
    <w:p w14:paraId="527B1827" w14:textId="77777777" w:rsidR="00280FDF" w:rsidRPr="00640D24" w:rsidRDefault="00280FDF" w:rsidP="00280FDF">
      <w:pPr>
        <w:spacing w:before="120" w:after="120" w:line="240" w:lineRule="auto"/>
        <w:ind w:left="567"/>
        <w:rPr>
          <w:rFonts w:cs="Times New Roman"/>
          <w:i/>
          <w:iCs/>
          <w:sz w:val="22"/>
          <w:szCs w:val="22"/>
        </w:rPr>
      </w:pPr>
      <w:r w:rsidRPr="00640D24">
        <w:rPr>
          <w:rFonts w:cs="Times New Roman"/>
          <w:i/>
          <w:iCs/>
          <w:sz w:val="22"/>
          <w:szCs w:val="22"/>
        </w:rPr>
        <w:t>Investicijų paklausos analizė</w:t>
      </w:r>
    </w:p>
    <w:p w14:paraId="575A7731" w14:textId="02FD3E35" w:rsidR="00280FDF" w:rsidRPr="00640D24" w:rsidRDefault="6C26E9C0" w:rsidP="00280FDF">
      <w:pPr>
        <w:autoSpaceDE w:val="0"/>
        <w:autoSpaceDN w:val="0"/>
        <w:adjustRightInd w:val="0"/>
        <w:spacing w:before="60" w:after="60" w:line="240" w:lineRule="auto"/>
        <w:ind w:firstLine="567"/>
        <w:jc w:val="both"/>
        <w:rPr>
          <w:rFonts w:cs="Times New Roman"/>
        </w:rPr>
      </w:pPr>
      <w:r w:rsidRPr="00640D24">
        <w:rPr>
          <w:rFonts w:cs="Times New Roman"/>
          <w:sz w:val="22"/>
          <w:szCs w:val="22"/>
        </w:rPr>
        <w:t xml:space="preserve"> Trumpos vertės kūrimo grandinės nebuvo finansuojamos ES SF lėšomis, tačiau atsižvelgiant į susidariusią konkurencingumo atskirtį tarp Sostinės ir Vidurio ir Vakarų Lietuvos regionų bei MVĮ svarbą bendrame regionų vystymosi kontekste viena iš 2021–2027 m. programoje įtrauktų krypčių – trumpų vertės kūrimo grandinių  skatinimas. Ši kryptis yra orientuota į MVĮ,</w:t>
      </w:r>
      <w:r w:rsidR="007C4ECC" w:rsidRPr="00640D24">
        <w:rPr>
          <w:rFonts w:cs="Times New Roman"/>
          <w:sz w:val="22"/>
          <w:szCs w:val="22"/>
        </w:rPr>
        <w:t xml:space="preserve"> siekiančių trumpinti vertės grandines,</w:t>
      </w:r>
      <w:r w:rsidRPr="00640D24">
        <w:rPr>
          <w:rFonts w:cs="Times New Roman"/>
          <w:sz w:val="22"/>
          <w:szCs w:val="22"/>
        </w:rPr>
        <w:t xml:space="preserve"> planuojančių investicijas į gamybos/paslaugų teikimo infrastruktūrą ir naujų darbo vietų sukūrimą. </w:t>
      </w:r>
    </w:p>
    <w:p w14:paraId="449B89A3" w14:textId="77777777" w:rsidR="00280FDF" w:rsidRPr="00640D24" w:rsidRDefault="00280FDF" w:rsidP="00280FDF">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Trumpų vertės kūrimo grandinių formavimas ir plėtra buvo skatinama Nacionalinės mokėjimo agentūros po Žemės ūkio ministerija (toliau – NMA) administruojama Lietuvos kaimo plėtros 2014–2020 metų programa</w:t>
      </w:r>
      <w:r w:rsidRPr="00640D24">
        <w:rPr>
          <w:rStyle w:val="Puslapioinaosnuoroda"/>
          <w:rFonts w:cs="Times New Roman"/>
          <w:sz w:val="22"/>
          <w:szCs w:val="22"/>
        </w:rPr>
        <w:footnoteReference w:id="60"/>
      </w:r>
      <w:r w:rsidRPr="00640D24">
        <w:rPr>
          <w:rFonts w:cs="Times New Roman"/>
          <w:sz w:val="22"/>
          <w:szCs w:val="22"/>
        </w:rPr>
        <w:t>. Atsižvelgiant į tam tikrus panašumus investicijų poreikiui nustatyti yra aktualios šios priemonės:</w:t>
      </w:r>
    </w:p>
    <w:p w14:paraId="1DFC0F34" w14:textId="77777777" w:rsidR="00280FDF" w:rsidRPr="00640D24" w:rsidRDefault="00280FDF" w:rsidP="00280FDF">
      <w:pPr>
        <w:pStyle w:val="Sraopastraipa"/>
        <w:numPr>
          <w:ilvl w:val="0"/>
          <w:numId w:val="14"/>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lastRenderedPageBreak/>
        <w:t xml:space="preserve">Parama Europos inovacijų partnerystės (toliau – EIP) veiklos grupėms kurti ir jų veiklai vystyti – siekiant paskatinti žemės ūkio, maisto produktų gamybos ir miškininkystės sektorių bendradarbiavimą regionuose ir trumpų grandinių formavimąsi kaip vienos iš tinkamų finansuoti išlaidų yra pripažįstamos žemės ūkio ar miško įrangos įsigijimas. Šiai priemonei skirta ES SF paramos lėšų suma siekia 8,645 mln. </w:t>
      </w:r>
      <w:proofErr w:type="spellStart"/>
      <w:r w:rsidRPr="00640D24">
        <w:rPr>
          <w:rFonts w:cs="Times New Roman"/>
          <w:sz w:val="22"/>
          <w:szCs w:val="22"/>
        </w:rPr>
        <w:t>Eur</w:t>
      </w:r>
      <w:proofErr w:type="spellEnd"/>
      <w:r w:rsidRPr="00640D24">
        <w:rPr>
          <w:rFonts w:cs="Times New Roman"/>
          <w:sz w:val="22"/>
          <w:szCs w:val="22"/>
        </w:rPr>
        <w:t>. Šiuo metu 60 proc. patvirtintos paramos sumos yra skirta 21 projektui</w:t>
      </w:r>
    </w:p>
    <w:p w14:paraId="69E00153" w14:textId="77777777" w:rsidR="00280FDF" w:rsidRPr="00640D24" w:rsidRDefault="00280FDF" w:rsidP="00280FDF">
      <w:pPr>
        <w:pStyle w:val="Sraopastraipa"/>
        <w:numPr>
          <w:ilvl w:val="0"/>
          <w:numId w:val="14"/>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 xml:space="preserve">Parama smulkių ūkio subjektų bendradarbiavimui – priemonė skirta smulkių ūkio subjektų bendriems darbo procesams organizuoti dalijantis įrenginiais ir ištekliais, vykdant bendrą ūkinę, komercinę, aplinkosauginę veiklą. Tinkamos finansuoti išlaidos yra daugiausiai orientuotos į aktualios įrangos įsigijimą. Šiai priemonei yra skirta 7,518 mln. </w:t>
      </w:r>
      <w:proofErr w:type="spellStart"/>
      <w:r w:rsidRPr="00640D24">
        <w:rPr>
          <w:rFonts w:cs="Times New Roman"/>
          <w:sz w:val="22"/>
          <w:szCs w:val="22"/>
        </w:rPr>
        <w:t>Eur</w:t>
      </w:r>
      <w:proofErr w:type="spellEnd"/>
      <w:r w:rsidRPr="00640D24">
        <w:rPr>
          <w:rFonts w:cs="Times New Roman"/>
          <w:sz w:val="22"/>
          <w:szCs w:val="22"/>
        </w:rPr>
        <w:t>, iš kurių šiuo metu yra patvirtinta 68 proc. bendro biudžeto.</w:t>
      </w:r>
    </w:p>
    <w:p w14:paraId="519FB946" w14:textId="77777777" w:rsidR="00280FDF" w:rsidRPr="00640D24" w:rsidRDefault="00280FDF" w:rsidP="00280FDF">
      <w:pPr>
        <w:pStyle w:val="Sraopastraipa"/>
        <w:numPr>
          <w:ilvl w:val="0"/>
          <w:numId w:val="14"/>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 xml:space="preserve">Parama trumpų tiekimo grandinių ir vietos rinkų skatinimui vietos lygmeniu – priemonė skirta mažų ir vidutinių ūkio subjektų bendradarbiavimui, užtikrinant aktyvesnį žemės ūkio produktų paklausos augimą, tinkamą žemės ūkio produktų propagavimą bei gamintojų integraciją į maisto tiekimo grandinę, paramą skiriant trumpoms tiekimo grandinėms ir vietos rinkoms skatinti vietos lygmeniu. Šia ES SF paramos priemone trumpoje grandinėje veikiantys ūkio subjektai gali įsigyti aktualią įrangą. 2014–2020 m. programavimo laikotarpiu šiai priemonei skirta 4,054 mln. </w:t>
      </w:r>
      <w:proofErr w:type="spellStart"/>
      <w:r w:rsidRPr="00640D24">
        <w:rPr>
          <w:rFonts w:cs="Times New Roman"/>
          <w:sz w:val="22"/>
          <w:szCs w:val="22"/>
        </w:rPr>
        <w:t>Eur</w:t>
      </w:r>
      <w:proofErr w:type="spellEnd"/>
      <w:r w:rsidRPr="00640D24">
        <w:rPr>
          <w:rFonts w:cs="Times New Roman"/>
          <w:sz w:val="22"/>
          <w:szCs w:val="22"/>
        </w:rPr>
        <w:t xml:space="preserve">. Vis dėl to, patvirtinta paramos suma siekia tik 29 proc. ir iš viso sudaro 1,173 mln. </w:t>
      </w:r>
      <w:proofErr w:type="spellStart"/>
      <w:r w:rsidRPr="00640D24">
        <w:rPr>
          <w:rFonts w:cs="Times New Roman"/>
          <w:sz w:val="22"/>
          <w:szCs w:val="22"/>
        </w:rPr>
        <w:t>Eur</w:t>
      </w:r>
      <w:proofErr w:type="spellEnd"/>
      <w:r w:rsidRPr="00640D24">
        <w:rPr>
          <w:rFonts w:cs="Times New Roman"/>
          <w:sz w:val="22"/>
          <w:szCs w:val="22"/>
        </w:rPr>
        <w:t xml:space="preserve">. </w:t>
      </w:r>
    </w:p>
    <w:p w14:paraId="77939063" w14:textId="77777777" w:rsidR="00280FDF" w:rsidRPr="00640D24" w:rsidRDefault="00280FDF" w:rsidP="00280FDF">
      <w:pPr>
        <w:pStyle w:val="Sraopastraipa"/>
        <w:numPr>
          <w:ilvl w:val="0"/>
          <w:numId w:val="14"/>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 xml:space="preserve">LEADER programos priemonė „Parama vietos projektams įgyvendinti pagal VPS“ – priemonės, skirtos vietos plėtros strategijų įgyvendinimui yra administruojamos Vietos veiklos grupių. Pagal šią priemonę 2014–2020 m. programavimo laikotarpiu skirta ES SF lėšų suma siekia 88,375 mln. </w:t>
      </w:r>
      <w:proofErr w:type="spellStart"/>
      <w:r w:rsidRPr="00640D24">
        <w:rPr>
          <w:rFonts w:cs="Times New Roman"/>
          <w:sz w:val="22"/>
          <w:szCs w:val="22"/>
        </w:rPr>
        <w:t>Eur</w:t>
      </w:r>
      <w:proofErr w:type="spellEnd"/>
      <w:r w:rsidRPr="00640D24">
        <w:rPr>
          <w:rFonts w:cs="Times New Roman"/>
          <w:sz w:val="22"/>
          <w:szCs w:val="22"/>
        </w:rPr>
        <w:t xml:space="preserve">. Šiuo metu patvirtinta ES paramos suma projektams viršija numatytą ir siekia 108,941 mln. </w:t>
      </w:r>
      <w:proofErr w:type="spellStart"/>
      <w:r w:rsidRPr="00640D24">
        <w:rPr>
          <w:rFonts w:cs="Times New Roman"/>
          <w:sz w:val="22"/>
          <w:szCs w:val="22"/>
        </w:rPr>
        <w:t>Eur</w:t>
      </w:r>
      <w:proofErr w:type="spellEnd"/>
      <w:r w:rsidRPr="00640D24">
        <w:rPr>
          <w:rFonts w:cs="Times New Roman"/>
          <w:sz w:val="22"/>
          <w:szCs w:val="22"/>
        </w:rPr>
        <w:t>.</w:t>
      </w:r>
      <w:r w:rsidRPr="00640D24">
        <w:rPr>
          <w:rStyle w:val="Puslapioinaosnuoroda"/>
          <w:rFonts w:cs="Times New Roman"/>
          <w:sz w:val="22"/>
          <w:szCs w:val="22"/>
        </w:rPr>
        <w:footnoteReference w:id="61"/>
      </w:r>
    </w:p>
    <w:p w14:paraId="73171D9F" w14:textId="5974FF66" w:rsidR="00280FDF" w:rsidRPr="00640D24" w:rsidRDefault="00280FDF" w:rsidP="00280FDF">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 xml:space="preserve">Remiantis pateikta informacija apie NMA administruojamas ES SF paramos priemones, daroma išvada, kad LEADER programa yra ypač paklausi – ši indikacija leidžia daryti prielaidą, kad tam tikrame regione veikiančios įmonės aktyviai dalyvauja regioniniuose kvietimuose. Vertinant trumpų </w:t>
      </w:r>
      <w:r w:rsidR="00060C99" w:rsidRPr="00640D24">
        <w:rPr>
          <w:rFonts w:cs="Times New Roman"/>
          <w:sz w:val="22"/>
          <w:szCs w:val="22"/>
        </w:rPr>
        <w:t xml:space="preserve">vertės </w:t>
      </w:r>
      <w:r w:rsidRPr="00640D24">
        <w:rPr>
          <w:rFonts w:cs="Times New Roman"/>
          <w:sz w:val="22"/>
          <w:szCs w:val="22"/>
        </w:rPr>
        <w:t xml:space="preserve">grandinių perspektyvą matoma, kad žemės ūkio ir miškininkystės veiklai skatinti ir trumpoms </w:t>
      </w:r>
      <w:r w:rsidR="00060C99" w:rsidRPr="00640D24">
        <w:rPr>
          <w:rFonts w:cs="Times New Roman"/>
          <w:sz w:val="22"/>
          <w:szCs w:val="22"/>
        </w:rPr>
        <w:t xml:space="preserve">vertės </w:t>
      </w:r>
      <w:r w:rsidRPr="00640D24">
        <w:rPr>
          <w:rFonts w:cs="Times New Roman"/>
          <w:sz w:val="22"/>
          <w:szCs w:val="22"/>
        </w:rPr>
        <w:t>grandinėms formuoti ar bendradarbiavimui skatinti skirtos finansavimo sumos nėra iki galo realizuotos. Atsižvelgiant į tai, kad trumpos vertės grandinės yra sąlyginai naujas reiškinys, skirto finansavimo suma rodo SVV subjektų susidomėjimą.</w:t>
      </w:r>
    </w:p>
    <w:p w14:paraId="58D8601C" w14:textId="77777777" w:rsidR="00280FDF" w:rsidRPr="00640D24" w:rsidRDefault="00280FDF" w:rsidP="00280FDF">
      <w:pPr>
        <w:autoSpaceDE w:val="0"/>
        <w:autoSpaceDN w:val="0"/>
        <w:adjustRightInd w:val="0"/>
        <w:spacing w:before="120" w:after="120" w:line="240" w:lineRule="auto"/>
        <w:ind w:firstLine="567"/>
        <w:jc w:val="both"/>
        <w:rPr>
          <w:rFonts w:cs="Times New Roman"/>
          <w:i/>
          <w:iCs/>
          <w:sz w:val="22"/>
          <w:szCs w:val="22"/>
        </w:rPr>
      </w:pPr>
      <w:r w:rsidRPr="00640D24">
        <w:rPr>
          <w:rFonts w:cs="Times New Roman"/>
          <w:i/>
          <w:iCs/>
          <w:sz w:val="22"/>
          <w:szCs w:val="22"/>
        </w:rPr>
        <w:t xml:space="preserve">Finansavimo lėšų poreikis </w:t>
      </w:r>
    </w:p>
    <w:p w14:paraId="7FEBFC0B" w14:textId="7E9A12CD" w:rsidR="00280FDF" w:rsidRPr="00640D24" w:rsidRDefault="6C26E9C0" w:rsidP="00280FDF">
      <w:pPr>
        <w:autoSpaceDE w:val="0"/>
        <w:autoSpaceDN w:val="0"/>
        <w:adjustRightInd w:val="0"/>
        <w:spacing w:before="60" w:after="60" w:line="240" w:lineRule="auto"/>
        <w:ind w:firstLine="567"/>
        <w:jc w:val="both"/>
        <w:rPr>
          <w:rFonts w:cs="Times New Roman"/>
          <w:sz w:val="22"/>
          <w:szCs w:val="22"/>
        </w:rPr>
      </w:pPr>
      <w:bookmarkStart w:id="61" w:name="_Hlk56089504"/>
      <w:r w:rsidRPr="00640D24">
        <w:rPr>
          <w:rFonts w:cs="Times New Roman"/>
          <w:sz w:val="22"/>
          <w:szCs w:val="22"/>
        </w:rPr>
        <w:t xml:space="preserve">Atsižvelgiant į tai, kad trumpų </w:t>
      </w:r>
      <w:r w:rsidR="33F12C80" w:rsidRPr="00640D24">
        <w:rPr>
          <w:rFonts w:cs="Times New Roman"/>
          <w:sz w:val="22"/>
          <w:szCs w:val="22"/>
        </w:rPr>
        <w:t xml:space="preserve">vertės </w:t>
      </w:r>
      <w:r w:rsidRPr="00640D24">
        <w:rPr>
          <w:rFonts w:cs="Times New Roman"/>
          <w:sz w:val="22"/>
          <w:szCs w:val="22"/>
        </w:rPr>
        <w:t>grandinių formavimui ir plėtrai strateginiuose dokumentuose yra numatyta naujų darbo vietų ir modernios įrangos įsigijimo veiklos, trumpų grandinių finansavimo trūkumas atliktas remiantis šiomis prielaidomis:</w:t>
      </w:r>
    </w:p>
    <w:p w14:paraId="1B312517" w14:textId="286CEAD5" w:rsidR="00280FDF" w:rsidRPr="00640D24" w:rsidRDefault="00280FDF" w:rsidP="00280FDF">
      <w:pPr>
        <w:pStyle w:val="Sraopastraipa"/>
        <w:numPr>
          <w:ilvl w:val="0"/>
          <w:numId w:val="21"/>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Darbo vietų kūrimo skatinimui buvo skirta FP „Verslumo skatinimas 2014–2020 m.</w:t>
      </w:r>
      <w:r w:rsidR="00060C99" w:rsidRPr="00640D24">
        <w:rPr>
          <w:rFonts w:cs="Times New Roman"/>
          <w:sz w:val="22"/>
          <w:szCs w:val="22"/>
        </w:rPr>
        <w:t>“</w:t>
      </w:r>
      <w:r w:rsidRPr="00640D24">
        <w:rPr>
          <w:rFonts w:cs="Times New Roman"/>
          <w:sz w:val="22"/>
          <w:szCs w:val="22"/>
        </w:rPr>
        <w:t xml:space="preserve"> Atsižvelgiant į tai, kad ~73 proc. subsidijų darbo užmokesčiui kompensuoti prašė Vidurio ir Vakarų Lietuvoje registruotose įmonėje, daroma prielaida, kad „Subsidijos verslo pradžiai</w:t>
      </w:r>
      <w:r w:rsidR="00060C99" w:rsidRPr="00640D24">
        <w:rPr>
          <w:rFonts w:cs="Times New Roman"/>
          <w:sz w:val="22"/>
          <w:szCs w:val="22"/>
        </w:rPr>
        <w:t>“</w:t>
      </w:r>
      <w:r w:rsidRPr="00640D24">
        <w:rPr>
          <w:rFonts w:cs="Times New Roman"/>
          <w:sz w:val="22"/>
          <w:szCs w:val="22"/>
        </w:rPr>
        <w:t xml:space="preserve"> yra ypač aktuali priemonė. </w:t>
      </w:r>
    </w:p>
    <w:p w14:paraId="476896D5" w14:textId="7579A62C" w:rsidR="00280FDF" w:rsidRPr="00640D24" w:rsidRDefault="00280FDF" w:rsidP="00280FDF">
      <w:pPr>
        <w:pStyle w:val="Sraopastraipa"/>
        <w:numPr>
          <w:ilvl w:val="0"/>
          <w:numId w:val="21"/>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Atsižvelgiant į tai, kad trumpų vertės grandinių veikla apima viename regione esančias MVĮ, daroma prielaida, kad vidutinis investicijų dydis galėtų būti nustatytas remiantis vidutine prašoma suma pagal priemonę „</w:t>
      </w:r>
      <w:proofErr w:type="spellStart"/>
      <w:r w:rsidRPr="00640D24">
        <w:rPr>
          <w:rFonts w:cs="Times New Roman"/>
          <w:sz w:val="22"/>
          <w:szCs w:val="22"/>
        </w:rPr>
        <w:t>Regio</w:t>
      </w:r>
      <w:proofErr w:type="spellEnd"/>
      <w:r w:rsidRPr="00640D24">
        <w:rPr>
          <w:rFonts w:cs="Times New Roman"/>
          <w:sz w:val="22"/>
          <w:szCs w:val="22"/>
        </w:rPr>
        <w:t xml:space="preserve"> potencialas LT</w:t>
      </w:r>
      <w:r w:rsidR="00060C99" w:rsidRPr="00640D24">
        <w:rPr>
          <w:rFonts w:cs="Times New Roman"/>
          <w:sz w:val="22"/>
          <w:szCs w:val="22"/>
        </w:rPr>
        <w:t>“</w:t>
      </w:r>
      <w:r w:rsidRPr="00640D24">
        <w:rPr>
          <w:rFonts w:cs="Times New Roman"/>
          <w:sz w:val="22"/>
          <w:szCs w:val="22"/>
        </w:rPr>
        <w:t xml:space="preserve"> (priemonė „</w:t>
      </w:r>
      <w:proofErr w:type="spellStart"/>
      <w:r w:rsidRPr="00640D24">
        <w:rPr>
          <w:rFonts w:cs="Times New Roman"/>
          <w:sz w:val="22"/>
          <w:szCs w:val="22"/>
        </w:rPr>
        <w:t>Regio</w:t>
      </w:r>
      <w:proofErr w:type="spellEnd"/>
      <w:r w:rsidRPr="00640D24">
        <w:rPr>
          <w:rFonts w:cs="Times New Roman"/>
          <w:sz w:val="22"/>
          <w:szCs w:val="22"/>
        </w:rPr>
        <w:t xml:space="preserve"> </w:t>
      </w:r>
      <w:proofErr w:type="spellStart"/>
      <w:r w:rsidRPr="00640D24">
        <w:rPr>
          <w:rFonts w:cs="Times New Roman"/>
          <w:sz w:val="22"/>
          <w:szCs w:val="22"/>
        </w:rPr>
        <w:t>Invest</w:t>
      </w:r>
      <w:proofErr w:type="spellEnd"/>
      <w:r w:rsidRPr="00640D24">
        <w:rPr>
          <w:rFonts w:cs="Times New Roman"/>
          <w:sz w:val="22"/>
          <w:szCs w:val="22"/>
        </w:rPr>
        <w:t xml:space="preserve"> LT“ į analizę nėra traukiama).</w:t>
      </w:r>
    </w:p>
    <w:p w14:paraId="126F3B0E" w14:textId="291936E0" w:rsidR="00280FDF" w:rsidRPr="00640D24" w:rsidRDefault="6C26E9C0" w:rsidP="501CCA82">
      <w:pPr>
        <w:pStyle w:val="Sraopastraipa"/>
        <w:numPr>
          <w:ilvl w:val="0"/>
          <w:numId w:val="21"/>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Trumpos vertės grandinės (išskyrus maisto sektorių) yra naujas reiškinys Lietuvoje. Atsižvelgiant į tai, daromos dvi prielaidos (1) finansavimo trūkumas šiai krypčiai bus didesnis 2021–2027 m. programavimo laikotarpio pabaigoje; (2) pramonės MVĮ modernizavimo projektų įgyvenimui buvo skirta ~33 proc. lėšų, tačiau ši dalis buvo sumažinta 20 proc., nes įmonės, norinčios gauti finansavimą pagal šią veiklą turi išpildyti sąlygą –</w:t>
      </w:r>
      <w:r w:rsidR="00EB7880" w:rsidRPr="00640D24">
        <w:rPr>
          <w:rFonts w:cs="Times New Roman"/>
          <w:sz w:val="22"/>
          <w:szCs w:val="22"/>
        </w:rPr>
        <w:t xml:space="preserve"> trumpinti savo vertės g</w:t>
      </w:r>
      <w:r w:rsidR="004D61D1" w:rsidRPr="00640D24">
        <w:rPr>
          <w:rFonts w:cs="Times New Roman"/>
          <w:sz w:val="22"/>
          <w:szCs w:val="22"/>
        </w:rPr>
        <w:t>ra</w:t>
      </w:r>
      <w:r w:rsidR="00EB7880" w:rsidRPr="00640D24">
        <w:rPr>
          <w:rFonts w:cs="Times New Roman"/>
          <w:sz w:val="22"/>
          <w:szCs w:val="22"/>
        </w:rPr>
        <w:t>ndin</w:t>
      </w:r>
      <w:r w:rsidR="007818E5" w:rsidRPr="00640D24">
        <w:rPr>
          <w:rFonts w:cs="Times New Roman"/>
          <w:sz w:val="22"/>
          <w:szCs w:val="22"/>
        </w:rPr>
        <w:t>es</w:t>
      </w:r>
      <w:r w:rsidR="004D61D1" w:rsidRPr="00640D24">
        <w:rPr>
          <w:rFonts w:cs="Times New Roman"/>
          <w:sz w:val="22"/>
          <w:szCs w:val="22"/>
        </w:rPr>
        <w:t xml:space="preserve"> arba</w:t>
      </w:r>
      <w:r w:rsidRPr="00640D24">
        <w:rPr>
          <w:rFonts w:cs="Times New Roman"/>
          <w:sz w:val="22"/>
          <w:szCs w:val="22"/>
        </w:rPr>
        <w:t xml:space="preserve"> jungtis į trumpos vertės grandines su kitomis MVĮ.</w:t>
      </w:r>
    </w:p>
    <w:p w14:paraId="50393B1D" w14:textId="56E8DA0C" w:rsidR="00280FDF" w:rsidRPr="00640D24" w:rsidRDefault="00280FDF" w:rsidP="00280FDF">
      <w:pPr>
        <w:pStyle w:val="Sraopastraipa"/>
        <w:numPr>
          <w:ilvl w:val="0"/>
          <w:numId w:val="21"/>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 xml:space="preserve">Remiantis atliktos SVV subjektų apklausos rezultatais buvo nustatyta, kad 100 proc. Vidurio ir Vakarų Lietuvoje veikiančių labai mažų ir mažų įmonių planuoja kreiptis dėl išorės finansavimo. Net 73,33 proc. nurodė, kad planuoja kreiptis į finansų įstaigas, o likusioji dalis – į ES SF </w:t>
      </w:r>
      <w:r w:rsidRPr="00640D24">
        <w:rPr>
          <w:rFonts w:cs="Times New Roman"/>
          <w:sz w:val="22"/>
          <w:szCs w:val="22"/>
        </w:rPr>
        <w:lastRenderedPageBreak/>
        <w:t xml:space="preserve">administruojančias institucijas arba </w:t>
      </w:r>
      <w:proofErr w:type="spellStart"/>
      <w:r w:rsidRPr="00640D24">
        <w:rPr>
          <w:rFonts w:cs="Times New Roman"/>
          <w:sz w:val="22"/>
          <w:szCs w:val="22"/>
        </w:rPr>
        <w:t>akceleravimo</w:t>
      </w:r>
      <w:proofErr w:type="spellEnd"/>
      <w:r w:rsidRPr="00640D24">
        <w:rPr>
          <w:rFonts w:cs="Times New Roman"/>
          <w:sz w:val="22"/>
          <w:szCs w:val="22"/>
        </w:rPr>
        <w:t xml:space="preserve"> fondus. Planuojamos prašyti sumos mediana – 100 tūkst. </w:t>
      </w:r>
      <w:proofErr w:type="spellStart"/>
      <w:r w:rsidRPr="00640D24">
        <w:rPr>
          <w:rFonts w:cs="Times New Roman"/>
          <w:sz w:val="22"/>
          <w:szCs w:val="22"/>
        </w:rPr>
        <w:t>Eur</w:t>
      </w:r>
      <w:proofErr w:type="spellEnd"/>
      <w:r w:rsidRPr="00640D24">
        <w:rPr>
          <w:rFonts w:cs="Times New Roman"/>
          <w:sz w:val="22"/>
          <w:szCs w:val="22"/>
        </w:rPr>
        <w:t xml:space="preserve">, o vidurkis – 264 tūkst. </w:t>
      </w:r>
      <w:proofErr w:type="spellStart"/>
      <w:r w:rsidRPr="00640D24">
        <w:rPr>
          <w:rFonts w:cs="Times New Roman"/>
          <w:sz w:val="22"/>
          <w:szCs w:val="22"/>
        </w:rPr>
        <w:t>Eur</w:t>
      </w:r>
      <w:proofErr w:type="spellEnd"/>
      <w:r w:rsidRPr="00640D24">
        <w:rPr>
          <w:rFonts w:cs="Times New Roman"/>
          <w:sz w:val="22"/>
          <w:szCs w:val="22"/>
        </w:rPr>
        <w:t>. Remiantis priemonės „</w:t>
      </w:r>
      <w:proofErr w:type="spellStart"/>
      <w:r w:rsidRPr="00640D24">
        <w:rPr>
          <w:rFonts w:cs="Times New Roman"/>
          <w:sz w:val="22"/>
          <w:szCs w:val="22"/>
        </w:rPr>
        <w:t>Regio</w:t>
      </w:r>
      <w:proofErr w:type="spellEnd"/>
      <w:r w:rsidRPr="00640D24">
        <w:rPr>
          <w:rFonts w:cs="Times New Roman"/>
          <w:sz w:val="22"/>
          <w:szCs w:val="22"/>
        </w:rPr>
        <w:t xml:space="preserve"> potencialas LT” duomenimis, prašomos sumos mediana siekė – 183 tūkst. </w:t>
      </w:r>
      <w:proofErr w:type="spellStart"/>
      <w:r w:rsidRPr="00640D24">
        <w:rPr>
          <w:rFonts w:cs="Times New Roman"/>
          <w:sz w:val="22"/>
          <w:szCs w:val="22"/>
        </w:rPr>
        <w:t>Eur</w:t>
      </w:r>
      <w:proofErr w:type="spellEnd"/>
      <w:r w:rsidRPr="00640D24">
        <w:rPr>
          <w:rFonts w:cs="Times New Roman"/>
          <w:sz w:val="22"/>
          <w:szCs w:val="22"/>
        </w:rPr>
        <w:t xml:space="preserve">, vidutinė prašoma suma – 191,35 tūkst. </w:t>
      </w:r>
      <w:proofErr w:type="spellStart"/>
      <w:r w:rsidRPr="00640D24">
        <w:rPr>
          <w:rFonts w:cs="Times New Roman"/>
          <w:sz w:val="22"/>
          <w:szCs w:val="22"/>
        </w:rPr>
        <w:t>Eur</w:t>
      </w:r>
      <w:proofErr w:type="spellEnd"/>
      <w:r w:rsidRPr="00640D24">
        <w:rPr>
          <w:rFonts w:cs="Times New Roman"/>
          <w:sz w:val="22"/>
          <w:szCs w:val="22"/>
        </w:rPr>
        <w:t>. Sugretinus SVV subjektų apklausos duomenis ir priemonės „</w:t>
      </w:r>
      <w:proofErr w:type="spellStart"/>
      <w:r w:rsidRPr="00640D24">
        <w:rPr>
          <w:rFonts w:cs="Times New Roman"/>
          <w:sz w:val="22"/>
          <w:szCs w:val="22"/>
        </w:rPr>
        <w:t>Regio</w:t>
      </w:r>
      <w:proofErr w:type="spellEnd"/>
      <w:r w:rsidRPr="00640D24">
        <w:rPr>
          <w:rFonts w:cs="Times New Roman"/>
          <w:sz w:val="22"/>
          <w:szCs w:val="22"/>
        </w:rPr>
        <w:t xml:space="preserve"> potencialas LT</w:t>
      </w:r>
      <w:r w:rsidR="00060C99" w:rsidRPr="00640D24">
        <w:rPr>
          <w:rFonts w:cs="Times New Roman"/>
          <w:sz w:val="22"/>
          <w:szCs w:val="22"/>
        </w:rPr>
        <w:t>“</w:t>
      </w:r>
      <w:r w:rsidRPr="00640D24">
        <w:rPr>
          <w:rFonts w:cs="Times New Roman"/>
          <w:sz w:val="22"/>
          <w:szCs w:val="22"/>
        </w:rPr>
        <w:t xml:space="preserve"> prašomos sumos analizę, galima daryti išvadą, kad vidutinio projekto vertė ir reikalinga finansavimo suma siektų ~182 tūkst. </w:t>
      </w:r>
      <w:proofErr w:type="spellStart"/>
      <w:r w:rsidRPr="00640D24">
        <w:rPr>
          <w:rFonts w:cs="Times New Roman"/>
          <w:sz w:val="22"/>
          <w:szCs w:val="22"/>
        </w:rPr>
        <w:t>Eur</w:t>
      </w:r>
      <w:proofErr w:type="spellEnd"/>
      <w:r w:rsidRPr="00640D24">
        <w:rPr>
          <w:rFonts w:cs="Times New Roman"/>
          <w:sz w:val="22"/>
          <w:szCs w:val="22"/>
        </w:rPr>
        <w:t xml:space="preserve">. </w:t>
      </w:r>
    </w:p>
    <w:p w14:paraId="3E9D95C3" w14:textId="77777777" w:rsidR="00280FDF" w:rsidRPr="00640D24" w:rsidRDefault="00280FDF" w:rsidP="00280FDF">
      <w:pPr>
        <w:pStyle w:val="Sraopastraipa"/>
        <w:numPr>
          <w:ilvl w:val="0"/>
          <w:numId w:val="21"/>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Vertinant tai, kad trumpų vertės kūrimo formavimasis ir plėtra yra nauja verslo finansavimo kryptis, investicijų trūkumas negali būti išmatuojamas remiantis NMA administruojamų priemonių pavyzdžiais.</w:t>
      </w:r>
      <w:bookmarkEnd w:id="61"/>
    </w:p>
    <w:p w14:paraId="3E872598" w14:textId="6BBF9B0D" w:rsidR="00280FDF" w:rsidRPr="00640D24" w:rsidRDefault="00280FDF" w:rsidP="00280FDF">
      <w:pPr>
        <w:pStyle w:val="Sraopastraipa"/>
        <w:numPr>
          <w:ilvl w:val="0"/>
          <w:numId w:val="21"/>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 xml:space="preserve">Siekiant paskatinti įmones investuoti į modernizavimo veiklas bei kurti naujas darbo vietas, siūloma derinti skolinį finansavimą ir </w:t>
      </w:r>
      <w:r w:rsidR="00184A61" w:rsidRPr="00640D24">
        <w:rPr>
          <w:rFonts w:cs="Times New Roman"/>
          <w:sz w:val="22"/>
          <w:szCs w:val="22"/>
        </w:rPr>
        <w:t>dotacijas</w:t>
      </w:r>
      <w:r w:rsidRPr="00640D24">
        <w:rPr>
          <w:rFonts w:cs="Times New Roman"/>
          <w:sz w:val="22"/>
          <w:szCs w:val="22"/>
        </w:rPr>
        <w:t xml:space="preserve">. Rekomenduojama teikti </w:t>
      </w:r>
      <w:r w:rsidR="00184A61" w:rsidRPr="00640D24">
        <w:rPr>
          <w:rFonts w:cs="Times New Roman"/>
          <w:sz w:val="22"/>
          <w:szCs w:val="22"/>
        </w:rPr>
        <w:t>dotaciją</w:t>
      </w:r>
      <w:r w:rsidRPr="00640D24">
        <w:rPr>
          <w:rFonts w:cs="Times New Roman"/>
          <w:sz w:val="22"/>
          <w:szCs w:val="22"/>
        </w:rPr>
        <w:t xml:space="preserve"> darbo užmokesčio kompensavimui, palūkanų kompensavimui arba dalies paskolos nurašymui, kai įmonei, tinkamai įgyvendinus projektą ir grąžinus dalį skolinio finansavimo, dalis suteikto finansavimo galėtų būti negrąžinama (</w:t>
      </w:r>
      <w:r w:rsidRPr="00640D24">
        <w:rPr>
          <w:rFonts w:cs="Times New Roman"/>
          <w:i/>
          <w:iCs/>
          <w:sz w:val="22"/>
          <w:szCs w:val="22"/>
        </w:rPr>
        <w:t xml:space="preserve">angl. </w:t>
      </w:r>
      <w:proofErr w:type="spellStart"/>
      <w:r w:rsidRPr="00640D24">
        <w:rPr>
          <w:rFonts w:cs="Times New Roman"/>
          <w:i/>
          <w:iCs/>
          <w:sz w:val="22"/>
          <w:szCs w:val="22"/>
        </w:rPr>
        <w:t>capital</w:t>
      </w:r>
      <w:proofErr w:type="spellEnd"/>
      <w:r w:rsidRPr="00640D24">
        <w:rPr>
          <w:rFonts w:cs="Times New Roman"/>
          <w:i/>
          <w:iCs/>
          <w:sz w:val="22"/>
          <w:szCs w:val="22"/>
        </w:rPr>
        <w:t xml:space="preserve"> </w:t>
      </w:r>
      <w:proofErr w:type="spellStart"/>
      <w:r w:rsidRPr="00640D24">
        <w:rPr>
          <w:rFonts w:cs="Times New Roman"/>
          <w:i/>
          <w:iCs/>
          <w:sz w:val="22"/>
          <w:szCs w:val="22"/>
        </w:rPr>
        <w:t>rebate</w:t>
      </w:r>
      <w:proofErr w:type="spellEnd"/>
      <w:r w:rsidRPr="00640D24">
        <w:rPr>
          <w:rFonts w:cs="Times New Roman"/>
          <w:sz w:val="22"/>
          <w:szCs w:val="22"/>
        </w:rPr>
        <w:t>)</w:t>
      </w:r>
      <w:r w:rsidR="00B10A43" w:rsidRPr="00640D24">
        <w:rPr>
          <w:rFonts w:cs="Times New Roman"/>
          <w:sz w:val="22"/>
          <w:szCs w:val="22"/>
        </w:rPr>
        <w:t>, siekiant palengvinti MVĮ paskolos grąžinimą ar/ir sumažinti paskolos sąnaudas, nesant pastoviems pinigų srautams. Toks siūlymas ypatingai aktualus dėl išaugusios skolinimosi kainos (EURIBOR) ir geopolitinės situacijos neapibrėžtumo.</w:t>
      </w:r>
    </w:p>
    <w:p w14:paraId="61BA0432" w14:textId="77777777" w:rsidR="00280FDF" w:rsidRPr="00640D24" w:rsidRDefault="00280FDF" w:rsidP="00280FDF">
      <w:pPr>
        <w:autoSpaceDE w:val="0"/>
        <w:autoSpaceDN w:val="0"/>
        <w:adjustRightInd w:val="0"/>
        <w:spacing w:before="60" w:after="60" w:line="240" w:lineRule="auto"/>
        <w:ind w:left="567"/>
        <w:jc w:val="both"/>
        <w:rPr>
          <w:rFonts w:cs="Times New Roman"/>
          <w:sz w:val="22"/>
          <w:szCs w:val="22"/>
        </w:rPr>
      </w:pPr>
    </w:p>
    <w:tbl>
      <w:tblPr>
        <w:tblStyle w:val="Lentelstinklelis"/>
        <w:tblW w:w="0" w:type="auto"/>
        <w:tblLook w:val="04A0" w:firstRow="1" w:lastRow="0" w:firstColumn="1" w:lastColumn="0" w:noHBand="0" w:noVBand="1"/>
      </w:tblPr>
      <w:tblGrid>
        <w:gridCol w:w="9628"/>
      </w:tblGrid>
      <w:tr w:rsidR="00280FDF" w:rsidRPr="00640D24" w14:paraId="039047E2" w14:textId="77777777" w:rsidTr="00EB299F">
        <w:tc>
          <w:tcPr>
            <w:tcW w:w="9747" w:type="dxa"/>
          </w:tcPr>
          <w:p w14:paraId="383FD30C" w14:textId="51DCF130" w:rsidR="00280FDF" w:rsidRPr="00640D24" w:rsidRDefault="00280FDF" w:rsidP="00EC688C">
            <w:pPr>
              <w:autoSpaceDE w:val="0"/>
              <w:autoSpaceDN w:val="0"/>
              <w:adjustRightInd w:val="0"/>
              <w:spacing w:before="60" w:after="60" w:line="240" w:lineRule="auto"/>
              <w:ind w:firstLine="567"/>
              <w:jc w:val="both"/>
              <w:rPr>
                <w:rFonts w:cs="Times New Roman"/>
                <w:sz w:val="22"/>
                <w:szCs w:val="22"/>
                <w:lang w:val="lt-LT"/>
              </w:rPr>
            </w:pPr>
            <w:r w:rsidRPr="00640D24">
              <w:rPr>
                <w:rFonts w:cs="Times New Roman"/>
                <w:sz w:val="22"/>
                <w:szCs w:val="22"/>
                <w:lang w:val="lt-LT"/>
              </w:rPr>
              <w:t xml:space="preserve">Atsižvelgiant į pateiktas prielaidas numatoma, kad finansavimo poreikis trumpų vertės grandinių plėtrai galėtų siekti </w:t>
            </w:r>
            <w:r w:rsidRPr="00640D24">
              <w:rPr>
                <w:rFonts w:cs="Times New Roman"/>
                <w:b/>
                <w:sz w:val="22"/>
                <w:szCs w:val="22"/>
                <w:lang w:val="lt-LT"/>
              </w:rPr>
              <w:t xml:space="preserve">145,66 mln. </w:t>
            </w:r>
            <w:proofErr w:type="spellStart"/>
            <w:r w:rsidRPr="00640D24">
              <w:rPr>
                <w:rFonts w:cs="Times New Roman"/>
                <w:b/>
                <w:sz w:val="22"/>
                <w:szCs w:val="22"/>
                <w:lang w:val="lt-LT"/>
              </w:rPr>
              <w:t>Eur</w:t>
            </w:r>
            <w:proofErr w:type="spellEnd"/>
            <w:r w:rsidRPr="00640D24">
              <w:rPr>
                <w:rFonts w:cs="Times New Roman"/>
                <w:sz w:val="22"/>
                <w:szCs w:val="22"/>
                <w:lang w:val="lt-LT"/>
              </w:rPr>
              <w:t xml:space="preserve"> </w:t>
            </w:r>
            <w:r w:rsidR="00645085" w:rsidRPr="00640D24">
              <w:rPr>
                <w:rFonts w:cs="Times New Roman"/>
                <w:sz w:val="22"/>
                <w:szCs w:val="22"/>
                <w:lang w:val="lt-LT"/>
              </w:rPr>
              <w:t>–</w:t>
            </w:r>
            <w:r w:rsidRPr="00640D24">
              <w:rPr>
                <w:rFonts w:cs="Times New Roman"/>
                <w:sz w:val="22"/>
                <w:szCs w:val="22"/>
                <w:lang w:val="lt-LT"/>
              </w:rPr>
              <w:t xml:space="preserve"> (iš jų Vidurio ir Vakarų Lietuvoje </w:t>
            </w:r>
            <w:r w:rsidR="00645085" w:rsidRPr="00640D24">
              <w:rPr>
                <w:rFonts w:cs="Times New Roman"/>
                <w:sz w:val="22"/>
                <w:szCs w:val="22"/>
                <w:lang w:val="lt-LT"/>
              </w:rPr>
              <w:t>–</w:t>
            </w:r>
            <w:r w:rsidRPr="00640D24">
              <w:rPr>
                <w:rFonts w:cs="Times New Roman"/>
                <w:sz w:val="22"/>
                <w:szCs w:val="22"/>
                <w:lang w:val="lt-LT"/>
              </w:rPr>
              <w:t xml:space="preserve"> </w:t>
            </w:r>
            <w:r w:rsidRPr="00640D24">
              <w:rPr>
                <w:rFonts w:cs="Times New Roman"/>
                <w:b/>
                <w:bCs/>
                <w:sz w:val="22"/>
                <w:szCs w:val="22"/>
                <w:lang w:val="lt-LT"/>
              </w:rPr>
              <w:t xml:space="preserve">95,61 mln. </w:t>
            </w:r>
            <w:proofErr w:type="spellStart"/>
            <w:r w:rsidRPr="00640D24">
              <w:rPr>
                <w:rFonts w:cs="Times New Roman"/>
                <w:b/>
                <w:bCs/>
                <w:sz w:val="22"/>
                <w:szCs w:val="22"/>
                <w:lang w:val="lt-LT"/>
              </w:rPr>
              <w:t>Eur</w:t>
            </w:r>
            <w:proofErr w:type="spellEnd"/>
            <w:r w:rsidRPr="00640D24">
              <w:rPr>
                <w:rFonts w:cs="Times New Roman"/>
                <w:sz w:val="22"/>
                <w:szCs w:val="22"/>
                <w:lang w:val="lt-LT"/>
              </w:rPr>
              <w:t xml:space="preserve">). Kadangi trumpos vertės grandinės yra </w:t>
            </w:r>
            <w:r w:rsidR="00AB23B4" w:rsidRPr="00640D24">
              <w:rPr>
                <w:rFonts w:cs="Times New Roman"/>
                <w:sz w:val="22"/>
                <w:szCs w:val="22"/>
                <w:lang w:val="lt-LT"/>
              </w:rPr>
              <w:t>naujai finansuojama sritis</w:t>
            </w:r>
            <w:r w:rsidRPr="00640D24">
              <w:rPr>
                <w:rFonts w:cs="Times New Roman"/>
                <w:sz w:val="22"/>
                <w:szCs w:val="22"/>
                <w:lang w:val="lt-LT"/>
              </w:rPr>
              <w:t xml:space="preserve">, apskaičiuotas finansavimo poreikis yra preliminarus.  </w:t>
            </w:r>
          </w:p>
        </w:tc>
      </w:tr>
    </w:tbl>
    <w:p w14:paraId="74261B91" w14:textId="57EBDC19" w:rsidR="00F01F6B" w:rsidRPr="00640D24" w:rsidRDefault="003802AB" w:rsidP="00F01F6B">
      <w:pPr>
        <w:pStyle w:val="Antrat3"/>
        <w:spacing w:before="120"/>
      </w:pPr>
      <w:bookmarkStart w:id="62" w:name="_Toc146812390"/>
      <w:r w:rsidRPr="00640D24">
        <w:rPr>
          <w:lang w:val="en-US"/>
        </w:rPr>
        <w:t>2.</w:t>
      </w:r>
      <w:r w:rsidR="00F01F6B" w:rsidRPr="00640D24">
        <w:t>3.4. TUI pritraukimas MTEPI veiklų skatinimui</w:t>
      </w:r>
      <w:bookmarkEnd w:id="62"/>
      <w:r w:rsidR="00F01F6B" w:rsidRPr="00640D24">
        <w:t xml:space="preserve"> </w:t>
      </w:r>
      <w:bookmarkEnd w:id="59"/>
    </w:p>
    <w:bookmarkEnd w:id="60"/>
    <w:p w14:paraId="74FC84EE" w14:textId="77777777" w:rsidR="00F01F6B" w:rsidRPr="00640D24" w:rsidRDefault="00F01F6B" w:rsidP="00F01F6B">
      <w:pPr>
        <w:spacing w:before="120" w:after="120" w:line="240" w:lineRule="auto"/>
        <w:ind w:left="567"/>
        <w:rPr>
          <w:rFonts w:cs="Times New Roman"/>
          <w:i/>
          <w:iCs/>
          <w:sz w:val="22"/>
          <w:szCs w:val="22"/>
        </w:rPr>
      </w:pPr>
      <w:r w:rsidRPr="00640D24">
        <w:rPr>
          <w:rFonts w:cs="Times New Roman"/>
          <w:i/>
          <w:iCs/>
          <w:sz w:val="22"/>
          <w:szCs w:val="22"/>
        </w:rPr>
        <w:t>Investicijų paklausos analizė</w:t>
      </w:r>
    </w:p>
    <w:p w14:paraId="16849706" w14:textId="77777777" w:rsidR="00F01F6B" w:rsidRPr="00640D24" w:rsidRDefault="00F01F6B" w:rsidP="00F01F6B">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 xml:space="preserve">TUI pritraukimui MTEPI veiklų skatinimo srityje 2014–2020 m. programavimo laikotarpiu buvo paskelbti du kvietimai: </w:t>
      </w:r>
    </w:p>
    <w:p w14:paraId="77A27EB1" w14:textId="0DB7218C" w:rsidR="00F01F6B" w:rsidRPr="00640D24" w:rsidRDefault="00F01F6B" w:rsidP="00F01F6B">
      <w:pPr>
        <w:pStyle w:val="Sraopastraipa"/>
        <w:numPr>
          <w:ilvl w:val="0"/>
          <w:numId w:val="8"/>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Pagal priemonės Nr. 01.2.1</w:t>
      </w:r>
      <w:r w:rsidR="00645085" w:rsidRPr="00640D24">
        <w:rPr>
          <w:rFonts w:cs="Times New Roman"/>
          <w:sz w:val="22"/>
          <w:szCs w:val="22"/>
        </w:rPr>
        <w:t>–</w:t>
      </w:r>
      <w:r w:rsidRPr="00640D24">
        <w:rPr>
          <w:rFonts w:cs="Times New Roman"/>
          <w:sz w:val="22"/>
          <w:szCs w:val="22"/>
        </w:rPr>
        <w:t>LVPA</w:t>
      </w:r>
      <w:r w:rsidR="00645085" w:rsidRPr="00640D24">
        <w:rPr>
          <w:rFonts w:cs="Times New Roman"/>
          <w:sz w:val="22"/>
          <w:szCs w:val="22"/>
        </w:rPr>
        <w:t>–</w:t>
      </w:r>
      <w:r w:rsidRPr="00640D24">
        <w:rPr>
          <w:rFonts w:cs="Times New Roman"/>
          <w:sz w:val="22"/>
          <w:szCs w:val="22"/>
        </w:rPr>
        <w:t>V</w:t>
      </w:r>
      <w:r w:rsidR="00645085" w:rsidRPr="00640D24">
        <w:rPr>
          <w:rFonts w:cs="Times New Roman"/>
          <w:sz w:val="22"/>
          <w:szCs w:val="22"/>
        </w:rPr>
        <w:t>–</w:t>
      </w:r>
      <w:r w:rsidRPr="00640D24">
        <w:rPr>
          <w:rFonts w:cs="Times New Roman"/>
          <w:sz w:val="22"/>
          <w:szCs w:val="22"/>
        </w:rPr>
        <w:t>823 „</w:t>
      </w:r>
      <w:proofErr w:type="spellStart"/>
      <w:r w:rsidRPr="00640D24">
        <w:rPr>
          <w:rFonts w:cs="Times New Roman"/>
          <w:sz w:val="22"/>
          <w:szCs w:val="22"/>
        </w:rPr>
        <w:t>SmartInvest</w:t>
      </w:r>
      <w:proofErr w:type="spellEnd"/>
      <w:r w:rsidRPr="00640D24">
        <w:rPr>
          <w:rFonts w:cs="Times New Roman"/>
          <w:sz w:val="22"/>
          <w:szCs w:val="22"/>
        </w:rPr>
        <w:t xml:space="preserve"> LT+“ kvietimą buvo pateikta 30 paraiškų, kuriomis bendra prašoma suma siekė 67,89 mln. </w:t>
      </w:r>
      <w:proofErr w:type="spellStart"/>
      <w:r w:rsidRPr="00640D24">
        <w:rPr>
          <w:rFonts w:cs="Times New Roman"/>
          <w:sz w:val="22"/>
          <w:szCs w:val="22"/>
        </w:rPr>
        <w:t>Eur</w:t>
      </w:r>
      <w:proofErr w:type="spellEnd"/>
      <w:r w:rsidRPr="00640D24">
        <w:rPr>
          <w:rFonts w:cs="Times New Roman"/>
          <w:sz w:val="22"/>
          <w:szCs w:val="22"/>
        </w:rPr>
        <w:t xml:space="preserve">. Vis dėl to, finansavimas buvo suteiktas tik 4 projektams, kurių bendra prašoma suma siekė 9,96 mln. </w:t>
      </w:r>
      <w:proofErr w:type="spellStart"/>
      <w:r w:rsidRPr="00640D24">
        <w:rPr>
          <w:rFonts w:cs="Times New Roman"/>
          <w:sz w:val="22"/>
          <w:szCs w:val="22"/>
        </w:rPr>
        <w:t>Eur</w:t>
      </w:r>
      <w:proofErr w:type="spellEnd"/>
      <w:r w:rsidRPr="00640D24">
        <w:rPr>
          <w:rFonts w:cs="Times New Roman"/>
          <w:sz w:val="22"/>
          <w:szCs w:val="22"/>
        </w:rPr>
        <w:t xml:space="preserve"> – daugiau kaip 2 kartais daugiau nei numatyta bendra finansavimo suma paskelbus kvietimą. </w:t>
      </w:r>
    </w:p>
    <w:p w14:paraId="2FE35160" w14:textId="13AC2539" w:rsidR="00F01F6B" w:rsidRPr="00640D24" w:rsidRDefault="00F01F6B" w:rsidP="00F01F6B">
      <w:pPr>
        <w:pStyle w:val="Sraopastraipa"/>
        <w:numPr>
          <w:ilvl w:val="0"/>
          <w:numId w:val="8"/>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Priemonei Nr. 01.2.1</w:t>
      </w:r>
      <w:r w:rsidR="00645085" w:rsidRPr="00640D24">
        <w:rPr>
          <w:rFonts w:cs="Times New Roman"/>
          <w:sz w:val="22"/>
          <w:szCs w:val="22"/>
        </w:rPr>
        <w:t>–</w:t>
      </w:r>
      <w:r w:rsidRPr="00640D24">
        <w:rPr>
          <w:rFonts w:cs="Times New Roman"/>
          <w:sz w:val="22"/>
          <w:szCs w:val="22"/>
        </w:rPr>
        <w:t>LVPA</w:t>
      </w:r>
      <w:r w:rsidR="00645085" w:rsidRPr="00640D24">
        <w:rPr>
          <w:rFonts w:cs="Times New Roman"/>
          <w:sz w:val="22"/>
          <w:szCs w:val="22"/>
        </w:rPr>
        <w:t>–</w:t>
      </w:r>
      <w:r w:rsidRPr="00640D24">
        <w:rPr>
          <w:rFonts w:cs="Times New Roman"/>
          <w:sz w:val="22"/>
          <w:szCs w:val="22"/>
        </w:rPr>
        <w:t>T</w:t>
      </w:r>
      <w:r w:rsidR="00645085" w:rsidRPr="00640D24">
        <w:rPr>
          <w:rFonts w:cs="Times New Roman"/>
          <w:sz w:val="22"/>
          <w:szCs w:val="22"/>
        </w:rPr>
        <w:t>–</w:t>
      </w:r>
      <w:r w:rsidRPr="00640D24">
        <w:rPr>
          <w:rFonts w:cs="Times New Roman"/>
          <w:sz w:val="22"/>
          <w:szCs w:val="22"/>
        </w:rPr>
        <w:t>848 „</w:t>
      </w:r>
      <w:proofErr w:type="spellStart"/>
      <w:r w:rsidRPr="00640D24">
        <w:rPr>
          <w:rFonts w:cs="Times New Roman"/>
          <w:sz w:val="22"/>
          <w:szCs w:val="22"/>
        </w:rPr>
        <w:t>Smart</w:t>
      </w:r>
      <w:proofErr w:type="spellEnd"/>
      <w:r w:rsidRPr="00640D24">
        <w:rPr>
          <w:rFonts w:cs="Times New Roman"/>
          <w:sz w:val="22"/>
          <w:szCs w:val="22"/>
        </w:rPr>
        <w:t xml:space="preserve"> FDI“ buvo skirtas 46,84 mln. </w:t>
      </w:r>
      <w:proofErr w:type="spellStart"/>
      <w:r w:rsidRPr="00640D24">
        <w:rPr>
          <w:rFonts w:cs="Times New Roman"/>
          <w:sz w:val="22"/>
          <w:szCs w:val="22"/>
        </w:rPr>
        <w:t>Eur</w:t>
      </w:r>
      <w:proofErr w:type="spellEnd"/>
      <w:r w:rsidRPr="00640D24">
        <w:rPr>
          <w:rFonts w:cs="Times New Roman"/>
          <w:sz w:val="22"/>
          <w:szCs w:val="22"/>
        </w:rPr>
        <w:t xml:space="preserve"> (20 mln. buvo skirta pagal Ekonomikos DNR planą) finansavimas. Įvertinus kvietimų Nr. 1 ir 2 metu pateiktas paraiškas skirta finansavimo suma siekė 15,86 mln. </w:t>
      </w:r>
      <w:proofErr w:type="spellStart"/>
      <w:r w:rsidRPr="00640D24">
        <w:rPr>
          <w:rFonts w:cs="Times New Roman"/>
          <w:sz w:val="22"/>
          <w:szCs w:val="22"/>
        </w:rPr>
        <w:t>Eur</w:t>
      </w:r>
      <w:proofErr w:type="spellEnd"/>
      <w:r w:rsidRPr="00640D24">
        <w:rPr>
          <w:rFonts w:cs="Times New Roman"/>
          <w:sz w:val="22"/>
          <w:szCs w:val="22"/>
        </w:rPr>
        <w:t>. Kvietimas Nr. 2 buvo sustabdytas, nes buvo viršyta prašomo finansavimo suma, tačiau įvertinus projektus, dalis jų buvo pripažinta kaip netinkami finansuoti arba projekto finansavimo išlaidos yra pripažįstamos kaip netinkamos finansuoti, todėl pasirašytų sutarčių finansavimo suma yra mažesnė. 2020 m. lapkričio 23 d. buvo paskelbtas trečiasis kvietimas. Kvietimas buvo sustabdytas tą pačią dieną dėl itin aktyvaus paraiškų srauto, kurios greitai išsisėmė ir dvigubai viršijo kvietimo biudžetą</w:t>
      </w:r>
      <w:r w:rsidRPr="00640D24">
        <w:rPr>
          <w:rStyle w:val="Puslapioinaosnuoroda"/>
          <w:rFonts w:cs="Times New Roman"/>
          <w:sz w:val="22"/>
          <w:szCs w:val="22"/>
        </w:rPr>
        <w:footnoteReference w:id="62"/>
      </w:r>
      <w:r w:rsidRPr="00640D24">
        <w:rPr>
          <w:rFonts w:cs="Times New Roman"/>
          <w:sz w:val="22"/>
          <w:szCs w:val="22"/>
        </w:rPr>
        <w:t>. Nuo skelbimo pradžios iki dienos pabaigos buvo pateikta 21 paraiška</w:t>
      </w:r>
      <w:r w:rsidRPr="00640D24">
        <w:rPr>
          <w:rStyle w:val="Puslapioinaosnuoroda"/>
          <w:rFonts w:cs="Times New Roman"/>
          <w:sz w:val="22"/>
          <w:szCs w:val="22"/>
        </w:rPr>
        <w:footnoteReference w:id="63"/>
      </w:r>
      <w:r w:rsidRPr="00640D24">
        <w:rPr>
          <w:rFonts w:cs="Times New Roman"/>
          <w:sz w:val="22"/>
          <w:szCs w:val="22"/>
        </w:rPr>
        <w:t xml:space="preserve">, kuriose projektams finansuoti prašoma suma viršijo 42 mln. </w:t>
      </w:r>
      <w:proofErr w:type="spellStart"/>
      <w:r w:rsidRPr="00640D24">
        <w:rPr>
          <w:rFonts w:cs="Times New Roman"/>
          <w:sz w:val="22"/>
          <w:szCs w:val="22"/>
        </w:rPr>
        <w:t>Eur</w:t>
      </w:r>
      <w:proofErr w:type="spellEnd"/>
      <w:r w:rsidRPr="00640D24">
        <w:rPr>
          <w:rFonts w:cs="Times New Roman"/>
          <w:sz w:val="22"/>
          <w:szCs w:val="22"/>
        </w:rPr>
        <w:t>. Įvertinus šias paraiškas 19 paraiškų buvo nuspręsta nefinansuoti, o 2 paraiškos buvo atsiimtos. Atsižvelgiant į pateiktų ir finansuotų projektų pagal priemonę „</w:t>
      </w:r>
      <w:proofErr w:type="spellStart"/>
      <w:r w:rsidRPr="00640D24">
        <w:rPr>
          <w:rFonts w:cs="Times New Roman"/>
          <w:sz w:val="22"/>
          <w:szCs w:val="22"/>
        </w:rPr>
        <w:t>Smart</w:t>
      </w:r>
      <w:proofErr w:type="spellEnd"/>
      <w:r w:rsidRPr="00640D24">
        <w:rPr>
          <w:rFonts w:cs="Times New Roman"/>
          <w:sz w:val="22"/>
          <w:szCs w:val="22"/>
        </w:rPr>
        <w:t xml:space="preserve"> FDI“ santykį, galima daryti išvadą, kad užsienio investuotojų susidomėjimas MTEPI veiklų vykdymu yra didelis. Visgi, didelis nefinansuotų projektų skaičius rodo, kad pateikti projektai neatitinka projektų finansavimo sąlygų apraše nurodytų reikalavimų. </w:t>
      </w:r>
    </w:p>
    <w:p w14:paraId="3EB59A21" w14:textId="77777777" w:rsidR="00F01F6B" w:rsidRPr="00640D24" w:rsidRDefault="00F01F6B" w:rsidP="00F01F6B">
      <w:pPr>
        <w:autoSpaceDE w:val="0"/>
        <w:autoSpaceDN w:val="0"/>
        <w:adjustRightInd w:val="0"/>
        <w:spacing w:before="60" w:after="60" w:line="240" w:lineRule="auto"/>
        <w:ind w:firstLine="567"/>
        <w:jc w:val="both"/>
        <w:rPr>
          <w:rFonts w:cs="Times New Roman"/>
          <w:sz w:val="22"/>
          <w:szCs w:val="22"/>
        </w:rPr>
      </w:pPr>
      <w:bookmarkStart w:id="63" w:name="_Hlk57226022"/>
      <w:r w:rsidRPr="00640D24">
        <w:rPr>
          <w:rFonts w:cs="Times New Roman"/>
          <w:sz w:val="22"/>
          <w:szCs w:val="22"/>
        </w:rPr>
        <w:t>Atliktų interviu metu buvo nustatytas didelis TUI finansavimo poreikis – tai patvirtina trečiasis „</w:t>
      </w:r>
      <w:proofErr w:type="spellStart"/>
      <w:r w:rsidRPr="00640D24">
        <w:rPr>
          <w:rFonts w:cs="Times New Roman"/>
          <w:sz w:val="22"/>
          <w:szCs w:val="22"/>
        </w:rPr>
        <w:t>Smart</w:t>
      </w:r>
      <w:proofErr w:type="spellEnd"/>
      <w:r w:rsidRPr="00640D24">
        <w:rPr>
          <w:rFonts w:cs="Times New Roman"/>
          <w:sz w:val="22"/>
          <w:szCs w:val="22"/>
        </w:rPr>
        <w:t xml:space="preserve"> FDI“ kvietimas, kuris per 80 minučių po paskelbimo dvigubai viršijo kvietimo biudžetą.</w:t>
      </w:r>
      <w:r w:rsidRPr="00640D24" w:rsidDel="005F6B18">
        <w:rPr>
          <w:rFonts w:cs="Times New Roman"/>
          <w:sz w:val="22"/>
          <w:szCs w:val="22"/>
        </w:rPr>
        <w:t xml:space="preserve"> </w:t>
      </w:r>
      <w:bookmarkEnd w:id="63"/>
      <w:r w:rsidRPr="00640D24">
        <w:rPr>
          <w:rFonts w:cs="Times New Roman"/>
          <w:sz w:val="22"/>
          <w:szCs w:val="22"/>
        </w:rPr>
        <w:t>Atliktų interviu metu buvo pastebėta, kad dėl laikino priemonės „</w:t>
      </w:r>
      <w:proofErr w:type="spellStart"/>
      <w:r w:rsidRPr="00640D24">
        <w:rPr>
          <w:rFonts w:cs="Times New Roman"/>
          <w:sz w:val="22"/>
          <w:szCs w:val="22"/>
        </w:rPr>
        <w:t>Smart</w:t>
      </w:r>
      <w:proofErr w:type="spellEnd"/>
      <w:r w:rsidRPr="00640D24">
        <w:rPr>
          <w:rFonts w:cs="Times New Roman"/>
          <w:sz w:val="22"/>
          <w:szCs w:val="22"/>
        </w:rPr>
        <w:t xml:space="preserve"> FDI“ sustabdymo, užsienio investuotojai aktyviai dalyvavo ir priemonės „Eksperimentas“ kvietime. Atlikto Vertinimo metu ir interviu dalyvių pastebėjimu, užsienio investuotojai yra linkę aktyviai naudotis </w:t>
      </w:r>
      <w:proofErr w:type="spellStart"/>
      <w:r w:rsidRPr="00640D24">
        <w:rPr>
          <w:rFonts w:cs="Times New Roman"/>
          <w:sz w:val="22"/>
          <w:szCs w:val="22"/>
        </w:rPr>
        <w:t>subsidinėmis</w:t>
      </w:r>
      <w:proofErr w:type="spellEnd"/>
      <w:r w:rsidRPr="00640D24">
        <w:rPr>
          <w:rFonts w:cs="Times New Roman"/>
          <w:sz w:val="22"/>
          <w:szCs w:val="22"/>
        </w:rPr>
        <w:t xml:space="preserve"> priemonėmis MTEPI veiklų vykdymui. Vis dėl to, </w:t>
      </w:r>
      <w:r w:rsidRPr="00640D24">
        <w:rPr>
          <w:rFonts w:cs="Times New Roman"/>
          <w:sz w:val="22"/>
          <w:szCs w:val="22"/>
        </w:rPr>
        <w:lastRenderedPageBreak/>
        <w:t>atsižvelgiant į anksčiau atliktuose vertinimuose pateiktas rekomendacijas</w:t>
      </w:r>
      <w:r w:rsidRPr="00640D24">
        <w:rPr>
          <w:sz w:val="22"/>
          <w:szCs w:val="22"/>
          <w:vertAlign w:val="superscript"/>
        </w:rPr>
        <w:footnoteReference w:id="64"/>
      </w:r>
      <w:r w:rsidRPr="00640D24">
        <w:rPr>
          <w:rFonts w:cs="Times New Roman"/>
          <w:sz w:val="22"/>
          <w:szCs w:val="22"/>
        </w:rPr>
        <w:t xml:space="preserve"> yra reikalinga sudaryti palankias mokestines sąlygas, užtikrinti infrastruktūros prieinamumą bei didinti talentų pritraukimą į regionus – visa tai turėtų tapti siekiamybe ilguoju laikotarpiu. </w:t>
      </w:r>
    </w:p>
    <w:p w14:paraId="57E6BE0D" w14:textId="399B21DF" w:rsidR="00F01F6B" w:rsidRPr="00640D24" w:rsidRDefault="00F01F6B" w:rsidP="00F01F6B">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Vertinimo metu buvo išnagrinėta pagal priemonę Nr. 01.2.1</w:t>
      </w:r>
      <w:r w:rsidR="00645085" w:rsidRPr="00640D24">
        <w:rPr>
          <w:rFonts w:cs="Times New Roman"/>
          <w:sz w:val="22"/>
          <w:szCs w:val="22"/>
        </w:rPr>
        <w:t>–</w:t>
      </w:r>
      <w:r w:rsidRPr="00640D24">
        <w:rPr>
          <w:rFonts w:cs="Times New Roman"/>
          <w:sz w:val="22"/>
          <w:szCs w:val="22"/>
        </w:rPr>
        <w:t>LVPA</w:t>
      </w:r>
      <w:r w:rsidR="00645085" w:rsidRPr="00640D24">
        <w:rPr>
          <w:rFonts w:cs="Times New Roman"/>
          <w:sz w:val="22"/>
          <w:szCs w:val="22"/>
        </w:rPr>
        <w:t>–</w:t>
      </w:r>
      <w:r w:rsidRPr="00640D24">
        <w:rPr>
          <w:rFonts w:cs="Times New Roman"/>
          <w:sz w:val="22"/>
          <w:szCs w:val="22"/>
        </w:rPr>
        <w:t>T</w:t>
      </w:r>
      <w:r w:rsidR="00645085" w:rsidRPr="00640D24">
        <w:rPr>
          <w:rFonts w:cs="Times New Roman"/>
          <w:sz w:val="22"/>
          <w:szCs w:val="22"/>
        </w:rPr>
        <w:t>–</w:t>
      </w:r>
      <w:r w:rsidRPr="00640D24">
        <w:rPr>
          <w:rFonts w:cs="Times New Roman"/>
          <w:sz w:val="22"/>
          <w:szCs w:val="22"/>
        </w:rPr>
        <w:t>848 „</w:t>
      </w:r>
      <w:proofErr w:type="spellStart"/>
      <w:r w:rsidRPr="00640D24">
        <w:rPr>
          <w:rFonts w:cs="Times New Roman"/>
          <w:sz w:val="22"/>
          <w:szCs w:val="22"/>
        </w:rPr>
        <w:t>Smart</w:t>
      </w:r>
      <w:proofErr w:type="spellEnd"/>
      <w:r w:rsidRPr="00640D24">
        <w:rPr>
          <w:rFonts w:cs="Times New Roman"/>
          <w:sz w:val="22"/>
          <w:szCs w:val="22"/>
        </w:rPr>
        <w:t xml:space="preserve"> FDI“ finansavimą gavusių įmonių registracijos vietos – net 5 užsienio investuotojų įgyvendinami projektai yra vykdomi Kauno mieste ar rajone, 4 – Vilniaus m., 1 – Šiauliuose; apie likusius 3 projektus viešai prieinamos informacijos nėra. Pateikta informacija leidžia daryti prielaidą, kad užsienio investuotojams yra patrauklus ne tik Sostinės, bet ir Vidurio ir Vakarų Lietuvos regionas.</w:t>
      </w:r>
    </w:p>
    <w:p w14:paraId="4A15DF4D" w14:textId="77777777" w:rsidR="00F01F6B" w:rsidRPr="00640D24" w:rsidRDefault="00F01F6B" w:rsidP="00F01F6B">
      <w:pPr>
        <w:spacing w:before="120" w:after="120" w:line="240" w:lineRule="auto"/>
        <w:ind w:firstLine="567"/>
        <w:jc w:val="both"/>
        <w:rPr>
          <w:rFonts w:cs="Times New Roman"/>
          <w:i/>
          <w:iCs/>
          <w:sz w:val="22"/>
          <w:szCs w:val="22"/>
        </w:rPr>
      </w:pPr>
      <w:r w:rsidRPr="00640D24">
        <w:rPr>
          <w:rFonts w:cs="Times New Roman"/>
          <w:i/>
          <w:iCs/>
          <w:sz w:val="22"/>
          <w:szCs w:val="22"/>
        </w:rPr>
        <w:t>Finansavimo lėšų poreikis</w:t>
      </w:r>
    </w:p>
    <w:p w14:paraId="44245A00" w14:textId="77777777" w:rsidR="00F01F6B" w:rsidRPr="00640D24" w:rsidRDefault="00F01F6B" w:rsidP="00F01F6B">
      <w:pPr>
        <w:spacing w:before="60" w:after="60" w:line="240" w:lineRule="auto"/>
        <w:ind w:firstLine="567"/>
        <w:jc w:val="both"/>
        <w:rPr>
          <w:rFonts w:cs="Times New Roman"/>
          <w:sz w:val="22"/>
          <w:szCs w:val="22"/>
        </w:rPr>
      </w:pPr>
      <w:r w:rsidRPr="00640D24">
        <w:rPr>
          <w:rFonts w:cs="Times New Roman"/>
          <w:sz w:val="22"/>
          <w:szCs w:val="22"/>
        </w:rPr>
        <w:t>Statistikos departamento duomenimis 2020 m. TUI augo</w:t>
      </w:r>
      <w:r w:rsidRPr="00640D24">
        <w:rPr>
          <w:rStyle w:val="Puslapioinaosnuoroda"/>
          <w:rFonts w:cs="Times New Roman"/>
          <w:sz w:val="22"/>
          <w:szCs w:val="22"/>
        </w:rPr>
        <w:footnoteReference w:id="65"/>
      </w:r>
      <w:r w:rsidRPr="00640D24">
        <w:rPr>
          <w:rFonts w:cs="Times New Roman"/>
          <w:sz w:val="22"/>
          <w:szCs w:val="22"/>
        </w:rPr>
        <w:t xml:space="preserve"> – 2018 m. didžiausia TUI dalis pagal EVRK 2 red. teko M sekcijai „Profesinė, mokslinė ir techninė veikla”. 2018 m. TUI į šį sektorių 2018 m. siekė 1 168,39 mln. </w:t>
      </w:r>
      <w:proofErr w:type="spellStart"/>
      <w:r w:rsidRPr="00640D24">
        <w:rPr>
          <w:rFonts w:cs="Times New Roman"/>
          <w:sz w:val="22"/>
          <w:szCs w:val="22"/>
        </w:rPr>
        <w:t>Eur</w:t>
      </w:r>
      <w:proofErr w:type="spellEnd"/>
      <w:r w:rsidRPr="00640D24">
        <w:rPr>
          <w:rFonts w:cs="Times New Roman"/>
          <w:sz w:val="22"/>
          <w:szCs w:val="22"/>
        </w:rPr>
        <w:t xml:space="preserve">, 2019 m. – 1 678,39 mln. </w:t>
      </w:r>
      <w:proofErr w:type="spellStart"/>
      <w:r w:rsidRPr="00640D24">
        <w:rPr>
          <w:rFonts w:cs="Times New Roman"/>
          <w:sz w:val="22"/>
          <w:szCs w:val="22"/>
        </w:rPr>
        <w:t>Eur</w:t>
      </w:r>
      <w:proofErr w:type="spellEnd"/>
      <w:r w:rsidRPr="00640D24">
        <w:rPr>
          <w:rFonts w:cs="Times New Roman"/>
          <w:sz w:val="22"/>
          <w:szCs w:val="22"/>
        </w:rPr>
        <w:t xml:space="preserve">, o 2020 m. II </w:t>
      </w:r>
      <w:proofErr w:type="spellStart"/>
      <w:r w:rsidRPr="00640D24">
        <w:rPr>
          <w:rFonts w:cs="Times New Roman"/>
          <w:sz w:val="22"/>
          <w:szCs w:val="22"/>
        </w:rPr>
        <w:t>ketv</w:t>
      </w:r>
      <w:proofErr w:type="spellEnd"/>
      <w:r w:rsidRPr="00640D24">
        <w:rPr>
          <w:rFonts w:cs="Times New Roman"/>
          <w:sz w:val="22"/>
          <w:szCs w:val="22"/>
        </w:rPr>
        <w:t xml:space="preserve">. duomenimis skaičiuojama, kad sieks 1 700,09 mln. </w:t>
      </w:r>
      <w:proofErr w:type="spellStart"/>
      <w:r w:rsidRPr="00640D24">
        <w:rPr>
          <w:rFonts w:cs="Times New Roman"/>
          <w:sz w:val="22"/>
          <w:szCs w:val="22"/>
        </w:rPr>
        <w:t>Eur</w:t>
      </w:r>
      <w:proofErr w:type="spellEnd"/>
      <w:r w:rsidRPr="00640D24">
        <w:rPr>
          <w:rFonts w:cs="Times New Roman"/>
          <w:sz w:val="22"/>
          <w:szCs w:val="22"/>
        </w:rPr>
        <w:t xml:space="preserve">. Atsižvelgiant į pateiktus duomenis – TUI dalis MTEPI veikloms vykdyti auga. </w:t>
      </w:r>
    </w:p>
    <w:p w14:paraId="419D8159" w14:textId="77777777" w:rsidR="00F01F6B" w:rsidRPr="00640D24" w:rsidRDefault="00F01F6B" w:rsidP="00F01F6B">
      <w:pPr>
        <w:spacing w:before="60" w:after="60" w:line="240" w:lineRule="auto"/>
        <w:ind w:firstLine="567"/>
        <w:jc w:val="both"/>
        <w:rPr>
          <w:rFonts w:cs="Times New Roman"/>
          <w:sz w:val="22"/>
          <w:szCs w:val="22"/>
        </w:rPr>
      </w:pPr>
      <w:r w:rsidRPr="00640D24">
        <w:rPr>
          <w:rFonts w:cs="Times New Roman"/>
          <w:sz w:val="22"/>
          <w:szCs w:val="22"/>
        </w:rPr>
        <w:t xml:space="preserve">Atlikto tyrimo „Investicijos į MTEP ir </w:t>
      </w:r>
      <w:proofErr w:type="spellStart"/>
      <w:r w:rsidRPr="00640D24">
        <w:rPr>
          <w:rFonts w:cs="Times New Roman"/>
          <w:sz w:val="22"/>
          <w:szCs w:val="22"/>
        </w:rPr>
        <w:t>inovatyviosios</w:t>
      </w:r>
      <w:proofErr w:type="spellEnd"/>
      <w:r w:rsidRPr="00640D24">
        <w:rPr>
          <w:rFonts w:cs="Times New Roman"/>
          <w:sz w:val="22"/>
          <w:szCs w:val="22"/>
        </w:rPr>
        <w:t xml:space="preserve"> bei sumaniosios ekonomikos vystymą: pasiekimų, išmoktų pamokų ir išliekančių plėtros poreikių žemėlapis“ metu buvo nustatyta, kad šiuo metu, siekiant pritraukti jų MTEP veiklas vykdančius ir aukštesnės pridėtinės vertės produktus kuriančius padalinius, reikalingos papildomos paskatos. Taip pat, nustatyta, kad šiuo metu trūksta vėlesnės priežiūros (angl. </w:t>
      </w:r>
      <w:r w:rsidRPr="00640D24">
        <w:rPr>
          <w:rFonts w:cs="Times New Roman"/>
          <w:i/>
          <w:iCs/>
          <w:sz w:val="22"/>
          <w:szCs w:val="22"/>
          <w:lang w:val="en-US"/>
        </w:rPr>
        <w:t>aftercare</w:t>
      </w:r>
      <w:r w:rsidRPr="00640D24">
        <w:rPr>
          <w:rFonts w:cs="Times New Roman"/>
          <w:sz w:val="22"/>
          <w:szCs w:val="22"/>
        </w:rPr>
        <w:t xml:space="preserve">) paslaugų. </w:t>
      </w:r>
    </w:p>
    <w:p w14:paraId="6E256D21" w14:textId="565C56DA" w:rsidR="007216DF" w:rsidRPr="00640D24" w:rsidRDefault="00F01F6B" w:rsidP="001E5C0D">
      <w:pPr>
        <w:spacing w:before="60" w:after="60" w:line="240" w:lineRule="auto"/>
        <w:ind w:firstLine="567"/>
        <w:jc w:val="both"/>
        <w:rPr>
          <w:rFonts w:cs="Times New Roman"/>
          <w:sz w:val="22"/>
          <w:szCs w:val="22"/>
        </w:rPr>
      </w:pPr>
      <w:r w:rsidRPr="00640D24">
        <w:rPr>
          <w:rFonts w:cs="Times New Roman"/>
          <w:sz w:val="22"/>
          <w:szCs w:val="22"/>
        </w:rPr>
        <w:t xml:space="preserve">Pastebima, kad investicijos į LEZ teritorijų plėtrą davė teigiamų rezultatų – matoma, kad galimybės veiklą vykdyti LEZ turėjo tiesioginės įtakos pritraukiant investuotojus. </w:t>
      </w:r>
      <w:proofErr w:type="spellStart"/>
      <w:r w:rsidRPr="00640D24">
        <w:rPr>
          <w:rFonts w:cs="Times New Roman"/>
          <w:sz w:val="22"/>
          <w:szCs w:val="22"/>
        </w:rPr>
        <w:t>VšĮ</w:t>
      </w:r>
      <w:proofErr w:type="spellEnd"/>
      <w:r w:rsidRPr="00640D24">
        <w:rPr>
          <w:rFonts w:cs="Times New Roman"/>
          <w:sz w:val="22"/>
          <w:szCs w:val="22"/>
        </w:rPr>
        <w:t xml:space="preserve"> „Investuok Lietuvoje</w:t>
      </w:r>
      <w:r w:rsidR="00060C99" w:rsidRPr="00640D24">
        <w:rPr>
          <w:rFonts w:cs="Times New Roman"/>
          <w:sz w:val="22"/>
          <w:szCs w:val="22"/>
        </w:rPr>
        <w:t>“</w:t>
      </w:r>
      <w:r w:rsidRPr="00640D24">
        <w:rPr>
          <w:rFonts w:cs="Times New Roman"/>
          <w:sz w:val="22"/>
          <w:szCs w:val="22"/>
        </w:rPr>
        <w:t xml:space="preserve"> atliktos analizės duomenimis 2017 m. pabaigoje LEZ teritorijose ūkinę komercinę veiklą vykdė 52 įmonės, kuriose dirbo apie 5 000 darbuotojų. Buvo planuojama, kad į LEZ pritraukti investuotojai per ateinančius 5 metus darbuotojų skaičių veikiausiai padvigubins</w:t>
      </w:r>
      <w:r w:rsidRPr="00640D24">
        <w:rPr>
          <w:rStyle w:val="Puslapioinaosnuoroda"/>
          <w:rFonts w:cs="Times New Roman"/>
          <w:sz w:val="22"/>
          <w:szCs w:val="22"/>
        </w:rPr>
        <w:footnoteReference w:id="66"/>
      </w:r>
      <w:r w:rsidRPr="00640D24">
        <w:rPr>
          <w:rFonts w:cs="Times New Roman"/>
          <w:sz w:val="22"/>
          <w:szCs w:val="22"/>
        </w:rPr>
        <w:t>. Skaičiuojama, kad dalis šių įmonių būtų suinteresuotos papildoma valstybės paskata kurti ir vėliau diegti MTEPI produktus Lietuvoje ir taip sukurti darbo vietų tyrėjams</w:t>
      </w:r>
      <w:r w:rsidR="002C4260" w:rsidRPr="00640D24">
        <w:rPr>
          <w:rFonts w:cs="Times New Roman"/>
          <w:sz w:val="22"/>
          <w:szCs w:val="22"/>
        </w:rPr>
        <w:t xml:space="preserve">. </w:t>
      </w:r>
      <w:bookmarkStart w:id="64" w:name="_Hlk146198358"/>
    </w:p>
    <w:tbl>
      <w:tblPr>
        <w:tblStyle w:val="Lentelstinklelis"/>
        <w:tblW w:w="0" w:type="auto"/>
        <w:tblLook w:val="04A0" w:firstRow="1" w:lastRow="0" w:firstColumn="1" w:lastColumn="0" w:noHBand="0" w:noVBand="1"/>
      </w:tblPr>
      <w:tblGrid>
        <w:gridCol w:w="9628"/>
      </w:tblGrid>
      <w:tr w:rsidR="00F01F6B" w:rsidRPr="00640D24" w14:paraId="3BFA126A" w14:textId="77777777" w:rsidTr="00EB299F">
        <w:tc>
          <w:tcPr>
            <w:tcW w:w="9747" w:type="dxa"/>
          </w:tcPr>
          <w:p w14:paraId="64AC2AFD" w14:textId="0F6F4A79" w:rsidR="00F01F6B" w:rsidRPr="00640D24" w:rsidRDefault="00F01F6B" w:rsidP="00280FDF">
            <w:pPr>
              <w:spacing w:before="60" w:after="60" w:line="240" w:lineRule="auto"/>
              <w:ind w:firstLine="567"/>
              <w:jc w:val="both"/>
              <w:rPr>
                <w:rFonts w:cs="Times New Roman"/>
                <w:b/>
                <w:bCs/>
                <w:sz w:val="22"/>
                <w:szCs w:val="22"/>
                <w:lang w:val="lt-LT"/>
              </w:rPr>
            </w:pPr>
            <w:r w:rsidRPr="00640D24">
              <w:rPr>
                <w:rFonts w:cs="Times New Roman"/>
                <w:sz w:val="22"/>
                <w:szCs w:val="22"/>
                <w:lang w:val="lt-LT"/>
              </w:rPr>
              <w:t>Atsižvelgiant į pateiktas prielaidas, daroma išvada, kad investicijų poreikis 2021–2027 m.</w:t>
            </w:r>
            <w:r w:rsidR="003E1154" w:rsidRPr="00640D24">
              <w:rPr>
                <w:rFonts w:cs="Times New Roman"/>
                <w:sz w:val="22"/>
                <w:szCs w:val="22"/>
                <w:lang w:val="lt-LT"/>
              </w:rPr>
              <w:t xml:space="preserve"> ES SF programavimo laikotarpiu</w:t>
            </w:r>
            <w:r w:rsidRPr="00640D24">
              <w:rPr>
                <w:rFonts w:cs="Times New Roman"/>
                <w:sz w:val="22"/>
                <w:szCs w:val="22"/>
                <w:lang w:val="lt-LT"/>
              </w:rPr>
              <w:t xml:space="preserve"> išliks toks pat arba bus didesnis. Atliktų interviu metu buvo nustatyta, kad šiuo metu yra matomas daug didesnis poreikis investicijoms į MTEPI veiklas ir atsižvelgiant į tai, kad finansavimo poreikis yra skaičiuojamas septyniems metams, reikalingas tam tikras rezervas. Finansavimo poreikis 2021–202</w:t>
            </w:r>
            <w:r w:rsidR="003E1154" w:rsidRPr="00640D24">
              <w:rPr>
                <w:rFonts w:cs="Times New Roman"/>
                <w:sz w:val="22"/>
                <w:szCs w:val="22"/>
                <w:lang w:val="lt-LT"/>
              </w:rPr>
              <w:t>7</w:t>
            </w:r>
            <w:r w:rsidRPr="00640D24">
              <w:rPr>
                <w:rFonts w:cs="Times New Roman"/>
                <w:sz w:val="22"/>
                <w:szCs w:val="22"/>
                <w:lang w:val="lt-LT"/>
              </w:rPr>
              <w:t xml:space="preserve"> m. </w:t>
            </w:r>
            <w:r w:rsidR="003E1154" w:rsidRPr="00640D24">
              <w:rPr>
                <w:rFonts w:cs="Times New Roman"/>
                <w:sz w:val="22"/>
                <w:szCs w:val="22"/>
                <w:lang w:val="lt-LT"/>
              </w:rPr>
              <w:t xml:space="preserve">ES SF programavimo laikotarpiu </w:t>
            </w:r>
            <w:r w:rsidRPr="00640D24">
              <w:rPr>
                <w:rFonts w:cs="Times New Roman"/>
                <w:sz w:val="22"/>
                <w:szCs w:val="22"/>
                <w:lang w:val="lt-LT"/>
              </w:rPr>
              <w:t xml:space="preserve">galėtų siekti </w:t>
            </w:r>
            <w:r w:rsidRPr="00640D24">
              <w:rPr>
                <w:rFonts w:cs="Times New Roman"/>
                <w:b/>
                <w:bCs/>
                <w:sz w:val="22"/>
                <w:szCs w:val="22"/>
                <w:lang w:val="lt-LT"/>
              </w:rPr>
              <w:t xml:space="preserve">76,45 mln. </w:t>
            </w:r>
            <w:proofErr w:type="spellStart"/>
            <w:r w:rsidRPr="00640D24">
              <w:rPr>
                <w:rFonts w:cs="Times New Roman"/>
                <w:b/>
                <w:bCs/>
                <w:sz w:val="22"/>
                <w:szCs w:val="22"/>
                <w:lang w:val="lt-LT"/>
              </w:rPr>
              <w:t>Eur</w:t>
            </w:r>
            <w:proofErr w:type="spellEnd"/>
            <w:r w:rsidRPr="00640D24">
              <w:rPr>
                <w:rFonts w:cs="Times New Roman"/>
                <w:b/>
                <w:bCs/>
                <w:sz w:val="22"/>
                <w:szCs w:val="22"/>
                <w:lang w:val="lt-LT"/>
              </w:rPr>
              <w:t xml:space="preserve"> + 20 proc. rezervas. </w:t>
            </w:r>
          </w:p>
        </w:tc>
      </w:tr>
    </w:tbl>
    <w:p w14:paraId="59862A22" w14:textId="3B88AAFF" w:rsidR="00280FDF" w:rsidRPr="00640D24" w:rsidRDefault="00280FDF" w:rsidP="001E5C0D">
      <w:pPr>
        <w:pStyle w:val="Antrat3"/>
        <w:spacing w:before="120"/>
        <w:rPr>
          <w:b w:val="0"/>
        </w:rPr>
      </w:pPr>
      <w:bookmarkStart w:id="65" w:name="_Toc146812391"/>
      <w:bookmarkStart w:id="66" w:name="_Toc57307049"/>
      <w:bookmarkStart w:id="67" w:name="_Hlk56089497"/>
      <w:bookmarkEnd w:id="64"/>
      <w:r w:rsidRPr="00640D24">
        <w:rPr>
          <w:lang w:val="en-US"/>
        </w:rPr>
        <w:t>2.3.</w:t>
      </w:r>
      <w:r w:rsidR="00B769AD" w:rsidRPr="00640D24">
        <w:rPr>
          <w:lang w:val="en-US"/>
        </w:rPr>
        <w:t>5</w:t>
      </w:r>
      <w:r w:rsidRPr="00640D24">
        <w:rPr>
          <w:lang w:val="en-US"/>
        </w:rPr>
        <w:t xml:space="preserve">. </w:t>
      </w:r>
      <w:bookmarkStart w:id="68" w:name="_Hlk146263691"/>
      <w:r w:rsidRPr="00640D24">
        <w:t>Pramonės įmonių skatinimas</w:t>
      </w:r>
      <w:r w:rsidR="00551D20" w:rsidRPr="00640D24">
        <w:t xml:space="preserve"> ir konkurencingumo didinimas</w:t>
      </w:r>
      <w:bookmarkEnd w:id="65"/>
      <w:r w:rsidRPr="00640D24">
        <w:t xml:space="preserve"> </w:t>
      </w:r>
      <w:bookmarkEnd w:id="68"/>
    </w:p>
    <w:p w14:paraId="7A28D2CD" w14:textId="4BC5E84C" w:rsidR="00280FDF" w:rsidRPr="00640D24" w:rsidRDefault="00280FDF" w:rsidP="00280FDF">
      <w:pPr>
        <w:pStyle w:val="Antrat3"/>
        <w:spacing w:before="120"/>
      </w:pPr>
      <w:bookmarkStart w:id="69" w:name="_Toc146812392"/>
      <w:bookmarkStart w:id="70" w:name="_Toc57307046"/>
      <w:bookmarkStart w:id="71" w:name="_Hlk57203303"/>
      <w:bookmarkStart w:id="72" w:name="_Hlk54089285"/>
      <w:r w:rsidRPr="00640D24">
        <w:t>2.3.</w:t>
      </w:r>
      <w:r w:rsidR="00B769AD" w:rsidRPr="00640D24">
        <w:t>5</w:t>
      </w:r>
      <w:r w:rsidRPr="00640D24">
        <w:t xml:space="preserve">.1. </w:t>
      </w:r>
      <w:bookmarkStart w:id="73" w:name="_Hlk146227077"/>
      <w:r w:rsidRPr="00640D24">
        <w:t>Pramonės įmonių transformacijos skatinim</w:t>
      </w:r>
      <w:r w:rsidR="00B442C5" w:rsidRPr="00640D24">
        <w:t>as</w:t>
      </w:r>
      <w:r w:rsidRPr="00640D24">
        <w:t xml:space="preserve"> </w:t>
      </w:r>
      <w:bookmarkEnd w:id="73"/>
      <w:r w:rsidRPr="00640D24">
        <w:t>(technologinių inovacijų diegim</w:t>
      </w:r>
      <w:r w:rsidR="00B442C5" w:rsidRPr="00640D24">
        <w:t>as</w:t>
      </w:r>
      <w:r w:rsidRPr="00640D24">
        <w:t>)</w:t>
      </w:r>
      <w:bookmarkEnd w:id="69"/>
      <w:r w:rsidRPr="00640D24">
        <w:t xml:space="preserve"> </w:t>
      </w:r>
      <w:bookmarkEnd w:id="70"/>
    </w:p>
    <w:bookmarkEnd w:id="71"/>
    <w:bookmarkEnd w:id="72"/>
    <w:p w14:paraId="0B2BFD0F" w14:textId="77777777" w:rsidR="00280FDF" w:rsidRPr="00640D24" w:rsidRDefault="00280FDF" w:rsidP="00280FDF">
      <w:pPr>
        <w:spacing w:before="120" w:after="120" w:line="240" w:lineRule="auto"/>
        <w:ind w:left="360"/>
        <w:rPr>
          <w:rFonts w:cs="Times New Roman"/>
          <w:sz w:val="22"/>
          <w:szCs w:val="22"/>
        </w:rPr>
      </w:pPr>
      <w:r w:rsidRPr="00640D24">
        <w:rPr>
          <w:rFonts w:cs="Times New Roman"/>
          <w:i/>
          <w:iCs/>
          <w:sz w:val="22"/>
          <w:szCs w:val="22"/>
        </w:rPr>
        <w:t>Investicijų paklausos analizė</w:t>
      </w:r>
    </w:p>
    <w:p w14:paraId="3197E238" w14:textId="0056652A" w:rsidR="00280FDF" w:rsidRPr="00640D24" w:rsidRDefault="00280FDF" w:rsidP="00280FDF">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0"/>
        </w:rPr>
        <w:t xml:space="preserve">Pramonės sektoriuje veikiančios įmonės technologinių inovacijų diegimui buvo skatinamos negrąžinamųjų subsidijų forma. </w:t>
      </w:r>
      <w:r w:rsidRPr="00640D24">
        <w:rPr>
          <w:rFonts w:cs="Times New Roman"/>
          <w:sz w:val="22"/>
          <w:szCs w:val="22"/>
        </w:rPr>
        <w:t>Pramonės transformacijos skatinimui ir investicijoms į technologines inovacijas buvo paskelbti keturi priemonės Nr. 03.3.2</w:t>
      </w:r>
      <w:r w:rsidR="00645085" w:rsidRPr="00640D24">
        <w:rPr>
          <w:rFonts w:cs="Times New Roman"/>
          <w:sz w:val="22"/>
          <w:szCs w:val="22"/>
        </w:rPr>
        <w:t>–</w:t>
      </w:r>
      <w:r w:rsidRPr="00640D24">
        <w:rPr>
          <w:rFonts w:cs="Times New Roman"/>
          <w:sz w:val="22"/>
          <w:szCs w:val="22"/>
        </w:rPr>
        <w:t>LVPA</w:t>
      </w:r>
      <w:r w:rsidR="00645085" w:rsidRPr="00640D24">
        <w:rPr>
          <w:rFonts w:cs="Times New Roman"/>
          <w:sz w:val="22"/>
          <w:szCs w:val="22"/>
        </w:rPr>
        <w:t>–</w:t>
      </w:r>
      <w:r w:rsidRPr="00640D24">
        <w:rPr>
          <w:rFonts w:cs="Times New Roman"/>
          <w:sz w:val="22"/>
          <w:szCs w:val="22"/>
        </w:rPr>
        <w:t>K</w:t>
      </w:r>
      <w:r w:rsidR="00645085" w:rsidRPr="00640D24">
        <w:rPr>
          <w:rFonts w:cs="Times New Roman"/>
          <w:sz w:val="22"/>
          <w:szCs w:val="22"/>
        </w:rPr>
        <w:t>–</w:t>
      </w:r>
      <w:r w:rsidRPr="00640D24">
        <w:rPr>
          <w:rFonts w:cs="Times New Roman"/>
          <w:sz w:val="22"/>
          <w:szCs w:val="22"/>
        </w:rPr>
        <w:t>837 „</w:t>
      </w:r>
      <w:proofErr w:type="spellStart"/>
      <w:r w:rsidRPr="00640D24">
        <w:rPr>
          <w:rFonts w:cs="Times New Roman"/>
          <w:sz w:val="22"/>
          <w:szCs w:val="22"/>
        </w:rPr>
        <w:t>Eco</w:t>
      </w:r>
      <w:proofErr w:type="spellEnd"/>
      <w:r w:rsidR="00645085" w:rsidRPr="00640D24">
        <w:rPr>
          <w:rFonts w:cs="Times New Roman"/>
          <w:sz w:val="22"/>
          <w:szCs w:val="22"/>
        </w:rPr>
        <w:t>–</w:t>
      </w:r>
      <w:r w:rsidRPr="00640D24">
        <w:rPr>
          <w:rFonts w:cs="Times New Roman"/>
          <w:sz w:val="22"/>
          <w:szCs w:val="22"/>
        </w:rPr>
        <w:t>inovacijos LT+“ kvietimai. Šiais kvietimais pramonės MVĮ buvo skatinamos įsidiegti naujus ar ženkliai pagerintus gaminius ir (arba) paslaugas arba pagerinti technologinius procesus, kuriuos įdiegus mažėja neigiamas ūkinės veiklos poveikis aplinkai, skatinama pramonės simbiozė ir užtikrinamas tęstinis aplinkos apsaugos efektas, diegimas įmonėje.</w:t>
      </w:r>
    </w:p>
    <w:p w14:paraId="2ACE59E8" w14:textId="7F940024" w:rsidR="00280FDF" w:rsidRPr="00640D24" w:rsidRDefault="00280FDF" w:rsidP="00280FDF">
      <w:pPr>
        <w:autoSpaceDE w:val="0"/>
        <w:autoSpaceDN w:val="0"/>
        <w:adjustRightInd w:val="0"/>
        <w:spacing w:before="60" w:after="60" w:line="240" w:lineRule="auto"/>
        <w:ind w:firstLine="567"/>
        <w:jc w:val="both"/>
        <w:rPr>
          <w:rFonts w:cs="Times New Roman"/>
          <w:sz w:val="22"/>
          <w:szCs w:val="22"/>
        </w:rPr>
      </w:pPr>
      <w:r w:rsidRPr="00640D24">
        <w:rPr>
          <w:rFonts w:cs="Times New Roman"/>
          <w:noProof/>
          <w:sz w:val="22"/>
          <w:szCs w:val="22"/>
          <w:lang w:eastAsia="lt-LT"/>
        </w:rPr>
        <w:lastRenderedPageBreak/>
        <mc:AlternateContent>
          <mc:Choice Requires="wps">
            <w:drawing>
              <wp:anchor distT="0" distB="0" distL="114300" distR="114300" simplePos="0" relativeHeight="251658254" behindDoc="0" locked="0" layoutInCell="1" allowOverlap="1" wp14:anchorId="41796D2B" wp14:editId="4F6E988B">
                <wp:simplePos x="0" y="0"/>
                <wp:positionH relativeFrom="margin">
                  <wp:posOffset>0</wp:posOffset>
                </wp:positionH>
                <wp:positionV relativeFrom="paragraph">
                  <wp:posOffset>2848610</wp:posOffset>
                </wp:positionV>
                <wp:extent cx="6112510" cy="349250"/>
                <wp:effectExtent l="0" t="0" r="2540" b="0"/>
                <wp:wrapTight wrapText="bothSides">
                  <wp:wrapPolygon edited="0">
                    <wp:start x="0" y="0"/>
                    <wp:lineTo x="0" y="20029"/>
                    <wp:lineTo x="21542" y="20029"/>
                    <wp:lineTo x="21542" y="0"/>
                    <wp:lineTo x="0" y="0"/>
                  </wp:wrapPolygon>
                </wp:wrapTight>
                <wp:docPr id="44" name="Text Box 44"/>
                <wp:cNvGraphicFramePr/>
                <a:graphic xmlns:a="http://schemas.openxmlformats.org/drawingml/2006/main">
                  <a:graphicData uri="http://schemas.microsoft.com/office/word/2010/wordprocessingShape">
                    <wps:wsp>
                      <wps:cNvSpPr txBox="1"/>
                      <wps:spPr>
                        <a:xfrm>
                          <a:off x="0" y="0"/>
                          <a:ext cx="6112510" cy="349250"/>
                        </a:xfrm>
                        <a:prstGeom prst="rect">
                          <a:avLst/>
                        </a:prstGeom>
                        <a:solidFill>
                          <a:prstClr val="white"/>
                        </a:solidFill>
                        <a:ln>
                          <a:noFill/>
                        </a:ln>
                      </wps:spPr>
                      <wps:txbx>
                        <w:txbxContent>
                          <w:p w14:paraId="1A8C6894" w14:textId="62DD5CBE" w:rsidR="00EC688C" w:rsidRPr="006367A2" w:rsidRDefault="00EC688C" w:rsidP="00280FDF">
                            <w:pPr>
                              <w:pStyle w:val="Antrat"/>
                              <w:ind w:firstLine="0"/>
                              <w:rPr>
                                <w:szCs w:val="24"/>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w:t>
                            </w:r>
                            <w:r>
                              <w:rPr>
                                <w:b w:val="0"/>
                                <w:bCs w:val="0"/>
                                <w:i/>
                                <w:iCs/>
                                <w:color w:val="auto"/>
                                <w:sz w:val="22"/>
                                <w:szCs w:val="16"/>
                                <w:lang w:val="en-US"/>
                              </w:rPr>
                              <w:t>7.</w:t>
                            </w:r>
                            <w:r w:rsidRPr="00C544DD">
                              <w:rPr>
                                <w:b w:val="0"/>
                                <w:bCs w:val="0"/>
                                <w:i/>
                                <w:iCs/>
                                <w:color w:val="auto"/>
                                <w:sz w:val="22"/>
                                <w:szCs w:val="16"/>
                              </w:rPr>
                              <w:t xml:space="preserve"> </w:t>
                            </w:r>
                            <w:r>
                              <w:rPr>
                                <w:b w:val="0"/>
                                <w:bCs w:val="0"/>
                                <w:i/>
                                <w:iCs/>
                                <w:color w:val="auto"/>
                                <w:sz w:val="22"/>
                                <w:szCs w:val="16"/>
                              </w:rPr>
                              <w:t>Informacija apie skirtingus kvietimus priemonei „Eco–inovacijos LT+“</w:t>
                            </w:r>
                            <w:r w:rsidRPr="004341F5">
                              <w:rPr>
                                <w:b w:val="0"/>
                                <w:bCs w:val="0"/>
                                <w:i/>
                                <w:iCs/>
                                <w:color w:val="auto"/>
                                <w:sz w:val="22"/>
                                <w:szCs w:val="16"/>
                              </w:rPr>
                              <w:t>.</w:t>
                            </w:r>
                            <w:r>
                              <w:rPr>
                                <w:b w:val="0"/>
                                <w:bCs w:val="0"/>
                                <w:i/>
                                <w:iCs/>
                                <w:color w:val="auto"/>
                                <w:sz w:val="22"/>
                                <w:szCs w:val="16"/>
                              </w:rPr>
                              <w:t xml:space="preserve"> 2020 m. rugsėjo mėn. duomenimis.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796D2B" id="Text Box 44" o:spid="_x0000_s1029" type="#_x0000_t202" style="position:absolute;left:0;text-align:left;margin-left:0;margin-top:224.3pt;width:481.3pt;height:27.5pt;z-index:25165825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" stroked="f">
                <v:textbox inset="0,0,0,0">
                  <w:txbxContent>
                    <w:p w14:paraId="1A8C6894" w14:textId="62DD5CBE" w:rsidR="00EC688C" w:rsidRPr="006367A2" w:rsidRDefault="00EC688C" w:rsidP="00280FDF">
                      <w:pPr>
                        <w:pStyle w:val="Antrat"/>
                        <w:ind w:firstLine="0"/>
                        <w:rPr>
                          <w:szCs w:val="24"/>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w:t>
                      </w:r>
                      <w:r>
                        <w:rPr>
                          <w:b w:val="0"/>
                          <w:bCs w:val="0"/>
                          <w:i/>
                          <w:iCs/>
                          <w:color w:val="auto"/>
                          <w:sz w:val="22"/>
                          <w:szCs w:val="16"/>
                          <w:lang w:val="en-US"/>
                        </w:rPr>
                        <w:t>7.</w:t>
                      </w:r>
                      <w:r w:rsidRPr="00C544DD">
                        <w:rPr>
                          <w:b w:val="0"/>
                          <w:bCs w:val="0"/>
                          <w:i/>
                          <w:iCs/>
                          <w:color w:val="auto"/>
                          <w:sz w:val="22"/>
                          <w:szCs w:val="16"/>
                        </w:rPr>
                        <w:t xml:space="preserve"> </w:t>
                      </w:r>
                      <w:r>
                        <w:rPr>
                          <w:b w:val="0"/>
                          <w:bCs w:val="0"/>
                          <w:i/>
                          <w:iCs/>
                          <w:color w:val="auto"/>
                          <w:sz w:val="22"/>
                          <w:szCs w:val="16"/>
                        </w:rPr>
                        <w:t>Informacija apie skirtingus kvietimus priemonei „Eco–inovacijos LT+“</w:t>
                      </w:r>
                      <w:r w:rsidRPr="004341F5">
                        <w:rPr>
                          <w:b w:val="0"/>
                          <w:bCs w:val="0"/>
                          <w:i/>
                          <w:iCs/>
                          <w:color w:val="auto"/>
                          <w:sz w:val="22"/>
                          <w:szCs w:val="16"/>
                        </w:rPr>
                        <w:t>.</w:t>
                      </w:r>
                      <w:r>
                        <w:rPr>
                          <w:b w:val="0"/>
                          <w:bCs w:val="0"/>
                          <w:i/>
                          <w:iCs/>
                          <w:color w:val="auto"/>
                          <w:sz w:val="22"/>
                          <w:szCs w:val="16"/>
                        </w:rPr>
                        <w:t xml:space="preserve"> 2020 m. rugsėjo mėn. duomenimis.</w:t>
                      </w:r>
                    </w:p>
                  </w:txbxContent>
                </v:textbox>
                <w10:wrap type="tight" anchorx="margin"/>
              </v:shape>
            </w:pict>
          </mc:Fallback>
        </mc:AlternateContent>
      </w:r>
      <w:r w:rsidRPr="00640D24">
        <w:rPr>
          <w:rFonts w:cs="Times New Roman"/>
          <w:noProof/>
          <w:sz w:val="22"/>
          <w:szCs w:val="22"/>
          <w:lang w:eastAsia="lt-LT"/>
        </w:rPr>
        <mc:AlternateContent>
          <mc:Choice Requires="wps">
            <w:drawing>
              <wp:anchor distT="45720" distB="45720" distL="114300" distR="114300" simplePos="0" relativeHeight="251658252" behindDoc="0" locked="0" layoutInCell="1" allowOverlap="1" wp14:anchorId="2F62D0EB" wp14:editId="57D1FC84">
                <wp:simplePos x="0" y="0"/>
                <wp:positionH relativeFrom="page">
                  <wp:posOffset>7186295</wp:posOffset>
                </wp:positionH>
                <wp:positionV relativeFrom="paragraph">
                  <wp:posOffset>796925</wp:posOffset>
                </wp:positionV>
                <wp:extent cx="1144270" cy="1404620"/>
                <wp:effectExtent l="0" t="0" r="0" b="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144270" cy="1404620"/>
                        </a:xfrm>
                        <a:prstGeom prst="rect">
                          <a:avLst/>
                        </a:prstGeom>
                        <a:noFill/>
                        <a:ln w="9525">
                          <a:noFill/>
                          <a:miter lim="800000"/>
                          <a:headEnd/>
                          <a:tailEnd/>
                        </a:ln>
                      </wps:spPr>
                      <wps:txbx>
                        <w:txbxContent>
                          <w:p w14:paraId="1794AA71" w14:textId="77777777" w:rsidR="00EC688C" w:rsidRPr="007B72D8" w:rsidRDefault="00EC688C" w:rsidP="00280FDF">
                            <w:pPr>
                              <w:rPr>
                                <w:sz w:val="16"/>
                                <w:szCs w:val="16"/>
                              </w:rPr>
                            </w:pPr>
                            <w:r>
                              <w:rPr>
                                <w:sz w:val="16"/>
                                <w:szCs w:val="16"/>
                              </w:rPr>
                              <w:t>Įmonių skaičius, vnt.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F62D0EB" id="Text Box 42" o:spid="_x0000_s1030" type="#_x0000_t202" style="position:absolute;left:0;text-align:left;margin-left:565.85pt;margin-top:62.75pt;width:90.1pt;height:110.6pt;rotation:90;z-index:2516582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" filled="f" stroked="f">
                <v:textbox style="mso-fit-shape-to-text:t">
                  <w:txbxContent>
                    <w:p w14:paraId="1794AA71" w14:textId="77777777" w:rsidR="00EC688C" w:rsidRPr="007B72D8" w:rsidRDefault="00EC688C" w:rsidP="00280FDF">
                      <w:pPr>
                        <w:rPr>
                          <w:sz w:val="16"/>
                          <w:szCs w:val="16"/>
                        </w:rPr>
                      </w:pPr>
                      <w:r>
                        <w:rPr>
                          <w:sz w:val="16"/>
                          <w:szCs w:val="16"/>
                        </w:rPr>
                        <w:t>Įmonių skaičius, vnt.</w:t>
                      </w:r>
                    </w:p>
                  </w:txbxContent>
                </v:textbox>
                <w10:wrap type="square" anchorx="page"/>
              </v:shape>
            </w:pict>
          </mc:Fallback>
        </mc:AlternateContent>
      </w:r>
      <w:r w:rsidRPr="00640D24">
        <w:rPr>
          <w:rFonts w:cs="Times New Roman"/>
          <w:noProof/>
          <w:sz w:val="22"/>
          <w:szCs w:val="22"/>
          <w:lang w:eastAsia="lt-LT"/>
        </w:rPr>
        <mc:AlternateContent>
          <mc:Choice Requires="wps">
            <w:drawing>
              <wp:anchor distT="45720" distB="45720" distL="114300" distR="114300" simplePos="0" relativeHeight="251658250" behindDoc="0" locked="0" layoutInCell="1" allowOverlap="1" wp14:anchorId="7619A794" wp14:editId="2C7840CB">
                <wp:simplePos x="0" y="0"/>
                <wp:positionH relativeFrom="column">
                  <wp:posOffset>-64135</wp:posOffset>
                </wp:positionH>
                <wp:positionV relativeFrom="paragraph">
                  <wp:posOffset>760730</wp:posOffset>
                </wp:positionV>
                <wp:extent cx="1105535" cy="1404620"/>
                <wp:effectExtent l="0" t="0" r="0" b="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05535" cy="1404620"/>
                        </a:xfrm>
                        <a:prstGeom prst="rect">
                          <a:avLst/>
                        </a:prstGeom>
                        <a:noFill/>
                        <a:ln w="9525">
                          <a:noFill/>
                          <a:miter lim="800000"/>
                          <a:headEnd/>
                          <a:tailEnd/>
                        </a:ln>
                      </wps:spPr>
                      <wps:txbx>
                        <w:txbxContent>
                          <w:p w14:paraId="3D5B7F20" w14:textId="77777777" w:rsidR="00EC688C" w:rsidRPr="007B72D8" w:rsidRDefault="00EC688C" w:rsidP="00280FDF">
                            <w:pPr>
                              <w:rPr>
                                <w:sz w:val="16"/>
                                <w:szCs w:val="16"/>
                              </w:rPr>
                            </w:pPr>
                            <w:r w:rsidRPr="007B72D8">
                              <w:rPr>
                                <w:sz w:val="16"/>
                                <w:szCs w:val="16"/>
                              </w:rPr>
                              <w:t>ES SF suma</w:t>
                            </w:r>
                            <w:r>
                              <w:rPr>
                                <w:sz w:val="16"/>
                                <w:szCs w:val="16"/>
                              </w:rPr>
                              <w:t>, mln. Eur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619A794" id="Text Box 25" o:spid="_x0000_s1031" type="#_x0000_t202" style="position:absolute;left:0;text-align:left;margin-left:-5.05pt;margin-top:59.9pt;width:87.05pt;height:110.6pt;rotation:-90;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" filled="f" stroked="f">
                <v:textbox style="mso-fit-shape-to-text:t">
                  <w:txbxContent>
                    <w:p w14:paraId="3D5B7F20" w14:textId="77777777" w:rsidR="00EC688C" w:rsidRPr="007B72D8" w:rsidRDefault="00EC688C" w:rsidP="00280FDF">
                      <w:pPr>
                        <w:rPr>
                          <w:sz w:val="16"/>
                          <w:szCs w:val="16"/>
                        </w:rPr>
                      </w:pPr>
                      <w:r w:rsidRPr="007B72D8">
                        <w:rPr>
                          <w:sz w:val="16"/>
                          <w:szCs w:val="16"/>
                        </w:rPr>
                        <w:t>ES SF suma</w:t>
                      </w:r>
                      <w:r>
                        <w:rPr>
                          <w:sz w:val="16"/>
                          <w:szCs w:val="16"/>
                        </w:rPr>
                        <w:t>, mln. Eur</w:t>
                      </w:r>
                    </w:p>
                  </w:txbxContent>
                </v:textbox>
                <w10:wrap type="square"/>
              </v:shape>
            </w:pict>
          </mc:Fallback>
        </mc:AlternateContent>
      </w:r>
      <w:r w:rsidRPr="00640D24">
        <w:rPr>
          <w:rFonts w:cs="Times New Roman"/>
          <w:sz w:val="22"/>
          <w:szCs w:val="22"/>
        </w:rPr>
        <w:t>Lyginant su 2016 m., kuomet buvo paskelbtas pirmasis „</w:t>
      </w:r>
      <w:proofErr w:type="spellStart"/>
      <w:r w:rsidRPr="00640D24">
        <w:rPr>
          <w:rFonts w:cs="Times New Roman"/>
          <w:sz w:val="22"/>
          <w:szCs w:val="22"/>
        </w:rPr>
        <w:t>Eco</w:t>
      </w:r>
      <w:proofErr w:type="spellEnd"/>
      <w:r w:rsidR="00645085" w:rsidRPr="00640D24">
        <w:rPr>
          <w:rFonts w:cs="Times New Roman"/>
          <w:sz w:val="22"/>
          <w:szCs w:val="22"/>
        </w:rPr>
        <w:t>–</w:t>
      </w:r>
      <w:r w:rsidRPr="00640D24">
        <w:rPr>
          <w:rFonts w:cs="Times New Roman"/>
          <w:sz w:val="22"/>
          <w:szCs w:val="22"/>
        </w:rPr>
        <w:t>inovacijos LT+“ kvietimas, įmonių susidomėjimas šia priemone išaugo. Įvertinus kvietime Nr. 3 pateiktas paraiškas EIM skyrė papildomų lėšų projektams finansuoti, todėl buvo paskel</w:t>
      </w:r>
      <w:r w:rsidR="006F7815" w:rsidRPr="00640D24">
        <w:rPr>
          <w:rFonts w:cs="Times New Roman"/>
          <w:sz w:val="22"/>
          <w:szCs w:val="22"/>
        </w:rPr>
        <w:t>b</w:t>
      </w:r>
      <w:r w:rsidRPr="00640D24">
        <w:rPr>
          <w:rFonts w:cs="Times New Roman"/>
          <w:sz w:val="22"/>
          <w:szCs w:val="22"/>
        </w:rPr>
        <w:t>tas kvietimas Nr. 4. Atsižvelgiant į tai, žemiau pateikiami duomenys rodo, kad potencialiai dėl COVID</w:t>
      </w:r>
      <w:r w:rsidR="00645085" w:rsidRPr="00640D24">
        <w:rPr>
          <w:rFonts w:cs="Times New Roman"/>
          <w:sz w:val="22"/>
          <w:szCs w:val="22"/>
        </w:rPr>
        <w:t>–</w:t>
      </w:r>
      <w:r w:rsidRPr="00640D24">
        <w:rPr>
          <w:rFonts w:cs="Times New Roman"/>
          <w:sz w:val="22"/>
          <w:szCs w:val="22"/>
        </w:rPr>
        <w:t xml:space="preserve">19 pasekmių pateiktų paraiškų skaičius yra nežymiai mažesnis, tačiau bendra </w:t>
      </w:r>
      <w:r w:rsidRPr="00640D24">
        <w:rPr>
          <w:rFonts w:cs="Times New Roman"/>
          <w:noProof/>
          <w:lang w:eastAsia="lt-LT"/>
        </w:rPr>
        <w:drawing>
          <wp:anchor distT="0" distB="0" distL="114300" distR="114300" simplePos="0" relativeHeight="251658248" behindDoc="0" locked="0" layoutInCell="1" allowOverlap="1" wp14:anchorId="73726FB3" wp14:editId="71F0F0E8">
            <wp:simplePos x="0" y="0"/>
            <wp:positionH relativeFrom="margin">
              <wp:posOffset>1270</wp:posOffset>
            </wp:positionH>
            <wp:positionV relativeFrom="paragraph">
              <wp:posOffset>735965</wp:posOffset>
            </wp:positionV>
            <wp:extent cx="6124575" cy="2397760"/>
            <wp:effectExtent l="0" t="0" r="0" b="2540"/>
            <wp:wrapSquare wrapText="bothSides"/>
            <wp:docPr id="43" name="Chart 43">
              <a:extLst xmlns:a="http://schemas.openxmlformats.org/drawingml/2006/main">
                <a:ext uri="{FF2B5EF4-FFF2-40B4-BE49-F238E27FC236}">
                  <a16:creationId xmlns:a16="http://schemas.microsoft.com/office/drawing/2014/main" id="{E2893538-018E-4977-A6F0-A8DCCBFD5C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640D24">
        <w:rPr>
          <w:rFonts w:cs="Times New Roman"/>
          <w:sz w:val="22"/>
          <w:szCs w:val="22"/>
        </w:rPr>
        <w:t>prašoma paramos suma yra didesnė nei buvo numatyta iš pradžių.</w:t>
      </w:r>
      <w:r w:rsidRPr="00640D24">
        <w:rPr>
          <w:rStyle w:val="Puslapioinaosnuoroda"/>
          <w:rFonts w:cs="Times New Roman"/>
          <w:sz w:val="22"/>
          <w:szCs w:val="22"/>
        </w:rPr>
        <w:footnoteReference w:id="67"/>
      </w:r>
      <w:r w:rsidRPr="00640D24">
        <w:rPr>
          <w:rFonts w:cs="Times New Roman"/>
          <w:sz w:val="22"/>
          <w:szCs w:val="22"/>
        </w:rPr>
        <w:t xml:space="preserve"> </w:t>
      </w:r>
    </w:p>
    <w:p w14:paraId="495BF1C5" w14:textId="19230AC0" w:rsidR="00280FDF" w:rsidRPr="00640D24" w:rsidRDefault="00280FDF" w:rsidP="00280FDF">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0"/>
        </w:rPr>
        <w:t>Lietuvos verslo paramos agentūros (toliau – LVPA) teigimu</w:t>
      </w:r>
      <w:r w:rsidRPr="00640D24">
        <w:rPr>
          <w:rFonts w:cs="Times New Roman"/>
          <w:sz w:val="22"/>
          <w:szCs w:val="20"/>
          <w:vertAlign w:val="superscript"/>
        </w:rPr>
        <w:footnoteReference w:id="68"/>
      </w:r>
      <w:r w:rsidRPr="00640D24">
        <w:rPr>
          <w:rFonts w:cs="Times New Roman"/>
          <w:sz w:val="22"/>
          <w:szCs w:val="20"/>
          <w:vertAlign w:val="superscript"/>
        </w:rPr>
        <w:t xml:space="preserve"> </w:t>
      </w:r>
      <w:r w:rsidRPr="00640D24">
        <w:rPr>
          <w:rFonts w:cs="Times New Roman"/>
          <w:sz w:val="22"/>
          <w:szCs w:val="20"/>
        </w:rPr>
        <w:t>remiantis 2014</w:t>
      </w:r>
      <w:r w:rsidRPr="00640D24">
        <w:rPr>
          <w:rFonts w:cs="Times New Roman"/>
          <w:sz w:val="22"/>
          <w:szCs w:val="22"/>
        </w:rPr>
        <w:t>–</w:t>
      </w:r>
      <w:r w:rsidRPr="00640D24">
        <w:rPr>
          <w:rFonts w:cs="Times New Roman"/>
          <w:sz w:val="22"/>
          <w:szCs w:val="20"/>
        </w:rPr>
        <w:t>2020 m. buvusių kvietimų „</w:t>
      </w:r>
      <w:proofErr w:type="spellStart"/>
      <w:r w:rsidRPr="00640D24">
        <w:rPr>
          <w:rFonts w:cs="Times New Roman"/>
          <w:sz w:val="22"/>
          <w:szCs w:val="20"/>
        </w:rPr>
        <w:t>Eco</w:t>
      </w:r>
      <w:proofErr w:type="spellEnd"/>
      <w:r w:rsidR="00645085" w:rsidRPr="00640D24">
        <w:rPr>
          <w:rFonts w:cs="Times New Roman"/>
          <w:sz w:val="22"/>
          <w:szCs w:val="20"/>
        </w:rPr>
        <w:t>–</w:t>
      </w:r>
      <w:r w:rsidRPr="00640D24">
        <w:rPr>
          <w:rFonts w:cs="Times New Roman"/>
          <w:sz w:val="22"/>
          <w:szCs w:val="20"/>
        </w:rPr>
        <w:t>inovacijos LT“ ir „</w:t>
      </w:r>
      <w:proofErr w:type="spellStart"/>
      <w:r w:rsidRPr="00640D24">
        <w:rPr>
          <w:rFonts w:cs="Times New Roman"/>
          <w:sz w:val="22"/>
          <w:szCs w:val="20"/>
        </w:rPr>
        <w:t>Eco</w:t>
      </w:r>
      <w:proofErr w:type="spellEnd"/>
      <w:r w:rsidR="00645085" w:rsidRPr="00640D24">
        <w:rPr>
          <w:rFonts w:cs="Times New Roman"/>
          <w:sz w:val="22"/>
          <w:szCs w:val="20"/>
        </w:rPr>
        <w:t>–</w:t>
      </w:r>
      <w:r w:rsidRPr="00640D24">
        <w:rPr>
          <w:rFonts w:cs="Times New Roman"/>
          <w:sz w:val="22"/>
          <w:szCs w:val="20"/>
        </w:rPr>
        <w:t>inovacijos LT+“ patirtimi pramonės įmonių susidomėjimas ekologinėmis inovacijomis vis didėja. Pagal patvirtintus finansavimo projektus, pateiktus trijuose, iki šiol įgyvendintuose, „</w:t>
      </w:r>
      <w:proofErr w:type="spellStart"/>
      <w:r w:rsidRPr="00640D24">
        <w:rPr>
          <w:rFonts w:cs="Times New Roman"/>
          <w:sz w:val="22"/>
          <w:szCs w:val="20"/>
        </w:rPr>
        <w:t>Eco</w:t>
      </w:r>
      <w:proofErr w:type="spellEnd"/>
      <w:r w:rsidR="00645085" w:rsidRPr="00640D24">
        <w:rPr>
          <w:rFonts w:cs="Times New Roman"/>
          <w:sz w:val="22"/>
          <w:szCs w:val="20"/>
        </w:rPr>
        <w:t>–</w:t>
      </w:r>
      <w:r w:rsidRPr="00640D24">
        <w:rPr>
          <w:rFonts w:cs="Times New Roman"/>
          <w:sz w:val="22"/>
          <w:szCs w:val="20"/>
        </w:rPr>
        <w:t xml:space="preserve">inovacijos LT+“ kvietimuose, pirmavo Vilniaus (47 projektai) ir Kauno (37) apskričių verslininkai. Gerokai atsilikusios nuo jų Panevėžio (10), Šiaulių (10) apskritys. Klaipėdos apskritis atsidūrė tik penktoje vietoje (7). Iš viso tinkamais finansuoti buvo pripažinti 126 projektai. </w:t>
      </w:r>
      <w:r w:rsidRPr="00640D24">
        <w:rPr>
          <w:rFonts w:cs="Times New Roman"/>
          <w:sz w:val="22"/>
          <w:szCs w:val="22"/>
        </w:rPr>
        <w:t xml:space="preserve">2014–2020 m. prašoma suma (tik Vidurio ir Vakarų Lietuvoje registruotų įmonių) siekė 81,89 mln. </w:t>
      </w:r>
      <w:proofErr w:type="spellStart"/>
      <w:r w:rsidRPr="00640D24">
        <w:rPr>
          <w:rFonts w:cs="Times New Roman"/>
          <w:sz w:val="22"/>
          <w:szCs w:val="22"/>
        </w:rPr>
        <w:t>Eur</w:t>
      </w:r>
      <w:proofErr w:type="spellEnd"/>
      <w:r w:rsidRPr="00640D24">
        <w:rPr>
          <w:rFonts w:cs="Times New Roman"/>
          <w:sz w:val="22"/>
          <w:szCs w:val="22"/>
        </w:rPr>
        <w:t>, t. y. 58,6 proc. bendros prašomos sumos.</w:t>
      </w:r>
    </w:p>
    <w:p w14:paraId="67570042" w14:textId="706037EC" w:rsidR="00280FDF" w:rsidRPr="00640D24" w:rsidRDefault="00280FDF" w:rsidP="00280FDF">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Aktyvi ES inicijuota Žaliojo kurso politika, strateginiai Lietuvos dokumentai bei didėjantis vartotojų sąmoningumas rinktis mažesnį poveikį aplinkai darančias prekes/paslaugas, ateityje tik dar labiau skatins įmones investuoti į prekių/paslaugų ir/ar gamybos proceso tobulinimą. Siekis padidinti investicijas į aktualias Sumanios specializacijos kryptis ir tvarią gamybą – vienas iš esminių pramonės sektoriaus tikslų. Atsižvelgiant į numatytus ambicingus tikslus ŠESD mažinimo srityje, reikalinga pramonės, kaip vieno taršiausių sektorių, transformacija žiedinės ekonomikos link</w:t>
      </w:r>
      <w:r w:rsidRPr="00640D24">
        <w:rPr>
          <w:rStyle w:val="Puslapioinaosnuoroda"/>
          <w:rFonts w:cs="Times New Roman"/>
          <w:sz w:val="22"/>
          <w:szCs w:val="22"/>
        </w:rPr>
        <w:footnoteReference w:id="69"/>
      </w:r>
      <w:r w:rsidRPr="00640D24">
        <w:rPr>
          <w:rFonts w:cs="Times New Roman"/>
          <w:sz w:val="22"/>
          <w:szCs w:val="22"/>
        </w:rPr>
        <w:t xml:space="preserve">. Tad siekiant nustatyti investicijų poreikį į pramonės transformacijos skatinimą iki 2029 m., 2023 m. liepos mėn. buvo atliktos MVĮ ir DĮ subjektų apklausos, kurių metu didelis dėmesys buvo skiriamas perėjimo link neutralios klimatui ekonomikos, diegiant aplinkosaugines inovacijas ir sprendimus, investicijų poreikio Lietuvoje analizei. Iš visų apklaustų respondentų MVĮ apklausoje, kiek daugiau nei penktadalis (22 proc.) respondentų Sostinės regione nurodė, kad per artimiausius 3 metus planuoja investuoti žaliąją gamybos transformaciją ar tvarią gamybą. Tokių įmonių Vidurio ir Vakarų Lietuvos regione buvo kiek daugiau – 28 proc. Tad visos Lietuvos mastu maždaug 26 proc. MVĮ yra suplanavusios investuoti į žaliąją transformaciją (detalūs anketinės apklausos rezultatai pristatomi 5 priede). </w:t>
      </w:r>
    </w:p>
    <w:p w14:paraId="2FB3BA26" w14:textId="223F467A" w:rsidR="00F9180E" w:rsidRPr="00640D24" w:rsidRDefault="00F9180E" w:rsidP="00F9180E">
      <w:pPr>
        <w:autoSpaceDE w:val="0"/>
        <w:autoSpaceDN w:val="0"/>
        <w:adjustRightInd w:val="0"/>
        <w:spacing w:before="60" w:after="60" w:line="240" w:lineRule="auto"/>
        <w:jc w:val="both"/>
        <w:rPr>
          <w:rFonts w:cs="Times New Roman"/>
          <w:sz w:val="22"/>
          <w:szCs w:val="22"/>
        </w:rPr>
      </w:pPr>
      <w:r w:rsidRPr="00640D24">
        <w:rPr>
          <w:rFonts w:cs="Times New Roman"/>
          <w:sz w:val="22"/>
          <w:szCs w:val="22"/>
        </w:rPr>
        <w:t xml:space="preserve">          Tuo tarpu DĮ apklausos atveju, beveik trečdalis (30 proc.) įmonių Sostinės regione nurodė, kad investuos į žaliąją veiklos transformaciją per ateinančius 3 metus. Kaip ir MVĮ apklausos atveju, reikšmingai didesnė DĮ respondentų dalis Vidurio ir Vakarų Lietuvos regione nurodė, kad investuos į žaliąją transformaciją – 35 proc. Tad visos Lietuvos mastu maždaug 34 proc. DĮ įmonių yra suplanavusios investuoti į žaliąją transformaciją per artimiausius 3 metus. (detalūs anketinės apklausos rezultatai pristatomi 6 priede).</w:t>
      </w:r>
    </w:p>
    <w:p w14:paraId="3890E752" w14:textId="77777777" w:rsidR="00F9180E" w:rsidRPr="00640D24" w:rsidRDefault="00F9180E" w:rsidP="00280FDF">
      <w:pPr>
        <w:autoSpaceDE w:val="0"/>
        <w:autoSpaceDN w:val="0"/>
        <w:adjustRightInd w:val="0"/>
        <w:spacing w:before="60" w:after="60" w:line="240" w:lineRule="auto"/>
        <w:ind w:firstLine="567"/>
        <w:jc w:val="both"/>
        <w:rPr>
          <w:rFonts w:cs="Times New Roman"/>
          <w:sz w:val="22"/>
          <w:szCs w:val="22"/>
        </w:rPr>
      </w:pPr>
    </w:p>
    <w:p w14:paraId="4F9F31EF" w14:textId="487B1CE9" w:rsidR="00FF6FD4" w:rsidRPr="00640D24" w:rsidRDefault="00FF6FD4" w:rsidP="00FF6FD4">
      <w:pPr>
        <w:pStyle w:val="Antrat3"/>
      </w:pPr>
      <w:bookmarkStart w:id="74" w:name="_Toc146812393"/>
      <w:r w:rsidRPr="00640D24">
        <w:lastRenderedPageBreak/>
        <w:t>2.3.</w:t>
      </w:r>
      <w:r w:rsidR="00B769AD" w:rsidRPr="00640D24">
        <w:t>5</w:t>
      </w:r>
      <w:r w:rsidR="00FF7634" w:rsidRPr="00640D24">
        <w:t>.2</w:t>
      </w:r>
      <w:r w:rsidRPr="00640D24">
        <w:t xml:space="preserve"> Pramonės įmonių gamybos procesų automatizavimas ir </w:t>
      </w:r>
      <w:proofErr w:type="spellStart"/>
      <w:r w:rsidRPr="00640D24">
        <w:t>skaitmeninimo</w:t>
      </w:r>
      <w:proofErr w:type="spellEnd"/>
      <w:r w:rsidRPr="00640D24">
        <w:t xml:space="preserve"> technologijų diegimas</w:t>
      </w:r>
      <w:bookmarkEnd w:id="74"/>
      <w:r w:rsidRPr="00640D24">
        <w:t xml:space="preserve"> </w:t>
      </w:r>
    </w:p>
    <w:p w14:paraId="7920294F" w14:textId="77777777" w:rsidR="00FF6FD4" w:rsidRPr="00640D24" w:rsidRDefault="00FF6FD4" w:rsidP="00FF6FD4">
      <w:pPr>
        <w:spacing w:before="60" w:after="60" w:line="240" w:lineRule="auto"/>
        <w:ind w:left="567"/>
        <w:rPr>
          <w:rFonts w:cs="Times New Roman"/>
          <w:i/>
          <w:iCs/>
          <w:sz w:val="22"/>
          <w:szCs w:val="22"/>
        </w:rPr>
      </w:pPr>
      <w:r w:rsidRPr="00640D24">
        <w:rPr>
          <w:rFonts w:cs="Times New Roman"/>
          <w:i/>
          <w:iCs/>
          <w:sz w:val="22"/>
          <w:szCs w:val="22"/>
        </w:rPr>
        <w:t>Investicijų paklausos analizė</w:t>
      </w:r>
    </w:p>
    <w:p w14:paraId="61DDA45F" w14:textId="77777777" w:rsidR="00FF6FD4" w:rsidRPr="00640D24" w:rsidRDefault="00FF6FD4" w:rsidP="00FF6FD4">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 xml:space="preserve">2014–2020 m. programavimo laikotarpiu pramonės transformacijos skatinimo gamybos procesų bei automatizavimo ir </w:t>
      </w:r>
      <w:proofErr w:type="spellStart"/>
      <w:r w:rsidRPr="00640D24">
        <w:rPr>
          <w:rFonts w:cs="Times New Roman"/>
          <w:sz w:val="22"/>
          <w:szCs w:val="22"/>
        </w:rPr>
        <w:t>skaitmeninimo</w:t>
      </w:r>
      <w:proofErr w:type="spellEnd"/>
      <w:r w:rsidRPr="00640D24">
        <w:rPr>
          <w:rFonts w:cs="Times New Roman"/>
          <w:sz w:val="22"/>
          <w:szCs w:val="22"/>
        </w:rPr>
        <w:t xml:space="preserve"> technologijų diegimui buvo skirta 189,60 mln. </w:t>
      </w:r>
      <w:proofErr w:type="spellStart"/>
      <w:r w:rsidRPr="00640D24">
        <w:rPr>
          <w:rFonts w:cs="Times New Roman"/>
          <w:sz w:val="22"/>
          <w:szCs w:val="22"/>
        </w:rPr>
        <w:t>Eur</w:t>
      </w:r>
      <w:proofErr w:type="spellEnd"/>
      <w:r w:rsidRPr="00640D24">
        <w:rPr>
          <w:rFonts w:cs="Times New Roman"/>
          <w:sz w:val="22"/>
          <w:szCs w:val="22"/>
        </w:rPr>
        <w:t xml:space="preserve">. Skaičiuojama, kad iš viso ES SF panaudojimas sudarė 218,9 mln. </w:t>
      </w:r>
      <w:proofErr w:type="spellStart"/>
      <w:r w:rsidRPr="00640D24">
        <w:rPr>
          <w:rFonts w:cs="Times New Roman"/>
          <w:sz w:val="22"/>
          <w:szCs w:val="22"/>
        </w:rPr>
        <w:t>Eur</w:t>
      </w:r>
      <w:proofErr w:type="spellEnd"/>
      <w:r w:rsidRPr="00640D24">
        <w:rPr>
          <w:rFonts w:cs="Times New Roman"/>
          <w:sz w:val="22"/>
          <w:szCs w:val="22"/>
        </w:rPr>
        <w:t xml:space="preserve">. Visų nagrinėjamų pramonei skirtų priemonių finansavimo suma viršijo numatytą biudžetą. </w:t>
      </w:r>
    </w:p>
    <w:p w14:paraId="0EF7C747" w14:textId="77777777" w:rsidR="00FF6FD4" w:rsidRPr="00640D24" w:rsidRDefault="00FF6FD4" w:rsidP="00FF6FD4">
      <w:pPr>
        <w:autoSpaceDE w:val="0"/>
        <w:autoSpaceDN w:val="0"/>
        <w:adjustRightInd w:val="0"/>
        <w:spacing w:before="60" w:after="60" w:line="240" w:lineRule="auto"/>
        <w:ind w:firstLine="567"/>
        <w:jc w:val="both"/>
        <w:rPr>
          <w:rFonts w:cs="Times New Roman"/>
          <w:sz w:val="22"/>
          <w:szCs w:val="22"/>
        </w:rPr>
      </w:pPr>
      <w:r w:rsidRPr="00640D24">
        <w:rPr>
          <w:rFonts w:cs="Times New Roman"/>
          <w:noProof/>
          <w:lang w:eastAsia="lt-LT"/>
        </w:rPr>
        <w:drawing>
          <wp:anchor distT="0" distB="0" distL="114300" distR="114300" simplePos="0" relativeHeight="251658247" behindDoc="0" locked="0" layoutInCell="1" allowOverlap="1" wp14:anchorId="231A67AA" wp14:editId="2A3508D7">
            <wp:simplePos x="0" y="0"/>
            <wp:positionH relativeFrom="margin">
              <wp:posOffset>0</wp:posOffset>
            </wp:positionH>
            <wp:positionV relativeFrom="paragraph">
              <wp:posOffset>316865</wp:posOffset>
            </wp:positionV>
            <wp:extent cx="6116955" cy="2286000"/>
            <wp:effectExtent l="0" t="0" r="0" b="0"/>
            <wp:wrapSquare wrapText="bothSides"/>
            <wp:docPr id="4" name="Chart 4">
              <a:extLst xmlns:a="http://schemas.openxmlformats.org/drawingml/2006/main">
                <a:ext uri="{FF2B5EF4-FFF2-40B4-BE49-F238E27FC236}">
                  <a16:creationId xmlns:a16="http://schemas.microsoft.com/office/drawing/2014/main" id="{878282ED-EA5A-4688-840C-DD5EF04DAB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52A49E72" w14:textId="77777777" w:rsidR="00FF6FD4" w:rsidRPr="00640D24" w:rsidRDefault="00FF6FD4" w:rsidP="00FF6FD4">
      <w:pPr>
        <w:pStyle w:val="Antrat"/>
        <w:spacing w:before="60" w:after="60" w:line="240" w:lineRule="auto"/>
        <w:ind w:firstLine="0"/>
        <w:rPr>
          <w:rFonts w:cs="Times New Roman"/>
          <w:b w:val="0"/>
          <w:bCs w:val="0"/>
          <w:i/>
          <w:iCs/>
          <w:color w:val="auto"/>
          <w:sz w:val="22"/>
          <w:szCs w:val="16"/>
        </w:rPr>
      </w:pPr>
      <w:r w:rsidRPr="00640D24">
        <w:rPr>
          <w:rFonts w:cs="Times New Roman"/>
          <w:b w:val="0"/>
          <w:bCs w:val="0"/>
          <w:i/>
          <w:iCs/>
          <w:color w:val="auto"/>
          <w:sz w:val="22"/>
          <w:szCs w:val="16"/>
        </w:rPr>
        <w:t xml:space="preserve">Paveikslas Nr. 8. Pramonės modernizavimui ir </w:t>
      </w:r>
      <w:proofErr w:type="spellStart"/>
      <w:r w:rsidRPr="00640D24">
        <w:rPr>
          <w:rFonts w:cs="Times New Roman"/>
          <w:b w:val="0"/>
          <w:bCs w:val="0"/>
          <w:i/>
          <w:iCs/>
          <w:color w:val="auto"/>
          <w:sz w:val="22"/>
          <w:szCs w:val="16"/>
        </w:rPr>
        <w:t>skaitmenizavimui</w:t>
      </w:r>
      <w:proofErr w:type="spellEnd"/>
      <w:r w:rsidRPr="00640D24">
        <w:rPr>
          <w:rFonts w:cs="Times New Roman"/>
          <w:b w:val="0"/>
          <w:i/>
          <w:iCs/>
          <w:sz w:val="22"/>
          <w:szCs w:val="16"/>
        </w:rPr>
        <w:t xml:space="preserve"> </w:t>
      </w:r>
      <w:r w:rsidRPr="00640D24">
        <w:rPr>
          <w:rFonts w:cs="Times New Roman"/>
          <w:b w:val="0"/>
          <w:bCs w:val="0"/>
          <w:i/>
          <w:iCs/>
          <w:color w:val="auto"/>
          <w:sz w:val="22"/>
          <w:szCs w:val="16"/>
        </w:rPr>
        <w:t xml:space="preserve">skirtos ir panaudotos ES SF lėšos, mln. </w:t>
      </w:r>
      <w:proofErr w:type="spellStart"/>
      <w:r w:rsidRPr="00640D24">
        <w:rPr>
          <w:rFonts w:cs="Times New Roman"/>
          <w:b w:val="0"/>
          <w:bCs w:val="0"/>
          <w:i/>
          <w:iCs/>
          <w:color w:val="auto"/>
          <w:sz w:val="22"/>
          <w:szCs w:val="16"/>
        </w:rPr>
        <w:t>Eur</w:t>
      </w:r>
      <w:proofErr w:type="spellEnd"/>
      <w:r w:rsidRPr="00640D24">
        <w:rPr>
          <w:rFonts w:cs="Times New Roman"/>
          <w:b w:val="0"/>
          <w:bCs w:val="0"/>
          <w:i/>
          <w:iCs/>
          <w:color w:val="auto"/>
          <w:sz w:val="22"/>
          <w:szCs w:val="16"/>
        </w:rPr>
        <w:t>.</w:t>
      </w:r>
    </w:p>
    <w:p w14:paraId="105F6956" w14:textId="5F028453" w:rsidR="00FF6FD4" w:rsidRPr="00640D24" w:rsidRDefault="00FF6FD4" w:rsidP="00FF6FD4">
      <w:pPr>
        <w:spacing w:before="60" w:after="60" w:line="240" w:lineRule="auto"/>
        <w:ind w:firstLine="567"/>
        <w:jc w:val="both"/>
        <w:rPr>
          <w:rFonts w:cs="Times New Roman"/>
          <w:sz w:val="22"/>
          <w:szCs w:val="22"/>
        </w:rPr>
      </w:pPr>
      <w:r w:rsidRPr="00640D24">
        <w:rPr>
          <w:rFonts w:cs="Times New Roman"/>
          <w:sz w:val="22"/>
          <w:szCs w:val="22"/>
        </w:rPr>
        <w:t>2014–2020 m. programavimo laikotarpiu buvo paskelbtos dvi priemonės, skirtos pramonės MVĮ, veiklą vykdančių ne didžiuosiuose miestuose ir (ar) rajonuose, technologiniam modernizavimui. Pagal priemonės Nr. 03.3.1</w:t>
      </w:r>
      <w:r w:rsidR="00645085" w:rsidRPr="00640D24">
        <w:rPr>
          <w:rFonts w:cs="Times New Roman"/>
          <w:sz w:val="22"/>
          <w:szCs w:val="22"/>
        </w:rPr>
        <w:t>–</w:t>
      </w:r>
      <w:r w:rsidRPr="00640D24">
        <w:rPr>
          <w:rFonts w:cs="Times New Roman"/>
          <w:sz w:val="22"/>
          <w:szCs w:val="22"/>
        </w:rPr>
        <w:t>LVPA</w:t>
      </w:r>
      <w:r w:rsidR="00645085" w:rsidRPr="00640D24">
        <w:rPr>
          <w:rFonts w:cs="Times New Roman"/>
          <w:sz w:val="22"/>
          <w:szCs w:val="22"/>
        </w:rPr>
        <w:t>–</w:t>
      </w:r>
      <w:r w:rsidRPr="00640D24">
        <w:rPr>
          <w:rFonts w:cs="Times New Roman"/>
          <w:sz w:val="22"/>
          <w:szCs w:val="22"/>
        </w:rPr>
        <w:t>K</w:t>
      </w:r>
      <w:r w:rsidR="00645085" w:rsidRPr="00640D24">
        <w:rPr>
          <w:rFonts w:cs="Times New Roman"/>
          <w:sz w:val="22"/>
          <w:szCs w:val="22"/>
        </w:rPr>
        <w:t>–</w:t>
      </w:r>
      <w:r w:rsidRPr="00640D24">
        <w:rPr>
          <w:rFonts w:cs="Times New Roman"/>
          <w:sz w:val="22"/>
          <w:szCs w:val="22"/>
        </w:rPr>
        <w:t>803 „</w:t>
      </w:r>
      <w:proofErr w:type="spellStart"/>
      <w:r w:rsidRPr="00640D24">
        <w:rPr>
          <w:rFonts w:cs="Times New Roman"/>
          <w:sz w:val="22"/>
          <w:szCs w:val="22"/>
        </w:rPr>
        <w:t>Regio</w:t>
      </w:r>
      <w:proofErr w:type="spellEnd"/>
      <w:r w:rsidRPr="00640D24">
        <w:rPr>
          <w:rFonts w:cs="Times New Roman"/>
          <w:sz w:val="22"/>
          <w:szCs w:val="22"/>
        </w:rPr>
        <w:t xml:space="preserve"> </w:t>
      </w:r>
      <w:proofErr w:type="spellStart"/>
      <w:r w:rsidRPr="00640D24">
        <w:rPr>
          <w:rFonts w:cs="Times New Roman"/>
          <w:sz w:val="22"/>
          <w:szCs w:val="22"/>
        </w:rPr>
        <w:t>Invest</w:t>
      </w:r>
      <w:proofErr w:type="spellEnd"/>
      <w:r w:rsidRPr="00640D24">
        <w:rPr>
          <w:rFonts w:cs="Times New Roman"/>
          <w:sz w:val="22"/>
          <w:szCs w:val="22"/>
        </w:rPr>
        <w:t xml:space="preserve"> LT+“ kvietimą Nr. 1 paraiškas galėjo teikti tik tie juridiniai asmenys, kurių planuojami įgyvendinti projektai nėra įgyvendinami Vilniaus, Kauno ir Klaipėdos miestų savivaldybėse, pagal kvietimą Nr. 2 – šis reikalavimas buvo išplėstas ir į minėtų rajonų savivaldybes. Pagal priemonės Nr. 03.3.1</w:t>
      </w:r>
      <w:r w:rsidR="00645085" w:rsidRPr="00640D24">
        <w:rPr>
          <w:rFonts w:cs="Times New Roman"/>
          <w:sz w:val="22"/>
          <w:szCs w:val="22"/>
        </w:rPr>
        <w:t>–</w:t>
      </w:r>
      <w:r w:rsidRPr="00640D24">
        <w:rPr>
          <w:rFonts w:cs="Times New Roman"/>
          <w:sz w:val="22"/>
          <w:szCs w:val="22"/>
        </w:rPr>
        <w:t>LVPA</w:t>
      </w:r>
      <w:r w:rsidR="00645085" w:rsidRPr="00640D24">
        <w:rPr>
          <w:rFonts w:cs="Times New Roman"/>
          <w:sz w:val="22"/>
          <w:szCs w:val="22"/>
        </w:rPr>
        <w:t>–</w:t>
      </w:r>
      <w:r w:rsidRPr="00640D24">
        <w:rPr>
          <w:rFonts w:cs="Times New Roman"/>
          <w:sz w:val="22"/>
          <w:szCs w:val="22"/>
        </w:rPr>
        <w:t>K</w:t>
      </w:r>
      <w:r w:rsidR="00645085" w:rsidRPr="00640D24">
        <w:rPr>
          <w:rFonts w:cs="Times New Roman"/>
          <w:sz w:val="22"/>
          <w:szCs w:val="22"/>
        </w:rPr>
        <w:t>–</w:t>
      </w:r>
      <w:r w:rsidRPr="00640D24">
        <w:rPr>
          <w:rFonts w:cs="Times New Roman"/>
          <w:sz w:val="22"/>
          <w:szCs w:val="22"/>
        </w:rPr>
        <w:t>850 „</w:t>
      </w:r>
      <w:proofErr w:type="spellStart"/>
      <w:r w:rsidRPr="00640D24">
        <w:rPr>
          <w:rFonts w:cs="Times New Roman"/>
          <w:sz w:val="22"/>
          <w:szCs w:val="22"/>
        </w:rPr>
        <w:t>Regio</w:t>
      </w:r>
      <w:proofErr w:type="spellEnd"/>
      <w:r w:rsidRPr="00640D24">
        <w:rPr>
          <w:rFonts w:cs="Times New Roman"/>
          <w:sz w:val="22"/>
          <w:szCs w:val="22"/>
        </w:rPr>
        <w:t xml:space="preserve"> potencialas LT“ finansavimo sąlygų aprašą finansavimas negalėjo būti skiriamas projektams, įgyvendinamiems Vilniaus ir Kauno miesto ir rajonų savivaldybėse. Susidomėjimas abejomis priemonėmis buvo didesnis nei skirta suma, nors priemonių finansavimo sąlygų aprašai ribojo tam tikrų įmonių dalyvavimo galimybes. Nepaisant regionų konkurencingumui skatinti skirtų projektų 2018 m. gruodžio 27 d. duomenimis dviejų didžiųjų miestų (Vilniaus ir Kauno) regionams buvo skirta apie 60 proc. visų 2014–2020 m. VP 3 prioriteto investicijų.</w:t>
      </w:r>
      <w:r w:rsidRPr="00640D24">
        <w:rPr>
          <w:rFonts w:cs="Times New Roman"/>
          <w:sz w:val="22"/>
          <w:szCs w:val="22"/>
          <w:vertAlign w:val="superscript"/>
        </w:rPr>
        <w:footnoteReference w:id="70"/>
      </w:r>
    </w:p>
    <w:p w14:paraId="3758CDA0" w14:textId="2B4EB42A" w:rsidR="00FF6FD4" w:rsidRPr="00640D24" w:rsidRDefault="00FF6FD4" w:rsidP="00FF6FD4">
      <w:pPr>
        <w:spacing w:before="60" w:after="60" w:line="240" w:lineRule="auto"/>
        <w:ind w:firstLine="567"/>
        <w:jc w:val="both"/>
        <w:rPr>
          <w:rFonts w:cs="Times New Roman"/>
          <w:sz w:val="22"/>
          <w:szCs w:val="22"/>
        </w:rPr>
      </w:pPr>
      <w:r w:rsidRPr="00640D24">
        <w:rPr>
          <w:rFonts w:cs="Times New Roman"/>
          <w:sz w:val="22"/>
          <w:szCs w:val="22"/>
        </w:rPr>
        <w:t xml:space="preserve">Remiantis 2014–2020 m. programavimo laikotarpio praktika, pramonės </w:t>
      </w:r>
      <w:proofErr w:type="spellStart"/>
      <w:r w:rsidRPr="00640D24">
        <w:rPr>
          <w:rFonts w:cs="Times New Roman"/>
          <w:sz w:val="22"/>
          <w:szCs w:val="22"/>
        </w:rPr>
        <w:t>skaitmenizavimo</w:t>
      </w:r>
      <w:proofErr w:type="spellEnd"/>
      <w:r w:rsidRPr="00640D24">
        <w:rPr>
          <w:rFonts w:cs="Times New Roman"/>
          <w:sz w:val="22"/>
          <w:szCs w:val="22"/>
        </w:rPr>
        <w:t xml:space="preserve"> ir modernizavimo srityje matomas didelis finansavimo poreikis. Pagal priemonę Nr. 03.3.1</w:t>
      </w:r>
      <w:r w:rsidR="00645085" w:rsidRPr="00640D24">
        <w:rPr>
          <w:rFonts w:cs="Times New Roman"/>
          <w:sz w:val="22"/>
          <w:szCs w:val="22"/>
        </w:rPr>
        <w:t>–</w:t>
      </w:r>
      <w:r w:rsidRPr="00640D24">
        <w:rPr>
          <w:rFonts w:cs="Times New Roman"/>
          <w:sz w:val="22"/>
          <w:szCs w:val="22"/>
        </w:rPr>
        <w:t>LVPA</w:t>
      </w:r>
      <w:r w:rsidR="00645085" w:rsidRPr="00640D24">
        <w:rPr>
          <w:rFonts w:cs="Times New Roman"/>
          <w:sz w:val="22"/>
          <w:szCs w:val="22"/>
        </w:rPr>
        <w:t>–</w:t>
      </w:r>
      <w:r w:rsidRPr="00640D24">
        <w:rPr>
          <w:rFonts w:cs="Times New Roman"/>
          <w:sz w:val="22"/>
          <w:szCs w:val="22"/>
        </w:rPr>
        <w:t>K</w:t>
      </w:r>
      <w:r w:rsidR="00645085" w:rsidRPr="00640D24">
        <w:rPr>
          <w:rFonts w:cs="Times New Roman"/>
          <w:sz w:val="22"/>
          <w:szCs w:val="22"/>
        </w:rPr>
        <w:t>–</w:t>
      </w:r>
      <w:r w:rsidRPr="00640D24">
        <w:rPr>
          <w:rFonts w:cs="Times New Roman"/>
          <w:sz w:val="22"/>
          <w:szCs w:val="22"/>
        </w:rPr>
        <w:t xml:space="preserve">854 „Pramonės </w:t>
      </w:r>
      <w:proofErr w:type="spellStart"/>
      <w:r w:rsidRPr="00640D24">
        <w:rPr>
          <w:rFonts w:cs="Times New Roman"/>
          <w:sz w:val="22"/>
          <w:szCs w:val="22"/>
        </w:rPr>
        <w:t>skaitmeninimas</w:t>
      </w:r>
      <w:proofErr w:type="spellEnd"/>
      <w:r w:rsidRPr="00640D24">
        <w:rPr>
          <w:rFonts w:cs="Times New Roman"/>
          <w:sz w:val="22"/>
          <w:szCs w:val="22"/>
        </w:rPr>
        <w:t xml:space="preserve"> LT“ Nr. 1 finansavimas buvo skirtas 71 projektui, o į rezervinį projektų sąrašą buvo įtraukti 29 projektai. Vėliau šis poreikis buvo patenkintas skyrus papildomus 15,3 mln. </w:t>
      </w:r>
      <w:proofErr w:type="spellStart"/>
      <w:r w:rsidRPr="00640D24">
        <w:rPr>
          <w:rFonts w:cs="Times New Roman"/>
          <w:sz w:val="22"/>
          <w:szCs w:val="22"/>
        </w:rPr>
        <w:t>Eur</w:t>
      </w:r>
      <w:proofErr w:type="spellEnd"/>
      <w:r w:rsidRPr="00640D24">
        <w:rPr>
          <w:rFonts w:cs="Times New Roman"/>
          <w:sz w:val="22"/>
          <w:szCs w:val="22"/>
        </w:rPr>
        <w:t xml:space="preserve">. Antrasis priemonės „Pramonės </w:t>
      </w:r>
      <w:proofErr w:type="spellStart"/>
      <w:r w:rsidRPr="00640D24">
        <w:rPr>
          <w:rFonts w:cs="Times New Roman"/>
          <w:sz w:val="22"/>
          <w:szCs w:val="22"/>
        </w:rPr>
        <w:t>skaitmeninimas</w:t>
      </w:r>
      <w:proofErr w:type="spellEnd"/>
      <w:r w:rsidRPr="00640D24">
        <w:rPr>
          <w:rFonts w:cs="Times New Roman"/>
          <w:sz w:val="22"/>
          <w:szCs w:val="22"/>
        </w:rPr>
        <w:t xml:space="preserve"> LT“ kvietimas buvo dar paklausesnis – nepaisant to, kad kvietimo biudžetas buvo 15,35 mln. </w:t>
      </w:r>
      <w:proofErr w:type="spellStart"/>
      <w:r w:rsidRPr="00640D24">
        <w:rPr>
          <w:rFonts w:cs="Times New Roman"/>
          <w:sz w:val="22"/>
          <w:szCs w:val="22"/>
        </w:rPr>
        <w:t>Eur</w:t>
      </w:r>
      <w:proofErr w:type="spellEnd"/>
      <w:r w:rsidRPr="00640D24">
        <w:rPr>
          <w:rFonts w:cs="Times New Roman"/>
          <w:sz w:val="22"/>
          <w:szCs w:val="22"/>
        </w:rPr>
        <w:t xml:space="preserve">, EIM papildomai skyrė daugiau kaip 38 mln. </w:t>
      </w:r>
      <w:proofErr w:type="spellStart"/>
      <w:r w:rsidRPr="00640D24">
        <w:rPr>
          <w:rFonts w:cs="Times New Roman"/>
          <w:sz w:val="22"/>
          <w:szCs w:val="22"/>
        </w:rPr>
        <w:t>Eur</w:t>
      </w:r>
      <w:proofErr w:type="spellEnd"/>
      <w:r w:rsidRPr="00640D24">
        <w:rPr>
          <w:rFonts w:cs="Times New Roman"/>
          <w:sz w:val="22"/>
          <w:szCs w:val="22"/>
        </w:rPr>
        <w:t>. Pagal priemonę Nr. 03.3.1</w:t>
      </w:r>
      <w:r w:rsidR="00645085" w:rsidRPr="00640D24">
        <w:rPr>
          <w:rFonts w:cs="Times New Roman"/>
          <w:sz w:val="22"/>
          <w:szCs w:val="22"/>
        </w:rPr>
        <w:t>–</w:t>
      </w:r>
      <w:r w:rsidRPr="00640D24">
        <w:rPr>
          <w:rFonts w:cs="Times New Roman"/>
          <w:sz w:val="22"/>
          <w:szCs w:val="22"/>
        </w:rPr>
        <w:t>LVPA</w:t>
      </w:r>
      <w:r w:rsidR="00645085" w:rsidRPr="00640D24">
        <w:rPr>
          <w:rFonts w:cs="Times New Roman"/>
          <w:sz w:val="22"/>
          <w:szCs w:val="22"/>
        </w:rPr>
        <w:t>–</w:t>
      </w:r>
      <w:r w:rsidRPr="00640D24">
        <w:rPr>
          <w:rFonts w:cs="Times New Roman"/>
          <w:sz w:val="22"/>
          <w:szCs w:val="22"/>
        </w:rPr>
        <w:t>K</w:t>
      </w:r>
      <w:r w:rsidR="00645085" w:rsidRPr="00640D24">
        <w:rPr>
          <w:rFonts w:cs="Times New Roman"/>
          <w:sz w:val="22"/>
          <w:szCs w:val="22"/>
        </w:rPr>
        <w:t>–</w:t>
      </w:r>
      <w:r w:rsidRPr="00640D24">
        <w:rPr>
          <w:rFonts w:cs="Times New Roman"/>
          <w:sz w:val="22"/>
          <w:szCs w:val="22"/>
        </w:rPr>
        <w:t>850 „</w:t>
      </w:r>
      <w:proofErr w:type="spellStart"/>
      <w:r w:rsidRPr="00640D24">
        <w:rPr>
          <w:rFonts w:cs="Times New Roman"/>
          <w:sz w:val="22"/>
          <w:szCs w:val="22"/>
        </w:rPr>
        <w:t>Regio</w:t>
      </w:r>
      <w:proofErr w:type="spellEnd"/>
      <w:r w:rsidRPr="00640D24">
        <w:rPr>
          <w:rFonts w:cs="Times New Roman"/>
          <w:sz w:val="22"/>
          <w:szCs w:val="22"/>
        </w:rPr>
        <w:t xml:space="preserve"> potencialas LT“ papildomai rezerviniam sąrašui tenkinti buvo skirta 12,99 mln. </w:t>
      </w:r>
      <w:proofErr w:type="spellStart"/>
      <w:r w:rsidRPr="00640D24">
        <w:rPr>
          <w:rFonts w:cs="Times New Roman"/>
          <w:sz w:val="22"/>
          <w:szCs w:val="22"/>
        </w:rPr>
        <w:t>Eur</w:t>
      </w:r>
      <w:proofErr w:type="spellEnd"/>
      <w:r w:rsidRPr="00640D24">
        <w:rPr>
          <w:rFonts w:cs="Times New Roman"/>
          <w:sz w:val="22"/>
          <w:szCs w:val="22"/>
        </w:rPr>
        <w:t xml:space="preserve">. Atsižvelgiant į ES SF fondų perskirstymą ir rezerviniame sąraše esančių projektų finansavimo tenkinimą darytina išvada, kad 2014–2020 m. laikotarpyje buvo susiduriama su iš anksto numatytų lėšų trūkumu. </w:t>
      </w:r>
    </w:p>
    <w:p w14:paraId="64D5549B" w14:textId="056277A4" w:rsidR="00FF6FD4" w:rsidRPr="00640D24" w:rsidRDefault="00FF6FD4" w:rsidP="00FF6FD4">
      <w:pPr>
        <w:spacing w:before="60" w:after="60" w:line="240" w:lineRule="auto"/>
        <w:ind w:firstLine="567"/>
        <w:jc w:val="both"/>
        <w:rPr>
          <w:rFonts w:cs="Times New Roman"/>
          <w:sz w:val="22"/>
          <w:szCs w:val="22"/>
        </w:rPr>
      </w:pPr>
      <w:r w:rsidRPr="00640D24">
        <w:rPr>
          <w:rFonts w:cs="Times New Roman"/>
          <w:sz w:val="22"/>
          <w:szCs w:val="22"/>
        </w:rPr>
        <w:t xml:space="preserve">Tiek 2014–2020 m. ES SF lėšų panaudojimo analizė, tiek pastarųjų metų (2020–2022 m.) </w:t>
      </w:r>
      <w:proofErr w:type="spellStart"/>
      <w:r w:rsidRPr="00640D24">
        <w:rPr>
          <w:rFonts w:cs="Times New Roman"/>
          <w:sz w:val="22"/>
          <w:szCs w:val="22"/>
        </w:rPr>
        <w:t>socio</w:t>
      </w:r>
      <w:proofErr w:type="spellEnd"/>
      <w:r w:rsidR="00645085" w:rsidRPr="00640D24">
        <w:rPr>
          <w:rFonts w:cs="Times New Roman"/>
          <w:sz w:val="22"/>
          <w:szCs w:val="22"/>
        </w:rPr>
        <w:t>–</w:t>
      </w:r>
      <w:r w:rsidRPr="00640D24">
        <w:rPr>
          <w:rFonts w:cs="Times New Roman"/>
          <w:sz w:val="22"/>
          <w:szCs w:val="22"/>
        </w:rPr>
        <w:t xml:space="preserve">ekonominės aplinkybės ir kylančios rizikos didina investicijų pritraukimo į regionus poreikį. Tad siekiant nustatyti investicijų poreikį pramonės įmonių gamybos procesų automatizavimą ir </w:t>
      </w:r>
      <w:proofErr w:type="spellStart"/>
      <w:r w:rsidRPr="00640D24">
        <w:rPr>
          <w:rFonts w:cs="Times New Roman"/>
          <w:sz w:val="22"/>
          <w:szCs w:val="22"/>
        </w:rPr>
        <w:t>skaitmeninimo</w:t>
      </w:r>
      <w:proofErr w:type="spellEnd"/>
      <w:r w:rsidRPr="00640D24">
        <w:rPr>
          <w:rFonts w:cs="Times New Roman"/>
          <w:sz w:val="22"/>
          <w:szCs w:val="22"/>
        </w:rPr>
        <w:t xml:space="preserve"> technologijų diegimą Vidurio ir Vakarų Lietuvos regione, 2023 m. liepos mėn. buvo atlikta MVĮ ir DĮ subjektų apklausos, </w:t>
      </w:r>
      <w:r w:rsidRPr="00640D24">
        <w:rPr>
          <w:rFonts w:cs="Times New Roman"/>
          <w:sz w:val="22"/>
          <w:szCs w:val="22"/>
        </w:rPr>
        <w:lastRenderedPageBreak/>
        <w:t xml:space="preserve">kurių metu didelis dėmesys buvo skiriamas gamybos modernizavimo ir pramonės </w:t>
      </w:r>
      <w:proofErr w:type="spellStart"/>
      <w:r w:rsidRPr="00640D24">
        <w:rPr>
          <w:rFonts w:cs="Times New Roman"/>
          <w:sz w:val="22"/>
          <w:szCs w:val="22"/>
        </w:rPr>
        <w:t>skaitmenizavimo</w:t>
      </w:r>
      <w:proofErr w:type="spellEnd"/>
      <w:r w:rsidRPr="00640D24">
        <w:rPr>
          <w:rFonts w:cs="Times New Roman"/>
          <w:sz w:val="22"/>
          <w:szCs w:val="22"/>
        </w:rPr>
        <w:t xml:space="preserve"> investicijų poreikiui nustatyti. Iš visų apklaustų respondentų MVĮ apklausoje, kiek daugiau nei 65 proc. įmonių nurodė, kad per artimiausius 3 metus investuos į gamybos modernizavimą ir pramonės </w:t>
      </w:r>
      <w:proofErr w:type="spellStart"/>
      <w:r w:rsidRPr="00640D24">
        <w:rPr>
          <w:rFonts w:cs="Times New Roman"/>
          <w:sz w:val="22"/>
          <w:szCs w:val="22"/>
        </w:rPr>
        <w:t>skaitmenizavimą</w:t>
      </w:r>
      <w:proofErr w:type="spellEnd"/>
      <w:r w:rsidRPr="00640D24">
        <w:rPr>
          <w:rFonts w:cs="Times New Roman"/>
          <w:sz w:val="22"/>
          <w:szCs w:val="22"/>
        </w:rPr>
        <w:t>. Tuo tarpu DĮ apklausoje, 58 proc. įmonių nurodė, kad investuos į tokio tipo veiklas (detalūs anketinės ap</w:t>
      </w:r>
      <w:r w:rsidR="00D36CF1" w:rsidRPr="00640D24">
        <w:rPr>
          <w:rFonts w:cs="Times New Roman"/>
          <w:sz w:val="22"/>
          <w:szCs w:val="22"/>
        </w:rPr>
        <w:t xml:space="preserve">klausos rezultatai pristatomi 5 ir </w:t>
      </w:r>
      <w:r w:rsidRPr="00640D24">
        <w:rPr>
          <w:rFonts w:cs="Times New Roman"/>
          <w:sz w:val="22"/>
          <w:szCs w:val="22"/>
        </w:rPr>
        <w:t xml:space="preserve">6  prieduose). </w:t>
      </w:r>
    </w:p>
    <w:p w14:paraId="72D38104" w14:textId="125E32B1" w:rsidR="00F01F6B" w:rsidRPr="00640D24" w:rsidRDefault="00F01F6B" w:rsidP="00F01F6B">
      <w:pPr>
        <w:pStyle w:val="Antrat3"/>
        <w:spacing w:before="120"/>
      </w:pPr>
      <w:bookmarkStart w:id="75" w:name="_Toc146812394"/>
      <w:bookmarkStart w:id="76" w:name="_Toc57307050"/>
      <w:bookmarkStart w:id="77" w:name="_Hlk56089529"/>
      <w:bookmarkEnd w:id="66"/>
      <w:bookmarkEnd w:id="67"/>
      <w:r w:rsidRPr="00640D24">
        <w:t>2.3.</w:t>
      </w:r>
      <w:r w:rsidR="00B769AD" w:rsidRPr="00640D24">
        <w:t>5</w:t>
      </w:r>
      <w:r w:rsidR="00FF7634" w:rsidRPr="00640D24">
        <w:t>.3</w:t>
      </w:r>
      <w:r w:rsidRPr="00640D24">
        <w:t xml:space="preserve">. </w:t>
      </w:r>
      <w:bookmarkStart w:id="78" w:name="_Hlk129338374"/>
      <w:r w:rsidRPr="00640D24">
        <w:t xml:space="preserve">Aukštą pridėtinę vertę kuriančių pramonės įmonių gamybos procesų </w:t>
      </w:r>
      <w:proofErr w:type="spellStart"/>
      <w:r w:rsidRPr="00640D24">
        <w:t>skaitmeninimas</w:t>
      </w:r>
      <w:bookmarkEnd w:id="75"/>
      <w:proofErr w:type="spellEnd"/>
      <w:r w:rsidRPr="00640D24">
        <w:t xml:space="preserve"> </w:t>
      </w:r>
      <w:bookmarkEnd w:id="76"/>
      <w:bookmarkEnd w:id="78"/>
    </w:p>
    <w:bookmarkEnd w:id="77"/>
    <w:p w14:paraId="37095F0E" w14:textId="77777777" w:rsidR="00F01F6B" w:rsidRPr="00640D24" w:rsidRDefault="00F01F6B" w:rsidP="00F01F6B">
      <w:pPr>
        <w:spacing w:before="120" w:after="120" w:line="240" w:lineRule="auto"/>
        <w:ind w:left="567"/>
        <w:rPr>
          <w:rFonts w:cs="Times New Roman"/>
          <w:i/>
          <w:iCs/>
          <w:sz w:val="22"/>
          <w:szCs w:val="22"/>
        </w:rPr>
      </w:pPr>
      <w:r w:rsidRPr="00640D24">
        <w:rPr>
          <w:rFonts w:cs="Times New Roman"/>
          <w:i/>
          <w:iCs/>
          <w:sz w:val="22"/>
          <w:szCs w:val="22"/>
        </w:rPr>
        <w:t>Investicijų paklausos analizė</w:t>
      </w:r>
    </w:p>
    <w:p w14:paraId="7D906570" w14:textId="73C38DEF" w:rsidR="00F01F6B" w:rsidRPr="00640D24" w:rsidRDefault="00F01F6B" w:rsidP="00F01F6B">
      <w:pPr>
        <w:autoSpaceDE w:val="0"/>
        <w:autoSpaceDN w:val="0"/>
        <w:adjustRightInd w:val="0"/>
        <w:spacing w:before="60" w:after="60" w:line="240" w:lineRule="auto"/>
        <w:ind w:firstLine="567"/>
        <w:jc w:val="both"/>
        <w:rPr>
          <w:rFonts w:cs="Times New Roman"/>
          <w:sz w:val="22"/>
          <w:szCs w:val="22"/>
        </w:rPr>
      </w:pPr>
      <w:bookmarkStart w:id="79" w:name="_Hlk143546493"/>
      <w:r w:rsidRPr="00640D24">
        <w:rPr>
          <w:rFonts w:cs="Times New Roman"/>
          <w:sz w:val="22"/>
          <w:szCs w:val="22"/>
        </w:rPr>
        <w:t xml:space="preserve">Siekiant paskatinti MVĮ procesų </w:t>
      </w:r>
      <w:proofErr w:type="spellStart"/>
      <w:r w:rsidRPr="00640D24">
        <w:rPr>
          <w:rFonts w:cs="Times New Roman"/>
          <w:sz w:val="22"/>
          <w:szCs w:val="22"/>
        </w:rPr>
        <w:t>skaitmeninimą</w:t>
      </w:r>
      <w:proofErr w:type="spellEnd"/>
      <w:r w:rsidRPr="00640D24">
        <w:rPr>
          <w:rFonts w:cs="Times New Roman"/>
          <w:sz w:val="22"/>
          <w:szCs w:val="22"/>
        </w:rPr>
        <w:t xml:space="preserve"> buvo paskelbti du kvietimai pagal priemonę Nr. 03.3.1</w:t>
      </w:r>
      <w:r w:rsidR="00645085" w:rsidRPr="00640D24">
        <w:rPr>
          <w:rFonts w:cs="Times New Roman"/>
          <w:sz w:val="22"/>
          <w:szCs w:val="22"/>
        </w:rPr>
        <w:t>–</w:t>
      </w:r>
      <w:r w:rsidRPr="00640D24">
        <w:rPr>
          <w:rFonts w:cs="Times New Roman"/>
          <w:sz w:val="22"/>
          <w:szCs w:val="22"/>
        </w:rPr>
        <w:t>LVPA</w:t>
      </w:r>
      <w:r w:rsidR="00645085" w:rsidRPr="00640D24">
        <w:rPr>
          <w:rFonts w:cs="Times New Roman"/>
          <w:sz w:val="22"/>
          <w:szCs w:val="22"/>
        </w:rPr>
        <w:t>–</w:t>
      </w:r>
      <w:r w:rsidRPr="00640D24">
        <w:rPr>
          <w:rFonts w:cs="Times New Roman"/>
          <w:sz w:val="22"/>
          <w:szCs w:val="22"/>
        </w:rPr>
        <w:t>K</w:t>
      </w:r>
      <w:r w:rsidR="00645085" w:rsidRPr="00640D24">
        <w:rPr>
          <w:rFonts w:cs="Times New Roman"/>
          <w:sz w:val="22"/>
          <w:szCs w:val="22"/>
        </w:rPr>
        <w:t>–</w:t>
      </w:r>
      <w:r w:rsidRPr="00640D24">
        <w:rPr>
          <w:rFonts w:cs="Times New Roman"/>
          <w:sz w:val="22"/>
          <w:szCs w:val="22"/>
        </w:rPr>
        <w:t xml:space="preserve">854 „Pramonės </w:t>
      </w:r>
      <w:proofErr w:type="spellStart"/>
      <w:r w:rsidRPr="00640D24">
        <w:rPr>
          <w:rFonts w:cs="Times New Roman"/>
          <w:sz w:val="22"/>
          <w:szCs w:val="22"/>
        </w:rPr>
        <w:t>skaitmeninimas</w:t>
      </w:r>
      <w:proofErr w:type="spellEnd"/>
      <w:r w:rsidRPr="00640D24">
        <w:rPr>
          <w:rFonts w:cs="Times New Roman"/>
          <w:sz w:val="22"/>
          <w:szCs w:val="22"/>
        </w:rPr>
        <w:t xml:space="preserve"> LT“. Pirmasis kvietimas, paskelbtas 2018 m. sulaukė didelio pramonės įmonių susidomėjimo – iš viso finansavimas buvo skirtas 101 projektui. Antrojo kvietimo metu – finansavimas buvo skirtas dar 146 projektams. Skaičiuojama, kad daugiausiai, net 37 proc., paraiškų buvo sulaukta iš Vilniaus apskrityje veiklą vykdančių įmonių. Didžioji dalis paraiškas pateikusių įmonių veikia metalo, baldų, popieriaus ir spausdinimo, medienos, maisto ir plastiko gaminių gamybos </w:t>
      </w:r>
      <w:bookmarkEnd w:id="79"/>
      <w:r w:rsidRPr="00640D24">
        <w:rPr>
          <w:rFonts w:cs="Times New Roman"/>
          <w:sz w:val="22"/>
          <w:szCs w:val="22"/>
        </w:rPr>
        <w:t>srityse.</w:t>
      </w:r>
      <w:r w:rsidRPr="00640D24">
        <w:rPr>
          <w:rStyle w:val="Puslapioinaosnuoroda"/>
          <w:rFonts w:cs="Times New Roman"/>
          <w:sz w:val="22"/>
          <w:szCs w:val="22"/>
        </w:rPr>
        <w:footnoteReference w:id="71"/>
      </w:r>
    </w:p>
    <w:p w14:paraId="27907339" w14:textId="77777777" w:rsidR="00F01F6B" w:rsidRPr="00640D24" w:rsidRDefault="00F01F6B" w:rsidP="00F01F6B">
      <w:pPr>
        <w:spacing w:before="60" w:after="60" w:line="240" w:lineRule="auto"/>
        <w:ind w:firstLine="567"/>
        <w:jc w:val="both"/>
        <w:rPr>
          <w:rFonts w:cs="Times New Roman"/>
          <w:sz w:val="22"/>
          <w:szCs w:val="22"/>
        </w:rPr>
      </w:pPr>
      <w:r w:rsidRPr="00640D24">
        <w:rPr>
          <w:rFonts w:cs="Times New Roman"/>
          <w:sz w:val="22"/>
          <w:szCs w:val="22"/>
        </w:rPr>
        <w:t xml:space="preserve">Apskaičiuojant investicijų paklausą ir poreikį atlikta detali paraiškas pagal priemonę „Pramonės </w:t>
      </w:r>
      <w:proofErr w:type="spellStart"/>
      <w:r w:rsidRPr="00640D24">
        <w:rPr>
          <w:rFonts w:cs="Times New Roman"/>
          <w:sz w:val="22"/>
          <w:szCs w:val="22"/>
        </w:rPr>
        <w:t>skaitmeninimas</w:t>
      </w:r>
      <w:proofErr w:type="spellEnd"/>
      <w:r w:rsidRPr="00640D24">
        <w:rPr>
          <w:rFonts w:cs="Times New Roman"/>
          <w:sz w:val="22"/>
          <w:szCs w:val="22"/>
        </w:rPr>
        <w:t xml:space="preserve"> LT“ teikusių įmonių </w:t>
      </w:r>
      <w:proofErr w:type="spellStart"/>
      <w:r w:rsidRPr="00640D24">
        <w:rPr>
          <w:rFonts w:cs="Times New Roman"/>
          <w:sz w:val="22"/>
          <w:szCs w:val="22"/>
        </w:rPr>
        <w:t>regioniškumo</w:t>
      </w:r>
      <w:proofErr w:type="spellEnd"/>
      <w:r w:rsidRPr="00640D24">
        <w:rPr>
          <w:rFonts w:cs="Times New Roman"/>
          <w:sz w:val="22"/>
          <w:szCs w:val="22"/>
        </w:rPr>
        <w:t xml:space="preserve"> analizė (pareiškėjai buvo suskirstyti į dvi grupes: Sostinės regiono ir Vidurio ir Vakarų Lietuvos). Šios analizės tikslas – nustatyti Sostinės regione veikiančių MVĮ investicijas į </w:t>
      </w:r>
      <w:proofErr w:type="spellStart"/>
      <w:r w:rsidRPr="00640D24">
        <w:rPr>
          <w:rFonts w:cs="Times New Roman"/>
          <w:sz w:val="22"/>
          <w:szCs w:val="22"/>
        </w:rPr>
        <w:t>skaitmeninimo</w:t>
      </w:r>
      <w:proofErr w:type="spellEnd"/>
      <w:r w:rsidRPr="00640D24">
        <w:rPr>
          <w:rFonts w:cs="Times New Roman"/>
          <w:sz w:val="22"/>
          <w:szCs w:val="22"/>
        </w:rPr>
        <w:t xml:space="preserve"> technologijas. Gautais duomenimis 104 paraiškos iš 280 paraiškų buvo pateiktos Sostinės regione registracijos vietą nurodžiusių įmonių. Remiantis atliktos analizės duomenimis skaičiuojama, kad prašoma suma siekė 51,81 mln. </w:t>
      </w:r>
      <w:proofErr w:type="spellStart"/>
      <w:r w:rsidRPr="00640D24">
        <w:rPr>
          <w:rFonts w:cs="Times New Roman"/>
          <w:sz w:val="22"/>
          <w:szCs w:val="22"/>
        </w:rPr>
        <w:t>Eur</w:t>
      </w:r>
      <w:proofErr w:type="spellEnd"/>
      <w:r w:rsidRPr="00640D24">
        <w:rPr>
          <w:rFonts w:cs="Times New Roman"/>
          <w:sz w:val="22"/>
          <w:szCs w:val="22"/>
        </w:rPr>
        <w:t>.</w:t>
      </w:r>
    </w:p>
    <w:p w14:paraId="6BA11D28" w14:textId="3028F785" w:rsidR="00F01F6B" w:rsidRPr="00640D24" w:rsidRDefault="00F01F6B" w:rsidP="00F01F6B">
      <w:pPr>
        <w:spacing w:before="60" w:after="60" w:line="240" w:lineRule="auto"/>
        <w:ind w:firstLine="567"/>
        <w:jc w:val="both"/>
        <w:rPr>
          <w:rFonts w:cs="Times New Roman"/>
          <w:sz w:val="22"/>
          <w:szCs w:val="22"/>
        </w:rPr>
      </w:pPr>
      <w:r w:rsidRPr="00640D24">
        <w:rPr>
          <w:rFonts w:cs="Times New Roman"/>
          <w:sz w:val="22"/>
          <w:szCs w:val="22"/>
        </w:rPr>
        <w:t xml:space="preserve">Tiek 2014–2020 m. ES SF lėšų panaudojimo analizė, tiek pastarųjų metų (2020–2022 m.) </w:t>
      </w:r>
      <w:proofErr w:type="spellStart"/>
      <w:r w:rsidRPr="00640D24">
        <w:rPr>
          <w:rFonts w:cs="Times New Roman"/>
          <w:sz w:val="22"/>
          <w:szCs w:val="22"/>
        </w:rPr>
        <w:t>socio</w:t>
      </w:r>
      <w:proofErr w:type="spellEnd"/>
      <w:r w:rsidR="00645085" w:rsidRPr="00640D24">
        <w:rPr>
          <w:rFonts w:cs="Times New Roman"/>
          <w:sz w:val="22"/>
          <w:szCs w:val="22"/>
        </w:rPr>
        <w:t>–</w:t>
      </w:r>
      <w:r w:rsidRPr="00640D24">
        <w:rPr>
          <w:rFonts w:cs="Times New Roman"/>
          <w:sz w:val="22"/>
          <w:szCs w:val="22"/>
        </w:rPr>
        <w:t xml:space="preserve">ekonominės aplinkybės ir kylančios rizikos didina investicijų į konkurencingumo skatinimą poreikį ne tik regionuose, tačiau ir Sostinės regione. Tad siekiant nustatyti investicijų poreikį įmonių gamybos procesų automatizavimui ir </w:t>
      </w:r>
      <w:proofErr w:type="spellStart"/>
      <w:r w:rsidRPr="00640D24">
        <w:rPr>
          <w:rFonts w:cs="Times New Roman"/>
          <w:sz w:val="22"/>
          <w:szCs w:val="22"/>
        </w:rPr>
        <w:t>skaitmeninimo</w:t>
      </w:r>
      <w:proofErr w:type="spellEnd"/>
      <w:r w:rsidRPr="00640D24">
        <w:rPr>
          <w:rFonts w:cs="Times New Roman"/>
          <w:sz w:val="22"/>
          <w:szCs w:val="22"/>
        </w:rPr>
        <w:t xml:space="preserve"> technologijų diegimui Sostinės regione, 2023 m. liepos m</w:t>
      </w:r>
      <w:r w:rsidR="00D96891" w:rsidRPr="00640D24">
        <w:rPr>
          <w:rFonts w:cs="Times New Roman"/>
          <w:sz w:val="22"/>
          <w:szCs w:val="22"/>
        </w:rPr>
        <w:t>ėn. buvo atliktos</w:t>
      </w:r>
      <w:r w:rsidRPr="00640D24">
        <w:rPr>
          <w:rFonts w:cs="Times New Roman"/>
          <w:sz w:val="22"/>
          <w:szCs w:val="22"/>
        </w:rPr>
        <w:t xml:space="preserve"> MVĮ ir DĮ subjektų apklausos, kurių metu didelis dėmesys buvo skiriamas gamybos modernizavimo ir pramonės </w:t>
      </w:r>
      <w:proofErr w:type="spellStart"/>
      <w:r w:rsidRPr="00640D24">
        <w:rPr>
          <w:rFonts w:cs="Times New Roman"/>
          <w:sz w:val="22"/>
          <w:szCs w:val="22"/>
        </w:rPr>
        <w:t>skaitmenizavimo</w:t>
      </w:r>
      <w:proofErr w:type="spellEnd"/>
      <w:r w:rsidRPr="00640D24">
        <w:rPr>
          <w:rFonts w:cs="Times New Roman"/>
          <w:sz w:val="22"/>
          <w:szCs w:val="22"/>
        </w:rPr>
        <w:t xml:space="preserve"> investicijų poreikiui nustatyti. Iš visų apklaustų respondentų MVĮ apklausoje, kiek daugiau nei 59 proc. įmonių nurodė, kad per artimiausius 3 metus investuos į gamybos modernizavimą ir pramonės </w:t>
      </w:r>
      <w:proofErr w:type="spellStart"/>
      <w:r w:rsidRPr="00640D24">
        <w:rPr>
          <w:rFonts w:cs="Times New Roman"/>
          <w:sz w:val="22"/>
          <w:szCs w:val="22"/>
        </w:rPr>
        <w:t>skaitmenizavimą</w:t>
      </w:r>
      <w:proofErr w:type="spellEnd"/>
      <w:r w:rsidRPr="00640D24">
        <w:rPr>
          <w:rFonts w:cs="Times New Roman"/>
          <w:sz w:val="22"/>
          <w:szCs w:val="22"/>
        </w:rPr>
        <w:t xml:space="preserve">. Tuo tarpu DĮ apklausoje, 50 proc. įmonių nurodė, kad investuos į tokio tipo veiklas (detalūs anketinės apklausos rezultatai pristatomi </w:t>
      </w:r>
      <w:r w:rsidR="00A91DFB" w:rsidRPr="00640D24">
        <w:rPr>
          <w:rFonts w:cs="Times New Roman"/>
          <w:sz w:val="22"/>
          <w:szCs w:val="22"/>
        </w:rPr>
        <w:t>5–6</w:t>
      </w:r>
      <w:r w:rsidRPr="00640D24">
        <w:rPr>
          <w:rFonts w:cs="Times New Roman"/>
          <w:sz w:val="22"/>
          <w:szCs w:val="22"/>
        </w:rPr>
        <w:t xml:space="preserve"> pried</w:t>
      </w:r>
      <w:r w:rsidR="00A91DFB" w:rsidRPr="00640D24">
        <w:rPr>
          <w:rFonts w:cs="Times New Roman"/>
          <w:sz w:val="22"/>
          <w:szCs w:val="22"/>
        </w:rPr>
        <w:t>uose</w:t>
      </w:r>
      <w:r w:rsidRPr="00640D24">
        <w:rPr>
          <w:rFonts w:cs="Times New Roman"/>
          <w:sz w:val="22"/>
          <w:szCs w:val="22"/>
        </w:rPr>
        <w:t xml:space="preserve">). </w:t>
      </w:r>
    </w:p>
    <w:p w14:paraId="16930BD3" w14:textId="7C0E8344" w:rsidR="0062120C" w:rsidRPr="00640D24" w:rsidRDefault="0062120C" w:rsidP="0062120C">
      <w:pPr>
        <w:spacing w:before="60" w:after="60" w:line="240" w:lineRule="auto"/>
        <w:ind w:firstLine="562"/>
        <w:jc w:val="both"/>
        <w:rPr>
          <w:sz w:val="22"/>
          <w:szCs w:val="22"/>
        </w:rPr>
      </w:pPr>
      <w:r w:rsidRPr="00640D24">
        <w:rPr>
          <w:sz w:val="22"/>
          <w:szCs w:val="22"/>
        </w:rPr>
        <w:t xml:space="preserve">Siekiant NPP tikslų – pasiekti, kad gyvybės mokslų industrijos sukuriamos pridėtinės vertės dalis nuo bendros šalies pridėtinės vertės 2030 m. sudarytų 5 procentus, Lietuvos gyvybės mokslų sektoriui yra reikalinga papildomai sugeneruoti apie 2,5 mlrd. </w:t>
      </w:r>
      <w:proofErr w:type="spellStart"/>
      <w:r w:rsidRPr="00640D24">
        <w:rPr>
          <w:sz w:val="22"/>
          <w:szCs w:val="22"/>
        </w:rPr>
        <w:t>Eur</w:t>
      </w:r>
      <w:proofErr w:type="spellEnd"/>
      <w:r w:rsidRPr="00640D24">
        <w:rPr>
          <w:sz w:val="22"/>
          <w:szCs w:val="22"/>
        </w:rPr>
        <w:t xml:space="preserve">. pajamų per metus (prie jau esamų 2,7 mlrd. </w:t>
      </w:r>
      <w:proofErr w:type="spellStart"/>
      <w:r w:rsidRPr="00640D24">
        <w:rPr>
          <w:sz w:val="22"/>
          <w:szCs w:val="22"/>
        </w:rPr>
        <w:t>Eur</w:t>
      </w:r>
      <w:proofErr w:type="spellEnd"/>
      <w:r w:rsidRPr="00640D24">
        <w:rPr>
          <w:sz w:val="22"/>
          <w:szCs w:val="22"/>
        </w:rPr>
        <w:t xml:space="preserve">.). Remiantis atliktų interviu su Lietuvos biotechnologijų asociacija medžiaga, NPP tikslo pasiekimą leistų užtikrinti 500 mln. </w:t>
      </w:r>
      <w:proofErr w:type="spellStart"/>
      <w:r w:rsidRPr="00640D24">
        <w:rPr>
          <w:sz w:val="22"/>
          <w:szCs w:val="22"/>
        </w:rPr>
        <w:t>Eur</w:t>
      </w:r>
      <w:proofErr w:type="spellEnd"/>
      <w:r w:rsidRPr="00640D24">
        <w:rPr>
          <w:sz w:val="22"/>
          <w:szCs w:val="22"/>
        </w:rPr>
        <w:t xml:space="preserve"> siekiančios investicijos į biotechnologijų sektorių. Iš nurodytos sumos, apie 300 mln. </w:t>
      </w:r>
      <w:proofErr w:type="spellStart"/>
      <w:r w:rsidRPr="00640D24">
        <w:rPr>
          <w:sz w:val="22"/>
          <w:szCs w:val="22"/>
        </w:rPr>
        <w:t>Eur</w:t>
      </w:r>
      <w:proofErr w:type="spellEnd"/>
      <w:r w:rsidRPr="00640D24">
        <w:rPr>
          <w:sz w:val="22"/>
          <w:szCs w:val="22"/>
        </w:rPr>
        <w:t xml:space="preserve">. turėtų būti skirta investicijoms į verslo MTEP infrastruktūrą ir biotechnologijų inovacijų plėtrą. Dar apie 200 mln. </w:t>
      </w:r>
      <w:proofErr w:type="spellStart"/>
      <w:r w:rsidRPr="00640D24">
        <w:rPr>
          <w:sz w:val="22"/>
          <w:szCs w:val="22"/>
        </w:rPr>
        <w:t>Eur</w:t>
      </w:r>
      <w:proofErr w:type="spellEnd"/>
      <w:r w:rsidRPr="00640D24">
        <w:rPr>
          <w:sz w:val="22"/>
          <w:szCs w:val="22"/>
        </w:rPr>
        <w:t xml:space="preserve">. turėtų būti skirta taikomojo mokslo infrastruktūros plėtrai ir jos </w:t>
      </w:r>
      <w:proofErr w:type="spellStart"/>
      <w:r w:rsidRPr="00640D24">
        <w:rPr>
          <w:sz w:val="22"/>
          <w:szCs w:val="22"/>
        </w:rPr>
        <w:t>įveiklinimui</w:t>
      </w:r>
      <w:proofErr w:type="spellEnd"/>
      <w:r w:rsidRPr="00640D24">
        <w:rPr>
          <w:sz w:val="22"/>
          <w:szCs w:val="22"/>
        </w:rPr>
        <w:t>. Vertintojų nuomone taikomojo mokslo infrastruktūros pajėgumų finansavimui tinkamesnė priemonė yra dotacijos. Tokio tipo investicijų pagrindinė išlaidų kategorija yra darbo sąnaudos ir tokios investicijos tiesiogiai negeneruoja investicinės grąžos ir pajamų srautų.</w:t>
      </w:r>
    </w:p>
    <w:p w14:paraId="223956C0" w14:textId="77777777" w:rsidR="0062120C" w:rsidRPr="00640D24" w:rsidRDefault="0062120C" w:rsidP="0062120C">
      <w:pPr>
        <w:spacing w:before="60" w:after="60" w:line="240" w:lineRule="auto"/>
        <w:ind w:firstLine="562"/>
        <w:jc w:val="both"/>
        <w:rPr>
          <w:sz w:val="22"/>
          <w:szCs w:val="22"/>
        </w:rPr>
      </w:pPr>
      <w:r w:rsidRPr="00640D24">
        <w:rPr>
          <w:sz w:val="22"/>
          <w:szCs w:val="22"/>
        </w:rPr>
        <w:t xml:space="preserve">Kita vertus, verslo MTEP infrastruktūra, biotechnologijų inovacijos ir gamybinių pajėgumų gerinimas yra tinkami finansuoti finansinėmis priemonėmis dėl tokių projektų aukšto atsiperkamumo. Remiantis interviu su biotechnologijų asociacija, iki pusės 300 mln. investicijų į verslo MTEP infrastruktūrą ir biotechnologijų inovacijų plėtrą galėtų finansuoti patys verslo subjektai. Remiantis šia asociacijos informacija, galima teigti, kad investicijų trūkumas biotechnologijų sektoriuje siekia 150 mln. </w:t>
      </w:r>
      <w:proofErr w:type="spellStart"/>
      <w:r w:rsidRPr="00640D24">
        <w:rPr>
          <w:sz w:val="22"/>
          <w:szCs w:val="22"/>
        </w:rPr>
        <w:t>Eur</w:t>
      </w:r>
      <w:proofErr w:type="spellEnd"/>
      <w:r w:rsidRPr="00640D24">
        <w:rPr>
          <w:sz w:val="22"/>
          <w:szCs w:val="22"/>
        </w:rPr>
        <w:t xml:space="preserve">. </w:t>
      </w:r>
    </w:p>
    <w:p w14:paraId="0CC1C6F7" w14:textId="53CED398" w:rsidR="0062120C" w:rsidRPr="00640D24" w:rsidRDefault="0062120C" w:rsidP="0062120C">
      <w:pPr>
        <w:spacing w:before="60" w:after="60" w:line="240" w:lineRule="auto"/>
        <w:ind w:firstLine="562"/>
        <w:jc w:val="both"/>
        <w:rPr>
          <w:b/>
          <w:bCs/>
          <w:sz w:val="22"/>
          <w:szCs w:val="22"/>
        </w:rPr>
      </w:pPr>
      <w:r w:rsidRPr="00640D24">
        <w:rPr>
          <w:sz w:val="22"/>
          <w:szCs w:val="22"/>
        </w:rPr>
        <w:t>Siekiant įsitikinti šių skaičiavimų pagrįstumu, vertintojai papildomai apklausė biotechnologijų sektoriaus įmones anketinės apklausos būdu. Apklausų būdu pavyko pasiekti 32</w:t>
      </w:r>
      <w:r w:rsidRPr="00640D24">
        <w:rPr>
          <w:rStyle w:val="Puslapioinaosnuoroda"/>
          <w:sz w:val="22"/>
          <w:szCs w:val="22"/>
        </w:rPr>
        <w:footnoteReference w:id="72"/>
      </w:r>
      <w:r w:rsidRPr="00640D24">
        <w:rPr>
          <w:sz w:val="22"/>
          <w:szCs w:val="22"/>
        </w:rPr>
        <w:t xml:space="preserve"> biotechnologijų įmones. Šių respondentų nuomone, didžiausias investicijų poreikis yra MTEP srityje ir biotechnologinių gamybinių pajėgumų / infrastruktūros plėtroje. Tad pagal tematines sritis anketinės apklausos rezultatai sutampa su asociacijos išreikštais investicijų prioritetais. Tuo tarpu remiantis investicijų paklausos poreikio analize, </w:t>
      </w:r>
      <w:r w:rsidRPr="00640D24">
        <w:rPr>
          <w:sz w:val="22"/>
          <w:szCs w:val="22"/>
        </w:rPr>
        <w:lastRenderedPageBreak/>
        <w:t xml:space="preserve">respondentai nurodė, kad per ateinančius tris metus papildomas investicijų poreikis siekia kiek mažiau nei 51 mln. </w:t>
      </w:r>
      <w:proofErr w:type="spellStart"/>
      <w:r w:rsidRPr="00640D24">
        <w:rPr>
          <w:sz w:val="22"/>
          <w:szCs w:val="22"/>
        </w:rPr>
        <w:t>Eur</w:t>
      </w:r>
      <w:proofErr w:type="spellEnd"/>
      <w:r w:rsidRPr="00640D24">
        <w:rPr>
          <w:sz w:val="22"/>
          <w:szCs w:val="22"/>
        </w:rPr>
        <w:t xml:space="preserve">. Padalinus šią sumą iš 3 tam, kad būtų gautas metinis investicijų poreikis ir darant prielaidą, kad 2023–2029 m. laikotarpiu kasmet bus investuojama apskaičiuota lėšų suma (~17 mln. </w:t>
      </w:r>
      <w:proofErr w:type="spellStart"/>
      <w:r w:rsidRPr="00640D24">
        <w:rPr>
          <w:sz w:val="22"/>
          <w:szCs w:val="22"/>
        </w:rPr>
        <w:t>Eur</w:t>
      </w:r>
      <w:proofErr w:type="spellEnd"/>
      <w:r w:rsidRPr="00640D24">
        <w:rPr>
          <w:sz w:val="22"/>
          <w:szCs w:val="22"/>
        </w:rPr>
        <w:t>), vertintojai apskaičiavo, kad investicijų poreikis iki 2029 m. sieks apie 100</w:t>
      </w:r>
      <w:r w:rsidR="00645085" w:rsidRPr="00640D24">
        <w:rPr>
          <w:sz w:val="22"/>
          <w:szCs w:val="22"/>
        </w:rPr>
        <w:t>–</w:t>
      </w:r>
      <w:r w:rsidRPr="00640D24">
        <w:rPr>
          <w:sz w:val="22"/>
          <w:szCs w:val="22"/>
        </w:rPr>
        <w:t xml:space="preserve">150 mln. </w:t>
      </w:r>
      <w:proofErr w:type="spellStart"/>
      <w:r w:rsidRPr="00640D24">
        <w:rPr>
          <w:sz w:val="22"/>
          <w:szCs w:val="22"/>
        </w:rPr>
        <w:t>Eur</w:t>
      </w:r>
      <w:proofErr w:type="spellEnd"/>
      <w:r w:rsidRPr="00640D24">
        <w:rPr>
          <w:sz w:val="22"/>
          <w:szCs w:val="22"/>
        </w:rPr>
        <w:t xml:space="preserve">. Nors ši suma yra šiek tiek mažesnė nei nurodyta asociacijos, atsižvelgiant į infliaciją 2023–2029 m., tikėtina kad investicijų poreikis gali išaugti iki asociacijos nurodyto lygio. Taip pat pastebėtina, kad papildomas investicijų poreikis gali ateiti iš naujai į Lietuva ateinančių biotechnologijų įmonių, kurias gali pritraukti tiek investicijų prieinamumas ir patrauklios išorinio finansavimo sąlygos, tiek egzistuojanti ir išvystyta tyrimų infrastruktūrą. </w:t>
      </w:r>
      <w:r w:rsidRPr="00640D24">
        <w:rPr>
          <w:b/>
          <w:bCs/>
          <w:sz w:val="22"/>
          <w:szCs w:val="22"/>
        </w:rPr>
        <w:t xml:space="preserve">Atsižvelgiant į šių veiksnių visumą, galima teigti, kad investicijų trūkumas biotechnologijų sektoriuje iki 2029 m. sieks apie 150 mln. </w:t>
      </w:r>
      <w:proofErr w:type="spellStart"/>
      <w:r w:rsidRPr="00640D24">
        <w:rPr>
          <w:b/>
          <w:bCs/>
          <w:sz w:val="22"/>
          <w:szCs w:val="22"/>
        </w:rPr>
        <w:t>Eur</w:t>
      </w:r>
      <w:proofErr w:type="spellEnd"/>
      <w:r w:rsidR="00BB1D5C" w:rsidRPr="00640D24">
        <w:rPr>
          <w:b/>
          <w:bCs/>
          <w:sz w:val="22"/>
          <w:szCs w:val="22"/>
        </w:rPr>
        <w:t>.</w:t>
      </w:r>
    </w:p>
    <w:p w14:paraId="57D7C2AD" w14:textId="67D4B595" w:rsidR="00F01F6B" w:rsidRPr="00640D24" w:rsidRDefault="00B4197D" w:rsidP="001E5C0D">
      <w:pPr>
        <w:pStyle w:val="Antrat3"/>
        <w:spacing w:before="120"/>
      </w:pPr>
      <w:bookmarkStart w:id="80" w:name="_Toc53953508"/>
      <w:bookmarkStart w:id="81" w:name="_Toc53953509"/>
      <w:bookmarkStart w:id="82" w:name="_Toc146812395"/>
      <w:bookmarkEnd w:id="80"/>
      <w:bookmarkEnd w:id="81"/>
      <w:r w:rsidRPr="00640D24">
        <w:t xml:space="preserve">2.3.5.4. </w:t>
      </w:r>
      <w:r w:rsidR="00F01F6B" w:rsidRPr="00640D24">
        <w:t>Gynybos ir saugumo pramonės sektorius</w:t>
      </w:r>
      <w:bookmarkEnd w:id="82"/>
    </w:p>
    <w:p w14:paraId="365C26FB" w14:textId="41BD42F1" w:rsidR="00B4197D" w:rsidRPr="00640D24" w:rsidRDefault="00B4197D" w:rsidP="001E5C0D">
      <w:pPr>
        <w:spacing w:before="120" w:after="120" w:line="240" w:lineRule="auto"/>
        <w:ind w:left="567"/>
        <w:rPr>
          <w:rFonts w:cs="Times New Roman"/>
          <w:i/>
          <w:iCs/>
          <w:sz w:val="22"/>
          <w:szCs w:val="22"/>
        </w:rPr>
      </w:pPr>
      <w:r w:rsidRPr="00640D24">
        <w:rPr>
          <w:rFonts w:cs="Times New Roman"/>
          <w:i/>
          <w:iCs/>
          <w:sz w:val="22"/>
          <w:szCs w:val="22"/>
        </w:rPr>
        <w:t>Investicijų paklausos analizė</w:t>
      </w:r>
    </w:p>
    <w:p w14:paraId="0B544C61" w14:textId="09791637" w:rsidR="00F01F6B" w:rsidRPr="00640D24" w:rsidRDefault="7B836141" w:rsidP="00F01F6B">
      <w:pPr>
        <w:spacing w:before="60" w:after="60" w:line="240" w:lineRule="auto"/>
        <w:ind w:firstLine="562"/>
        <w:jc w:val="both"/>
        <w:rPr>
          <w:sz w:val="22"/>
          <w:szCs w:val="22"/>
        </w:rPr>
      </w:pPr>
      <w:r w:rsidRPr="00640D24">
        <w:rPr>
          <w:sz w:val="22"/>
          <w:szCs w:val="22"/>
        </w:rPr>
        <w:t>Remiantis atliktų interviu informacija, karo prieš Ukrainą kontekste yra ženkliai išaugusi investicijų paklausa gynybos ir saugumo pramonės projektams. Respondentų nuomone, net ir pasibaigus karui prieš Ukrain</w:t>
      </w:r>
      <w:r w:rsidR="1F3BC930" w:rsidRPr="00640D24">
        <w:rPr>
          <w:sz w:val="22"/>
          <w:szCs w:val="22"/>
        </w:rPr>
        <w:t>ą</w:t>
      </w:r>
      <w:r w:rsidRPr="00640D24">
        <w:rPr>
          <w:sz w:val="22"/>
          <w:szCs w:val="22"/>
        </w:rPr>
        <w:t>, tikėtina, kad didžiulė paklausa amunicijai, ginklams ir dvigubos paskirties produkcijai išliks mažiausiai dar ateinančius 10 metų. Didžiulė tokios produkcijos paklausa pagrįstina tuo, kad dabartinis karas išeikvojo amunicijos atsargas pasaulyje, o reikšmingai išaugusios geopolitinės rizikos skatina investicijas į gynybinių pajėgumų didinimą. Apklaustų respondentų nuomone, siekiant atliepti išaugusią paklausą gynybos ir saugumo pramonės produkcijai, jau šiuo metu veikiančios įmonės nori plėsti savo gamybinius pajėgumus. Pajėgumus nori plėsti ne tik lietuviškos kilmės įmonės, tačiau ir užsienio įmonės (iš NATO valstybių), kurios svarsto plėsti gamybinius pajėgumus, įrengiant amunicijos ir kitų produktų gamybos linijas Lietuvoje. Vis dėlto tiek lietuviškos, tiek užsienio įmonės susiduria su problema, kad didžiausios Lietuvoje veikiančios finansų įstaigos nesutinka finansuoti tokios veiklos. Remiantis interviu su finansų įstaigomis informacija, visų apklaustų kredito įstaigų atstovai teigė, kad gynybos ir saugumo sektoriaus finansavimas prieštarauja jų vidaus taisyklėms. Net ir tais atvejais, kai yra gaminama dvigubos paskirties produkcija, į tokią įmon</w:t>
      </w:r>
      <w:r w:rsidR="362148D0" w:rsidRPr="00640D24">
        <w:rPr>
          <w:sz w:val="22"/>
          <w:szCs w:val="22"/>
        </w:rPr>
        <w:t>ę</w:t>
      </w:r>
      <w:r w:rsidRPr="00640D24">
        <w:rPr>
          <w:sz w:val="22"/>
          <w:szCs w:val="22"/>
        </w:rPr>
        <w:t xml:space="preserve"> taip pat yra žiūrima kaip į įmonę su padidinta rizika ir dažnu atveju taip pat nesutinkama finansuoti veiklos</w:t>
      </w:r>
      <w:r w:rsidR="1F3BC930" w:rsidRPr="00640D24">
        <w:rPr>
          <w:sz w:val="22"/>
          <w:szCs w:val="22"/>
        </w:rPr>
        <w:t xml:space="preserve"> ar siūlomos finansavimo sąlygos nėra patrauklios</w:t>
      </w:r>
      <w:r w:rsidRPr="00640D24">
        <w:rPr>
          <w:sz w:val="22"/>
          <w:szCs w:val="22"/>
        </w:rPr>
        <w:t>.</w:t>
      </w:r>
      <w:r w:rsidR="1F3BC930" w:rsidRPr="00640D24">
        <w:rPr>
          <w:sz w:val="22"/>
          <w:szCs w:val="22"/>
        </w:rPr>
        <w:t xml:space="preserve"> Tuo tarpu alternatyvių finansuotojų siūlomos finansavimo sąlygos dažnu atveju yra labai nepatrauklios dėl aukštų siūlomų palūkanų normų, trumpo finansavimo laikotarpio ir siūlomos finansuoti sumos.</w:t>
      </w:r>
      <w:r w:rsidRPr="00640D24">
        <w:rPr>
          <w:sz w:val="22"/>
          <w:szCs w:val="22"/>
        </w:rPr>
        <w:t xml:space="preserve"> Tai leidžia prieiti prie išvados, kad gynybos ir saugumo sektorius dėl savo specifikos ir išskirtinumo susiduria su finansavimo trūkumu. Tokia situacija ne tik riboja Lietuvoje veikiančių gynybos ir saugumo sektoriaus įmonių plėtros galimybes, tačiau taip pat ir nekuria prielaidų naujų, seniai veikiančių gynybos sektoriaus įmonių</w:t>
      </w:r>
      <w:r w:rsidR="21FE3B69" w:rsidRPr="00640D24">
        <w:rPr>
          <w:sz w:val="22"/>
          <w:szCs w:val="22"/>
        </w:rPr>
        <w:t>, kurių kilmės šalys yra NATO narės ir kitos Vakarų pasaulio šalys</w:t>
      </w:r>
      <w:r w:rsidR="362148D0" w:rsidRPr="00640D24">
        <w:rPr>
          <w:sz w:val="22"/>
          <w:szCs w:val="22"/>
        </w:rPr>
        <w:t>,</w:t>
      </w:r>
      <w:r w:rsidRPr="00640D24">
        <w:rPr>
          <w:sz w:val="22"/>
          <w:szCs w:val="22"/>
        </w:rPr>
        <w:t xml:space="preserve"> pritraukimui į Lietuvą. </w:t>
      </w:r>
      <w:r w:rsidRPr="00640D24">
        <w:rPr>
          <w:b/>
          <w:bCs/>
          <w:sz w:val="22"/>
          <w:szCs w:val="22"/>
        </w:rPr>
        <w:t xml:space="preserve">Remiantis </w:t>
      </w:r>
      <w:r w:rsidR="0075483D" w:rsidRPr="00640D24">
        <w:rPr>
          <w:b/>
          <w:bCs/>
          <w:sz w:val="22"/>
          <w:szCs w:val="22"/>
        </w:rPr>
        <w:t xml:space="preserve">2023 m. atlikto </w:t>
      </w:r>
      <w:r w:rsidRPr="00640D24">
        <w:rPr>
          <w:b/>
          <w:bCs/>
          <w:sz w:val="22"/>
          <w:szCs w:val="22"/>
        </w:rPr>
        <w:t xml:space="preserve">interviu metu surinkta informacija ir ekspertiniu vertinimu, rinkoje egzistuoja  iki 150 mln. </w:t>
      </w:r>
      <w:proofErr w:type="spellStart"/>
      <w:r w:rsidRPr="00640D24">
        <w:rPr>
          <w:b/>
          <w:bCs/>
          <w:sz w:val="22"/>
          <w:szCs w:val="22"/>
        </w:rPr>
        <w:t>Eur</w:t>
      </w:r>
      <w:proofErr w:type="spellEnd"/>
      <w:r w:rsidRPr="00640D24">
        <w:rPr>
          <w:b/>
          <w:bCs/>
          <w:sz w:val="22"/>
          <w:szCs w:val="22"/>
        </w:rPr>
        <w:t xml:space="preserve"> siekianti investicijų paklausa gynybos ir saugumo sektoriaus įmonėms. </w:t>
      </w:r>
      <w:r w:rsidRPr="00640D24">
        <w:rPr>
          <w:sz w:val="22"/>
          <w:szCs w:val="22"/>
        </w:rPr>
        <w:t>Bent dalis šio finansavimo trūkumo galėtų būti finansuojama pačių įmonių – tyrimo metu apklaus</w:t>
      </w:r>
      <w:r w:rsidR="362148D0" w:rsidRPr="00640D24">
        <w:rPr>
          <w:sz w:val="22"/>
          <w:szCs w:val="22"/>
        </w:rPr>
        <w:t>t</w:t>
      </w:r>
      <w:r w:rsidRPr="00640D24">
        <w:rPr>
          <w:sz w:val="22"/>
          <w:szCs w:val="22"/>
        </w:rPr>
        <w:t xml:space="preserve">os įmonės ir sektoriaus ekspertai – nurodė, kad tiek seniai veikiančios įmonės, tiek naujai ateinančios įmonės galėtų prie projektų įgyvendinimo prisidėti bent 30 proc. nuosavomis lėšomis. </w:t>
      </w:r>
      <w:r w:rsidRPr="00640D24">
        <w:rPr>
          <w:b/>
          <w:bCs/>
          <w:sz w:val="22"/>
          <w:szCs w:val="22"/>
        </w:rPr>
        <w:t xml:space="preserve">Atsižvelgiant į tai, tikėtina, kad realus investicijų trūkumas gynybos ir saugumo sektoriaus įmonėms siekia maždaug 100 mln. </w:t>
      </w:r>
      <w:proofErr w:type="spellStart"/>
      <w:r w:rsidRPr="00640D24">
        <w:rPr>
          <w:b/>
          <w:bCs/>
          <w:sz w:val="22"/>
          <w:szCs w:val="22"/>
        </w:rPr>
        <w:t>Eur</w:t>
      </w:r>
      <w:proofErr w:type="spellEnd"/>
      <w:r w:rsidRPr="00640D24">
        <w:rPr>
          <w:b/>
          <w:bCs/>
          <w:sz w:val="22"/>
          <w:szCs w:val="22"/>
        </w:rPr>
        <w:t>.</w:t>
      </w:r>
      <w:r w:rsidRPr="00640D24">
        <w:rPr>
          <w:sz w:val="22"/>
          <w:szCs w:val="22"/>
        </w:rPr>
        <w:t xml:space="preserve"> </w:t>
      </w:r>
    </w:p>
    <w:p w14:paraId="0000D2A1" w14:textId="299E9253" w:rsidR="00D7519C" w:rsidRPr="00640D24" w:rsidRDefault="0048390D" w:rsidP="00F01F6B">
      <w:pPr>
        <w:spacing w:before="60" w:after="60" w:line="240" w:lineRule="auto"/>
        <w:ind w:firstLine="562"/>
        <w:jc w:val="both"/>
        <w:rPr>
          <w:sz w:val="22"/>
          <w:szCs w:val="22"/>
        </w:rPr>
      </w:pPr>
      <w:r w:rsidRPr="00640D24">
        <w:rPr>
          <w:sz w:val="22"/>
          <w:szCs w:val="22"/>
        </w:rPr>
        <w:t xml:space="preserve">Stebint augantį </w:t>
      </w:r>
      <w:r w:rsidR="00EF5931" w:rsidRPr="00640D24">
        <w:rPr>
          <w:sz w:val="22"/>
          <w:szCs w:val="22"/>
        </w:rPr>
        <w:t xml:space="preserve">įsitraukusių ir planuojančių įsitraukti </w:t>
      </w:r>
      <w:r w:rsidR="004A7F28" w:rsidRPr="00640D24">
        <w:rPr>
          <w:sz w:val="22"/>
          <w:szCs w:val="22"/>
        </w:rPr>
        <w:t>į</w:t>
      </w:r>
      <w:r w:rsidRPr="00640D24">
        <w:rPr>
          <w:sz w:val="22"/>
          <w:szCs w:val="22"/>
        </w:rPr>
        <w:t xml:space="preserve"> gynybos ir saugumo pramon</w:t>
      </w:r>
      <w:r w:rsidR="004A7F28" w:rsidRPr="00640D24">
        <w:rPr>
          <w:sz w:val="22"/>
          <w:szCs w:val="22"/>
        </w:rPr>
        <w:t xml:space="preserve">ės veiklas įmonių skaičių, </w:t>
      </w:r>
      <w:r w:rsidR="002E3F47" w:rsidRPr="00640D24">
        <w:rPr>
          <w:sz w:val="22"/>
          <w:szCs w:val="22"/>
        </w:rPr>
        <w:t xml:space="preserve">potencialių gamybos </w:t>
      </w:r>
      <w:proofErr w:type="spellStart"/>
      <w:r w:rsidR="002E3F47" w:rsidRPr="00640D24">
        <w:rPr>
          <w:sz w:val="22"/>
          <w:szCs w:val="22"/>
        </w:rPr>
        <w:t>startuolių</w:t>
      </w:r>
      <w:proofErr w:type="spellEnd"/>
      <w:r w:rsidR="002E3F47" w:rsidRPr="00640D24">
        <w:rPr>
          <w:sz w:val="22"/>
          <w:szCs w:val="22"/>
        </w:rPr>
        <w:t xml:space="preserve"> skaičiaus didėjimą be</w:t>
      </w:r>
      <w:r w:rsidR="005F1683" w:rsidRPr="00640D24">
        <w:rPr>
          <w:sz w:val="22"/>
          <w:szCs w:val="22"/>
        </w:rPr>
        <w:t>i jų sėkmingai pritrauktas investicijas</w:t>
      </w:r>
      <w:r w:rsidRPr="00640D24">
        <w:rPr>
          <w:sz w:val="22"/>
          <w:szCs w:val="22"/>
        </w:rPr>
        <w:t xml:space="preserve">, </w:t>
      </w:r>
      <w:r w:rsidR="00C75398" w:rsidRPr="00640D24">
        <w:rPr>
          <w:sz w:val="22"/>
          <w:szCs w:val="22"/>
        </w:rPr>
        <w:t xml:space="preserve">2024 m. gegužės – liepos mėn. </w:t>
      </w:r>
      <w:r w:rsidR="002D0F2D" w:rsidRPr="00640D24">
        <w:rPr>
          <w:sz w:val="22"/>
          <w:szCs w:val="22"/>
        </w:rPr>
        <w:t>b</w:t>
      </w:r>
      <w:r w:rsidR="00C75398" w:rsidRPr="00640D24">
        <w:rPr>
          <w:sz w:val="22"/>
          <w:szCs w:val="22"/>
        </w:rPr>
        <w:t xml:space="preserve">uvo </w:t>
      </w:r>
      <w:r w:rsidR="0012646E" w:rsidRPr="00640D24">
        <w:rPr>
          <w:sz w:val="22"/>
          <w:szCs w:val="22"/>
        </w:rPr>
        <w:t>atnaujintas</w:t>
      </w:r>
      <w:r w:rsidR="00C75398" w:rsidRPr="00640D24">
        <w:rPr>
          <w:sz w:val="22"/>
          <w:szCs w:val="22"/>
        </w:rPr>
        <w:t xml:space="preserve"> </w:t>
      </w:r>
      <w:r w:rsidR="002D0F2D" w:rsidRPr="00640D24">
        <w:rPr>
          <w:sz w:val="22"/>
          <w:szCs w:val="22"/>
        </w:rPr>
        <w:t xml:space="preserve">finansavimo poreikio </w:t>
      </w:r>
      <w:r w:rsidR="0012646E" w:rsidRPr="00640D24">
        <w:rPr>
          <w:sz w:val="22"/>
          <w:szCs w:val="22"/>
        </w:rPr>
        <w:t>vertinimas</w:t>
      </w:r>
      <w:r w:rsidR="002D0F2D" w:rsidRPr="00640D24">
        <w:rPr>
          <w:sz w:val="22"/>
          <w:szCs w:val="22"/>
        </w:rPr>
        <w:t>.</w:t>
      </w:r>
      <w:r w:rsidR="005F1683" w:rsidRPr="00640D24">
        <w:rPr>
          <w:sz w:val="22"/>
          <w:szCs w:val="22"/>
        </w:rPr>
        <w:t xml:space="preserve"> Jo metu</w:t>
      </w:r>
      <w:r w:rsidR="00481B23" w:rsidRPr="00640D24">
        <w:rPr>
          <w:sz w:val="22"/>
          <w:szCs w:val="22"/>
        </w:rPr>
        <w:t xml:space="preserve"> išanalizavus turimus duomenis apie gynybos ir saugumo pramonę, joje veikianč</w:t>
      </w:r>
      <w:r w:rsidR="00EC3EF4" w:rsidRPr="00640D24">
        <w:rPr>
          <w:sz w:val="22"/>
          <w:szCs w:val="22"/>
        </w:rPr>
        <w:t>i</w:t>
      </w:r>
      <w:r w:rsidR="00481B23" w:rsidRPr="00640D24">
        <w:rPr>
          <w:sz w:val="22"/>
          <w:szCs w:val="22"/>
        </w:rPr>
        <w:t>as įmones, ri</w:t>
      </w:r>
      <w:r w:rsidR="00EC3EF4" w:rsidRPr="00640D24">
        <w:rPr>
          <w:sz w:val="22"/>
          <w:szCs w:val="22"/>
        </w:rPr>
        <w:t>z</w:t>
      </w:r>
      <w:r w:rsidR="00481B23" w:rsidRPr="00640D24">
        <w:rPr>
          <w:sz w:val="22"/>
          <w:szCs w:val="22"/>
        </w:rPr>
        <w:t xml:space="preserve">ikos kapitalo fondų veiklą bei gynybos </w:t>
      </w:r>
      <w:proofErr w:type="spellStart"/>
      <w:r w:rsidR="00481B23" w:rsidRPr="00640D24">
        <w:rPr>
          <w:sz w:val="22"/>
          <w:szCs w:val="22"/>
        </w:rPr>
        <w:t>startuolių</w:t>
      </w:r>
      <w:proofErr w:type="spellEnd"/>
      <w:r w:rsidR="00481B23" w:rsidRPr="00640D24">
        <w:rPr>
          <w:sz w:val="22"/>
          <w:szCs w:val="22"/>
        </w:rPr>
        <w:t xml:space="preserve"> ekosistemą</w:t>
      </w:r>
      <w:r w:rsidR="00EC3EF4" w:rsidRPr="00640D24">
        <w:rPr>
          <w:sz w:val="22"/>
          <w:szCs w:val="22"/>
        </w:rPr>
        <w:t xml:space="preserve">, atlikus interviu su </w:t>
      </w:r>
      <w:r w:rsidR="001F44ED" w:rsidRPr="00640D24">
        <w:rPr>
          <w:sz w:val="22"/>
          <w:szCs w:val="22"/>
        </w:rPr>
        <w:t xml:space="preserve">ekosistemoje veikiančiais </w:t>
      </w:r>
      <w:proofErr w:type="spellStart"/>
      <w:r w:rsidR="001F44ED" w:rsidRPr="00640D24">
        <w:rPr>
          <w:sz w:val="22"/>
          <w:szCs w:val="22"/>
        </w:rPr>
        <w:t>fasilitatoriais</w:t>
      </w:r>
      <w:proofErr w:type="spellEnd"/>
      <w:r w:rsidR="00D45033" w:rsidRPr="00640D24">
        <w:rPr>
          <w:sz w:val="22"/>
          <w:szCs w:val="22"/>
        </w:rPr>
        <w:t xml:space="preserve"> bei finansavimo įstaigomis buvo patvirtinta išaugusio finansavimo poreikio gynybos ir saugumo sektoriui prielaida.</w:t>
      </w:r>
    </w:p>
    <w:p w14:paraId="36175F62" w14:textId="7F9BC6D8" w:rsidR="008011A5" w:rsidRPr="00640D24" w:rsidRDefault="00222135" w:rsidP="00533FE3">
      <w:pPr>
        <w:spacing w:before="60" w:after="60" w:line="240" w:lineRule="auto"/>
        <w:ind w:firstLine="562"/>
        <w:jc w:val="both"/>
        <w:rPr>
          <w:sz w:val="22"/>
          <w:szCs w:val="22"/>
        </w:rPr>
      </w:pPr>
      <w:r w:rsidRPr="00640D24">
        <w:rPr>
          <w:sz w:val="22"/>
          <w:szCs w:val="22"/>
        </w:rPr>
        <w:t>2024 m. gegužės–liepos mėn. a</w:t>
      </w:r>
      <w:r w:rsidR="7B5760D4" w:rsidRPr="00640D24">
        <w:rPr>
          <w:sz w:val="22"/>
          <w:szCs w:val="22"/>
        </w:rPr>
        <w:t>tliktų interviu metu buvo pat</w:t>
      </w:r>
      <w:r w:rsidR="779A34E8" w:rsidRPr="00640D24">
        <w:rPr>
          <w:sz w:val="22"/>
          <w:szCs w:val="22"/>
        </w:rPr>
        <w:t xml:space="preserve">virtinta, kad </w:t>
      </w:r>
      <w:r w:rsidR="00F85385" w:rsidRPr="00640D24">
        <w:rPr>
          <w:sz w:val="22"/>
          <w:szCs w:val="22"/>
        </w:rPr>
        <w:t>g</w:t>
      </w:r>
      <w:r w:rsidR="082C375E" w:rsidRPr="00640D24">
        <w:rPr>
          <w:sz w:val="22"/>
          <w:szCs w:val="22"/>
        </w:rPr>
        <w:t xml:space="preserve">ynybos </w:t>
      </w:r>
      <w:r w:rsidR="00D55D41" w:rsidRPr="00640D24">
        <w:rPr>
          <w:sz w:val="22"/>
          <w:szCs w:val="22"/>
        </w:rPr>
        <w:t xml:space="preserve">sektoriui reikalingos žinios </w:t>
      </w:r>
      <w:r w:rsidR="4DE1D114" w:rsidRPr="00640D24">
        <w:rPr>
          <w:sz w:val="22"/>
          <w:szCs w:val="22"/>
        </w:rPr>
        <w:t>ir patirtis yra labiau specifin</w:t>
      </w:r>
      <w:r w:rsidR="00B50448" w:rsidRPr="00640D24">
        <w:rPr>
          <w:sz w:val="22"/>
          <w:szCs w:val="22"/>
        </w:rPr>
        <w:t>ės</w:t>
      </w:r>
      <w:r w:rsidR="00301F6F" w:rsidRPr="00640D24">
        <w:rPr>
          <w:sz w:val="22"/>
          <w:szCs w:val="22"/>
        </w:rPr>
        <w:t>.</w:t>
      </w:r>
      <w:r w:rsidR="4DE1D114" w:rsidRPr="00640D24">
        <w:rPr>
          <w:sz w:val="22"/>
          <w:szCs w:val="22"/>
        </w:rPr>
        <w:t xml:space="preserve"> </w:t>
      </w:r>
      <w:r w:rsidR="00301F6F" w:rsidRPr="00640D24">
        <w:rPr>
          <w:sz w:val="22"/>
          <w:szCs w:val="22"/>
        </w:rPr>
        <w:t>T</w:t>
      </w:r>
      <w:r w:rsidR="4DE1D114" w:rsidRPr="00640D24">
        <w:rPr>
          <w:sz w:val="22"/>
          <w:szCs w:val="22"/>
        </w:rPr>
        <w:t>odėl specializuoti</w:t>
      </w:r>
      <w:r w:rsidR="27591C7E" w:rsidRPr="00640D24">
        <w:rPr>
          <w:sz w:val="22"/>
          <w:szCs w:val="22"/>
        </w:rPr>
        <w:t xml:space="preserve"> gynybos sektoriui skirti</w:t>
      </w:r>
      <w:r w:rsidR="4DE1D114" w:rsidRPr="00640D24">
        <w:rPr>
          <w:sz w:val="22"/>
          <w:szCs w:val="22"/>
        </w:rPr>
        <w:t xml:space="preserve"> rizikos kapitalo fondai</w:t>
      </w:r>
      <w:r w:rsidR="00301F6F" w:rsidRPr="00640D24">
        <w:rPr>
          <w:sz w:val="22"/>
          <w:szCs w:val="22"/>
        </w:rPr>
        <w:t xml:space="preserve"> šiuo atveju</w:t>
      </w:r>
      <w:r w:rsidR="4DE1D114" w:rsidRPr="00640D24">
        <w:rPr>
          <w:sz w:val="22"/>
          <w:szCs w:val="22"/>
        </w:rPr>
        <w:t xml:space="preserve"> yra </w:t>
      </w:r>
      <w:r w:rsidR="4A93B4FE" w:rsidRPr="00640D24">
        <w:rPr>
          <w:sz w:val="22"/>
          <w:szCs w:val="22"/>
        </w:rPr>
        <w:t xml:space="preserve">tikslingesni ir gali sukurti daugiau vertės. </w:t>
      </w:r>
      <w:r w:rsidR="19044BFE" w:rsidRPr="00640D24">
        <w:rPr>
          <w:sz w:val="22"/>
          <w:szCs w:val="22"/>
        </w:rPr>
        <w:t xml:space="preserve">Atsižvelgiant į </w:t>
      </w:r>
      <w:r w:rsidR="08F0F82D" w:rsidRPr="00640D24">
        <w:rPr>
          <w:sz w:val="22"/>
          <w:szCs w:val="22"/>
        </w:rPr>
        <w:t xml:space="preserve">interviu </w:t>
      </w:r>
      <w:r w:rsidR="7199F12C" w:rsidRPr="00640D24">
        <w:rPr>
          <w:sz w:val="22"/>
          <w:szCs w:val="22"/>
        </w:rPr>
        <w:t xml:space="preserve">metu </w:t>
      </w:r>
      <w:r w:rsidR="08F0F82D" w:rsidRPr="00640D24">
        <w:rPr>
          <w:sz w:val="22"/>
          <w:szCs w:val="22"/>
        </w:rPr>
        <w:t xml:space="preserve">surinktas rinkos dalyvių ir ekspertų nuomones bei </w:t>
      </w:r>
      <w:proofErr w:type="spellStart"/>
      <w:r w:rsidR="08F0F82D" w:rsidRPr="00640D24">
        <w:rPr>
          <w:sz w:val="22"/>
          <w:szCs w:val="22"/>
        </w:rPr>
        <w:t>M</w:t>
      </w:r>
      <w:r w:rsidR="1AAA63D8" w:rsidRPr="00640D24">
        <w:rPr>
          <w:sz w:val="22"/>
          <w:szCs w:val="22"/>
        </w:rPr>
        <w:t>IL</w:t>
      </w:r>
      <w:r w:rsidR="08F0F82D" w:rsidRPr="00640D24">
        <w:rPr>
          <w:sz w:val="22"/>
          <w:szCs w:val="22"/>
        </w:rPr>
        <w:t>Invest</w:t>
      </w:r>
      <w:proofErr w:type="spellEnd"/>
      <w:r w:rsidR="00547ADD" w:rsidRPr="00640D24">
        <w:rPr>
          <w:sz w:val="22"/>
          <w:szCs w:val="22"/>
        </w:rPr>
        <w:t xml:space="preserve">, kurio </w:t>
      </w:r>
      <w:r w:rsidR="00293A73" w:rsidRPr="00640D24">
        <w:rPr>
          <w:sz w:val="22"/>
          <w:szCs w:val="22"/>
        </w:rPr>
        <w:t xml:space="preserve">poreikis buvo pagrįstas </w:t>
      </w:r>
      <w:r w:rsidR="00131994" w:rsidRPr="00640D24">
        <w:rPr>
          <w:sz w:val="22"/>
          <w:szCs w:val="22"/>
        </w:rPr>
        <w:t>2020 m. atliktu</w:t>
      </w:r>
      <w:r w:rsidR="00D54300" w:rsidRPr="00640D24">
        <w:rPr>
          <w:sz w:val="22"/>
          <w:szCs w:val="22"/>
        </w:rPr>
        <w:t xml:space="preserve"> vertinimu</w:t>
      </w:r>
      <w:r w:rsidR="00D54300" w:rsidRPr="00640D24">
        <w:rPr>
          <w:rStyle w:val="Puslapioinaosnuoroda"/>
          <w:sz w:val="22"/>
          <w:szCs w:val="22"/>
        </w:rPr>
        <w:footnoteReference w:id="73"/>
      </w:r>
      <w:r w:rsidR="00D54300" w:rsidRPr="00640D24">
        <w:rPr>
          <w:sz w:val="22"/>
          <w:szCs w:val="22"/>
        </w:rPr>
        <w:t>,</w:t>
      </w:r>
      <w:r w:rsidR="08F0F82D" w:rsidRPr="00640D24">
        <w:rPr>
          <w:sz w:val="22"/>
          <w:szCs w:val="22"/>
        </w:rPr>
        <w:t xml:space="preserve"> veiklos </w:t>
      </w:r>
      <w:r w:rsidR="08F0F82D" w:rsidRPr="00640D24">
        <w:rPr>
          <w:sz w:val="22"/>
          <w:szCs w:val="22"/>
        </w:rPr>
        <w:lastRenderedPageBreak/>
        <w:t xml:space="preserve">rezultatus, </w:t>
      </w:r>
      <w:r w:rsidR="2270C312" w:rsidRPr="00640D24">
        <w:rPr>
          <w:sz w:val="22"/>
          <w:szCs w:val="22"/>
        </w:rPr>
        <w:t xml:space="preserve">galima teigti, jog rizikos kapitalo poreikis </w:t>
      </w:r>
      <w:r w:rsidR="00926B49" w:rsidRPr="00640D24">
        <w:rPr>
          <w:sz w:val="22"/>
          <w:szCs w:val="22"/>
        </w:rPr>
        <w:t xml:space="preserve">gynybos ir saugumo </w:t>
      </w:r>
      <w:r w:rsidR="00DA64C1" w:rsidRPr="00640D24">
        <w:rPr>
          <w:sz w:val="22"/>
          <w:szCs w:val="22"/>
        </w:rPr>
        <w:t xml:space="preserve">sektoriuje </w:t>
      </w:r>
      <w:r w:rsidR="2270C312" w:rsidRPr="00640D24">
        <w:rPr>
          <w:sz w:val="22"/>
          <w:szCs w:val="22"/>
        </w:rPr>
        <w:t>yra augantis</w:t>
      </w:r>
      <w:r w:rsidR="00533FE3" w:rsidRPr="00640D24">
        <w:rPr>
          <w:sz w:val="22"/>
          <w:szCs w:val="22"/>
        </w:rPr>
        <w:t xml:space="preserve"> ir aktualus ne </w:t>
      </w:r>
      <w:r w:rsidR="00351BEF" w:rsidRPr="00640D24">
        <w:rPr>
          <w:sz w:val="22"/>
          <w:szCs w:val="22"/>
        </w:rPr>
        <w:t xml:space="preserve">tik </w:t>
      </w:r>
      <w:proofErr w:type="spellStart"/>
      <w:r w:rsidR="0094427E" w:rsidRPr="00640D24">
        <w:rPr>
          <w:sz w:val="22"/>
          <w:szCs w:val="22"/>
        </w:rPr>
        <w:t>akceleravimo</w:t>
      </w:r>
      <w:proofErr w:type="spellEnd"/>
      <w:r w:rsidR="0094427E" w:rsidRPr="00640D24">
        <w:rPr>
          <w:sz w:val="22"/>
          <w:szCs w:val="22"/>
        </w:rPr>
        <w:t xml:space="preserve"> ir pirmin</w:t>
      </w:r>
      <w:r w:rsidR="002F23D3" w:rsidRPr="00640D24">
        <w:rPr>
          <w:sz w:val="22"/>
          <w:szCs w:val="22"/>
        </w:rPr>
        <w:t>ių</w:t>
      </w:r>
      <w:r w:rsidR="0094427E" w:rsidRPr="00640D24">
        <w:rPr>
          <w:sz w:val="22"/>
          <w:szCs w:val="22"/>
        </w:rPr>
        <w:t xml:space="preserve"> investicijų stadijo</w:t>
      </w:r>
      <w:r w:rsidR="002F23D3" w:rsidRPr="00640D24">
        <w:rPr>
          <w:sz w:val="22"/>
          <w:szCs w:val="22"/>
        </w:rPr>
        <w:t>je</w:t>
      </w:r>
      <w:r w:rsidR="0094427E" w:rsidRPr="00640D24">
        <w:rPr>
          <w:sz w:val="22"/>
          <w:szCs w:val="22"/>
        </w:rPr>
        <w:t>, bet ir vėliau.</w:t>
      </w:r>
      <w:r w:rsidR="00E300FF" w:rsidRPr="00640D24">
        <w:rPr>
          <w:sz w:val="22"/>
          <w:szCs w:val="22"/>
        </w:rPr>
        <w:t xml:space="preserve"> </w:t>
      </w:r>
      <w:r w:rsidR="356F467B" w:rsidRPr="00640D24">
        <w:rPr>
          <w:sz w:val="22"/>
          <w:szCs w:val="22"/>
        </w:rPr>
        <w:t xml:space="preserve">Atsižvelgiant į </w:t>
      </w:r>
      <w:proofErr w:type="spellStart"/>
      <w:r w:rsidR="5C62678E" w:rsidRPr="00640D24">
        <w:rPr>
          <w:sz w:val="22"/>
          <w:szCs w:val="22"/>
        </w:rPr>
        <w:t>Baltic</w:t>
      </w:r>
      <w:proofErr w:type="spellEnd"/>
      <w:r w:rsidR="5C62678E" w:rsidRPr="00640D24">
        <w:rPr>
          <w:sz w:val="22"/>
          <w:szCs w:val="22"/>
        </w:rPr>
        <w:t xml:space="preserve"> </w:t>
      </w:r>
      <w:proofErr w:type="spellStart"/>
      <w:r w:rsidR="5C62678E" w:rsidRPr="00640D24">
        <w:rPr>
          <w:sz w:val="22"/>
          <w:szCs w:val="22"/>
        </w:rPr>
        <w:t>Deep</w:t>
      </w:r>
      <w:proofErr w:type="spellEnd"/>
      <w:r w:rsidR="5C62678E" w:rsidRPr="00640D24">
        <w:rPr>
          <w:sz w:val="22"/>
          <w:szCs w:val="22"/>
        </w:rPr>
        <w:t xml:space="preserve"> </w:t>
      </w:r>
      <w:proofErr w:type="spellStart"/>
      <w:r w:rsidR="5C62678E" w:rsidRPr="00640D24">
        <w:rPr>
          <w:sz w:val="22"/>
          <w:szCs w:val="22"/>
        </w:rPr>
        <w:t>Tech</w:t>
      </w:r>
      <w:proofErr w:type="spellEnd"/>
      <w:r w:rsidR="5C62678E" w:rsidRPr="00640D24">
        <w:rPr>
          <w:sz w:val="22"/>
          <w:szCs w:val="22"/>
        </w:rPr>
        <w:t xml:space="preserve"> </w:t>
      </w:r>
      <w:proofErr w:type="spellStart"/>
      <w:r w:rsidR="5C62678E" w:rsidRPr="00640D24">
        <w:rPr>
          <w:sz w:val="22"/>
          <w:szCs w:val="22"/>
        </w:rPr>
        <w:t>Report</w:t>
      </w:r>
      <w:proofErr w:type="spellEnd"/>
      <w:r w:rsidR="5C62678E" w:rsidRPr="00640D24">
        <w:rPr>
          <w:sz w:val="22"/>
          <w:szCs w:val="22"/>
        </w:rPr>
        <w:t xml:space="preserve"> 2024 </w:t>
      </w:r>
      <w:r w:rsidR="00896C72" w:rsidRPr="00640D24">
        <w:rPr>
          <w:sz w:val="22"/>
          <w:szCs w:val="22"/>
        </w:rPr>
        <w:t xml:space="preserve">m. </w:t>
      </w:r>
      <w:r w:rsidR="16AE62AB" w:rsidRPr="00640D24">
        <w:rPr>
          <w:sz w:val="22"/>
          <w:szCs w:val="22"/>
        </w:rPr>
        <w:t xml:space="preserve">ir Baltijos rizikos </w:t>
      </w:r>
      <w:r w:rsidR="72B57CC1" w:rsidRPr="00640D24">
        <w:rPr>
          <w:sz w:val="22"/>
          <w:szCs w:val="22"/>
        </w:rPr>
        <w:t xml:space="preserve">ir privataus </w:t>
      </w:r>
      <w:r w:rsidR="16AE62AB" w:rsidRPr="00640D24">
        <w:rPr>
          <w:sz w:val="22"/>
          <w:szCs w:val="22"/>
        </w:rPr>
        <w:t xml:space="preserve">kapitalo </w:t>
      </w:r>
      <w:r w:rsidR="72B57CC1" w:rsidRPr="00640D24">
        <w:rPr>
          <w:sz w:val="22"/>
          <w:szCs w:val="22"/>
        </w:rPr>
        <w:t>rinkos apžvalgos 2023</w:t>
      </w:r>
      <w:r w:rsidR="16AE62AB" w:rsidRPr="00640D24">
        <w:rPr>
          <w:sz w:val="22"/>
          <w:szCs w:val="22"/>
        </w:rPr>
        <w:t xml:space="preserve"> </w:t>
      </w:r>
      <w:r w:rsidR="00896C72" w:rsidRPr="00640D24">
        <w:rPr>
          <w:sz w:val="22"/>
          <w:szCs w:val="22"/>
        </w:rPr>
        <w:t xml:space="preserve">m. </w:t>
      </w:r>
      <w:r w:rsidR="5C62678E" w:rsidRPr="00640D24">
        <w:rPr>
          <w:sz w:val="22"/>
          <w:szCs w:val="22"/>
        </w:rPr>
        <w:t xml:space="preserve">pateikiamus duomenis apie Lietuvos technologinių </w:t>
      </w:r>
      <w:proofErr w:type="spellStart"/>
      <w:r w:rsidR="5C62678E" w:rsidRPr="00640D24">
        <w:rPr>
          <w:sz w:val="22"/>
          <w:szCs w:val="22"/>
        </w:rPr>
        <w:t>startuolių</w:t>
      </w:r>
      <w:proofErr w:type="spellEnd"/>
      <w:r w:rsidR="5C62678E" w:rsidRPr="00640D24">
        <w:rPr>
          <w:sz w:val="22"/>
          <w:szCs w:val="22"/>
        </w:rPr>
        <w:t xml:space="preserve"> raidą, </w:t>
      </w:r>
      <w:r w:rsidR="3BD97FAD" w:rsidRPr="00640D24">
        <w:rPr>
          <w:sz w:val="22"/>
          <w:szCs w:val="22"/>
        </w:rPr>
        <w:t xml:space="preserve">apie </w:t>
      </w:r>
      <w:r w:rsidR="65DF4014" w:rsidRPr="00640D24">
        <w:rPr>
          <w:sz w:val="22"/>
          <w:szCs w:val="22"/>
        </w:rPr>
        <w:t xml:space="preserve">20 proc. </w:t>
      </w:r>
      <w:r w:rsidR="4A316C7E" w:rsidRPr="00640D24">
        <w:rPr>
          <w:sz w:val="22"/>
          <w:szCs w:val="22"/>
        </w:rPr>
        <w:t>p</w:t>
      </w:r>
      <w:r w:rsidR="65DF4014" w:rsidRPr="00640D24">
        <w:rPr>
          <w:sz w:val="22"/>
          <w:szCs w:val="22"/>
        </w:rPr>
        <w:t>i</w:t>
      </w:r>
      <w:r w:rsidR="4A316C7E" w:rsidRPr="00640D24">
        <w:rPr>
          <w:sz w:val="22"/>
          <w:szCs w:val="22"/>
        </w:rPr>
        <w:t>r</w:t>
      </w:r>
      <w:r w:rsidR="65DF4014" w:rsidRPr="00640D24">
        <w:rPr>
          <w:sz w:val="22"/>
          <w:szCs w:val="22"/>
        </w:rPr>
        <w:t xml:space="preserve">minę investiciją </w:t>
      </w:r>
      <w:r w:rsidR="340BC797" w:rsidRPr="00640D24">
        <w:rPr>
          <w:sz w:val="22"/>
          <w:szCs w:val="22"/>
        </w:rPr>
        <w:t>(</w:t>
      </w:r>
      <w:proofErr w:type="spellStart"/>
      <w:r w:rsidR="192ED378" w:rsidRPr="00640D24">
        <w:rPr>
          <w:sz w:val="22"/>
          <w:szCs w:val="22"/>
        </w:rPr>
        <w:t>pre-</w:t>
      </w:r>
      <w:r w:rsidR="340BC797" w:rsidRPr="00640D24">
        <w:rPr>
          <w:sz w:val="22"/>
          <w:szCs w:val="22"/>
        </w:rPr>
        <w:t>seed</w:t>
      </w:r>
      <w:proofErr w:type="spellEnd"/>
      <w:r w:rsidR="340BC797" w:rsidRPr="00640D24">
        <w:rPr>
          <w:sz w:val="22"/>
          <w:szCs w:val="22"/>
        </w:rPr>
        <w:t xml:space="preserve"> </w:t>
      </w:r>
      <w:proofErr w:type="spellStart"/>
      <w:r w:rsidR="340BC797" w:rsidRPr="00640D24">
        <w:rPr>
          <w:sz w:val="22"/>
          <w:szCs w:val="22"/>
        </w:rPr>
        <w:t>investment</w:t>
      </w:r>
      <w:proofErr w:type="spellEnd"/>
      <w:r w:rsidR="340BC797" w:rsidRPr="00640D24">
        <w:rPr>
          <w:sz w:val="22"/>
          <w:szCs w:val="22"/>
        </w:rPr>
        <w:t xml:space="preserve">) gavusių </w:t>
      </w:r>
      <w:proofErr w:type="spellStart"/>
      <w:r w:rsidR="340BC797" w:rsidRPr="00640D24">
        <w:rPr>
          <w:sz w:val="22"/>
          <w:szCs w:val="22"/>
        </w:rPr>
        <w:t>startuolių</w:t>
      </w:r>
      <w:proofErr w:type="spellEnd"/>
      <w:r w:rsidR="340BC797" w:rsidRPr="00640D24">
        <w:rPr>
          <w:sz w:val="22"/>
          <w:szCs w:val="22"/>
        </w:rPr>
        <w:t xml:space="preserve"> </w:t>
      </w:r>
      <w:r w:rsidR="005702D3" w:rsidRPr="00640D24">
        <w:rPr>
          <w:sz w:val="22"/>
          <w:szCs w:val="22"/>
        </w:rPr>
        <w:t>už</w:t>
      </w:r>
      <w:r w:rsidR="340BC797" w:rsidRPr="00640D24">
        <w:rPr>
          <w:sz w:val="22"/>
          <w:szCs w:val="22"/>
        </w:rPr>
        <w:t xml:space="preserve">auga iki </w:t>
      </w:r>
      <w:r w:rsidR="311ED13E" w:rsidRPr="00640D24">
        <w:rPr>
          <w:sz w:val="22"/>
          <w:szCs w:val="22"/>
        </w:rPr>
        <w:t>kito</w:t>
      </w:r>
      <w:r w:rsidR="192ED378" w:rsidRPr="00640D24">
        <w:rPr>
          <w:sz w:val="22"/>
          <w:szCs w:val="22"/>
        </w:rPr>
        <w:t xml:space="preserve"> investicijų raundo (</w:t>
      </w:r>
      <w:proofErr w:type="spellStart"/>
      <w:r w:rsidR="192ED378" w:rsidRPr="00640D24">
        <w:rPr>
          <w:sz w:val="22"/>
          <w:szCs w:val="22"/>
        </w:rPr>
        <w:t>seed</w:t>
      </w:r>
      <w:proofErr w:type="spellEnd"/>
      <w:r w:rsidR="192ED378" w:rsidRPr="00640D24">
        <w:rPr>
          <w:sz w:val="22"/>
          <w:szCs w:val="22"/>
        </w:rPr>
        <w:t>)</w:t>
      </w:r>
      <w:r w:rsidR="04ADA170" w:rsidRPr="00640D24">
        <w:rPr>
          <w:sz w:val="22"/>
          <w:szCs w:val="22"/>
        </w:rPr>
        <w:t xml:space="preserve"> ir </w:t>
      </w:r>
      <w:r w:rsidR="574F3780" w:rsidRPr="00640D24">
        <w:rPr>
          <w:sz w:val="22"/>
          <w:szCs w:val="22"/>
        </w:rPr>
        <w:t xml:space="preserve">apie pusė šių </w:t>
      </w:r>
      <w:proofErr w:type="spellStart"/>
      <w:r w:rsidR="3373C670" w:rsidRPr="00640D24">
        <w:rPr>
          <w:sz w:val="22"/>
          <w:szCs w:val="22"/>
        </w:rPr>
        <w:t>startuolių</w:t>
      </w:r>
      <w:proofErr w:type="spellEnd"/>
      <w:r w:rsidR="3373C670" w:rsidRPr="00640D24">
        <w:rPr>
          <w:sz w:val="22"/>
          <w:szCs w:val="22"/>
        </w:rPr>
        <w:t xml:space="preserve"> turi potencialo </w:t>
      </w:r>
      <w:r w:rsidR="349ECF08" w:rsidRPr="00640D24">
        <w:rPr>
          <w:sz w:val="22"/>
          <w:szCs w:val="22"/>
        </w:rPr>
        <w:t>užaugti iki</w:t>
      </w:r>
      <w:r w:rsidR="62094ADF" w:rsidRPr="00640D24">
        <w:rPr>
          <w:sz w:val="22"/>
          <w:szCs w:val="22"/>
        </w:rPr>
        <w:t xml:space="preserve"> </w:t>
      </w:r>
      <w:r w:rsidR="192ED378" w:rsidRPr="00640D24">
        <w:rPr>
          <w:sz w:val="22"/>
          <w:szCs w:val="22"/>
        </w:rPr>
        <w:t xml:space="preserve">A serijos </w:t>
      </w:r>
      <w:r w:rsidR="349ECF08" w:rsidRPr="00640D24">
        <w:rPr>
          <w:sz w:val="22"/>
          <w:szCs w:val="22"/>
        </w:rPr>
        <w:t>investicijos</w:t>
      </w:r>
      <w:r w:rsidR="3373C670" w:rsidRPr="00640D24">
        <w:rPr>
          <w:sz w:val="22"/>
          <w:szCs w:val="22"/>
        </w:rPr>
        <w:t xml:space="preserve">. Visiems šiems etapams svarbus </w:t>
      </w:r>
      <w:r w:rsidR="349ECF08" w:rsidRPr="00640D24">
        <w:rPr>
          <w:sz w:val="22"/>
          <w:szCs w:val="22"/>
        </w:rPr>
        <w:t xml:space="preserve">vietos </w:t>
      </w:r>
      <w:r w:rsidR="3373C670" w:rsidRPr="00640D24">
        <w:rPr>
          <w:sz w:val="22"/>
          <w:szCs w:val="22"/>
        </w:rPr>
        <w:t>rizikos kapitalo fondų</w:t>
      </w:r>
      <w:r w:rsidR="1A235FD2" w:rsidRPr="00640D24">
        <w:rPr>
          <w:sz w:val="22"/>
          <w:szCs w:val="22"/>
        </w:rPr>
        <w:t xml:space="preserve"> prieinamumas</w:t>
      </w:r>
      <w:r w:rsidR="62094ADF" w:rsidRPr="00640D24">
        <w:rPr>
          <w:sz w:val="22"/>
          <w:szCs w:val="22"/>
        </w:rPr>
        <w:t>. Atsižvelgiant</w:t>
      </w:r>
      <w:r w:rsidR="349ECF08" w:rsidRPr="00640D24">
        <w:rPr>
          <w:sz w:val="22"/>
          <w:szCs w:val="22"/>
        </w:rPr>
        <w:t xml:space="preserve"> į skirtingas </w:t>
      </w:r>
      <w:r w:rsidR="601FF2C2" w:rsidRPr="00640D24">
        <w:rPr>
          <w:sz w:val="22"/>
          <w:szCs w:val="22"/>
        </w:rPr>
        <w:t xml:space="preserve">investicijų sumas skirtinguose investavimo etapuose, galima nustatyti, kad </w:t>
      </w:r>
      <w:r w:rsidR="00643324" w:rsidRPr="00640D24">
        <w:rPr>
          <w:sz w:val="22"/>
          <w:szCs w:val="22"/>
        </w:rPr>
        <w:t xml:space="preserve">iki 2027 m. </w:t>
      </w:r>
      <w:r w:rsidR="00B754DE" w:rsidRPr="00640D24">
        <w:rPr>
          <w:sz w:val="22"/>
          <w:szCs w:val="22"/>
        </w:rPr>
        <w:t xml:space="preserve">gynybos ir saugumo sektoriuje </w:t>
      </w:r>
      <w:r w:rsidR="00B754DE" w:rsidRPr="00640D24">
        <w:rPr>
          <w:b/>
          <w:bCs/>
          <w:sz w:val="22"/>
          <w:szCs w:val="22"/>
        </w:rPr>
        <w:t>esantis rizikos kapitalo finansavimo tr</w:t>
      </w:r>
      <w:r w:rsidR="00312EF6" w:rsidRPr="00640D24">
        <w:rPr>
          <w:b/>
          <w:bCs/>
          <w:sz w:val="22"/>
          <w:szCs w:val="22"/>
        </w:rPr>
        <w:t xml:space="preserve">ūkumas </w:t>
      </w:r>
      <w:r w:rsidR="00643324" w:rsidRPr="00640D24">
        <w:rPr>
          <w:b/>
          <w:bCs/>
          <w:sz w:val="22"/>
          <w:szCs w:val="22"/>
        </w:rPr>
        <w:t xml:space="preserve">gali sudaryti 70 mln. </w:t>
      </w:r>
      <w:proofErr w:type="spellStart"/>
      <w:r w:rsidR="007166B3" w:rsidRPr="00640D24">
        <w:rPr>
          <w:b/>
          <w:bCs/>
          <w:sz w:val="22"/>
          <w:szCs w:val="22"/>
        </w:rPr>
        <w:t>Eur</w:t>
      </w:r>
      <w:proofErr w:type="spellEnd"/>
      <w:r w:rsidR="00643324" w:rsidRPr="00640D24">
        <w:rPr>
          <w:sz w:val="22"/>
          <w:szCs w:val="22"/>
        </w:rPr>
        <w:t xml:space="preserve">. </w:t>
      </w:r>
    </w:p>
    <w:p w14:paraId="383B64DB" w14:textId="07E902F5" w:rsidR="00FB0EFC" w:rsidRPr="00640D24" w:rsidRDefault="507ED47B" w:rsidP="00F01F6B">
      <w:pPr>
        <w:spacing w:before="60" w:after="60" w:line="240" w:lineRule="auto"/>
        <w:ind w:firstLine="562"/>
        <w:jc w:val="both"/>
        <w:rPr>
          <w:sz w:val="22"/>
          <w:szCs w:val="22"/>
        </w:rPr>
      </w:pPr>
      <w:r w:rsidRPr="00640D24">
        <w:rPr>
          <w:sz w:val="22"/>
          <w:szCs w:val="22"/>
        </w:rPr>
        <w:t xml:space="preserve">Siekiant įvertinti </w:t>
      </w:r>
      <w:r w:rsidR="57F567DB" w:rsidRPr="00640D24">
        <w:rPr>
          <w:sz w:val="22"/>
          <w:szCs w:val="22"/>
        </w:rPr>
        <w:t xml:space="preserve">gynybos ir saugumo </w:t>
      </w:r>
      <w:r w:rsidR="6732F656" w:rsidRPr="00640D24">
        <w:rPr>
          <w:sz w:val="22"/>
          <w:szCs w:val="22"/>
        </w:rPr>
        <w:t xml:space="preserve">sektoriuje </w:t>
      </w:r>
      <w:r w:rsidRPr="00640D24">
        <w:rPr>
          <w:sz w:val="22"/>
          <w:szCs w:val="22"/>
        </w:rPr>
        <w:t>jau veikiančių įm</w:t>
      </w:r>
      <w:r w:rsidR="3EB43BFD" w:rsidRPr="00640D24">
        <w:rPr>
          <w:sz w:val="22"/>
          <w:szCs w:val="22"/>
        </w:rPr>
        <w:t xml:space="preserve">onių </w:t>
      </w:r>
      <w:r w:rsidR="1045B9AD" w:rsidRPr="00640D24">
        <w:rPr>
          <w:sz w:val="22"/>
          <w:szCs w:val="22"/>
        </w:rPr>
        <w:t xml:space="preserve">išorinio finansavimo </w:t>
      </w:r>
      <w:r w:rsidR="3EB43BFD" w:rsidRPr="00640D24">
        <w:rPr>
          <w:sz w:val="22"/>
          <w:szCs w:val="22"/>
        </w:rPr>
        <w:t xml:space="preserve">poreikius </w:t>
      </w:r>
      <w:r w:rsidR="1D9CC305" w:rsidRPr="00640D24">
        <w:rPr>
          <w:sz w:val="22"/>
          <w:szCs w:val="22"/>
        </w:rPr>
        <w:t xml:space="preserve">taip pat buvo surinkta </w:t>
      </w:r>
      <w:r w:rsidR="57461D8F" w:rsidRPr="00640D24">
        <w:rPr>
          <w:sz w:val="22"/>
          <w:szCs w:val="22"/>
        </w:rPr>
        <w:t xml:space="preserve">ir analizuota </w:t>
      </w:r>
      <w:r w:rsidR="1D9CC305" w:rsidRPr="00640D24">
        <w:rPr>
          <w:sz w:val="22"/>
          <w:szCs w:val="22"/>
        </w:rPr>
        <w:t>informacija iš</w:t>
      </w:r>
      <w:r w:rsidR="57461D8F" w:rsidRPr="00640D24">
        <w:rPr>
          <w:sz w:val="22"/>
          <w:szCs w:val="22"/>
        </w:rPr>
        <w:t xml:space="preserve"> I</w:t>
      </w:r>
      <w:r w:rsidR="09DA30E7" w:rsidRPr="00640D24">
        <w:rPr>
          <w:sz w:val="22"/>
          <w:szCs w:val="22"/>
        </w:rPr>
        <w:t>NVEGOS</w:t>
      </w:r>
      <w:r w:rsidR="5DDF378F" w:rsidRPr="00640D24">
        <w:rPr>
          <w:sz w:val="22"/>
          <w:szCs w:val="22"/>
        </w:rPr>
        <w:t>,</w:t>
      </w:r>
      <w:r w:rsidR="1D9CC305" w:rsidRPr="00640D24">
        <w:rPr>
          <w:sz w:val="22"/>
          <w:szCs w:val="22"/>
        </w:rPr>
        <w:t xml:space="preserve"> </w:t>
      </w:r>
      <w:proofErr w:type="spellStart"/>
      <w:r w:rsidR="001F55BF" w:rsidRPr="00640D24">
        <w:rPr>
          <w:sz w:val="22"/>
          <w:szCs w:val="22"/>
        </w:rPr>
        <w:t>Vš</w:t>
      </w:r>
      <w:r w:rsidR="004C11E2" w:rsidRPr="00640D24">
        <w:rPr>
          <w:sz w:val="22"/>
          <w:szCs w:val="22"/>
        </w:rPr>
        <w:t>Į</w:t>
      </w:r>
      <w:proofErr w:type="spellEnd"/>
      <w:r w:rsidR="004C11E2" w:rsidRPr="00640D24">
        <w:rPr>
          <w:sz w:val="22"/>
          <w:szCs w:val="22"/>
        </w:rPr>
        <w:t xml:space="preserve"> </w:t>
      </w:r>
      <w:r w:rsidR="1D9CC305" w:rsidRPr="00640D24">
        <w:rPr>
          <w:sz w:val="22"/>
          <w:szCs w:val="22"/>
        </w:rPr>
        <w:t>Investuok Lietuvoje</w:t>
      </w:r>
      <w:r w:rsidR="5465C6C0" w:rsidRPr="00640D24">
        <w:rPr>
          <w:sz w:val="22"/>
          <w:szCs w:val="22"/>
        </w:rPr>
        <w:t xml:space="preserve"> </w:t>
      </w:r>
      <w:r w:rsidR="5DDF378F" w:rsidRPr="00640D24">
        <w:rPr>
          <w:sz w:val="22"/>
          <w:szCs w:val="22"/>
        </w:rPr>
        <w:t xml:space="preserve">(užsienio įmonių, norinčių steigtis Lietuvoje, išorinio finansavimo poreikiai) </w:t>
      </w:r>
      <w:r w:rsidR="5465C6C0" w:rsidRPr="00640D24">
        <w:rPr>
          <w:sz w:val="22"/>
          <w:szCs w:val="22"/>
        </w:rPr>
        <w:t xml:space="preserve">bei kartu su </w:t>
      </w:r>
      <w:proofErr w:type="spellStart"/>
      <w:r w:rsidR="5465C6C0" w:rsidRPr="00640D24">
        <w:rPr>
          <w:sz w:val="22"/>
          <w:szCs w:val="22"/>
        </w:rPr>
        <w:t>VšĮ</w:t>
      </w:r>
      <w:proofErr w:type="spellEnd"/>
      <w:r w:rsidR="5465C6C0" w:rsidRPr="00640D24">
        <w:rPr>
          <w:sz w:val="22"/>
          <w:szCs w:val="22"/>
        </w:rPr>
        <w:t xml:space="preserve"> Inovacijų agentūra atlikta įmonių apklausa</w:t>
      </w:r>
      <w:r w:rsidR="5DDF378F" w:rsidRPr="00640D24">
        <w:rPr>
          <w:sz w:val="22"/>
          <w:szCs w:val="22"/>
        </w:rPr>
        <w:t xml:space="preserve"> (Lietuvoje jau veikiančių įmonių išorinio finansavimo poreikiai)</w:t>
      </w:r>
      <w:r w:rsidR="5465C6C0" w:rsidRPr="00640D24">
        <w:rPr>
          <w:sz w:val="22"/>
          <w:szCs w:val="22"/>
        </w:rPr>
        <w:t>.</w:t>
      </w:r>
      <w:r w:rsidR="1AE11662" w:rsidRPr="00640D24">
        <w:rPr>
          <w:sz w:val="22"/>
          <w:szCs w:val="22"/>
        </w:rPr>
        <w:t xml:space="preserve"> Remiantis </w:t>
      </w:r>
      <w:r w:rsidR="5DDF378F" w:rsidRPr="00640D24">
        <w:rPr>
          <w:sz w:val="22"/>
          <w:szCs w:val="22"/>
        </w:rPr>
        <w:t>surinkta informacija</w:t>
      </w:r>
      <w:r w:rsidR="1AE11662" w:rsidRPr="00640D24">
        <w:rPr>
          <w:sz w:val="22"/>
          <w:szCs w:val="22"/>
        </w:rPr>
        <w:t xml:space="preserve"> nustatyta, kad</w:t>
      </w:r>
      <w:r w:rsidR="2F15478F" w:rsidRPr="00640D24">
        <w:rPr>
          <w:sz w:val="22"/>
          <w:szCs w:val="22"/>
        </w:rPr>
        <w:t xml:space="preserve"> auga susidomėjimas Lietuvos rinka iš užsienio gynybos ir saugumo pramonės įmonių, kurios </w:t>
      </w:r>
      <w:r w:rsidR="657EA1B5" w:rsidRPr="00640D24">
        <w:rPr>
          <w:sz w:val="22"/>
          <w:szCs w:val="22"/>
        </w:rPr>
        <w:t xml:space="preserve">nori čia įsteigti gamybinius padalinius. </w:t>
      </w:r>
      <w:r w:rsidR="14857A84" w:rsidRPr="00640D24">
        <w:rPr>
          <w:sz w:val="22"/>
          <w:szCs w:val="22"/>
        </w:rPr>
        <w:t>Tokioms įmonės dažniau reikalinga paskola investicijoms. Tuo tarpu</w:t>
      </w:r>
      <w:r w:rsidR="18F6BCE4" w:rsidRPr="00640D24">
        <w:rPr>
          <w:sz w:val="22"/>
          <w:szCs w:val="22"/>
        </w:rPr>
        <w:t xml:space="preserve"> vietinėms įmonėms aktualios ne tik investicinės</w:t>
      </w:r>
      <w:r w:rsidR="4598CBCD" w:rsidRPr="00640D24">
        <w:rPr>
          <w:sz w:val="22"/>
          <w:szCs w:val="22"/>
        </w:rPr>
        <w:t xml:space="preserve"> </w:t>
      </w:r>
      <w:r w:rsidR="68EEA257" w:rsidRPr="00640D24">
        <w:rPr>
          <w:sz w:val="22"/>
          <w:szCs w:val="22"/>
        </w:rPr>
        <w:t>paskolos</w:t>
      </w:r>
      <w:r w:rsidR="5FBB39F4" w:rsidRPr="00640D24">
        <w:rPr>
          <w:sz w:val="22"/>
          <w:szCs w:val="22"/>
        </w:rPr>
        <w:t>,</w:t>
      </w:r>
      <w:r w:rsidR="68EEA257" w:rsidRPr="00640D24">
        <w:rPr>
          <w:sz w:val="22"/>
          <w:szCs w:val="22"/>
        </w:rPr>
        <w:t xml:space="preserve"> </w:t>
      </w:r>
      <w:r w:rsidR="18F6BCE4" w:rsidRPr="00640D24">
        <w:rPr>
          <w:sz w:val="22"/>
          <w:szCs w:val="22"/>
        </w:rPr>
        <w:t xml:space="preserve">bet ir </w:t>
      </w:r>
      <w:r w:rsidR="128B428E" w:rsidRPr="00640D24">
        <w:rPr>
          <w:sz w:val="22"/>
          <w:szCs w:val="22"/>
        </w:rPr>
        <w:t xml:space="preserve">paskolos </w:t>
      </w:r>
      <w:r w:rsidR="18F6BCE4" w:rsidRPr="00640D24">
        <w:rPr>
          <w:sz w:val="22"/>
          <w:szCs w:val="22"/>
        </w:rPr>
        <w:t xml:space="preserve">apyvartinėms lėšoms. Interviu metu taip pat </w:t>
      </w:r>
      <w:r w:rsidR="3E6D15FA" w:rsidRPr="00640D24">
        <w:rPr>
          <w:sz w:val="22"/>
          <w:szCs w:val="22"/>
        </w:rPr>
        <w:t>buvo pastebėta, kad įmonėms</w:t>
      </w:r>
      <w:r w:rsidR="00FF774C" w:rsidRPr="00640D24">
        <w:rPr>
          <w:sz w:val="22"/>
          <w:szCs w:val="22"/>
        </w:rPr>
        <w:t xml:space="preserve"> yra</w:t>
      </w:r>
      <w:r w:rsidR="3E6D15FA" w:rsidRPr="00640D24">
        <w:rPr>
          <w:sz w:val="22"/>
          <w:szCs w:val="22"/>
        </w:rPr>
        <w:t xml:space="preserve"> aktual</w:t>
      </w:r>
      <w:r w:rsidR="00FF774C" w:rsidRPr="00640D24">
        <w:rPr>
          <w:sz w:val="22"/>
          <w:szCs w:val="22"/>
        </w:rPr>
        <w:t>ūs</w:t>
      </w:r>
      <w:r w:rsidR="3E6D15FA" w:rsidRPr="00640D24">
        <w:rPr>
          <w:sz w:val="22"/>
          <w:szCs w:val="22"/>
        </w:rPr>
        <w:t xml:space="preserve"> prieinami finansavimo instrumentai, kuriais galėtų naudotis gavę užsakymą, pvz.</w:t>
      </w:r>
      <w:r w:rsidR="4D113358" w:rsidRPr="00640D24">
        <w:rPr>
          <w:sz w:val="22"/>
          <w:szCs w:val="22"/>
        </w:rPr>
        <w:t>,</w:t>
      </w:r>
      <w:r w:rsidR="3E6D15FA" w:rsidRPr="00640D24">
        <w:rPr>
          <w:sz w:val="22"/>
          <w:szCs w:val="22"/>
        </w:rPr>
        <w:t xml:space="preserve"> iš </w:t>
      </w:r>
      <w:r w:rsidR="5FBB39F4" w:rsidRPr="00640D24">
        <w:rPr>
          <w:sz w:val="22"/>
          <w:szCs w:val="22"/>
        </w:rPr>
        <w:t>KAM</w:t>
      </w:r>
      <w:r w:rsidR="3E6D15FA" w:rsidRPr="00640D24">
        <w:rPr>
          <w:sz w:val="22"/>
          <w:szCs w:val="22"/>
        </w:rPr>
        <w:t xml:space="preserve">. </w:t>
      </w:r>
      <w:r w:rsidR="68EEA257" w:rsidRPr="00640D24">
        <w:rPr>
          <w:sz w:val="22"/>
          <w:szCs w:val="22"/>
        </w:rPr>
        <w:t>Finansavimo poreikis pastebi</w:t>
      </w:r>
      <w:r w:rsidR="5522693B" w:rsidRPr="00640D24">
        <w:rPr>
          <w:sz w:val="22"/>
          <w:szCs w:val="22"/>
        </w:rPr>
        <w:t xml:space="preserve">mas ir produkto kūrimo, jo </w:t>
      </w:r>
      <w:proofErr w:type="spellStart"/>
      <w:r w:rsidR="5522693B" w:rsidRPr="00640D24">
        <w:rPr>
          <w:sz w:val="22"/>
          <w:szCs w:val="22"/>
        </w:rPr>
        <w:t>komercializavimo</w:t>
      </w:r>
      <w:proofErr w:type="spellEnd"/>
      <w:r w:rsidR="5522693B" w:rsidRPr="00640D24">
        <w:rPr>
          <w:sz w:val="22"/>
          <w:szCs w:val="22"/>
        </w:rPr>
        <w:t xml:space="preserve"> etapuose. </w:t>
      </w:r>
      <w:r w:rsidR="6F2CB88F" w:rsidRPr="00640D24">
        <w:rPr>
          <w:sz w:val="22"/>
          <w:szCs w:val="22"/>
        </w:rPr>
        <w:t xml:space="preserve">Įvertinus rinkos augimo potencialą nustatyta, kad </w:t>
      </w:r>
      <w:r w:rsidR="00333D69" w:rsidRPr="00640D24">
        <w:rPr>
          <w:sz w:val="22"/>
          <w:szCs w:val="22"/>
        </w:rPr>
        <w:t>jau veikiančių</w:t>
      </w:r>
      <w:r w:rsidR="000C73C1" w:rsidRPr="00640D24">
        <w:rPr>
          <w:sz w:val="22"/>
          <w:szCs w:val="22"/>
        </w:rPr>
        <w:t xml:space="preserve"> įmonių paklausa išoriniam </w:t>
      </w:r>
      <w:r w:rsidR="6F2CB88F" w:rsidRPr="00640D24">
        <w:rPr>
          <w:sz w:val="22"/>
          <w:szCs w:val="22"/>
        </w:rPr>
        <w:t>finansavim</w:t>
      </w:r>
      <w:r w:rsidR="000C73C1" w:rsidRPr="00640D24">
        <w:rPr>
          <w:sz w:val="22"/>
          <w:szCs w:val="22"/>
        </w:rPr>
        <w:t xml:space="preserve">ui </w:t>
      </w:r>
      <w:r w:rsidR="00820412" w:rsidRPr="00640D24">
        <w:rPr>
          <w:sz w:val="22"/>
          <w:szCs w:val="22"/>
        </w:rPr>
        <w:t>iki 2027 m.</w:t>
      </w:r>
      <w:r w:rsidR="6F2CB88F" w:rsidRPr="00640D24">
        <w:rPr>
          <w:sz w:val="22"/>
          <w:szCs w:val="22"/>
        </w:rPr>
        <w:t xml:space="preserve"> siek</w:t>
      </w:r>
      <w:r w:rsidR="003B4B3F" w:rsidRPr="00640D24">
        <w:rPr>
          <w:sz w:val="22"/>
          <w:szCs w:val="22"/>
        </w:rPr>
        <w:t>tų</w:t>
      </w:r>
      <w:r w:rsidR="6F2CB88F" w:rsidRPr="00640D24">
        <w:rPr>
          <w:sz w:val="22"/>
          <w:szCs w:val="22"/>
        </w:rPr>
        <w:t xml:space="preserve"> 550 mln. </w:t>
      </w:r>
      <w:proofErr w:type="spellStart"/>
      <w:r w:rsidR="007166B3" w:rsidRPr="00640D24">
        <w:rPr>
          <w:sz w:val="22"/>
          <w:szCs w:val="22"/>
        </w:rPr>
        <w:t>Eur</w:t>
      </w:r>
      <w:proofErr w:type="spellEnd"/>
      <w:r w:rsidR="2BAE9772" w:rsidRPr="00640D24">
        <w:rPr>
          <w:sz w:val="22"/>
          <w:szCs w:val="22"/>
        </w:rPr>
        <w:t>.</w:t>
      </w:r>
    </w:p>
    <w:p w14:paraId="740E9B09" w14:textId="0C89506F" w:rsidR="008652F4" w:rsidRPr="00640D24" w:rsidRDefault="160ECCF4" w:rsidP="641B94F2">
      <w:pPr>
        <w:spacing w:before="60" w:after="60" w:line="240" w:lineRule="auto"/>
        <w:ind w:firstLine="562"/>
        <w:jc w:val="both"/>
        <w:rPr>
          <w:sz w:val="22"/>
          <w:szCs w:val="22"/>
        </w:rPr>
      </w:pPr>
      <w:r w:rsidRPr="00640D24">
        <w:rPr>
          <w:sz w:val="22"/>
          <w:szCs w:val="22"/>
        </w:rPr>
        <w:t>Nepaisant spa</w:t>
      </w:r>
      <w:r w:rsidR="2075E1CA" w:rsidRPr="00640D24">
        <w:rPr>
          <w:sz w:val="22"/>
          <w:szCs w:val="22"/>
        </w:rPr>
        <w:t>r</w:t>
      </w:r>
      <w:r w:rsidRPr="00640D24">
        <w:rPr>
          <w:sz w:val="22"/>
          <w:szCs w:val="22"/>
        </w:rPr>
        <w:t>čiai augančio gynybos ir saugumo pramonės</w:t>
      </w:r>
      <w:r w:rsidR="07E71CFA" w:rsidRPr="00640D24">
        <w:rPr>
          <w:sz w:val="22"/>
          <w:szCs w:val="22"/>
        </w:rPr>
        <w:t xml:space="preserve"> potencialo, aukščiau minėti finansavimo prieinamumo apribojimai sektoriaus įmonėms išlieka aktualūs. </w:t>
      </w:r>
      <w:r w:rsidR="217AF63E" w:rsidRPr="00640D24">
        <w:rPr>
          <w:sz w:val="22"/>
          <w:szCs w:val="22"/>
        </w:rPr>
        <w:t xml:space="preserve">Finansų įstaigos </w:t>
      </w:r>
      <w:r w:rsidR="0CCD9DDF" w:rsidRPr="00640D24">
        <w:rPr>
          <w:sz w:val="22"/>
          <w:szCs w:val="22"/>
        </w:rPr>
        <w:t xml:space="preserve">vis dar </w:t>
      </w:r>
      <w:r w:rsidR="217AF63E" w:rsidRPr="00640D24">
        <w:rPr>
          <w:sz w:val="22"/>
          <w:szCs w:val="22"/>
        </w:rPr>
        <w:t xml:space="preserve">nėra linkusios finansuoti šio sektoriaus įmonių dėl didelių administravimo kaštų ir </w:t>
      </w:r>
      <w:r w:rsidR="0CCD9DDF" w:rsidRPr="00640D24">
        <w:rPr>
          <w:sz w:val="22"/>
          <w:szCs w:val="22"/>
        </w:rPr>
        <w:t xml:space="preserve">keliamos </w:t>
      </w:r>
      <w:proofErr w:type="spellStart"/>
      <w:r w:rsidR="0CCD9DDF" w:rsidRPr="00640D24">
        <w:rPr>
          <w:sz w:val="22"/>
          <w:szCs w:val="22"/>
        </w:rPr>
        <w:t>reputacinės</w:t>
      </w:r>
      <w:proofErr w:type="spellEnd"/>
      <w:r w:rsidR="0CCD9DDF" w:rsidRPr="00640D24">
        <w:rPr>
          <w:sz w:val="22"/>
          <w:szCs w:val="22"/>
        </w:rPr>
        <w:t xml:space="preserve"> rizikos. </w:t>
      </w:r>
      <w:r w:rsidR="46E6837C" w:rsidRPr="00640D24">
        <w:rPr>
          <w:sz w:val="22"/>
          <w:szCs w:val="22"/>
        </w:rPr>
        <w:t>Alternatyvių finansuotojų siūlomos sąlygos nėra patrauklios pačioms įmonėms</w:t>
      </w:r>
      <w:r w:rsidR="3414DF96" w:rsidRPr="00640D24">
        <w:rPr>
          <w:sz w:val="22"/>
          <w:szCs w:val="22"/>
        </w:rPr>
        <w:t xml:space="preserve">, nes sektoriaus specifika lemia didesnį neapibrėžtumą, kuriame </w:t>
      </w:r>
      <w:r w:rsidR="4DB0F354" w:rsidRPr="00640D24">
        <w:rPr>
          <w:sz w:val="22"/>
          <w:szCs w:val="22"/>
        </w:rPr>
        <w:t xml:space="preserve">veikiama, lyginant su kitais sektoriais. </w:t>
      </w:r>
      <w:r w:rsidR="687AC26F" w:rsidRPr="00640D24">
        <w:rPr>
          <w:sz w:val="22"/>
          <w:szCs w:val="22"/>
        </w:rPr>
        <w:t xml:space="preserve">Finansavimo poreikiui produkto kūrimo ir </w:t>
      </w:r>
      <w:proofErr w:type="spellStart"/>
      <w:r w:rsidR="687AC26F" w:rsidRPr="00640D24">
        <w:rPr>
          <w:sz w:val="22"/>
          <w:szCs w:val="22"/>
        </w:rPr>
        <w:t>komercializavimo</w:t>
      </w:r>
      <w:proofErr w:type="spellEnd"/>
      <w:r w:rsidR="687AC26F" w:rsidRPr="00640D24">
        <w:rPr>
          <w:sz w:val="22"/>
          <w:szCs w:val="22"/>
        </w:rPr>
        <w:t xml:space="preserve"> </w:t>
      </w:r>
      <w:r w:rsidR="3B8A0D52" w:rsidRPr="00640D24">
        <w:rPr>
          <w:sz w:val="22"/>
          <w:szCs w:val="22"/>
        </w:rPr>
        <w:t>stadijose užpildyti I</w:t>
      </w:r>
      <w:r w:rsidR="3D09711F" w:rsidRPr="00640D24">
        <w:rPr>
          <w:sz w:val="22"/>
          <w:szCs w:val="22"/>
        </w:rPr>
        <w:t>NVEGA</w:t>
      </w:r>
      <w:r w:rsidR="3B8A0D52" w:rsidRPr="00640D24">
        <w:rPr>
          <w:sz w:val="22"/>
          <w:szCs w:val="22"/>
        </w:rPr>
        <w:t xml:space="preserve"> siūlo </w:t>
      </w:r>
      <w:r w:rsidR="409FC08D" w:rsidRPr="00640D24">
        <w:rPr>
          <w:sz w:val="22"/>
          <w:szCs w:val="22"/>
        </w:rPr>
        <w:t xml:space="preserve">finansinę </w:t>
      </w:r>
      <w:r w:rsidR="3B8A0D52" w:rsidRPr="00640D24">
        <w:rPr>
          <w:sz w:val="22"/>
          <w:szCs w:val="22"/>
        </w:rPr>
        <w:t xml:space="preserve">priemonę </w:t>
      </w:r>
      <w:r w:rsidR="20413436" w:rsidRPr="00640D24">
        <w:rPr>
          <w:rFonts w:ascii="Aptos" w:eastAsia="Aptos" w:hAnsi="Aptos" w:cs="Aptos"/>
        </w:rPr>
        <w:t>„</w:t>
      </w:r>
      <w:r w:rsidR="3B8A0D52" w:rsidRPr="00640D24">
        <w:rPr>
          <w:sz w:val="22"/>
          <w:szCs w:val="22"/>
        </w:rPr>
        <w:t>Perspektyva</w:t>
      </w:r>
      <w:r w:rsidR="557C2C47" w:rsidRPr="00640D24">
        <w:rPr>
          <w:rFonts w:ascii="Aptos" w:eastAsia="Aptos" w:hAnsi="Aptos" w:cs="Aptos"/>
        </w:rPr>
        <w:t>“</w:t>
      </w:r>
      <w:r w:rsidR="3B8A0D52" w:rsidRPr="00640D24">
        <w:rPr>
          <w:sz w:val="22"/>
          <w:szCs w:val="22"/>
        </w:rPr>
        <w:t>, kuria gali pasinaudoti dvigub</w:t>
      </w:r>
      <w:r w:rsidR="342677DA" w:rsidRPr="00640D24">
        <w:rPr>
          <w:sz w:val="22"/>
          <w:szCs w:val="22"/>
        </w:rPr>
        <w:t>o</w:t>
      </w:r>
      <w:r w:rsidR="3B8A0D52" w:rsidRPr="00640D24">
        <w:rPr>
          <w:sz w:val="22"/>
          <w:szCs w:val="22"/>
        </w:rPr>
        <w:t xml:space="preserve">s paskirties </w:t>
      </w:r>
      <w:r w:rsidR="342677DA" w:rsidRPr="00640D24">
        <w:rPr>
          <w:sz w:val="22"/>
          <w:szCs w:val="22"/>
        </w:rPr>
        <w:t>produktus gaminančios gynybos ir saugumo pramonės įmonės. Taip pat LMT</w:t>
      </w:r>
      <w:r w:rsidR="177C64DB" w:rsidRPr="00640D24">
        <w:rPr>
          <w:sz w:val="22"/>
          <w:szCs w:val="22"/>
        </w:rPr>
        <w:t xml:space="preserve">, KAM ir </w:t>
      </w:r>
      <w:proofErr w:type="spellStart"/>
      <w:r w:rsidR="56549138" w:rsidRPr="00640D24">
        <w:rPr>
          <w:sz w:val="22"/>
          <w:szCs w:val="22"/>
        </w:rPr>
        <w:t>VšĮ</w:t>
      </w:r>
      <w:proofErr w:type="spellEnd"/>
      <w:r w:rsidR="56549138" w:rsidRPr="00640D24">
        <w:rPr>
          <w:sz w:val="22"/>
          <w:szCs w:val="22"/>
        </w:rPr>
        <w:t xml:space="preserve"> </w:t>
      </w:r>
      <w:r w:rsidR="177C64DB" w:rsidRPr="00640D24">
        <w:rPr>
          <w:sz w:val="22"/>
          <w:szCs w:val="22"/>
        </w:rPr>
        <w:t xml:space="preserve">Inovacijų agentūra pradeda siūlyti </w:t>
      </w:r>
      <w:r w:rsidR="7C5D8589" w:rsidRPr="00640D24">
        <w:rPr>
          <w:sz w:val="22"/>
          <w:szCs w:val="22"/>
        </w:rPr>
        <w:t>finansavimą moksliniams tyrimams</w:t>
      </w:r>
      <w:r w:rsidR="00A007EB" w:rsidRPr="00640D24">
        <w:rPr>
          <w:sz w:val="22"/>
          <w:szCs w:val="22"/>
        </w:rPr>
        <w:t xml:space="preserve"> subsidijų forma</w:t>
      </w:r>
      <w:r w:rsidR="7C5D8589" w:rsidRPr="00640D24">
        <w:rPr>
          <w:sz w:val="22"/>
          <w:szCs w:val="22"/>
        </w:rPr>
        <w:t>. Tačiau gamybos plėtros ir apyvartinių lėšų poreikis išlieka nepadengtas</w:t>
      </w:r>
      <w:r w:rsidR="4EC83F2C" w:rsidRPr="00640D24">
        <w:rPr>
          <w:sz w:val="22"/>
          <w:szCs w:val="22"/>
        </w:rPr>
        <w:t xml:space="preserve">. </w:t>
      </w:r>
      <w:r w:rsidR="543C859F" w:rsidRPr="00640D24">
        <w:rPr>
          <w:sz w:val="22"/>
          <w:szCs w:val="22"/>
        </w:rPr>
        <w:t>Taigi, įvertin</w:t>
      </w:r>
      <w:r w:rsidR="3DA3EA54" w:rsidRPr="00640D24">
        <w:rPr>
          <w:sz w:val="22"/>
          <w:szCs w:val="22"/>
        </w:rPr>
        <w:t>tas</w:t>
      </w:r>
      <w:r w:rsidR="7882B215" w:rsidRPr="00640D24">
        <w:rPr>
          <w:sz w:val="22"/>
          <w:szCs w:val="22"/>
        </w:rPr>
        <w:t xml:space="preserve"> gynybos ir saugumo</w:t>
      </w:r>
      <w:r w:rsidR="136E70FD" w:rsidRPr="00640D24">
        <w:rPr>
          <w:sz w:val="22"/>
          <w:szCs w:val="22"/>
        </w:rPr>
        <w:t xml:space="preserve"> sektoriaus</w:t>
      </w:r>
      <w:r w:rsidR="4EC83F2C" w:rsidRPr="00640D24">
        <w:rPr>
          <w:sz w:val="22"/>
          <w:szCs w:val="22"/>
        </w:rPr>
        <w:t xml:space="preserve"> </w:t>
      </w:r>
      <w:r w:rsidR="4EC83F2C" w:rsidRPr="00640D24">
        <w:rPr>
          <w:b/>
          <w:bCs/>
          <w:sz w:val="22"/>
          <w:szCs w:val="22"/>
        </w:rPr>
        <w:t xml:space="preserve">finansavimo </w:t>
      </w:r>
      <w:r w:rsidR="00927B35" w:rsidRPr="00640D24">
        <w:rPr>
          <w:b/>
          <w:bCs/>
          <w:sz w:val="22"/>
          <w:szCs w:val="22"/>
        </w:rPr>
        <w:t>poreikis</w:t>
      </w:r>
      <w:r w:rsidR="00820412" w:rsidRPr="00640D24">
        <w:rPr>
          <w:b/>
          <w:bCs/>
          <w:sz w:val="22"/>
          <w:szCs w:val="22"/>
        </w:rPr>
        <w:t xml:space="preserve"> papildomai </w:t>
      </w:r>
      <w:r w:rsidR="00820412" w:rsidRPr="00640D24">
        <w:rPr>
          <w:sz w:val="22"/>
          <w:szCs w:val="22"/>
        </w:rPr>
        <w:t xml:space="preserve">prie 2020 m. nustatyto ir aukščiau įvardinto 100 mln. </w:t>
      </w:r>
      <w:proofErr w:type="spellStart"/>
      <w:r w:rsidR="00820412" w:rsidRPr="00640D24">
        <w:rPr>
          <w:sz w:val="22"/>
          <w:szCs w:val="22"/>
        </w:rPr>
        <w:t>Eur</w:t>
      </w:r>
      <w:proofErr w:type="spellEnd"/>
      <w:r w:rsidR="00820412" w:rsidRPr="00640D24">
        <w:rPr>
          <w:b/>
          <w:bCs/>
          <w:sz w:val="22"/>
          <w:szCs w:val="22"/>
        </w:rPr>
        <w:t>.</w:t>
      </w:r>
      <w:r w:rsidR="00927B35" w:rsidRPr="00640D24">
        <w:rPr>
          <w:b/>
          <w:bCs/>
          <w:sz w:val="22"/>
          <w:szCs w:val="22"/>
        </w:rPr>
        <w:t xml:space="preserve"> </w:t>
      </w:r>
      <w:r w:rsidR="4EC83F2C" w:rsidRPr="00640D24">
        <w:rPr>
          <w:b/>
          <w:bCs/>
          <w:sz w:val="22"/>
          <w:szCs w:val="22"/>
        </w:rPr>
        <w:t xml:space="preserve">investicinėms ir apyvartinėms lėšoms </w:t>
      </w:r>
      <w:r w:rsidR="3FB3A8A5" w:rsidRPr="00640D24">
        <w:rPr>
          <w:b/>
          <w:bCs/>
          <w:sz w:val="22"/>
          <w:szCs w:val="22"/>
        </w:rPr>
        <w:t>gali siekti</w:t>
      </w:r>
      <w:r w:rsidR="0655E1EB" w:rsidRPr="00640D24">
        <w:rPr>
          <w:b/>
          <w:bCs/>
          <w:sz w:val="22"/>
          <w:szCs w:val="22"/>
        </w:rPr>
        <w:t xml:space="preserve"> 450</w:t>
      </w:r>
      <w:r w:rsidR="4EC83F2C" w:rsidRPr="00640D24">
        <w:rPr>
          <w:b/>
          <w:bCs/>
          <w:sz w:val="22"/>
          <w:szCs w:val="22"/>
        </w:rPr>
        <w:t xml:space="preserve"> mln. </w:t>
      </w:r>
      <w:proofErr w:type="spellStart"/>
      <w:r w:rsidR="007166B3" w:rsidRPr="00640D24">
        <w:rPr>
          <w:b/>
          <w:bCs/>
          <w:sz w:val="22"/>
          <w:szCs w:val="22"/>
        </w:rPr>
        <w:t>Eur</w:t>
      </w:r>
      <w:proofErr w:type="spellEnd"/>
      <w:r w:rsidR="4EC83F2C" w:rsidRPr="00640D24">
        <w:rPr>
          <w:sz w:val="22"/>
          <w:szCs w:val="22"/>
        </w:rPr>
        <w:t xml:space="preserve">.    </w:t>
      </w:r>
    </w:p>
    <w:p w14:paraId="36B612B8" w14:textId="08A5110F" w:rsidR="00334F87" w:rsidRPr="00640D24" w:rsidRDefault="001F44ED" w:rsidP="00F01F6B">
      <w:pPr>
        <w:spacing w:before="60" w:after="60" w:line="240" w:lineRule="auto"/>
        <w:ind w:firstLine="562"/>
        <w:jc w:val="both"/>
        <w:rPr>
          <w:sz w:val="22"/>
          <w:szCs w:val="22"/>
        </w:rPr>
      </w:pPr>
      <w:r w:rsidRPr="00640D24">
        <w:rPr>
          <w:sz w:val="22"/>
          <w:szCs w:val="22"/>
        </w:rPr>
        <w:t xml:space="preserve"> </w:t>
      </w:r>
      <w:r w:rsidR="00EC3EF4" w:rsidRPr="00640D24">
        <w:rPr>
          <w:sz w:val="22"/>
          <w:szCs w:val="22"/>
        </w:rPr>
        <w:t xml:space="preserve"> </w:t>
      </w:r>
      <w:r w:rsidR="005F1683" w:rsidRPr="00640D24">
        <w:rPr>
          <w:sz w:val="22"/>
          <w:szCs w:val="22"/>
        </w:rPr>
        <w:t xml:space="preserve"> </w:t>
      </w:r>
      <w:r w:rsidR="0012646E" w:rsidRPr="00640D24">
        <w:rPr>
          <w:sz w:val="22"/>
          <w:szCs w:val="22"/>
        </w:rPr>
        <w:t xml:space="preserve"> </w:t>
      </w:r>
      <w:r w:rsidR="002D0F2D" w:rsidRPr="00640D24">
        <w:rPr>
          <w:sz w:val="22"/>
          <w:szCs w:val="22"/>
        </w:rPr>
        <w:t xml:space="preserve">  </w:t>
      </w:r>
    </w:p>
    <w:p w14:paraId="1D6FE419" w14:textId="63A1FA71" w:rsidR="00B769AD" w:rsidRPr="00640D24" w:rsidRDefault="00B769AD" w:rsidP="00B769AD">
      <w:pPr>
        <w:spacing w:before="120" w:after="120" w:line="240" w:lineRule="auto"/>
        <w:ind w:left="567"/>
        <w:rPr>
          <w:rFonts w:cs="Times New Roman"/>
          <w:i/>
          <w:iCs/>
          <w:sz w:val="22"/>
          <w:szCs w:val="22"/>
        </w:rPr>
      </w:pPr>
      <w:r w:rsidRPr="00640D24">
        <w:rPr>
          <w:rFonts w:cs="Times New Roman"/>
          <w:i/>
          <w:iCs/>
          <w:sz w:val="22"/>
          <w:szCs w:val="22"/>
        </w:rPr>
        <w:t>Finansavimo lėšų poreikis</w:t>
      </w:r>
      <w:r w:rsidR="00FC3C05" w:rsidRPr="00640D24">
        <w:t xml:space="preserve"> </w:t>
      </w:r>
      <w:r w:rsidR="00FC3C05" w:rsidRPr="00640D24">
        <w:rPr>
          <w:rFonts w:cs="Times New Roman"/>
          <w:i/>
          <w:iCs/>
          <w:sz w:val="22"/>
          <w:szCs w:val="22"/>
        </w:rPr>
        <w:t>pramonės įmonių skatinimui ir konkurencingumo didinimui</w:t>
      </w:r>
    </w:p>
    <w:p w14:paraId="688E5F48" w14:textId="7292335D" w:rsidR="00B769AD" w:rsidRPr="00640D24" w:rsidRDefault="00B769AD" w:rsidP="00B769AD">
      <w:pPr>
        <w:spacing w:before="60" w:after="60" w:line="240" w:lineRule="auto"/>
        <w:ind w:firstLine="567"/>
        <w:jc w:val="both"/>
        <w:rPr>
          <w:rFonts w:cs="Times New Roman"/>
          <w:sz w:val="22"/>
          <w:szCs w:val="22"/>
        </w:rPr>
      </w:pPr>
      <w:r w:rsidRPr="00640D24">
        <w:rPr>
          <w:rFonts w:cs="Times New Roman"/>
          <w:sz w:val="22"/>
          <w:szCs w:val="22"/>
        </w:rPr>
        <w:t xml:space="preserve">Remiantis </w:t>
      </w:r>
      <w:r w:rsidR="000C6FDC" w:rsidRPr="00640D24">
        <w:rPr>
          <w:rFonts w:cs="Times New Roman"/>
          <w:sz w:val="22"/>
          <w:szCs w:val="22"/>
        </w:rPr>
        <w:t xml:space="preserve">2020-2023 m. </w:t>
      </w:r>
      <w:r w:rsidRPr="00640D24">
        <w:rPr>
          <w:rFonts w:cs="Times New Roman"/>
          <w:sz w:val="22"/>
          <w:szCs w:val="22"/>
        </w:rPr>
        <w:t>atlikta analize, toliau yra pateikiamos investicijų paklausos skaičiavimų prielaidos:</w:t>
      </w:r>
    </w:p>
    <w:p w14:paraId="2F5A847C" w14:textId="256C0AED" w:rsidR="00B769AD" w:rsidRPr="00640D24" w:rsidRDefault="00B769AD" w:rsidP="00B769AD">
      <w:pPr>
        <w:pStyle w:val="Sraopastraipa"/>
        <w:numPr>
          <w:ilvl w:val="0"/>
          <w:numId w:val="36"/>
        </w:numPr>
        <w:spacing w:before="60" w:after="60" w:line="240" w:lineRule="auto"/>
        <w:jc w:val="both"/>
        <w:rPr>
          <w:rFonts w:cs="Times New Roman"/>
          <w:sz w:val="22"/>
          <w:szCs w:val="22"/>
        </w:rPr>
      </w:pPr>
      <w:r w:rsidRPr="00640D24">
        <w:rPr>
          <w:rFonts w:cs="Times New Roman"/>
          <w:sz w:val="22"/>
          <w:szCs w:val="22"/>
        </w:rPr>
        <w:t>Apklausa parodė, kad</w:t>
      </w:r>
      <w:r w:rsidR="004663C0" w:rsidRPr="00640D24">
        <w:rPr>
          <w:rFonts w:cs="Times New Roman"/>
          <w:sz w:val="22"/>
          <w:szCs w:val="22"/>
        </w:rPr>
        <w:t xml:space="preserve"> per ateinančius 3 metus:</w:t>
      </w:r>
    </w:p>
    <w:p w14:paraId="1EA01894" w14:textId="797E40E9" w:rsidR="004663C0" w:rsidRPr="00640D24" w:rsidRDefault="004663C0" w:rsidP="001E5C0D">
      <w:pPr>
        <w:pStyle w:val="Sraopastraipa"/>
        <w:numPr>
          <w:ilvl w:val="1"/>
          <w:numId w:val="36"/>
        </w:numPr>
        <w:spacing w:before="60" w:after="60" w:line="240" w:lineRule="auto"/>
        <w:jc w:val="both"/>
        <w:rPr>
          <w:rFonts w:cs="Times New Roman"/>
          <w:sz w:val="22"/>
          <w:szCs w:val="22"/>
        </w:rPr>
      </w:pPr>
      <w:r w:rsidRPr="00640D24">
        <w:rPr>
          <w:rFonts w:cs="Times New Roman"/>
          <w:sz w:val="22"/>
          <w:szCs w:val="22"/>
        </w:rPr>
        <w:t>apie</w:t>
      </w:r>
      <w:r w:rsidR="00B769AD" w:rsidRPr="00640D24">
        <w:rPr>
          <w:rFonts w:cs="Times New Roman"/>
          <w:sz w:val="22"/>
          <w:szCs w:val="22"/>
        </w:rPr>
        <w:t xml:space="preserve"> 26 proc. MVĮ ir 34 proc</w:t>
      </w:r>
      <w:r w:rsidRPr="00640D24">
        <w:rPr>
          <w:rFonts w:cs="Times New Roman"/>
          <w:sz w:val="22"/>
          <w:szCs w:val="22"/>
        </w:rPr>
        <w:t>.</w:t>
      </w:r>
      <w:r w:rsidR="00B769AD" w:rsidRPr="00640D24">
        <w:rPr>
          <w:rFonts w:cs="Times New Roman"/>
          <w:sz w:val="22"/>
          <w:szCs w:val="22"/>
        </w:rPr>
        <w:t xml:space="preserve"> </w:t>
      </w:r>
      <w:r w:rsidRPr="00640D24">
        <w:rPr>
          <w:rFonts w:cs="Times New Roman"/>
          <w:sz w:val="22"/>
          <w:szCs w:val="22"/>
        </w:rPr>
        <w:t xml:space="preserve">DĮ </w:t>
      </w:r>
      <w:r w:rsidR="00B769AD" w:rsidRPr="00640D24">
        <w:rPr>
          <w:rFonts w:cs="Times New Roman"/>
          <w:sz w:val="22"/>
          <w:szCs w:val="22"/>
        </w:rPr>
        <w:t>investuos į žaliąją transformaciją/tvariąją gamybą</w:t>
      </w:r>
      <w:r w:rsidRPr="00640D24">
        <w:rPr>
          <w:rFonts w:cs="Times New Roman"/>
          <w:sz w:val="22"/>
          <w:szCs w:val="22"/>
        </w:rPr>
        <w:t>;</w:t>
      </w:r>
    </w:p>
    <w:p w14:paraId="75ADF64C" w14:textId="6F8916FF" w:rsidR="00B769AD" w:rsidRPr="00640D24" w:rsidRDefault="004663C0" w:rsidP="001E5C0D">
      <w:pPr>
        <w:pStyle w:val="Sraopastraipa"/>
        <w:numPr>
          <w:ilvl w:val="1"/>
          <w:numId w:val="36"/>
        </w:numPr>
        <w:spacing w:before="60" w:after="60" w:line="240" w:lineRule="auto"/>
        <w:jc w:val="both"/>
        <w:rPr>
          <w:rFonts w:cs="Times New Roman"/>
          <w:sz w:val="22"/>
          <w:szCs w:val="22"/>
        </w:rPr>
      </w:pPr>
      <w:r w:rsidRPr="00640D24">
        <w:rPr>
          <w:rFonts w:cs="Times New Roman"/>
          <w:sz w:val="22"/>
          <w:szCs w:val="22"/>
        </w:rPr>
        <w:t>apie</w:t>
      </w:r>
      <w:r w:rsidR="00B769AD" w:rsidRPr="00640D24">
        <w:rPr>
          <w:rFonts w:cs="Times New Roman"/>
          <w:sz w:val="22"/>
          <w:szCs w:val="22"/>
        </w:rPr>
        <w:t xml:space="preserve"> 65 proc. </w:t>
      </w:r>
      <w:r w:rsidRPr="00640D24">
        <w:rPr>
          <w:rFonts w:cs="Times New Roman"/>
          <w:sz w:val="22"/>
          <w:szCs w:val="22"/>
        </w:rPr>
        <w:t xml:space="preserve">MVĮ ir 58 proc. DĮ </w:t>
      </w:r>
      <w:r w:rsidR="00B769AD" w:rsidRPr="00640D24">
        <w:rPr>
          <w:rFonts w:cs="Times New Roman"/>
          <w:sz w:val="22"/>
          <w:szCs w:val="22"/>
        </w:rPr>
        <w:t xml:space="preserve">investuos į gamybos modernizavimą ir pramonės </w:t>
      </w:r>
      <w:proofErr w:type="spellStart"/>
      <w:r w:rsidR="00B769AD" w:rsidRPr="00640D24">
        <w:rPr>
          <w:rFonts w:cs="Times New Roman"/>
          <w:sz w:val="22"/>
          <w:szCs w:val="22"/>
        </w:rPr>
        <w:t>skaitmenizavimą</w:t>
      </w:r>
      <w:proofErr w:type="spellEnd"/>
      <w:r w:rsidRPr="00640D24">
        <w:rPr>
          <w:rFonts w:cs="Times New Roman"/>
          <w:sz w:val="22"/>
          <w:szCs w:val="22"/>
        </w:rPr>
        <w:t>;</w:t>
      </w:r>
    </w:p>
    <w:p w14:paraId="63EB7B06" w14:textId="77777777" w:rsidR="004663C0" w:rsidRPr="00640D24" w:rsidRDefault="004663C0" w:rsidP="001E5C0D">
      <w:pPr>
        <w:pStyle w:val="Sraopastraipa"/>
        <w:numPr>
          <w:ilvl w:val="1"/>
          <w:numId w:val="36"/>
        </w:numPr>
        <w:spacing w:before="60" w:after="60" w:line="240" w:lineRule="auto"/>
        <w:jc w:val="both"/>
        <w:rPr>
          <w:rFonts w:cs="Times New Roman"/>
          <w:sz w:val="22"/>
          <w:szCs w:val="22"/>
        </w:rPr>
      </w:pPr>
      <w:r w:rsidRPr="00640D24">
        <w:rPr>
          <w:rFonts w:cs="Times New Roman"/>
          <w:sz w:val="22"/>
          <w:szCs w:val="22"/>
        </w:rPr>
        <w:t>apie</w:t>
      </w:r>
      <w:r w:rsidR="00B769AD" w:rsidRPr="00640D24">
        <w:rPr>
          <w:rFonts w:cs="Times New Roman"/>
          <w:sz w:val="22"/>
          <w:szCs w:val="22"/>
        </w:rPr>
        <w:t xml:space="preserve"> 59 proc. </w:t>
      </w:r>
      <w:r w:rsidRPr="00640D24">
        <w:rPr>
          <w:rFonts w:cs="Times New Roman"/>
          <w:sz w:val="22"/>
          <w:szCs w:val="22"/>
        </w:rPr>
        <w:t xml:space="preserve">MVĮ ir 50 proc. DĮ </w:t>
      </w:r>
      <w:r w:rsidR="00B769AD" w:rsidRPr="00640D24">
        <w:rPr>
          <w:rFonts w:cs="Times New Roman"/>
          <w:sz w:val="22"/>
          <w:szCs w:val="22"/>
        </w:rPr>
        <w:t xml:space="preserve">investuos į </w:t>
      </w:r>
      <w:r w:rsidRPr="00640D24">
        <w:rPr>
          <w:rFonts w:cs="Times New Roman"/>
          <w:sz w:val="22"/>
          <w:szCs w:val="22"/>
        </w:rPr>
        <w:t xml:space="preserve">aukštą pridėtinę vertę kuriančios </w:t>
      </w:r>
      <w:r w:rsidR="00B769AD" w:rsidRPr="00640D24">
        <w:rPr>
          <w:rFonts w:cs="Times New Roman"/>
          <w:sz w:val="22"/>
          <w:szCs w:val="22"/>
        </w:rPr>
        <w:t xml:space="preserve">gamybos modernizavimą ir pramonės </w:t>
      </w:r>
      <w:proofErr w:type="spellStart"/>
      <w:r w:rsidR="00B769AD" w:rsidRPr="00640D24">
        <w:rPr>
          <w:rFonts w:cs="Times New Roman"/>
          <w:sz w:val="22"/>
          <w:szCs w:val="22"/>
        </w:rPr>
        <w:t>skaitmenizavimą</w:t>
      </w:r>
      <w:proofErr w:type="spellEnd"/>
      <w:r w:rsidRPr="00640D24">
        <w:rPr>
          <w:rFonts w:cs="Times New Roman"/>
          <w:sz w:val="22"/>
          <w:szCs w:val="22"/>
        </w:rPr>
        <w:t>.</w:t>
      </w:r>
    </w:p>
    <w:p w14:paraId="2450B74F" w14:textId="5051913B" w:rsidR="00B769AD" w:rsidRPr="00640D24" w:rsidRDefault="00B769AD" w:rsidP="00B769AD">
      <w:pPr>
        <w:pStyle w:val="Sraopastraipa"/>
        <w:numPr>
          <w:ilvl w:val="0"/>
          <w:numId w:val="36"/>
        </w:numPr>
        <w:spacing w:before="60" w:after="60" w:line="240" w:lineRule="auto"/>
        <w:jc w:val="both"/>
        <w:rPr>
          <w:rFonts w:cs="Times New Roman"/>
          <w:sz w:val="22"/>
          <w:szCs w:val="22"/>
        </w:rPr>
      </w:pPr>
      <w:r w:rsidRPr="00640D24">
        <w:rPr>
          <w:rFonts w:cs="Times New Roman"/>
          <w:sz w:val="22"/>
          <w:szCs w:val="22"/>
        </w:rPr>
        <w:t>Kadangi dėl infliacijos ir kitų veiksnių kiekvienais metais auga darbo ir kapitalo sąnaudos, tai daroma prielaida, kad vieno investicijų projekto vertė augs vidutiniškai po 5,5 proc. kasmet. Šis augimo koeficientas atitinka vidutinį FM prognozuojamą bendrojo pagrindinio kapitalo defliatoriaus augimą 2023–2026 m.</w:t>
      </w:r>
    </w:p>
    <w:p w14:paraId="47951236" w14:textId="1D487FF6" w:rsidR="00B769AD" w:rsidRPr="00640D24" w:rsidRDefault="00B769AD" w:rsidP="00B769AD">
      <w:pPr>
        <w:pStyle w:val="Sraopastraipa"/>
        <w:numPr>
          <w:ilvl w:val="0"/>
          <w:numId w:val="36"/>
        </w:numPr>
        <w:spacing w:before="60" w:after="60" w:line="240" w:lineRule="auto"/>
        <w:jc w:val="both"/>
        <w:rPr>
          <w:rFonts w:cs="Times New Roman"/>
          <w:sz w:val="22"/>
          <w:szCs w:val="22"/>
        </w:rPr>
      </w:pPr>
      <w:r w:rsidRPr="00640D24">
        <w:rPr>
          <w:rFonts w:cs="Times New Roman"/>
          <w:sz w:val="22"/>
          <w:szCs w:val="22"/>
        </w:rPr>
        <w:t>Siekiant apskaičiuoti realų investicijų trūkumą DĮ vertintojai rėmėsi atliktų interviu su NPĮ, kredito įstaigomis ir DĮ medžiaga. Remiantis interviu medžiaga (detalesnė informacija pateik</w:t>
      </w:r>
      <w:r w:rsidR="009D7CEA" w:rsidRPr="00640D24">
        <w:rPr>
          <w:rFonts w:cs="Times New Roman"/>
          <w:sz w:val="22"/>
          <w:szCs w:val="22"/>
        </w:rPr>
        <w:t>t</w:t>
      </w:r>
      <w:r w:rsidRPr="00640D24">
        <w:rPr>
          <w:rFonts w:cs="Times New Roman"/>
          <w:sz w:val="22"/>
          <w:szCs w:val="22"/>
        </w:rPr>
        <w:t xml:space="preserve">a 3 skyriuje), įmonės nuosavomis ar skolintomis lėšomis pajėgia finansuoti iki </w:t>
      </w:r>
      <w:r w:rsidR="00B14430" w:rsidRPr="00640D24">
        <w:rPr>
          <w:rFonts w:cs="Times New Roman"/>
          <w:sz w:val="22"/>
          <w:szCs w:val="22"/>
        </w:rPr>
        <w:t>6</w:t>
      </w:r>
      <w:r w:rsidRPr="00640D24">
        <w:rPr>
          <w:rFonts w:cs="Times New Roman"/>
          <w:sz w:val="22"/>
          <w:szCs w:val="22"/>
        </w:rPr>
        <w:t xml:space="preserve">0–80 proc. didelių projektų vertės. Atsižvelgiant į šiuos skaičiuos, vertintojai darė konservatyvią prielaidą, kad </w:t>
      </w:r>
      <w:r w:rsidR="009D7CEA" w:rsidRPr="00640D24">
        <w:rPr>
          <w:rFonts w:cs="Times New Roman"/>
          <w:sz w:val="22"/>
          <w:szCs w:val="22"/>
        </w:rPr>
        <w:t xml:space="preserve">DĮ galės finansuoti </w:t>
      </w:r>
      <w:r w:rsidR="00645085" w:rsidRPr="00640D24">
        <w:rPr>
          <w:rFonts w:cs="Times New Roman"/>
          <w:sz w:val="22"/>
          <w:szCs w:val="22"/>
        </w:rPr>
        <w:t>iki</w:t>
      </w:r>
      <w:r w:rsidRPr="00640D24">
        <w:rPr>
          <w:rFonts w:cs="Times New Roman"/>
          <w:sz w:val="22"/>
          <w:szCs w:val="22"/>
        </w:rPr>
        <w:t xml:space="preserve"> </w:t>
      </w:r>
      <w:r w:rsidR="00B14430" w:rsidRPr="00640D24">
        <w:rPr>
          <w:rFonts w:cs="Times New Roman"/>
          <w:sz w:val="22"/>
          <w:szCs w:val="22"/>
        </w:rPr>
        <w:t>60</w:t>
      </w:r>
      <w:r w:rsidRPr="00640D24">
        <w:rPr>
          <w:rFonts w:cs="Times New Roman"/>
          <w:sz w:val="22"/>
          <w:szCs w:val="22"/>
        </w:rPr>
        <w:t xml:space="preserve"> proc. projektų vertės</w:t>
      </w:r>
      <w:r w:rsidR="00B14430" w:rsidRPr="00640D24">
        <w:rPr>
          <w:rFonts w:cs="Times New Roman"/>
          <w:sz w:val="22"/>
          <w:szCs w:val="22"/>
        </w:rPr>
        <w:t xml:space="preserve"> nuosavomis ar iš</w:t>
      </w:r>
      <w:r w:rsidR="00F318F6" w:rsidRPr="00640D24">
        <w:rPr>
          <w:rFonts w:cs="Times New Roman"/>
          <w:sz w:val="22"/>
          <w:szCs w:val="22"/>
        </w:rPr>
        <w:t xml:space="preserve"> finansų</w:t>
      </w:r>
      <w:r w:rsidR="005D2080" w:rsidRPr="00640D24">
        <w:rPr>
          <w:rFonts w:cs="Times New Roman"/>
          <w:sz w:val="22"/>
          <w:szCs w:val="22"/>
        </w:rPr>
        <w:t xml:space="preserve"> tarpininkų</w:t>
      </w:r>
      <w:r w:rsidR="00B14430" w:rsidRPr="00640D24">
        <w:rPr>
          <w:rFonts w:cs="Times New Roman"/>
          <w:sz w:val="22"/>
          <w:szCs w:val="22"/>
        </w:rPr>
        <w:t xml:space="preserve"> skolintomis lėšomis</w:t>
      </w:r>
      <w:r w:rsidRPr="00640D24">
        <w:rPr>
          <w:rFonts w:cs="Times New Roman"/>
          <w:sz w:val="22"/>
          <w:szCs w:val="22"/>
        </w:rPr>
        <w:t>.</w:t>
      </w:r>
      <w:r w:rsidR="00021D7A" w:rsidRPr="00640D24">
        <w:rPr>
          <w:rFonts w:cs="Times New Roman"/>
          <w:sz w:val="22"/>
          <w:szCs w:val="22"/>
        </w:rPr>
        <w:t xml:space="preserve"> Vis dėlto svarbu pastebėti, kad mažesnės apimties projektų atvejais</w:t>
      </w:r>
      <w:r w:rsidR="00F318F6" w:rsidRPr="00640D24">
        <w:rPr>
          <w:rFonts w:cs="Times New Roman"/>
          <w:sz w:val="22"/>
          <w:szCs w:val="22"/>
        </w:rPr>
        <w:t xml:space="preserve"> ir ypač tada, kai MVĮ įgyvendina projektus</w:t>
      </w:r>
      <w:r w:rsidR="00021D7A" w:rsidRPr="00640D24">
        <w:rPr>
          <w:rFonts w:cs="Times New Roman"/>
          <w:sz w:val="22"/>
          <w:szCs w:val="22"/>
        </w:rPr>
        <w:t xml:space="preserve">, </w:t>
      </w:r>
      <w:r w:rsidR="00F318F6" w:rsidRPr="00640D24">
        <w:rPr>
          <w:rFonts w:cs="Times New Roman"/>
          <w:sz w:val="22"/>
          <w:szCs w:val="22"/>
        </w:rPr>
        <w:t>įmonės reikšmingai mažesnę dalį projekto vertės yra pajėgios finansuoti nuosavomis lėšomis</w:t>
      </w:r>
      <w:r w:rsidR="00645085" w:rsidRPr="00640D24">
        <w:rPr>
          <w:rFonts w:cs="Times New Roman"/>
          <w:sz w:val="22"/>
          <w:szCs w:val="22"/>
        </w:rPr>
        <w:t xml:space="preserve"> ar iš finansų </w:t>
      </w:r>
      <w:r w:rsidR="007C5F7B" w:rsidRPr="00640D24">
        <w:rPr>
          <w:rFonts w:cs="Times New Roman"/>
          <w:sz w:val="22"/>
          <w:szCs w:val="22"/>
        </w:rPr>
        <w:t xml:space="preserve">įstaigų </w:t>
      </w:r>
      <w:r w:rsidR="00645085" w:rsidRPr="00640D24">
        <w:rPr>
          <w:rFonts w:cs="Times New Roman"/>
          <w:sz w:val="22"/>
          <w:szCs w:val="22"/>
        </w:rPr>
        <w:t>skolintomis lėšomis</w:t>
      </w:r>
      <w:r w:rsidR="00F318F6" w:rsidRPr="00640D24">
        <w:rPr>
          <w:rFonts w:cs="Times New Roman"/>
          <w:sz w:val="22"/>
          <w:szCs w:val="22"/>
        </w:rPr>
        <w:t xml:space="preserve">. Remiantis anksčiau įgyvendintų priemonių </w:t>
      </w:r>
      <w:r w:rsidR="00F318F6" w:rsidRPr="00640D24">
        <w:rPr>
          <w:rFonts w:cs="Times New Roman"/>
          <w:sz w:val="22"/>
          <w:szCs w:val="22"/>
        </w:rPr>
        <w:lastRenderedPageBreak/>
        <w:t xml:space="preserve">analize, interviu ir apklausų medžiaga, įmonių pajėgumas finansuoti projektus varijuoja nuo 20 proc. iki 60 proc. Tad apskaičiuojant investicijų poreikį mažesniems projektams buvo daroma prielaida, kad įmonės nuosavomis ar iš finansų įstaigų skolintomis lėšomis yra pajėgios finansuoti 20–60 proc. numatytų įgyvendintų projektų vertės. </w:t>
      </w:r>
    </w:p>
    <w:p w14:paraId="5590E76E" w14:textId="23597AD3" w:rsidR="00F97DB5" w:rsidRPr="00640D24" w:rsidRDefault="00F97DB5" w:rsidP="00F97DB5">
      <w:pPr>
        <w:pStyle w:val="Sraopastraipa"/>
        <w:numPr>
          <w:ilvl w:val="0"/>
          <w:numId w:val="36"/>
        </w:numPr>
        <w:spacing w:line="240" w:lineRule="auto"/>
        <w:jc w:val="both"/>
        <w:rPr>
          <w:rFonts w:cs="Times New Roman"/>
          <w:sz w:val="22"/>
          <w:szCs w:val="22"/>
        </w:rPr>
      </w:pPr>
      <w:r w:rsidRPr="00640D24">
        <w:rPr>
          <w:rFonts w:cs="Times New Roman"/>
          <w:sz w:val="22"/>
          <w:szCs w:val="22"/>
        </w:rPr>
        <w:t>Siekiant paskatinti įmones investuoti į transformacijos</w:t>
      </w:r>
      <w:r w:rsidR="009D7CEA" w:rsidRPr="00640D24">
        <w:rPr>
          <w:rFonts w:cs="Times New Roman"/>
          <w:sz w:val="22"/>
          <w:szCs w:val="22"/>
        </w:rPr>
        <w:t xml:space="preserve"> </w:t>
      </w:r>
      <w:r w:rsidRPr="00640D24">
        <w:rPr>
          <w:rFonts w:cs="Times New Roman"/>
          <w:sz w:val="22"/>
          <w:szCs w:val="22"/>
        </w:rPr>
        <w:t xml:space="preserve">veiklas bei kurti naujas darbo vietas, siūloma derinti skolinį finansavimą ir </w:t>
      </w:r>
      <w:r w:rsidR="00184A61" w:rsidRPr="00640D24">
        <w:rPr>
          <w:rFonts w:cs="Times New Roman"/>
          <w:sz w:val="22"/>
          <w:szCs w:val="22"/>
        </w:rPr>
        <w:t>dotacijas</w:t>
      </w:r>
      <w:r w:rsidRPr="00640D24">
        <w:rPr>
          <w:rFonts w:cs="Times New Roman"/>
          <w:sz w:val="22"/>
          <w:szCs w:val="22"/>
        </w:rPr>
        <w:t xml:space="preserve">. Rekomenduojama teikti </w:t>
      </w:r>
      <w:r w:rsidR="00184A61" w:rsidRPr="00640D24">
        <w:rPr>
          <w:rFonts w:cs="Times New Roman"/>
          <w:sz w:val="22"/>
          <w:szCs w:val="22"/>
        </w:rPr>
        <w:t>dotaciją</w:t>
      </w:r>
      <w:r w:rsidRPr="00640D24">
        <w:rPr>
          <w:rFonts w:cs="Times New Roman"/>
          <w:sz w:val="22"/>
          <w:szCs w:val="22"/>
        </w:rPr>
        <w:t xml:space="preserve"> darbo užmokesčiui, palūkanų kompensavimui arba dalies paskolos nurašymui, kai įmonei, tinkamai įgyvendinus projektą ir grąžinus dalį skolinio finansavimo, dalis suteikto finansavimo galėtų būti negrąžinama (angl. </w:t>
      </w:r>
      <w:proofErr w:type="spellStart"/>
      <w:r w:rsidRPr="00640D24">
        <w:rPr>
          <w:rFonts w:cs="Times New Roman"/>
          <w:i/>
          <w:iCs/>
          <w:sz w:val="22"/>
          <w:szCs w:val="22"/>
        </w:rPr>
        <w:t>capital</w:t>
      </w:r>
      <w:proofErr w:type="spellEnd"/>
      <w:r w:rsidRPr="00640D24">
        <w:rPr>
          <w:rFonts w:cs="Times New Roman"/>
          <w:i/>
          <w:iCs/>
          <w:sz w:val="22"/>
          <w:szCs w:val="22"/>
        </w:rPr>
        <w:t xml:space="preserve"> </w:t>
      </w:r>
      <w:proofErr w:type="spellStart"/>
      <w:r w:rsidRPr="00640D24">
        <w:rPr>
          <w:rFonts w:cs="Times New Roman"/>
          <w:i/>
          <w:iCs/>
          <w:sz w:val="22"/>
          <w:szCs w:val="22"/>
        </w:rPr>
        <w:t>rebate</w:t>
      </w:r>
      <w:proofErr w:type="spellEnd"/>
      <w:r w:rsidRPr="00640D24">
        <w:rPr>
          <w:rFonts w:cs="Times New Roman"/>
          <w:sz w:val="22"/>
          <w:szCs w:val="22"/>
        </w:rPr>
        <w:t>)</w:t>
      </w:r>
      <w:r w:rsidR="00B10A43" w:rsidRPr="00640D24">
        <w:rPr>
          <w:rFonts w:cs="Times New Roman"/>
          <w:sz w:val="22"/>
          <w:szCs w:val="22"/>
        </w:rPr>
        <w:t>, siekiant palengvinti įmonei paskolos grąžinimą ar/ir sumažinti paskolos sąnaudas, nesant pastoviems pinigų srautams. Toks siūlymas ypatingai aktualus dėl išaugusios skolinimosi kainos (EURIBOR) ir geopolitinės situacijos neapibrėžtumo</w:t>
      </w:r>
      <w:r w:rsidR="001E2C62" w:rsidRPr="00640D24">
        <w:rPr>
          <w:rFonts w:cs="Times New Roman"/>
          <w:sz w:val="22"/>
          <w:szCs w:val="22"/>
        </w:rPr>
        <w:t>.</w:t>
      </w:r>
    </w:p>
    <w:p w14:paraId="3C7CBAA6" w14:textId="3CC0BE88" w:rsidR="00B769AD" w:rsidRPr="00640D24" w:rsidRDefault="00B769AD" w:rsidP="00EF565B">
      <w:pPr>
        <w:pStyle w:val="Sraopastraipa"/>
        <w:numPr>
          <w:ilvl w:val="0"/>
          <w:numId w:val="36"/>
        </w:numPr>
        <w:spacing w:before="60" w:after="60" w:line="240" w:lineRule="auto"/>
        <w:jc w:val="both"/>
        <w:rPr>
          <w:rFonts w:cs="Times New Roman"/>
          <w:sz w:val="22"/>
          <w:szCs w:val="22"/>
        </w:rPr>
      </w:pPr>
      <w:r w:rsidRPr="00640D24">
        <w:rPr>
          <w:rFonts w:cs="Times New Roman"/>
          <w:sz w:val="22"/>
          <w:szCs w:val="22"/>
        </w:rPr>
        <w:t xml:space="preserve">Siekiant paskatinti pramonės įmones investuoti į procesų automatizavimo ir </w:t>
      </w:r>
      <w:proofErr w:type="spellStart"/>
      <w:r w:rsidRPr="00640D24">
        <w:rPr>
          <w:rFonts w:cs="Times New Roman"/>
          <w:sz w:val="22"/>
          <w:szCs w:val="22"/>
        </w:rPr>
        <w:t>skaitmeninimo</w:t>
      </w:r>
      <w:proofErr w:type="spellEnd"/>
      <w:r w:rsidRPr="00640D24">
        <w:rPr>
          <w:rFonts w:cs="Times New Roman"/>
          <w:sz w:val="22"/>
          <w:szCs w:val="22"/>
        </w:rPr>
        <w:t xml:space="preserve"> technologijų diegimą, siūlytina finansinę priemonę derinti su </w:t>
      </w:r>
      <w:r w:rsidR="00184A61" w:rsidRPr="00640D24">
        <w:rPr>
          <w:rFonts w:cs="Times New Roman"/>
          <w:sz w:val="22"/>
          <w:szCs w:val="22"/>
        </w:rPr>
        <w:t>dotacija</w:t>
      </w:r>
      <w:r w:rsidRPr="00640D24">
        <w:rPr>
          <w:rFonts w:cs="Times New Roman"/>
          <w:sz w:val="22"/>
          <w:szCs w:val="22"/>
        </w:rPr>
        <w:t xml:space="preserve">. Rekomenduojama teikti </w:t>
      </w:r>
      <w:r w:rsidR="00184A61" w:rsidRPr="00640D24">
        <w:rPr>
          <w:rFonts w:cs="Times New Roman"/>
          <w:sz w:val="22"/>
          <w:szCs w:val="22"/>
        </w:rPr>
        <w:t>dotaciją</w:t>
      </w:r>
      <w:r w:rsidRPr="00640D24">
        <w:rPr>
          <w:rFonts w:cs="Times New Roman"/>
          <w:sz w:val="22"/>
          <w:szCs w:val="22"/>
        </w:rPr>
        <w:t xml:space="preserve"> technologiniam auditui atlikti, kuris svarbus, nustatant gamybos procesų </w:t>
      </w:r>
      <w:proofErr w:type="spellStart"/>
      <w:r w:rsidRPr="00640D24">
        <w:rPr>
          <w:rFonts w:cs="Times New Roman"/>
          <w:sz w:val="22"/>
          <w:szCs w:val="22"/>
        </w:rPr>
        <w:t>skaitmeninimo</w:t>
      </w:r>
      <w:proofErr w:type="spellEnd"/>
      <w:r w:rsidRPr="00640D24">
        <w:rPr>
          <w:rFonts w:cs="Times New Roman"/>
          <w:sz w:val="22"/>
          <w:szCs w:val="22"/>
        </w:rPr>
        <w:t xml:space="preserve"> poreikį bei galimybes</w:t>
      </w:r>
      <w:r w:rsidR="00440356" w:rsidRPr="00640D24">
        <w:rPr>
          <w:rFonts w:cs="Times New Roman"/>
          <w:sz w:val="22"/>
          <w:szCs w:val="22"/>
        </w:rPr>
        <w:t>,</w:t>
      </w:r>
      <w:r w:rsidRPr="00640D24">
        <w:rPr>
          <w:rFonts w:cs="Times New Roman"/>
          <w:sz w:val="22"/>
          <w:szCs w:val="22"/>
        </w:rPr>
        <w:t xml:space="preserve"> </w:t>
      </w:r>
      <w:r w:rsidR="00A07748" w:rsidRPr="00640D24">
        <w:rPr>
          <w:rFonts w:cs="Times New Roman"/>
          <w:sz w:val="22"/>
          <w:szCs w:val="22"/>
        </w:rPr>
        <w:t>arba dalies paskolos nurašymui, kai įmonei, tinkamai įgyvendinus projektą</w:t>
      </w:r>
      <w:r w:rsidR="00804D9E" w:rsidRPr="00640D24">
        <w:rPr>
          <w:rFonts w:cs="Times New Roman"/>
          <w:sz w:val="22"/>
          <w:szCs w:val="22"/>
        </w:rPr>
        <w:t xml:space="preserve"> ar pasiekus nustatytus rodiklius</w:t>
      </w:r>
      <w:r w:rsidR="00A07748" w:rsidRPr="00640D24">
        <w:rPr>
          <w:rFonts w:cs="Times New Roman"/>
          <w:sz w:val="22"/>
          <w:szCs w:val="22"/>
        </w:rPr>
        <w:t xml:space="preserve">, </w:t>
      </w:r>
      <w:r w:rsidRPr="00640D24">
        <w:rPr>
          <w:rFonts w:cs="Times New Roman"/>
          <w:sz w:val="22"/>
          <w:szCs w:val="22"/>
        </w:rPr>
        <w:t xml:space="preserve"> kuri</w:t>
      </w:r>
      <w:r w:rsidR="00440356" w:rsidRPr="00640D24">
        <w:rPr>
          <w:rFonts w:cs="Times New Roman"/>
          <w:sz w:val="22"/>
          <w:szCs w:val="22"/>
        </w:rPr>
        <w:t>ų</w:t>
      </w:r>
      <w:r w:rsidRPr="00640D24">
        <w:rPr>
          <w:rFonts w:cs="Times New Roman"/>
          <w:sz w:val="22"/>
          <w:szCs w:val="22"/>
        </w:rPr>
        <w:t xml:space="preserve"> dėka būtų užtikrinamas finansine priemone finansuotinų investicijų tikslingumas ir efektyvumas</w:t>
      </w:r>
      <w:r w:rsidR="00320D74" w:rsidRPr="00640D24">
        <w:rPr>
          <w:rFonts w:cs="Times New Roman"/>
          <w:sz w:val="22"/>
          <w:szCs w:val="22"/>
        </w:rPr>
        <w:t>,</w:t>
      </w:r>
      <w:r w:rsidR="00C517BD" w:rsidRPr="00640D24">
        <w:rPr>
          <w:rFonts w:cs="Times New Roman"/>
          <w:sz w:val="22"/>
          <w:szCs w:val="22"/>
        </w:rPr>
        <w:t xml:space="preserve"> dalis suteikto finansavimo galėtų būti negrąžinama (angl. </w:t>
      </w:r>
      <w:proofErr w:type="spellStart"/>
      <w:r w:rsidR="00C517BD" w:rsidRPr="00640D24">
        <w:rPr>
          <w:rFonts w:cs="Times New Roman"/>
          <w:i/>
          <w:iCs/>
          <w:sz w:val="22"/>
          <w:szCs w:val="22"/>
        </w:rPr>
        <w:t>capital</w:t>
      </w:r>
      <w:proofErr w:type="spellEnd"/>
      <w:r w:rsidR="00C517BD" w:rsidRPr="00640D24">
        <w:rPr>
          <w:rFonts w:cs="Times New Roman"/>
          <w:i/>
          <w:iCs/>
          <w:sz w:val="22"/>
          <w:szCs w:val="22"/>
        </w:rPr>
        <w:t xml:space="preserve"> </w:t>
      </w:r>
      <w:proofErr w:type="spellStart"/>
      <w:r w:rsidR="00C517BD" w:rsidRPr="00640D24">
        <w:rPr>
          <w:rFonts w:cs="Times New Roman"/>
          <w:i/>
          <w:iCs/>
          <w:sz w:val="22"/>
          <w:szCs w:val="22"/>
        </w:rPr>
        <w:t>rebate</w:t>
      </w:r>
      <w:proofErr w:type="spellEnd"/>
      <w:r w:rsidR="00C517BD" w:rsidRPr="00640D24">
        <w:rPr>
          <w:rFonts w:cs="Times New Roman"/>
          <w:sz w:val="22"/>
          <w:szCs w:val="22"/>
        </w:rPr>
        <w:t>)</w:t>
      </w:r>
      <w:r w:rsidR="007166B3" w:rsidRPr="00640D24">
        <w:rPr>
          <w:rFonts w:cs="Times New Roman"/>
          <w:sz w:val="22"/>
          <w:szCs w:val="22"/>
        </w:rPr>
        <w:t>.</w:t>
      </w:r>
    </w:p>
    <w:tbl>
      <w:tblPr>
        <w:tblStyle w:val="Lentelstinklelis"/>
        <w:tblW w:w="0" w:type="auto"/>
        <w:tblLook w:val="04A0" w:firstRow="1" w:lastRow="0" w:firstColumn="1" w:lastColumn="0" w:noHBand="0" w:noVBand="1"/>
      </w:tblPr>
      <w:tblGrid>
        <w:gridCol w:w="9628"/>
      </w:tblGrid>
      <w:tr w:rsidR="008518C4" w:rsidRPr="00640D24" w14:paraId="423F9C12" w14:textId="77777777" w:rsidTr="641B94F2">
        <w:tc>
          <w:tcPr>
            <w:tcW w:w="9628" w:type="dxa"/>
          </w:tcPr>
          <w:p w14:paraId="26811CEE" w14:textId="22138E4E" w:rsidR="008518C4" w:rsidRPr="00640D24" w:rsidRDefault="46F9667E" w:rsidP="00E31E7A">
            <w:pPr>
              <w:spacing w:before="60" w:after="60" w:line="240" w:lineRule="auto"/>
              <w:ind w:firstLine="567"/>
              <w:jc w:val="both"/>
              <w:rPr>
                <w:rFonts w:cs="Times New Roman"/>
                <w:b/>
                <w:bCs/>
                <w:sz w:val="22"/>
                <w:szCs w:val="22"/>
                <w:lang w:val="lt-LT"/>
              </w:rPr>
            </w:pPr>
            <w:r w:rsidRPr="00640D24">
              <w:rPr>
                <w:rFonts w:cs="Times New Roman"/>
                <w:sz w:val="22"/>
                <w:szCs w:val="22"/>
                <w:lang w:val="lt-LT"/>
              </w:rPr>
              <w:t>Atsižvelgiant į pateiktas prielaidas, daroma išvada, kad investicijų poreikis</w:t>
            </w:r>
            <w:r w:rsidR="613F596D" w:rsidRPr="00640D24">
              <w:rPr>
                <w:rFonts w:cs="Times New Roman"/>
                <w:sz w:val="22"/>
                <w:szCs w:val="22"/>
                <w:lang w:val="lt-LT"/>
              </w:rPr>
              <w:t xml:space="preserve"> pramon</w:t>
            </w:r>
            <w:r w:rsidR="2824927C" w:rsidRPr="00640D24">
              <w:rPr>
                <w:rFonts w:cs="Times New Roman"/>
                <w:sz w:val="22"/>
                <w:szCs w:val="22"/>
                <w:lang w:val="lt-LT"/>
              </w:rPr>
              <w:t>ė</w:t>
            </w:r>
            <w:r w:rsidR="613F596D" w:rsidRPr="00640D24">
              <w:rPr>
                <w:rFonts w:cs="Times New Roman"/>
                <w:sz w:val="22"/>
                <w:szCs w:val="22"/>
                <w:lang w:val="lt-LT"/>
              </w:rPr>
              <w:t>s</w:t>
            </w:r>
            <w:r w:rsidRPr="00640D24">
              <w:rPr>
                <w:rFonts w:cs="Times New Roman"/>
                <w:sz w:val="22"/>
                <w:szCs w:val="22"/>
                <w:lang w:val="lt-LT"/>
              </w:rPr>
              <w:t xml:space="preserve"> </w:t>
            </w:r>
            <w:r w:rsidR="613F596D" w:rsidRPr="00640D24">
              <w:rPr>
                <w:rFonts w:cs="Times New Roman"/>
                <w:sz w:val="22"/>
                <w:szCs w:val="22"/>
                <w:lang w:val="lt-LT"/>
              </w:rPr>
              <w:t>įmonių</w:t>
            </w:r>
            <w:r w:rsidRPr="00640D24">
              <w:rPr>
                <w:rFonts w:cs="Times New Roman"/>
                <w:sz w:val="22"/>
                <w:szCs w:val="22"/>
                <w:lang w:val="lt-LT"/>
              </w:rPr>
              <w:t xml:space="preserve"> </w:t>
            </w:r>
            <w:r w:rsidR="613F596D" w:rsidRPr="00640D24">
              <w:rPr>
                <w:rFonts w:cs="Times New Roman"/>
                <w:sz w:val="22"/>
                <w:szCs w:val="22"/>
                <w:lang w:val="lt-LT"/>
              </w:rPr>
              <w:t xml:space="preserve">skatinimui ir konkurencingumo didinimui </w:t>
            </w:r>
            <w:r w:rsidRPr="00640D24">
              <w:rPr>
                <w:rFonts w:cs="Times New Roman"/>
                <w:sz w:val="22"/>
                <w:szCs w:val="22"/>
                <w:lang w:val="lt-LT"/>
              </w:rPr>
              <w:t xml:space="preserve">sudarys </w:t>
            </w:r>
            <w:r w:rsidR="00DC6463" w:rsidRPr="00640D24">
              <w:rPr>
                <w:rFonts w:cs="Times New Roman"/>
                <w:b/>
                <w:bCs/>
                <w:sz w:val="22"/>
                <w:szCs w:val="22"/>
                <w:lang w:val="lt-LT"/>
              </w:rPr>
              <w:t>3,1</w:t>
            </w:r>
            <w:r w:rsidR="00AB34F4" w:rsidRPr="00640D24">
              <w:rPr>
                <w:rFonts w:cs="Times New Roman"/>
                <w:b/>
                <w:bCs/>
                <w:sz w:val="22"/>
                <w:szCs w:val="22"/>
                <w:lang w:val="lt-LT"/>
              </w:rPr>
              <w:t>2</w:t>
            </w:r>
            <w:r w:rsidRPr="00640D24">
              <w:rPr>
                <w:rFonts w:cs="Times New Roman"/>
                <w:b/>
                <w:bCs/>
                <w:sz w:val="22"/>
                <w:szCs w:val="22"/>
                <w:lang w:val="lt-LT"/>
              </w:rPr>
              <w:t xml:space="preserve"> mlrd. </w:t>
            </w:r>
            <w:proofErr w:type="spellStart"/>
            <w:r w:rsidRPr="00640D24">
              <w:rPr>
                <w:rFonts w:cs="Times New Roman"/>
                <w:b/>
                <w:bCs/>
                <w:sz w:val="22"/>
                <w:szCs w:val="22"/>
                <w:lang w:val="lt-LT"/>
              </w:rPr>
              <w:t>Eur</w:t>
            </w:r>
            <w:proofErr w:type="spellEnd"/>
            <w:r w:rsidRPr="00640D24">
              <w:rPr>
                <w:rFonts w:cs="Times New Roman"/>
                <w:sz w:val="22"/>
                <w:szCs w:val="22"/>
                <w:lang w:val="lt-LT"/>
              </w:rPr>
              <w:t xml:space="preserve">, iš kurių apie </w:t>
            </w:r>
            <w:r w:rsidRPr="00640D24">
              <w:rPr>
                <w:rFonts w:cs="Times New Roman"/>
                <w:b/>
                <w:bCs/>
                <w:sz w:val="22"/>
                <w:szCs w:val="22"/>
                <w:lang w:val="lt-LT"/>
              </w:rPr>
              <w:t xml:space="preserve">1,8 mlrd. </w:t>
            </w:r>
            <w:proofErr w:type="spellStart"/>
            <w:r w:rsidRPr="00640D24">
              <w:rPr>
                <w:rFonts w:cs="Times New Roman"/>
                <w:b/>
                <w:bCs/>
                <w:sz w:val="22"/>
                <w:szCs w:val="22"/>
                <w:lang w:val="lt-LT"/>
              </w:rPr>
              <w:t>Eur</w:t>
            </w:r>
            <w:proofErr w:type="spellEnd"/>
            <w:r w:rsidRPr="00640D24">
              <w:rPr>
                <w:rFonts w:cs="Times New Roman"/>
                <w:sz w:val="22"/>
                <w:szCs w:val="22"/>
                <w:lang w:val="lt-LT"/>
              </w:rPr>
              <w:t xml:space="preserve"> sudarys poreikis</w:t>
            </w:r>
            <w:r w:rsidR="57FCA602" w:rsidRPr="00640D24">
              <w:rPr>
                <w:rFonts w:cs="Times New Roman"/>
                <w:sz w:val="22"/>
                <w:szCs w:val="22"/>
                <w:lang w:val="lt-LT"/>
              </w:rPr>
              <w:t xml:space="preserve"> </w:t>
            </w:r>
            <w:r w:rsidR="498087C4" w:rsidRPr="00640D24">
              <w:rPr>
                <w:rFonts w:cs="Times New Roman"/>
                <w:sz w:val="22"/>
                <w:szCs w:val="22"/>
                <w:lang w:val="lt-LT"/>
              </w:rPr>
              <w:t xml:space="preserve">veikloms, kurias planuojama finansuoti </w:t>
            </w:r>
            <w:r w:rsidR="3D533FF8" w:rsidRPr="00640D24">
              <w:rPr>
                <w:rFonts w:cs="Times New Roman"/>
                <w:sz w:val="21"/>
                <w:szCs w:val="21"/>
                <w:lang w:val="lt-LT"/>
              </w:rPr>
              <w:t>2021–2027 m. programos</w:t>
            </w:r>
            <w:r w:rsidR="57FCA602" w:rsidRPr="00640D24">
              <w:rPr>
                <w:rFonts w:cs="Times New Roman"/>
                <w:sz w:val="22"/>
                <w:szCs w:val="22"/>
                <w:lang w:val="lt-LT"/>
              </w:rPr>
              <w:t xml:space="preserve"> </w:t>
            </w:r>
            <w:r w:rsidR="498087C4" w:rsidRPr="00640D24">
              <w:rPr>
                <w:rFonts w:cs="Times New Roman"/>
                <w:sz w:val="22"/>
                <w:szCs w:val="22"/>
                <w:lang w:val="lt-LT"/>
              </w:rPr>
              <w:t xml:space="preserve">ir </w:t>
            </w:r>
            <w:r w:rsidR="57FCA602" w:rsidRPr="00640D24">
              <w:rPr>
                <w:rFonts w:cs="Times New Roman"/>
                <w:sz w:val="22"/>
                <w:szCs w:val="22"/>
                <w:lang w:val="lt-LT"/>
              </w:rPr>
              <w:t xml:space="preserve">EGADP </w:t>
            </w:r>
            <w:r w:rsidR="498087C4" w:rsidRPr="00640D24">
              <w:rPr>
                <w:rFonts w:cs="Times New Roman"/>
                <w:sz w:val="22"/>
                <w:szCs w:val="22"/>
                <w:lang w:val="lt-LT"/>
              </w:rPr>
              <w:t xml:space="preserve">lėšomis. </w:t>
            </w:r>
          </w:p>
        </w:tc>
      </w:tr>
    </w:tbl>
    <w:p w14:paraId="74BCBC0E" w14:textId="52AFD616" w:rsidR="004871C4" w:rsidRPr="00640D24" w:rsidRDefault="00CC48BD" w:rsidP="00CD7825">
      <w:pPr>
        <w:pStyle w:val="Antrat1"/>
        <w:numPr>
          <w:ilvl w:val="0"/>
          <w:numId w:val="1"/>
        </w:numPr>
        <w:spacing w:before="120" w:after="60" w:line="240" w:lineRule="auto"/>
        <w:ind w:left="357" w:hanging="357"/>
        <w:rPr>
          <w:rFonts w:ascii="Times New Roman" w:hAnsi="Times New Roman" w:cs="Times New Roman"/>
          <w:b/>
          <w:bCs/>
          <w:color w:val="auto"/>
        </w:rPr>
      </w:pPr>
      <w:bookmarkStart w:id="83" w:name="_Toc146812396"/>
      <w:r w:rsidRPr="00640D24">
        <w:rPr>
          <w:rFonts w:ascii="Times New Roman" w:hAnsi="Times New Roman" w:cs="Times New Roman"/>
          <w:b/>
          <w:bCs/>
          <w:color w:val="auto"/>
        </w:rPr>
        <w:t>Siūlomi f</w:t>
      </w:r>
      <w:r w:rsidR="004871C4" w:rsidRPr="00640D24">
        <w:rPr>
          <w:rFonts w:ascii="Times New Roman" w:hAnsi="Times New Roman" w:cs="Times New Roman"/>
          <w:b/>
          <w:bCs/>
          <w:color w:val="auto"/>
        </w:rPr>
        <w:t>inansiniai produktai</w:t>
      </w:r>
      <w:bookmarkEnd w:id="54"/>
      <w:bookmarkEnd w:id="83"/>
    </w:p>
    <w:p w14:paraId="571DDE4C" w14:textId="77777777" w:rsidR="00084DF7" w:rsidRPr="00640D24" w:rsidRDefault="00AF7B56" w:rsidP="00D12B54">
      <w:pPr>
        <w:spacing w:before="60" w:after="60" w:line="240" w:lineRule="auto"/>
        <w:ind w:firstLine="567"/>
        <w:jc w:val="both"/>
        <w:rPr>
          <w:rFonts w:cs="Times New Roman"/>
          <w:sz w:val="22"/>
          <w:szCs w:val="22"/>
        </w:rPr>
      </w:pPr>
      <w:r w:rsidRPr="00640D24">
        <w:rPr>
          <w:rFonts w:cs="Times New Roman"/>
          <w:sz w:val="22"/>
          <w:szCs w:val="22"/>
        </w:rPr>
        <w:t xml:space="preserve">Vertinimo metu buvo nustatyta, </w:t>
      </w:r>
      <w:r w:rsidR="00C769D4" w:rsidRPr="00640D24">
        <w:rPr>
          <w:rFonts w:cs="Times New Roman"/>
          <w:sz w:val="22"/>
          <w:szCs w:val="22"/>
        </w:rPr>
        <w:t xml:space="preserve">kad </w:t>
      </w:r>
      <w:proofErr w:type="spellStart"/>
      <w:r w:rsidR="00C769D4" w:rsidRPr="00640D24">
        <w:rPr>
          <w:rFonts w:cs="Times New Roman"/>
          <w:sz w:val="22"/>
          <w:szCs w:val="22"/>
        </w:rPr>
        <w:t>subsidinių</w:t>
      </w:r>
      <w:proofErr w:type="spellEnd"/>
      <w:r w:rsidR="00C769D4" w:rsidRPr="00640D24">
        <w:rPr>
          <w:rFonts w:cs="Times New Roman"/>
          <w:sz w:val="22"/>
          <w:szCs w:val="22"/>
        </w:rPr>
        <w:t xml:space="preserve"> finansavimo formų taikymas turi neigiamos įtakos</w:t>
      </w:r>
      <w:r w:rsidR="007F49F5" w:rsidRPr="00640D24">
        <w:rPr>
          <w:rFonts w:cs="Times New Roman"/>
          <w:sz w:val="22"/>
          <w:szCs w:val="22"/>
        </w:rPr>
        <w:t xml:space="preserve"> </w:t>
      </w:r>
      <w:r w:rsidR="00C769D4" w:rsidRPr="00640D24">
        <w:rPr>
          <w:rFonts w:cs="Times New Roman"/>
          <w:sz w:val="22"/>
          <w:szCs w:val="22"/>
        </w:rPr>
        <w:t>įmonių tarpusavio konkurencingumui ir</w:t>
      </w:r>
      <w:r w:rsidR="007F49F5" w:rsidRPr="00640D24">
        <w:rPr>
          <w:rFonts w:cs="Times New Roman"/>
          <w:sz w:val="22"/>
          <w:szCs w:val="22"/>
        </w:rPr>
        <w:t xml:space="preserve"> įmonių veiklos tęstinum</w:t>
      </w:r>
      <w:r w:rsidR="00C769D4" w:rsidRPr="00640D24">
        <w:rPr>
          <w:rFonts w:cs="Times New Roman"/>
          <w:sz w:val="22"/>
          <w:szCs w:val="22"/>
        </w:rPr>
        <w:t>ui</w:t>
      </w:r>
      <w:r w:rsidR="007F49F5" w:rsidRPr="00640D24">
        <w:rPr>
          <w:rFonts w:cs="Times New Roman"/>
          <w:sz w:val="22"/>
          <w:szCs w:val="22"/>
        </w:rPr>
        <w:t xml:space="preserve"> ekonominio ir finansinio nuosmukio laikotarpiu.</w:t>
      </w:r>
      <w:r w:rsidR="00727253" w:rsidRPr="00640D24">
        <w:rPr>
          <w:rFonts w:cs="Times New Roman"/>
          <w:sz w:val="22"/>
          <w:szCs w:val="22"/>
        </w:rPr>
        <w:t xml:space="preserve"> </w:t>
      </w:r>
      <w:r w:rsidR="00C769D4" w:rsidRPr="00640D24">
        <w:rPr>
          <w:rFonts w:cs="Times New Roman"/>
          <w:sz w:val="22"/>
          <w:szCs w:val="22"/>
        </w:rPr>
        <w:t xml:space="preserve">Dėl šių priežasčių platesnis FP panaudojimas turi teigiamos įtakos vietinei rinkai. </w:t>
      </w:r>
      <w:r w:rsidR="00727253" w:rsidRPr="00640D24">
        <w:rPr>
          <w:rFonts w:cs="Times New Roman"/>
          <w:sz w:val="22"/>
          <w:szCs w:val="22"/>
        </w:rPr>
        <w:t>Vis dėl to, remiantis</w:t>
      </w:r>
      <w:r w:rsidR="007F49F5" w:rsidRPr="00640D24">
        <w:rPr>
          <w:rFonts w:cs="Times New Roman"/>
          <w:sz w:val="22"/>
          <w:szCs w:val="22"/>
        </w:rPr>
        <w:t xml:space="preserve"> reprezentatyv</w:t>
      </w:r>
      <w:r w:rsidR="00644F9E" w:rsidRPr="00640D24">
        <w:rPr>
          <w:rFonts w:cs="Times New Roman"/>
          <w:sz w:val="22"/>
          <w:szCs w:val="22"/>
        </w:rPr>
        <w:t>ios</w:t>
      </w:r>
      <w:r w:rsidR="007F49F5" w:rsidRPr="00640D24">
        <w:rPr>
          <w:rFonts w:cs="Times New Roman"/>
          <w:sz w:val="22"/>
          <w:szCs w:val="22"/>
        </w:rPr>
        <w:t xml:space="preserve"> apklaus</w:t>
      </w:r>
      <w:r w:rsidR="00644F9E" w:rsidRPr="00640D24">
        <w:rPr>
          <w:rFonts w:cs="Times New Roman"/>
          <w:sz w:val="22"/>
          <w:szCs w:val="22"/>
        </w:rPr>
        <w:t>os</w:t>
      </w:r>
      <w:r w:rsidR="007F49F5" w:rsidRPr="00640D24">
        <w:rPr>
          <w:rStyle w:val="Puslapioinaosnuoroda"/>
          <w:rFonts w:cs="Times New Roman"/>
          <w:sz w:val="22"/>
          <w:szCs w:val="22"/>
        </w:rPr>
        <w:footnoteReference w:id="74"/>
      </w:r>
      <w:r w:rsidR="00644F9E" w:rsidRPr="00640D24">
        <w:rPr>
          <w:rFonts w:cs="Times New Roman"/>
          <w:sz w:val="22"/>
          <w:szCs w:val="22"/>
        </w:rPr>
        <w:t xml:space="preserve"> duomenis</w:t>
      </w:r>
      <w:r w:rsidR="007F49F5" w:rsidRPr="00640D24">
        <w:rPr>
          <w:rFonts w:cs="Times New Roman"/>
          <w:sz w:val="22"/>
          <w:szCs w:val="22"/>
        </w:rPr>
        <w:t xml:space="preserve">, tik ketvirtadalis tiek </w:t>
      </w:r>
      <w:r w:rsidR="008106FF" w:rsidRPr="00640D24">
        <w:rPr>
          <w:rFonts w:cs="Times New Roman"/>
          <w:sz w:val="22"/>
          <w:szCs w:val="22"/>
        </w:rPr>
        <w:t xml:space="preserve">finansavimą </w:t>
      </w:r>
      <w:r w:rsidR="007F49F5" w:rsidRPr="00640D24">
        <w:rPr>
          <w:rFonts w:cs="Times New Roman"/>
          <w:sz w:val="22"/>
          <w:szCs w:val="22"/>
        </w:rPr>
        <w:t xml:space="preserve">gavusių, tiek negavusių respondentų sutiktų įgyvendinti analogišką projektą kitokia forma nei subsidija. Tarp apklaustųjų populiariausia finansavimo forma po </w:t>
      </w:r>
      <w:r w:rsidR="00720C8C" w:rsidRPr="00640D24">
        <w:rPr>
          <w:rFonts w:cs="Times New Roman"/>
          <w:sz w:val="22"/>
          <w:szCs w:val="22"/>
        </w:rPr>
        <w:t xml:space="preserve">subsidijų </w:t>
      </w:r>
      <w:r w:rsidR="007F49F5" w:rsidRPr="00640D24">
        <w:rPr>
          <w:rFonts w:cs="Times New Roman"/>
          <w:sz w:val="22"/>
          <w:szCs w:val="22"/>
        </w:rPr>
        <w:t>– lengvatinė paskola.</w:t>
      </w:r>
      <w:r w:rsidR="008106FF" w:rsidRPr="00640D24">
        <w:rPr>
          <w:rFonts w:cs="Times New Roman"/>
          <w:sz w:val="22"/>
          <w:szCs w:val="22"/>
        </w:rPr>
        <w:t xml:space="preserve"> </w:t>
      </w:r>
    </w:p>
    <w:p w14:paraId="2F641A70" w14:textId="2362ECB7" w:rsidR="00084DF7" w:rsidRPr="00640D24" w:rsidRDefault="008106FF" w:rsidP="00084DF7">
      <w:pPr>
        <w:spacing w:before="60" w:after="60" w:line="240" w:lineRule="auto"/>
        <w:ind w:firstLine="567"/>
        <w:jc w:val="both"/>
        <w:rPr>
          <w:rFonts w:cs="Times New Roman"/>
          <w:sz w:val="22"/>
          <w:szCs w:val="22"/>
        </w:rPr>
      </w:pPr>
      <w:r w:rsidRPr="00640D24">
        <w:rPr>
          <w:rFonts w:cs="Times New Roman"/>
          <w:sz w:val="22"/>
          <w:szCs w:val="22"/>
        </w:rPr>
        <w:t xml:space="preserve">Remiantis kokybinio ir kiekybinio tyrimų metu gautais duomenimis, </w:t>
      </w:r>
      <w:bookmarkStart w:id="84" w:name="_Hlk65747215"/>
      <w:r w:rsidR="00084DF7" w:rsidRPr="00640D24">
        <w:rPr>
          <w:rFonts w:cs="Times New Roman"/>
          <w:sz w:val="22"/>
          <w:szCs w:val="22"/>
        </w:rPr>
        <w:t xml:space="preserve">nustatyta, kad įtakos ekonominio gyvybingumo rodiklių pagerėjimui turinčios veiklos, pvz.: pramonės </w:t>
      </w:r>
      <w:proofErr w:type="spellStart"/>
      <w:r w:rsidR="00084DF7" w:rsidRPr="00640D24">
        <w:rPr>
          <w:rFonts w:cs="Times New Roman"/>
          <w:sz w:val="22"/>
          <w:szCs w:val="22"/>
        </w:rPr>
        <w:t>skaitmeninimas</w:t>
      </w:r>
      <w:proofErr w:type="spellEnd"/>
      <w:r w:rsidR="00084DF7" w:rsidRPr="00640D24">
        <w:rPr>
          <w:rFonts w:cs="Times New Roman"/>
          <w:sz w:val="22"/>
          <w:szCs w:val="22"/>
        </w:rPr>
        <w:t>, trumpų vertės grandinių formavimas, turėtų būti skatinamos taikant FP, o ilgesnį atsiperkamumo laikotarpį turinčios investicijos, pvz.: investicijos į technologines inovacijas ar MTEP veiklas, galėtų būti skatinamos nuosekliai pere</w:t>
      </w:r>
      <w:r w:rsidR="0074310B" w:rsidRPr="00640D24">
        <w:rPr>
          <w:rFonts w:cs="Times New Roman"/>
          <w:sz w:val="22"/>
          <w:szCs w:val="22"/>
        </w:rPr>
        <w:t>inant nuo subsidijų prie FP, t.</w:t>
      </w:r>
      <w:r w:rsidR="0070784F" w:rsidRPr="00640D24">
        <w:rPr>
          <w:rFonts w:cs="Times New Roman"/>
          <w:sz w:val="22"/>
          <w:szCs w:val="22"/>
        </w:rPr>
        <w:t xml:space="preserve"> </w:t>
      </w:r>
      <w:r w:rsidR="00084DF7" w:rsidRPr="00640D24">
        <w:rPr>
          <w:rFonts w:cs="Times New Roman"/>
          <w:sz w:val="22"/>
          <w:szCs w:val="22"/>
        </w:rPr>
        <w:t xml:space="preserve">y. FP derinant su </w:t>
      </w:r>
      <w:proofErr w:type="spellStart"/>
      <w:r w:rsidR="00084DF7" w:rsidRPr="00640D24">
        <w:rPr>
          <w:rFonts w:cs="Times New Roman"/>
          <w:sz w:val="22"/>
          <w:szCs w:val="22"/>
        </w:rPr>
        <w:t>subsidiniais</w:t>
      </w:r>
      <w:proofErr w:type="spellEnd"/>
      <w:r w:rsidR="00084DF7" w:rsidRPr="00640D24">
        <w:rPr>
          <w:rFonts w:cs="Times New Roman"/>
          <w:sz w:val="22"/>
          <w:szCs w:val="22"/>
        </w:rPr>
        <w:t xml:space="preserve"> elementais (angl. </w:t>
      </w:r>
      <w:proofErr w:type="spellStart"/>
      <w:r w:rsidR="00084DF7" w:rsidRPr="00640D24">
        <w:rPr>
          <w:rFonts w:cs="Times New Roman"/>
          <w:i/>
          <w:iCs/>
          <w:sz w:val="22"/>
          <w:szCs w:val="22"/>
        </w:rPr>
        <w:t>blended</w:t>
      </w:r>
      <w:proofErr w:type="spellEnd"/>
      <w:r w:rsidR="00084DF7" w:rsidRPr="00640D24">
        <w:rPr>
          <w:rFonts w:cs="Times New Roman"/>
          <w:i/>
          <w:iCs/>
          <w:sz w:val="22"/>
          <w:szCs w:val="22"/>
        </w:rPr>
        <w:t xml:space="preserve"> </w:t>
      </w:r>
      <w:proofErr w:type="spellStart"/>
      <w:r w:rsidR="00084DF7" w:rsidRPr="00640D24">
        <w:rPr>
          <w:rFonts w:cs="Times New Roman"/>
          <w:i/>
          <w:iCs/>
          <w:sz w:val="22"/>
          <w:szCs w:val="22"/>
        </w:rPr>
        <w:t>finance</w:t>
      </w:r>
      <w:proofErr w:type="spellEnd"/>
      <w:r w:rsidR="00084DF7" w:rsidRPr="00640D24">
        <w:rPr>
          <w:rFonts w:cs="Times New Roman"/>
          <w:sz w:val="22"/>
          <w:szCs w:val="22"/>
        </w:rPr>
        <w:t xml:space="preserve">). </w:t>
      </w:r>
      <w:bookmarkEnd w:id="84"/>
    </w:p>
    <w:p w14:paraId="57265C69" w14:textId="4F404906" w:rsidR="00084DF7" w:rsidRPr="00640D24" w:rsidRDefault="00084DF7" w:rsidP="0091675C">
      <w:pPr>
        <w:spacing w:before="60" w:after="60" w:line="240" w:lineRule="auto"/>
        <w:ind w:firstLine="567"/>
        <w:jc w:val="both"/>
        <w:rPr>
          <w:rFonts w:cs="Times New Roman"/>
          <w:sz w:val="22"/>
          <w:szCs w:val="22"/>
        </w:rPr>
      </w:pPr>
      <w:r w:rsidRPr="00640D24">
        <w:rPr>
          <w:rFonts w:cs="Times New Roman"/>
          <w:sz w:val="22"/>
          <w:szCs w:val="22"/>
        </w:rPr>
        <w:t xml:space="preserve">Remiantis atliktos investicijų paklausos analize nustatyta, kad įmonėms dažniausiai kylantys sunkumai, susiję su išorinio finansavimo gavimu, yra užstato trūkumas, per didelė finansavimo kaina (palūkanos, garantijos mokesčiai, administravimo mokesčiai) ir per trumpa įmonių veiklos istorija. Atsižvelgiant į GG kylančius iššūkius, 2021–2027 m. </w:t>
      </w:r>
      <w:r w:rsidR="003E1154" w:rsidRPr="00640D24">
        <w:rPr>
          <w:rFonts w:cs="Times New Roman"/>
          <w:sz w:val="22"/>
          <w:szCs w:val="22"/>
        </w:rPr>
        <w:t xml:space="preserve">ES SF programavimo laikotarpiu </w:t>
      </w:r>
      <w:r w:rsidRPr="00640D24">
        <w:rPr>
          <w:rFonts w:cs="Times New Roman"/>
          <w:sz w:val="22"/>
          <w:szCs w:val="22"/>
        </w:rPr>
        <w:t xml:space="preserve">rekomenduojama taikyti </w:t>
      </w:r>
      <w:r w:rsidR="004E620C" w:rsidRPr="00640D24">
        <w:rPr>
          <w:rFonts w:cs="Times New Roman"/>
          <w:sz w:val="22"/>
          <w:szCs w:val="22"/>
        </w:rPr>
        <w:t xml:space="preserve">rizikos </w:t>
      </w:r>
      <w:r w:rsidRPr="00640D24">
        <w:rPr>
          <w:rFonts w:cs="Times New Roman"/>
          <w:sz w:val="22"/>
          <w:szCs w:val="22"/>
        </w:rPr>
        <w:t>kapitalo investicijų, paskolų ir garantijų FP. Šiame skyriuje pateikiami siūlymai yra struktūruojami pagal siūlomas taikyti  FP.</w:t>
      </w:r>
    </w:p>
    <w:p w14:paraId="01176B84" w14:textId="09D7743A" w:rsidR="00084DF7" w:rsidRPr="00640D24" w:rsidRDefault="00084DF7" w:rsidP="00CD7825">
      <w:pPr>
        <w:pStyle w:val="Antrat3"/>
        <w:numPr>
          <w:ilvl w:val="1"/>
          <w:numId w:val="1"/>
        </w:numPr>
        <w:spacing w:before="120"/>
        <w:ind w:left="958" w:hanging="601"/>
      </w:pPr>
      <w:bookmarkStart w:id="85" w:name="_Toc146812397"/>
      <w:r w:rsidRPr="00640D24">
        <w:t>Rizikos kapitalo investicijų FP</w:t>
      </w:r>
      <w:bookmarkEnd w:id="85"/>
    </w:p>
    <w:p w14:paraId="6199EDC2" w14:textId="77777777" w:rsidR="00661B5B" w:rsidRPr="00640D24" w:rsidRDefault="00661B5B" w:rsidP="00661B5B">
      <w:pPr>
        <w:spacing w:before="60" w:after="60" w:line="240" w:lineRule="auto"/>
        <w:ind w:firstLine="567"/>
        <w:jc w:val="both"/>
        <w:rPr>
          <w:rFonts w:cs="Times New Roman"/>
          <w:sz w:val="22"/>
          <w:szCs w:val="22"/>
        </w:rPr>
      </w:pPr>
      <w:r w:rsidRPr="00640D24">
        <w:rPr>
          <w:rFonts w:cs="Times New Roman"/>
          <w:sz w:val="22"/>
          <w:szCs w:val="22"/>
        </w:rPr>
        <w:t xml:space="preserve">Ankstyvajame veiklos vystymosi etape esančioms įmonėms, siekiančioms gauti išorinio finansavimo veiklos plėtrai, dažnu atveju tradicinės finansavimo formos yra sunkiai prieinamos. Tokiu atveju rizikos kapitalo investicijos yra viena, o kartais ir vienintelė, galimybė finansuoti veiklos plėtrą. Taip pat kapitalo poreikis aktualus ir vėlesniuose veiklos etapuose esančioms įmonėms, kurios planuoja įgyvendinti didesne rizika pasižyminčius projektus. </w:t>
      </w:r>
    </w:p>
    <w:p w14:paraId="69431127" w14:textId="3FD8F4B7" w:rsidR="00661B5B" w:rsidRPr="00640D24" w:rsidRDefault="00661B5B" w:rsidP="00661B5B">
      <w:pPr>
        <w:spacing w:before="60" w:after="60" w:line="240" w:lineRule="auto"/>
        <w:ind w:firstLine="567"/>
        <w:jc w:val="both"/>
        <w:rPr>
          <w:rFonts w:cs="Times New Roman"/>
          <w:color w:val="000000" w:themeColor="text1"/>
          <w:sz w:val="22"/>
          <w:szCs w:val="22"/>
        </w:rPr>
      </w:pPr>
      <w:r w:rsidRPr="00640D24">
        <w:rPr>
          <w:rFonts w:cs="Times New Roman"/>
          <w:sz w:val="22"/>
          <w:szCs w:val="22"/>
        </w:rPr>
        <w:t>MTEP</w:t>
      </w:r>
      <w:r w:rsidR="009F15E5" w:rsidRPr="00640D24">
        <w:rPr>
          <w:rFonts w:cs="Times New Roman"/>
          <w:sz w:val="22"/>
          <w:szCs w:val="22"/>
        </w:rPr>
        <w:t>I</w:t>
      </w:r>
      <w:r w:rsidRPr="00640D24">
        <w:rPr>
          <w:rFonts w:cs="Times New Roman"/>
          <w:sz w:val="22"/>
          <w:szCs w:val="22"/>
        </w:rPr>
        <w:t xml:space="preserve"> srityje kylančios rizikos daro reikšmingą įtaką finansavimo prieinamumui. Labai maža visų rūšių naujoves diegiančių įmonių dalis, mažos verslo išlaidos moksliniams tyrimams ir technologinei plėtrai, </w:t>
      </w:r>
      <w:r w:rsidRPr="00640D24">
        <w:rPr>
          <w:rFonts w:cs="Times New Roman"/>
          <w:bCs/>
          <w:sz w:val="22"/>
          <w:szCs w:val="22"/>
        </w:rPr>
        <w:lastRenderedPageBreak/>
        <w:t xml:space="preserve">menkai </w:t>
      </w:r>
      <w:proofErr w:type="spellStart"/>
      <w:r w:rsidRPr="00640D24">
        <w:rPr>
          <w:rFonts w:cs="Times New Roman"/>
          <w:bCs/>
          <w:sz w:val="22"/>
          <w:szCs w:val="22"/>
        </w:rPr>
        <w:t>komercializuojamas</w:t>
      </w:r>
      <w:proofErr w:type="spellEnd"/>
      <w:r w:rsidRPr="00640D24">
        <w:rPr>
          <w:rFonts w:cs="Times New Roman"/>
          <w:bCs/>
          <w:sz w:val="22"/>
          <w:szCs w:val="22"/>
        </w:rPr>
        <w:t xml:space="preserve"> esamas ekonominis Lietuvos mokslo potencialas</w:t>
      </w:r>
      <w:r w:rsidRPr="00640D24">
        <w:rPr>
          <w:rFonts w:cs="Times New Roman"/>
          <w:sz w:val="22"/>
          <w:szCs w:val="22"/>
        </w:rPr>
        <w:t xml:space="preserve"> sudaro sąlygas esminių pokyčių poreikiui: sumanios specializacijos strategijos pagrindu reikalinga sustiprinti verslo, studijų ir tyrimų sinergiją bei jų panaudojimą šalies ūkio konkurencingumo plėtrai.</w:t>
      </w:r>
    </w:p>
    <w:p w14:paraId="4CF5F1AA" w14:textId="664FFCC7" w:rsidR="00661B5B" w:rsidRPr="00640D24" w:rsidRDefault="00661B5B" w:rsidP="00661B5B">
      <w:pPr>
        <w:spacing w:before="60" w:after="60" w:line="240" w:lineRule="auto"/>
        <w:ind w:firstLine="567"/>
        <w:jc w:val="both"/>
        <w:rPr>
          <w:rFonts w:cs="Times New Roman"/>
          <w:sz w:val="22"/>
          <w:szCs w:val="22"/>
        </w:rPr>
      </w:pPr>
      <w:r w:rsidRPr="00640D24">
        <w:rPr>
          <w:rFonts w:cs="Times New Roman"/>
          <w:sz w:val="22"/>
          <w:szCs w:val="22"/>
        </w:rPr>
        <w:t>Vertinimo metu buvo nustatyta, kad rizikos kapitalo investicijų FP pritaikymas yra galimas visoms šiame Vertinime nagrinėjamoms veikloms (išskyrus TUI investicijų į MTEP</w:t>
      </w:r>
      <w:r w:rsidR="00CF09A0" w:rsidRPr="00640D24">
        <w:rPr>
          <w:rFonts w:cs="Times New Roman"/>
          <w:sz w:val="22"/>
          <w:szCs w:val="22"/>
        </w:rPr>
        <w:t>I</w:t>
      </w:r>
      <w:r w:rsidRPr="00640D24">
        <w:rPr>
          <w:rFonts w:cs="Times New Roman"/>
          <w:sz w:val="22"/>
          <w:szCs w:val="22"/>
        </w:rPr>
        <w:t xml:space="preserve"> veiklų skatinimą). Rekomendacijos dėl kapitalo investicijų FP yra pateiktos lentelėje apačioje. Pažymėtina, kad šios FP yra siūlomos įgyvendinti Vertinimo apimtyje, tačiau tai neturėtų apriboti rizikos kapitalo fondus (toliau – RKF) investuoti į kitas veiklas</w:t>
      </w:r>
      <w:r w:rsidR="008D5CF0" w:rsidRPr="00640D24">
        <w:rPr>
          <w:rFonts w:cs="Times New Roman"/>
          <w:sz w:val="22"/>
          <w:szCs w:val="22"/>
        </w:rPr>
        <w:t xml:space="preserve"> ir (ar) regionus</w:t>
      </w:r>
      <w:r w:rsidRPr="00640D24">
        <w:rPr>
          <w:rFonts w:cs="Times New Roman"/>
          <w:sz w:val="22"/>
          <w:szCs w:val="22"/>
        </w:rPr>
        <w:t xml:space="preserve"> naudojant kitus lėšų šaltinius. </w:t>
      </w:r>
    </w:p>
    <w:p w14:paraId="63C691A3" w14:textId="4C52C37B" w:rsidR="008812A4" w:rsidRPr="00640D24" w:rsidRDefault="0038528F" w:rsidP="00C15782">
      <w:pPr>
        <w:spacing w:before="60" w:after="60" w:line="240" w:lineRule="auto"/>
        <w:ind w:firstLine="567"/>
        <w:jc w:val="both"/>
        <w:rPr>
          <w:rFonts w:cs="Times New Roman"/>
          <w:sz w:val="22"/>
          <w:szCs w:val="22"/>
        </w:rPr>
      </w:pPr>
      <w:r w:rsidRPr="00640D24">
        <w:rPr>
          <w:rFonts w:cs="Times New Roman"/>
          <w:sz w:val="22"/>
          <w:szCs w:val="22"/>
        </w:rPr>
        <w:t xml:space="preserve">2014–2020 m. programavimo laikotarpiu Lietuvoje </w:t>
      </w:r>
      <w:r w:rsidR="00C15782" w:rsidRPr="00640D24">
        <w:rPr>
          <w:rFonts w:cs="Times New Roman"/>
          <w:sz w:val="22"/>
          <w:szCs w:val="22"/>
        </w:rPr>
        <w:t xml:space="preserve">rizikos kapitalo investicijomis buvo finansuojamos MTEPI veiklos – </w:t>
      </w:r>
      <w:r w:rsidRPr="00640D24">
        <w:rPr>
          <w:rFonts w:cs="Times New Roman"/>
          <w:sz w:val="22"/>
          <w:szCs w:val="22"/>
        </w:rPr>
        <w:t>bendrai investuojan</w:t>
      </w:r>
      <w:r w:rsidR="00F44C3A" w:rsidRPr="00640D24">
        <w:rPr>
          <w:rFonts w:cs="Times New Roman"/>
          <w:sz w:val="22"/>
          <w:szCs w:val="22"/>
        </w:rPr>
        <w:t>čios</w:t>
      </w:r>
      <w:r w:rsidRPr="00640D24">
        <w:rPr>
          <w:rFonts w:cs="Times New Roman"/>
          <w:sz w:val="22"/>
          <w:szCs w:val="22"/>
        </w:rPr>
        <w:t xml:space="preserve"> FP </w:t>
      </w:r>
      <w:r w:rsidR="00F44C3A" w:rsidRPr="00640D24">
        <w:rPr>
          <w:rFonts w:cs="Times New Roman"/>
          <w:sz w:val="22"/>
          <w:szCs w:val="22"/>
        </w:rPr>
        <w:t>„Ko</w:t>
      </w:r>
      <w:r w:rsidR="006D4E9E" w:rsidRPr="00640D24">
        <w:rPr>
          <w:rFonts w:cs="Times New Roman"/>
          <w:sz w:val="22"/>
          <w:szCs w:val="22"/>
        </w:rPr>
        <w:t>–</w:t>
      </w:r>
      <w:r w:rsidR="00F44C3A" w:rsidRPr="00640D24">
        <w:rPr>
          <w:rFonts w:cs="Times New Roman"/>
          <w:sz w:val="22"/>
          <w:szCs w:val="22"/>
        </w:rPr>
        <w:t xml:space="preserve">investicinis fondas II“ ir </w:t>
      </w:r>
      <w:r w:rsidRPr="00640D24">
        <w:rPr>
          <w:rFonts w:cs="Times New Roman"/>
          <w:sz w:val="22"/>
          <w:szCs w:val="22"/>
        </w:rPr>
        <w:t>„Ko</w:t>
      </w:r>
      <w:r w:rsidR="006D4E9E" w:rsidRPr="00640D24">
        <w:rPr>
          <w:rFonts w:cs="Times New Roman"/>
          <w:sz w:val="22"/>
          <w:szCs w:val="22"/>
        </w:rPr>
        <w:t>–</w:t>
      </w:r>
      <w:r w:rsidRPr="00640D24">
        <w:rPr>
          <w:rFonts w:cs="Times New Roman"/>
          <w:sz w:val="22"/>
          <w:szCs w:val="22"/>
        </w:rPr>
        <w:t>investicinis fondas MTEPI</w:t>
      </w:r>
      <w:r w:rsidR="00C15782" w:rsidRPr="00640D24">
        <w:rPr>
          <w:rFonts w:cs="Times New Roman"/>
          <w:sz w:val="22"/>
          <w:szCs w:val="22"/>
        </w:rPr>
        <w:t>“ (</w:t>
      </w:r>
      <w:r w:rsidRPr="00640D24">
        <w:rPr>
          <w:rFonts w:cs="Times New Roman"/>
          <w:sz w:val="22"/>
          <w:szCs w:val="22"/>
        </w:rPr>
        <w:t xml:space="preserve">2020 m. birželio 22 d. Fondų fondo priežiūros komitetas nusprendė nebeįgyvendinti </w:t>
      </w:r>
      <w:r w:rsidR="00C15782" w:rsidRPr="00640D24">
        <w:rPr>
          <w:rFonts w:cs="Times New Roman"/>
          <w:sz w:val="22"/>
          <w:szCs w:val="22"/>
        </w:rPr>
        <w:t>FP</w:t>
      </w:r>
      <w:r w:rsidRPr="00640D24">
        <w:rPr>
          <w:rFonts w:cs="Times New Roman"/>
          <w:sz w:val="22"/>
          <w:szCs w:val="22"/>
        </w:rPr>
        <w:t xml:space="preserve"> kaip atskiros priemonės, o sudaryti galimybes tokiomis pat sąlygomis</w:t>
      </w:r>
      <w:r w:rsidR="00C15782" w:rsidRPr="00640D24">
        <w:rPr>
          <w:rFonts w:cs="Times New Roman"/>
          <w:sz w:val="22"/>
          <w:szCs w:val="22"/>
        </w:rPr>
        <w:t xml:space="preserve"> </w:t>
      </w:r>
      <w:r w:rsidRPr="00640D24">
        <w:rPr>
          <w:rFonts w:cs="Times New Roman"/>
          <w:sz w:val="22"/>
          <w:szCs w:val="22"/>
        </w:rPr>
        <w:t>investuoti iš priemonės „Ko</w:t>
      </w:r>
      <w:r w:rsidR="00645085" w:rsidRPr="00640D24">
        <w:rPr>
          <w:rFonts w:cs="Times New Roman"/>
          <w:sz w:val="22"/>
          <w:szCs w:val="22"/>
        </w:rPr>
        <w:t>–</w:t>
      </w:r>
      <w:r w:rsidRPr="00640D24">
        <w:rPr>
          <w:rFonts w:cs="Times New Roman"/>
          <w:sz w:val="22"/>
          <w:szCs w:val="22"/>
        </w:rPr>
        <w:t>investicinis fondas II</w:t>
      </w:r>
      <w:r w:rsidR="00C15782" w:rsidRPr="00640D24">
        <w:rPr>
          <w:rFonts w:cs="Times New Roman"/>
          <w:sz w:val="22"/>
          <w:szCs w:val="22"/>
        </w:rPr>
        <w:t>“ lėšų</w:t>
      </w:r>
      <w:r w:rsidRPr="00640D24">
        <w:rPr>
          <w:rStyle w:val="Puslapioinaosnuoroda"/>
          <w:rFonts w:cs="Times New Roman"/>
          <w:sz w:val="22"/>
          <w:szCs w:val="22"/>
        </w:rPr>
        <w:footnoteReference w:id="75"/>
      </w:r>
      <w:r w:rsidR="00C15782" w:rsidRPr="00640D24">
        <w:rPr>
          <w:rFonts w:cs="Times New Roman"/>
          <w:sz w:val="22"/>
          <w:szCs w:val="22"/>
        </w:rPr>
        <w:t>)</w:t>
      </w:r>
      <w:r w:rsidR="00F44C3A" w:rsidRPr="00640D24">
        <w:rPr>
          <w:rFonts w:cs="Times New Roman"/>
          <w:sz w:val="22"/>
          <w:szCs w:val="22"/>
        </w:rPr>
        <w:t>, „Ankstyvosios stadijos ir plėtros fondas I“</w:t>
      </w:r>
      <w:r w:rsidR="00C15782" w:rsidRPr="00640D24">
        <w:rPr>
          <w:rFonts w:cs="Times New Roman"/>
          <w:sz w:val="22"/>
          <w:szCs w:val="22"/>
        </w:rPr>
        <w:t xml:space="preserve"> </w:t>
      </w:r>
      <w:r w:rsidR="00F44C3A" w:rsidRPr="00640D24">
        <w:rPr>
          <w:rFonts w:cs="Times New Roman"/>
          <w:sz w:val="22"/>
          <w:szCs w:val="22"/>
        </w:rPr>
        <w:t>bei</w:t>
      </w:r>
      <w:r w:rsidR="00C15782" w:rsidRPr="00640D24">
        <w:rPr>
          <w:rFonts w:cs="Times New Roman"/>
          <w:sz w:val="22"/>
          <w:szCs w:val="22"/>
        </w:rPr>
        <w:t xml:space="preserve"> </w:t>
      </w:r>
      <w:r w:rsidR="0078322F" w:rsidRPr="00640D24">
        <w:rPr>
          <w:rFonts w:cs="Times New Roman"/>
          <w:sz w:val="22"/>
          <w:szCs w:val="22"/>
        </w:rPr>
        <w:t>„</w:t>
      </w:r>
      <w:r w:rsidR="00C15782" w:rsidRPr="00640D24">
        <w:rPr>
          <w:rFonts w:cs="Times New Roman"/>
          <w:sz w:val="22"/>
          <w:szCs w:val="22"/>
        </w:rPr>
        <w:t>Ankstyvos stadijos ir plėtros fondas II</w:t>
      </w:r>
      <w:r w:rsidR="0078322F" w:rsidRPr="00640D24">
        <w:rPr>
          <w:rFonts w:cs="Times New Roman"/>
          <w:sz w:val="22"/>
          <w:szCs w:val="22"/>
        </w:rPr>
        <w:t>“</w:t>
      </w:r>
      <w:r w:rsidR="00C15782" w:rsidRPr="00640D24">
        <w:rPr>
          <w:rFonts w:cs="Times New Roman"/>
          <w:sz w:val="22"/>
          <w:szCs w:val="22"/>
        </w:rPr>
        <w:t>.</w:t>
      </w:r>
      <w:r w:rsidR="00453CB5" w:rsidRPr="00640D24">
        <w:rPr>
          <w:rFonts w:cs="Times New Roman"/>
          <w:sz w:val="22"/>
          <w:szCs w:val="22"/>
        </w:rPr>
        <w:t xml:space="preserve"> Atsižvelgiant į sukauptą patirtį, rekomenduojama tęsti „Ko</w:t>
      </w:r>
      <w:r w:rsidR="00645085" w:rsidRPr="00640D24">
        <w:rPr>
          <w:rFonts w:cs="Times New Roman"/>
          <w:sz w:val="22"/>
          <w:szCs w:val="22"/>
        </w:rPr>
        <w:t>–</w:t>
      </w:r>
      <w:r w:rsidR="00453CB5" w:rsidRPr="00640D24">
        <w:rPr>
          <w:rFonts w:cs="Times New Roman"/>
          <w:sz w:val="22"/>
          <w:szCs w:val="22"/>
        </w:rPr>
        <w:t>investicinio fondo“ veiklą, skiriant daugiau lėšų</w:t>
      </w:r>
      <w:r w:rsidR="00A43C0A" w:rsidRPr="00640D24">
        <w:rPr>
          <w:rFonts w:cs="Times New Roman"/>
          <w:sz w:val="22"/>
          <w:szCs w:val="22"/>
        </w:rPr>
        <w:t>,</w:t>
      </w:r>
      <w:r w:rsidR="00453CB5" w:rsidRPr="00640D24">
        <w:rPr>
          <w:rFonts w:cs="Times New Roman"/>
          <w:sz w:val="22"/>
          <w:szCs w:val="22"/>
        </w:rPr>
        <w:t xml:space="preserve">  įsteigti naują </w:t>
      </w:r>
      <w:r w:rsidR="00040815" w:rsidRPr="00640D24">
        <w:rPr>
          <w:rFonts w:cs="Times New Roman"/>
          <w:sz w:val="22"/>
          <w:szCs w:val="22"/>
        </w:rPr>
        <w:t>ASIPF III</w:t>
      </w:r>
      <w:r w:rsidR="00880367" w:rsidRPr="00640D24">
        <w:rPr>
          <w:rFonts w:cs="Times New Roman"/>
          <w:sz w:val="22"/>
          <w:szCs w:val="22"/>
        </w:rPr>
        <w:t xml:space="preserve">, užtikrinti </w:t>
      </w:r>
      <w:r w:rsidR="00DE11E1" w:rsidRPr="00640D24">
        <w:rPr>
          <w:rFonts w:cs="Times New Roman"/>
          <w:sz w:val="22"/>
          <w:szCs w:val="22"/>
        </w:rPr>
        <w:t xml:space="preserve">plėtros </w:t>
      </w:r>
      <w:r w:rsidR="007746A7" w:rsidRPr="00640D24">
        <w:rPr>
          <w:rFonts w:cs="Times New Roman"/>
          <w:sz w:val="22"/>
          <w:szCs w:val="22"/>
        </w:rPr>
        <w:t>RKF</w:t>
      </w:r>
      <w:r w:rsidR="00645085" w:rsidRPr="00640D24">
        <w:rPr>
          <w:rFonts w:cs="Times New Roman"/>
          <w:sz w:val="22"/>
          <w:szCs w:val="22"/>
        </w:rPr>
        <w:t>–</w:t>
      </w:r>
      <w:r w:rsidR="008B467D" w:rsidRPr="00640D24">
        <w:rPr>
          <w:rFonts w:cs="Times New Roman"/>
          <w:sz w:val="22"/>
          <w:szCs w:val="22"/>
        </w:rPr>
        <w:t>ų</w:t>
      </w:r>
      <w:r w:rsidR="00880367" w:rsidRPr="00640D24">
        <w:rPr>
          <w:rFonts w:cs="Times New Roman"/>
          <w:sz w:val="22"/>
          <w:szCs w:val="22"/>
        </w:rPr>
        <w:t xml:space="preserve"> finansavim</w:t>
      </w:r>
      <w:r w:rsidR="00DE11E1" w:rsidRPr="00640D24">
        <w:rPr>
          <w:rFonts w:cs="Times New Roman"/>
          <w:sz w:val="22"/>
          <w:szCs w:val="22"/>
        </w:rPr>
        <w:t>o</w:t>
      </w:r>
      <w:r w:rsidR="00880367" w:rsidRPr="00640D24">
        <w:rPr>
          <w:rFonts w:cs="Times New Roman"/>
          <w:sz w:val="22"/>
          <w:szCs w:val="22"/>
        </w:rPr>
        <w:t xml:space="preserve"> tęstinumą</w:t>
      </w:r>
      <w:r w:rsidR="003B1903" w:rsidRPr="00640D24">
        <w:rPr>
          <w:rFonts w:cs="Times New Roman"/>
          <w:sz w:val="22"/>
          <w:szCs w:val="22"/>
        </w:rPr>
        <w:t>.</w:t>
      </w:r>
      <w:r w:rsidR="006573BD" w:rsidRPr="00640D24">
        <w:rPr>
          <w:rFonts w:cs="Times New Roman"/>
          <w:sz w:val="22"/>
          <w:szCs w:val="22"/>
        </w:rPr>
        <w:t xml:space="preserve"> </w:t>
      </w:r>
    </w:p>
    <w:p w14:paraId="5DAA31BC" w14:textId="15155A46" w:rsidR="0068233C" w:rsidRPr="00640D24" w:rsidRDefault="004143F3" w:rsidP="0091675C">
      <w:pPr>
        <w:spacing w:after="120" w:line="240" w:lineRule="auto"/>
        <w:jc w:val="both"/>
        <w:rPr>
          <w:rFonts w:cs="Times New Roman"/>
          <w:i/>
          <w:iCs/>
          <w:sz w:val="22"/>
          <w:szCs w:val="22"/>
        </w:rPr>
        <w:sectPr w:rsidR="0068233C" w:rsidRPr="00640D24" w:rsidSect="002A24FE">
          <w:footerReference w:type="default" r:id="rId18"/>
          <w:headerReference w:type="first" r:id="rId19"/>
          <w:pgSz w:w="11906" w:h="16838"/>
          <w:pgMar w:top="1560" w:right="567" w:bottom="1134" w:left="1701" w:header="567" w:footer="567" w:gutter="0"/>
          <w:cols w:space="1296"/>
          <w:titlePg/>
          <w:docGrid w:linePitch="360"/>
        </w:sectPr>
      </w:pPr>
      <w:r w:rsidRPr="00640D24">
        <w:rPr>
          <w:rFonts w:cs="Times New Roman"/>
          <w:sz w:val="22"/>
          <w:szCs w:val="22"/>
        </w:rPr>
        <w:br w:type="page"/>
      </w:r>
    </w:p>
    <w:p w14:paraId="25F6E53B" w14:textId="7BA453E5" w:rsidR="0091675C" w:rsidRPr="00640D24" w:rsidRDefault="0091675C" w:rsidP="0091675C">
      <w:pPr>
        <w:spacing w:after="120" w:line="240" w:lineRule="auto"/>
        <w:jc w:val="both"/>
        <w:rPr>
          <w:rFonts w:cs="Times New Roman"/>
          <w:i/>
          <w:iCs/>
          <w:sz w:val="22"/>
          <w:szCs w:val="22"/>
        </w:rPr>
      </w:pPr>
      <w:r w:rsidRPr="00640D24">
        <w:rPr>
          <w:rFonts w:cs="Times New Roman"/>
          <w:i/>
          <w:iCs/>
          <w:sz w:val="22"/>
          <w:szCs w:val="22"/>
        </w:rPr>
        <w:lastRenderedPageBreak/>
        <w:t xml:space="preserve">Lentelė Nr. </w:t>
      </w:r>
      <w:r w:rsidR="00F858B8" w:rsidRPr="00640D24">
        <w:rPr>
          <w:rFonts w:cs="Times New Roman"/>
          <w:i/>
          <w:iCs/>
          <w:sz w:val="22"/>
          <w:szCs w:val="22"/>
        </w:rPr>
        <w:t>6</w:t>
      </w:r>
      <w:r w:rsidRPr="00640D24">
        <w:rPr>
          <w:rFonts w:cs="Times New Roman"/>
          <w:i/>
          <w:iCs/>
          <w:sz w:val="22"/>
          <w:szCs w:val="22"/>
        </w:rPr>
        <w:t>. Siūlomos rizikos kapitalo investicijų FP Vertinime analizuojamoms veikloms finansuoti</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68"/>
        <w:gridCol w:w="3260"/>
        <w:gridCol w:w="2227"/>
        <w:gridCol w:w="2409"/>
        <w:gridCol w:w="2410"/>
      </w:tblGrid>
      <w:tr w:rsidR="000C6FDC" w:rsidRPr="00640D24" w14:paraId="5271A204" w14:textId="2AB6BC1F" w:rsidTr="000C6FDC">
        <w:trPr>
          <w:trHeight w:val="20"/>
        </w:trPr>
        <w:tc>
          <w:tcPr>
            <w:tcW w:w="2405" w:type="dxa"/>
            <w:shd w:val="clear" w:color="auto" w:fill="auto"/>
            <w:noWrap/>
            <w:vAlign w:val="center"/>
            <w:hideMark/>
          </w:tcPr>
          <w:p w14:paraId="39FA976E" w14:textId="77777777" w:rsidR="000C6FDC" w:rsidRPr="00640D24" w:rsidRDefault="000C6FDC" w:rsidP="00743F1B">
            <w:pPr>
              <w:spacing w:after="0" w:line="240" w:lineRule="auto"/>
              <w:jc w:val="center"/>
              <w:rPr>
                <w:rFonts w:eastAsia="Times New Roman" w:cs="Times New Roman"/>
                <w:b/>
                <w:bCs/>
                <w:color w:val="000000"/>
                <w:sz w:val="21"/>
                <w:szCs w:val="21"/>
                <w:lang w:eastAsia="lt-LT"/>
              </w:rPr>
            </w:pPr>
          </w:p>
        </w:tc>
        <w:tc>
          <w:tcPr>
            <w:tcW w:w="2168" w:type="dxa"/>
            <w:shd w:val="clear" w:color="auto" w:fill="auto"/>
            <w:vAlign w:val="center"/>
            <w:hideMark/>
          </w:tcPr>
          <w:p w14:paraId="5D901E11" w14:textId="7B183176" w:rsidR="000C6FDC" w:rsidRPr="00640D24" w:rsidRDefault="000C6FDC" w:rsidP="00743F1B">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Akceleratorius 3</w:t>
            </w:r>
          </w:p>
        </w:tc>
        <w:tc>
          <w:tcPr>
            <w:tcW w:w="3260" w:type="dxa"/>
            <w:shd w:val="clear" w:color="auto" w:fill="auto"/>
            <w:vAlign w:val="center"/>
            <w:hideMark/>
          </w:tcPr>
          <w:p w14:paraId="7CDE5A79" w14:textId="4073BCFB" w:rsidR="000C6FDC" w:rsidRPr="00640D24" w:rsidRDefault="000C6FDC" w:rsidP="00743F1B">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ASIPF III</w:t>
            </w:r>
          </w:p>
        </w:tc>
        <w:tc>
          <w:tcPr>
            <w:tcW w:w="2227" w:type="dxa"/>
            <w:shd w:val="clear" w:color="auto" w:fill="auto"/>
            <w:vAlign w:val="center"/>
            <w:hideMark/>
          </w:tcPr>
          <w:p w14:paraId="7941CE29" w14:textId="6D0D6030" w:rsidR="000C6FDC" w:rsidRPr="00640D24" w:rsidRDefault="000C6FDC" w:rsidP="00743F1B">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Ko–investicinis fondas (papildymas)</w:t>
            </w:r>
          </w:p>
        </w:tc>
        <w:tc>
          <w:tcPr>
            <w:tcW w:w="2409" w:type="dxa"/>
          </w:tcPr>
          <w:p w14:paraId="222C1447" w14:textId="32902294" w:rsidR="000C6FDC" w:rsidRPr="00640D24" w:rsidRDefault="000C6FDC" w:rsidP="641B94F2">
            <w:pPr>
              <w:spacing w:after="0" w:line="240" w:lineRule="auto"/>
              <w:jc w:val="center"/>
              <w:rPr>
                <w:rFonts w:eastAsia="Times New Roman" w:cs="Times New Roman"/>
                <w:b/>
                <w:bCs/>
                <w:color w:val="000000" w:themeColor="text1"/>
                <w:sz w:val="21"/>
                <w:szCs w:val="21"/>
                <w:lang w:eastAsia="lt-LT"/>
              </w:rPr>
            </w:pPr>
            <w:r w:rsidRPr="00640D24">
              <w:rPr>
                <w:rFonts w:eastAsia="Times New Roman" w:cs="Times New Roman"/>
                <w:b/>
                <w:bCs/>
                <w:color w:val="000000" w:themeColor="text1"/>
                <w:sz w:val="21"/>
                <w:szCs w:val="21"/>
                <w:lang w:eastAsia="lt-LT"/>
              </w:rPr>
              <w:t xml:space="preserve"> Plėtros RKF–ai </w:t>
            </w:r>
          </w:p>
          <w:p w14:paraId="7BACE92E" w14:textId="5A9AA145" w:rsidR="000C6FDC" w:rsidRPr="00640D24" w:rsidRDefault="000C6FDC" w:rsidP="00743F1B">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themeColor="text1"/>
                <w:sz w:val="21"/>
                <w:szCs w:val="21"/>
                <w:lang w:eastAsia="lt-LT"/>
              </w:rPr>
              <w:t>(Plėtros fondai III)</w:t>
            </w:r>
          </w:p>
        </w:tc>
        <w:tc>
          <w:tcPr>
            <w:tcW w:w="2410" w:type="dxa"/>
          </w:tcPr>
          <w:p w14:paraId="4DC71A78" w14:textId="2E86FCA4" w:rsidR="000C6FDC" w:rsidRPr="00640D24" w:rsidRDefault="000C6FDC" w:rsidP="00743F1B">
            <w:pPr>
              <w:spacing w:after="0" w:line="240" w:lineRule="auto"/>
              <w:jc w:val="center"/>
              <w:rPr>
                <w:rFonts w:eastAsia="Times New Roman" w:cs="Times New Roman"/>
                <w:b/>
                <w:bCs/>
                <w:color w:val="000000"/>
                <w:sz w:val="21"/>
                <w:szCs w:val="21"/>
                <w:lang w:eastAsia="lt-LT"/>
              </w:rPr>
            </w:pPr>
            <w:proofErr w:type="spellStart"/>
            <w:r w:rsidRPr="00640D24">
              <w:rPr>
                <w:rFonts w:eastAsia="Times New Roman" w:cs="Times New Roman"/>
                <w:b/>
                <w:bCs/>
                <w:color w:val="000000" w:themeColor="text1"/>
                <w:sz w:val="21"/>
                <w:szCs w:val="21"/>
                <w:lang w:eastAsia="lt-LT"/>
              </w:rPr>
              <w:t>MILInvest</w:t>
            </w:r>
            <w:proofErr w:type="spellEnd"/>
            <w:r w:rsidRPr="00640D24">
              <w:rPr>
                <w:rFonts w:eastAsia="Times New Roman" w:cs="Times New Roman"/>
                <w:b/>
                <w:bCs/>
                <w:color w:val="000000" w:themeColor="text1"/>
                <w:sz w:val="21"/>
                <w:szCs w:val="21"/>
                <w:lang w:eastAsia="lt-LT"/>
              </w:rPr>
              <w:t xml:space="preserve"> 2</w:t>
            </w:r>
          </w:p>
        </w:tc>
      </w:tr>
      <w:tr w:rsidR="000C6FDC" w:rsidRPr="00640D24" w14:paraId="2D87F0EE" w14:textId="74CEC4AC" w:rsidTr="000C6FDC">
        <w:trPr>
          <w:trHeight w:val="20"/>
        </w:trPr>
        <w:tc>
          <w:tcPr>
            <w:tcW w:w="2405" w:type="dxa"/>
            <w:shd w:val="clear" w:color="auto" w:fill="auto"/>
            <w:vAlign w:val="center"/>
            <w:hideMark/>
          </w:tcPr>
          <w:p w14:paraId="6C614F9D" w14:textId="2DD85AAE" w:rsidR="000C6FDC" w:rsidRPr="00640D24" w:rsidRDefault="000C6FDC" w:rsidP="00743F1B">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 xml:space="preserve">Preliminariai skiriama valstybės lėšų suma (su valdymo mokesčiais), mln. </w:t>
            </w:r>
            <w:proofErr w:type="spellStart"/>
            <w:r w:rsidRPr="00640D24">
              <w:rPr>
                <w:rFonts w:eastAsia="Times New Roman" w:cs="Times New Roman"/>
                <w:b/>
                <w:bCs/>
                <w:color w:val="000000"/>
                <w:sz w:val="21"/>
                <w:szCs w:val="21"/>
                <w:lang w:eastAsia="lt-LT"/>
              </w:rPr>
              <w:t>Eur</w:t>
            </w:r>
            <w:proofErr w:type="spellEnd"/>
          </w:p>
        </w:tc>
        <w:tc>
          <w:tcPr>
            <w:tcW w:w="2168" w:type="dxa"/>
            <w:shd w:val="clear" w:color="auto" w:fill="auto"/>
            <w:vAlign w:val="center"/>
          </w:tcPr>
          <w:p w14:paraId="6C3823E8" w14:textId="00A46906" w:rsidR="000C6FDC" w:rsidRPr="00640D24" w:rsidRDefault="000C6FDC" w:rsidP="00743F1B">
            <w:pPr>
              <w:spacing w:before="60" w:after="60" w:line="240" w:lineRule="auto"/>
              <w:jc w:val="center"/>
              <w:rPr>
                <w:rFonts w:cs="Times New Roman"/>
                <w:sz w:val="21"/>
                <w:szCs w:val="21"/>
              </w:rPr>
            </w:pPr>
            <w:r w:rsidRPr="00640D24">
              <w:rPr>
                <w:rFonts w:cs="Times New Roman"/>
                <w:sz w:val="21"/>
                <w:szCs w:val="21"/>
              </w:rPr>
              <w:t xml:space="preserve">20,00, iš kurių: 11,75 – ES SF lėšos (finansuojama pagal veiklą „Skatinti </w:t>
            </w:r>
            <w:proofErr w:type="spellStart"/>
            <w:r w:rsidRPr="00640D24">
              <w:rPr>
                <w:rFonts w:cs="Times New Roman"/>
                <w:sz w:val="21"/>
                <w:szCs w:val="21"/>
              </w:rPr>
              <w:t>startuolių</w:t>
            </w:r>
            <w:proofErr w:type="spellEnd"/>
            <w:r w:rsidRPr="00640D24">
              <w:rPr>
                <w:rFonts w:cs="Times New Roman"/>
                <w:sz w:val="21"/>
                <w:szCs w:val="21"/>
              </w:rPr>
              <w:t xml:space="preserve"> vystymą, </w:t>
            </w:r>
            <w:proofErr w:type="spellStart"/>
            <w:r w:rsidRPr="00640D24">
              <w:rPr>
                <w:rFonts w:cs="Times New Roman"/>
                <w:sz w:val="21"/>
                <w:szCs w:val="21"/>
              </w:rPr>
              <w:t>akceleravimą</w:t>
            </w:r>
            <w:proofErr w:type="spellEnd"/>
            <w:r w:rsidRPr="00640D24">
              <w:rPr>
                <w:rFonts w:cs="Times New Roman"/>
                <w:sz w:val="21"/>
                <w:szCs w:val="21"/>
              </w:rPr>
              <w:t xml:space="preserve"> ir plėtrą</w:t>
            </w:r>
            <w:r w:rsidRPr="00640D24">
              <w:rPr>
                <w:rStyle w:val="Puslapioinaosnuoroda"/>
                <w:rFonts w:cs="Times New Roman"/>
                <w:sz w:val="21"/>
                <w:szCs w:val="21"/>
              </w:rPr>
              <w:footnoteReference w:id="76"/>
            </w:r>
            <w:r w:rsidRPr="00640D24">
              <w:rPr>
                <w:rFonts w:cs="Times New Roman"/>
                <w:sz w:val="21"/>
                <w:szCs w:val="21"/>
              </w:rPr>
              <w:t>“)</w:t>
            </w:r>
          </w:p>
        </w:tc>
        <w:tc>
          <w:tcPr>
            <w:tcW w:w="3260" w:type="dxa"/>
            <w:shd w:val="clear" w:color="auto" w:fill="auto"/>
            <w:vAlign w:val="center"/>
          </w:tcPr>
          <w:p w14:paraId="40C66E72" w14:textId="60EF6F73" w:rsidR="000C6FDC" w:rsidRPr="00640D24" w:rsidRDefault="000C6FDC" w:rsidP="00743F1B">
            <w:pPr>
              <w:spacing w:before="60" w:after="60" w:line="240" w:lineRule="auto"/>
              <w:jc w:val="center"/>
              <w:rPr>
                <w:rFonts w:cs="Times New Roman"/>
                <w:sz w:val="21"/>
                <w:szCs w:val="21"/>
              </w:rPr>
            </w:pPr>
            <w:r w:rsidRPr="00640D24">
              <w:rPr>
                <w:rFonts w:cs="Times New Roman"/>
                <w:sz w:val="21"/>
                <w:szCs w:val="21"/>
              </w:rPr>
              <w:t>42,8, iš kurių: 9,40 – ES SF lėšos (finansuojama pagal veiklą „Skatinti pradedančiųjų SVV subjektų kūrimąsi, augimą ir plėtrą</w:t>
            </w:r>
            <w:r w:rsidRPr="00640D24">
              <w:rPr>
                <w:rStyle w:val="Puslapioinaosnuoroda"/>
                <w:rFonts w:cs="Times New Roman"/>
                <w:sz w:val="21"/>
                <w:szCs w:val="21"/>
              </w:rPr>
              <w:footnoteReference w:id="77"/>
            </w:r>
            <w:r w:rsidRPr="00640D24">
              <w:rPr>
                <w:rFonts w:cs="Times New Roman"/>
                <w:sz w:val="21"/>
                <w:szCs w:val="21"/>
              </w:rPr>
              <w:t xml:space="preserve">“) ir 11,25 – ES SF lėšos (finansuojama pagal veiklą „Skatinti </w:t>
            </w:r>
            <w:proofErr w:type="spellStart"/>
            <w:r w:rsidRPr="00640D24">
              <w:rPr>
                <w:rFonts w:cs="Times New Roman"/>
                <w:sz w:val="21"/>
                <w:szCs w:val="21"/>
              </w:rPr>
              <w:t>startuolių</w:t>
            </w:r>
            <w:proofErr w:type="spellEnd"/>
            <w:r w:rsidRPr="00640D24">
              <w:rPr>
                <w:rFonts w:cs="Times New Roman"/>
                <w:sz w:val="21"/>
                <w:szCs w:val="21"/>
              </w:rPr>
              <w:t xml:space="preserve"> vystymą, </w:t>
            </w:r>
            <w:proofErr w:type="spellStart"/>
            <w:r w:rsidRPr="00640D24">
              <w:rPr>
                <w:rFonts w:cs="Times New Roman"/>
                <w:sz w:val="21"/>
                <w:szCs w:val="21"/>
              </w:rPr>
              <w:t>akceleravimą</w:t>
            </w:r>
            <w:proofErr w:type="spellEnd"/>
            <w:r w:rsidRPr="00640D24">
              <w:rPr>
                <w:rFonts w:cs="Times New Roman"/>
                <w:sz w:val="21"/>
                <w:szCs w:val="21"/>
              </w:rPr>
              <w:t xml:space="preserve"> ir plėtrą</w:t>
            </w:r>
            <w:r w:rsidRPr="00640D24">
              <w:rPr>
                <w:rStyle w:val="Puslapioinaosnuoroda"/>
                <w:rFonts w:cs="Times New Roman"/>
                <w:sz w:val="21"/>
                <w:szCs w:val="21"/>
              </w:rPr>
              <w:footnoteReference w:id="78"/>
            </w:r>
            <w:r w:rsidRPr="00640D24">
              <w:rPr>
                <w:rFonts w:cs="Times New Roman"/>
                <w:sz w:val="21"/>
                <w:szCs w:val="21"/>
              </w:rPr>
              <w:t xml:space="preserve">“); </w:t>
            </w:r>
          </w:p>
        </w:tc>
        <w:tc>
          <w:tcPr>
            <w:tcW w:w="2227" w:type="dxa"/>
            <w:shd w:val="clear" w:color="auto" w:fill="auto"/>
            <w:vAlign w:val="center"/>
          </w:tcPr>
          <w:p w14:paraId="1787EC4D" w14:textId="5C938803" w:rsidR="000C6FDC" w:rsidRPr="00640D24" w:rsidRDefault="000C6FDC" w:rsidP="00743F1B">
            <w:pPr>
              <w:spacing w:after="0" w:line="240" w:lineRule="auto"/>
              <w:jc w:val="center"/>
              <w:rPr>
                <w:rFonts w:eastAsia="Times New Roman" w:cs="Times New Roman"/>
                <w:sz w:val="21"/>
                <w:szCs w:val="21"/>
                <w:lang w:eastAsia="lt-LT"/>
              </w:rPr>
            </w:pPr>
            <w:r w:rsidRPr="00640D24">
              <w:rPr>
                <w:rFonts w:eastAsia="Times New Roman" w:cs="Times New Roman"/>
                <w:sz w:val="21"/>
                <w:szCs w:val="21"/>
                <w:lang w:eastAsia="lt-LT"/>
              </w:rPr>
              <w:t>14,3 iš kurių 10 – ES SF lėšos (</w:t>
            </w:r>
            <w:r w:rsidRPr="00640D24">
              <w:rPr>
                <w:rFonts w:cs="Times New Roman"/>
                <w:sz w:val="21"/>
                <w:szCs w:val="21"/>
              </w:rPr>
              <w:t xml:space="preserve">finansuojama pagal veiklą „Skatinti </w:t>
            </w:r>
            <w:proofErr w:type="spellStart"/>
            <w:r w:rsidRPr="00640D24">
              <w:rPr>
                <w:rFonts w:cs="Times New Roman"/>
                <w:sz w:val="21"/>
                <w:szCs w:val="21"/>
              </w:rPr>
              <w:t>startuolių</w:t>
            </w:r>
            <w:proofErr w:type="spellEnd"/>
            <w:r w:rsidRPr="00640D24">
              <w:rPr>
                <w:rFonts w:cs="Times New Roman"/>
                <w:sz w:val="21"/>
                <w:szCs w:val="21"/>
              </w:rPr>
              <w:t xml:space="preserve"> vystymą, </w:t>
            </w:r>
            <w:proofErr w:type="spellStart"/>
            <w:r w:rsidRPr="00640D24">
              <w:rPr>
                <w:rFonts w:cs="Times New Roman"/>
                <w:sz w:val="21"/>
                <w:szCs w:val="21"/>
              </w:rPr>
              <w:t>akceleravimą</w:t>
            </w:r>
            <w:proofErr w:type="spellEnd"/>
            <w:r w:rsidRPr="00640D24">
              <w:rPr>
                <w:rFonts w:cs="Times New Roman"/>
                <w:sz w:val="21"/>
                <w:szCs w:val="21"/>
              </w:rPr>
              <w:t xml:space="preserve"> ir plėtrą</w:t>
            </w:r>
            <w:r w:rsidRPr="00640D24">
              <w:rPr>
                <w:rStyle w:val="Puslapioinaosnuoroda"/>
                <w:rFonts w:cs="Times New Roman"/>
                <w:sz w:val="21"/>
                <w:szCs w:val="21"/>
              </w:rPr>
              <w:footnoteReference w:id="79"/>
            </w:r>
            <w:r w:rsidRPr="00640D24">
              <w:rPr>
                <w:rFonts w:cs="Times New Roman"/>
                <w:sz w:val="21"/>
                <w:szCs w:val="21"/>
              </w:rPr>
              <w:t>“)</w:t>
            </w:r>
          </w:p>
        </w:tc>
        <w:tc>
          <w:tcPr>
            <w:tcW w:w="2409" w:type="dxa"/>
            <w:vAlign w:val="center"/>
          </w:tcPr>
          <w:p w14:paraId="7BE7ABC2" w14:textId="22D5B0E3" w:rsidR="000C6FDC" w:rsidRPr="00640D24" w:rsidRDefault="000C6FDC" w:rsidP="00BA6A1C">
            <w:pPr>
              <w:jc w:val="center"/>
              <w:rPr>
                <w:rFonts w:cs="Times New Roman"/>
                <w:sz w:val="21"/>
                <w:szCs w:val="21"/>
              </w:rPr>
            </w:pPr>
            <w:r w:rsidRPr="00640D24">
              <w:rPr>
                <w:rFonts w:cs="Times New Roman"/>
                <w:sz w:val="21"/>
                <w:szCs w:val="21"/>
              </w:rPr>
              <w:t>132</w:t>
            </w:r>
          </w:p>
        </w:tc>
        <w:tc>
          <w:tcPr>
            <w:tcW w:w="2410" w:type="dxa"/>
          </w:tcPr>
          <w:p w14:paraId="48F275F8" w14:textId="3D33B51B" w:rsidR="000C6FDC" w:rsidRPr="00640D24" w:rsidRDefault="000C6FDC">
            <w:pPr>
              <w:jc w:val="center"/>
              <w:rPr>
                <w:rFonts w:eastAsia="Times New Roman" w:cs="Times New Roman"/>
                <w:sz w:val="21"/>
                <w:szCs w:val="21"/>
              </w:rPr>
            </w:pPr>
            <w:r w:rsidRPr="00640D24">
              <w:rPr>
                <w:rFonts w:cs="Times New Roman"/>
                <w:sz w:val="21"/>
                <w:szCs w:val="21"/>
              </w:rPr>
              <w:t>30</w:t>
            </w:r>
          </w:p>
        </w:tc>
      </w:tr>
      <w:tr w:rsidR="00587B6B" w:rsidRPr="00640D24" w14:paraId="0B0BA768" w14:textId="2A01906E" w:rsidTr="000C6FDC">
        <w:trPr>
          <w:trHeight w:val="20"/>
        </w:trPr>
        <w:tc>
          <w:tcPr>
            <w:tcW w:w="2405" w:type="dxa"/>
            <w:shd w:val="clear" w:color="auto" w:fill="auto"/>
            <w:vAlign w:val="center"/>
          </w:tcPr>
          <w:p w14:paraId="68FD06E4" w14:textId="77777777" w:rsidR="000C6FDC" w:rsidRPr="00640D24" w:rsidRDefault="000C6FDC" w:rsidP="00743F1B">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Finansavimo šaltiniai</w:t>
            </w:r>
          </w:p>
        </w:tc>
        <w:tc>
          <w:tcPr>
            <w:tcW w:w="7655" w:type="dxa"/>
            <w:gridSpan w:val="3"/>
            <w:shd w:val="clear" w:color="auto" w:fill="auto"/>
            <w:vAlign w:val="center"/>
          </w:tcPr>
          <w:p w14:paraId="4DFE4D7E" w14:textId="77777777" w:rsidR="000C6FDC" w:rsidRPr="00640D24" w:rsidRDefault="000C6FDC" w:rsidP="00743F1B">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ES SF lėšos, biudžeto lėšos, grįžusios ir (ar) grįšiančios bei kitos lėšos</w:t>
            </w:r>
          </w:p>
          <w:p w14:paraId="2FEFAD7F" w14:textId="77777777" w:rsidR="000C6FDC" w:rsidRPr="00640D24" w:rsidRDefault="000C6FDC" w:rsidP="00743F1B">
            <w:pPr>
              <w:spacing w:after="0" w:line="240" w:lineRule="auto"/>
              <w:jc w:val="center"/>
              <w:rPr>
                <w:rFonts w:eastAsia="Times New Roman" w:cs="Times New Roman"/>
                <w:color w:val="000000"/>
                <w:sz w:val="21"/>
                <w:szCs w:val="21"/>
                <w:lang w:eastAsia="lt-LT"/>
              </w:rPr>
            </w:pPr>
          </w:p>
        </w:tc>
        <w:tc>
          <w:tcPr>
            <w:tcW w:w="2409" w:type="dxa"/>
          </w:tcPr>
          <w:p w14:paraId="18DFA8FF" w14:textId="77777777" w:rsidR="000C6FDC" w:rsidRPr="00640D24" w:rsidRDefault="000C6FDC" w:rsidP="00743F1B">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Biudžeto lėšos arba grįžusios ir (ar) grįšiančios ir kitos lėšos</w:t>
            </w:r>
          </w:p>
        </w:tc>
        <w:tc>
          <w:tcPr>
            <w:tcW w:w="2410" w:type="dxa"/>
          </w:tcPr>
          <w:p w14:paraId="37AC807B" w14:textId="4769F220" w:rsidR="000C6FDC" w:rsidRPr="00640D24" w:rsidRDefault="000C6FDC" w:rsidP="00743F1B">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Biudžeto lėšos arba grįžusios ir (ar) grįšiančios ir kitos lėšos</w:t>
            </w:r>
          </w:p>
        </w:tc>
      </w:tr>
      <w:tr w:rsidR="00587B6B" w:rsidRPr="00640D24" w14:paraId="1D0AA866" w14:textId="0BCCF191" w:rsidTr="000C6FDC">
        <w:trPr>
          <w:trHeight w:val="20"/>
        </w:trPr>
        <w:tc>
          <w:tcPr>
            <w:tcW w:w="2405" w:type="dxa"/>
            <w:shd w:val="clear" w:color="auto" w:fill="auto"/>
            <w:vAlign w:val="center"/>
            <w:hideMark/>
          </w:tcPr>
          <w:p w14:paraId="57AF29EA" w14:textId="43FF2DC8" w:rsidR="000C6FDC" w:rsidRPr="00640D24" w:rsidRDefault="000C6FDC" w:rsidP="00743F1B">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Privačios lėšos, proc.</w:t>
            </w:r>
          </w:p>
        </w:tc>
        <w:tc>
          <w:tcPr>
            <w:tcW w:w="7655" w:type="dxa"/>
            <w:gridSpan w:val="3"/>
            <w:shd w:val="clear" w:color="auto" w:fill="auto"/>
            <w:vAlign w:val="center"/>
            <w:hideMark/>
          </w:tcPr>
          <w:p w14:paraId="5C02EB6C" w14:textId="77777777" w:rsidR="000C6FDC" w:rsidRPr="00640D24" w:rsidRDefault="000C6FDC" w:rsidP="00743F1B">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 xml:space="preserve">Pagal bendrosios išimties reglamentą, ne mažiau kaip 10 proc. </w:t>
            </w:r>
          </w:p>
          <w:p w14:paraId="0B9F5AFA" w14:textId="06EB1E51" w:rsidR="000C6FDC" w:rsidRPr="00640D24" w:rsidRDefault="000C6FDC" w:rsidP="00743F1B">
            <w:pPr>
              <w:spacing w:after="0" w:line="240" w:lineRule="auto"/>
              <w:jc w:val="center"/>
              <w:rPr>
                <w:rFonts w:eastAsia="Times New Roman" w:cs="Times New Roman"/>
                <w:color w:val="000000"/>
                <w:sz w:val="21"/>
                <w:szCs w:val="21"/>
                <w:lang w:eastAsia="lt-LT"/>
              </w:rPr>
            </w:pPr>
          </w:p>
          <w:p w14:paraId="72993488" w14:textId="60E3849A" w:rsidR="000C6FDC" w:rsidRPr="00640D24" w:rsidRDefault="000C6FDC" w:rsidP="00743F1B">
            <w:pPr>
              <w:spacing w:after="0" w:line="240" w:lineRule="auto"/>
              <w:jc w:val="center"/>
              <w:rPr>
                <w:rFonts w:eastAsia="Times New Roman" w:cs="Times New Roman"/>
                <w:color w:val="000000"/>
                <w:sz w:val="21"/>
                <w:szCs w:val="21"/>
                <w:lang w:eastAsia="lt-LT"/>
              </w:rPr>
            </w:pPr>
          </w:p>
        </w:tc>
        <w:tc>
          <w:tcPr>
            <w:tcW w:w="2409" w:type="dxa"/>
          </w:tcPr>
          <w:p w14:paraId="1F3B7A87" w14:textId="6E9FD473" w:rsidR="000C6FDC" w:rsidRPr="00640D24" w:rsidRDefault="000C6FDC" w:rsidP="00743F1B">
            <w:pPr>
              <w:spacing w:after="0" w:line="240" w:lineRule="auto"/>
              <w:jc w:val="center"/>
              <w:rPr>
                <w:rFonts w:cs="Times New Roman"/>
                <w:sz w:val="21"/>
                <w:szCs w:val="21"/>
              </w:rPr>
            </w:pPr>
            <w:r w:rsidRPr="00640D24">
              <w:rPr>
                <w:rFonts w:cs="Times New Roman"/>
                <w:sz w:val="21"/>
                <w:szCs w:val="21"/>
              </w:rPr>
              <w:t>Ne mažiau kaip 50 proc., jeigu taikomas bendrosios išimties reglamentas –  ne mažiau kaip 30 proc. nuo RKF dydžio</w:t>
            </w:r>
          </w:p>
        </w:tc>
        <w:tc>
          <w:tcPr>
            <w:tcW w:w="2410" w:type="dxa"/>
          </w:tcPr>
          <w:p w14:paraId="1382247D" w14:textId="258CAE4C" w:rsidR="000C6FDC" w:rsidRPr="00640D24" w:rsidRDefault="000C6FDC" w:rsidP="641B94F2">
            <w:pPr>
              <w:spacing w:after="0" w:line="240" w:lineRule="auto"/>
              <w:jc w:val="center"/>
              <w:rPr>
                <w:rFonts w:eastAsia="Times New Roman" w:cs="Times New Roman"/>
                <w:color w:val="000000" w:themeColor="text1"/>
                <w:sz w:val="21"/>
                <w:szCs w:val="21"/>
                <w:lang w:eastAsia="lt-LT"/>
              </w:rPr>
            </w:pPr>
            <w:r w:rsidRPr="00640D24">
              <w:rPr>
                <w:rFonts w:eastAsia="Times New Roman" w:cs="Times New Roman"/>
                <w:color w:val="000000" w:themeColor="text1"/>
                <w:sz w:val="21"/>
                <w:szCs w:val="21"/>
                <w:lang w:eastAsia="lt-LT"/>
              </w:rPr>
              <w:t>Pagal bendrosios išimties reglamentą, ne mažiau kaip 10 proc.</w:t>
            </w:r>
          </w:p>
        </w:tc>
      </w:tr>
      <w:tr w:rsidR="000C6FDC" w:rsidRPr="00640D24" w14:paraId="2DB627A7" w14:textId="3C8D0663" w:rsidTr="000C6FDC">
        <w:trPr>
          <w:trHeight w:val="20"/>
        </w:trPr>
        <w:tc>
          <w:tcPr>
            <w:tcW w:w="2405" w:type="dxa"/>
            <w:shd w:val="clear" w:color="auto" w:fill="auto"/>
            <w:vAlign w:val="center"/>
            <w:hideMark/>
          </w:tcPr>
          <w:p w14:paraId="3CEB1BD5" w14:textId="77777777" w:rsidR="000C6FDC" w:rsidRPr="00640D24" w:rsidRDefault="000C6FDC" w:rsidP="00743F1B">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Finansavimo tipas</w:t>
            </w:r>
          </w:p>
        </w:tc>
        <w:tc>
          <w:tcPr>
            <w:tcW w:w="2168" w:type="dxa"/>
            <w:shd w:val="clear" w:color="auto" w:fill="auto"/>
            <w:vAlign w:val="center"/>
            <w:hideMark/>
          </w:tcPr>
          <w:p w14:paraId="3DA922DB" w14:textId="77777777" w:rsidR="000C6FDC" w:rsidRPr="00640D24" w:rsidRDefault="000C6FDC" w:rsidP="00743F1B">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Per fondų fondą</w:t>
            </w:r>
          </w:p>
        </w:tc>
        <w:tc>
          <w:tcPr>
            <w:tcW w:w="3260" w:type="dxa"/>
            <w:shd w:val="clear" w:color="auto" w:fill="auto"/>
            <w:vAlign w:val="center"/>
          </w:tcPr>
          <w:p w14:paraId="1CAB0E8B" w14:textId="45DE7D4E" w:rsidR="000C6FDC" w:rsidRPr="00640D24" w:rsidRDefault="000C6FDC" w:rsidP="00743F1B">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Per fondų fondą</w:t>
            </w:r>
          </w:p>
        </w:tc>
        <w:tc>
          <w:tcPr>
            <w:tcW w:w="2227" w:type="dxa"/>
            <w:shd w:val="clear" w:color="auto" w:fill="auto"/>
            <w:vAlign w:val="center"/>
          </w:tcPr>
          <w:p w14:paraId="69599BF2" w14:textId="3F2252B6" w:rsidR="000C6FDC" w:rsidRPr="00640D24" w:rsidRDefault="000C6FDC" w:rsidP="00743F1B">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Tiesiogiai įgyvendinama FP</w:t>
            </w:r>
          </w:p>
        </w:tc>
        <w:tc>
          <w:tcPr>
            <w:tcW w:w="2409" w:type="dxa"/>
          </w:tcPr>
          <w:p w14:paraId="5029E93A" w14:textId="499645E9" w:rsidR="000C6FDC" w:rsidRPr="00640D24" w:rsidRDefault="000C6FDC" w:rsidP="00743F1B">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Per fondų fondą</w:t>
            </w:r>
          </w:p>
        </w:tc>
        <w:tc>
          <w:tcPr>
            <w:tcW w:w="2410" w:type="dxa"/>
          </w:tcPr>
          <w:p w14:paraId="518BE0B3" w14:textId="6F53D920" w:rsidR="000C6FDC" w:rsidRPr="00640D24" w:rsidRDefault="000C6FDC" w:rsidP="641B94F2">
            <w:pPr>
              <w:spacing w:after="0" w:line="240" w:lineRule="auto"/>
              <w:jc w:val="center"/>
              <w:rPr>
                <w:rFonts w:eastAsia="Times New Roman" w:cs="Times New Roman"/>
                <w:color w:val="000000" w:themeColor="text1"/>
                <w:sz w:val="21"/>
                <w:szCs w:val="21"/>
                <w:lang w:eastAsia="lt-LT"/>
              </w:rPr>
            </w:pPr>
            <w:r w:rsidRPr="00640D24">
              <w:rPr>
                <w:rFonts w:eastAsia="Times New Roman" w:cs="Times New Roman"/>
                <w:color w:val="000000" w:themeColor="text1"/>
                <w:sz w:val="21"/>
                <w:szCs w:val="21"/>
                <w:lang w:eastAsia="lt-LT"/>
              </w:rPr>
              <w:t>Per fondų fondą</w:t>
            </w:r>
          </w:p>
          <w:p w14:paraId="6F3DA132" w14:textId="28D2A7D1" w:rsidR="000C6FDC" w:rsidRPr="00640D24" w:rsidRDefault="000C6FDC" w:rsidP="00743F1B">
            <w:pPr>
              <w:spacing w:after="0" w:line="240" w:lineRule="auto"/>
              <w:jc w:val="center"/>
              <w:rPr>
                <w:rFonts w:eastAsia="Times New Roman" w:cs="Times New Roman"/>
                <w:color w:val="000000"/>
                <w:sz w:val="21"/>
                <w:szCs w:val="21"/>
                <w:lang w:eastAsia="lt-LT"/>
              </w:rPr>
            </w:pPr>
          </w:p>
        </w:tc>
      </w:tr>
      <w:tr w:rsidR="00587B6B" w:rsidRPr="00640D24" w14:paraId="363B9CAE" w14:textId="2235A6F2" w:rsidTr="000C6FDC">
        <w:trPr>
          <w:trHeight w:val="20"/>
        </w:trPr>
        <w:tc>
          <w:tcPr>
            <w:tcW w:w="2405" w:type="dxa"/>
            <w:shd w:val="clear" w:color="auto" w:fill="auto"/>
            <w:vAlign w:val="center"/>
            <w:hideMark/>
          </w:tcPr>
          <w:p w14:paraId="401C0151" w14:textId="03704B83" w:rsidR="000C6FDC" w:rsidRPr="00640D24" w:rsidRDefault="000C6FDC" w:rsidP="00743F1B">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GG</w:t>
            </w:r>
          </w:p>
        </w:tc>
        <w:tc>
          <w:tcPr>
            <w:tcW w:w="7655" w:type="dxa"/>
            <w:gridSpan w:val="3"/>
            <w:shd w:val="clear" w:color="auto" w:fill="auto"/>
            <w:vAlign w:val="center"/>
            <w:hideMark/>
          </w:tcPr>
          <w:p w14:paraId="7D3E963E" w14:textId="77777777" w:rsidR="000C6FDC" w:rsidRPr="00640D24" w:rsidRDefault="000C6FDC" w:rsidP="00743F1B">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MVĮ</w:t>
            </w:r>
          </w:p>
          <w:p w14:paraId="7A11BAC5" w14:textId="1FD45E47" w:rsidR="000C6FDC" w:rsidRPr="00640D24" w:rsidRDefault="000C6FDC" w:rsidP="00743F1B">
            <w:pPr>
              <w:spacing w:after="0" w:line="240" w:lineRule="auto"/>
              <w:jc w:val="center"/>
              <w:rPr>
                <w:rFonts w:eastAsia="Times New Roman" w:cs="Times New Roman"/>
                <w:color w:val="000000"/>
                <w:sz w:val="21"/>
                <w:szCs w:val="21"/>
                <w:lang w:eastAsia="lt-LT"/>
              </w:rPr>
            </w:pPr>
          </w:p>
          <w:p w14:paraId="2DCE8915" w14:textId="31317B52" w:rsidR="000C6FDC" w:rsidRPr="00640D24" w:rsidRDefault="000C6FDC" w:rsidP="003D2058">
            <w:pPr>
              <w:spacing w:after="0" w:line="240" w:lineRule="auto"/>
              <w:jc w:val="center"/>
              <w:rPr>
                <w:rFonts w:eastAsia="Times New Roman" w:cs="Times New Roman"/>
                <w:color w:val="000000"/>
                <w:sz w:val="21"/>
                <w:szCs w:val="21"/>
                <w:lang w:eastAsia="lt-LT"/>
              </w:rPr>
            </w:pPr>
          </w:p>
        </w:tc>
        <w:tc>
          <w:tcPr>
            <w:tcW w:w="2409" w:type="dxa"/>
          </w:tcPr>
          <w:p w14:paraId="5DE489E2" w14:textId="1389DF74" w:rsidR="000C6FDC" w:rsidRPr="00640D24" w:rsidRDefault="000C6FDC" w:rsidP="00464C52">
            <w:pPr>
              <w:spacing w:after="0" w:line="240" w:lineRule="auto"/>
              <w:rPr>
                <w:rFonts w:eastAsia="Times New Roman" w:cs="Times New Roman"/>
                <w:color w:val="000000"/>
                <w:sz w:val="21"/>
                <w:szCs w:val="21"/>
                <w:lang w:eastAsia="lt-LT"/>
              </w:rPr>
            </w:pPr>
            <w:r w:rsidRPr="00640D24">
              <w:rPr>
                <w:rFonts w:eastAsia="Times New Roman" w:cs="Times New Roman"/>
                <w:color w:val="000000"/>
                <w:sz w:val="21"/>
                <w:szCs w:val="21"/>
                <w:lang w:eastAsia="lt-LT"/>
              </w:rPr>
              <w:t xml:space="preserve">MVĮ, jeigu netaikomas </w:t>
            </w:r>
            <w:r w:rsidRPr="00640D24">
              <w:rPr>
                <w:rFonts w:cs="Times New Roman"/>
                <w:sz w:val="21"/>
                <w:szCs w:val="21"/>
              </w:rPr>
              <w:t xml:space="preserve">bendrosios išimties reglamentas – MVĮ, </w:t>
            </w:r>
            <w:r w:rsidRPr="00640D24">
              <w:rPr>
                <w:rFonts w:eastAsia="Times New Roman" w:cs="Times New Roman"/>
                <w:color w:val="000000"/>
                <w:sz w:val="21"/>
                <w:szCs w:val="21"/>
                <w:lang w:eastAsia="lt-LT"/>
              </w:rPr>
              <w:t>mažos vidutinės kapitalizacijos įmonės*</w:t>
            </w:r>
          </w:p>
        </w:tc>
        <w:tc>
          <w:tcPr>
            <w:tcW w:w="2410" w:type="dxa"/>
          </w:tcPr>
          <w:p w14:paraId="6B03FB7D" w14:textId="77777777" w:rsidR="000C6FDC" w:rsidRPr="00640D24" w:rsidRDefault="000C6FDC" w:rsidP="009547DB">
            <w:pPr>
              <w:spacing w:after="0" w:line="240" w:lineRule="auto"/>
              <w:jc w:val="center"/>
              <w:rPr>
                <w:rFonts w:eastAsia="Times New Roman" w:cs="Times New Roman"/>
                <w:color w:val="000000" w:themeColor="text1"/>
                <w:sz w:val="21"/>
                <w:szCs w:val="21"/>
                <w:lang w:eastAsia="lt-LT"/>
              </w:rPr>
            </w:pPr>
            <w:r w:rsidRPr="00640D24">
              <w:rPr>
                <w:rFonts w:eastAsia="Times New Roman" w:cs="Times New Roman"/>
                <w:color w:val="000000" w:themeColor="text1"/>
                <w:sz w:val="21"/>
                <w:szCs w:val="21"/>
                <w:lang w:eastAsia="lt-LT"/>
              </w:rPr>
              <w:t>MVĮ</w:t>
            </w:r>
          </w:p>
          <w:p w14:paraId="0D95BE8A" w14:textId="77777777" w:rsidR="000C6FDC" w:rsidRPr="00640D24" w:rsidRDefault="000C6FDC" w:rsidP="641B94F2">
            <w:pPr>
              <w:spacing w:after="0" w:line="240" w:lineRule="auto"/>
              <w:jc w:val="center"/>
              <w:rPr>
                <w:rFonts w:eastAsia="Times New Roman" w:cs="Times New Roman"/>
                <w:color w:val="000000" w:themeColor="text1"/>
                <w:sz w:val="21"/>
                <w:szCs w:val="21"/>
                <w:lang w:eastAsia="lt-LT"/>
              </w:rPr>
            </w:pPr>
          </w:p>
        </w:tc>
      </w:tr>
      <w:tr w:rsidR="000C6FDC" w:rsidRPr="00640D24" w14:paraId="12B25C2E" w14:textId="6DBE23C1" w:rsidTr="000C6FDC">
        <w:trPr>
          <w:trHeight w:val="20"/>
        </w:trPr>
        <w:tc>
          <w:tcPr>
            <w:tcW w:w="2405" w:type="dxa"/>
            <w:shd w:val="clear" w:color="auto" w:fill="auto"/>
            <w:vAlign w:val="center"/>
            <w:hideMark/>
          </w:tcPr>
          <w:p w14:paraId="27F68293" w14:textId="77777777" w:rsidR="000C6FDC" w:rsidRPr="00640D24" w:rsidRDefault="000C6FDC" w:rsidP="00743F1B">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Valstybės pagalba</w:t>
            </w:r>
          </w:p>
        </w:tc>
        <w:tc>
          <w:tcPr>
            <w:tcW w:w="2168" w:type="dxa"/>
            <w:shd w:val="clear" w:color="auto" w:fill="auto"/>
            <w:vAlign w:val="center"/>
            <w:hideMark/>
          </w:tcPr>
          <w:p w14:paraId="36FC0031" w14:textId="77777777" w:rsidR="000C6FDC" w:rsidRPr="00640D24" w:rsidRDefault="000C6FDC" w:rsidP="00743F1B">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Yra (pagal bendrosios išimties reglamentą ir (arba) notifikuotą valstybės pagalbos schemą)</w:t>
            </w:r>
          </w:p>
        </w:tc>
        <w:tc>
          <w:tcPr>
            <w:tcW w:w="3260" w:type="dxa"/>
            <w:shd w:val="clear" w:color="auto" w:fill="auto"/>
            <w:vAlign w:val="center"/>
            <w:hideMark/>
          </w:tcPr>
          <w:p w14:paraId="7CA039E1" w14:textId="77777777" w:rsidR="000C6FDC" w:rsidRPr="00640D24" w:rsidRDefault="000C6FDC" w:rsidP="00743F1B">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Yra (pagal bendrosios išimties reglamentą ir (arba) notifikuotą valstybės pagalbos schemą)</w:t>
            </w:r>
          </w:p>
        </w:tc>
        <w:tc>
          <w:tcPr>
            <w:tcW w:w="2227" w:type="dxa"/>
            <w:shd w:val="clear" w:color="auto" w:fill="auto"/>
            <w:vAlign w:val="center"/>
            <w:hideMark/>
          </w:tcPr>
          <w:p w14:paraId="29D96407" w14:textId="77777777" w:rsidR="000C6FDC" w:rsidRPr="00640D24" w:rsidRDefault="000C6FDC" w:rsidP="00743F1B">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 xml:space="preserve">Yra (pagal bendrosios išimties reglamentą arba </w:t>
            </w:r>
            <w:proofErr w:type="spellStart"/>
            <w:r w:rsidRPr="00640D24">
              <w:rPr>
                <w:rFonts w:eastAsia="Times New Roman" w:cs="Times New Roman"/>
                <w:i/>
                <w:iCs/>
                <w:color w:val="000000"/>
                <w:sz w:val="21"/>
                <w:szCs w:val="21"/>
                <w:lang w:eastAsia="lt-LT"/>
              </w:rPr>
              <w:t>de</w:t>
            </w:r>
            <w:proofErr w:type="spellEnd"/>
            <w:r w:rsidRPr="00640D24">
              <w:rPr>
                <w:rFonts w:eastAsia="Times New Roman" w:cs="Times New Roman"/>
                <w:i/>
                <w:iCs/>
                <w:color w:val="000000"/>
                <w:sz w:val="21"/>
                <w:szCs w:val="21"/>
                <w:lang w:eastAsia="lt-LT"/>
              </w:rPr>
              <w:t xml:space="preserve"> </w:t>
            </w:r>
            <w:proofErr w:type="spellStart"/>
            <w:r w:rsidRPr="00640D24">
              <w:rPr>
                <w:rFonts w:eastAsia="Times New Roman" w:cs="Times New Roman"/>
                <w:i/>
                <w:iCs/>
                <w:color w:val="000000"/>
                <w:sz w:val="21"/>
                <w:szCs w:val="21"/>
                <w:lang w:eastAsia="lt-LT"/>
              </w:rPr>
              <w:t>minimis</w:t>
            </w:r>
            <w:proofErr w:type="spellEnd"/>
            <w:r w:rsidRPr="00640D24">
              <w:rPr>
                <w:rFonts w:eastAsia="Times New Roman" w:cs="Times New Roman"/>
                <w:color w:val="000000"/>
                <w:sz w:val="21"/>
                <w:szCs w:val="21"/>
                <w:lang w:eastAsia="lt-LT"/>
              </w:rPr>
              <w:t xml:space="preserve"> reglamentą)</w:t>
            </w:r>
          </w:p>
        </w:tc>
        <w:tc>
          <w:tcPr>
            <w:tcW w:w="2409" w:type="dxa"/>
          </w:tcPr>
          <w:p w14:paraId="15A55BAC" w14:textId="30707AC4" w:rsidR="000C6FDC" w:rsidRPr="00640D24" w:rsidRDefault="000C6FDC" w:rsidP="00743F1B">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Gali būti valstybės pagalba (pagal bendrosios išimties reglamentą ir (arba) notifikuotą valstybės pagalbos schemą)</w:t>
            </w:r>
          </w:p>
        </w:tc>
        <w:tc>
          <w:tcPr>
            <w:tcW w:w="2410" w:type="dxa"/>
          </w:tcPr>
          <w:p w14:paraId="5ECB4751" w14:textId="22CE733C" w:rsidR="000C6FDC" w:rsidRPr="00640D24" w:rsidRDefault="000C6FDC" w:rsidP="641B94F2">
            <w:pPr>
              <w:spacing w:after="0" w:line="240" w:lineRule="auto"/>
              <w:jc w:val="center"/>
              <w:rPr>
                <w:rFonts w:eastAsia="Times New Roman" w:cs="Times New Roman"/>
                <w:color w:val="000000" w:themeColor="text1"/>
                <w:sz w:val="21"/>
                <w:szCs w:val="21"/>
                <w:lang w:eastAsia="lt-LT"/>
              </w:rPr>
            </w:pPr>
            <w:r w:rsidRPr="00640D24">
              <w:rPr>
                <w:rFonts w:eastAsia="Times New Roman" w:cs="Times New Roman"/>
                <w:color w:val="000000" w:themeColor="text1"/>
                <w:sz w:val="21"/>
                <w:szCs w:val="21"/>
                <w:lang w:eastAsia="lt-LT"/>
              </w:rPr>
              <w:t>Yra (pagal bendrosios išimties reglamentą ir (arba) notifikuotą valstybės pagalbos schemą)</w:t>
            </w:r>
          </w:p>
          <w:p w14:paraId="4F8E33B7" w14:textId="0C911410" w:rsidR="000C6FDC" w:rsidRPr="00640D24" w:rsidRDefault="000C6FDC" w:rsidP="00743F1B">
            <w:pPr>
              <w:spacing w:after="0" w:line="240" w:lineRule="auto"/>
              <w:jc w:val="center"/>
              <w:rPr>
                <w:rFonts w:eastAsia="Times New Roman" w:cs="Times New Roman"/>
                <w:color w:val="000000"/>
                <w:sz w:val="21"/>
                <w:szCs w:val="21"/>
                <w:lang w:eastAsia="lt-LT"/>
              </w:rPr>
            </w:pPr>
          </w:p>
        </w:tc>
      </w:tr>
      <w:tr w:rsidR="000C6FDC" w:rsidRPr="00640D24" w14:paraId="21881D1C" w14:textId="65DE331F" w:rsidTr="000C6FDC">
        <w:trPr>
          <w:trHeight w:val="20"/>
        </w:trPr>
        <w:tc>
          <w:tcPr>
            <w:tcW w:w="2405" w:type="dxa"/>
            <w:shd w:val="clear" w:color="auto" w:fill="auto"/>
            <w:vAlign w:val="center"/>
            <w:hideMark/>
          </w:tcPr>
          <w:p w14:paraId="5F87199D" w14:textId="0049831B" w:rsidR="000C6FDC" w:rsidRPr="00640D24" w:rsidRDefault="000C6FDC" w:rsidP="00EC688C">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lastRenderedPageBreak/>
              <w:t>Orientacinis maksimalus fondo investicijų į vieną GG dydis</w:t>
            </w:r>
          </w:p>
        </w:tc>
        <w:tc>
          <w:tcPr>
            <w:tcW w:w="2168" w:type="dxa"/>
            <w:shd w:val="clear" w:color="auto" w:fill="auto"/>
            <w:vAlign w:val="center"/>
            <w:hideMark/>
          </w:tcPr>
          <w:p w14:paraId="5CEE921F" w14:textId="77777777" w:rsidR="000C6FDC" w:rsidRPr="00640D24" w:rsidRDefault="000C6FDC" w:rsidP="00743F1B">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Iki 10 proc. fondo vertės</w:t>
            </w:r>
          </w:p>
        </w:tc>
        <w:tc>
          <w:tcPr>
            <w:tcW w:w="3260" w:type="dxa"/>
            <w:shd w:val="clear" w:color="auto" w:fill="auto"/>
            <w:vAlign w:val="center"/>
            <w:hideMark/>
          </w:tcPr>
          <w:p w14:paraId="4768934A" w14:textId="77777777" w:rsidR="000C6FDC" w:rsidRPr="00640D24" w:rsidRDefault="000C6FDC" w:rsidP="00743F1B">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Iki 15 proc. fondo vertės</w:t>
            </w:r>
          </w:p>
        </w:tc>
        <w:tc>
          <w:tcPr>
            <w:tcW w:w="2227" w:type="dxa"/>
            <w:shd w:val="clear" w:color="auto" w:fill="auto"/>
            <w:vAlign w:val="center"/>
            <w:hideMark/>
          </w:tcPr>
          <w:p w14:paraId="4047CBC6" w14:textId="3FC54540" w:rsidR="000C6FDC" w:rsidRPr="00640D24" w:rsidRDefault="000C6FDC" w:rsidP="001670DC">
            <w:pPr>
              <w:spacing w:after="0" w:line="240" w:lineRule="auto"/>
              <w:jc w:val="center"/>
              <w:rPr>
                <w:rFonts w:eastAsia="Times New Roman" w:cs="Times New Roman"/>
                <w:sz w:val="21"/>
                <w:szCs w:val="21"/>
                <w:lang w:eastAsia="lt-LT"/>
              </w:rPr>
            </w:pPr>
            <w:r w:rsidRPr="00640D24">
              <w:rPr>
                <w:rFonts w:cs="Times New Roman"/>
                <w:sz w:val="21"/>
                <w:szCs w:val="21"/>
              </w:rPr>
              <w:t xml:space="preserve">Iki 2 mln. </w:t>
            </w:r>
            <w:proofErr w:type="spellStart"/>
            <w:r w:rsidRPr="00640D24">
              <w:rPr>
                <w:rFonts w:cs="Times New Roman"/>
                <w:sz w:val="21"/>
                <w:szCs w:val="21"/>
              </w:rPr>
              <w:t>Eur</w:t>
            </w:r>
            <w:proofErr w:type="spellEnd"/>
          </w:p>
          <w:p w14:paraId="11E76A88" w14:textId="4045F300" w:rsidR="000C6FDC" w:rsidRPr="00640D24" w:rsidRDefault="000C6FDC" w:rsidP="00743F1B">
            <w:pPr>
              <w:spacing w:after="0" w:line="240" w:lineRule="auto"/>
              <w:jc w:val="center"/>
              <w:rPr>
                <w:rFonts w:eastAsia="Times New Roman" w:cs="Times New Roman"/>
                <w:sz w:val="21"/>
                <w:szCs w:val="21"/>
                <w:lang w:eastAsia="lt-LT"/>
              </w:rPr>
            </w:pPr>
          </w:p>
        </w:tc>
        <w:tc>
          <w:tcPr>
            <w:tcW w:w="2409" w:type="dxa"/>
            <w:shd w:val="clear" w:color="auto" w:fill="auto"/>
            <w:vAlign w:val="center"/>
          </w:tcPr>
          <w:p w14:paraId="24DD65C9" w14:textId="3F6829CA" w:rsidR="000C6FDC" w:rsidRPr="00640D24" w:rsidRDefault="000C6FDC" w:rsidP="00BA6A1C">
            <w:pPr>
              <w:spacing w:after="0" w:line="240" w:lineRule="auto"/>
              <w:jc w:val="center"/>
              <w:rPr>
                <w:rFonts w:cs="Times New Roman"/>
                <w:sz w:val="21"/>
                <w:szCs w:val="21"/>
              </w:rPr>
            </w:pPr>
            <w:r w:rsidRPr="00640D24">
              <w:rPr>
                <w:rFonts w:cs="Times New Roman"/>
                <w:sz w:val="21"/>
                <w:szCs w:val="21"/>
              </w:rPr>
              <w:t>Iki 20 proc. fondo vertės</w:t>
            </w:r>
          </w:p>
        </w:tc>
        <w:tc>
          <w:tcPr>
            <w:tcW w:w="2410" w:type="dxa"/>
          </w:tcPr>
          <w:p w14:paraId="36448A03" w14:textId="63EFC1C2" w:rsidR="000C6FDC" w:rsidRPr="00640D24" w:rsidRDefault="000C6FDC" w:rsidP="641B94F2">
            <w:pPr>
              <w:spacing w:after="0" w:line="240" w:lineRule="auto"/>
              <w:jc w:val="center"/>
              <w:rPr>
                <w:rFonts w:eastAsia="Times New Roman" w:cs="Times New Roman"/>
                <w:color w:val="000000" w:themeColor="text1"/>
                <w:sz w:val="21"/>
                <w:szCs w:val="21"/>
                <w:lang w:eastAsia="lt-LT"/>
              </w:rPr>
            </w:pPr>
          </w:p>
          <w:p w14:paraId="08466B8D" w14:textId="70AEE010" w:rsidR="000C6FDC" w:rsidRPr="00640D24" w:rsidRDefault="000C6FDC" w:rsidP="641B94F2">
            <w:pPr>
              <w:spacing w:after="0" w:line="240" w:lineRule="auto"/>
              <w:jc w:val="center"/>
              <w:rPr>
                <w:rFonts w:eastAsia="Times New Roman" w:cs="Times New Roman"/>
                <w:color w:val="000000" w:themeColor="text1"/>
                <w:sz w:val="21"/>
                <w:szCs w:val="21"/>
                <w:lang w:eastAsia="lt-LT"/>
              </w:rPr>
            </w:pPr>
            <w:r w:rsidRPr="00640D24">
              <w:rPr>
                <w:rFonts w:eastAsia="Times New Roman" w:cs="Times New Roman"/>
                <w:color w:val="000000" w:themeColor="text1"/>
                <w:sz w:val="21"/>
                <w:szCs w:val="21"/>
                <w:lang w:eastAsia="lt-LT"/>
              </w:rPr>
              <w:t>Iki 20 proc. fondo vertės</w:t>
            </w:r>
          </w:p>
          <w:p w14:paraId="2CE4BEED" w14:textId="3C65A03D" w:rsidR="000C6FDC" w:rsidRPr="00640D24" w:rsidRDefault="000C6FDC" w:rsidP="00BA6A1C">
            <w:pPr>
              <w:spacing w:after="0" w:line="240" w:lineRule="auto"/>
              <w:jc w:val="center"/>
              <w:rPr>
                <w:rFonts w:cs="Times New Roman"/>
                <w:sz w:val="21"/>
                <w:szCs w:val="21"/>
              </w:rPr>
            </w:pPr>
          </w:p>
        </w:tc>
      </w:tr>
      <w:tr w:rsidR="000C6FDC" w:rsidRPr="00640D24" w14:paraId="563769A1" w14:textId="68AFD85B" w:rsidTr="000C6FDC">
        <w:trPr>
          <w:trHeight w:val="20"/>
        </w:trPr>
        <w:tc>
          <w:tcPr>
            <w:tcW w:w="2405" w:type="dxa"/>
            <w:shd w:val="clear" w:color="auto" w:fill="auto"/>
            <w:vAlign w:val="center"/>
            <w:hideMark/>
          </w:tcPr>
          <w:p w14:paraId="7DD18559" w14:textId="77777777" w:rsidR="000C6FDC" w:rsidRPr="00640D24" w:rsidRDefault="000C6FDC" w:rsidP="00743F1B">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Investavimas</w:t>
            </w:r>
          </w:p>
        </w:tc>
        <w:tc>
          <w:tcPr>
            <w:tcW w:w="2168" w:type="dxa"/>
            <w:shd w:val="clear" w:color="auto" w:fill="auto"/>
            <w:vAlign w:val="center"/>
            <w:hideMark/>
          </w:tcPr>
          <w:p w14:paraId="69F5A0CA" w14:textId="5E4783D6" w:rsidR="000C6FDC" w:rsidRPr="00640D24" w:rsidRDefault="000C6FDC" w:rsidP="00743F1B">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 xml:space="preserve">Investuojama į </w:t>
            </w:r>
            <w:r w:rsidRPr="00640D24">
              <w:rPr>
                <w:rFonts w:eastAsia="Times New Roman" w:cs="Times New Roman"/>
                <w:sz w:val="21"/>
                <w:szCs w:val="21"/>
                <w:lang w:eastAsia="lt-LT"/>
              </w:rPr>
              <w:t xml:space="preserve">MVĮ </w:t>
            </w:r>
            <w:r w:rsidRPr="00640D24">
              <w:rPr>
                <w:rFonts w:eastAsia="Times New Roman" w:cs="Times New Roman"/>
                <w:color w:val="000000"/>
                <w:sz w:val="21"/>
                <w:szCs w:val="21"/>
                <w:lang w:eastAsia="lt-LT"/>
              </w:rPr>
              <w:t xml:space="preserve">akcinį kapitalą arba į iš dalies akcinį kapitalą įmonių </w:t>
            </w:r>
            <w:proofErr w:type="spellStart"/>
            <w:r w:rsidRPr="00640D24">
              <w:rPr>
                <w:rFonts w:eastAsia="Times New Roman" w:cs="Times New Roman"/>
                <w:color w:val="000000"/>
                <w:sz w:val="21"/>
                <w:szCs w:val="21"/>
                <w:lang w:eastAsia="lt-LT"/>
              </w:rPr>
              <w:t>priešankstyvojoje</w:t>
            </w:r>
            <w:proofErr w:type="spellEnd"/>
            <w:r w:rsidRPr="00640D24">
              <w:rPr>
                <w:rFonts w:eastAsia="Times New Roman" w:cs="Times New Roman"/>
                <w:color w:val="000000"/>
                <w:sz w:val="21"/>
                <w:szCs w:val="21"/>
                <w:lang w:eastAsia="lt-LT"/>
              </w:rPr>
              <w:t xml:space="preserve"> ir ankstyvojoje stadijose</w:t>
            </w:r>
          </w:p>
        </w:tc>
        <w:tc>
          <w:tcPr>
            <w:tcW w:w="3260" w:type="dxa"/>
            <w:shd w:val="clear" w:color="auto" w:fill="auto"/>
            <w:vAlign w:val="center"/>
            <w:hideMark/>
          </w:tcPr>
          <w:p w14:paraId="0F265029" w14:textId="77777777" w:rsidR="000C6FDC" w:rsidRPr="00640D24" w:rsidRDefault="000C6FDC" w:rsidP="00743F1B">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Į MVĮ akcinį kapitalą arba į iš dalies akcinį kapitalą įmonių pradinio augimo (pradinio, ankstyvo augimo) ir plėtros stadijose</w:t>
            </w:r>
          </w:p>
        </w:tc>
        <w:tc>
          <w:tcPr>
            <w:tcW w:w="2227" w:type="dxa"/>
            <w:shd w:val="clear" w:color="auto" w:fill="auto"/>
            <w:vAlign w:val="center"/>
            <w:hideMark/>
          </w:tcPr>
          <w:p w14:paraId="4BDDE227" w14:textId="77777777" w:rsidR="000C6FDC" w:rsidRPr="00640D24" w:rsidRDefault="000C6FDC" w:rsidP="00743F1B">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Į MVĮ akcinį kapitalą arba į iš dalies akcinį kapitalą įmonių pradinio augimo (pradinio, ankstyvo augimo ir plėtros) stadijose</w:t>
            </w:r>
          </w:p>
        </w:tc>
        <w:tc>
          <w:tcPr>
            <w:tcW w:w="2409" w:type="dxa"/>
          </w:tcPr>
          <w:p w14:paraId="1698614B" w14:textId="0AC51CB0" w:rsidR="000C6FDC" w:rsidRPr="00640D24" w:rsidRDefault="000C6FDC" w:rsidP="00743F1B">
            <w:pPr>
              <w:spacing w:after="0" w:line="240" w:lineRule="auto"/>
              <w:jc w:val="center"/>
              <w:rPr>
                <w:rFonts w:cs="Times New Roman"/>
                <w:sz w:val="21"/>
                <w:szCs w:val="21"/>
              </w:rPr>
            </w:pPr>
            <w:r w:rsidRPr="00640D24">
              <w:rPr>
                <w:rFonts w:cs="Times New Roman"/>
                <w:sz w:val="21"/>
                <w:szCs w:val="21"/>
              </w:rPr>
              <w:t>Į įmonės akcinį kapitalą arba į iš dalies akcinį kapitalą įmonių pradinio augimo (pradinio, ankstyvo augimo ir plėtros) stadijose</w:t>
            </w:r>
          </w:p>
        </w:tc>
        <w:tc>
          <w:tcPr>
            <w:tcW w:w="2410" w:type="dxa"/>
          </w:tcPr>
          <w:p w14:paraId="262B4ECB" w14:textId="4FFC903A" w:rsidR="000C6FDC" w:rsidRPr="00640D24" w:rsidRDefault="000C6FDC" w:rsidP="00743F1B">
            <w:pPr>
              <w:spacing w:after="0" w:line="240" w:lineRule="auto"/>
              <w:jc w:val="center"/>
              <w:rPr>
                <w:rFonts w:cs="Times New Roman"/>
                <w:sz w:val="21"/>
                <w:szCs w:val="21"/>
              </w:rPr>
            </w:pPr>
            <w:r w:rsidRPr="00640D24">
              <w:rPr>
                <w:rFonts w:cs="Times New Roman"/>
                <w:sz w:val="21"/>
                <w:szCs w:val="21"/>
              </w:rPr>
              <w:t>Į įmonės akcinį kapitalą arba į iš dalies akcinį kapitalą įmonių pradinio augimo (pradinio, ankstyvo augimo ir plėtros) stadijose</w:t>
            </w:r>
          </w:p>
        </w:tc>
      </w:tr>
      <w:tr w:rsidR="000C6FDC" w:rsidRPr="00640D24" w14:paraId="15F8F604" w14:textId="7A2B12EE" w:rsidTr="000C6FDC">
        <w:trPr>
          <w:trHeight w:val="20"/>
        </w:trPr>
        <w:tc>
          <w:tcPr>
            <w:tcW w:w="2405" w:type="dxa"/>
            <w:shd w:val="clear" w:color="auto" w:fill="auto"/>
            <w:vAlign w:val="center"/>
          </w:tcPr>
          <w:p w14:paraId="44928EF3" w14:textId="1F376592" w:rsidR="000C6FDC" w:rsidRPr="00640D24" w:rsidRDefault="000C6FDC" w:rsidP="00743F1B">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GG veiklos sektoriai</w:t>
            </w:r>
          </w:p>
        </w:tc>
        <w:tc>
          <w:tcPr>
            <w:tcW w:w="2168" w:type="dxa"/>
            <w:shd w:val="clear" w:color="auto" w:fill="auto"/>
            <w:vAlign w:val="center"/>
          </w:tcPr>
          <w:p w14:paraId="4582E79A" w14:textId="3D92CEC2" w:rsidR="000C6FDC" w:rsidRPr="00640D24" w:rsidRDefault="000C6FDC" w:rsidP="00743F1B">
            <w:pPr>
              <w:spacing w:after="0" w:line="240" w:lineRule="auto"/>
              <w:jc w:val="center"/>
              <w:rPr>
                <w:rFonts w:eastAsia="Times New Roman" w:cs="Times New Roman"/>
                <w:color w:val="000000"/>
                <w:sz w:val="21"/>
                <w:szCs w:val="21"/>
                <w:lang w:eastAsia="lt-LT"/>
              </w:rPr>
            </w:pPr>
            <w:r w:rsidRPr="00640D24">
              <w:rPr>
                <w:rFonts w:cs="Times New Roman"/>
                <w:sz w:val="21"/>
                <w:szCs w:val="21"/>
              </w:rPr>
              <w:t>Ribojama pagal valstybės pagalbos schemą ir atsižvelgiama į 2021–2027 m. veiksmų programos prioritetus</w:t>
            </w:r>
          </w:p>
        </w:tc>
        <w:tc>
          <w:tcPr>
            <w:tcW w:w="3260" w:type="dxa"/>
            <w:shd w:val="clear" w:color="auto" w:fill="auto"/>
            <w:vAlign w:val="center"/>
          </w:tcPr>
          <w:p w14:paraId="49FBEB4B" w14:textId="136CE35A" w:rsidR="000C6FDC" w:rsidRPr="00640D24" w:rsidRDefault="000C6FDC" w:rsidP="00743F1B">
            <w:pPr>
              <w:spacing w:after="0" w:line="240" w:lineRule="auto"/>
              <w:jc w:val="center"/>
              <w:rPr>
                <w:rFonts w:eastAsia="Times New Roman" w:cs="Times New Roman"/>
                <w:color w:val="000000"/>
                <w:sz w:val="21"/>
                <w:szCs w:val="21"/>
                <w:lang w:eastAsia="lt-LT"/>
              </w:rPr>
            </w:pPr>
            <w:r w:rsidRPr="00640D24">
              <w:rPr>
                <w:rFonts w:cs="Times New Roman"/>
                <w:sz w:val="21"/>
                <w:szCs w:val="21"/>
              </w:rPr>
              <w:t>Ribojama pagal valstybės pagalbos schemą ir atsižvelgiama į 2021–2027 m. veiksmų programos prioritetus</w:t>
            </w:r>
          </w:p>
        </w:tc>
        <w:tc>
          <w:tcPr>
            <w:tcW w:w="2227" w:type="dxa"/>
            <w:shd w:val="clear" w:color="auto" w:fill="auto"/>
            <w:vAlign w:val="center"/>
          </w:tcPr>
          <w:p w14:paraId="607E68BF" w14:textId="3C47A99E" w:rsidR="000C6FDC" w:rsidRPr="00640D24" w:rsidRDefault="000C6FDC" w:rsidP="00743F1B">
            <w:pPr>
              <w:spacing w:after="0" w:line="240" w:lineRule="auto"/>
              <w:jc w:val="center"/>
              <w:rPr>
                <w:rFonts w:eastAsia="Times New Roman" w:cs="Times New Roman"/>
                <w:color w:val="000000"/>
                <w:sz w:val="21"/>
                <w:szCs w:val="21"/>
                <w:lang w:eastAsia="lt-LT"/>
              </w:rPr>
            </w:pPr>
            <w:r w:rsidRPr="00640D24">
              <w:rPr>
                <w:rFonts w:cs="Times New Roman"/>
                <w:sz w:val="21"/>
                <w:szCs w:val="21"/>
              </w:rPr>
              <w:t>Ribojama pagal valstybės pagalbos schemą ir atsižvelgiama į 2021–2027 m. veiksmų programos prioritetus</w:t>
            </w:r>
          </w:p>
        </w:tc>
        <w:tc>
          <w:tcPr>
            <w:tcW w:w="2409" w:type="dxa"/>
          </w:tcPr>
          <w:p w14:paraId="1D4B9D6A" w14:textId="42248574" w:rsidR="000C6FDC" w:rsidRPr="00640D24" w:rsidRDefault="000C6FDC" w:rsidP="00743F1B">
            <w:pPr>
              <w:spacing w:after="0" w:line="240" w:lineRule="auto"/>
              <w:jc w:val="center"/>
              <w:rPr>
                <w:rFonts w:cs="Times New Roman"/>
                <w:sz w:val="21"/>
                <w:szCs w:val="21"/>
              </w:rPr>
            </w:pPr>
            <w:r w:rsidRPr="00640D24">
              <w:rPr>
                <w:rFonts w:cs="Times New Roman"/>
                <w:sz w:val="21"/>
                <w:szCs w:val="21"/>
              </w:rPr>
              <w:t>Ribojama pagal valstybės pagalbos schemą (jei taikoma)</w:t>
            </w:r>
          </w:p>
        </w:tc>
        <w:tc>
          <w:tcPr>
            <w:tcW w:w="2410" w:type="dxa"/>
          </w:tcPr>
          <w:p w14:paraId="4CC1459F" w14:textId="1C2AA286" w:rsidR="000C6FDC" w:rsidRPr="00640D24" w:rsidRDefault="000C6FDC" w:rsidP="641B94F2">
            <w:pPr>
              <w:spacing w:after="0" w:line="240" w:lineRule="auto"/>
              <w:jc w:val="center"/>
              <w:rPr>
                <w:rFonts w:cs="Times New Roman"/>
                <w:sz w:val="21"/>
                <w:szCs w:val="21"/>
              </w:rPr>
            </w:pPr>
            <w:r w:rsidRPr="00640D24">
              <w:rPr>
                <w:rFonts w:cs="Times New Roman"/>
                <w:sz w:val="21"/>
                <w:szCs w:val="21"/>
              </w:rPr>
              <w:t xml:space="preserve">Ribojama pagal valstybės pagalbos schemą </w:t>
            </w:r>
          </w:p>
        </w:tc>
      </w:tr>
      <w:tr w:rsidR="000C6FDC" w:rsidRPr="00640D24" w14:paraId="20B056A4" w14:textId="3FCD10D6" w:rsidTr="000C6FDC">
        <w:trPr>
          <w:trHeight w:val="20"/>
        </w:trPr>
        <w:tc>
          <w:tcPr>
            <w:tcW w:w="2405" w:type="dxa"/>
            <w:shd w:val="clear" w:color="auto" w:fill="auto"/>
            <w:vAlign w:val="center"/>
          </w:tcPr>
          <w:p w14:paraId="39849DCC" w14:textId="77777777" w:rsidR="000C6FDC" w:rsidRPr="00640D24" w:rsidRDefault="000C6FDC" w:rsidP="00743F1B">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 xml:space="preserve">Apytikslė minimali fondo metinė grynoji grąža (angl. </w:t>
            </w:r>
            <w:r w:rsidRPr="00640D24">
              <w:rPr>
                <w:rFonts w:eastAsia="Times New Roman" w:cs="Times New Roman"/>
                <w:b/>
                <w:bCs/>
                <w:i/>
                <w:iCs/>
                <w:color w:val="000000"/>
                <w:sz w:val="21"/>
                <w:szCs w:val="21"/>
                <w:lang w:val="en-US" w:eastAsia="lt-LT"/>
              </w:rPr>
              <w:t>Hurdle Rate</w:t>
            </w:r>
            <w:r w:rsidRPr="00640D24">
              <w:rPr>
                <w:rFonts w:eastAsia="Times New Roman" w:cs="Times New Roman"/>
                <w:b/>
                <w:bCs/>
                <w:color w:val="000000"/>
                <w:sz w:val="21"/>
                <w:szCs w:val="21"/>
                <w:lang w:eastAsia="lt-LT"/>
              </w:rPr>
              <w:t>)</w:t>
            </w:r>
          </w:p>
        </w:tc>
        <w:tc>
          <w:tcPr>
            <w:tcW w:w="12474" w:type="dxa"/>
            <w:gridSpan w:val="5"/>
          </w:tcPr>
          <w:p w14:paraId="4304C301" w14:textId="653B6EE0" w:rsidR="000C6FDC" w:rsidRPr="00640D24" w:rsidRDefault="000C6FDC" w:rsidP="00743F1B">
            <w:pPr>
              <w:spacing w:after="0" w:line="240" w:lineRule="auto"/>
              <w:jc w:val="center"/>
              <w:rPr>
                <w:color w:val="000000" w:themeColor="text1"/>
                <w:sz w:val="21"/>
                <w:szCs w:val="21"/>
              </w:rPr>
            </w:pPr>
            <w:r w:rsidRPr="00640D24">
              <w:rPr>
                <w:color w:val="000000"/>
                <w:sz w:val="21"/>
              </w:rPr>
              <w:t>Ne mažiau 6</w:t>
            </w:r>
            <w:r w:rsidRPr="00640D24">
              <w:rPr>
                <w:rFonts w:eastAsia="Times New Roman" w:cs="Times New Roman"/>
                <w:color w:val="000000"/>
                <w:sz w:val="21"/>
                <w:szCs w:val="21"/>
                <w:lang w:eastAsia="lt-LT"/>
              </w:rPr>
              <w:t xml:space="preserve"> proc.</w:t>
            </w:r>
          </w:p>
        </w:tc>
      </w:tr>
      <w:tr w:rsidR="000C6FDC" w:rsidRPr="00640D24" w14:paraId="433B53FD" w14:textId="15AA454A" w:rsidTr="000C6FDC">
        <w:trPr>
          <w:trHeight w:val="20"/>
        </w:trPr>
        <w:tc>
          <w:tcPr>
            <w:tcW w:w="2405" w:type="dxa"/>
            <w:shd w:val="clear" w:color="auto" w:fill="auto"/>
            <w:vAlign w:val="center"/>
          </w:tcPr>
          <w:p w14:paraId="3BA388DF" w14:textId="7D5E49EB" w:rsidR="000C6FDC" w:rsidRPr="00640D24" w:rsidRDefault="000C6FDC" w:rsidP="00743F1B">
            <w:pPr>
              <w:spacing w:after="0" w:line="240" w:lineRule="auto"/>
              <w:jc w:val="center"/>
              <w:rPr>
                <w:rFonts w:eastAsia="Times New Roman" w:cs="Times New Roman"/>
                <w:b/>
                <w:bCs/>
                <w:color w:val="000000"/>
                <w:sz w:val="21"/>
                <w:szCs w:val="21"/>
                <w:lang w:eastAsia="lt-LT"/>
              </w:rPr>
            </w:pPr>
            <w:bookmarkStart w:id="86" w:name="_Hlk73363056"/>
            <w:r w:rsidRPr="00640D24">
              <w:rPr>
                <w:rFonts w:eastAsia="Times New Roman" w:cs="Times New Roman"/>
                <w:b/>
                <w:bCs/>
                <w:color w:val="000000"/>
                <w:sz w:val="21"/>
                <w:szCs w:val="21"/>
                <w:lang w:eastAsia="lt-LT"/>
              </w:rPr>
              <w:t>Finansavimas pagal 2021–2027 m. veiksmų programos veiklas (reikalavimas taikomas tik ES SF finansuojamų veiklų daliai)</w:t>
            </w:r>
            <w:bookmarkEnd w:id="86"/>
          </w:p>
        </w:tc>
        <w:tc>
          <w:tcPr>
            <w:tcW w:w="2168" w:type="dxa"/>
            <w:shd w:val="clear" w:color="auto" w:fill="auto"/>
            <w:vAlign w:val="center"/>
          </w:tcPr>
          <w:p w14:paraId="5B8B53C3" w14:textId="38335BE0" w:rsidR="000C6FDC" w:rsidRPr="00640D24" w:rsidRDefault="000C6FDC" w:rsidP="00743F1B">
            <w:pPr>
              <w:spacing w:before="60" w:after="60" w:line="240" w:lineRule="auto"/>
              <w:jc w:val="center"/>
              <w:rPr>
                <w:rFonts w:cs="Times New Roman"/>
                <w:sz w:val="21"/>
                <w:szCs w:val="21"/>
              </w:rPr>
            </w:pPr>
            <w:proofErr w:type="spellStart"/>
            <w:r w:rsidRPr="00640D24">
              <w:rPr>
                <w:rFonts w:cs="Times New Roman"/>
                <w:sz w:val="21"/>
                <w:szCs w:val="21"/>
              </w:rPr>
              <w:t>Startuolių</w:t>
            </w:r>
            <w:proofErr w:type="spellEnd"/>
            <w:r w:rsidRPr="00640D24">
              <w:rPr>
                <w:rFonts w:cs="Times New Roman"/>
                <w:sz w:val="21"/>
                <w:szCs w:val="21"/>
              </w:rPr>
              <w:t xml:space="preserve"> vystymas, </w:t>
            </w:r>
            <w:proofErr w:type="spellStart"/>
            <w:r w:rsidRPr="00640D24">
              <w:rPr>
                <w:rFonts w:cs="Times New Roman"/>
                <w:sz w:val="21"/>
                <w:szCs w:val="21"/>
              </w:rPr>
              <w:t>akceleravimas</w:t>
            </w:r>
            <w:proofErr w:type="spellEnd"/>
            <w:r w:rsidRPr="00640D24">
              <w:rPr>
                <w:rFonts w:cs="Times New Roman"/>
                <w:sz w:val="21"/>
                <w:szCs w:val="21"/>
              </w:rPr>
              <w:t xml:space="preserve"> ir plėtra</w:t>
            </w:r>
            <w:r w:rsidRPr="00640D24">
              <w:rPr>
                <w:rStyle w:val="Puslapioinaosnuoroda"/>
                <w:rFonts w:cs="Times New Roman"/>
                <w:sz w:val="21"/>
                <w:szCs w:val="21"/>
              </w:rPr>
              <w:footnoteReference w:id="80"/>
            </w:r>
          </w:p>
          <w:p w14:paraId="0BC6A570" w14:textId="77777777" w:rsidR="000C6FDC" w:rsidRPr="00640D24" w:rsidRDefault="000C6FDC" w:rsidP="00743F1B">
            <w:pPr>
              <w:spacing w:after="0" w:line="240" w:lineRule="auto"/>
              <w:jc w:val="center"/>
              <w:rPr>
                <w:rFonts w:eastAsia="Times New Roman" w:cs="Times New Roman"/>
                <w:color w:val="000000"/>
                <w:sz w:val="21"/>
                <w:szCs w:val="21"/>
                <w:lang w:eastAsia="lt-LT"/>
              </w:rPr>
            </w:pPr>
          </w:p>
        </w:tc>
        <w:tc>
          <w:tcPr>
            <w:tcW w:w="3260" w:type="dxa"/>
            <w:shd w:val="clear" w:color="auto" w:fill="auto"/>
            <w:vAlign w:val="center"/>
          </w:tcPr>
          <w:p w14:paraId="655D4D5A" w14:textId="1D5BFFBF" w:rsidR="000C6FDC" w:rsidRPr="00640D24" w:rsidRDefault="000C6FDC" w:rsidP="00BF4C2D">
            <w:pPr>
              <w:spacing w:before="60" w:after="60" w:line="240" w:lineRule="auto"/>
              <w:jc w:val="center"/>
              <w:rPr>
                <w:rFonts w:cs="Times New Roman"/>
                <w:sz w:val="21"/>
                <w:szCs w:val="21"/>
              </w:rPr>
            </w:pPr>
            <w:proofErr w:type="spellStart"/>
            <w:r w:rsidRPr="00640D24">
              <w:rPr>
                <w:rFonts w:cs="Times New Roman"/>
                <w:sz w:val="21"/>
                <w:szCs w:val="21"/>
              </w:rPr>
              <w:t>Startuolių</w:t>
            </w:r>
            <w:proofErr w:type="spellEnd"/>
            <w:r w:rsidRPr="00640D24">
              <w:rPr>
                <w:rFonts w:cs="Times New Roman"/>
                <w:sz w:val="21"/>
                <w:szCs w:val="21"/>
              </w:rPr>
              <w:t xml:space="preserve"> vystymas, </w:t>
            </w:r>
            <w:proofErr w:type="spellStart"/>
            <w:r w:rsidRPr="00640D24">
              <w:rPr>
                <w:rFonts w:cs="Times New Roman"/>
                <w:sz w:val="21"/>
                <w:szCs w:val="21"/>
              </w:rPr>
              <w:t>akceleravimas</w:t>
            </w:r>
            <w:proofErr w:type="spellEnd"/>
            <w:r w:rsidRPr="00640D24">
              <w:rPr>
                <w:rFonts w:cs="Times New Roman"/>
                <w:sz w:val="21"/>
                <w:szCs w:val="21"/>
              </w:rPr>
              <w:t xml:space="preserve"> ir plėtra</w:t>
            </w:r>
            <w:r w:rsidRPr="00640D24">
              <w:rPr>
                <w:rStyle w:val="Puslapioinaosnuoroda"/>
                <w:rFonts w:cs="Times New Roman"/>
                <w:sz w:val="21"/>
                <w:szCs w:val="21"/>
              </w:rPr>
              <w:footnoteReference w:id="81"/>
            </w:r>
            <w:r w:rsidRPr="00640D24">
              <w:rPr>
                <w:rFonts w:cs="Times New Roman"/>
                <w:sz w:val="21"/>
                <w:szCs w:val="21"/>
              </w:rPr>
              <w:t>; Skatinti pradedančiųjų SVV subjektų kūrimąsi, augimą ir plėtrą</w:t>
            </w:r>
            <w:r w:rsidRPr="00640D24">
              <w:rPr>
                <w:rStyle w:val="Puslapioinaosnuoroda"/>
                <w:rFonts w:cs="Times New Roman"/>
                <w:sz w:val="21"/>
                <w:szCs w:val="21"/>
              </w:rPr>
              <w:footnoteReference w:id="82"/>
            </w:r>
          </w:p>
        </w:tc>
        <w:tc>
          <w:tcPr>
            <w:tcW w:w="2227" w:type="dxa"/>
            <w:shd w:val="clear" w:color="auto" w:fill="auto"/>
            <w:vAlign w:val="center"/>
          </w:tcPr>
          <w:p w14:paraId="55DA42DC" w14:textId="0F443C5C" w:rsidR="000C6FDC" w:rsidRPr="00640D24" w:rsidRDefault="000C6FDC" w:rsidP="00743F1B">
            <w:pPr>
              <w:spacing w:after="0" w:line="240" w:lineRule="auto"/>
              <w:jc w:val="center"/>
              <w:rPr>
                <w:rFonts w:eastAsia="Times New Roman" w:cs="Times New Roman"/>
                <w:color w:val="000000"/>
                <w:sz w:val="21"/>
                <w:szCs w:val="21"/>
                <w:lang w:eastAsia="lt-LT"/>
              </w:rPr>
            </w:pPr>
            <w:proofErr w:type="spellStart"/>
            <w:r w:rsidRPr="00640D24">
              <w:rPr>
                <w:rFonts w:cs="Times New Roman"/>
                <w:sz w:val="21"/>
                <w:szCs w:val="21"/>
              </w:rPr>
              <w:t>Startuolių</w:t>
            </w:r>
            <w:proofErr w:type="spellEnd"/>
            <w:r w:rsidRPr="00640D24">
              <w:rPr>
                <w:rFonts w:cs="Times New Roman"/>
                <w:sz w:val="21"/>
                <w:szCs w:val="21"/>
              </w:rPr>
              <w:t xml:space="preserve"> vystymas, </w:t>
            </w:r>
            <w:proofErr w:type="spellStart"/>
            <w:r w:rsidRPr="00640D24">
              <w:rPr>
                <w:rFonts w:cs="Times New Roman"/>
                <w:sz w:val="21"/>
                <w:szCs w:val="21"/>
              </w:rPr>
              <w:t>akceleravimas</w:t>
            </w:r>
            <w:proofErr w:type="spellEnd"/>
            <w:r w:rsidRPr="00640D24">
              <w:rPr>
                <w:rFonts w:cs="Times New Roman"/>
                <w:sz w:val="21"/>
                <w:szCs w:val="21"/>
              </w:rPr>
              <w:t xml:space="preserve"> ir plėtra</w:t>
            </w:r>
            <w:r w:rsidRPr="00640D24">
              <w:rPr>
                <w:rStyle w:val="Puslapioinaosnuoroda"/>
                <w:rFonts w:cs="Times New Roman"/>
                <w:sz w:val="21"/>
                <w:szCs w:val="21"/>
              </w:rPr>
              <w:footnoteReference w:id="83"/>
            </w:r>
          </w:p>
        </w:tc>
        <w:tc>
          <w:tcPr>
            <w:tcW w:w="2409" w:type="dxa"/>
          </w:tcPr>
          <w:p w14:paraId="2ABBF657" w14:textId="47CC60CD" w:rsidR="000C6FDC" w:rsidRPr="00640D24" w:rsidRDefault="000C6FDC" w:rsidP="00743F1B">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w:t>
            </w:r>
          </w:p>
        </w:tc>
        <w:tc>
          <w:tcPr>
            <w:tcW w:w="2410" w:type="dxa"/>
          </w:tcPr>
          <w:p w14:paraId="1BF092F7" w14:textId="4A546FA5" w:rsidR="000C6FDC" w:rsidRPr="00640D24" w:rsidRDefault="000C6FDC" w:rsidP="00743F1B">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w:t>
            </w:r>
          </w:p>
        </w:tc>
      </w:tr>
    </w:tbl>
    <w:p w14:paraId="6FA370A9" w14:textId="305A77FB" w:rsidR="0091675C" w:rsidRPr="00640D24" w:rsidRDefault="004A658D" w:rsidP="0042002F">
      <w:pPr>
        <w:spacing w:before="60" w:after="60" w:line="240" w:lineRule="auto"/>
        <w:rPr>
          <w:rFonts w:cs="Times New Roman"/>
          <w:sz w:val="16"/>
          <w:szCs w:val="16"/>
        </w:rPr>
        <w:sectPr w:rsidR="0091675C" w:rsidRPr="00640D24" w:rsidSect="00464C52">
          <w:pgSz w:w="16838" w:h="11906" w:orient="landscape"/>
          <w:pgMar w:top="1701" w:right="1387" w:bottom="567" w:left="1134" w:header="567" w:footer="567" w:gutter="0"/>
          <w:cols w:space="1296"/>
          <w:titlePg/>
          <w:docGrid w:linePitch="360"/>
        </w:sectPr>
      </w:pPr>
      <w:r w:rsidRPr="00640D24">
        <w:rPr>
          <w:rFonts w:cs="Times New Roman"/>
          <w:sz w:val="16"/>
          <w:szCs w:val="16"/>
        </w:rPr>
        <w:t>*</w:t>
      </w:r>
      <w:r w:rsidRPr="00640D24">
        <w:rPr>
          <w:rStyle w:val="cf01"/>
          <w:rFonts w:ascii="Times New Roman" w:hAnsi="Times New Roman" w:cs="Times New Roman"/>
          <w:sz w:val="16"/>
          <w:szCs w:val="16"/>
        </w:rPr>
        <w:t>Kaip apib</w:t>
      </w:r>
      <w:r w:rsidRPr="00640D24">
        <w:rPr>
          <w:rStyle w:val="cf11"/>
          <w:rFonts w:ascii="Times New Roman" w:hAnsi="Times New Roman" w:cs="Times New Roman"/>
          <w:sz w:val="16"/>
          <w:szCs w:val="16"/>
        </w:rPr>
        <w:t xml:space="preserve">rėžta </w:t>
      </w:r>
      <w:hyperlink r:id="rId20" w:anchor="ntr1-C_2021508EN.01000101-E0001" w:history="1">
        <w:r w:rsidRPr="00640D24">
          <w:rPr>
            <w:rStyle w:val="cf11"/>
            <w:rFonts w:ascii="Times New Roman" w:hAnsi="Times New Roman" w:cs="Times New Roman"/>
            <w:color w:val="0000FF"/>
            <w:sz w:val="16"/>
            <w:szCs w:val="16"/>
            <w:u w:val="single"/>
          </w:rPr>
          <w:t>https://eur</w:t>
        </w:r>
        <w:r w:rsidR="00645085" w:rsidRPr="00640D24">
          <w:rPr>
            <w:rStyle w:val="cf11"/>
            <w:rFonts w:ascii="Times New Roman" w:hAnsi="Times New Roman" w:cs="Times New Roman"/>
            <w:color w:val="0000FF"/>
            <w:sz w:val="16"/>
            <w:szCs w:val="16"/>
            <w:u w:val="single"/>
          </w:rPr>
          <w:t>–</w:t>
        </w:r>
        <w:r w:rsidRPr="00640D24">
          <w:rPr>
            <w:rStyle w:val="cf11"/>
            <w:rFonts w:ascii="Times New Roman" w:hAnsi="Times New Roman" w:cs="Times New Roman"/>
            <w:color w:val="0000FF"/>
            <w:sz w:val="16"/>
            <w:szCs w:val="16"/>
            <w:u w:val="single"/>
          </w:rPr>
          <w:t>lex.europa.eu/legal</w:t>
        </w:r>
        <w:r w:rsidR="00645085" w:rsidRPr="00640D24">
          <w:rPr>
            <w:rStyle w:val="cf11"/>
            <w:rFonts w:ascii="Times New Roman" w:hAnsi="Times New Roman" w:cs="Times New Roman"/>
            <w:color w:val="0000FF"/>
            <w:sz w:val="16"/>
            <w:szCs w:val="16"/>
            <w:u w:val="single"/>
          </w:rPr>
          <w:t>–</w:t>
        </w:r>
        <w:r w:rsidRPr="00640D24">
          <w:rPr>
            <w:rStyle w:val="cf11"/>
            <w:rFonts w:ascii="Times New Roman" w:hAnsi="Times New Roman" w:cs="Times New Roman"/>
            <w:color w:val="0000FF"/>
            <w:sz w:val="16"/>
            <w:szCs w:val="16"/>
            <w:u w:val="single"/>
          </w:rPr>
          <w:t>content/EN/TXT/?uri=uriserv%3AOJ.C_.2021.508.01.0001.01.ENG&amp;toc=OJ%3AC%3A2021%3A508%3ATOC#ntr1</w:t>
        </w:r>
        <w:r w:rsidR="00645085" w:rsidRPr="00640D24">
          <w:rPr>
            <w:rStyle w:val="cf11"/>
            <w:rFonts w:ascii="Times New Roman" w:hAnsi="Times New Roman" w:cs="Times New Roman"/>
            <w:color w:val="0000FF"/>
            <w:sz w:val="16"/>
            <w:szCs w:val="16"/>
            <w:u w:val="single"/>
          </w:rPr>
          <w:t>–</w:t>
        </w:r>
        <w:r w:rsidRPr="00640D24">
          <w:rPr>
            <w:rStyle w:val="cf11"/>
            <w:rFonts w:ascii="Times New Roman" w:hAnsi="Times New Roman" w:cs="Times New Roman"/>
            <w:color w:val="0000FF"/>
            <w:sz w:val="16"/>
            <w:szCs w:val="16"/>
            <w:u w:val="single"/>
          </w:rPr>
          <w:t>C_2021508EN.01000101</w:t>
        </w:r>
        <w:r w:rsidR="00645085" w:rsidRPr="00640D24">
          <w:rPr>
            <w:rStyle w:val="cf11"/>
            <w:rFonts w:ascii="Times New Roman" w:hAnsi="Times New Roman" w:cs="Times New Roman"/>
            <w:color w:val="0000FF"/>
            <w:sz w:val="16"/>
            <w:szCs w:val="16"/>
            <w:u w:val="single"/>
          </w:rPr>
          <w:t>–</w:t>
        </w:r>
        <w:r w:rsidRPr="00640D24">
          <w:rPr>
            <w:rStyle w:val="cf11"/>
            <w:rFonts w:ascii="Times New Roman" w:hAnsi="Times New Roman" w:cs="Times New Roman"/>
            <w:color w:val="0000FF"/>
            <w:sz w:val="16"/>
            <w:szCs w:val="16"/>
            <w:u w:val="single"/>
          </w:rPr>
          <w:t>E0001</w:t>
        </w:r>
      </w:hyperlink>
    </w:p>
    <w:p w14:paraId="0B837E9B" w14:textId="188F4268" w:rsidR="00BD75D7" w:rsidRPr="00640D24" w:rsidRDefault="006F349C" w:rsidP="001B2ECC">
      <w:pPr>
        <w:spacing w:before="60" w:after="60" w:line="240" w:lineRule="auto"/>
        <w:ind w:firstLine="567"/>
        <w:jc w:val="both"/>
        <w:rPr>
          <w:rFonts w:cs="Times New Roman"/>
          <w:sz w:val="22"/>
          <w:szCs w:val="22"/>
        </w:rPr>
      </w:pPr>
      <w:r w:rsidRPr="00640D24">
        <w:rPr>
          <w:rFonts w:cs="Times New Roman"/>
          <w:sz w:val="22"/>
          <w:szCs w:val="22"/>
        </w:rPr>
        <w:lastRenderedPageBreak/>
        <w:t xml:space="preserve">EK ir </w:t>
      </w:r>
      <w:r w:rsidR="00E702DD" w:rsidRPr="00640D24">
        <w:rPr>
          <w:rFonts w:cs="Times New Roman"/>
          <w:sz w:val="22"/>
          <w:szCs w:val="22"/>
        </w:rPr>
        <w:t xml:space="preserve">EBPO </w:t>
      </w:r>
      <w:r w:rsidRPr="00640D24">
        <w:rPr>
          <w:rFonts w:cs="Times New Roman"/>
          <w:sz w:val="22"/>
          <w:szCs w:val="22"/>
        </w:rPr>
        <w:t>atlikt</w:t>
      </w:r>
      <w:r w:rsidR="00BD75D7" w:rsidRPr="00640D24">
        <w:rPr>
          <w:rFonts w:cs="Times New Roman"/>
          <w:sz w:val="22"/>
          <w:szCs w:val="22"/>
        </w:rPr>
        <w:t>ame</w:t>
      </w:r>
      <w:r w:rsidRPr="00640D24">
        <w:rPr>
          <w:rFonts w:cs="Times New Roman"/>
          <w:sz w:val="22"/>
          <w:szCs w:val="22"/>
        </w:rPr>
        <w:t xml:space="preserve"> tyrim</w:t>
      </w:r>
      <w:r w:rsidR="00BD75D7" w:rsidRPr="00640D24">
        <w:rPr>
          <w:rFonts w:cs="Times New Roman"/>
          <w:sz w:val="22"/>
          <w:szCs w:val="22"/>
        </w:rPr>
        <w:t>e</w:t>
      </w:r>
      <w:r w:rsidR="00EA48E6" w:rsidRPr="00640D24">
        <w:rPr>
          <w:sz w:val="22"/>
          <w:szCs w:val="22"/>
          <w:vertAlign w:val="superscript"/>
        </w:rPr>
        <w:footnoteReference w:id="84"/>
      </w:r>
      <w:r w:rsidR="00EA48E6" w:rsidRPr="00640D24">
        <w:rPr>
          <w:rFonts w:cs="Times New Roman"/>
          <w:sz w:val="22"/>
          <w:szCs w:val="22"/>
        </w:rPr>
        <w:t xml:space="preserve"> </w:t>
      </w:r>
      <w:r w:rsidR="00BD75D7" w:rsidRPr="00640D24">
        <w:rPr>
          <w:rFonts w:cs="Times New Roman"/>
          <w:sz w:val="22"/>
          <w:szCs w:val="22"/>
        </w:rPr>
        <w:t>nustatyta</w:t>
      </w:r>
      <w:r w:rsidRPr="00640D24">
        <w:rPr>
          <w:rFonts w:cs="Times New Roman"/>
          <w:sz w:val="22"/>
          <w:szCs w:val="22"/>
        </w:rPr>
        <w:t xml:space="preserve">, kad verslo inkubatorių ir akceleratorių principas turėtų būti daugiausiai grindžiamas </w:t>
      </w:r>
      <w:proofErr w:type="spellStart"/>
      <w:r w:rsidRPr="00640D24">
        <w:rPr>
          <w:rFonts w:cs="Times New Roman"/>
          <w:sz w:val="22"/>
          <w:szCs w:val="22"/>
        </w:rPr>
        <w:t>mentorystės</w:t>
      </w:r>
      <w:proofErr w:type="spellEnd"/>
      <w:r w:rsidRPr="00640D24">
        <w:rPr>
          <w:rFonts w:cs="Times New Roman"/>
          <w:sz w:val="22"/>
          <w:szCs w:val="22"/>
        </w:rPr>
        <w:t xml:space="preserve"> ir bendradarbiavimo principu tarp valdžios institucijų, investuotojų ir </w:t>
      </w:r>
      <w:proofErr w:type="spellStart"/>
      <w:r w:rsidRPr="00640D24">
        <w:rPr>
          <w:rFonts w:cs="Times New Roman"/>
          <w:sz w:val="22"/>
          <w:szCs w:val="22"/>
        </w:rPr>
        <w:t>startuolių</w:t>
      </w:r>
      <w:proofErr w:type="spellEnd"/>
      <w:r w:rsidRPr="00640D24">
        <w:rPr>
          <w:rFonts w:cs="Times New Roman"/>
          <w:sz w:val="22"/>
          <w:szCs w:val="22"/>
        </w:rPr>
        <w:t xml:space="preserve">. </w:t>
      </w:r>
      <w:bookmarkStart w:id="87" w:name="_Hlk65231947"/>
      <w:r w:rsidR="008E5ED1" w:rsidRPr="00640D24">
        <w:rPr>
          <w:rFonts w:cs="Times New Roman"/>
          <w:sz w:val="22"/>
          <w:szCs w:val="22"/>
        </w:rPr>
        <w:t>Gerosios praktikos pavyzdžiu Lietuvoje yra laikoma FP „</w:t>
      </w:r>
      <w:proofErr w:type="spellStart"/>
      <w:r w:rsidR="008E5ED1" w:rsidRPr="00640D24">
        <w:rPr>
          <w:rFonts w:cs="Times New Roman"/>
          <w:sz w:val="22"/>
          <w:szCs w:val="22"/>
        </w:rPr>
        <w:t>Akceleravimo</w:t>
      </w:r>
      <w:proofErr w:type="spellEnd"/>
      <w:r w:rsidR="008E5ED1" w:rsidRPr="00640D24">
        <w:rPr>
          <w:rFonts w:cs="Times New Roman"/>
          <w:sz w:val="22"/>
          <w:szCs w:val="22"/>
        </w:rPr>
        <w:t xml:space="preserve"> fondas“. Valstybės dalyvavimą RKF steigime galima laikyti galimybe valdyti riziką dirbant su aukšta rizika pasižyminčiais projektais. </w:t>
      </w:r>
      <w:proofErr w:type="spellStart"/>
      <w:r w:rsidR="008E5ED1" w:rsidRPr="00640D24">
        <w:rPr>
          <w:rFonts w:cs="Times New Roman"/>
          <w:sz w:val="22"/>
          <w:szCs w:val="22"/>
        </w:rPr>
        <w:t>Akceleravimo</w:t>
      </w:r>
      <w:proofErr w:type="spellEnd"/>
      <w:r w:rsidR="008E5ED1" w:rsidRPr="00640D24">
        <w:rPr>
          <w:rFonts w:cs="Times New Roman"/>
          <w:sz w:val="22"/>
          <w:szCs w:val="22"/>
        </w:rPr>
        <w:t xml:space="preserve"> fondo kūrimas yra suprantamas kaip integrali dalis valstybės kuriamame </w:t>
      </w:r>
      <w:proofErr w:type="spellStart"/>
      <w:r w:rsidR="008E5ED1" w:rsidRPr="00640D24">
        <w:rPr>
          <w:rFonts w:cs="Times New Roman"/>
          <w:sz w:val="22"/>
          <w:szCs w:val="22"/>
        </w:rPr>
        <w:t>startuolių</w:t>
      </w:r>
      <w:proofErr w:type="spellEnd"/>
      <w:r w:rsidR="008E5ED1" w:rsidRPr="00640D24">
        <w:rPr>
          <w:rFonts w:cs="Times New Roman"/>
          <w:sz w:val="22"/>
          <w:szCs w:val="22"/>
        </w:rPr>
        <w:t xml:space="preserve"> skatinimo plane. </w:t>
      </w:r>
      <w:r w:rsidR="00BD75D7" w:rsidRPr="00640D24">
        <w:rPr>
          <w:rFonts w:cs="Times New Roman"/>
          <w:sz w:val="22"/>
          <w:szCs w:val="22"/>
        </w:rPr>
        <w:t xml:space="preserve">Atsižvelgiant į tai, kad </w:t>
      </w:r>
      <w:proofErr w:type="spellStart"/>
      <w:r w:rsidR="00BD75D7" w:rsidRPr="00640D24">
        <w:rPr>
          <w:rFonts w:cs="Times New Roman"/>
          <w:sz w:val="22"/>
          <w:szCs w:val="22"/>
        </w:rPr>
        <w:t>priešankstyvojoje</w:t>
      </w:r>
      <w:proofErr w:type="spellEnd"/>
      <w:r w:rsidR="00BD75D7" w:rsidRPr="00640D24">
        <w:rPr>
          <w:rFonts w:cs="Times New Roman"/>
          <w:sz w:val="22"/>
          <w:szCs w:val="22"/>
        </w:rPr>
        <w:t xml:space="preserve"> ir ankstyvojoje veiklos stadijoje esantiems </w:t>
      </w:r>
      <w:proofErr w:type="spellStart"/>
      <w:r w:rsidR="00BD75D7" w:rsidRPr="00640D24">
        <w:rPr>
          <w:rFonts w:cs="Times New Roman"/>
          <w:sz w:val="22"/>
          <w:szCs w:val="22"/>
        </w:rPr>
        <w:t>startuoliams</w:t>
      </w:r>
      <w:proofErr w:type="spellEnd"/>
      <w:r w:rsidR="00BD75D7" w:rsidRPr="00640D24">
        <w:rPr>
          <w:rFonts w:cs="Times New Roman"/>
          <w:sz w:val="22"/>
          <w:szCs w:val="22"/>
        </w:rPr>
        <w:t xml:space="preserve"> išorinis finansavimas yra ypač sunkiai prieinamas ir įvertinus FP „</w:t>
      </w:r>
      <w:proofErr w:type="spellStart"/>
      <w:r w:rsidR="00BD75D7" w:rsidRPr="00640D24">
        <w:rPr>
          <w:rFonts w:cs="Times New Roman"/>
          <w:sz w:val="22"/>
          <w:szCs w:val="22"/>
        </w:rPr>
        <w:t>Akceleravimo</w:t>
      </w:r>
      <w:proofErr w:type="spellEnd"/>
      <w:r w:rsidR="00BD75D7" w:rsidRPr="00640D24">
        <w:rPr>
          <w:rFonts w:cs="Times New Roman"/>
          <w:sz w:val="22"/>
          <w:szCs w:val="22"/>
        </w:rPr>
        <w:t xml:space="preserve"> fondas“ reikšmę ir numatytą tęstinumą investuojant į FP „Akceleratorius 2”, 2021–2027 m.</w:t>
      </w:r>
      <w:r w:rsidR="003E1154" w:rsidRPr="00640D24">
        <w:rPr>
          <w:rFonts w:cs="Times New Roman"/>
          <w:sz w:val="22"/>
          <w:szCs w:val="22"/>
        </w:rPr>
        <w:t xml:space="preserve"> ES SF programavimo laikotarpiu</w:t>
      </w:r>
      <w:r w:rsidR="00BD75D7" w:rsidRPr="00640D24">
        <w:rPr>
          <w:rFonts w:cs="Times New Roman"/>
          <w:sz w:val="22"/>
          <w:szCs w:val="22"/>
        </w:rPr>
        <w:t xml:space="preserve"> rekomenduojama užtikrinti RKF, investuojančių į </w:t>
      </w:r>
      <w:proofErr w:type="spellStart"/>
      <w:r w:rsidR="00CD129B" w:rsidRPr="00640D24">
        <w:rPr>
          <w:rFonts w:cs="Times New Roman"/>
          <w:sz w:val="22"/>
          <w:szCs w:val="22"/>
        </w:rPr>
        <w:t>priešankstyvosios</w:t>
      </w:r>
      <w:proofErr w:type="spellEnd"/>
      <w:r w:rsidR="00BD75D7" w:rsidRPr="00640D24">
        <w:rPr>
          <w:rFonts w:cs="Times New Roman"/>
          <w:sz w:val="22"/>
          <w:szCs w:val="22"/>
        </w:rPr>
        <w:t xml:space="preserve"> ir ankstyvosios stadijos </w:t>
      </w:r>
      <w:proofErr w:type="spellStart"/>
      <w:r w:rsidR="00BD75D7" w:rsidRPr="00640D24">
        <w:rPr>
          <w:rFonts w:cs="Times New Roman"/>
          <w:sz w:val="22"/>
          <w:szCs w:val="22"/>
        </w:rPr>
        <w:t>startuolius</w:t>
      </w:r>
      <w:proofErr w:type="spellEnd"/>
      <w:r w:rsidR="00BD75D7" w:rsidRPr="00640D24">
        <w:rPr>
          <w:rFonts w:cs="Times New Roman"/>
          <w:sz w:val="22"/>
          <w:szCs w:val="22"/>
        </w:rPr>
        <w:t xml:space="preserve">, veiklų tęstinumą. Visgi, įvertinus strateginius uždavinius – skatinti </w:t>
      </w:r>
      <w:proofErr w:type="spellStart"/>
      <w:r w:rsidR="00BD75D7" w:rsidRPr="00640D24">
        <w:rPr>
          <w:rFonts w:cs="Times New Roman"/>
          <w:sz w:val="22"/>
          <w:szCs w:val="22"/>
        </w:rPr>
        <w:t>startuolių</w:t>
      </w:r>
      <w:proofErr w:type="spellEnd"/>
      <w:r w:rsidR="0018715A" w:rsidRPr="00640D24">
        <w:rPr>
          <w:rFonts w:cs="Times New Roman"/>
          <w:sz w:val="22"/>
          <w:szCs w:val="22"/>
        </w:rPr>
        <w:t xml:space="preserve"> </w:t>
      </w:r>
      <w:proofErr w:type="spellStart"/>
      <w:r w:rsidR="00BD75D7" w:rsidRPr="00640D24">
        <w:rPr>
          <w:rFonts w:cs="Times New Roman"/>
          <w:sz w:val="22"/>
          <w:szCs w:val="22"/>
        </w:rPr>
        <w:t>akceleravimą</w:t>
      </w:r>
      <w:proofErr w:type="spellEnd"/>
      <w:r w:rsidR="00BD75D7" w:rsidRPr="00640D24">
        <w:rPr>
          <w:rFonts w:cs="Times New Roman"/>
          <w:sz w:val="22"/>
          <w:szCs w:val="22"/>
        </w:rPr>
        <w:t xml:space="preserve"> ir plėtrą Vidurio ir Vakarų Lietuvos regione buvo nustatyta, kad atskiri RKF, skirti tik </w:t>
      </w:r>
      <w:r w:rsidR="00CC391B" w:rsidRPr="00640D24">
        <w:rPr>
          <w:rFonts w:cs="Times New Roman"/>
          <w:sz w:val="22"/>
          <w:szCs w:val="22"/>
        </w:rPr>
        <w:t>regionuose</w:t>
      </w:r>
      <w:r w:rsidR="00BD75D7" w:rsidRPr="00640D24">
        <w:rPr>
          <w:rFonts w:cs="Times New Roman"/>
          <w:sz w:val="22"/>
          <w:szCs w:val="22"/>
        </w:rPr>
        <w:t xml:space="preserve"> veikiantiems </w:t>
      </w:r>
      <w:proofErr w:type="spellStart"/>
      <w:r w:rsidR="00BD75D7" w:rsidRPr="00640D24">
        <w:rPr>
          <w:rFonts w:cs="Times New Roman"/>
          <w:sz w:val="22"/>
          <w:szCs w:val="22"/>
        </w:rPr>
        <w:t>startuoliams</w:t>
      </w:r>
      <w:proofErr w:type="spellEnd"/>
      <w:r w:rsidR="00BD75D7" w:rsidRPr="00640D24">
        <w:rPr>
          <w:rFonts w:cs="Times New Roman"/>
          <w:sz w:val="22"/>
          <w:szCs w:val="22"/>
        </w:rPr>
        <w:t xml:space="preserve"> nėra patrauklūs įgyvendinti dėl ribotos investicijų</w:t>
      </w:r>
      <w:r w:rsidR="009563C5" w:rsidRPr="00640D24">
        <w:rPr>
          <w:rFonts w:cs="Times New Roman"/>
          <w:sz w:val="22"/>
          <w:szCs w:val="22"/>
        </w:rPr>
        <w:t xml:space="preserve"> </w:t>
      </w:r>
      <w:r w:rsidR="00BD75D7" w:rsidRPr="00640D24">
        <w:rPr>
          <w:rFonts w:cs="Times New Roman"/>
          <w:sz w:val="22"/>
          <w:szCs w:val="22"/>
        </w:rPr>
        <w:t>paklausos</w:t>
      </w:r>
      <w:r w:rsidR="009563C5" w:rsidRPr="00640D24">
        <w:rPr>
          <w:rFonts w:cs="Times New Roman"/>
          <w:sz w:val="22"/>
          <w:szCs w:val="22"/>
        </w:rPr>
        <w:t xml:space="preserve"> ir pasiūlos</w:t>
      </w:r>
      <w:r w:rsidR="00BD75D7" w:rsidRPr="00640D24">
        <w:rPr>
          <w:rFonts w:cs="Times New Roman"/>
          <w:sz w:val="22"/>
          <w:szCs w:val="22"/>
        </w:rPr>
        <w:t xml:space="preserve">. Atsižvelgiant į tai, lentelėje Nr. 2 nurodytoms </w:t>
      </w:r>
      <w:r w:rsidR="00CC391B" w:rsidRPr="00640D24">
        <w:rPr>
          <w:rFonts w:cs="Times New Roman"/>
          <w:sz w:val="22"/>
          <w:szCs w:val="22"/>
        </w:rPr>
        <w:t>FP</w:t>
      </w:r>
      <w:r w:rsidR="00BD75D7" w:rsidRPr="00640D24">
        <w:rPr>
          <w:rFonts w:cs="Times New Roman"/>
          <w:sz w:val="22"/>
          <w:szCs w:val="22"/>
        </w:rPr>
        <w:t xml:space="preserve"> </w:t>
      </w:r>
      <w:r w:rsidR="00CC391B" w:rsidRPr="00640D24">
        <w:rPr>
          <w:rFonts w:cs="Times New Roman"/>
          <w:sz w:val="22"/>
          <w:szCs w:val="22"/>
        </w:rPr>
        <w:t xml:space="preserve">rekomenduojama </w:t>
      </w:r>
      <w:r w:rsidR="00BD75D7" w:rsidRPr="00640D24">
        <w:rPr>
          <w:rFonts w:cs="Times New Roman"/>
          <w:sz w:val="22"/>
          <w:szCs w:val="22"/>
        </w:rPr>
        <w:t>skirti papildomų lėšų</w:t>
      </w:r>
      <w:r w:rsidR="00CC391B" w:rsidRPr="00640D24">
        <w:rPr>
          <w:rFonts w:cs="Times New Roman"/>
          <w:sz w:val="22"/>
          <w:szCs w:val="22"/>
        </w:rPr>
        <w:t xml:space="preserve"> iš kitų šaltinių</w:t>
      </w:r>
      <w:r w:rsidR="004659CF" w:rsidRPr="00640D24">
        <w:rPr>
          <w:rFonts w:cs="Times New Roman"/>
          <w:sz w:val="22"/>
          <w:szCs w:val="22"/>
        </w:rPr>
        <w:t>, siekiant</w:t>
      </w:r>
      <w:r w:rsidR="00981FC9" w:rsidRPr="00640D24">
        <w:rPr>
          <w:rFonts w:cs="Times New Roman"/>
          <w:sz w:val="22"/>
          <w:szCs w:val="22"/>
        </w:rPr>
        <w:t xml:space="preserve"> sudaryti galimybę</w:t>
      </w:r>
      <w:r w:rsidR="004659CF" w:rsidRPr="00640D24">
        <w:rPr>
          <w:rFonts w:cs="Times New Roman"/>
          <w:sz w:val="22"/>
          <w:szCs w:val="22"/>
        </w:rPr>
        <w:t xml:space="preserve"> RKF </w:t>
      </w:r>
      <w:r w:rsidR="00981FC9" w:rsidRPr="00640D24">
        <w:rPr>
          <w:rFonts w:cs="Times New Roman"/>
          <w:sz w:val="22"/>
          <w:szCs w:val="22"/>
        </w:rPr>
        <w:t>investuoti</w:t>
      </w:r>
      <w:r w:rsidR="004659CF" w:rsidRPr="00640D24">
        <w:rPr>
          <w:rFonts w:cs="Times New Roman"/>
          <w:sz w:val="22"/>
          <w:szCs w:val="22"/>
        </w:rPr>
        <w:t xml:space="preserve"> į įmon</w:t>
      </w:r>
      <w:r w:rsidR="00F62A89" w:rsidRPr="00640D24">
        <w:rPr>
          <w:rFonts w:cs="Times New Roman"/>
          <w:sz w:val="22"/>
          <w:szCs w:val="22"/>
        </w:rPr>
        <w:t>e</w:t>
      </w:r>
      <w:r w:rsidR="004659CF" w:rsidRPr="00640D24">
        <w:rPr>
          <w:rFonts w:cs="Times New Roman"/>
          <w:sz w:val="22"/>
          <w:szCs w:val="22"/>
        </w:rPr>
        <w:t>s, teikiančias naudą visai Lietuvai</w:t>
      </w:r>
      <w:r w:rsidR="00BD75D7" w:rsidRPr="00640D24">
        <w:rPr>
          <w:rFonts w:cs="Times New Roman"/>
          <w:sz w:val="22"/>
          <w:szCs w:val="22"/>
        </w:rPr>
        <w:t xml:space="preserve">. </w:t>
      </w:r>
    </w:p>
    <w:p w14:paraId="60E459AF" w14:textId="00BF0696" w:rsidR="00F858B8" w:rsidRPr="00640D24" w:rsidRDefault="00E22D63" w:rsidP="001277B2">
      <w:pPr>
        <w:spacing w:before="60" w:after="60" w:line="240" w:lineRule="auto"/>
        <w:ind w:firstLine="567"/>
        <w:jc w:val="both"/>
        <w:rPr>
          <w:rFonts w:cs="Times New Roman"/>
          <w:sz w:val="22"/>
          <w:szCs w:val="22"/>
        </w:rPr>
      </w:pPr>
      <w:r w:rsidRPr="00640D24">
        <w:rPr>
          <w:rFonts w:cs="Times New Roman"/>
          <w:sz w:val="22"/>
          <w:szCs w:val="22"/>
        </w:rPr>
        <w:t xml:space="preserve">Siekiant sustiprinti verslo, studijų ir tyrimų sinergiją, rekomenduojama užtikrinti FP </w:t>
      </w:r>
      <w:r w:rsidR="00040815" w:rsidRPr="00640D24">
        <w:rPr>
          <w:rFonts w:cs="Times New Roman"/>
          <w:sz w:val="22"/>
          <w:szCs w:val="22"/>
        </w:rPr>
        <w:t xml:space="preserve">ASIPF I ir </w:t>
      </w:r>
      <w:r w:rsidR="00E93EC5" w:rsidRPr="00640D24">
        <w:rPr>
          <w:rFonts w:cs="Times New Roman"/>
          <w:sz w:val="22"/>
          <w:szCs w:val="22"/>
        </w:rPr>
        <w:t xml:space="preserve">ASIPF </w:t>
      </w:r>
      <w:r w:rsidR="00040815" w:rsidRPr="00640D24">
        <w:rPr>
          <w:rFonts w:cs="Times New Roman"/>
          <w:sz w:val="22"/>
          <w:szCs w:val="22"/>
        </w:rPr>
        <w:t>II</w:t>
      </w:r>
      <w:r w:rsidRPr="00640D24">
        <w:rPr>
          <w:rFonts w:cs="Times New Roman"/>
          <w:sz w:val="22"/>
          <w:szCs w:val="22"/>
        </w:rPr>
        <w:t xml:space="preserve"> </w:t>
      </w:r>
      <w:r w:rsidR="00040815" w:rsidRPr="00640D24">
        <w:rPr>
          <w:rFonts w:cs="Times New Roman"/>
          <w:sz w:val="22"/>
          <w:szCs w:val="22"/>
        </w:rPr>
        <w:t>bei</w:t>
      </w:r>
      <w:r w:rsidRPr="00640D24">
        <w:rPr>
          <w:rFonts w:cs="Times New Roman"/>
          <w:sz w:val="22"/>
          <w:szCs w:val="22"/>
        </w:rPr>
        <w:t xml:space="preserve"> FP „Ko</w:t>
      </w:r>
      <w:r w:rsidR="00645085" w:rsidRPr="00640D24">
        <w:rPr>
          <w:rFonts w:cs="Times New Roman"/>
          <w:sz w:val="22"/>
          <w:szCs w:val="22"/>
        </w:rPr>
        <w:t>–</w:t>
      </w:r>
      <w:r w:rsidRPr="00640D24">
        <w:rPr>
          <w:rFonts w:cs="Times New Roman"/>
          <w:sz w:val="22"/>
          <w:szCs w:val="22"/>
        </w:rPr>
        <w:t>investicinis fondas“ veiklų tęstinumą</w:t>
      </w:r>
      <w:r w:rsidR="00505180" w:rsidRPr="00640D24">
        <w:rPr>
          <w:rFonts w:cs="Times New Roman"/>
          <w:sz w:val="22"/>
          <w:szCs w:val="22"/>
        </w:rPr>
        <w:t xml:space="preserve">. Atsižvelgiant į fondų specifiką rekomenduojama </w:t>
      </w:r>
      <w:r w:rsidR="004659CF" w:rsidRPr="00640D24">
        <w:rPr>
          <w:rFonts w:cs="Times New Roman"/>
          <w:sz w:val="22"/>
          <w:szCs w:val="22"/>
        </w:rPr>
        <w:t xml:space="preserve">steigti naujus arba </w:t>
      </w:r>
      <w:r w:rsidR="008E05CF" w:rsidRPr="00640D24">
        <w:rPr>
          <w:rFonts w:cs="Times New Roman"/>
          <w:sz w:val="22"/>
          <w:szCs w:val="22"/>
        </w:rPr>
        <w:t>pratęsti egzistuojančių fondų veiklos tęstinumą padidinant skirtas lėšas</w:t>
      </w:r>
      <w:r w:rsidR="00505180" w:rsidRPr="00640D24">
        <w:rPr>
          <w:rFonts w:cs="Times New Roman"/>
          <w:sz w:val="22"/>
          <w:szCs w:val="22"/>
        </w:rPr>
        <w:t xml:space="preserve"> (Ko</w:t>
      </w:r>
      <w:r w:rsidR="00645085" w:rsidRPr="00640D24">
        <w:rPr>
          <w:rFonts w:cs="Times New Roman"/>
          <w:sz w:val="22"/>
          <w:szCs w:val="22"/>
        </w:rPr>
        <w:t>–</w:t>
      </w:r>
      <w:r w:rsidR="00505180" w:rsidRPr="00640D24">
        <w:rPr>
          <w:rFonts w:cs="Times New Roman"/>
          <w:sz w:val="22"/>
          <w:szCs w:val="22"/>
        </w:rPr>
        <w:t>investicinis fondas) arba užtikrinti</w:t>
      </w:r>
      <w:r w:rsidR="008E05CF" w:rsidRPr="00640D24">
        <w:rPr>
          <w:rFonts w:cs="Times New Roman"/>
          <w:sz w:val="22"/>
          <w:szCs w:val="22"/>
        </w:rPr>
        <w:t xml:space="preserve">, kad finansavimo poreikis būtų užtikrintas </w:t>
      </w:r>
      <w:r w:rsidR="00B773A5" w:rsidRPr="00640D24">
        <w:rPr>
          <w:rFonts w:cs="Times New Roman"/>
          <w:sz w:val="22"/>
          <w:szCs w:val="22"/>
        </w:rPr>
        <w:t>investuojant į</w:t>
      </w:r>
      <w:r w:rsidR="008E05CF" w:rsidRPr="00640D24">
        <w:rPr>
          <w:rFonts w:cs="Times New Roman"/>
          <w:sz w:val="22"/>
          <w:szCs w:val="22"/>
        </w:rPr>
        <w:t xml:space="preserve"> </w:t>
      </w:r>
      <w:r w:rsidR="00226AE3" w:rsidRPr="00640D24">
        <w:rPr>
          <w:rFonts w:cs="Times New Roman"/>
          <w:sz w:val="22"/>
          <w:szCs w:val="22"/>
        </w:rPr>
        <w:t xml:space="preserve">įvairių stadijų </w:t>
      </w:r>
      <w:r w:rsidR="007746A7" w:rsidRPr="00640D24">
        <w:rPr>
          <w:rFonts w:cs="Times New Roman"/>
          <w:sz w:val="22"/>
          <w:szCs w:val="22"/>
        </w:rPr>
        <w:t>RKF</w:t>
      </w:r>
      <w:r w:rsidR="00CC391B" w:rsidRPr="00640D24">
        <w:rPr>
          <w:rFonts w:cs="Times New Roman"/>
          <w:sz w:val="22"/>
          <w:szCs w:val="22"/>
        </w:rPr>
        <w:t>.</w:t>
      </w:r>
      <w:r w:rsidRPr="00640D24">
        <w:rPr>
          <w:rFonts w:cs="Times New Roman"/>
          <w:sz w:val="22"/>
          <w:szCs w:val="22"/>
        </w:rPr>
        <w:t xml:space="preserve"> </w:t>
      </w:r>
    </w:p>
    <w:p w14:paraId="487E5100" w14:textId="05765F5D" w:rsidR="00A46A5E" w:rsidRPr="00640D24" w:rsidRDefault="00F51C87" w:rsidP="00CD7825">
      <w:pPr>
        <w:pStyle w:val="Antrat3"/>
        <w:numPr>
          <w:ilvl w:val="1"/>
          <w:numId w:val="1"/>
        </w:numPr>
        <w:spacing w:before="120"/>
        <w:ind w:left="958" w:hanging="601"/>
      </w:pPr>
      <w:bookmarkStart w:id="88" w:name="_Toc146812398"/>
      <w:r w:rsidRPr="00640D24">
        <w:t>Skolinio finansavimo priemonės</w:t>
      </w:r>
      <w:bookmarkEnd w:id="88"/>
    </w:p>
    <w:p w14:paraId="29351FF8" w14:textId="192CCBD9" w:rsidR="00E07635" w:rsidRPr="00640D24" w:rsidRDefault="00E07635" w:rsidP="00E07635">
      <w:pPr>
        <w:pStyle w:val="Sraopastraipa"/>
        <w:autoSpaceDE w:val="0"/>
        <w:autoSpaceDN w:val="0"/>
        <w:adjustRightInd w:val="0"/>
        <w:spacing w:before="120" w:after="120" w:line="240" w:lineRule="auto"/>
        <w:ind w:left="360"/>
        <w:jc w:val="both"/>
        <w:rPr>
          <w:rFonts w:cs="Times New Roman"/>
          <w:i/>
          <w:iCs/>
          <w:sz w:val="22"/>
          <w:szCs w:val="22"/>
        </w:rPr>
      </w:pPr>
      <w:r w:rsidRPr="00640D24">
        <w:rPr>
          <w:rFonts w:cs="Times New Roman"/>
          <w:i/>
          <w:iCs/>
          <w:sz w:val="22"/>
          <w:szCs w:val="22"/>
        </w:rPr>
        <w:t>Išorinio (paskolų) finansavimo rinkos problematika Lietuvoje</w:t>
      </w:r>
    </w:p>
    <w:p w14:paraId="33A265B1" w14:textId="2206C00D" w:rsidR="00F858B8" w:rsidRPr="00640D24" w:rsidRDefault="00F858B8" w:rsidP="00F858B8">
      <w:pPr>
        <w:spacing w:before="60" w:after="60" w:line="240" w:lineRule="auto"/>
        <w:ind w:firstLine="562"/>
        <w:jc w:val="both"/>
        <w:rPr>
          <w:sz w:val="22"/>
          <w:szCs w:val="22"/>
        </w:rPr>
      </w:pPr>
      <w:r w:rsidRPr="00640D24">
        <w:rPr>
          <w:b/>
          <w:bCs/>
          <w:sz w:val="22"/>
          <w:szCs w:val="22"/>
        </w:rPr>
        <w:t xml:space="preserve">Išorinio finansavimo trūkumų / problemų visuma </w:t>
      </w:r>
      <w:r w:rsidRPr="00640D24">
        <w:rPr>
          <w:sz w:val="22"/>
          <w:szCs w:val="22"/>
        </w:rPr>
        <w:t>(pristatyta žemiau esančioje lentelėje)</w:t>
      </w:r>
      <w:r w:rsidRPr="00640D24">
        <w:rPr>
          <w:b/>
          <w:bCs/>
          <w:sz w:val="22"/>
          <w:szCs w:val="22"/>
        </w:rPr>
        <w:t>, o taip pat dažnu atveju pačių lietuviškų įmonių konservatyvumas lemia tai, kad įmonių įsiskolinimo lygis Lietuvoje yra vienas žemiausių Europoje</w:t>
      </w:r>
      <w:r w:rsidRPr="00640D24">
        <w:rPr>
          <w:sz w:val="22"/>
          <w:szCs w:val="22"/>
        </w:rPr>
        <w:t xml:space="preserve">. </w:t>
      </w:r>
      <w:bookmarkStart w:id="89" w:name="_Hlk145928555"/>
      <w:r w:rsidRPr="00640D24">
        <w:rPr>
          <w:sz w:val="22"/>
          <w:szCs w:val="22"/>
        </w:rPr>
        <w:t>Remiantis anksčiau atlikta Lietuvos banko analize</w:t>
      </w:r>
      <w:r w:rsidRPr="00640D24">
        <w:rPr>
          <w:rStyle w:val="Puslapioinaosnuoroda"/>
          <w:sz w:val="22"/>
          <w:szCs w:val="22"/>
        </w:rPr>
        <w:footnoteReference w:id="85"/>
      </w:r>
      <w:r w:rsidRPr="00640D24">
        <w:rPr>
          <w:sz w:val="22"/>
          <w:szCs w:val="22"/>
        </w:rPr>
        <w:t>, 2019 m. Lietuvos įmonių finansinių įsipareigojimų ir BVP santykis buvo vienas žemiausių ES ir siekė (81 proc.), kai tuo tarpu ES vidurkis buvo 140 proc., o Latvijoje ir Estijoje atitinkamai 86 ir 122 proc. Taip pat pastebėtina, kad skirtingai nuo kitų ES valstybių, reikšmingai didesnė dalis įmonių Lietuvoje investicijas finansuoja nuosavomis lėšomis ar paskolo</w:t>
      </w:r>
      <w:r w:rsidR="00260CCE" w:rsidRPr="00640D24">
        <w:rPr>
          <w:sz w:val="22"/>
          <w:szCs w:val="22"/>
        </w:rPr>
        <w:t>mis iš kitų įmonių, o ne finansų</w:t>
      </w:r>
      <w:r w:rsidRPr="00640D24">
        <w:rPr>
          <w:sz w:val="22"/>
          <w:szCs w:val="22"/>
        </w:rPr>
        <w:t xml:space="preserve"> įstai</w:t>
      </w:r>
      <w:r w:rsidR="00260CCE" w:rsidRPr="00640D24">
        <w:rPr>
          <w:sz w:val="22"/>
          <w:szCs w:val="22"/>
        </w:rPr>
        <w:t>gų. Dėl šios priežasties finansų</w:t>
      </w:r>
      <w:r w:rsidRPr="00640D24">
        <w:rPr>
          <w:sz w:val="22"/>
          <w:szCs w:val="22"/>
        </w:rPr>
        <w:t xml:space="preserve"> įstaigų paskolų ne finansų įmonėms portfelis yra </w:t>
      </w:r>
      <w:r w:rsidR="00A537EB" w:rsidRPr="00640D24">
        <w:rPr>
          <w:sz w:val="22"/>
          <w:szCs w:val="22"/>
        </w:rPr>
        <w:t>vienas žemiausių</w:t>
      </w:r>
      <w:r w:rsidRPr="00640D24">
        <w:rPr>
          <w:sz w:val="22"/>
          <w:szCs w:val="22"/>
        </w:rPr>
        <w:t>.</w:t>
      </w:r>
      <w:bookmarkEnd w:id="89"/>
      <w:r w:rsidRPr="00640D24">
        <w:rPr>
          <w:sz w:val="22"/>
          <w:szCs w:val="22"/>
        </w:rPr>
        <w:t xml:space="preserve"> Žemiau lentelėje yra detaliai pateiktos pagrindinės vertinimo metu identifikuotos išorinio finansavimo rinkos problemos ir trūkumai.</w:t>
      </w:r>
    </w:p>
    <w:p w14:paraId="7823F8EF" w14:textId="1E2118E8" w:rsidR="00F858B8" w:rsidRPr="00640D24" w:rsidRDefault="00F858B8" w:rsidP="00F858B8">
      <w:pPr>
        <w:spacing w:after="120" w:line="240" w:lineRule="auto"/>
        <w:jc w:val="both"/>
        <w:rPr>
          <w:rFonts w:cs="Times New Roman"/>
          <w:i/>
          <w:iCs/>
          <w:sz w:val="22"/>
          <w:szCs w:val="22"/>
        </w:rPr>
      </w:pPr>
      <w:r w:rsidRPr="00640D24">
        <w:rPr>
          <w:rFonts w:cs="Times New Roman"/>
          <w:i/>
          <w:iCs/>
          <w:sz w:val="22"/>
          <w:szCs w:val="22"/>
        </w:rPr>
        <w:t>Lentelė Nr. 7. Analizės metu identifikuotos išorinio finansavimo rinkos problemos ir trūkumai</w:t>
      </w:r>
    </w:p>
    <w:tbl>
      <w:tblPr>
        <w:tblStyle w:val="Lentelstinklelis"/>
        <w:tblW w:w="9747" w:type="dxa"/>
        <w:tblLook w:val="04A0" w:firstRow="1" w:lastRow="0" w:firstColumn="1" w:lastColumn="0" w:noHBand="0" w:noVBand="1"/>
      </w:tblPr>
      <w:tblGrid>
        <w:gridCol w:w="4248"/>
        <w:gridCol w:w="5499"/>
      </w:tblGrid>
      <w:tr w:rsidR="00F858B8" w:rsidRPr="00640D24" w14:paraId="03AB5FAF" w14:textId="77777777" w:rsidTr="00916CE2">
        <w:trPr>
          <w:trHeight w:val="565"/>
        </w:trPr>
        <w:tc>
          <w:tcPr>
            <w:tcW w:w="4248" w:type="dxa"/>
            <w:shd w:val="clear" w:color="auto" w:fill="auto"/>
          </w:tcPr>
          <w:p w14:paraId="1711ED86" w14:textId="6132EFEC" w:rsidR="00F858B8" w:rsidRPr="00640D24" w:rsidRDefault="00F858B8" w:rsidP="00916CE2">
            <w:pPr>
              <w:spacing w:after="0"/>
              <w:jc w:val="center"/>
              <w:rPr>
                <w:b/>
                <w:bCs/>
                <w:sz w:val="21"/>
                <w:szCs w:val="21"/>
                <w:lang w:val="lt-LT"/>
              </w:rPr>
            </w:pPr>
            <w:r w:rsidRPr="00640D24">
              <w:rPr>
                <w:b/>
                <w:bCs/>
                <w:sz w:val="21"/>
                <w:szCs w:val="21"/>
                <w:lang w:val="lt-LT"/>
              </w:rPr>
              <w:t xml:space="preserve">Išorinio finansavimo rinkos problemos </w:t>
            </w:r>
            <w:r w:rsidR="00F51C87" w:rsidRPr="00640D24">
              <w:rPr>
                <w:b/>
                <w:bCs/>
                <w:sz w:val="21"/>
                <w:szCs w:val="21"/>
                <w:lang w:val="lt-LT"/>
              </w:rPr>
              <w:t>(</w:t>
            </w:r>
            <w:r w:rsidRPr="00640D24">
              <w:rPr>
                <w:b/>
                <w:bCs/>
                <w:sz w:val="21"/>
                <w:szCs w:val="21"/>
                <w:lang w:val="lt-LT"/>
              </w:rPr>
              <w:t>trūkumai</w:t>
            </w:r>
            <w:r w:rsidR="00F51C87" w:rsidRPr="00640D24">
              <w:rPr>
                <w:b/>
                <w:bCs/>
                <w:sz w:val="21"/>
                <w:szCs w:val="21"/>
                <w:lang w:val="lt-LT"/>
              </w:rPr>
              <w:t>)</w:t>
            </w:r>
          </w:p>
        </w:tc>
        <w:tc>
          <w:tcPr>
            <w:tcW w:w="5499" w:type="dxa"/>
            <w:shd w:val="clear" w:color="auto" w:fill="auto"/>
          </w:tcPr>
          <w:p w14:paraId="25D1FB88" w14:textId="7662C7D4" w:rsidR="00F858B8" w:rsidRPr="00640D24" w:rsidRDefault="00F858B8" w:rsidP="00BF1832">
            <w:pPr>
              <w:jc w:val="center"/>
              <w:rPr>
                <w:b/>
                <w:bCs/>
                <w:sz w:val="21"/>
                <w:szCs w:val="21"/>
                <w:lang w:val="lt-LT"/>
              </w:rPr>
            </w:pPr>
            <w:r w:rsidRPr="00640D24">
              <w:rPr>
                <w:b/>
                <w:bCs/>
                <w:sz w:val="21"/>
                <w:szCs w:val="21"/>
                <w:lang w:val="lt-LT"/>
              </w:rPr>
              <w:t xml:space="preserve">Glaustas problemos </w:t>
            </w:r>
            <w:r w:rsidR="00F51C87" w:rsidRPr="00640D24">
              <w:rPr>
                <w:b/>
                <w:bCs/>
                <w:sz w:val="21"/>
                <w:szCs w:val="21"/>
                <w:lang w:val="lt-LT"/>
              </w:rPr>
              <w:t>(</w:t>
            </w:r>
            <w:r w:rsidRPr="00640D24">
              <w:rPr>
                <w:b/>
                <w:bCs/>
                <w:sz w:val="21"/>
                <w:szCs w:val="21"/>
                <w:lang w:val="lt-LT"/>
              </w:rPr>
              <w:t>trūkumo</w:t>
            </w:r>
            <w:r w:rsidR="00F51C87" w:rsidRPr="00640D24">
              <w:rPr>
                <w:b/>
                <w:bCs/>
                <w:sz w:val="21"/>
                <w:szCs w:val="21"/>
                <w:lang w:val="lt-LT"/>
              </w:rPr>
              <w:t>)</w:t>
            </w:r>
            <w:r w:rsidRPr="00640D24">
              <w:rPr>
                <w:b/>
                <w:bCs/>
                <w:sz w:val="21"/>
                <w:szCs w:val="21"/>
                <w:lang w:val="lt-LT"/>
              </w:rPr>
              <w:t xml:space="preserve"> aprašas</w:t>
            </w:r>
          </w:p>
        </w:tc>
      </w:tr>
      <w:tr w:rsidR="00F858B8" w:rsidRPr="00640D24" w14:paraId="086C5A3F" w14:textId="77777777" w:rsidTr="00916CE2">
        <w:trPr>
          <w:trHeight w:val="686"/>
        </w:trPr>
        <w:tc>
          <w:tcPr>
            <w:tcW w:w="4248" w:type="dxa"/>
            <w:shd w:val="clear" w:color="auto" w:fill="auto"/>
          </w:tcPr>
          <w:p w14:paraId="608276CB" w14:textId="3B6C48A3" w:rsidR="00F858B8" w:rsidRPr="00640D24" w:rsidRDefault="00F858B8" w:rsidP="00C22996">
            <w:pPr>
              <w:spacing w:line="240" w:lineRule="auto"/>
              <w:jc w:val="both"/>
              <w:rPr>
                <w:rFonts w:cs="Times New Roman"/>
                <w:sz w:val="21"/>
                <w:szCs w:val="21"/>
                <w:lang w:val="lt-LT"/>
              </w:rPr>
            </w:pPr>
            <w:r w:rsidRPr="00640D24">
              <w:rPr>
                <w:rFonts w:cs="Times New Roman"/>
                <w:sz w:val="21"/>
                <w:szCs w:val="21"/>
                <w:lang w:val="lt-LT"/>
              </w:rPr>
              <w:t>Tvarių piniginių srautų trūkumas</w:t>
            </w:r>
            <w:r w:rsidR="00F51C87" w:rsidRPr="00640D24">
              <w:rPr>
                <w:rFonts w:cs="Times New Roman"/>
                <w:sz w:val="21"/>
                <w:szCs w:val="21"/>
                <w:lang w:val="lt-LT"/>
              </w:rPr>
              <w:t xml:space="preserve">, </w:t>
            </w:r>
            <w:r w:rsidR="009E61C8" w:rsidRPr="00640D24">
              <w:rPr>
                <w:rFonts w:cs="Times New Roman"/>
                <w:sz w:val="21"/>
                <w:szCs w:val="21"/>
                <w:lang w:val="lt-LT"/>
              </w:rPr>
              <w:t>nuosavo kapitalo trūkumas</w:t>
            </w:r>
            <w:r w:rsidR="00F51C87" w:rsidRPr="00640D24">
              <w:rPr>
                <w:rFonts w:cs="Times New Roman"/>
                <w:sz w:val="21"/>
                <w:szCs w:val="21"/>
                <w:lang w:val="lt-LT"/>
              </w:rPr>
              <w:t xml:space="preserve"> ir dokumentų (ataskaitų), kurie galėtų pagrįsti įmonių gebėjimą aptarnauti finansinius įsipareigojimus</w:t>
            </w:r>
          </w:p>
        </w:tc>
        <w:tc>
          <w:tcPr>
            <w:tcW w:w="5499" w:type="dxa"/>
            <w:shd w:val="clear" w:color="auto" w:fill="auto"/>
          </w:tcPr>
          <w:p w14:paraId="081428C2" w14:textId="61312B16" w:rsidR="00F858B8" w:rsidRPr="00640D24" w:rsidRDefault="00F858B8" w:rsidP="00C22996">
            <w:pPr>
              <w:spacing w:after="60" w:line="240" w:lineRule="auto"/>
              <w:jc w:val="both"/>
              <w:rPr>
                <w:rFonts w:cs="Times New Roman"/>
                <w:sz w:val="21"/>
                <w:szCs w:val="21"/>
                <w:lang w:val="lt-LT"/>
              </w:rPr>
            </w:pPr>
            <w:r w:rsidRPr="00640D24">
              <w:rPr>
                <w:rFonts w:cs="Times New Roman"/>
                <w:sz w:val="21"/>
                <w:szCs w:val="21"/>
                <w:lang w:val="lt-LT"/>
              </w:rPr>
              <w:t xml:space="preserve">Vienas iš pagrindinių veiksnių lemiantis </w:t>
            </w:r>
            <w:r w:rsidR="00260CCE" w:rsidRPr="00640D24">
              <w:rPr>
                <w:rFonts w:cs="Times New Roman"/>
                <w:sz w:val="21"/>
                <w:szCs w:val="21"/>
                <w:lang w:val="lt-LT"/>
              </w:rPr>
              <w:t>finansų</w:t>
            </w:r>
            <w:r w:rsidRPr="00640D24">
              <w:rPr>
                <w:rFonts w:cs="Times New Roman"/>
                <w:sz w:val="21"/>
                <w:szCs w:val="21"/>
                <w:lang w:val="lt-LT"/>
              </w:rPr>
              <w:t xml:space="preserve"> įstaigų sprendimą suteikti finansavimą ar ne – įmonės gebėjimas iš vykdomos veiklos aptarnauti finansinius įsipareigojimus. Tuo tarpu reikšminga dalis įmonių Lietuvoje neteikia privalomų metinių ataskaitų Registrų centrui, turi neigiamą kapitalo lygį, veikia pakankamai trumpą laikotarpį (t.</w:t>
            </w:r>
            <w:r w:rsidR="0070784F" w:rsidRPr="00640D24">
              <w:rPr>
                <w:rFonts w:cs="Times New Roman"/>
                <w:sz w:val="21"/>
                <w:szCs w:val="21"/>
                <w:lang w:val="lt-LT"/>
              </w:rPr>
              <w:t xml:space="preserve"> </w:t>
            </w:r>
            <w:r w:rsidRPr="00640D24">
              <w:rPr>
                <w:rFonts w:cs="Times New Roman"/>
                <w:sz w:val="21"/>
                <w:szCs w:val="21"/>
                <w:lang w:val="lt-LT"/>
              </w:rPr>
              <w:t>y. jaunos įmonės iki 3–5 metų) ir atitinkamai susiduria su problemomis</w:t>
            </w:r>
            <w:r w:rsidR="00F51C87" w:rsidRPr="00640D24">
              <w:rPr>
                <w:rFonts w:cs="Times New Roman"/>
                <w:sz w:val="21"/>
                <w:szCs w:val="21"/>
                <w:lang w:val="lt-LT"/>
              </w:rPr>
              <w:t>,</w:t>
            </w:r>
            <w:r w:rsidRPr="00640D24">
              <w:rPr>
                <w:rFonts w:cs="Times New Roman"/>
                <w:sz w:val="21"/>
                <w:szCs w:val="21"/>
                <w:lang w:val="lt-LT"/>
              </w:rPr>
              <w:t xml:space="preserve"> norėdamos įrodyti finansų įstaigoms, kad sugebės vykdyti finansinius įsipareigojimus. Šių priežasčių visuma lemia tai, kad nors ir finansuotinas projektas gali būti gyvybingas ir atsiperkantis, finansų įstaigos nebus linkusios suteikti išorinio finansavimo įmonėms, kurios negali objektyviai pagrįsti savo veiklos gyvybingumo</w:t>
            </w:r>
            <w:r w:rsidR="004F0857" w:rsidRPr="00640D24">
              <w:rPr>
                <w:rFonts w:cs="Times New Roman"/>
                <w:sz w:val="21"/>
                <w:szCs w:val="21"/>
                <w:lang w:val="lt-LT"/>
              </w:rPr>
              <w:t>.</w:t>
            </w:r>
          </w:p>
        </w:tc>
      </w:tr>
      <w:tr w:rsidR="00F858B8" w:rsidRPr="00640D24" w14:paraId="6A30C29E" w14:textId="77777777" w:rsidTr="00916CE2">
        <w:trPr>
          <w:trHeight w:val="686"/>
        </w:trPr>
        <w:tc>
          <w:tcPr>
            <w:tcW w:w="4248" w:type="dxa"/>
            <w:shd w:val="clear" w:color="auto" w:fill="auto"/>
          </w:tcPr>
          <w:p w14:paraId="3FCEC61A" w14:textId="77777777" w:rsidR="00F858B8" w:rsidRPr="00640D24" w:rsidRDefault="00F858B8" w:rsidP="00BF1832">
            <w:pPr>
              <w:jc w:val="both"/>
              <w:rPr>
                <w:rFonts w:cs="Times New Roman"/>
                <w:sz w:val="21"/>
                <w:szCs w:val="21"/>
                <w:lang w:val="lt-LT"/>
              </w:rPr>
            </w:pPr>
            <w:bookmarkStart w:id="90" w:name="_Hlk145928630"/>
            <w:r w:rsidRPr="00640D24">
              <w:rPr>
                <w:rFonts w:cs="Times New Roman"/>
                <w:sz w:val="21"/>
                <w:szCs w:val="21"/>
                <w:lang w:val="lt-LT"/>
              </w:rPr>
              <w:lastRenderedPageBreak/>
              <w:t>Užstato trūkumas</w:t>
            </w:r>
          </w:p>
        </w:tc>
        <w:tc>
          <w:tcPr>
            <w:tcW w:w="5499" w:type="dxa"/>
            <w:shd w:val="clear" w:color="auto" w:fill="auto"/>
          </w:tcPr>
          <w:p w14:paraId="7A92BB84" w14:textId="10970C43" w:rsidR="00F858B8" w:rsidRPr="00640D24" w:rsidRDefault="00F51C87" w:rsidP="00C22996">
            <w:pPr>
              <w:spacing w:after="60" w:line="240" w:lineRule="auto"/>
              <w:jc w:val="both"/>
              <w:rPr>
                <w:rFonts w:cs="Times New Roman"/>
                <w:sz w:val="21"/>
                <w:szCs w:val="21"/>
                <w:lang w:val="lt-LT"/>
              </w:rPr>
            </w:pPr>
            <w:r w:rsidRPr="00640D24">
              <w:rPr>
                <w:rFonts w:cs="Times New Roman"/>
                <w:sz w:val="21"/>
                <w:szCs w:val="21"/>
                <w:lang w:val="lt-LT"/>
              </w:rPr>
              <w:t>Vienas iš ilgalaikių veiksnių, ribojančių įmonių, o ypač MVĮ, prieinamumą prie išorinio finansavimo, – tinkamo ar pakankamo užstato trūkumas. Finansų įstaigos, siekdamos valdyti kreditavimo rizikas, reikalauja iš įmonių įkeistino turto. Tuo tarpu reikšminga dalis MVĮ stokoja įkeisti tinkamo ilgalaikio materialaus turto (kaip antai, NT ir pan.), o už kreditą įsigytina įranga ar įrenginiai (pvz., tikslinė įranga, kaip antai: saulės elektrinės,  specifinės gamybos linijos ir t. t.) dažniausiai neturi antrinės realizavimo rinkos ir atitinkamai nėra tinkami kaip užstatas.</w:t>
            </w:r>
          </w:p>
        </w:tc>
      </w:tr>
      <w:tr w:rsidR="00F858B8" w:rsidRPr="00640D24" w14:paraId="46CBFE8E" w14:textId="77777777" w:rsidTr="00916CE2">
        <w:trPr>
          <w:trHeight w:val="686"/>
        </w:trPr>
        <w:tc>
          <w:tcPr>
            <w:tcW w:w="4248" w:type="dxa"/>
            <w:shd w:val="clear" w:color="auto" w:fill="auto"/>
          </w:tcPr>
          <w:p w14:paraId="6BA7176A" w14:textId="77777777" w:rsidR="00F858B8" w:rsidRPr="00640D24" w:rsidRDefault="00F858B8" w:rsidP="00BF1832">
            <w:pPr>
              <w:jc w:val="both"/>
              <w:rPr>
                <w:rFonts w:cs="Times New Roman"/>
                <w:sz w:val="21"/>
                <w:szCs w:val="21"/>
                <w:lang w:val="lt-LT"/>
              </w:rPr>
            </w:pPr>
            <w:r w:rsidRPr="00640D24">
              <w:rPr>
                <w:rFonts w:cs="Times New Roman"/>
                <w:sz w:val="21"/>
                <w:szCs w:val="21"/>
                <w:lang w:val="lt-LT"/>
              </w:rPr>
              <w:t>Finansinio raštingumo trūkumas</w:t>
            </w:r>
          </w:p>
        </w:tc>
        <w:tc>
          <w:tcPr>
            <w:tcW w:w="5499" w:type="dxa"/>
            <w:shd w:val="clear" w:color="auto" w:fill="auto"/>
          </w:tcPr>
          <w:p w14:paraId="043A2C8E" w14:textId="77777777" w:rsidR="00F858B8" w:rsidRPr="00640D24" w:rsidRDefault="00F858B8" w:rsidP="00C22996">
            <w:pPr>
              <w:spacing w:after="60" w:line="240" w:lineRule="auto"/>
              <w:jc w:val="both"/>
              <w:rPr>
                <w:rFonts w:cs="Times New Roman"/>
                <w:sz w:val="21"/>
                <w:szCs w:val="21"/>
                <w:lang w:val="lt-LT"/>
              </w:rPr>
            </w:pPr>
            <w:r w:rsidRPr="00640D24">
              <w:rPr>
                <w:rFonts w:cs="Times New Roman"/>
                <w:sz w:val="21"/>
                <w:szCs w:val="21"/>
                <w:lang w:val="lt-LT"/>
              </w:rPr>
              <w:t>Reikšminga dalis įmonių, ypač MVĮ, siekdamos gauti išorinį finansavimą susiduria su problemomis tinkamai užpildant ir pateikiant reikalingus dokumentas finansų įstaigoms. Dalis įmonių taip pat nemoka tinkamai pasirinkti finansavimo šaltinių ar valstybės pagalbos priemonių. Dėl šių priežasčių reikšminga dalis paraiškų yra tiesiog atmetamos dėl netinkamo jų pateikimo.</w:t>
            </w:r>
          </w:p>
        </w:tc>
      </w:tr>
      <w:bookmarkEnd w:id="90"/>
      <w:tr w:rsidR="00F858B8" w:rsidRPr="00640D24" w14:paraId="3D2CE331" w14:textId="77777777" w:rsidTr="00916CE2">
        <w:trPr>
          <w:trHeight w:val="686"/>
        </w:trPr>
        <w:tc>
          <w:tcPr>
            <w:tcW w:w="4248" w:type="dxa"/>
            <w:shd w:val="clear" w:color="auto" w:fill="auto"/>
          </w:tcPr>
          <w:p w14:paraId="1AF1658E" w14:textId="13BA1231" w:rsidR="00F858B8" w:rsidRPr="00640D24" w:rsidRDefault="00260CCE" w:rsidP="00BF1832">
            <w:pPr>
              <w:jc w:val="both"/>
              <w:rPr>
                <w:rFonts w:cs="Times New Roman"/>
                <w:sz w:val="21"/>
                <w:szCs w:val="21"/>
                <w:lang w:val="lt-LT"/>
              </w:rPr>
            </w:pPr>
            <w:r w:rsidRPr="00640D24">
              <w:rPr>
                <w:rFonts w:cs="Times New Roman"/>
                <w:sz w:val="21"/>
                <w:szCs w:val="21"/>
                <w:lang w:val="lt-LT"/>
              </w:rPr>
              <w:t>Informacijos apie alternatyvaus finansavimo galimybes trūkumas</w:t>
            </w:r>
          </w:p>
        </w:tc>
        <w:tc>
          <w:tcPr>
            <w:tcW w:w="5499" w:type="dxa"/>
            <w:shd w:val="clear" w:color="auto" w:fill="auto"/>
          </w:tcPr>
          <w:p w14:paraId="39D1B581" w14:textId="77777777" w:rsidR="00F858B8" w:rsidRPr="00640D24" w:rsidRDefault="00F858B8" w:rsidP="00C22996">
            <w:pPr>
              <w:spacing w:after="60" w:line="240" w:lineRule="auto"/>
              <w:jc w:val="both"/>
              <w:rPr>
                <w:rFonts w:cs="Times New Roman"/>
                <w:sz w:val="21"/>
                <w:szCs w:val="21"/>
                <w:lang w:val="lt-LT"/>
              </w:rPr>
            </w:pPr>
            <w:r w:rsidRPr="00640D24">
              <w:rPr>
                <w:rFonts w:cs="Times New Roman"/>
                <w:sz w:val="21"/>
                <w:szCs w:val="21"/>
                <w:lang w:val="lt-LT"/>
              </w:rPr>
              <w:t xml:space="preserve">Reikšmingai daliai įmonių ligi šiol trūksta informacijos apie finansavimo alternatyvas ar esamas valstybės pagalbos schemas. </w:t>
            </w:r>
            <w:r w:rsidRPr="00640D24">
              <w:rPr>
                <w:sz w:val="21"/>
                <w:szCs w:val="21"/>
                <w:lang w:val="lt-LT"/>
              </w:rPr>
              <w:t>Siekdamos finansavimo įmonės yra linkusios kreiptis tik į vieną ar dvi kredito įstaigas ir dažnai nežino apie alternatyvių finansuotojų teikiamas galimybes. Tiesa, alternatyvūs finansuotojai ne visada gali pasiūlyti reikiamų produktų (pvz., ilgalaikių paskolų) ar patrauklią finansavimo kainą.</w:t>
            </w:r>
          </w:p>
        </w:tc>
      </w:tr>
      <w:tr w:rsidR="00F858B8" w:rsidRPr="00640D24" w14:paraId="7DE63866" w14:textId="77777777" w:rsidTr="00916CE2">
        <w:trPr>
          <w:trHeight w:val="686"/>
        </w:trPr>
        <w:tc>
          <w:tcPr>
            <w:tcW w:w="4248" w:type="dxa"/>
            <w:shd w:val="clear" w:color="auto" w:fill="auto"/>
          </w:tcPr>
          <w:p w14:paraId="7E1493A8" w14:textId="77777777" w:rsidR="00F858B8" w:rsidRPr="00640D24" w:rsidRDefault="00F858B8" w:rsidP="00BF1832">
            <w:pPr>
              <w:jc w:val="both"/>
              <w:rPr>
                <w:rFonts w:cs="Times New Roman"/>
                <w:sz w:val="21"/>
                <w:szCs w:val="21"/>
                <w:lang w:val="lt-LT"/>
              </w:rPr>
            </w:pPr>
            <w:r w:rsidRPr="00640D24">
              <w:rPr>
                <w:rFonts w:cs="Times New Roman"/>
                <w:sz w:val="21"/>
                <w:szCs w:val="21"/>
                <w:lang w:val="lt-LT"/>
              </w:rPr>
              <w:t>Aukšta skolinimosi kaina</w:t>
            </w:r>
          </w:p>
        </w:tc>
        <w:tc>
          <w:tcPr>
            <w:tcW w:w="5499" w:type="dxa"/>
            <w:shd w:val="clear" w:color="auto" w:fill="auto"/>
          </w:tcPr>
          <w:p w14:paraId="76719175" w14:textId="2538503A" w:rsidR="00F858B8" w:rsidRPr="00640D24" w:rsidRDefault="00F858B8" w:rsidP="00C22996">
            <w:pPr>
              <w:spacing w:after="60" w:line="240" w:lineRule="auto"/>
              <w:jc w:val="both"/>
              <w:rPr>
                <w:rFonts w:cs="Times New Roman"/>
                <w:sz w:val="21"/>
                <w:szCs w:val="21"/>
                <w:lang w:val="lt-LT"/>
              </w:rPr>
            </w:pPr>
            <w:bookmarkStart w:id="91" w:name="_Hlk145928689"/>
            <w:r w:rsidRPr="00640D24">
              <w:rPr>
                <w:rFonts w:cs="Times New Roman"/>
                <w:sz w:val="21"/>
                <w:szCs w:val="21"/>
                <w:lang w:val="lt-LT"/>
              </w:rPr>
              <w:t>Remiantis naujausiu ECB vertinimu</w:t>
            </w:r>
            <w:r w:rsidRPr="00640D24">
              <w:rPr>
                <w:rStyle w:val="Puslapioinaosnuoroda"/>
                <w:rFonts w:cs="Times New Roman"/>
                <w:sz w:val="21"/>
                <w:szCs w:val="21"/>
                <w:lang w:val="lt-LT"/>
              </w:rPr>
              <w:footnoteReference w:id="86"/>
            </w:r>
            <w:r w:rsidRPr="00640D24">
              <w:rPr>
                <w:rFonts w:cs="Times New Roman"/>
                <w:sz w:val="21"/>
                <w:szCs w:val="21"/>
                <w:lang w:val="lt-LT"/>
              </w:rPr>
              <w:t xml:space="preserve">, 2023 m. birželio mėnesį naujų paskolų ne finansų bendrovėms palūkanų normos Lietuvoje ir Estijoje buvo aukščiausios visoje </w:t>
            </w:r>
            <w:r w:rsidR="009D620F" w:rsidRPr="00640D24">
              <w:rPr>
                <w:rFonts w:cs="Times New Roman"/>
                <w:sz w:val="21"/>
                <w:szCs w:val="21"/>
                <w:lang w:val="lt-LT"/>
              </w:rPr>
              <w:t>E</w:t>
            </w:r>
            <w:r w:rsidRPr="00640D24">
              <w:rPr>
                <w:rFonts w:cs="Times New Roman"/>
                <w:sz w:val="21"/>
                <w:szCs w:val="21"/>
                <w:lang w:val="lt-LT"/>
              </w:rPr>
              <w:t xml:space="preserve">uro zonoje (vidutinės palūkanų normos siekė 6,07 proc.) ir viršijo Euro zonos vidurkį daugiau nei 1 proc. </w:t>
            </w:r>
            <w:r w:rsidR="009D620F" w:rsidRPr="00640D24">
              <w:rPr>
                <w:rFonts w:cs="Times New Roman"/>
                <w:sz w:val="21"/>
                <w:szCs w:val="21"/>
                <w:lang w:val="lt-LT"/>
              </w:rPr>
              <w:t>punktu. Apskritai, Lietuvos ir E</w:t>
            </w:r>
            <w:r w:rsidRPr="00640D24">
              <w:rPr>
                <w:rFonts w:cs="Times New Roman"/>
                <w:sz w:val="21"/>
                <w:szCs w:val="21"/>
                <w:lang w:val="lt-LT"/>
              </w:rPr>
              <w:t>uro zonos kredito įstaigų paskolų ne finansų bendrovėms palūkanų normos auga nuo 2022 m. vidurio ir per pirmus šešis 2023 m. mėnesius (iki birželio mėn.) padidėjo atitinkamai 1,27 ir 1,34 proc. punkto – iki 6,07 ir 4,78 proc. Augančios palūkanų normos mažina investicinių projektų gyvybingumą–atsiperkamumą ir atitinkamai mažina pačių investicijų patrauklumą. Remiantis Lietuvos pramonininkų konfederacijos narių–įmonių apklausa, o taip pat reprezentatyvia MVĮ ir DĮ apklausa, aukšta skolinimosi kaina yra viena iš svarbiausių priežasčių ribojančių išorinio finansavimo patrauklumą ir prieinamumą.</w:t>
            </w:r>
            <w:bookmarkEnd w:id="91"/>
          </w:p>
        </w:tc>
      </w:tr>
      <w:tr w:rsidR="00F858B8" w:rsidRPr="00640D24" w14:paraId="4AD54132" w14:textId="77777777" w:rsidTr="00916CE2">
        <w:trPr>
          <w:trHeight w:val="686"/>
        </w:trPr>
        <w:tc>
          <w:tcPr>
            <w:tcW w:w="4248" w:type="dxa"/>
            <w:shd w:val="clear" w:color="auto" w:fill="auto"/>
          </w:tcPr>
          <w:p w14:paraId="040EADD9" w14:textId="02D0DD04" w:rsidR="00F858B8" w:rsidRPr="00640D24" w:rsidRDefault="00F858B8" w:rsidP="00BF1832">
            <w:pPr>
              <w:jc w:val="both"/>
              <w:rPr>
                <w:rFonts w:cs="Times New Roman"/>
                <w:sz w:val="21"/>
                <w:szCs w:val="21"/>
                <w:lang w:val="lt-LT"/>
              </w:rPr>
            </w:pPr>
            <w:r w:rsidRPr="00640D24">
              <w:rPr>
                <w:rFonts w:cs="Times New Roman"/>
                <w:sz w:val="21"/>
                <w:szCs w:val="21"/>
                <w:lang w:val="lt-LT"/>
              </w:rPr>
              <w:t xml:space="preserve">Siūlomo finansavimo laikotarpis ir per dideli nuosavų lėšų ir garantijų </w:t>
            </w:r>
            <w:r w:rsidR="00F51C87" w:rsidRPr="00640D24">
              <w:rPr>
                <w:rFonts w:cs="Times New Roman"/>
                <w:sz w:val="21"/>
                <w:szCs w:val="21"/>
                <w:lang w:val="lt-LT"/>
              </w:rPr>
              <w:t>(</w:t>
            </w:r>
            <w:r w:rsidRPr="00640D24">
              <w:rPr>
                <w:rFonts w:cs="Times New Roman"/>
                <w:sz w:val="21"/>
                <w:szCs w:val="21"/>
                <w:lang w:val="lt-LT"/>
              </w:rPr>
              <w:t>laidavimo</w:t>
            </w:r>
            <w:r w:rsidR="00F51C87" w:rsidRPr="00640D24">
              <w:rPr>
                <w:rFonts w:cs="Times New Roman"/>
                <w:sz w:val="21"/>
                <w:szCs w:val="21"/>
                <w:lang w:val="lt-LT"/>
              </w:rPr>
              <w:t>)</w:t>
            </w:r>
            <w:r w:rsidRPr="00640D24">
              <w:rPr>
                <w:rFonts w:cs="Times New Roman"/>
                <w:sz w:val="21"/>
                <w:szCs w:val="21"/>
                <w:lang w:val="lt-LT"/>
              </w:rPr>
              <w:t xml:space="preserve"> reikalavimai </w:t>
            </w:r>
          </w:p>
        </w:tc>
        <w:tc>
          <w:tcPr>
            <w:tcW w:w="5499" w:type="dxa"/>
            <w:shd w:val="clear" w:color="auto" w:fill="auto"/>
          </w:tcPr>
          <w:p w14:paraId="42301CFF" w14:textId="50326E11" w:rsidR="00F858B8" w:rsidRPr="00640D24" w:rsidRDefault="00F858B8" w:rsidP="00C22996">
            <w:pPr>
              <w:spacing w:after="60" w:line="240" w:lineRule="auto"/>
              <w:jc w:val="both"/>
              <w:rPr>
                <w:rFonts w:cs="Times New Roman"/>
                <w:sz w:val="21"/>
                <w:szCs w:val="21"/>
                <w:lang w:val="lt-LT"/>
              </w:rPr>
            </w:pPr>
            <w:bookmarkStart w:id="92" w:name="_Hlk145928729"/>
            <w:r w:rsidRPr="00640D24">
              <w:rPr>
                <w:rFonts w:cs="Times New Roman"/>
                <w:sz w:val="21"/>
                <w:szCs w:val="21"/>
                <w:lang w:val="lt-LT"/>
              </w:rPr>
              <w:t xml:space="preserve">Dėl ribotos finansų įstaigų, o ypač komercinių bankų konkurencijos, daugumos kredito įstaigų rizikos tolerancija Lietuvoje yra labai žema. Žema rizikos tolerancija pasireiškia per kai kurioms įmonėms nepatrauklų siūlomą finansavimo laikotarpį, per didelius nuosavų lėšų ir garantijų </w:t>
            </w:r>
            <w:r w:rsidR="005E4930" w:rsidRPr="00640D24">
              <w:rPr>
                <w:rFonts w:cs="Times New Roman"/>
                <w:sz w:val="21"/>
                <w:szCs w:val="21"/>
                <w:lang w:val="lt-LT"/>
              </w:rPr>
              <w:t>(</w:t>
            </w:r>
            <w:r w:rsidRPr="00640D24">
              <w:rPr>
                <w:rFonts w:cs="Times New Roman"/>
                <w:sz w:val="21"/>
                <w:szCs w:val="21"/>
                <w:lang w:val="lt-LT"/>
              </w:rPr>
              <w:t>laidavimo</w:t>
            </w:r>
            <w:r w:rsidR="005E4930" w:rsidRPr="00640D24">
              <w:rPr>
                <w:rFonts w:cs="Times New Roman"/>
                <w:sz w:val="21"/>
                <w:szCs w:val="21"/>
                <w:lang w:val="lt-LT"/>
              </w:rPr>
              <w:t>)</w:t>
            </w:r>
            <w:r w:rsidRPr="00640D24">
              <w:rPr>
                <w:rFonts w:cs="Times New Roman"/>
                <w:sz w:val="21"/>
                <w:szCs w:val="21"/>
                <w:lang w:val="lt-LT"/>
              </w:rPr>
              <w:t xml:space="preserve"> reikalavimus. Per trumpas finansavimo laikotarpis dažnu atveju reiškia, kad per paskolos laikotarpį net ir gyvybingas projektas nespėja atsipirkti, o likusią paskolos dalį įmonė yra priversta dengti iš einamosios veiklos. Per didelis nuosavų lėšų reikalavimas reiškia, kad dalis investicinių projektų gali vėluoti, to</w:t>
            </w:r>
            <w:r w:rsidR="00A95437" w:rsidRPr="00640D24">
              <w:rPr>
                <w:rFonts w:cs="Times New Roman"/>
                <w:sz w:val="21"/>
                <w:szCs w:val="21"/>
                <w:lang w:val="lt-LT"/>
              </w:rPr>
              <w:t>l</w:t>
            </w:r>
            <w:r w:rsidRPr="00640D24">
              <w:rPr>
                <w:rFonts w:cs="Times New Roman"/>
                <w:sz w:val="21"/>
                <w:szCs w:val="21"/>
                <w:lang w:val="lt-LT"/>
              </w:rPr>
              <w:t xml:space="preserve"> kol įmonės surinks tinkamą lėšų dalį, arba tam tikra </w:t>
            </w:r>
            <w:r w:rsidRPr="00640D24">
              <w:rPr>
                <w:rFonts w:cs="Times New Roman"/>
                <w:sz w:val="21"/>
                <w:szCs w:val="21"/>
                <w:lang w:val="lt-LT"/>
              </w:rPr>
              <w:lastRenderedPageBreak/>
              <w:t>dalis investicijų gali būti sustabdytos visam laikui – surinkus reikiamą lėšų kiekį norimos investicijos jau gali būti netinkamos / pasenusios.</w:t>
            </w:r>
            <w:bookmarkEnd w:id="92"/>
          </w:p>
        </w:tc>
      </w:tr>
      <w:tr w:rsidR="00F858B8" w:rsidRPr="00640D24" w14:paraId="6194C48B" w14:textId="77777777" w:rsidTr="00916CE2">
        <w:trPr>
          <w:trHeight w:val="686"/>
        </w:trPr>
        <w:tc>
          <w:tcPr>
            <w:tcW w:w="4248" w:type="dxa"/>
            <w:shd w:val="clear" w:color="auto" w:fill="auto"/>
          </w:tcPr>
          <w:p w14:paraId="7232FDD8" w14:textId="77777777" w:rsidR="00F858B8" w:rsidRPr="00640D24" w:rsidRDefault="00F858B8" w:rsidP="00BF1832">
            <w:pPr>
              <w:jc w:val="both"/>
              <w:rPr>
                <w:rFonts w:cs="Times New Roman"/>
                <w:sz w:val="21"/>
                <w:szCs w:val="21"/>
                <w:lang w:val="lt-LT"/>
              </w:rPr>
            </w:pPr>
            <w:r w:rsidRPr="00640D24">
              <w:rPr>
                <w:rFonts w:cs="Times New Roman"/>
                <w:sz w:val="21"/>
                <w:szCs w:val="21"/>
                <w:lang w:val="lt-LT"/>
              </w:rPr>
              <w:lastRenderedPageBreak/>
              <w:t>Vykdomos veiklos sektorius ir tipas</w:t>
            </w:r>
          </w:p>
        </w:tc>
        <w:tc>
          <w:tcPr>
            <w:tcW w:w="5499" w:type="dxa"/>
            <w:shd w:val="clear" w:color="auto" w:fill="auto"/>
          </w:tcPr>
          <w:p w14:paraId="294129C7" w14:textId="76D4B285" w:rsidR="00F858B8" w:rsidRPr="00640D24" w:rsidRDefault="00F858B8" w:rsidP="00C22996">
            <w:pPr>
              <w:spacing w:after="60" w:line="240" w:lineRule="auto"/>
              <w:jc w:val="both"/>
              <w:rPr>
                <w:rFonts w:cs="Times New Roman"/>
                <w:sz w:val="21"/>
                <w:szCs w:val="21"/>
                <w:lang w:val="lt-LT"/>
              </w:rPr>
            </w:pPr>
            <w:r w:rsidRPr="00640D24">
              <w:rPr>
                <w:rFonts w:cs="Times New Roman"/>
                <w:sz w:val="21"/>
                <w:szCs w:val="21"/>
                <w:lang w:val="lt-LT"/>
              </w:rPr>
              <w:t>Finansų įstaigos yra mažiau suinteresuotos suteikti finansavimą įmonėms, kurių rinka tuo metu kinta ir susiduria su tam tikrai</w:t>
            </w:r>
            <w:r w:rsidR="00DF086A" w:rsidRPr="00640D24">
              <w:rPr>
                <w:rFonts w:cs="Times New Roman"/>
                <w:sz w:val="21"/>
                <w:szCs w:val="21"/>
                <w:lang w:val="lt-LT"/>
              </w:rPr>
              <w:t>s</w:t>
            </w:r>
            <w:r w:rsidRPr="00640D24">
              <w:rPr>
                <w:rFonts w:cs="Times New Roman"/>
                <w:sz w:val="21"/>
                <w:szCs w:val="21"/>
                <w:lang w:val="lt-LT"/>
              </w:rPr>
              <w:t xml:space="preserve"> sunkumais (pvz.: </w:t>
            </w:r>
            <w:r w:rsidR="00BB1D5C" w:rsidRPr="00640D24">
              <w:rPr>
                <w:rFonts w:cs="Times New Roman"/>
                <w:sz w:val="21"/>
                <w:szCs w:val="21"/>
                <w:lang w:val="lt-LT"/>
              </w:rPr>
              <w:t>turizmo sektorius per COVID</w:t>
            </w:r>
            <w:r w:rsidR="00645085" w:rsidRPr="00640D24">
              <w:rPr>
                <w:rFonts w:cs="Times New Roman"/>
                <w:sz w:val="21"/>
                <w:szCs w:val="21"/>
                <w:lang w:val="lt-LT"/>
              </w:rPr>
              <w:t>–</w:t>
            </w:r>
            <w:r w:rsidR="00BB1D5C" w:rsidRPr="00640D24">
              <w:rPr>
                <w:rFonts w:cs="Times New Roman"/>
                <w:sz w:val="21"/>
                <w:szCs w:val="21"/>
                <w:lang w:val="lt-LT"/>
              </w:rPr>
              <w:t>19 pandemiją</w:t>
            </w:r>
            <w:r w:rsidRPr="00640D24">
              <w:rPr>
                <w:rFonts w:cs="Times New Roman"/>
                <w:sz w:val="21"/>
                <w:szCs w:val="21"/>
                <w:lang w:val="lt-LT"/>
              </w:rPr>
              <w:t>, stambesnių statybos įmonių bankrotai). Dalis finansų įstaigų taip pat skeptiškai</w:t>
            </w:r>
            <w:r w:rsidR="00817F21" w:rsidRPr="00640D24">
              <w:rPr>
                <w:rFonts w:cs="Times New Roman"/>
                <w:sz w:val="21"/>
                <w:szCs w:val="21"/>
                <w:lang w:val="lt-LT"/>
              </w:rPr>
              <w:t xml:space="preserve"> žiūri</w:t>
            </w:r>
            <w:r w:rsidRPr="00640D24">
              <w:rPr>
                <w:rFonts w:cs="Times New Roman"/>
                <w:sz w:val="21"/>
                <w:szCs w:val="21"/>
                <w:lang w:val="lt-LT"/>
              </w:rPr>
              <w:t xml:space="preserve"> į lošimų, tabako, taip pat gynybos ir saugumo sektorių finansavimo galimybes. Dėl pastarojo sektoriaus vykdomos veiklos specifikos, o taip pat rizikos, kad sektoriaus gaminama produkcija gali patekti į sankcionuotas ar padidintos rizikos valstybes, išorinio finansavimo prieinamumas šio sektoriaus įmonėms yra apribotas, o alternatyvių finansuotojų siūloma kaina yra ženkliai didesnė.</w:t>
            </w:r>
            <w:r w:rsidR="00645085" w:rsidRPr="00640D24">
              <w:rPr>
                <w:rFonts w:cs="Times New Roman"/>
                <w:sz w:val="21"/>
                <w:szCs w:val="21"/>
                <w:lang w:val="lt-LT"/>
              </w:rPr>
              <w:t xml:space="preserve"> </w:t>
            </w:r>
          </w:p>
          <w:p w14:paraId="43EC76C2" w14:textId="1E8DC62E" w:rsidR="00F858B8" w:rsidRPr="00640D24" w:rsidRDefault="005E4930" w:rsidP="00C22996">
            <w:pPr>
              <w:spacing w:after="60" w:line="240" w:lineRule="auto"/>
              <w:jc w:val="both"/>
              <w:rPr>
                <w:rFonts w:cs="Times New Roman"/>
                <w:sz w:val="21"/>
                <w:szCs w:val="21"/>
                <w:lang w:val="lt-LT"/>
              </w:rPr>
            </w:pPr>
            <w:r w:rsidRPr="00640D24">
              <w:rPr>
                <w:rFonts w:cs="Times New Roman"/>
                <w:sz w:val="21"/>
                <w:szCs w:val="21"/>
                <w:lang w:val="lt-LT"/>
              </w:rPr>
              <w:t>Finansų įstaigos taip pat skeptiškai vertina aukštos rizikos veiklų (kaip antai, MTEP veiklų) arba netipinių / netradicinių veiklų finansavimą. MTEP veikla pagal savo apibrėžimą yra novatoriška ir, kadangi apie konkrečios MTEP veiklos sėkmingumą yra labai mažai informacijos, tai tokios veiklos finansavimo rizika yra labai didelė. Netipinės veiklos / projektai, apie kuriuos yra mažai informacijos, taip pat yra pakankamai rizikingos. Tokių veiklų atvejais finansų įstaigos nėra linkusios prisiimti aukštos finansavimo rizikos ir labai išimtinais atvejais finansuoja tokias veiklas.</w:t>
            </w:r>
          </w:p>
        </w:tc>
      </w:tr>
      <w:tr w:rsidR="00F858B8" w:rsidRPr="00640D24" w14:paraId="34734A6A" w14:textId="77777777" w:rsidTr="00916CE2">
        <w:trPr>
          <w:trHeight w:val="686"/>
        </w:trPr>
        <w:tc>
          <w:tcPr>
            <w:tcW w:w="4248" w:type="dxa"/>
            <w:shd w:val="clear" w:color="auto" w:fill="auto"/>
          </w:tcPr>
          <w:p w14:paraId="2345010F" w14:textId="77777777" w:rsidR="00F858B8" w:rsidRPr="00640D24" w:rsidRDefault="00F858B8" w:rsidP="00BF1832">
            <w:pPr>
              <w:jc w:val="both"/>
              <w:rPr>
                <w:rFonts w:cs="Times New Roman"/>
                <w:sz w:val="21"/>
                <w:szCs w:val="21"/>
                <w:lang w:val="lt-LT"/>
              </w:rPr>
            </w:pPr>
            <w:r w:rsidRPr="00640D24">
              <w:rPr>
                <w:rFonts w:cs="Times New Roman"/>
                <w:sz w:val="21"/>
                <w:szCs w:val="21"/>
                <w:lang w:val="lt-LT"/>
              </w:rPr>
              <w:t>Kredito įstaigų disponuojamas kapitalas kartais yra per mažas norimam gauti finansavimui</w:t>
            </w:r>
          </w:p>
        </w:tc>
        <w:tc>
          <w:tcPr>
            <w:tcW w:w="5499" w:type="dxa"/>
            <w:shd w:val="clear" w:color="auto" w:fill="auto"/>
          </w:tcPr>
          <w:p w14:paraId="294659E4" w14:textId="251FFA3B" w:rsidR="00F858B8" w:rsidRPr="00640D24" w:rsidRDefault="00F858B8" w:rsidP="00C22996">
            <w:pPr>
              <w:spacing w:after="60" w:line="240" w:lineRule="auto"/>
              <w:jc w:val="both"/>
              <w:rPr>
                <w:rFonts w:cs="Times New Roman"/>
                <w:sz w:val="21"/>
                <w:szCs w:val="21"/>
                <w:lang w:val="lt-LT"/>
              </w:rPr>
            </w:pPr>
            <w:bookmarkStart w:id="93" w:name="_Hlk145928968"/>
            <w:r w:rsidRPr="00640D24">
              <w:rPr>
                <w:rFonts w:cs="Times New Roman"/>
                <w:sz w:val="21"/>
                <w:szCs w:val="21"/>
                <w:lang w:val="lt-LT"/>
              </w:rPr>
              <w:t>Kredito įstaigų suteikiamos maksimalios paskolos dydį riboja kredito įstaigų nuosavas kapitalas (t.</w:t>
            </w:r>
            <w:r w:rsidR="0070784F" w:rsidRPr="00640D24">
              <w:rPr>
                <w:rFonts w:cs="Times New Roman"/>
                <w:sz w:val="21"/>
                <w:szCs w:val="21"/>
                <w:lang w:val="lt-LT"/>
              </w:rPr>
              <w:t xml:space="preserve"> </w:t>
            </w:r>
            <w:r w:rsidRPr="00640D24">
              <w:rPr>
                <w:rFonts w:cs="Times New Roman"/>
                <w:sz w:val="21"/>
                <w:szCs w:val="21"/>
                <w:lang w:val="lt-LT"/>
              </w:rPr>
              <w:t>y. kredito įstaigos negali suteikti didesnės paskolos nei konkretus santykis nuo kredito įstaigų turimo kapitalo, kaip tai nu</w:t>
            </w:r>
            <w:r w:rsidR="001A6991" w:rsidRPr="00640D24">
              <w:rPr>
                <w:rFonts w:cs="Times New Roman"/>
                <w:sz w:val="21"/>
                <w:szCs w:val="21"/>
                <w:lang w:val="lt-LT"/>
              </w:rPr>
              <w:t>mato Lietuvos banko ribojimai).</w:t>
            </w:r>
            <w:r w:rsidRPr="00640D24">
              <w:rPr>
                <w:rFonts w:cs="Times New Roman"/>
                <w:sz w:val="21"/>
                <w:szCs w:val="21"/>
                <w:lang w:val="lt-LT"/>
              </w:rPr>
              <w:t xml:space="preserve"> Atsižvelgiant į tai, jeigu projektas yra labai didelis, kai kuriais atvejais kredito įstaigos tiesiog negali pajėgti finansuoti tokių didelių projektų. Tai atitinkamai reiškia, kad įmonės turi ieškoti pačios papildomų lėšų ir galimai atidėti norimo projekto įgyvendinimo laiką arba turi įgyvendinti mažesnės apimties projektą, kuris iki galo neatitinka pačios įmonės lūkesčių, o taip pat riboja įmonės augimo galimybes. Svarbu pastebėti, kad kai kuriais atvejais, net jeigu ir kredito įstaiga gali finansuoti didelį projektą, pačios kredito įstaigos nenori prisiimti tokios didelės rizikos ir maksimalia suma finansuoti konkretaus projekto. Dėl šios priežasties įmonės taip pat yra priverstos ieškoti papildomo nuosavo finansavimo galimybių arba įgyvendinti mažesnės apimties projektą. </w:t>
            </w:r>
          </w:p>
          <w:p w14:paraId="0AF35793" w14:textId="77777777" w:rsidR="00F858B8" w:rsidRPr="00640D24" w:rsidRDefault="00F858B8" w:rsidP="009D32BF">
            <w:pPr>
              <w:spacing w:after="60" w:line="240" w:lineRule="auto"/>
              <w:jc w:val="both"/>
              <w:rPr>
                <w:rFonts w:cs="Times New Roman"/>
                <w:sz w:val="21"/>
                <w:szCs w:val="21"/>
                <w:lang w:val="lt-LT"/>
              </w:rPr>
            </w:pPr>
            <w:r w:rsidRPr="00640D24">
              <w:rPr>
                <w:rFonts w:cs="Times New Roman"/>
                <w:sz w:val="21"/>
                <w:szCs w:val="21"/>
                <w:lang w:val="lt-LT"/>
              </w:rPr>
              <w:t>Kai kuriais atvejais, pačios įmonės jau turi pakankamai aukštą įsiskolinimo lygį iš tos pačios kredito įstaigos. Ir nors tokia įmonė norėtų ir galėtų prisiimti papildomus paskolinius įsipareigojimus, bankas nenori per daug „susisieti“ su viena įmone.</w:t>
            </w:r>
            <w:bookmarkEnd w:id="93"/>
          </w:p>
        </w:tc>
      </w:tr>
    </w:tbl>
    <w:p w14:paraId="45FA9E32" w14:textId="77777777" w:rsidR="00F858B8" w:rsidRPr="00640D24" w:rsidRDefault="00F858B8" w:rsidP="00F858B8">
      <w:r w:rsidRPr="00640D24">
        <w:rPr>
          <w:rFonts w:cs="Times New Roman"/>
          <w:sz w:val="18"/>
          <w:szCs w:val="20"/>
        </w:rPr>
        <w:t>Šaltinis: sudaryta Vertintojų.</w:t>
      </w:r>
    </w:p>
    <w:p w14:paraId="1D453622" w14:textId="77777777" w:rsidR="005E4930" w:rsidRPr="00640D24" w:rsidRDefault="005E4930" w:rsidP="005E4930">
      <w:pPr>
        <w:spacing w:before="60" w:after="60" w:line="240" w:lineRule="auto"/>
        <w:ind w:firstLine="561"/>
        <w:jc w:val="both"/>
        <w:rPr>
          <w:sz w:val="22"/>
          <w:szCs w:val="22"/>
        </w:rPr>
      </w:pPr>
      <w:bookmarkStart w:id="94" w:name="_Hlk145929133"/>
      <w:r w:rsidRPr="00640D24">
        <w:rPr>
          <w:sz w:val="22"/>
          <w:szCs w:val="22"/>
        </w:rPr>
        <w:t xml:space="preserve">Žemas įsiskolinimo lygis dažnu atveju sietinas su šalies finansiniu stabilumu ir stipria įmonių situacija. Žemas įsiskolinimo lygis taip pat gali </w:t>
      </w:r>
      <w:proofErr w:type="spellStart"/>
      <w:r w:rsidRPr="00640D24">
        <w:rPr>
          <w:sz w:val="22"/>
          <w:szCs w:val="22"/>
        </w:rPr>
        <w:t>indikuoti</w:t>
      </w:r>
      <w:proofErr w:type="spellEnd"/>
      <w:r w:rsidRPr="00640D24">
        <w:rPr>
          <w:sz w:val="22"/>
          <w:szCs w:val="22"/>
        </w:rPr>
        <w:t xml:space="preserve"> mažą tiek finansuotojų, tiek pačių įmonių rizikos apetitą ir atitinkamai apribotas arba mažesnes nei potencialas ekonominio augimo galimybes</w:t>
      </w:r>
      <w:r w:rsidRPr="00640D24">
        <w:rPr>
          <w:b/>
          <w:bCs/>
          <w:sz w:val="22"/>
          <w:szCs w:val="22"/>
        </w:rPr>
        <w:t xml:space="preserve">. </w:t>
      </w:r>
      <w:r w:rsidRPr="00640D24">
        <w:rPr>
          <w:sz w:val="22"/>
          <w:szCs w:val="22"/>
        </w:rPr>
        <w:t xml:space="preserve">Taip pat pastebėtina, kad nors dalį išorinio finansavimo rinkos problemų ir trūkumų galima sieti su pačių įmonių problematika (kaip antai, įmonių finansinio raštingumo trūkumas, žemas informacijos lygis, finansinės atskaitomybės apskaitos problema ar veikimas, turint neigiamą kapitalą), reikšminga dalis aprašytų išorinių finansavimo rinkos </w:t>
      </w:r>
      <w:r w:rsidRPr="00640D24">
        <w:rPr>
          <w:sz w:val="22"/>
          <w:szCs w:val="22"/>
        </w:rPr>
        <w:lastRenderedPageBreak/>
        <w:t xml:space="preserve">problemų yra nulemtos pačios rinkos struktūros: Lietuvos išorinio finansavimo rinkoje yra santykinai maža konkurencija, kapitalo rinkos nėra pakankamai išvystytos, o alternatyviųjų finansuotojų pajėgumai yra santykinai maži (dėl šių priežasčių dalis didelių įmonių finansavimo ieško pas institucinius bankus ar kreipiasi į kitų šalių kreditavimo įstaigas). Šių problemų visuma lemia reikšmingą dalį aukščiau lentelėje išvardytų problemų ir tai, kad Lietuvoje išorinio finansavimo kaina ir reikalavimai gali būti aukštesni, o rizikos tolerancija mažesnė nei kitose valstybėse. Tai atitinkamai reiškia, kad išorinio finansavimo sistema ne visada gali sėkmingai atliepti įmonių lūkesčius, o taip pat užtikrinti adekvatų investicijų finansavimo srautą, kai jo labiausiai reikia. Pavyzdžiui, Lietuvoje išorinio finansavimo prieinamumas yra labai </w:t>
      </w:r>
      <w:proofErr w:type="spellStart"/>
      <w:r w:rsidRPr="00640D24">
        <w:rPr>
          <w:sz w:val="22"/>
          <w:szCs w:val="22"/>
        </w:rPr>
        <w:t>procikliškas</w:t>
      </w:r>
      <w:proofErr w:type="spellEnd"/>
      <w:r w:rsidRPr="00640D24">
        <w:rPr>
          <w:sz w:val="22"/>
          <w:szCs w:val="22"/>
        </w:rPr>
        <w:t xml:space="preserve"> ir sulėtėjant verslo ciklui, išorinio finansavimo reikalavimai ir kaina padidėja labiau nei kitose ES valstybėse. Tokia situacija sąlygoja tai, kad kriziniais laikotarpiais arba laikotarpiais, kai stebimas ekonomikos sulėtėjimas, įmonėms gali būti sunkiau valdyti finansinius srautus, pasinaudoti krizine situacija investuojant į plėtrą ar inovacijas, išsaugoti darbo vietas, o taip pat pasiruošti sėkmingiau ateinančioms krizėms. </w:t>
      </w:r>
    </w:p>
    <w:bookmarkEnd w:id="94"/>
    <w:p w14:paraId="73620357" w14:textId="096E1816" w:rsidR="00C34354" w:rsidRPr="00640D24" w:rsidRDefault="00C34354" w:rsidP="007E5774">
      <w:pPr>
        <w:spacing w:before="60" w:after="60" w:line="240" w:lineRule="auto"/>
        <w:ind w:firstLine="562"/>
        <w:jc w:val="both"/>
        <w:rPr>
          <w:sz w:val="22"/>
          <w:szCs w:val="22"/>
        </w:rPr>
      </w:pPr>
      <w:r w:rsidRPr="00640D24">
        <w:rPr>
          <w:sz w:val="22"/>
          <w:szCs w:val="22"/>
        </w:rPr>
        <w:t>Aprašytų investicijų (</w:t>
      </w:r>
      <w:r w:rsidR="006A7F37" w:rsidRPr="00640D24">
        <w:rPr>
          <w:sz w:val="22"/>
          <w:szCs w:val="22"/>
        </w:rPr>
        <w:t>žaliųjų ir aukštos pridėtinės vertės technologijų vystym</w:t>
      </w:r>
      <w:r w:rsidR="007C5F7B" w:rsidRPr="00640D24">
        <w:rPr>
          <w:sz w:val="22"/>
          <w:szCs w:val="22"/>
        </w:rPr>
        <w:t>o</w:t>
      </w:r>
      <w:r w:rsidRPr="00640D24">
        <w:rPr>
          <w:sz w:val="22"/>
          <w:szCs w:val="22"/>
        </w:rPr>
        <w:t>) finansavimą didelių projektų atvejais labiausiai riboja jau anksčiau aprašyti kredito įstaigų skolinimo ribojimai, kurie atsiranda dėl per mažo kredito įstaigų nuosavo kapitalo santykio su reikiama paskola. Kredito</w:t>
      </w:r>
      <w:r w:rsidR="005E4930" w:rsidRPr="00640D24">
        <w:rPr>
          <w:sz w:val="22"/>
          <w:szCs w:val="22"/>
        </w:rPr>
        <w:t xml:space="preserve"> įstaigos negali suteikti didesnės paskolos nei konkretus santykis nuo kredito įstaigų turimo kapitalo, kaip tai numato Lietuvos banko ribojimai. </w:t>
      </w:r>
      <w:r w:rsidR="002A5B0A" w:rsidRPr="00640D24">
        <w:rPr>
          <w:sz w:val="22"/>
          <w:szCs w:val="22"/>
        </w:rPr>
        <w:t>J</w:t>
      </w:r>
      <w:r w:rsidR="005E4930" w:rsidRPr="00640D24">
        <w:rPr>
          <w:sz w:val="22"/>
          <w:szCs w:val="22"/>
        </w:rPr>
        <w:t xml:space="preserve">eigu projektas yra labai didelis, kai kuriais atvejais atskiros kredito įstaigos tiesiog </w:t>
      </w:r>
      <w:r w:rsidR="002A5B0A" w:rsidRPr="00640D24">
        <w:rPr>
          <w:sz w:val="22"/>
          <w:szCs w:val="22"/>
        </w:rPr>
        <w:t>nepajėgia</w:t>
      </w:r>
      <w:r w:rsidR="005E4930" w:rsidRPr="00640D24">
        <w:rPr>
          <w:sz w:val="22"/>
          <w:szCs w:val="22"/>
        </w:rPr>
        <w:t xml:space="preserve"> finansuoti tokių didelių projektų. Tai atitinkamai reiškia, kad įmonės turi ieškoti pačios papildomų lėšų ir galimai atidėti norimo projekto įgyvendinimo laiką arba turi įgyvendinti mažesnės apimties projektą, kuris iki galo neatitinka pačios įmonės lūkesčių, o taip pat riboja įmonės augimo galimybes. Svarbu pastebėti, kad kai kuriais atvejais, net jeigu ir kredito įstaiga gali finansuoti didelį projektą, pačios kredito įstaigos nenori prisiimti tokios didelės rizikos ir maksimalia suma finansuoti konkretaus projekto. Dėl šios priežasties įmonės taip pat yra priverstos ieškoti papildomo nuosavo finansavimo galimybių arba įgyvendinti mažesnės apimties projektą.</w:t>
      </w:r>
      <w:r w:rsidR="007E5774" w:rsidRPr="00640D24">
        <w:rPr>
          <w:sz w:val="22"/>
          <w:szCs w:val="22"/>
        </w:rPr>
        <w:t xml:space="preserve"> Taigi, dėl finansų įstaigų galėjimo finansuoti tik tam tikrą dalį didelio projekto (iki 40 proc.), visą likusią projekto dalį įmonės turi finansuotis pačios arba, kaip jau minėta, įgyvendinti mažesnės apimties projektą.</w:t>
      </w:r>
    </w:p>
    <w:p w14:paraId="026597BE" w14:textId="37FF1888" w:rsidR="00EC0091" w:rsidRPr="00640D24" w:rsidRDefault="006A7F37" w:rsidP="00EC0091">
      <w:pPr>
        <w:spacing w:before="60" w:after="60" w:line="240" w:lineRule="auto"/>
        <w:ind w:firstLine="562"/>
        <w:jc w:val="both"/>
        <w:rPr>
          <w:rFonts w:cs="Times New Roman"/>
          <w:sz w:val="22"/>
          <w:szCs w:val="22"/>
        </w:rPr>
      </w:pPr>
      <w:r w:rsidRPr="00640D24">
        <w:rPr>
          <w:rFonts w:cs="Times New Roman"/>
          <w:sz w:val="22"/>
          <w:szCs w:val="22"/>
        </w:rPr>
        <w:t>Tokiu atveju a</w:t>
      </w:r>
      <w:r w:rsidR="007E5774" w:rsidRPr="00640D24">
        <w:rPr>
          <w:rFonts w:cs="Times New Roman"/>
          <w:sz w:val="22"/>
          <w:szCs w:val="22"/>
        </w:rPr>
        <w:t>prašytą</w:t>
      </w:r>
      <w:r w:rsidR="005E4930" w:rsidRPr="00640D24">
        <w:rPr>
          <w:rFonts w:cs="Times New Roman"/>
          <w:sz w:val="22"/>
          <w:szCs w:val="22"/>
        </w:rPr>
        <w:t xml:space="preserve"> rinkos trūkumą </w:t>
      </w:r>
      <w:r w:rsidR="007E5774" w:rsidRPr="00640D24">
        <w:rPr>
          <w:rFonts w:cs="Times New Roman"/>
          <w:sz w:val="22"/>
          <w:szCs w:val="22"/>
        </w:rPr>
        <w:t>padėtų</w:t>
      </w:r>
      <w:r w:rsidR="005E4930" w:rsidRPr="00640D24">
        <w:rPr>
          <w:rFonts w:cs="Times New Roman"/>
          <w:sz w:val="22"/>
          <w:szCs w:val="22"/>
        </w:rPr>
        <w:t xml:space="preserve"> išspręsti subordinuotų ir sindikuotų paskolų </w:t>
      </w:r>
      <w:r w:rsidR="005E4930" w:rsidRPr="00640D24">
        <w:rPr>
          <w:sz w:val="22"/>
        </w:rPr>
        <w:t>FP</w:t>
      </w:r>
      <w:r w:rsidR="005E4930" w:rsidRPr="00640D24">
        <w:rPr>
          <w:rFonts w:cs="Times New Roman"/>
          <w:sz w:val="22"/>
          <w:szCs w:val="22"/>
        </w:rPr>
        <w:t xml:space="preserve"> sukūrimas.</w:t>
      </w:r>
      <w:r w:rsidR="007E5774" w:rsidRPr="00640D24">
        <w:rPr>
          <w:rFonts w:cs="Times New Roman"/>
          <w:sz w:val="22"/>
          <w:szCs w:val="22"/>
        </w:rPr>
        <w:t xml:space="preserve"> </w:t>
      </w:r>
      <w:r w:rsidR="005E4930" w:rsidRPr="00640D24">
        <w:rPr>
          <w:rFonts w:cs="Times New Roman"/>
          <w:sz w:val="22"/>
          <w:szCs w:val="22"/>
        </w:rPr>
        <w:t>Abi finansinės priemonės leistų užtikrinti didesnį prieinamų lėšų kiekį įmonėms</w:t>
      </w:r>
      <w:r w:rsidR="007E5774" w:rsidRPr="00640D24">
        <w:rPr>
          <w:rFonts w:cs="Times New Roman"/>
          <w:sz w:val="22"/>
          <w:szCs w:val="22"/>
        </w:rPr>
        <w:t>. D</w:t>
      </w:r>
      <w:r w:rsidR="005E4930" w:rsidRPr="00640D24">
        <w:rPr>
          <w:rFonts w:cs="Times New Roman"/>
          <w:sz w:val="22"/>
          <w:szCs w:val="22"/>
        </w:rPr>
        <w:t xml:space="preserve">ėl kapitalo ribojimų </w:t>
      </w:r>
      <w:r w:rsidR="007E5774" w:rsidRPr="00640D24">
        <w:rPr>
          <w:rFonts w:cs="Times New Roman"/>
          <w:sz w:val="22"/>
          <w:szCs w:val="22"/>
        </w:rPr>
        <w:t>ir</w:t>
      </w:r>
      <w:r w:rsidR="005E4930" w:rsidRPr="00640D24">
        <w:rPr>
          <w:rFonts w:cs="Times New Roman"/>
          <w:sz w:val="22"/>
          <w:szCs w:val="22"/>
        </w:rPr>
        <w:t xml:space="preserve"> rizikos valdymo priežasčių kredito įstaigo</w:t>
      </w:r>
      <w:r w:rsidR="007E5774" w:rsidRPr="00640D24">
        <w:rPr>
          <w:rFonts w:cs="Times New Roman"/>
          <w:sz w:val="22"/>
          <w:szCs w:val="22"/>
        </w:rPr>
        <w:t>m</w:t>
      </w:r>
      <w:r w:rsidR="005E4930" w:rsidRPr="00640D24">
        <w:rPr>
          <w:rFonts w:cs="Times New Roman"/>
          <w:sz w:val="22"/>
          <w:szCs w:val="22"/>
        </w:rPr>
        <w:t xml:space="preserve">s </w:t>
      </w:r>
      <w:r w:rsidR="007E5774" w:rsidRPr="00640D24">
        <w:rPr>
          <w:rFonts w:cs="Times New Roman"/>
          <w:sz w:val="22"/>
          <w:szCs w:val="22"/>
        </w:rPr>
        <w:t>nefinansuojant didelių projektų visa apimtimi</w:t>
      </w:r>
      <w:r w:rsidR="007E5774" w:rsidRPr="00640D24">
        <w:rPr>
          <w:rStyle w:val="Puslapioinaosnuoroda"/>
          <w:rFonts w:cs="Times New Roman"/>
          <w:sz w:val="22"/>
          <w:szCs w:val="22"/>
        </w:rPr>
        <w:footnoteReference w:id="87"/>
      </w:r>
      <w:r w:rsidR="005E4930" w:rsidRPr="00640D24">
        <w:rPr>
          <w:rFonts w:cs="Times New Roman"/>
          <w:sz w:val="22"/>
          <w:szCs w:val="22"/>
        </w:rPr>
        <w:t>, finansinės priemonės galėtų užtikrinti likusią reikiamo finansavimo dalį. Kadangi įmonės, kurios įgyvendina didelius projektus, jau turi užmezgusios ryšius su kredito įstaigomis, tai</w:t>
      </w:r>
      <w:r w:rsidR="007E5774" w:rsidRPr="00640D24">
        <w:rPr>
          <w:rFonts w:cs="Times New Roman"/>
          <w:sz w:val="22"/>
          <w:szCs w:val="22"/>
        </w:rPr>
        <w:t xml:space="preserve"> prie didelių paskolų</w:t>
      </w:r>
      <w:r w:rsidR="005E4930" w:rsidRPr="00640D24">
        <w:rPr>
          <w:rFonts w:cs="Times New Roman"/>
          <w:sz w:val="22"/>
          <w:szCs w:val="22"/>
        </w:rPr>
        <w:t xml:space="preserve"> portfelio formavim</w:t>
      </w:r>
      <w:r w:rsidR="007E5774" w:rsidRPr="00640D24">
        <w:rPr>
          <w:rFonts w:cs="Times New Roman"/>
          <w:sz w:val="22"/>
          <w:szCs w:val="22"/>
        </w:rPr>
        <w:t>o</w:t>
      </w:r>
      <w:r w:rsidR="005E4930" w:rsidRPr="00640D24">
        <w:rPr>
          <w:rFonts w:cs="Times New Roman"/>
          <w:sz w:val="22"/>
          <w:szCs w:val="22"/>
        </w:rPr>
        <w:t xml:space="preserve"> </w:t>
      </w:r>
      <w:r w:rsidR="007E5774" w:rsidRPr="00640D24">
        <w:rPr>
          <w:rFonts w:cs="Times New Roman"/>
          <w:sz w:val="22"/>
          <w:szCs w:val="22"/>
        </w:rPr>
        <w:t>galėtų prisidėti</w:t>
      </w:r>
      <w:r w:rsidR="005E4930" w:rsidRPr="00640D24">
        <w:rPr>
          <w:rFonts w:cs="Times New Roman"/>
          <w:sz w:val="22"/>
          <w:szCs w:val="22"/>
        </w:rPr>
        <w:t xml:space="preserve"> </w:t>
      </w:r>
      <w:r w:rsidR="00EC0091" w:rsidRPr="00640D24">
        <w:rPr>
          <w:rFonts w:cs="Times New Roman"/>
          <w:sz w:val="22"/>
          <w:szCs w:val="22"/>
        </w:rPr>
        <w:t xml:space="preserve">pačios </w:t>
      </w:r>
      <w:r w:rsidR="005E4930" w:rsidRPr="00640D24">
        <w:rPr>
          <w:rFonts w:cs="Times New Roman"/>
          <w:sz w:val="22"/>
          <w:szCs w:val="22"/>
        </w:rPr>
        <w:t xml:space="preserve">kredito įstaigos. Kredito įstaigos ar pats paskolos prašytojas, matydamas, kad kredito įstaigų suteikiamas finansavimas kartu su projekto įgyvendintojo dalimi nėra pakankami projekto įgyvendinimui, galėtų kreiptis į NPĮ papildomam finansavimui. </w:t>
      </w:r>
      <w:r w:rsidRPr="00640D24">
        <w:rPr>
          <w:rFonts w:cs="Times New Roman"/>
          <w:sz w:val="22"/>
          <w:szCs w:val="22"/>
        </w:rPr>
        <w:t xml:space="preserve">Pažymėtina, kad </w:t>
      </w:r>
      <w:r w:rsidR="00547815" w:rsidRPr="00640D24">
        <w:rPr>
          <w:rFonts w:cs="Times New Roman"/>
          <w:sz w:val="22"/>
          <w:szCs w:val="22"/>
        </w:rPr>
        <w:t>kai kurios sritys visgi lieka nepatrauklios finansų įstaigoms. Į</w:t>
      </w:r>
      <w:r w:rsidRPr="00640D24">
        <w:rPr>
          <w:rFonts w:cs="Times New Roman"/>
          <w:sz w:val="22"/>
          <w:szCs w:val="22"/>
        </w:rPr>
        <w:t xml:space="preserve">monės, įgyvendindamos </w:t>
      </w:r>
      <w:r w:rsidR="003F5A86" w:rsidRPr="00640D24">
        <w:rPr>
          <w:rFonts w:cs="Times New Roman"/>
          <w:sz w:val="22"/>
          <w:szCs w:val="22"/>
        </w:rPr>
        <w:t>didesnės rizikos</w:t>
      </w:r>
      <w:r w:rsidR="00547815" w:rsidRPr="00640D24">
        <w:rPr>
          <w:rFonts w:cs="Times New Roman"/>
          <w:sz w:val="22"/>
          <w:szCs w:val="22"/>
        </w:rPr>
        <w:t>, su inovacijomis susijusius</w:t>
      </w:r>
      <w:r w:rsidRPr="00640D24">
        <w:rPr>
          <w:rFonts w:cs="Times New Roman"/>
          <w:sz w:val="22"/>
          <w:szCs w:val="22"/>
        </w:rPr>
        <w:t xml:space="preserve"> žaliųjų ir aukštos pridėtinės vertės technologijų vystymo projektus, susiduria</w:t>
      </w:r>
      <w:r w:rsidR="00AE2B97" w:rsidRPr="00640D24">
        <w:rPr>
          <w:rFonts w:cs="Times New Roman"/>
          <w:sz w:val="22"/>
          <w:szCs w:val="22"/>
        </w:rPr>
        <w:t xml:space="preserve"> </w:t>
      </w:r>
      <w:r w:rsidR="00547815" w:rsidRPr="00640D24">
        <w:rPr>
          <w:rFonts w:cs="Times New Roman"/>
          <w:sz w:val="22"/>
          <w:szCs w:val="22"/>
        </w:rPr>
        <w:t>su išorinio finansavimo trūkumo</w:t>
      </w:r>
      <w:r w:rsidRPr="00640D24">
        <w:rPr>
          <w:rFonts w:cs="Times New Roman"/>
          <w:sz w:val="22"/>
          <w:szCs w:val="22"/>
        </w:rPr>
        <w:t xml:space="preserve"> </w:t>
      </w:r>
      <w:r w:rsidR="00547815" w:rsidRPr="00640D24">
        <w:rPr>
          <w:rFonts w:cs="Times New Roman"/>
          <w:sz w:val="22"/>
          <w:szCs w:val="22"/>
        </w:rPr>
        <w:t>problema</w:t>
      </w:r>
      <w:r w:rsidRPr="00640D24">
        <w:rPr>
          <w:rFonts w:cs="Times New Roman"/>
          <w:sz w:val="22"/>
          <w:szCs w:val="22"/>
        </w:rPr>
        <w:t xml:space="preserve">, kuri lemia tiesioginių paskolų poreikį šioje srityje. </w:t>
      </w:r>
      <w:r w:rsidR="005E4930" w:rsidRPr="00640D24">
        <w:rPr>
          <w:rFonts w:cs="Times New Roman"/>
          <w:sz w:val="22"/>
          <w:szCs w:val="22"/>
        </w:rPr>
        <w:t xml:space="preserve">Rekomenduojamų įgyvendinti FP aprašas yra pateikiamas žemiau esančioje lentelėje. </w:t>
      </w:r>
    </w:p>
    <w:p w14:paraId="019F9841" w14:textId="38B54DA8" w:rsidR="005E4930" w:rsidRPr="00640D24" w:rsidRDefault="00EC0091" w:rsidP="00A26102">
      <w:pPr>
        <w:spacing w:before="60" w:after="60" w:line="240" w:lineRule="auto"/>
        <w:ind w:firstLine="562"/>
        <w:jc w:val="both"/>
        <w:rPr>
          <w:sz w:val="22"/>
          <w:szCs w:val="22"/>
        </w:rPr>
      </w:pPr>
      <w:r w:rsidRPr="00640D24">
        <w:rPr>
          <w:rFonts w:cs="Times New Roman"/>
          <w:sz w:val="22"/>
          <w:szCs w:val="22"/>
        </w:rPr>
        <w:t xml:space="preserve">Paskolų priemonės taip pat yra aktualios gynybos ir saugumo pramonės sektoriaus įmonėms. </w:t>
      </w:r>
      <w:r w:rsidR="00FA61C6" w:rsidRPr="00640D24">
        <w:rPr>
          <w:rFonts w:cs="Times New Roman"/>
          <w:sz w:val="22"/>
          <w:szCs w:val="22"/>
        </w:rPr>
        <w:t>K</w:t>
      </w:r>
      <w:r w:rsidR="00A26102" w:rsidRPr="00640D24">
        <w:rPr>
          <w:rFonts w:cs="Times New Roman"/>
          <w:sz w:val="22"/>
          <w:szCs w:val="22"/>
        </w:rPr>
        <w:t xml:space="preserve">aro Ukrainoje kontekste reikšmingai išaugo gynybos ir saugumo sektoriaus investicijų poreikis. Tačiau remiantis interviu su finansų įstaigomis informacija, </w:t>
      </w:r>
      <w:r w:rsidRPr="00640D24">
        <w:rPr>
          <w:sz w:val="22"/>
          <w:szCs w:val="22"/>
        </w:rPr>
        <w:t>gynybos ir saugumo sektoriaus</w:t>
      </w:r>
      <w:r w:rsidR="00A26102" w:rsidRPr="00640D24">
        <w:rPr>
          <w:sz w:val="22"/>
          <w:szCs w:val="22"/>
        </w:rPr>
        <w:t xml:space="preserve"> įmonių</w:t>
      </w:r>
      <w:r w:rsidRPr="00640D24">
        <w:rPr>
          <w:sz w:val="22"/>
          <w:szCs w:val="22"/>
        </w:rPr>
        <w:t xml:space="preserve"> finansavimas prieštarauja</w:t>
      </w:r>
      <w:r w:rsidR="00A26102" w:rsidRPr="00640D24">
        <w:rPr>
          <w:sz w:val="22"/>
          <w:szCs w:val="22"/>
        </w:rPr>
        <w:t xml:space="preserve"> daugumos</w:t>
      </w:r>
      <w:r w:rsidRPr="00640D24">
        <w:rPr>
          <w:sz w:val="22"/>
          <w:szCs w:val="22"/>
        </w:rPr>
        <w:t xml:space="preserve"> </w:t>
      </w:r>
      <w:r w:rsidR="00A26102" w:rsidRPr="00640D24">
        <w:rPr>
          <w:sz w:val="22"/>
          <w:szCs w:val="22"/>
        </w:rPr>
        <w:t>finansų įstaigų</w:t>
      </w:r>
      <w:r w:rsidRPr="00640D24">
        <w:rPr>
          <w:sz w:val="22"/>
          <w:szCs w:val="22"/>
        </w:rPr>
        <w:t xml:space="preserve"> vidaus taisyklėms. Net ir tais atvejais, kai yra gaminama dvigubos paskirties produkcija, į tokią įmon</w:t>
      </w:r>
      <w:r w:rsidR="00425247" w:rsidRPr="00640D24">
        <w:rPr>
          <w:sz w:val="22"/>
          <w:szCs w:val="22"/>
        </w:rPr>
        <w:t>ę</w:t>
      </w:r>
      <w:r w:rsidRPr="00640D24">
        <w:rPr>
          <w:sz w:val="22"/>
          <w:szCs w:val="22"/>
        </w:rPr>
        <w:t xml:space="preserve"> taip pat yra žiūrima kaip į įmonę su padidinta rizika ir dažnu atveju taip pat nesutinkama finansuoti veiklos ar siūlomos finansavimo sąlygos nėra patrauklios. Tuo tarpu alternatyvių finansuotojų siūlomos finansavimo sąlygos dažnu atveju yra labai nepatrauklios dėl aukštų siūlomų palūkanų normų, trumpo finansavimo laikotarpio ir siūlomos finansuoti sumos. </w:t>
      </w:r>
      <w:r w:rsidR="002A5B0A" w:rsidRPr="00640D24">
        <w:rPr>
          <w:sz w:val="22"/>
          <w:szCs w:val="22"/>
        </w:rPr>
        <w:t>Galima daryti išvadą</w:t>
      </w:r>
      <w:r w:rsidRPr="00640D24">
        <w:rPr>
          <w:sz w:val="22"/>
          <w:szCs w:val="22"/>
        </w:rPr>
        <w:t>, kad gynybos ir saugumo sektorius dėl savo specifikos ir išskirtinumo susiduria su finansavimo trūkumu. Tokia situacija ne tik riboja Lietuvoje veikiančių gynybos ir saugumo sektoriaus įmonių plėtros galimybes, tačiau taip pat ir nekuria prielaidų naujų, seniai veikiančių gynybos sektoriaus įmonių</w:t>
      </w:r>
      <w:r w:rsidR="00A26102" w:rsidRPr="00640D24">
        <w:rPr>
          <w:sz w:val="22"/>
          <w:szCs w:val="22"/>
        </w:rPr>
        <w:t xml:space="preserve">, kurių kilmės šalys yra NATO narės ir kitos </w:t>
      </w:r>
      <w:r w:rsidR="00A26102" w:rsidRPr="00640D24">
        <w:rPr>
          <w:sz w:val="22"/>
          <w:szCs w:val="22"/>
        </w:rPr>
        <w:lastRenderedPageBreak/>
        <w:t>Vakarų pasaulio šalys,</w:t>
      </w:r>
      <w:r w:rsidRPr="00640D24">
        <w:rPr>
          <w:sz w:val="22"/>
          <w:szCs w:val="22"/>
        </w:rPr>
        <w:t xml:space="preserve"> pritraukimui į Lietuvą.</w:t>
      </w:r>
      <w:r w:rsidR="00A26102" w:rsidRPr="00640D24">
        <w:rPr>
          <w:sz w:val="22"/>
          <w:szCs w:val="22"/>
        </w:rPr>
        <w:t xml:space="preserve"> Atsižvelgiant į tai, rekomenduotina įgyvendinti tiesioginių paskolų priemonę.</w:t>
      </w:r>
    </w:p>
    <w:bookmarkEnd w:id="87"/>
    <w:p w14:paraId="4F6340DC" w14:textId="3E82BB31" w:rsidR="00317A3D" w:rsidRPr="00640D24" w:rsidRDefault="00354E32" w:rsidP="00354E32">
      <w:pPr>
        <w:spacing w:before="60" w:after="60" w:line="240" w:lineRule="auto"/>
        <w:ind w:firstLine="567"/>
        <w:jc w:val="both"/>
        <w:rPr>
          <w:rFonts w:cs="Times New Roman"/>
          <w:sz w:val="22"/>
          <w:szCs w:val="22"/>
        </w:rPr>
      </w:pPr>
      <w:r w:rsidRPr="00640D24">
        <w:rPr>
          <w:rFonts w:cs="Times New Roman"/>
          <w:sz w:val="22"/>
          <w:szCs w:val="22"/>
        </w:rPr>
        <w:t xml:space="preserve">Atsižvelgiant į </w:t>
      </w:r>
      <w:r w:rsidR="002A5B0A" w:rsidRPr="00640D24">
        <w:rPr>
          <w:rFonts w:cs="Times New Roman"/>
          <w:sz w:val="22"/>
          <w:szCs w:val="22"/>
        </w:rPr>
        <w:t xml:space="preserve">valstybės </w:t>
      </w:r>
      <w:r w:rsidRPr="00640D24">
        <w:rPr>
          <w:rFonts w:cs="Times New Roman"/>
          <w:sz w:val="22"/>
          <w:szCs w:val="22"/>
        </w:rPr>
        <w:t xml:space="preserve">strateginius tikslus ir Vertinimo metu atliktas apklausas nustatyta, kad </w:t>
      </w:r>
      <w:r w:rsidR="0021307B" w:rsidRPr="00640D24">
        <w:rPr>
          <w:rFonts w:cs="Times New Roman"/>
          <w:sz w:val="22"/>
          <w:szCs w:val="22"/>
        </w:rPr>
        <w:t xml:space="preserve">skolinio finansavimo </w:t>
      </w:r>
      <w:r w:rsidRPr="00640D24">
        <w:rPr>
          <w:rFonts w:cs="Times New Roman"/>
          <w:sz w:val="22"/>
          <w:szCs w:val="22"/>
        </w:rPr>
        <w:t xml:space="preserve">FP yra </w:t>
      </w:r>
      <w:r w:rsidR="00317A3D" w:rsidRPr="00640D24">
        <w:rPr>
          <w:rFonts w:cs="Times New Roman"/>
          <w:sz w:val="22"/>
          <w:szCs w:val="22"/>
        </w:rPr>
        <w:t>vienos patraukliausių priemonių</w:t>
      </w:r>
      <w:r w:rsidR="00EA0CB8" w:rsidRPr="00640D24">
        <w:rPr>
          <w:rFonts w:cs="Times New Roman"/>
          <w:sz w:val="22"/>
          <w:szCs w:val="22"/>
        </w:rPr>
        <w:t xml:space="preserve"> verslo subjektams</w:t>
      </w:r>
      <w:r w:rsidRPr="00640D24">
        <w:rPr>
          <w:rFonts w:cs="Times New Roman"/>
          <w:sz w:val="22"/>
          <w:szCs w:val="22"/>
        </w:rPr>
        <w:t xml:space="preserve"> gauti išorinį finansavimą. Remiantis 2019 m. atliktos </w:t>
      </w:r>
      <w:r w:rsidR="00C71DAD" w:rsidRPr="00640D24">
        <w:rPr>
          <w:rFonts w:cs="Times New Roman"/>
          <w:sz w:val="22"/>
          <w:szCs w:val="22"/>
        </w:rPr>
        <w:t>MVĮ</w:t>
      </w:r>
      <w:r w:rsidRPr="00640D24">
        <w:rPr>
          <w:rFonts w:cs="Times New Roman"/>
          <w:sz w:val="22"/>
          <w:szCs w:val="22"/>
        </w:rPr>
        <w:t xml:space="preserve"> subjektų apklausos </w:t>
      </w:r>
      <w:r w:rsidR="00CD129B" w:rsidRPr="00640D24">
        <w:rPr>
          <w:rFonts w:cs="Times New Roman"/>
          <w:sz w:val="22"/>
          <w:szCs w:val="22"/>
        </w:rPr>
        <w:t>rezultatais</w:t>
      </w:r>
      <w:r w:rsidR="00C71DAD" w:rsidRPr="00640D24">
        <w:rPr>
          <w:rFonts w:cs="Times New Roman"/>
          <w:sz w:val="22"/>
          <w:szCs w:val="22"/>
        </w:rPr>
        <w:t xml:space="preserve">, taip pat 2023 m. liepos mėn. atliktomis naujomis MVĮ ir DĮ apklausomis, </w:t>
      </w:r>
      <w:r w:rsidRPr="00640D24">
        <w:rPr>
          <w:rFonts w:cs="Times New Roman"/>
          <w:sz w:val="22"/>
          <w:szCs w:val="22"/>
        </w:rPr>
        <w:t xml:space="preserve">buvo nustatyta, kad artimiausiu 5 metų laikotarpiu </w:t>
      </w:r>
      <w:r w:rsidR="00C71DAD" w:rsidRPr="00640D24">
        <w:rPr>
          <w:rFonts w:cs="Times New Roman"/>
          <w:sz w:val="22"/>
          <w:szCs w:val="22"/>
        </w:rPr>
        <w:t>MVĮ ir DĮ</w:t>
      </w:r>
      <w:r w:rsidRPr="00640D24">
        <w:rPr>
          <w:rFonts w:cs="Times New Roman"/>
          <w:sz w:val="22"/>
          <w:szCs w:val="22"/>
        </w:rPr>
        <w:t xml:space="preserve"> subjektams reikės atnaujinti savo turimą įrangą, investuoti į naujesnes technologijas. </w:t>
      </w:r>
    </w:p>
    <w:p w14:paraId="4A6343AE" w14:textId="32F887A5" w:rsidR="00354E32" w:rsidRPr="00640D24" w:rsidRDefault="00354E32" w:rsidP="00354E32">
      <w:pPr>
        <w:spacing w:before="60" w:after="60" w:line="240" w:lineRule="auto"/>
        <w:ind w:firstLine="567"/>
        <w:jc w:val="both"/>
        <w:rPr>
          <w:rFonts w:cs="Times New Roman"/>
          <w:sz w:val="22"/>
          <w:szCs w:val="22"/>
        </w:rPr>
      </w:pPr>
      <w:r w:rsidRPr="00640D24">
        <w:rPr>
          <w:rFonts w:cs="Times New Roman"/>
          <w:sz w:val="22"/>
          <w:szCs w:val="22"/>
        </w:rPr>
        <w:t>Atliktų interviu su FT metu buvo nustatyta, kad ypač aukšta rizika pasižyminčioms veikloms ir subjektams</w:t>
      </w:r>
      <w:r w:rsidR="00CC391B" w:rsidRPr="00640D24">
        <w:rPr>
          <w:rStyle w:val="Komentaronuoroda"/>
          <w:sz w:val="22"/>
          <w:szCs w:val="22"/>
        </w:rPr>
        <w:t xml:space="preserve"> </w:t>
      </w:r>
      <w:r w:rsidR="00CC391B" w:rsidRPr="00640D24">
        <w:rPr>
          <w:rFonts w:cs="Times New Roman"/>
          <w:sz w:val="22"/>
          <w:szCs w:val="22"/>
        </w:rPr>
        <w:t>šiuo metu rinkoje yra ypač ribotos galimybės gauti finansavimą</w:t>
      </w:r>
      <w:r w:rsidRPr="00640D24">
        <w:rPr>
          <w:rFonts w:cs="Times New Roman"/>
          <w:sz w:val="22"/>
          <w:szCs w:val="22"/>
        </w:rPr>
        <w:t xml:space="preserve">. Atsižvelgiant į tai, rekomenduojama užtikrinti tiesiogiai suteikiamų paskolų FP tęstinumą </w:t>
      </w:r>
      <w:r w:rsidR="00C71DAD" w:rsidRPr="00640D24">
        <w:rPr>
          <w:rFonts w:cs="Times New Roman"/>
          <w:sz w:val="22"/>
          <w:szCs w:val="22"/>
        </w:rPr>
        <w:t xml:space="preserve">verslo </w:t>
      </w:r>
      <w:r w:rsidRPr="00640D24">
        <w:rPr>
          <w:rFonts w:cs="Times New Roman"/>
          <w:sz w:val="22"/>
          <w:szCs w:val="22"/>
        </w:rPr>
        <w:t xml:space="preserve">subjektams ir MTEP projektams. </w:t>
      </w:r>
    </w:p>
    <w:p w14:paraId="77D694BA" w14:textId="01782C48" w:rsidR="002A5B0A" w:rsidRPr="00640D24" w:rsidRDefault="002A5B0A" w:rsidP="004B3CC1">
      <w:pPr>
        <w:spacing w:before="60" w:after="60" w:line="240" w:lineRule="auto"/>
        <w:ind w:firstLine="567"/>
        <w:jc w:val="both"/>
        <w:rPr>
          <w:rFonts w:cs="Times New Roman"/>
          <w:sz w:val="22"/>
          <w:szCs w:val="22"/>
        </w:rPr>
      </w:pPr>
      <w:r w:rsidRPr="00640D24">
        <w:rPr>
          <w:rFonts w:cs="Times New Roman"/>
          <w:sz w:val="22"/>
          <w:szCs w:val="22"/>
        </w:rPr>
        <w:t>2022 m. lapkričio mėn. NPĮ organizuotame susitikime su pagrindinėmis Lietuvos kredito įstaigomis bei Lietuvos centrine kredito unija buvo pristatytos 2021</w:t>
      </w:r>
      <w:r w:rsidR="009139E5" w:rsidRPr="00640D24">
        <w:rPr>
          <w:rFonts w:cs="Times New Roman"/>
          <w:sz w:val="22"/>
          <w:szCs w:val="22"/>
        </w:rPr>
        <w:t xml:space="preserve"> </w:t>
      </w:r>
      <w:r w:rsidRPr="00640D24">
        <w:rPr>
          <w:rFonts w:cs="Times New Roman"/>
          <w:sz w:val="22"/>
          <w:szCs w:val="22"/>
        </w:rPr>
        <w:t>–</w:t>
      </w:r>
      <w:r w:rsidR="009139E5" w:rsidRPr="00640D24">
        <w:rPr>
          <w:rFonts w:cs="Times New Roman"/>
          <w:sz w:val="22"/>
          <w:szCs w:val="22"/>
        </w:rPr>
        <w:t xml:space="preserve"> </w:t>
      </w:r>
      <w:r w:rsidRPr="00640D24">
        <w:rPr>
          <w:rFonts w:cs="Times New Roman"/>
          <w:sz w:val="22"/>
          <w:szCs w:val="22"/>
        </w:rPr>
        <w:t>2027 m. ES fondų investicijų programos veiklos:</w:t>
      </w:r>
      <w:r w:rsidR="00B24C5E" w:rsidRPr="00640D24">
        <w:rPr>
          <w:rFonts w:cs="Times New Roman"/>
          <w:sz w:val="22"/>
          <w:szCs w:val="22"/>
        </w:rPr>
        <w:t xml:space="preserve"> t</w:t>
      </w:r>
      <w:r w:rsidRPr="00640D24">
        <w:rPr>
          <w:rFonts w:cs="Times New Roman"/>
          <w:sz w:val="22"/>
          <w:szCs w:val="22"/>
        </w:rPr>
        <w:t>rumpų vertės kūrimo grandinių formavimas ir plėtra tarp MVĮ</w:t>
      </w:r>
      <w:r w:rsidR="00B24C5E" w:rsidRPr="00640D24">
        <w:rPr>
          <w:rFonts w:cs="Times New Roman"/>
          <w:sz w:val="22"/>
          <w:szCs w:val="22"/>
        </w:rPr>
        <w:t>, t</w:t>
      </w:r>
      <w:r w:rsidRPr="00640D24">
        <w:rPr>
          <w:rFonts w:cs="Times New Roman"/>
          <w:sz w:val="22"/>
          <w:szCs w:val="22"/>
        </w:rPr>
        <w:t>varių produktų gamybą skatinančių technologijų diegimas pramonės įmonėse, veikiančiose sumaniosios specializacijos srityse</w:t>
      </w:r>
      <w:r w:rsidR="00B24C5E" w:rsidRPr="00640D24">
        <w:rPr>
          <w:rFonts w:cs="Times New Roman"/>
          <w:sz w:val="22"/>
          <w:szCs w:val="22"/>
        </w:rPr>
        <w:t>, p</w:t>
      </w:r>
      <w:r w:rsidRPr="00640D24">
        <w:rPr>
          <w:rFonts w:cs="Times New Roman"/>
          <w:sz w:val="22"/>
          <w:szCs w:val="22"/>
        </w:rPr>
        <w:t xml:space="preserve">ramonės įmonių gamybos procesų automatizavimas ir </w:t>
      </w:r>
      <w:proofErr w:type="spellStart"/>
      <w:r w:rsidRPr="00640D24">
        <w:rPr>
          <w:rFonts w:cs="Times New Roman"/>
          <w:sz w:val="22"/>
          <w:szCs w:val="22"/>
        </w:rPr>
        <w:t>skaitmeninimo</w:t>
      </w:r>
      <w:proofErr w:type="spellEnd"/>
      <w:r w:rsidRPr="00640D24">
        <w:rPr>
          <w:rFonts w:cs="Times New Roman"/>
          <w:sz w:val="22"/>
          <w:szCs w:val="22"/>
        </w:rPr>
        <w:t xml:space="preserve"> technologijų diegimas</w:t>
      </w:r>
      <w:r w:rsidR="00B24C5E" w:rsidRPr="00640D24">
        <w:rPr>
          <w:rFonts w:cs="Times New Roman"/>
          <w:sz w:val="22"/>
          <w:szCs w:val="22"/>
        </w:rPr>
        <w:t xml:space="preserve"> bei a</w:t>
      </w:r>
      <w:r w:rsidRPr="00640D24">
        <w:rPr>
          <w:rFonts w:cs="Times New Roman"/>
          <w:sz w:val="22"/>
          <w:szCs w:val="22"/>
        </w:rPr>
        <w:t xml:space="preserve">ukštą pridėtinę vertę kuriančių pramonės įmonių gamybos procesų </w:t>
      </w:r>
      <w:proofErr w:type="spellStart"/>
      <w:r w:rsidRPr="00640D24">
        <w:rPr>
          <w:rFonts w:cs="Times New Roman"/>
          <w:sz w:val="22"/>
          <w:szCs w:val="22"/>
        </w:rPr>
        <w:t>skaitmeninimas</w:t>
      </w:r>
      <w:proofErr w:type="spellEnd"/>
      <w:r w:rsidRPr="00640D24">
        <w:rPr>
          <w:rFonts w:cs="Times New Roman"/>
          <w:sz w:val="22"/>
          <w:szCs w:val="22"/>
        </w:rPr>
        <w:t>.</w:t>
      </w:r>
      <w:r w:rsidR="00B24C5E" w:rsidRPr="00640D24">
        <w:rPr>
          <w:rFonts w:cs="Times New Roman"/>
          <w:sz w:val="22"/>
          <w:szCs w:val="22"/>
        </w:rPr>
        <w:t xml:space="preserve"> Siekiant sužinoti kredito įstaigų atstovų nuomonę dėl galimybės įgyvendinti minėtas veiklas</w:t>
      </w:r>
      <w:r w:rsidR="00230258" w:rsidRPr="00640D24">
        <w:rPr>
          <w:rFonts w:cs="Times New Roman"/>
          <w:sz w:val="22"/>
          <w:szCs w:val="22"/>
        </w:rPr>
        <w:t>,</w:t>
      </w:r>
      <w:r w:rsidR="00B24C5E" w:rsidRPr="00640D24">
        <w:rPr>
          <w:rFonts w:cs="Times New Roman"/>
          <w:sz w:val="22"/>
          <w:szCs w:val="22"/>
        </w:rPr>
        <w:t xml:space="preserve"> kredito įstaigoms buvo pateikta informacija </w:t>
      </w:r>
      <w:r w:rsidRPr="00640D24">
        <w:rPr>
          <w:rFonts w:cs="Times New Roman"/>
          <w:sz w:val="22"/>
          <w:szCs w:val="22"/>
        </w:rPr>
        <w:t xml:space="preserve">apie numatomas </w:t>
      </w:r>
      <w:r w:rsidR="00B24C5E" w:rsidRPr="00640D24">
        <w:rPr>
          <w:rFonts w:cs="Times New Roman"/>
          <w:sz w:val="22"/>
          <w:szCs w:val="22"/>
        </w:rPr>
        <w:t xml:space="preserve">veiklų </w:t>
      </w:r>
      <w:r w:rsidRPr="00640D24">
        <w:rPr>
          <w:rFonts w:cs="Times New Roman"/>
          <w:sz w:val="22"/>
          <w:szCs w:val="22"/>
        </w:rPr>
        <w:t>sąlygas, rodiklius, kitus reikalavimus, kurie gali būti taikomi</w:t>
      </w:r>
      <w:r w:rsidR="00B24C5E" w:rsidRPr="00640D24">
        <w:rPr>
          <w:rFonts w:cs="Times New Roman"/>
          <w:sz w:val="22"/>
          <w:szCs w:val="22"/>
        </w:rPr>
        <w:t xml:space="preserve"> veiklų finansavimui. </w:t>
      </w:r>
      <w:r w:rsidRPr="00640D24">
        <w:rPr>
          <w:rFonts w:cs="Times New Roman"/>
          <w:sz w:val="22"/>
          <w:szCs w:val="22"/>
        </w:rPr>
        <w:t>Po susitikimo kredito įstaigos informavo, kad</w:t>
      </w:r>
      <w:r w:rsidR="00B24C5E" w:rsidRPr="00640D24">
        <w:rPr>
          <w:rFonts w:cs="Times New Roman"/>
          <w:sz w:val="22"/>
          <w:szCs w:val="22"/>
        </w:rPr>
        <w:t xml:space="preserve"> FP </w:t>
      </w:r>
      <w:r w:rsidRPr="00640D24">
        <w:rPr>
          <w:rFonts w:cs="Times New Roman"/>
          <w:sz w:val="22"/>
          <w:szCs w:val="22"/>
        </w:rPr>
        <w:t>įgyvendinimas jiems nebūtų patrauklus dėl 2021</w:t>
      </w:r>
      <w:r w:rsidR="00585961" w:rsidRPr="00640D24">
        <w:rPr>
          <w:rFonts w:cs="Times New Roman"/>
          <w:sz w:val="22"/>
          <w:szCs w:val="22"/>
        </w:rPr>
        <w:t xml:space="preserve"> </w:t>
      </w:r>
      <w:r w:rsidRPr="00640D24">
        <w:rPr>
          <w:rFonts w:cs="Times New Roman"/>
          <w:sz w:val="22"/>
          <w:szCs w:val="22"/>
        </w:rPr>
        <w:t>–</w:t>
      </w:r>
      <w:r w:rsidR="00585961" w:rsidRPr="00640D24">
        <w:rPr>
          <w:rFonts w:cs="Times New Roman"/>
          <w:sz w:val="22"/>
          <w:szCs w:val="22"/>
        </w:rPr>
        <w:t xml:space="preserve"> </w:t>
      </w:r>
      <w:r w:rsidRPr="00640D24">
        <w:rPr>
          <w:rFonts w:cs="Times New Roman"/>
          <w:sz w:val="22"/>
          <w:szCs w:val="22"/>
        </w:rPr>
        <w:t xml:space="preserve">2027 m. ES </w:t>
      </w:r>
      <w:r w:rsidR="00B24C5E" w:rsidRPr="00640D24">
        <w:rPr>
          <w:rFonts w:cs="Times New Roman"/>
          <w:sz w:val="22"/>
          <w:szCs w:val="22"/>
        </w:rPr>
        <w:t xml:space="preserve">SF </w:t>
      </w:r>
      <w:r w:rsidRPr="00640D24">
        <w:rPr>
          <w:rFonts w:cs="Times New Roman"/>
          <w:sz w:val="22"/>
          <w:szCs w:val="22"/>
        </w:rPr>
        <w:t>fondų lėšų numatomų investicijų  į gana siauras sritis, pasirengimo įgyvendinti ir administravimo kaštai kredito įstaig</w:t>
      </w:r>
      <w:r w:rsidR="004B3CC1" w:rsidRPr="00640D24">
        <w:rPr>
          <w:rFonts w:cs="Times New Roman"/>
          <w:sz w:val="22"/>
          <w:szCs w:val="22"/>
        </w:rPr>
        <w:t>oms</w:t>
      </w:r>
      <w:r w:rsidRPr="00640D24">
        <w:rPr>
          <w:rFonts w:cs="Times New Roman"/>
          <w:sz w:val="22"/>
          <w:szCs w:val="22"/>
        </w:rPr>
        <w:t xml:space="preserve"> būtų per dideli, potencialių paskolų gavėjų skaičius, tikėtina, būtų per mažas</w:t>
      </w:r>
      <w:r w:rsidR="004B3CC1" w:rsidRPr="00640D24">
        <w:rPr>
          <w:rFonts w:cs="Times New Roman"/>
          <w:sz w:val="22"/>
          <w:szCs w:val="22"/>
        </w:rPr>
        <w:t xml:space="preserve">. FP administravimas būtų sudėtingas dėl </w:t>
      </w:r>
      <w:r w:rsidRPr="00640D24">
        <w:rPr>
          <w:rFonts w:cs="Times New Roman"/>
          <w:sz w:val="22"/>
          <w:szCs w:val="22"/>
        </w:rPr>
        <w:t>labai specifinių reikalavimų, kurie neatitinka įprastinės kredito įstaigų veikloje taikomos praktikos</w:t>
      </w:r>
      <w:r w:rsidR="004B3CC1" w:rsidRPr="00640D24">
        <w:rPr>
          <w:rFonts w:cs="Times New Roman"/>
          <w:sz w:val="22"/>
          <w:szCs w:val="22"/>
        </w:rPr>
        <w:t xml:space="preserve">. </w:t>
      </w:r>
    </w:p>
    <w:p w14:paraId="7E14A3C5" w14:textId="2361B5BE" w:rsidR="002A5B0A" w:rsidRPr="00640D24" w:rsidRDefault="004B3CC1" w:rsidP="002A5B0A">
      <w:pPr>
        <w:spacing w:before="60" w:after="60" w:line="240" w:lineRule="auto"/>
        <w:ind w:firstLine="567"/>
        <w:jc w:val="both"/>
        <w:rPr>
          <w:rFonts w:cs="Times New Roman"/>
          <w:sz w:val="22"/>
          <w:szCs w:val="22"/>
          <w:lang w:val="en-US"/>
        </w:rPr>
      </w:pPr>
      <w:r w:rsidRPr="00640D24">
        <w:rPr>
          <w:rFonts w:cs="Times New Roman"/>
          <w:sz w:val="22"/>
          <w:szCs w:val="22"/>
        </w:rPr>
        <w:t xml:space="preserve">Įvertinus kredito įstaigų pateiktus argumentus siūlytina ES SF lėšomis finansuojamas </w:t>
      </w:r>
      <w:r w:rsidRPr="00640D24">
        <w:rPr>
          <w:rFonts w:cs="Times New Roman"/>
          <w:sz w:val="22"/>
          <w:szCs w:val="22"/>
          <w:lang w:val="en-US"/>
        </w:rPr>
        <w:t xml:space="preserve">2021 – 2027 m. </w:t>
      </w:r>
      <w:r w:rsidRPr="00640D24">
        <w:rPr>
          <w:rFonts w:cs="Times New Roman"/>
          <w:sz w:val="22"/>
          <w:szCs w:val="22"/>
        </w:rPr>
        <w:t xml:space="preserve">programos veiklas </w:t>
      </w:r>
      <w:r w:rsidR="00AF5E7F" w:rsidRPr="00640D24">
        <w:rPr>
          <w:rFonts w:cs="Times New Roman"/>
          <w:sz w:val="22"/>
          <w:szCs w:val="22"/>
        </w:rPr>
        <w:t xml:space="preserve">įgyvendinti pasitelkiant NPĮ. </w:t>
      </w:r>
    </w:p>
    <w:p w14:paraId="5D34C80D" w14:textId="505CFAAA" w:rsidR="007A73CB" w:rsidRPr="00640D24" w:rsidRDefault="007A73CB" w:rsidP="00354E32">
      <w:pPr>
        <w:spacing w:after="120" w:line="240" w:lineRule="auto"/>
        <w:jc w:val="both"/>
        <w:rPr>
          <w:rFonts w:cs="Times New Roman"/>
          <w:i/>
          <w:iCs/>
          <w:sz w:val="22"/>
          <w:szCs w:val="22"/>
        </w:rPr>
        <w:sectPr w:rsidR="007A73CB" w:rsidRPr="00640D24" w:rsidSect="00943791">
          <w:pgSz w:w="11906" w:h="16838"/>
          <w:pgMar w:top="1701" w:right="567" w:bottom="1134" w:left="1701" w:header="567" w:footer="567" w:gutter="0"/>
          <w:cols w:space="1296"/>
          <w:docGrid w:linePitch="360"/>
        </w:sectPr>
      </w:pPr>
    </w:p>
    <w:p w14:paraId="1C0AC05F" w14:textId="2E842E69" w:rsidR="00354E32" w:rsidRPr="00640D24" w:rsidRDefault="00354E32" w:rsidP="00354E32">
      <w:pPr>
        <w:spacing w:after="120" w:line="240" w:lineRule="auto"/>
        <w:jc w:val="both"/>
        <w:rPr>
          <w:rFonts w:cs="Times New Roman"/>
          <w:i/>
          <w:iCs/>
          <w:sz w:val="22"/>
          <w:szCs w:val="22"/>
        </w:rPr>
      </w:pPr>
      <w:r w:rsidRPr="00640D24">
        <w:rPr>
          <w:rFonts w:cs="Times New Roman"/>
          <w:i/>
          <w:iCs/>
          <w:sz w:val="22"/>
          <w:szCs w:val="22"/>
        </w:rPr>
        <w:lastRenderedPageBreak/>
        <w:t xml:space="preserve">Lentelė Nr. </w:t>
      </w:r>
      <w:r w:rsidR="006B75C9" w:rsidRPr="00640D24">
        <w:rPr>
          <w:rFonts w:cs="Times New Roman"/>
          <w:i/>
          <w:iCs/>
          <w:sz w:val="22"/>
          <w:szCs w:val="22"/>
        </w:rPr>
        <w:t>9</w:t>
      </w:r>
      <w:r w:rsidRPr="00640D24">
        <w:rPr>
          <w:rFonts w:cs="Times New Roman"/>
          <w:i/>
          <w:iCs/>
          <w:sz w:val="22"/>
          <w:szCs w:val="22"/>
        </w:rPr>
        <w:t>. Siūlomos paskolų FP Vertinime analizuojamoms veikloms finansuoti</w:t>
      </w:r>
      <w:r w:rsidR="00292D66" w:rsidRPr="00640D24">
        <w:rPr>
          <w:rFonts w:cs="Times New Roman"/>
          <w:i/>
          <w:iCs/>
          <w:sz w:val="22"/>
          <w:szCs w:val="22"/>
        </w:rPr>
        <w:t xml:space="preserve"> (mln. </w:t>
      </w:r>
      <w:proofErr w:type="spellStart"/>
      <w:r w:rsidR="00292D66" w:rsidRPr="00640D24">
        <w:rPr>
          <w:rFonts w:cs="Times New Roman"/>
          <w:i/>
          <w:iCs/>
          <w:sz w:val="22"/>
          <w:szCs w:val="22"/>
        </w:rPr>
        <w:t>Eur</w:t>
      </w:r>
      <w:proofErr w:type="spellEnd"/>
      <w:r w:rsidR="00292D66" w:rsidRPr="00640D24">
        <w:rPr>
          <w:rFonts w:cs="Times New Roman"/>
          <w:i/>
          <w:iCs/>
          <w:sz w:val="22"/>
          <w:szCs w:val="22"/>
        </w:rPr>
        <w:t>)</w:t>
      </w:r>
    </w:p>
    <w:tbl>
      <w:tblPr>
        <w:tblStyle w:val="Lentelstinklelis"/>
        <w:tblW w:w="5418" w:type="pct"/>
        <w:tblLayout w:type="fixed"/>
        <w:tblLook w:val="04A0" w:firstRow="1" w:lastRow="0" w:firstColumn="1" w:lastColumn="0" w:noHBand="0" w:noVBand="1"/>
      </w:tblPr>
      <w:tblGrid>
        <w:gridCol w:w="2042"/>
        <w:gridCol w:w="6177"/>
        <w:gridCol w:w="2268"/>
        <w:gridCol w:w="2126"/>
        <w:gridCol w:w="2550"/>
      </w:tblGrid>
      <w:tr w:rsidR="00587B6B" w:rsidRPr="00640D24" w14:paraId="79D141E1" w14:textId="6AA0E203" w:rsidTr="000C6FDC">
        <w:trPr>
          <w:trHeight w:val="20"/>
        </w:trPr>
        <w:tc>
          <w:tcPr>
            <w:tcW w:w="673" w:type="pct"/>
            <w:vAlign w:val="center"/>
          </w:tcPr>
          <w:p w14:paraId="6382BDEC" w14:textId="77777777" w:rsidR="00CE4E56" w:rsidRPr="00640D24" w:rsidRDefault="00CE4E56" w:rsidP="008E05CF">
            <w:pPr>
              <w:spacing w:after="0"/>
              <w:rPr>
                <w:rFonts w:cs="Times New Roman"/>
                <w:b/>
                <w:bCs/>
                <w:sz w:val="21"/>
                <w:szCs w:val="21"/>
                <w:lang w:val="lt-LT"/>
              </w:rPr>
            </w:pPr>
            <w:r w:rsidRPr="00640D24">
              <w:rPr>
                <w:rFonts w:cs="Times New Roman"/>
                <w:b/>
                <w:color w:val="000000"/>
                <w:sz w:val="21"/>
                <w:szCs w:val="21"/>
                <w:lang w:val="lt-LT"/>
              </w:rPr>
              <w:t>FP sąlygos</w:t>
            </w:r>
          </w:p>
        </w:tc>
        <w:tc>
          <w:tcPr>
            <w:tcW w:w="2037" w:type="pct"/>
            <w:vAlign w:val="center"/>
          </w:tcPr>
          <w:p w14:paraId="4ED96FEE" w14:textId="77777777" w:rsidR="004E081A" w:rsidRPr="00640D24" w:rsidRDefault="00CE4E56" w:rsidP="005530EF">
            <w:pPr>
              <w:spacing w:after="0"/>
              <w:jc w:val="center"/>
              <w:rPr>
                <w:rFonts w:cs="Times New Roman"/>
                <w:b/>
                <w:color w:val="000000"/>
                <w:sz w:val="21"/>
                <w:szCs w:val="21"/>
              </w:rPr>
            </w:pPr>
            <w:bookmarkStart w:id="95" w:name="_Hlk73363876"/>
            <w:r w:rsidRPr="00640D24">
              <w:rPr>
                <w:rFonts w:cs="Times New Roman"/>
                <w:b/>
                <w:color w:val="000000"/>
                <w:sz w:val="21"/>
                <w:szCs w:val="21"/>
                <w:lang w:val="lt-LT"/>
              </w:rPr>
              <w:t>Skolinio finansavimo FP</w:t>
            </w:r>
            <w:r w:rsidR="00374E31" w:rsidRPr="00640D24">
              <w:rPr>
                <w:rFonts w:cs="Times New Roman"/>
                <w:b/>
                <w:color w:val="000000"/>
                <w:sz w:val="21"/>
                <w:szCs w:val="21"/>
              </w:rPr>
              <w:t>*</w:t>
            </w:r>
          </w:p>
          <w:p w14:paraId="514A732E" w14:textId="4F0DEE63" w:rsidR="00CE4E56" w:rsidRPr="00640D24" w:rsidRDefault="00230258" w:rsidP="005530EF">
            <w:pPr>
              <w:spacing w:after="0"/>
              <w:jc w:val="center"/>
              <w:rPr>
                <w:rFonts w:cs="Times New Roman"/>
                <w:sz w:val="21"/>
                <w:szCs w:val="21"/>
                <w:lang w:val="lt-LT"/>
              </w:rPr>
            </w:pPr>
            <w:r w:rsidRPr="00640D24">
              <w:rPr>
                <w:rFonts w:cs="Times New Roman"/>
                <w:b/>
                <w:color w:val="000000"/>
                <w:sz w:val="21"/>
                <w:szCs w:val="21"/>
                <w:lang w:val="lt-LT"/>
              </w:rPr>
              <w:t>ES SF lėšomis</w:t>
            </w:r>
            <w:bookmarkEnd w:id="95"/>
          </w:p>
        </w:tc>
        <w:tc>
          <w:tcPr>
            <w:tcW w:w="748" w:type="pct"/>
            <w:vAlign w:val="center"/>
          </w:tcPr>
          <w:p w14:paraId="4F4B7824" w14:textId="67195458" w:rsidR="00CE4E56" w:rsidRPr="00640D24" w:rsidRDefault="005530EF" w:rsidP="00DC4572">
            <w:pPr>
              <w:spacing w:after="0"/>
              <w:jc w:val="center"/>
              <w:rPr>
                <w:rFonts w:eastAsia="Times New Roman" w:cs="Times New Roman"/>
                <w:b/>
                <w:bCs/>
                <w:color w:val="000000"/>
                <w:sz w:val="21"/>
                <w:szCs w:val="21"/>
                <w:lang w:val="lt-LT" w:eastAsia="lt-LT"/>
              </w:rPr>
            </w:pPr>
            <w:r w:rsidRPr="00640D24">
              <w:rPr>
                <w:rFonts w:eastAsia="Times New Roman" w:cs="Times New Roman"/>
                <w:b/>
                <w:bCs/>
                <w:color w:val="000000"/>
                <w:sz w:val="21"/>
                <w:szCs w:val="21"/>
                <w:lang w:val="lt-LT" w:eastAsia="lt-LT"/>
              </w:rPr>
              <w:t>S</w:t>
            </w:r>
            <w:r w:rsidR="00CE4E56" w:rsidRPr="00640D24">
              <w:rPr>
                <w:rFonts w:eastAsia="Times New Roman" w:cs="Times New Roman"/>
                <w:b/>
                <w:bCs/>
                <w:color w:val="000000"/>
                <w:sz w:val="21"/>
                <w:szCs w:val="21"/>
                <w:lang w:val="lt-LT" w:eastAsia="lt-LT"/>
              </w:rPr>
              <w:t>kolinio finansavimo FP EGADP</w:t>
            </w:r>
            <w:r w:rsidR="00624175" w:rsidRPr="00640D24">
              <w:rPr>
                <w:rFonts w:eastAsia="Times New Roman" w:cs="Times New Roman"/>
                <w:b/>
                <w:bCs/>
                <w:color w:val="000000"/>
                <w:sz w:val="21"/>
                <w:szCs w:val="21"/>
                <w:lang w:val="lt-LT" w:eastAsia="lt-LT"/>
              </w:rPr>
              <w:t>, VB ir kitomis</w:t>
            </w:r>
            <w:r w:rsidR="00CE4E56" w:rsidRPr="00640D24">
              <w:rPr>
                <w:rFonts w:eastAsia="Times New Roman" w:cs="Times New Roman"/>
                <w:b/>
                <w:bCs/>
                <w:color w:val="000000"/>
                <w:sz w:val="21"/>
                <w:szCs w:val="21"/>
                <w:lang w:val="lt-LT" w:eastAsia="lt-LT"/>
              </w:rPr>
              <w:t xml:space="preserve"> lėšo</w:t>
            </w:r>
            <w:r w:rsidR="005F46CC" w:rsidRPr="00640D24">
              <w:rPr>
                <w:rFonts w:eastAsia="Times New Roman" w:cs="Times New Roman"/>
                <w:b/>
                <w:bCs/>
                <w:color w:val="000000"/>
                <w:sz w:val="21"/>
                <w:szCs w:val="21"/>
                <w:lang w:val="lt-LT" w:eastAsia="lt-LT"/>
              </w:rPr>
              <w:t>mi</w:t>
            </w:r>
            <w:r w:rsidR="00CE4E56" w:rsidRPr="00640D24">
              <w:rPr>
                <w:rFonts w:eastAsia="Times New Roman" w:cs="Times New Roman"/>
                <w:b/>
                <w:bCs/>
                <w:color w:val="000000"/>
                <w:sz w:val="21"/>
                <w:szCs w:val="21"/>
                <w:lang w:val="lt-LT" w:eastAsia="lt-LT"/>
              </w:rPr>
              <w:t>s</w:t>
            </w:r>
          </w:p>
        </w:tc>
        <w:tc>
          <w:tcPr>
            <w:tcW w:w="701" w:type="pct"/>
            <w:vAlign w:val="center"/>
          </w:tcPr>
          <w:p w14:paraId="30319942" w14:textId="621B6055" w:rsidR="00CE4E56" w:rsidRPr="00640D24" w:rsidRDefault="00CE4E56" w:rsidP="00DC4572">
            <w:pPr>
              <w:spacing w:after="0"/>
              <w:jc w:val="center"/>
              <w:rPr>
                <w:rFonts w:cs="Times New Roman"/>
                <w:b/>
                <w:color w:val="000000"/>
                <w:sz w:val="21"/>
                <w:szCs w:val="21"/>
                <w:lang w:val="lt-LT"/>
              </w:rPr>
            </w:pPr>
            <w:r w:rsidRPr="00640D24">
              <w:rPr>
                <w:rFonts w:eastAsia="Times New Roman" w:cs="Times New Roman"/>
                <w:b/>
                <w:bCs/>
                <w:color w:val="000000"/>
                <w:sz w:val="21"/>
                <w:szCs w:val="21"/>
                <w:lang w:val="lt-LT" w:eastAsia="lt-LT"/>
              </w:rPr>
              <w:t>VSF III</w:t>
            </w:r>
          </w:p>
        </w:tc>
        <w:tc>
          <w:tcPr>
            <w:tcW w:w="841" w:type="pct"/>
            <w:vAlign w:val="center"/>
          </w:tcPr>
          <w:p w14:paraId="2540342C" w14:textId="5B2B759F" w:rsidR="00CE4E56" w:rsidRPr="00640D24" w:rsidRDefault="00CE4E56" w:rsidP="00DC4572">
            <w:pPr>
              <w:spacing w:after="0"/>
              <w:jc w:val="center"/>
              <w:rPr>
                <w:rFonts w:eastAsia="Times New Roman" w:cs="Times New Roman"/>
                <w:b/>
                <w:bCs/>
                <w:color w:val="000000"/>
                <w:sz w:val="21"/>
                <w:szCs w:val="21"/>
                <w:lang w:val="lt-LT" w:eastAsia="lt-LT"/>
              </w:rPr>
            </w:pPr>
            <w:r w:rsidRPr="00640D24">
              <w:rPr>
                <w:rFonts w:eastAsia="Times New Roman" w:cs="Times New Roman"/>
                <w:b/>
                <w:bCs/>
                <w:color w:val="000000"/>
                <w:sz w:val="21"/>
                <w:szCs w:val="21"/>
                <w:lang w:val="lt-LT" w:eastAsia="lt-LT"/>
              </w:rPr>
              <w:t>AKF 3</w:t>
            </w:r>
          </w:p>
        </w:tc>
      </w:tr>
      <w:tr w:rsidR="00587B6B" w:rsidRPr="00640D24" w14:paraId="3C047587" w14:textId="083E8A31" w:rsidTr="000C6FDC">
        <w:trPr>
          <w:trHeight w:val="20"/>
        </w:trPr>
        <w:tc>
          <w:tcPr>
            <w:tcW w:w="673" w:type="pct"/>
            <w:vAlign w:val="center"/>
          </w:tcPr>
          <w:p w14:paraId="6BD94AD3" w14:textId="54A812FC" w:rsidR="00682772" w:rsidRPr="00640D24" w:rsidRDefault="00682772" w:rsidP="008E05CF">
            <w:pPr>
              <w:spacing w:after="0"/>
              <w:rPr>
                <w:rFonts w:cs="Times New Roman"/>
                <w:b/>
                <w:bCs/>
                <w:sz w:val="21"/>
                <w:szCs w:val="21"/>
                <w:lang w:val="lt-LT"/>
              </w:rPr>
            </w:pPr>
            <w:r w:rsidRPr="00640D24">
              <w:rPr>
                <w:rFonts w:cs="Times New Roman"/>
                <w:b/>
                <w:bCs/>
                <w:color w:val="000000"/>
                <w:sz w:val="21"/>
                <w:szCs w:val="21"/>
                <w:lang w:val="lt-LT"/>
              </w:rPr>
              <w:t xml:space="preserve">Preliminariai skiriama valstybės lėšų suma (su valdymo mokesčiais), mln. </w:t>
            </w:r>
            <w:proofErr w:type="spellStart"/>
            <w:r w:rsidRPr="00640D24">
              <w:rPr>
                <w:rFonts w:cs="Times New Roman"/>
                <w:b/>
                <w:bCs/>
                <w:color w:val="000000"/>
                <w:sz w:val="21"/>
                <w:szCs w:val="21"/>
                <w:lang w:val="lt-LT"/>
              </w:rPr>
              <w:t>Eur</w:t>
            </w:r>
            <w:proofErr w:type="spellEnd"/>
          </w:p>
        </w:tc>
        <w:tc>
          <w:tcPr>
            <w:tcW w:w="2037" w:type="pct"/>
            <w:vAlign w:val="center"/>
          </w:tcPr>
          <w:p w14:paraId="64DB53EE" w14:textId="24BD8212" w:rsidR="00682772" w:rsidRPr="00640D24" w:rsidRDefault="00682772" w:rsidP="00682772">
            <w:pPr>
              <w:spacing w:after="0"/>
              <w:jc w:val="center"/>
              <w:rPr>
                <w:rFonts w:eastAsia="Times New Roman" w:cs="Times New Roman"/>
                <w:sz w:val="21"/>
                <w:szCs w:val="21"/>
                <w:lang w:val="lt-LT" w:eastAsia="lt-LT"/>
              </w:rPr>
            </w:pPr>
            <w:r w:rsidRPr="00640D24">
              <w:rPr>
                <w:rFonts w:eastAsia="Times New Roman" w:cs="Times New Roman"/>
                <w:sz w:val="21"/>
                <w:szCs w:val="21"/>
                <w:lang w:val="lt-LT" w:eastAsia="lt-LT"/>
              </w:rPr>
              <w:t xml:space="preserve">375,2, </w:t>
            </w:r>
            <w:r w:rsidRPr="00640D24">
              <w:rPr>
                <w:rFonts w:cs="Times New Roman"/>
                <w:sz w:val="21"/>
                <w:szCs w:val="21"/>
                <w:lang w:val="lt-LT"/>
              </w:rPr>
              <w:t>iš kurių 244,1 – ES SF lėšos (finansuojama pagal veiklas: „Skatinti inovacijų pasiūlą</w:t>
            </w:r>
            <w:r w:rsidRPr="00640D24">
              <w:rPr>
                <w:rStyle w:val="Puslapioinaosnuoroda"/>
                <w:rFonts w:cs="Times New Roman"/>
                <w:sz w:val="21"/>
                <w:szCs w:val="21"/>
                <w:lang w:val="lt-LT"/>
              </w:rPr>
              <w:footnoteReference w:id="88"/>
            </w:r>
            <w:r w:rsidRPr="00640D24">
              <w:rPr>
                <w:rFonts w:cs="Times New Roman"/>
                <w:sz w:val="21"/>
                <w:szCs w:val="21"/>
                <w:lang w:val="lt-LT"/>
              </w:rPr>
              <w:t>“, „Sudaryti sąlygas tvariai pramonės transformacijai</w:t>
            </w:r>
            <w:r w:rsidRPr="00640D24">
              <w:rPr>
                <w:rStyle w:val="Puslapioinaosnuoroda"/>
                <w:rFonts w:cs="Times New Roman"/>
                <w:sz w:val="21"/>
                <w:szCs w:val="21"/>
                <w:lang w:val="lt-LT"/>
              </w:rPr>
              <w:footnoteReference w:id="89"/>
            </w:r>
            <w:r w:rsidRPr="00640D24">
              <w:rPr>
                <w:rFonts w:cs="Times New Roman"/>
                <w:sz w:val="21"/>
                <w:szCs w:val="21"/>
                <w:lang w:val="lt-LT"/>
              </w:rPr>
              <w:t>, „Skatinti pradedančiųjų SVV subjektų kūrimąsi, augimą ir plėtrą</w:t>
            </w:r>
            <w:r w:rsidRPr="00640D24">
              <w:rPr>
                <w:rStyle w:val="Puslapioinaosnuoroda"/>
                <w:rFonts w:cs="Times New Roman"/>
                <w:sz w:val="21"/>
                <w:szCs w:val="21"/>
                <w:lang w:val="lt-LT"/>
              </w:rPr>
              <w:footnoteReference w:id="90"/>
            </w:r>
            <w:r w:rsidRPr="00640D24">
              <w:rPr>
                <w:rFonts w:cs="Times New Roman"/>
                <w:sz w:val="21"/>
                <w:szCs w:val="21"/>
                <w:lang w:val="lt-LT"/>
              </w:rPr>
              <w:t xml:space="preserve">“, „Skatinti aukštą pridėtinę vertę kuriančių pramonės įmonių  gamybos procesų </w:t>
            </w:r>
            <w:proofErr w:type="spellStart"/>
            <w:r w:rsidRPr="00640D24">
              <w:rPr>
                <w:rFonts w:cs="Times New Roman"/>
                <w:sz w:val="21"/>
                <w:szCs w:val="21"/>
                <w:lang w:val="lt-LT"/>
              </w:rPr>
              <w:t>skaitmeninimą</w:t>
            </w:r>
            <w:proofErr w:type="spellEnd"/>
            <w:r w:rsidRPr="00640D24">
              <w:rPr>
                <w:rStyle w:val="Puslapioinaosnuoroda"/>
                <w:rFonts w:cs="Times New Roman"/>
                <w:sz w:val="21"/>
                <w:szCs w:val="21"/>
                <w:lang w:val="lt-LT"/>
              </w:rPr>
              <w:footnoteReference w:id="91"/>
            </w:r>
            <w:r w:rsidRPr="00640D24">
              <w:rPr>
                <w:rFonts w:cs="Times New Roman"/>
                <w:sz w:val="21"/>
                <w:szCs w:val="21"/>
                <w:lang w:val="lt-LT"/>
              </w:rPr>
              <w:t xml:space="preserve">”, Skatinti trumpų vertės kūrimo grandinių formavimąsi ir plėtrą tarp MVĮ Vidurio ir Vakarų Lietuvos regionuose“, „Skatinti pramonės įmonių gamybos procesų automatizavimą ir </w:t>
            </w:r>
            <w:proofErr w:type="spellStart"/>
            <w:r w:rsidRPr="00640D24">
              <w:rPr>
                <w:rFonts w:cs="Times New Roman"/>
                <w:sz w:val="21"/>
                <w:szCs w:val="21"/>
                <w:lang w:val="lt-LT"/>
              </w:rPr>
              <w:t>skaitmeninimo</w:t>
            </w:r>
            <w:proofErr w:type="spellEnd"/>
            <w:r w:rsidRPr="00640D24">
              <w:rPr>
                <w:rFonts w:cs="Times New Roman"/>
                <w:sz w:val="21"/>
                <w:szCs w:val="21"/>
                <w:lang w:val="lt-LT"/>
              </w:rPr>
              <w:t xml:space="preserve"> technologijų diegimą (pramonės </w:t>
            </w:r>
            <w:proofErr w:type="spellStart"/>
            <w:r w:rsidRPr="00640D24">
              <w:rPr>
                <w:rFonts w:cs="Times New Roman"/>
                <w:sz w:val="21"/>
                <w:szCs w:val="21"/>
                <w:lang w:val="lt-LT"/>
              </w:rPr>
              <w:t>skaitmeninimas</w:t>
            </w:r>
            <w:proofErr w:type="spellEnd"/>
            <w:r w:rsidRPr="00640D24">
              <w:rPr>
                <w:rFonts w:cs="Times New Roman"/>
                <w:sz w:val="21"/>
                <w:szCs w:val="21"/>
                <w:lang w:val="lt-LT"/>
              </w:rPr>
              <w:t>)</w:t>
            </w:r>
            <w:r w:rsidRPr="00640D24">
              <w:rPr>
                <w:rStyle w:val="Puslapioinaosnuoroda"/>
                <w:rFonts w:cs="Times New Roman"/>
                <w:sz w:val="21"/>
                <w:szCs w:val="21"/>
                <w:lang w:val="lt-LT"/>
              </w:rPr>
              <w:footnoteReference w:id="92"/>
            </w:r>
            <w:r w:rsidRPr="00640D24">
              <w:rPr>
                <w:rFonts w:cs="Times New Roman"/>
                <w:sz w:val="21"/>
                <w:szCs w:val="21"/>
                <w:lang w:val="lt-LT"/>
              </w:rPr>
              <w:t xml:space="preserve">” </w:t>
            </w:r>
          </w:p>
        </w:tc>
        <w:tc>
          <w:tcPr>
            <w:tcW w:w="748" w:type="pct"/>
            <w:vAlign w:val="center"/>
          </w:tcPr>
          <w:p w14:paraId="293C7744" w14:textId="4144C2B6" w:rsidR="00682772" w:rsidRPr="00640D24" w:rsidRDefault="005D0E49" w:rsidP="00D86E69">
            <w:pPr>
              <w:spacing w:after="0"/>
              <w:jc w:val="center"/>
              <w:rPr>
                <w:rFonts w:eastAsia="Times New Roman" w:cs="Times New Roman"/>
                <w:sz w:val="21"/>
                <w:szCs w:val="21"/>
                <w:lang w:val="lt-LT" w:eastAsia="lt-LT"/>
              </w:rPr>
            </w:pPr>
            <w:r w:rsidRPr="00640D24">
              <w:rPr>
                <w:rFonts w:eastAsia="Times New Roman" w:cs="Times New Roman"/>
                <w:sz w:val="21"/>
                <w:szCs w:val="21"/>
                <w:lang w:eastAsia="lt-LT"/>
              </w:rPr>
              <w:t>1481,5</w:t>
            </w:r>
          </w:p>
        </w:tc>
        <w:tc>
          <w:tcPr>
            <w:tcW w:w="701" w:type="pct"/>
            <w:vAlign w:val="center"/>
          </w:tcPr>
          <w:p w14:paraId="4D2FC0CE" w14:textId="1D4CE010" w:rsidR="00682772" w:rsidRPr="00640D24" w:rsidRDefault="00682772" w:rsidP="00D86E69">
            <w:pPr>
              <w:spacing w:after="0"/>
              <w:jc w:val="center"/>
              <w:rPr>
                <w:rFonts w:cs="Times New Roman"/>
                <w:sz w:val="21"/>
                <w:szCs w:val="21"/>
                <w:lang w:val="lt-LT"/>
              </w:rPr>
            </w:pPr>
            <w:r w:rsidRPr="00640D24">
              <w:rPr>
                <w:rFonts w:eastAsia="Times New Roman" w:cs="Times New Roman"/>
                <w:sz w:val="21"/>
                <w:szCs w:val="21"/>
                <w:lang w:val="lt-LT" w:eastAsia="lt-LT"/>
              </w:rPr>
              <w:t xml:space="preserve">39,6 </w:t>
            </w:r>
          </w:p>
        </w:tc>
        <w:tc>
          <w:tcPr>
            <w:tcW w:w="841" w:type="pct"/>
            <w:vAlign w:val="center"/>
          </w:tcPr>
          <w:p w14:paraId="415464ED" w14:textId="212989E0" w:rsidR="00682772" w:rsidRPr="00640D24" w:rsidRDefault="00682772" w:rsidP="00D86E69">
            <w:pPr>
              <w:spacing w:after="0"/>
              <w:jc w:val="center"/>
              <w:rPr>
                <w:rFonts w:eastAsia="Times New Roman" w:cs="Times New Roman"/>
                <w:sz w:val="21"/>
                <w:szCs w:val="21"/>
                <w:lang w:val="lt-LT" w:eastAsia="lt-LT"/>
              </w:rPr>
            </w:pPr>
            <w:r w:rsidRPr="00640D24">
              <w:rPr>
                <w:rFonts w:eastAsia="Times New Roman" w:cs="Times New Roman"/>
                <w:sz w:val="21"/>
                <w:szCs w:val="21"/>
                <w:lang w:val="lt-LT" w:eastAsia="lt-LT"/>
              </w:rPr>
              <w:t>90,0</w:t>
            </w:r>
          </w:p>
        </w:tc>
      </w:tr>
      <w:tr w:rsidR="000C6FDC" w:rsidRPr="00640D24" w14:paraId="5A93EDB7" w14:textId="089B9056" w:rsidTr="000C6FDC">
        <w:trPr>
          <w:trHeight w:val="20"/>
        </w:trPr>
        <w:tc>
          <w:tcPr>
            <w:tcW w:w="673" w:type="pct"/>
            <w:vAlign w:val="center"/>
          </w:tcPr>
          <w:p w14:paraId="7A45196F" w14:textId="5180E97D" w:rsidR="006F4E96" w:rsidRPr="00640D24" w:rsidRDefault="006F4E96" w:rsidP="007C5FEC">
            <w:pPr>
              <w:spacing w:after="0"/>
              <w:rPr>
                <w:rFonts w:cs="Times New Roman"/>
                <w:b/>
                <w:bCs/>
                <w:sz w:val="21"/>
                <w:szCs w:val="21"/>
                <w:lang w:val="lt-LT"/>
              </w:rPr>
            </w:pPr>
            <w:r w:rsidRPr="00640D24">
              <w:rPr>
                <w:rFonts w:cs="Times New Roman"/>
                <w:b/>
                <w:bCs/>
                <w:color w:val="000000"/>
                <w:sz w:val="21"/>
                <w:szCs w:val="21"/>
                <w:lang w:val="lt-LT"/>
              </w:rPr>
              <w:t>Finansavimo šaltinis</w:t>
            </w:r>
          </w:p>
        </w:tc>
        <w:tc>
          <w:tcPr>
            <w:tcW w:w="2037" w:type="pct"/>
            <w:vAlign w:val="center"/>
          </w:tcPr>
          <w:p w14:paraId="06C8DAA8" w14:textId="5E47C235" w:rsidR="006F4E96" w:rsidRPr="00640D24" w:rsidRDefault="006F4E96" w:rsidP="00D86E69">
            <w:pPr>
              <w:spacing w:after="0"/>
              <w:jc w:val="center"/>
              <w:rPr>
                <w:rFonts w:eastAsia="Times New Roman" w:cs="Times New Roman"/>
                <w:color w:val="000000"/>
                <w:sz w:val="21"/>
                <w:szCs w:val="21"/>
                <w:lang w:val="lt-LT" w:eastAsia="lt-LT"/>
              </w:rPr>
            </w:pPr>
            <w:r w:rsidRPr="00640D24">
              <w:rPr>
                <w:rFonts w:cs="Times New Roman"/>
                <w:sz w:val="21"/>
                <w:szCs w:val="21"/>
                <w:lang w:val="lt-LT"/>
              </w:rPr>
              <w:t>ES SF ir  valstybės b</w:t>
            </w:r>
            <w:r w:rsidRPr="00640D24">
              <w:rPr>
                <w:rFonts w:eastAsia="Times New Roman" w:cs="Times New Roman"/>
                <w:color w:val="000000"/>
                <w:sz w:val="21"/>
                <w:szCs w:val="21"/>
                <w:lang w:val="lt-LT" w:eastAsia="lt-LT"/>
              </w:rPr>
              <w:t>iudžeto, grįžusios ir (ar) grįšiančios ir kitos lėšos</w:t>
            </w:r>
          </w:p>
        </w:tc>
        <w:tc>
          <w:tcPr>
            <w:tcW w:w="748" w:type="pct"/>
            <w:vAlign w:val="center"/>
          </w:tcPr>
          <w:p w14:paraId="2AA43EEE" w14:textId="5078CDF8" w:rsidR="006F4E96" w:rsidRPr="00640D24" w:rsidRDefault="006F4E96" w:rsidP="007C5FEC">
            <w:pPr>
              <w:spacing w:after="0"/>
              <w:jc w:val="center"/>
              <w:rPr>
                <w:rFonts w:eastAsia="Times New Roman" w:cs="Times New Roman"/>
                <w:color w:val="000000"/>
                <w:sz w:val="21"/>
                <w:szCs w:val="21"/>
                <w:lang w:val="lt-LT" w:eastAsia="lt-LT"/>
              </w:rPr>
            </w:pPr>
            <w:r w:rsidRPr="00640D24">
              <w:rPr>
                <w:rFonts w:eastAsia="Times New Roman" w:cs="Times New Roman"/>
                <w:color w:val="000000"/>
                <w:sz w:val="21"/>
                <w:szCs w:val="21"/>
                <w:lang w:eastAsia="lt-LT"/>
              </w:rPr>
              <w:t>EGADP</w:t>
            </w:r>
            <w:r w:rsidR="000D0ED9" w:rsidRPr="00640D24">
              <w:rPr>
                <w:rFonts w:eastAsia="Times New Roman" w:cs="Times New Roman"/>
                <w:color w:val="000000"/>
                <w:sz w:val="21"/>
                <w:szCs w:val="21"/>
                <w:lang w:eastAsia="lt-LT"/>
              </w:rPr>
              <w:t xml:space="preserve">, VB </w:t>
            </w:r>
            <w:proofErr w:type="spellStart"/>
            <w:r w:rsidR="000D0ED9" w:rsidRPr="00640D24">
              <w:rPr>
                <w:rFonts w:eastAsia="Times New Roman" w:cs="Times New Roman"/>
                <w:color w:val="000000"/>
                <w:sz w:val="21"/>
                <w:szCs w:val="21"/>
                <w:lang w:eastAsia="lt-LT"/>
              </w:rPr>
              <w:t>ir</w:t>
            </w:r>
            <w:proofErr w:type="spellEnd"/>
            <w:r w:rsidR="000D0ED9" w:rsidRPr="00640D24">
              <w:rPr>
                <w:rFonts w:eastAsia="Times New Roman" w:cs="Times New Roman"/>
                <w:color w:val="000000"/>
                <w:sz w:val="21"/>
                <w:szCs w:val="21"/>
                <w:lang w:eastAsia="lt-LT"/>
              </w:rPr>
              <w:t xml:space="preserve"> (</w:t>
            </w:r>
            <w:proofErr w:type="spellStart"/>
            <w:r w:rsidR="000D0ED9" w:rsidRPr="00640D24">
              <w:rPr>
                <w:rFonts w:eastAsia="Times New Roman" w:cs="Times New Roman"/>
                <w:color w:val="000000"/>
                <w:sz w:val="21"/>
                <w:szCs w:val="21"/>
                <w:lang w:eastAsia="lt-LT"/>
              </w:rPr>
              <w:t>arba</w:t>
            </w:r>
            <w:proofErr w:type="spellEnd"/>
            <w:r w:rsidR="000D0ED9" w:rsidRPr="00640D24">
              <w:rPr>
                <w:rFonts w:eastAsia="Times New Roman" w:cs="Times New Roman"/>
                <w:color w:val="000000"/>
                <w:sz w:val="21"/>
                <w:szCs w:val="21"/>
                <w:lang w:eastAsia="lt-LT"/>
              </w:rPr>
              <w:t xml:space="preserve">) </w:t>
            </w:r>
            <w:proofErr w:type="spellStart"/>
            <w:r w:rsidR="000D0ED9" w:rsidRPr="00640D24">
              <w:rPr>
                <w:rFonts w:eastAsia="Times New Roman" w:cs="Times New Roman"/>
                <w:color w:val="000000"/>
                <w:sz w:val="21"/>
                <w:szCs w:val="21"/>
                <w:lang w:eastAsia="lt-LT"/>
              </w:rPr>
              <w:t>kitos</w:t>
            </w:r>
            <w:proofErr w:type="spellEnd"/>
            <w:r w:rsidRPr="00640D24">
              <w:rPr>
                <w:rFonts w:eastAsia="Times New Roman" w:cs="Times New Roman"/>
                <w:color w:val="000000"/>
                <w:sz w:val="21"/>
                <w:szCs w:val="21"/>
                <w:lang w:val="lt-LT" w:eastAsia="lt-LT"/>
              </w:rPr>
              <w:t xml:space="preserve"> lėšos</w:t>
            </w:r>
          </w:p>
        </w:tc>
        <w:tc>
          <w:tcPr>
            <w:tcW w:w="1542" w:type="pct"/>
            <w:gridSpan w:val="2"/>
            <w:vAlign w:val="center"/>
          </w:tcPr>
          <w:p w14:paraId="208015AD" w14:textId="0FB8410D" w:rsidR="006F4E96" w:rsidRPr="00640D24" w:rsidRDefault="006F4E96" w:rsidP="007C5FEC">
            <w:pPr>
              <w:spacing w:after="0"/>
              <w:jc w:val="center"/>
              <w:rPr>
                <w:rFonts w:eastAsia="Times New Roman" w:cs="Times New Roman"/>
                <w:color w:val="000000"/>
                <w:sz w:val="21"/>
                <w:szCs w:val="21"/>
                <w:lang w:val="lt-LT" w:eastAsia="lt-LT"/>
              </w:rPr>
            </w:pPr>
            <w:r w:rsidRPr="00640D24">
              <w:rPr>
                <w:rFonts w:eastAsia="Times New Roman" w:cs="Times New Roman"/>
                <w:color w:val="000000"/>
                <w:sz w:val="21"/>
                <w:szCs w:val="21"/>
                <w:lang w:val="lt-LT" w:eastAsia="lt-LT"/>
              </w:rPr>
              <w:t>Grįžusios ir (ar) grįšiančios ir kitos lėšos</w:t>
            </w:r>
          </w:p>
        </w:tc>
      </w:tr>
      <w:tr w:rsidR="00587B6B" w:rsidRPr="00640D24" w14:paraId="664F2311" w14:textId="4AEF953B" w:rsidTr="000C6FDC">
        <w:trPr>
          <w:trHeight w:val="20"/>
        </w:trPr>
        <w:tc>
          <w:tcPr>
            <w:tcW w:w="673" w:type="pct"/>
            <w:vAlign w:val="center"/>
          </w:tcPr>
          <w:p w14:paraId="348B4EA4" w14:textId="7D219B15" w:rsidR="00682772" w:rsidRPr="00640D24" w:rsidRDefault="00682772" w:rsidP="007C5FEC">
            <w:pPr>
              <w:spacing w:after="0"/>
              <w:rPr>
                <w:rFonts w:cs="Times New Roman"/>
                <w:b/>
                <w:bCs/>
                <w:color w:val="000000"/>
                <w:sz w:val="21"/>
                <w:szCs w:val="21"/>
                <w:lang w:val="lt-LT"/>
              </w:rPr>
            </w:pPr>
            <w:r w:rsidRPr="00640D24">
              <w:rPr>
                <w:rFonts w:cs="Times New Roman"/>
                <w:b/>
                <w:bCs/>
                <w:color w:val="000000"/>
                <w:sz w:val="21"/>
                <w:szCs w:val="21"/>
                <w:lang w:val="lt-LT"/>
              </w:rPr>
              <w:t xml:space="preserve">FP pagrindu pritrauktos privačios lėšos, proc. </w:t>
            </w:r>
          </w:p>
        </w:tc>
        <w:tc>
          <w:tcPr>
            <w:tcW w:w="2037" w:type="pct"/>
            <w:vAlign w:val="center"/>
          </w:tcPr>
          <w:p w14:paraId="2B3F8AAA" w14:textId="77777777" w:rsidR="00682772" w:rsidRPr="00640D24" w:rsidRDefault="00682772" w:rsidP="00CF09A0">
            <w:pPr>
              <w:spacing w:after="0"/>
              <w:jc w:val="center"/>
              <w:rPr>
                <w:rFonts w:eastAsia="Times New Roman" w:cs="Times New Roman"/>
                <w:color w:val="000000"/>
                <w:sz w:val="21"/>
                <w:szCs w:val="21"/>
                <w:lang w:val="lt-LT" w:eastAsia="lt-LT"/>
              </w:rPr>
            </w:pPr>
            <w:r w:rsidRPr="00640D24">
              <w:rPr>
                <w:rFonts w:eastAsia="Times New Roman" w:cs="Times New Roman"/>
                <w:color w:val="000000"/>
                <w:sz w:val="21"/>
                <w:szCs w:val="21"/>
                <w:lang w:val="lt-LT" w:eastAsia="lt-LT"/>
              </w:rPr>
              <w:t xml:space="preserve">Rekomenduojama siekti ne mažiau kaip 20 proc. </w:t>
            </w:r>
          </w:p>
          <w:p w14:paraId="51C2B294" w14:textId="39F25311" w:rsidR="00682772" w:rsidRPr="00640D24" w:rsidRDefault="00682772" w:rsidP="00CF09A0">
            <w:pPr>
              <w:spacing w:after="0"/>
              <w:jc w:val="center"/>
              <w:rPr>
                <w:rFonts w:eastAsia="Times New Roman" w:cs="Times New Roman"/>
                <w:color w:val="000000"/>
                <w:sz w:val="21"/>
                <w:szCs w:val="21"/>
                <w:lang w:val="lt-LT" w:eastAsia="lt-LT"/>
              </w:rPr>
            </w:pPr>
          </w:p>
        </w:tc>
        <w:tc>
          <w:tcPr>
            <w:tcW w:w="748" w:type="pct"/>
            <w:vAlign w:val="center"/>
          </w:tcPr>
          <w:p w14:paraId="2AC96327" w14:textId="5BB09553" w:rsidR="00682772" w:rsidRPr="00640D24" w:rsidRDefault="00682772" w:rsidP="00CF09A0">
            <w:pPr>
              <w:spacing w:after="0"/>
              <w:jc w:val="center"/>
              <w:rPr>
                <w:rFonts w:eastAsia="Times New Roman" w:cs="Times New Roman"/>
                <w:color w:val="000000"/>
                <w:sz w:val="21"/>
                <w:szCs w:val="21"/>
                <w:lang w:val="lt-LT" w:eastAsia="lt-LT"/>
              </w:rPr>
            </w:pPr>
            <w:r w:rsidRPr="00640D24">
              <w:rPr>
                <w:rFonts w:eastAsia="Times New Roman" w:cs="Times New Roman"/>
                <w:color w:val="000000"/>
                <w:sz w:val="21"/>
                <w:szCs w:val="21"/>
                <w:lang w:val="lt-LT" w:eastAsia="lt-LT"/>
              </w:rPr>
              <w:t>Rekomenduojama siekti ne mažiau kaip 20 proc.</w:t>
            </w:r>
          </w:p>
        </w:tc>
        <w:tc>
          <w:tcPr>
            <w:tcW w:w="701" w:type="pct"/>
            <w:vAlign w:val="center"/>
          </w:tcPr>
          <w:p w14:paraId="3549ABC3" w14:textId="7A0EF491" w:rsidR="00682772" w:rsidRPr="00640D24" w:rsidRDefault="00682772" w:rsidP="00CF09A0">
            <w:pPr>
              <w:spacing w:after="0"/>
              <w:jc w:val="center"/>
              <w:rPr>
                <w:rFonts w:eastAsia="Times New Roman" w:cs="Times New Roman"/>
                <w:color w:val="000000"/>
                <w:sz w:val="21"/>
                <w:szCs w:val="21"/>
                <w:lang w:val="lt-LT" w:eastAsia="lt-LT"/>
              </w:rPr>
            </w:pPr>
            <w:r w:rsidRPr="00640D24">
              <w:rPr>
                <w:rFonts w:eastAsia="Times New Roman" w:cs="Times New Roman"/>
                <w:color w:val="000000"/>
                <w:sz w:val="21"/>
                <w:szCs w:val="21"/>
                <w:lang w:val="lt-LT" w:eastAsia="lt-LT"/>
              </w:rPr>
              <w:t>Tuo atveju jei atsirastų susidomėję FT, rekomenduojama siekti, kad FT prisidėtų</w:t>
            </w:r>
            <w:r w:rsidRPr="00640D24">
              <w:rPr>
                <w:rFonts w:cs="Times New Roman"/>
                <w:sz w:val="21"/>
                <w:szCs w:val="21"/>
                <w:lang w:val="lt-LT"/>
              </w:rPr>
              <w:t xml:space="preserve"> ne mažiau 20 proc. </w:t>
            </w:r>
          </w:p>
        </w:tc>
        <w:tc>
          <w:tcPr>
            <w:tcW w:w="841" w:type="pct"/>
            <w:vAlign w:val="center"/>
          </w:tcPr>
          <w:p w14:paraId="76FAD065" w14:textId="77FAC1E5" w:rsidR="00682772" w:rsidRPr="00640D24" w:rsidRDefault="00682772" w:rsidP="00CF09A0">
            <w:pPr>
              <w:spacing w:after="0"/>
              <w:jc w:val="center"/>
              <w:rPr>
                <w:rFonts w:eastAsia="Times New Roman" w:cs="Times New Roman"/>
                <w:color w:val="000000"/>
                <w:sz w:val="21"/>
                <w:szCs w:val="21"/>
                <w:lang w:val="lt-LT" w:eastAsia="lt-LT"/>
              </w:rPr>
            </w:pPr>
            <w:r w:rsidRPr="00640D24">
              <w:rPr>
                <w:rFonts w:cs="Times New Roman"/>
                <w:sz w:val="21"/>
                <w:szCs w:val="21"/>
                <w:lang w:val="lt-LT"/>
              </w:rPr>
              <w:t>Ne mažiau 25 proc. </w:t>
            </w:r>
          </w:p>
        </w:tc>
      </w:tr>
      <w:tr w:rsidR="00587B6B" w:rsidRPr="00640D24" w14:paraId="32319A1D" w14:textId="0DC2E8F0" w:rsidTr="000C6FDC">
        <w:trPr>
          <w:trHeight w:val="20"/>
        </w:trPr>
        <w:tc>
          <w:tcPr>
            <w:tcW w:w="673" w:type="pct"/>
            <w:vAlign w:val="center"/>
          </w:tcPr>
          <w:p w14:paraId="73C2ECA6" w14:textId="4B0F3C37" w:rsidR="00682772" w:rsidRPr="00640D24" w:rsidRDefault="00682772" w:rsidP="007042CA">
            <w:pPr>
              <w:spacing w:after="0"/>
              <w:rPr>
                <w:rFonts w:cs="Times New Roman"/>
                <w:b/>
                <w:bCs/>
                <w:sz w:val="21"/>
                <w:szCs w:val="21"/>
                <w:lang w:val="lt-LT"/>
              </w:rPr>
            </w:pPr>
            <w:r w:rsidRPr="00640D24">
              <w:rPr>
                <w:rFonts w:cs="Times New Roman"/>
                <w:b/>
                <w:bCs/>
                <w:sz w:val="21"/>
                <w:szCs w:val="21"/>
                <w:lang w:val="lt-LT"/>
              </w:rPr>
              <w:t>Finansavimo paskirtis</w:t>
            </w:r>
          </w:p>
        </w:tc>
        <w:tc>
          <w:tcPr>
            <w:tcW w:w="2037" w:type="pct"/>
            <w:vAlign w:val="center"/>
          </w:tcPr>
          <w:p w14:paraId="75DD4AD1" w14:textId="735BB9E2" w:rsidR="00682772" w:rsidRPr="00640D24" w:rsidRDefault="00682772" w:rsidP="00D877AA">
            <w:pPr>
              <w:spacing w:after="0"/>
              <w:jc w:val="center"/>
              <w:rPr>
                <w:rFonts w:cs="Times New Roman"/>
                <w:sz w:val="21"/>
                <w:szCs w:val="21"/>
                <w:lang w:val="lt-LT"/>
              </w:rPr>
            </w:pPr>
            <w:r w:rsidRPr="00640D24">
              <w:rPr>
                <w:rFonts w:cs="Times New Roman"/>
                <w:sz w:val="21"/>
                <w:szCs w:val="21"/>
                <w:lang w:val="lt-LT"/>
              </w:rPr>
              <w:t>Investicijos, apyvartinis kapitalas</w:t>
            </w:r>
          </w:p>
        </w:tc>
        <w:tc>
          <w:tcPr>
            <w:tcW w:w="748" w:type="pct"/>
            <w:vAlign w:val="center"/>
          </w:tcPr>
          <w:p w14:paraId="5588BC4D" w14:textId="2052FD9D" w:rsidR="00682772" w:rsidRPr="00640D24" w:rsidRDefault="00682772" w:rsidP="00D877AA">
            <w:pPr>
              <w:spacing w:after="0"/>
              <w:jc w:val="center"/>
              <w:rPr>
                <w:rFonts w:cs="Times New Roman"/>
                <w:sz w:val="21"/>
                <w:szCs w:val="21"/>
                <w:lang w:val="lt-LT"/>
              </w:rPr>
            </w:pPr>
            <w:r w:rsidRPr="00640D24">
              <w:rPr>
                <w:rFonts w:cs="Times New Roman"/>
                <w:sz w:val="21"/>
                <w:szCs w:val="21"/>
                <w:lang w:val="lt-LT"/>
              </w:rPr>
              <w:t xml:space="preserve">Investicijos, apyvartinis kapitalas </w:t>
            </w:r>
          </w:p>
        </w:tc>
        <w:tc>
          <w:tcPr>
            <w:tcW w:w="701" w:type="pct"/>
            <w:vAlign w:val="center"/>
          </w:tcPr>
          <w:p w14:paraId="458C33E7" w14:textId="0AED880B" w:rsidR="00682772" w:rsidRPr="00640D24" w:rsidRDefault="00682772" w:rsidP="00D877AA">
            <w:pPr>
              <w:spacing w:after="0"/>
              <w:jc w:val="center"/>
              <w:rPr>
                <w:rFonts w:cs="Times New Roman"/>
                <w:sz w:val="21"/>
                <w:szCs w:val="21"/>
                <w:lang w:val="lt-LT"/>
              </w:rPr>
            </w:pPr>
            <w:r w:rsidRPr="00640D24">
              <w:rPr>
                <w:rFonts w:cs="Times New Roman"/>
                <w:sz w:val="21"/>
                <w:szCs w:val="21"/>
                <w:lang w:val="lt-LT"/>
              </w:rPr>
              <w:t>Investicijos ir apyvartinis kapitalas</w:t>
            </w:r>
          </w:p>
        </w:tc>
        <w:tc>
          <w:tcPr>
            <w:tcW w:w="841" w:type="pct"/>
            <w:vAlign w:val="center"/>
          </w:tcPr>
          <w:p w14:paraId="2EB0080D" w14:textId="718975E4" w:rsidR="00682772" w:rsidRPr="00640D24" w:rsidRDefault="00682772" w:rsidP="00D877AA">
            <w:pPr>
              <w:spacing w:after="0"/>
              <w:jc w:val="center"/>
              <w:rPr>
                <w:rFonts w:cs="Times New Roman"/>
                <w:sz w:val="21"/>
                <w:szCs w:val="21"/>
                <w:lang w:val="lt-LT"/>
              </w:rPr>
            </w:pPr>
            <w:r w:rsidRPr="00640D24">
              <w:rPr>
                <w:rFonts w:cs="Times New Roman"/>
                <w:sz w:val="21"/>
                <w:szCs w:val="21"/>
                <w:lang w:val="lt-LT"/>
              </w:rPr>
              <w:t>Investicijos ir apyvartinis kapitalas</w:t>
            </w:r>
          </w:p>
        </w:tc>
      </w:tr>
      <w:tr w:rsidR="00587B6B" w:rsidRPr="00640D24" w14:paraId="38D59012" w14:textId="03993051" w:rsidTr="000C6FDC">
        <w:trPr>
          <w:trHeight w:val="20"/>
        </w:trPr>
        <w:tc>
          <w:tcPr>
            <w:tcW w:w="673" w:type="pct"/>
            <w:vAlign w:val="center"/>
          </w:tcPr>
          <w:p w14:paraId="473D2204" w14:textId="74CBF720" w:rsidR="00682772" w:rsidRPr="00640D24" w:rsidRDefault="00682772" w:rsidP="00EF37CE">
            <w:pPr>
              <w:spacing w:after="0"/>
              <w:rPr>
                <w:rFonts w:cs="Times New Roman"/>
                <w:b/>
                <w:bCs/>
                <w:sz w:val="21"/>
                <w:szCs w:val="21"/>
                <w:lang w:val="lt-LT"/>
              </w:rPr>
            </w:pPr>
            <w:r w:rsidRPr="00640D24">
              <w:rPr>
                <w:rFonts w:cs="Times New Roman"/>
                <w:b/>
                <w:bCs/>
                <w:sz w:val="21"/>
                <w:szCs w:val="21"/>
                <w:lang w:val="lt-LT"/>
              </w:rPr>
              <w:t>Rizikos pasidalijimas</w:t>
            </w:r>
          </w:p>
        </w:tc>
        <w:tc>
          <w:tcPr>
            <w:tcW w:w="2037" w:type="pct"/>
            <w:vAlign w:val="center"/>
          </w:tcPr>
          <w:p w14:paraId="5DD30028" w14:textId="2766A24D" w:rsidR="00682772" w:rsidRPr="00640D24" w:rsidRDefault="00645085" w:rsidP="00682772">
            <w:pPr>
              <w:spacing w:after="0"/>
              <w:jc w:val="center"/>
              <w:rPr>
                <w:rFonts w:cs="Times New Roman"/>
                <w:sz w:val="21"/>
                <w:szCs w:val="21"/>
                <w:lang w:val="lt-LT"/>
              </w:rPr>
            </w:pPr>
            <w:r w:rsidRPr="00640D24">
              <w:rPr>
                <w:rFonts w:cs="Times New Roman"/>
                <w:sz w:val="21"/>
                <w:szCs w:val="21"/>
                <w:lang w:val="lt-LT"/>
              </w:rPr>
              <w:t>–</w:t>
            </w:r>
          </w:p>
        </w:tc>
        <w:tc>
          <w:tcPr>
            <w:tcW w:w="748" w:type="pct"/>
            <w:vAlign w:val="center"/>
          </w:tcPr>
          <w:p w14:paraId="72573F6B" w14:textId="276D36EC" w:rsidR="00682772" w:rsidRPr="00640D24" w:rsidRDefault="00645085" w:rsidP="00EF37CE">
            <w:pPr>
              <w:spacing w:after="0"/>
              <w:jc w:val="center"/>
              <w:rPr>
                <w:rFonts w:cs="Times New Roman"/>
                <w:sz w:val="21"/>
                <w:szCs w:val="21"/>
              </w:rPr>
            </w:pPr>
            <w:r w:rsidRPr="00640D24">
              <w:rPr>
                <w:rFonts w:cs="Times New Roman"/>
                <w:sz w:val="21"/>
                <w:szCs w:val="21"/>
                <w:lang w:val="lt-LT"/>
              </w:rPr>
              <w:t>–</w:t>
            </w:r>
          </w:p>
        </w:tc>
        <w:tc>
          <w:tcPr>
            <w:tcW w:w="701" w:type="pct"/>
            <w:vAlign w:val="center"/>
          </w:tcPr>
          <w:p w14:paraId="02B9ED34" w14:textId="79ACB98D" w:rsidR="00682772" w:rsidRPr="00640D24" w:rsidRDefault="00682772" w:rsidP="00EF37CE">
            <w:pPr>
              <w:spacing w:after="0"/>
              <w:jc w:val="center"/>
              <w:rPr>
                <w:rFonts w:cs="Times New Roman"/>
                <w:sz w:val="21"/>
                <w:szCs w:val="21"/>
                <w:lang w:val="lt-LT"/>
              </w:rPr>
            </w:pPr>
            <w:r w:rsidRPr="00640D24">
              <w:rPr>
                <w:rFonts w:cs="Times New Roman"/>
                <w:sz w:val="21"/>
                <w:szCs w:val="21"/>
                <w:lang w:val="lt-LT"/>
              </w:rPr>
              <w:t>100 proc. FT rizika, arba pasidalyta rizika</w:t>
            </w:r>
          </w:p>
        </w:tc>
        <w:tc>
          <w:tcPr>
            <w:tcW w:w="841" w:type="pct"/>
            <w:vAlign w:val="center"/>
          </w:tcPr>
          <w:p w14:paraId="31CDA23B" w14:textId="37A14D32" w:rsidR="00682772" w:rsidRPr="00640D24" w:rsidRDefault="00682772" w:rsidP="00EF37CE">
            <w:pPr>
              <w:spacing w:after="0"/>
              <w:jc w:val="center"/>
              <w:rPr>
                <w:rFonts w:cs="Times New Roman"/>
                <w:sz w:val="21"/>
                <w:szCs w:val="21"/>
                <w:lang w:val="lt-LT"/>
              </w:rPr>
            </w:pPr>
            <w:r w:rsidRPr="00640D24">
              <w:rPr>
                <w:rFonts w:cs="Times New Roman"/>
                <w:sz w:val="21"/>
                <w:szCs w:val="21"/>
                <w:lang w:val="lt-LT"/>
              </w:rPr>
              <w:t>100 proc. FT rizika, arba pasidalyta rizika</w:t>
            </w:r>
          </w:p>
        </w:tc>
      </w:tr>
      <w:tr w:rsidR="00587B6B" w:rsidRPr="00640D24" w14:paraId="6F412BCC" w14:textId="5F98B31D" w:rsidTr="000C6FDC">
        <w:trPr>
          <w:trHeight w:val="20"/>
        </w:trPr>
        <w:tc>
          <w:tcPr>
            <w:tcW w:w="673" w:type="pct"/>
            <w:vAlign w:val="center"/>
          </w:tcPr>
          <w:p w14:paraId="78136D2E" w14:textId="69ED725D" w:rsidR="00682772" w:rsidRPr="00640D24" w:rsidRDefault="00682772" w:rsidP="003E6CF1">
            <w:pPr>
              <w:spacing w:after="0"/>
              <w:rPr>
                <w:rFonts w:cs="Times New Roman"/>
                <w:b/>
                <w:bCs/>
                <w:sz w:val="21"/>
                <w:szCs w:val="21"/>
                <w:lang w:val="lt-LT"/>
              </w:rPr>
            </w:pPr>
            <w:r w:rsidRPr="00640D24">
              <w:rPr>
                <w:rFonts w:cs="Times New Roman"/>
                <w:b/>
                <w:bCs/>
                <w:sz w:val="21"/>
                <w:szCs w:val="21"/>
                <w:lang w:val="lt-LT"/>
              </w:rPr>
              <w:lastRenderedPageBreak/>
              <w:t>Finansavimo terminas</w:t>
            </w:r>
          </w:p>
        </w:tc>
        <w:tc>
          <w:tcPr>
            <w:tcW w:w="2037" w:type="pct"/>
            <w:vAlign w:val="center"/>
          </w:tcPr>
          <w:p w14:paraId="537A741A" w14:textId="630C47DD" w:rsidR="00682772" w:rsidRPr="00640D24" w:rsidRDefault="004C7A83" w:rsidP="00682772">
            <w:pPr>
              <w:spacing w:after="0"/>
              <w:jc w:val="center"/>
              <w:rPr>
                <w:rFonts w:cs="Times New Roman"/>
                <w:sz w:val="21"/>
                <w:szCs w:val="21"/>
                <w:lang w:val="lt-LT"/>
              </w:rPr>
            </w:pPr>
            <w:r w:rsidRPr="00640D24">
              <w:rPr>
                <w:rFonts w:cs="Times New Roman"/>
                <w:sz w:val="21"/>
                <w:szCs w:val="21"/>
                <w:lang w:val="lt-LT"/>
              </w:rPr>
              <w:t>I</w:t>
            </w:r>
            <w:r w:rsidR="00682772" w:rsidRPr="00640D24">
              <w:rPr>
                <w:rFonts w:cs="Times New Roman"/>
                <w:sz w:val="21"/>
                <w:szCs w:val="21"/>
                <w:lang w:val="lt-LT"/>
              </w:rPr>
              <w:t xml:space="preserve">ki 180 mėn. </w:t>
            </w:r>
          </w:p>
        </w:tc>
        <w:tc>
          <w:tcPr>
            <w:tcW w:w="748" w:type="pct"/>
            <w:vAlign w:val="center"/>
          </w:tcPr>
          <w:p w14:paraId="7517E518" w14:textId="5CCB9430" w:rsidR="00682772" w:rsidRPr="00640D24" w:rsidRDefault="00682772" w:rsidP="00D877AA">
            <w:pPr>
              <w:spacing w:after="0"/>
              <w:jc w:val="center"/>
              <w:rPr>
                <w:rFonts w:cs="Times New Roman"/>
                <w:sz w:val="21"/>
                <w:szCs w:val="21"/>
              </w:rPr>
            </w:pPr>
            <w:r w:rsidRPr="00640D24">
              <w:rPr>
                <w:rFonts w:cs="Times New Roman"/>
                <w:sz w:val="21"/>
                <w:szCs w:val="21"/>
                <w:lang w:val="lt-LT"/>
              </w:rPr>
              <w:t xml:space="preserve">Iki </w:t>
            </w:r>
            <w:r w:rsidR="00310CC5" w:rsidRPr="00640D24">
              <w:rPr>
                <w:rFonts w:cs="Times New Roman"/>
                <w:sz w:val="21"/>
                <w:szCs w:val="21"/>
              </w:rPr>
              <w:t>240</w:t>
            </w:r>
            <w:r w:rsidR="004E081A" w:rsidRPr="00640D24">
              <w:rPr>
                <w:rFonts w:cs="Times New Roman"/>
                <w:sz w:val="21"/>
                <w:szCs w:val="21"/>
                <w:lang w:val="lt-LT"/>
              </w:rPr>
              <w:t xml:space="preserve"> </w:t>
            </w:r>
            <w:r w:rsidRPr="00640D24">
              <w:rPr>
                <w:rFonts w:cs="Times New Roman"/>
                <w:sz w:val="21"/>
                <w:szCs w:val="21"/>
                <w:lang w:val="lt-LT"/>
              </w:rPr>
              <w:t xml:space="preserve">mėn. </w:t>
            </w:r>
          </w:p>
        </w:tc>
        <w:tc>
          <w:tcPr>
            <w:tcW w:w="701" w:type="pct"/>
            <w:vAlign w:val="center"/>
          </w:tcPr>
          <w:p w14:paraId="1BC4FD96" w14:textId="1828ECFA" w:rsidR="00682772" w:rsidRPr="00640D24" w:rsidRDefault="00682772" w:rsidP="00D877AA">
            <w:pPr>
              <w:spacing w:after="0"/>
              <w:jc w:val="center"/>
              <w:rPr>
                <w:rFonts w:cs="Times New Roman"/>
                <w:sz w:val="21"/>
                <w:szCs w:val="21"/>
                <w:lang w:val="lt-LT"/>
              </w:rPr>
            </w:pPr>
            <w:r w:rsidRPr="00640D24">
              <w:rPr>
                <w:rFonts w:cs="Times New Roman"/>
                <w:sz w:val="21"/>
                <w:szCs w:val="21"/>
                <w:lang w:val="lt-LT"/>
              </w:rPr>
              <w:t>Iki 120 mėn.</w:t>
            </w:r>
          </w:p>
        </w:tc>
        <w:tc>
          <w:tcPr>
            <w:tcW w:w="841" w:type="pct"/>
            <w:vAlign w:val="center"/>
          </w:tcPr>
          <w:p w14:paraId="64A3B2F5" w14:textId="40079BD2" w:rsidR="00682772" w:rsidRPr="00640D24" w:rsidRDefault="00682772" w:rsidP="00D877AA">
            <w:pPr>
              <w:spacing w:after="0"/>
              <w:jc w:val="center"/>
              <w:rPr>
                <w:rFonts w:cs="Times New Roman"/>
                <w:sz w:val="21"/>
                <w:szCs w:val="21"/>
                <w:lang w:val="lt-LT"/>
              </w:rPr>
            </w:pPr>
            <w:r w:rsidRPr="00640D24">
              <w:rPr>
                <w:rFonts w:cs="Times New Roman"/>
                <w:sz w:val="21"/>
                <w:szCs w:val="21"/>
                <w:lang w:val="lt-LT"/>
              </w:rPr>
              <w:t xml:space="preserve">Iki 120 mėn. </w:t>
            </w:r>
          </w:p>
        </w:tc>
      </w:tr>
      <w:tr w:rsidR="00587B6B" w:rsidRPr="00640D24" w14:paraId="132A4458" w14:textId="58676922" w:rsidTr="000C6FDC">
        <w:trPr>
          <w:trHeight w:val="20"/>
        </w:trPr>
        <w:tc>
          <w:tcPr>
            <w:tcW w:w="673" w:type="pct"/>
            <w:vAlign w:val="center"/>
          </w:tcPr>
          <w:p w14:paraId="5866D8B5" w14:textId="6582E33F" w:rsidR="00682772" w:rsidRPr="00640D24" w:rsidRDefault="00682772" w:rsidP="00D1312D">
            <w:pPr>
              <w:spacing w:after="0"/>
              <w:rPr>
                <w:rFonts w:cs="Times New Roman"/>
                <w:b/>
                <w:bCs/>
                <w:sz w:val="21"/>
                <w:szCs w:val="21"/>
                <w:lang w:val="lt-LT"/>
              </w:rPr>
            </w:pPr>
            <w:r w:rsidRPr="00640D24">
              <w:rPr>
                <w:rFonts w:cs="Times New Roman"/>
                <w:b/>
                <w:bCs/>
                <w:color w:val="000000"/>
                <w:sz w:val="21"/>
                <w:szCs w:val="21"/>
                <w:lang w:val="lt-LT"/>
              </w:rPr>
              <w:t xml:space="preserve">Maksimalus finansavimo dydis </w:t>
            </w:r>
          </w:p>
        </w:tc>
        <w:tc>
          <w:tcPr>
            <w:tcW w:w="2037" w:type="pct"/>
            <w:vAlign w:val="center"/>
          </w:tcPr>
          <w:p w14:paraId="51173FC2" w14:textId="77777777" w:rsidR="00682772" w:rsidRPr="00640D24" w:rsidRDefault="00682772" w:rsidP="00BA6A1C">
            <w:pPr>
              <w:spacing w:after="0"/>
              <w:jc w:val="center"/>
              <w:rPr>
                <w:rFonts w:cs="Times New Roman"/>
                <w:sz w:val="21"/>
                <w:szCs w:val="21"/>
                <w:lang w:val="lt-LT"/>
              </w:rPr>
            </w:pPr>
            <w:r w:rsidRPr="00640D24">
              <w:rPr>
                <w:rFonts w:cs="Times New Roman"/>
                <w:sz w:val="21"/>
                <w:szCs w:val="21"/>
                <w:lang w:val="lt-LT"/>
              </w:rPr>
              <w:t xml:space="preserve">Iki 10 mln. </w:t>
            </w:r>
            <w:proofErr w:type="spellStart"/>
            <w:r w:rsidRPr="00640D24">
              <w:rPr>
                <w:rFonts w:cs="Times New Roman"/>
                <w:sz w:val="21"/>
                <w:szCs w:val="21"/>
                <w:lang w:val="lt-LT"/>
              </w:rPr>
              <w:t>Eur</w:t>
            </w:r>
            <w:proofErr w:type="spellEnd"/>
          </w:p>
          <w:p w14:paraId="66C81B06" w14:textId="6954E337" w:rsidR="00682772" w:rsidRPr="00640D24" w:rsidRDefault="00682772" w:rsidP="00BA6A1C">
            <w:pPr>
              <w:spacing w:after="0"/>
              <w:jc w:val="center"/>
              <w:rPr>
                <w:rFonts w:cs="Times New Roman"/>
                <w:sz w:val="21"/>
                <w:szCs w:val="21"/>
                <w:lang w:val="lt-LT"/>
              </w:rPr>
            </w:pPr>
          </w:p>
        </w:tc>
        <w:tc>
          <w:tcPr>
            <w:tcW w:w="748" w:type="pct"/>
            <w:vAlign w:val="center"/>
          </w:tcPr>
          <w:p w14:paraId="587F449F" w14:textId="789DB46E" w:rsidR="00682772" w:rsidRPr="00640D24" w:rsidRDefault="00645085" w:rsidP="00D1312D">
            <w:pPr>
              <w:spacing w:after="0"/>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w:t>
            </w:r>
          </w:p>
        </w:tc>
        <w:tc>
          <w:tcPr>
            <w:tcW w:w="701" w:type="pct"/>
            <w:vAlign w:val="center"/>
          </w:tcPr>
          <w:p w14:paraId="25C1B42F" w14:textId="7774D794" w:rsidR="00682772" w:rsidRPr="00640D24" w:rsidRDefault="00682772" w:rsidP="00D1312D">
            <w:pPr>
              <w:spacing w:after="0"/>
              <w:jc w:val="center"/>
              <w:rPr>
                <w:rFonts w:cs="Times New Roman"/>
                <w:sz w:val="21"/>
                <w:szCs w:val="21"/>
                <w:lang w:val="lt-LT"/>
              </w:rPr>
            </w:pPr>
            <w:r w:rsidRPr="00640D24">
              <w:rPr>
                <w:rFonts w:eastAsia="Times New Roman" w:cs="Times New Roman"/>
                <w:color w:val="000000"/>
                <w:sz w:val="21"/>
                <w:szCs w:val="21"/>
                <w:lang w:val="lt-LT" w:eastAsia="lt-LT"/>
              </w:rPr>
              <w:t xml:space="preserve">Iki 25 tūkst. </w:t>
            </w:r>
            <w:proofErr w:type="spellStart"/>
            <w:r w:rsidRPr="00640D24">
              <w:rPr>
                <w:rFonts w:eastAsia="Times New Roman" w:cs="Times New Roman"/>
                <w:color w:val="000000"/>
                <w:sz w:val="21"/>
                <w:szCs w:val="21"/>
                <w:lang w:val="lt-LT" w:eastAsia="lt-LT"/>
              </w:rPr>
              <w:t>Eur</w:t>
            </w:r>
            <w:proofErr w:type="spellEnd"/>
          </w:p>
        </w:tc>
        <w:tc>
          <w:tcPr>
            <w:tcW w:w="841" w:type="pct"/>
            <w:vAlign w:val="center"/>
          </w:tcPr>
          <w:p w14:paraId="6F26BDE5" w14:textId="42BC5EDF" w:rsidR="00682772" w:rsidRPr="00640D24" w:rsidRDefault="00645085" w:rsidP="00D1312D">
            <w:pPr>
              <w:spacing w:after="0"/>
              <w:jc w:val="center"/>
              <w:rPr>
                <w:rFonts w:eastAsia="Times New Roman" w:cs="Times New Roman"/>
                <w:color w:val="000000"/>
                <w:sz w:val="21"/>
                <w:szCs w:val="21"/>
                <w:lang w:val="lt-LT" w:eastAsia="lt-LT"/>
              </w:rPr>
            </w:pPr>
            <w:r w:rsidRPr="00640D24">
              <w:rPr>
                <w:rFonts w:cs="Times New Roman"/>
                <w:sz w:val="21"/>
                <w:szCs w:val="21"/>
                <w:lang w:val="lt-LT"/>
              </w:rPr>
              <w:t>–</w:t>
            </w:r>
          </w:p>
        </w:tc>
      </w:tr>
      <w:tr w:rsidR="00587B6B" w:rsidRPr="00640D24" w14:paraId="6BD27DAC" w14:textId="349754D3" w:rsidTr="000C6FDC">
        <w:trPr>
          <w:trHeight w:val="20"/>
        </w:trPr>
        <w:tc>
          <w:tcPr>
            <w:tcW w:w="673" w:type="pct"/>
            <w:vAlign w:val="center"/>
          </w:tcPr>
          <w:p w14:paraId="578CB291" w14:textId="2A0EBF1B" w:rsidR="00682772" w:rsidRPr="00640D24" w:rsidRDefault="00682772" w:rsidP="00D1312D">
            <w:pPr>
              <w:spacing w:after="0"/>
              <w:rPr>
                <w:rFonts w:cs="Times New Roman"/>
                <w:b/>
                <w:bCs/>
                <w:sz w:val="21"/>
                <w:szCs w:val="21"/>
                <w:lang w:val="lt-LT"/>
              </w:rPr>
            </w:pPr>
            <w:r w:rsidRPr="00640D24">
              <w:rPr>
                <w:rFonts w:cs="Times New Roman"/>
                <w:b/>
                <w:bCs/>
                <w:color w:val="000000"/>
                <w:sz w:val="21"/>
                <w:szCs w:val="21"/>
                <w:lang w:val="lt-LT"/>
              </w:rPr>
              <w:t>GG</w:t>
            </w:r>
          </w:p>
        </w:tc>
        <w:tc>
          <w:tcPr>
            <w:tcW w:w="2037" w:type="pct"/>
            <w:vAlign w:val="center"/>
          </w:tcPr>
          <w:p w14:paraId="5FDC3CBE" w14:textId="77777777" w:rsidR="00682772" w:rsidRPr="00640D24" w:rsidRDefault="00682772" w:rsidP="00D1312D">
            <w:pPr>
              <w:spacing w:after="0"/>
              <w:jc w:val="center"/>
              <w:rPr>
                <w:rFonts w:cs="Times New Roman"/>
                <w:sz w:val="21"/>
                <w:szCs w:val="21"/>
                <w:lang w:val="lt-LT"/>
              </w:rPr>
            </w:pPr>
            <w:r w:rsidRPr="00640D24">
              <w:rPr>
                <w:rFonts w:cs="Times New Roman"/>
                <w:sz w:val="21"/>
                <w:szCs w:val="21"/>
                <w:lang w:val="lt-LT"/>
              </w:rPr>
              <w:t>SVV subjektai, veikiantys iki 5 metų ir planuojantys investicijas į ekonominės veiklos pradžią ir plėtrą;</w:t>
            </w:r>
          </w:p>
          <w:p w14:paraId="3F5F6A3F" w14:textId="77777777" w:rsidR="00682772" w:rsidRPr="00640D24" w:rsidRDefault="00682772" w:rsidP="00D1312D">
            <w:pPr>
              <w:spacing w:after="0"/>
              <w:jc w:val="center"/>
              <w:rPr>
                <w:rFonts w:cs="Times New Roman"/>
                <w:sz w:val="21"/>
                <w:szCs w:val="21"/>
                <w:lang w:val="lt-LT"/>
              </w:rPr>
            </w:pPr>
            <w:r w:rsidRPr="00640D24">
              <w:rPr>
                <w:rFonts w:cs="Times New Roman"/>
                <w:sz w:val="21"/>
                <w:szCs w:val="21"/>
                <w:lang w:val="lt-LT"/>
              </w:rPr>
              <w:t>MVĮ, didelės įmonės, pramonės įmonės</w:t>
            </w:r>
          </w:p>
          <w:p w14:paraId="371CAA3B" w14:textId="4F905B7D" w:rsidR="00682772" w:rsidRPr="00640D24" w:rsidRDefault="00682772" w:rsidP="00D1312D">
            <w:pPr>
              <w:spacing w:after="0"/>
              <w:jc w:val="center"/>
              <w:rPr>
                <w:rFonts w:cs="Times New Roman"/>
                <w:sz w:val="21"/>
                <w:szCs w:val="21"/>
                <w:lang w:val="lt-LT"/>
              </w:rPr>
            </w:pPr>
          </w:p>
        </w:tc>
        <w:tc>
          <w:tcPr>
            <w:tcW w:w="748" w:type="pct"/>
            <w:vAlign w:val="center"/>
          </w:tcPr>
          <w:p w14:paraId="17BAD1CF" w14:textId="64A7ECF6" w:rsidR="00682772" w:rsidRPr="00640D24" w:rsidRDefault="00682772" w:rsidP="00D1312D">
            <w:pPr>
              <w:spacing w:after="0"/>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 xml:space="preserve">DĮ </w:t>
            </w:r>
            <w:proofErr w:type="spellStart"/>
            <w:r w:rsidRPr="00640D24">
              <w:rPr>
                <w:rFonts w:eastAsia="Times New Roman" w:cs="Times New Roman"/>
                <w:color w:val="000000"/>
                <w:sz w:val="21"/>
                <w:szCs w:val="21"/>
                <w:lang w:eastAsia="lt-LT"/>
              </w:rPr>
              <w:t>ir</w:t>
            </w:r>
            <w:proofErr w:type="spellEnd"/>
            <w:r w:rsidRPr="00640D24">
              <w:rPr>
                <w:rFonts w:eastAsia="Times New Roman" w:cs="Times New Roman"/>
                <w:color w:val="000000"/>
                <w:sz w:val="21"/>
                <w:szCs w:val="21"/>
                <w:lang w:eastAsia="lt-LT"/>
              </w:rPr>
              <w:t xml:space="preserve"> SVV</w:t>
            </w:r>
            <w:r w:rsidR="00310CC5" w:rsidRPr="00640D24">
              <w:rPr>
                <w:rFonts w:eastAsia="Times New Roman" w:cs="Times New Roman"/>
                <w:color w:val="000000"/>
                <w:sz w:val="21"/>
                <w:szCs w:val="21"/>
                <w:lang w:eastAsia="lt-LT"/>
              </w:rPr>
              <w:t xml:space="preserve"> </w:t>
            </w:r>
            <w:r w:rsidR="00310CC5" w:rsidRPr="00640D24">
              <w:rPr>
                <w:rFonts w:eastAsia="Times New Roman" w:cs="Times New Roman"/>
                <w:color w:val="000000"/>
                <w:sz w:val="21"/>
                <w:szCs w:val="21"/>
                <w:lang w:val="lt-LT" w:eastAsia="lt-LT"/>
              </w:rPr>
              <w:t>subjektai</w:t>
            </w:r>
          </w:p>
        </w:tc>
        <w:tc>
          <w:tcPr>
            <w:tcW w:w="701" w:type="pct"/>
            <w:vAlign w:val="center"/>
          </w:tcPr>
          <w:p w14:paraId="61BB5C58" w14:textId="25786B58" w:rsidR="00682772" w:rsidRPr="00640D24" w:rsidRDefault="00682772" w:rsidP="00D1312D">
            <w:pPr>
              <w:spacing w:after="0"/>
              <w:jc w:val="center"/>
              <w:rPr>
                <w:rFonts w:cs="Times New Roman"/>
                <w:sz w:val="21"/>
                <w:szCs w:val="21"/>
                <w:lang w:val="lt-LT"/>
              </w:rPr>
            </w:pPr>
            <w:r w:rsidRPr="00640D24">
              <w:rPr>
                <w:rFonts w:eastAsia="Times New Roman" w:cs="Times New Roman"/>
                <w:color w:val="000000"/>
                <w:sz w:val="21"/>
                <w:szCs w:val="21"/>
                <w:lang w:val="lt-LT" w:eastAsia="lt-LT"/>
              </w:rPr>
              <w:t>SVV subjektai, veikiantys &lt;12 mėn. (išskyrus vidutines įmones)</w:t>
            </w:r>
          </w:p>
        </w:tc>
        <w:tc>
          <w:tcPr>
            <w:tcW w:w="841" w:type="pct"/>
            <w:vAlign w:val="center"/>
          </w:tcPr>
          <w:p w14:paraId="61689BE8" w14:textId="2A6994EC" w:rsidR="00682772" w:rsidRPr="00640D24" w:rsidRDefault="00682772" w:rsidP="00D1312D">
            <w:pPr>
              <w:spacing w:after="0"/>
              <w:jc w:val="center"/>
              <w:rPr>
                <w:rFonts w:eastAsia="Times New Roman" w:cs="Times New Roman"/>
                <w:color w:val="000000"/>
                <w:sz w:val="21"/>
                <w:szCs w:val="21"/>
                <w:lang w:val="lt-LT" w:eastAsia="lt-LT"/>
              </w:rPr>
            </w:pPr>
            <w:r w:rsidRPr="00640D24">
              <w:rPr>
                <w:rFonts w:cs="Times New Roman"/>
                <w:sz w:val="21"/>
                <w:szCs w:val="21"/>
                <w:lang w:val="lt-LT"/>
              </w:rPr>
              <w:t>SVV subjektai</w:t>
            </w:r>
          </w:p>
        </w:tc>
      </w:tr>
      <w:tr w:rsidR="000C6FDC" w:rsidRPr="00640D24" w14:paraId="054005CF" w14:textId="43DDE018" w:rsidTr="000C6FDC">
        <w:trPr>
          <w:trHeight w:val="20"/>
        </w:trPr>
        <w:tc>
          <w:tcPr>
            <w:tcW w:w="673" w:type="pct"/>
            <w:vAlign w:val="center"/>
          </w:tcPr>
          <w:p w14:paraId="1AB72401" w14:textId="77777777" w:rsidR="006F4E96" w:rsidRPr="00640D24" w:rsidRDefault="006F4E96" w:rsidP="00D1312D">
            <w:pPr>
              <w:spacing w:after="0"/>
              <w:rPr>
                <w:rFonts w:cs="Times New Roman"/>
                <w:b/>
                <w:bCs/>
                <w:color w:val="000000"/>
                <w:sz w:val="21"/>
                <w:szCs w:val="21"/>
                <w:lang w:val="lt-LT"/>
              </w:rPr>
            </w:pPr>
            <w:r w:rsidRPr="00640D24">
              <w:rPr>
                <w:rFonts w:cs="Times New Roman"/>
                <w:b/>
                <w:bCs/>
                <w:color w:val="000000"/>
                <w:sz w:val="21"/>
                <w:szCs w:val="21"/>
                <w:lang w:val="lt-LT"/>
              </w:rPr>
              <w:t>Veiklos sektorius</w:t>
            </w:r>
          </w:p>
        </w:tc>
        <w:tc>
          <w:tcPr>
            <w:tcW w:w="2037" w:type="pct"/>
            <w:vAlign w:val="center"/>
          </w:tcPr>
          <w:p w14:paraId="0A5F4E00" w14:textId="7012B960" w:rsidR="006F4E96" w:rsidRPr="00640D24" w:rsidRDefault="006F4E96" w:rsidP="00D1312D">
            <w:pPr>
              <w:spacing w:after="0"/>
              <w:jc w:val="center"/>
              <w:rPr>
                <w:rFonts w:eastAsia="Times New Roman" w:cs="Times New Roman"/>
                <w:color w:val="000000"/>
                <w:sz w:val="21"/>
                <w:szCs w:val="21"/>
                <w:lang w:val="lt-LT" w:eastAsia="lt-LT"/>
              </w:rPr>
            </w:pPr>
            <w:r w:rsidRPr="00640D24">
              <w:rPr>
                <w:rFonts w:cs="Times New Roman"/>
                <w:sz w:val="21"/>
                <w:szCs w:val="21"/>
                <w:lang w:val="lt-LT"/>
              </w:rPr>
              <w:t>Ribojama pagal valstybės pagalbos schemą ir 2021–2027 m. programos prioritetus (tik ES SF finansuojamoms veikloms)</w:t>
            </w:r>
          </w:p>
        </w:tc>
        <w:tc>
          <w:tcPr>
            <w:tcW w:w="748" w:type="pct"/>
            <w:vAlign w:val="center"/>
          </w:tcPr>
          <w:p w14:paraId="74762DF7" w14:textId="57A28F96" w:rsidR="006F4E96" w:rsidRPr="00640D24" w:rsidRDefault="57A91D58" w:rsidP="00D1312D">
            <w:pPr>
              <w:spacing w:after="0"/>
              <w:jc w:val="center"/>
              <w:rPr>
                <w:rFonts w:cs="Times New Roman"/>
                <w:sz w:val="21"/>
                <w:szCs w:val="21"/>
              </w:rPr>
            </w:pPr>
            <w:proofErr w:type="spellStart"/>
            <w:r w:rsidRPr="00640D24">
              <w:rPr>
                <w:rFonts w:cs="Times New Roman"/>
                <w:sz w:val="21"/>
                <w:szCs w:val="21"/>
              </w:rPr>
              <w:t>Ribojama</w:t>
            </w:r>
            <w:proofErr w:type="spellEnd"/>
            <w:r w:rsidRPr="00640D24">
              <w:rPr>
                <w:rFonts w:cs="Times New Roman"/>
                <w:sz w:val="21"/>
                <w:szCs w:val="21"/>
              </w:rPr>
              <w:t xml:space="preserve"> </w:t>
            </w:r>
            <w:proofErr w:type="spellStart"/>
            <w:proofErr w:type="gramStart"/>
            <w:r w:rsidRPr="00640D24">
              <w:rPr>
                <w:rFonts w:cs="Times New Roman"/>
                <w:sz w:val="21"/>
                <w:szCs w:val="21"/>
              </w:rPr>
              <w:t>pagal</w:t>
            </w:r>
            <w:proofErr w:type="spellEnd"/>
            <w:r w:rsidRPr="00640D24">
              <w:rPr>
                <w:rFonts w:cs="Times New Roman"/>
                <w:sz w:val="21"/>
                <w:szCs w:val="21"/>
              </w:rPr>
              <w:t xml:space="preserve">  </w:t>
            </w:r>
            <w:proofErr w:type="spellStart"/>
            <w:r w:rsidRPr="00640D24">
              <w:rPr>
                <w:rFonts w:cs="Times New Roman"/>
                <w:sz w:val="21"/>
                <w:szCs w:val="21"/>
              </w:rPr>
              <w:t>schemą</w:t>
            </w:r>
            <w:proofErr w:type="spellEnd"/>
            <w:proofErr w:type="gramEnd"/>
            <w:r w:rsidRPr="00640D24">
              <w:rPr>
                <w:rFonts w:cs="Times New Roman"/>
                <w:sz w:val="21"/>
                <w:szCs w:val="21"/>
              </w:rPr>
              <w:t xml:space="preserve"> </w:t>
            </w:r>
            <w:proofErr w:type="spellStart"/>
            <w:r w:rsidRPr="00640D24">
              <w:rPr>
                <w:rFonts w:cs="Times New Roman"/>
                <w:sz w:val="21"/>
                <w:szCs w:val="21"/>
              </w:rPr>
              <w:t>ir</w:t>
            </w:r>
            <w:proofErr w:type="spellEnd"/>
            <w:r w:rsidRPr="00640D24">
              <w:rPr>
                <w:rFonts w:cs="Times New Roman"/>
                <w:sz w:val="21"/>
                <w:szCs w:val="21"/>
              </w:rPr>
              <w:t xml:space="preserve"> </w:t>
            </w:r>
            <w:r w:rsidR="4DBABAD8" w:rsidRPr="00640D24">
              <w:rPr>
                <w:rFonts w:cs="Times New Roman"/>
                <w:sz w:val="21"/>
                <w:szCs w:val="21"/>
                <w:lang w:val="lt-LT"/>
              </w:rPr>
              <w:t>(arba)</w:t>
            </w:r>
            <w:r w:rsidR="4DBABAD8" w:rsidRPr="00640D24">
              <w:rPr>
                <w:rFonts w:cs="Times New Roman"/>
                <w:sz w:val="21"/>
                <w:szCs w:val="21"/>
              </w:rPr>
              <w:t xml:space="preserve"> </w:t>
            </w:r>
            <w:proofErr w:type="spellStart"/>
            <w:r w:rsidRPr="00640D24">
              <w:rPr>
                <w:rFonts w:cs="Times New Roman"/>
                <w:sz w:val="21"/>
                <w:szCs w:val="21"/>
              </w:rPr>
              <w:t>pagal</w:t>
            </w:r>
            <w:proofErr w:type="spellEnd"/>
            <w:r w:rsidRPr="00640D24">
              <w:rPr>
                <w:rFonts w:cs="Times New Roman"/>
                <w:sz w:val="21"/>
                <w:szCs w:val="21"/>
              </w:rPr>
              <w:t xml:space="preserve"> </w:t>
            </w:r>
            <w:r w:rsidRPr="00640D24">
              <w:rPr>
                <w:rFonts w:eastAsia="Times New Roman" w:cs="Times New Roman"/>
                <w:color w:val="000000" w:themeColor="text1"/>
                <w:sz w:val="21"/>
                <w:szCs w:val="21"/>
                <w:lang w:eastAsia="lt-LT"/>
              </w:rPr>
              <w:t xml:space="preserve">EGADP </w:t>
            </w:r>
            <w:proofErr w:type="spellStart"/>
            <w:r w:rsidRPr="00640D24">
              <w:rPr>
                <w:rFonts w:eastAsia="Times New Roman" w:cs="Times New Roman"/>
                <w:color w:val="000000" w:themeColor="text1"/>
                <w:sz w:val="21"/>
                <w:szCs w:val="21"/>
                <w:lang w:eastAsia="lt-LT"/>
              </w:rPr>
              <w:t>reikalavimus</w:t>
            </w:r>
            <w:proofErr w:type="spellEnd"/>
            <w:r w:rsidRPr="00640D24">
              <w:rPr>
                <w:rFonts w:cs="Times New Roman"/>
                <w:sz w:val="21"/>
                <w:szCs w:val="21"/>
              </w:rPr>
              <w:t xml:space="preserve"> </w:t>
            </w:r>
          </w:p>
        </w:tc>
        <w:tc>
          <w:tcPr>
            <w:tcW w:w="1542" w:type="pct"/>
            <w:gridSpan w:val="2"/>
            <w:vAlign w:val="center"/>
          </w:tcPr>
          <w:p w14:paraId="67656FCD" w14:textId="750FA692" w:rsidR="006F4E96" w:rsidRPr="00640D24" w:rsidRDefault="006F4E96" w:rsidP="00D1312D">
            <w:pPr>
              <w:spacing w:after="0"/>
              <w:jc w:val="center"/>
              <w:rPr>
                <w:rFonts w:cs="Times New Roman"/>
                <w:sz w:val="21"/>
                <w:szCs w:val="21"/>
                <w:lang w:val="lt-LT"/>
              </w:rPr>
            </w:pPr>
            <w:r w:rsidRPr="00640D24">
              <w:rPr>
                <w:rFonts w:cs="Times New Roman"/>
                <w:sz w:val="21"/>
                <w:szCs w:val="21"/>
                <w:lang w:val="lt-LT"/>
              </w:rPr>
              <w:t>Ribojama pagal valstybės pagalbos schemą</w:t>
            </w:r>
          </w:p>
        </w:tc>
      </w:tr>
      <w:tr w:rsidR="00587B6B" w:rsidRPr="00640D24" w14:paraId="38B22BB5" w14:textId="62AFEF1E" w:rsidTr="000C6FDC">
        <w:trPr>
          <w:trHeight w:val="20"/>
        </w:trPr>
        <w:tc>
          <w:tcPr>
            <w:tcW w:w="673" w:type="pct"/>
            <w:vAlign w:val="center"/>
          </w:tcPr>
          <w:p w14:paraId="29E0B4FB" w14:textId="77777777" w:rsidR="00682772" w:rsidRPr="00640D24" w:rsidRDefault="00682772" w:rsidP="00D1312D">
            <w:pPr>
              <w:spacing w:after="0"/>
              <w:rPr>
                <w:rFonts w:eastAsia="Times New Roman" w:cs="Times New Roman"/>
                <w:b/>
                <w:bCs/>
                <w:color w:val="000000"/>
                <w:sz w:val="21"/>
                <w:szCs w:val="21"/>
                <w:lang w:val="lt-LT" w:eastAsia="lt-LT"/>
              </w:rPr>
            </w:pPr>
            <w:r w:rsidRPr="00640D24">
              <w:rPr>
                <w:rFonts w:cs="Times New Roman"/>
                <w:b/>
                <w:bCs/>
                <w:color w:val="000000"/>
                <w:sz w:val="21"/>
                <w:szCs w:val="21"/>
                <w:lang w:val="lt-LT"/>
              </w:rPr>
              <w:t>Papildomos paskatos</w:t>
            </w:r>
          </w:p>
        </w:tc>
        <w:tc>
          <w:tcPr>
            <w:tcW w:w="2037" w:type="pct"/>
            <w:vAlign w:val="center"/>
          </w:tcPr>
          <w:p w14:paraId="59A23720" w14:textId="0900D427" w:rsidR="00811262" w:rsidRPr="00640D24" w:rsidRDefault="00682772" w:rsidP="00811262">
            <w:pPr>
              <w:spacing w:after="0" w:line="240" w:lineRule="auto"/>
              <w:jc w:val="center"/>
              <w:rPr>
                <w:rFonts w:cs="Times New Roman"/>
                <w:sz w:val="21"/>
                <w:szCs w:val="21"/>
                <w:lang w:val="lt-LT"/>
              </w:rPr>
            </w:pPr>
            <w:r w:rsidRPr="00640D24">
              <w:rPr>
                <w:rFonts w:cs="Times New Roman"/>
                <w:sz w:val="21"/>
                <w:szCs w:val="21"/>
                <w:lang w:val="lt-LT"/>
              </w:rPr>
              <w:t xml:space="preserve">MTEP veiklos įgyvendinimo atveju rekomenduojama taikyti </w:t>
            </w:r>
            <w:r w:rsidR="006172D2" w:rsidRPr="00640D24">
              <w:rPr>
                <w:rFonts w:cs="Times New Roman"/>
                <w:sz w:val="21"/>
                <w:szCs w:val="21"/>
                <w:lang w:val="lt-LT"/>
              </w:rPr>
              <w:t>dotaciją</w:t>
            </w:r>
            <w:r w:rsidRPr="00640D24">
              <w:rPr>
                <w:rFonts w:cs="Times New Roman"/>
                <w:sz w:val="21"/>
                <w:szCs w:val="21"/>
                <w:lang w:val="lt-LT"/>
              </w:rPr>
              <w:t>, priklausančią nuo įmonės dydžio;</w:t>
            </w:r>
          </w:p>
          <w:p w14:paraId="6BC6A23C" w14:textId="3F29A064" w:rsidR="00682772" w:rsidRPr="00640D24" w:rsidRDefault="00682772" w:rsidP="00811262">
            <w:pPr>
              <w:spacing w:after="0" w:line="240" w:lineRule="auto"/>
              <w:jc w:val="center"/>
              <w:rPr>
                <w:rFonts w:cs="Times New Roman"/>
                <w:sz w:val="21"/>
                <w:szCs w:val="21"/>
                <w:lang w:val="lt-LT"/>
              </w:rPr>
            </w:pPr>
            <w:r w:rsidRPr="00640D24">
              <w:rPr>
                <w:rFonts w:cs="Times New Roman"/>
                <w:sz w:val="21"/>
                <w:szCs w:val="21"/>
                <w:lang w:val="lt-LT"/>
              </w:rPr>
              <w:t xml:space="preserve">Rekomenduojama pramonės transformacijos veiklai skirtas paskolas derinti su </w:t>
            </w:r>
            <w:r w:rsidR="006D4C8D" w:rsidRPr="00640D24">
              <w:rPr>
                <w:rFonts w:cs="Times New Roman"/>
                <w:sz w:val="21"/>
                <w:szCs w:val="21"/>
                <w:lang w:val="lt-LT"/>
              </w:rPr>
              <w:t>dotacija</w:t>
            </w:r>
            <w:r w:rsidRPr="00640D24">
              <w:rPr>
                <w:rFonts w:cs="Times New Roman"/>
                <w:sz w:val="21"/>
                <w:szCs w:val="21"/>
                <w:lang w:val="lt-LT"/>
              </w:rPr>
              <w:t xml:space="preserve"> darbo užmokesčiui, palūkanų kompensavimu arba dalies suteikto finansavimo</w:t>
            </w:r>
            <w:r w:rsidRPr="00640D24">
              <w:rPr>
                <w:rFonts w:cs="Times New Roman"/>
                <w:sz w:val="22"/>
                <w:szCs w:val="22"/>
                <w:lang w:val="lt-LT"/>
              </w:rPr>
              <w:t xml:space="preserve"> negrąžinimu </w:t>
            </w:r>
            <w:r w:rsidRPr="00640D24">
              <w:rPr>
                <w:rFonts w:cs="Times New Roman"/>
                <w:sz w:val="21"/>
                <w:szCs w:val="21"/>
                <w:lang w:val="lt-LT"/>
              </w:rPr>
              <w:t xml:space="preserve">(angl. </w:t>
            </w:r>
            <w:proofErr w:type="spellStart"/>
            <w:r w:rsidRPr="00640D24">
              <w:rPr>
                <w:rFonts w:cs="Times New Roman"/>
                <w:i/>
                <w:sz w:val="21"/>
                <w:szCs w:val="21"/>
                <w:lang w:val="lt-LT"/>
              </w:rPr>
              <w:t>capital</w:t>
            </w:r>
            <w:proofErr w:type="spellEnd"/>
            <w:r w:rsidRPr="00640D24">
              <w:rPr>
                <w:rFonts w:cs="Times New Roman"/>
                <w:i/>
                <w:sz w:val="21"/>
                <w:szCs w:val="21"/>
                <w:lang w:val="lt-LT"/>
              </w:rPr>
              <w:t xml:space="preserve"> </w:t>
            </w:r>
            <w:proofErr w:type="spellStart"/>
            <w:r w:rsidRPr="00640D24">
              <w:rPr>
                <w:rFonts w:cs="Times New Roman"/>
                <w:i/>
                <w:sz w:val="21"/>
                <w:szCs w:val="21"/>
                <w:lang w:val="lt-LT"/>
              </w:rPr>
              <w:t>rebate</w:t>
            </w:r>
            <w:proofErr w:type="spellEnd"/>
            <w:r w:rsidRPr="00640D24">
              <w:rPr>
                <w:rFonts w:cs="Times New Roman"/>
                <w:sz w:val="21"/>
                <w:szCs w:val="21"/>
                <w:lang w:val="lt-LT"/>
              </w:rPr>
              <w:t>)</w:t>
            </w:r>
            <w:r w:rsidR="00374E31" w:rsidRPr="00640D24">
              <w:rPr>
                <w:rFonts w:cs="Times New Roman"/>
                <w:sz w:val="21"/>
                <w:szCs w:val="21"/>
                <w:lang w:val="lt-LT"/>
              </w:rPr>
              <w:t>.</w:t>
            </w:r>
          </w:p>
          <w:p w14:paraId="3E4AB934" w14:textId="374BD3C8" w:rsidR="00682772" w:rsidRPr="00640D24" w:rsidRDefault="00682772" w:rsidP="00811262">
            <w:pPr>
              <w:spacing w:after="0"/>
              <w:jc w:val="center"/>
              <w:rPr>
                <w:rFonts w:cs="Times New Roman"/>
                <w:sz w:val="21"/>
                <w:szCs w:val="21"/>
                <w:lang w:val="lt-LT"/>
              </w:rPr>
            </w:pPr>
            <w:r w:rsidRPr="00640D24">
              <w:rPr>
                <w:rFonts w:cs="Times New Roman"/>
                <w:sz w:val="21"/>
                <w:szCs w:val="21"/>
                <w:lang w:val="lt-LT"/>
              </w:rPr>
              <w:t xml:space="preserve">Rekomenduojama aukštą pridėtinę vertę kuriančių pramonės įmonių gamybos procesų </w:t>
            </w:r>
            <w:proofErr w:type="spellStart"/>
            <w:r w:rsidRPr="00640D24">
              <w:rPr>
                <w:rFonts w:cs="Times New Roman"/>
                <w:sz w:val="21"/>
                <w:szCs w:val="21"/>
                <w:lang w:val="lt-LT"/>
              </w:rPr>
              <w:t>skaitmeninimo</w:t>
            </w:r>
            <w:proofErr w:type="spellEnd"/>
            <w:r w:rsidRPr="00640D24">
              <w:rPr>
                <w:rFonts w:cs="Times New Roman"/>
                <w:sz w:val="21"/>
                <w:szCs w:val="21"/>
                <w:lang w:val="lt-LT"/>
              </w:rPr>
              <w:t xml:space="preserve"> veiklai skirtą finansavimą derinti su </w:t>
            </w:r>
            <w:r w:rsidR="006D4C8D" w:rsidRPr="00640D24">
              <w:rPr>
                <w:rFonts w:cs="Times New Roman"/>
                <w:sz w:val="21"/>
                <w:szCs w:val="21"/>
                <w:lang w:val="lt-LT"/>
              </w:rPr>
              <w:t>dotacija</w:t>
            </w:r>
            <w:r w:rsidRPr="00640D24">
              <w:rPr>
                <w:rFonts w:cs="Times New Roman"/>
                <w:sz w:val="21"/>
                <w:szCs w:val="21"/>
                <w:lang w:val="lt-LT"/>
              </w:rPr>
              <w:t xml:space="preserve"> technologiniam auditui.</w:t>
            </w:r>
          </w:p>
          <w:p w14:paraId="1D0423D0" w14:textId="14E4D3D9" w:rsidR="00682772" w:rsidRPr="00640D24" w:rsidRDefault="00682772" w:rsidP="00811262">
            <w:pPr>
              <w:spacing w:after="0"/>
              <w:jc w:val="center"/>
              <w:rPr>
                <w:rFonts w:cs="Times New Roman"/>
                <w:sz w:val="21"/>
                <w:szCs w:val="21"/>
                <w:lang w:val="lt-LT"/>
              </w:rPr>
            </w:pPr>
            <w:r w:rsidRPr="00640D24">
              <w:rPr>
                <w:rFonts w:cs="Times New Roman"/>
                <w:sz w:val="21"/>
                <w:szCs w:val="21"/>
                <w:lang w:val="lt-LT"/>
              </w:rPr>
              <w:t xml:space="preserve">Rekomenduojama trumpų vertės grandinių formavimosi ir plėtros veiklai skirtą finansavimą derinti su </w:t>
            </w:r>
            <w:r w:rsidR="006D4C8D" w:rsidRPr="00640D24">
              <w:rPr>
                <w:rFonts w:cs="Times New Roman"/>
                <w:sz w:val="21"/>
                <w:szCs w:val="21"/>
                <w:lang w:val="lt-LT"/>
              </w:rPr>
              <w:t>dotacija</w:t>
            </w:r>
            <w:r w:rsidRPr="00640D24">
              <w:rPr>
                <w:rFonts w:cs="Times New Roman"/>
                <w:sz w:val="21"/>
                <w:szCs w:val="21"/>
                <w:lang w:val="lt-LT"/>
              </w:rPr>
              <w:t xml:space="preserve"> darbo užmokesčiui, palūkanų kompensavimu arba dalies suteikto finansavimo negrąžinimu (ang</w:t>
            </w:r>
            <w:r w:rsidR="00B3377F" w:rsidRPr="00640D24">
              <w:rPr>
                <w:rFonts w:cs="Times New Roman"/>
                <w:sz w:val="21"/>
                <w:szCs w:val="21"/>
                <w:lang w:val="lt-LT"/>
              </w:rPr>
              <w:t>l</w:t>
            </w:r>
            <w:r w:rsidRPr="00640D24">
              <w:rPr>
                <w:rFonts w:cs="Times New Roman"/>
                <w:sz w:val="21"/>
                <w:szCs w:val="21"/>
                <w:lang w:val="lt-LT"/>
              </w:rPr>
              <w:t xml:space="preserve">. </w:t>
            </w:r>
            <w:proofErr w:type="spellStart"/>
            <w:r w:rsidRPr="00640D24">
              <w:rPr>
                <w:rFonts w:cs="Times New Roman"/>
                <w:i/>
                <w:sz w:val="21"/>
                <w:szCs w:val="21"/>
                <w:lang w:val="lt-LT"/>
              </w:rPr>
              <w:t>capital</w:t>
            </w:r>
            <w:proofErr w:type="spellEnd"/>
            <w:r w:rsidRPr="00640D24">
              <w:rPr>
                <w:rFonts w:cs="Times New Roman"/>
                <w:i/>
                <w:sz w:val="21"/>
                <w:szCs w:val="21"/>
                <w:lang w:val="lt-LT"/>
              </w:rPr>
              <w:t xml:space="preserve"> </w:t>
            </w:r>
            <w:proofErr w:type="spellStart"/>
            <w:r w:rsidRPr="00640D24">
              <w:rPr>
                <w:rFonts w:cs="Times New Roman"/>
                <w:i/>
                <w:sz w:val="21"/>
                <w:szCs w:val="21"/>
                <w:lang w:val="lt-LT"/>
              </w:rPr>
              <w:t>rebate</w:t>
            </w:r>
            <w:proofErr w:type="spellEnd"/>
            <w:r w:rsidRPr="00640D24">
              <w:rPr>
                <w:rFonts w:cs="Times New Roman"/>
                <w:sz w:val="21"/>
                <w:szCs w:val="21"/>
                <w:lang w:val="lt-LT"/>
              </w:rPr>
              <w:t>);</w:t>
            </w:r>
          </w:p>
          <w:p w14:paraId="4087BB22" w14:textId="09641018" w:rsidR="00D544AE" w:rsidRPr="00640D24" w:rsidRDefault="00682772">
            <w:pPr>
              <w:spacing w:after="0"/>
              <w:jc w:val="center"/>
              <w:rPr>
                <w:rFonts w:cs="Times New Roman"/>
                <w:sz w:val="21"/>
                <w:szCs w:val="21"/>
                <w:lang w:val="lt-LT"/>
              </w:rPr>
            </w:pPr>
            <w:r w:rsidRPr="00640D24">
              <w:rPr>
                <w:rFonts w:cs="Times New Roman"/>
                <w:sz w:val="21"/>
                <w:szCs w:val="21"/>
                <w:lang w:val="lt-LT"/>
              </w:rPr>
              <w:t xml:space="preserve">Rekomenduojama pramonės įmonių gamybos procesų automatizavimo ir </w:t>
            </w:r>
            <w:proofErr w:type="spellStart"/>
            <w:r w:rsidRPr="00640D24">
              <w:rPr>
                <w:rFonts w:cs="Times New Roman"/>
                <w:sz w:val="21"/>
                <w:szCs w:val="21"/>
                <w:lang w:val="lt-LT"/>
              </w:rPr>
              <w:t>skaitmeninimo</w:t>
            </w:r>
            <w:proofErr w:type="spellEnd"/>
            <w:r w:rsidRPr="00640D24">
              <w:rPr>
                <w:rFonts w:cs="Times New Roman"/>
                <w:sz w:val="21"/>
                <w:szCs w:val="21"/>
                <w:lang w:val="lt-LT"/>
              </w:rPr>
              <w:t xml:space="preserve"> veiklai skirtą finansavimą derinti su </w:t>
            </w:r>
            <w:r w:rsidR="006D4C8D" w:rsidRPr="00640D24">
              <w:rPr>
                <w:rFonts w:cs="Times New Roman"/>
                <w:sz w:val="21"/>
                <w:szCs w:val="21"/>
                <w:lang w:val="lt-LT"/>
              </w:rPr>
              <w:t>dotacija</w:t>
            </w:r>
            <w:r w:rsidRPr="00640D24">
              <w:rPr>
                <w:rFonts w:cs="Times New Roman"/>
                <w:sz w:val="21"/>
                <w:szCs w:val="21"/>
                <w:lang w:val="lt-LT"/>
              </w:rPr>
              <w:t xml:space="preserve"> technologiniam auditui</w:t>
            </w:r>
            <w:r w:rsidR="00374E31" w:rsidRPr="00640D24">
              <w:rPr>
                <w:rFonts w:cs="Times New Roman"/>
                <w:sz w:val="21"/>
                <w:szCs w:val="21"/>
                <w:lang w:val="lt-LT"/>
              </w:rPr>
              <w:t>.</w:t>
            </w:r>
          </w:p>
          <w:p w14:paraId="54B28BD8" w14:textId="09589984" w:rsidR="00682772" w:rsidRPr="00640D24" w:rsidRDefault="00D544AE">
            <w:pPr>
              <w:spacing w:after="0"/>
              <w:jc w:val="center"/>
              <w:rPr>
                <w:rFonts w:cs="Times New Roman"/>
                <w:sz w:val="21"/>
                <w:szCs w:val="21"/>
                <w:lang w:val="lt-LT"/>
              </w:rPr>
            </w:pPr>
            <w:r w:rsidRPr="00640D24">
              <w:rPr>
                <w:rFonts w:cs="Times New Roman"/>
                <w:sz w:val="21"/>
                <w:szCs w:val="21"/>
                <w:lang w:val="lt-LT"/>
              </w:rPr>
              <w:t>Kitų veiklų (pvz.</w:t>
            </w:r>
            <w:r w:rsidR="005530EF" w:rsidRPr="00640D24">
              <w:rPr>
                <w:rFonts w:cs="Times New Roman"/>
                <w:sz w:val="21"/>
                <w:szCs w:val="21"/>
                <w:lang w:val="lt-LT"/>
              </w:rPr>
              <w:t>,</w:t>
            </w:r>
            <w:r w:rsidRPr="00640D24">
              <w:rPr>
                <w:rFonts w:cs="Times New Roman"/>
                <w:sz w:val="21"/>
                <w:szCs w:val="21"/>
                <w:lang w:val="lt-LT"/>
              </w:rPr>
              <w:t xml:space="preserve"> skatinant SVV subjektų kūrimąsi, augimą ir plėtrą) įgyvendinimo atveju siūloma taikyti </w:t>
            </w:r>
            <w:r w:rsidR="001E2C62" w:rsidRPr="00640D24">
              <w:rPr>
                <w:rFonts w:cs="Times New Roman"/>
                <w:sz w:val="21"/>
                <w:szCs w:val="21"/>
                <w:lang w:val="lt-LT"/>
              </w:rPr>
              <w:t xml:space="preserve">dotaciją </w:t>
            </w:r>
            <w:r w:rsidRPr="00640D24">
              <w:rPr>
                <w:rFonts w:cs="Times New Roman"/>
                <w:sz w:val="21"/>
                <w:szCs w:val="21"/>
                <w:lang w:val="lt-LT"/>
              </w:rPr>
              <w:t>priklausančią nuo įmonės dydžio.</w:t>
            </w:r>
          </w:p>
        </w:tc>
        <w:tc>
          <w:tcPr>
            <w:tcW w:w="748" w:type="pct"/>
            <w:vAlign w:val="center"/>
          </w:tcPr>
          <w:p w14:paraId="1CC66F36" w14:textId="5B6BE30B" w:rsidR="00682772" w:rsidRPr="00640D24" w:rsidRDefault="00645085" w:rsidP="00D1312D">
            <w:pPr>
              <w:spacing w:after="0"/>
              <w:jc w:val="center"/>
              <w:rPr>
                <w:rFonts w:cs="Times New Roman"/>
                <w:sz w:val="21"/>
                <w:szCs w:val="21"/>
              </w:rPr>
            </w:pPr>
            <w:r w:rsidRPr="00640D24">
              <w:rPr>
                <w:rFonts w:cs="Times New Roman"/>
                <w:sz w:val="21"/>
                <w:szCs w:val="21"/>
              </w:rPr>
              <w:t>–</w:t>
            </w:r>
          </w:p>
        </w:tc>
        <w:tc>
          <w:tcPr>
            <w:tcW w:w="701" w:type="pct"/>
            <w:vAlign w:val="center"/>
          </w:tcPr>
          <w:p w14:paraId="60ABC505" w14:textId="00EF8BAF" w:rsidR="00682772" w:rsidRPr="00640D24" w:rsidRDefault="00682772" w:rsidP="00D1312D">
            <w:pPr>
              <w:spacing w:after="0"/>
              <w:jc w:val="center"/>
              <w:rPr>
                <w:rFonts w:cs="Times New Roman"/>
                <w:sz w:val="21"/>
                <w:szCs w:val="21"/>
                <w:lang w:val="lt-LT"/>
              </w:rPr>
            </w:pPr>
            <w:r w:rsidRPr="00640D24">
              <w:rPr>
                <w:rFonts w:cs="Times New Roman"/>
                <w:sz w:val="21"/>
                <w:szCs w:val="21"/>
                <w:lang w:val="lt-LT"/>
              </w:rPr>
              <w:t xml:space="preserve">Rekomenduojama tęsti paskolų FP derinimą su </w:t>
            </w:r>
            <w:r w:rsidR="006D4C8D" w:rsidRPr="00640D24">
              <w:rPr>
                <w:rFonts w:cs="Times New Roman"/>
                <w:sz w:val="21"/>
                <w:szCs w:val="21"/>
                <w:lang w:val="lt-LT"/>
              </w:rPr>
              <w:t>dotacija</w:t>
            </w:r>
            <w:r w:rsidRPr="00640D24">
              <w:rPr>
                <w:rFonts w:cs="Times New Roman"/>
                <w:sz w:val="21"/>
                <w:szCs w:val="21"/>
                <w:lang w:val="lt-LT"/>
              </w:rPr>
              <w:t xml:space="preserve"> darbo užmokesčiui ir daliniam palūkanų kompensavimui, jei tokios priemonės bus kuriamos </w:t>
            </w:r>
          </w:p>
        </w:tc>
        <w:tc>
          <w:tcPr>
            <w:tcW w:w="841" w:type="pct"/>
            <w:vAlign w:val="center"/>
          </w:tcPr>
          <w:p w14:paraId="292F819D" w14:textId="5CC828A7" w:rsidR="00682772" w:rsidRPr="00640D24" w:rsidRDefault="00682772" w:rsidP="00D1312D">
            <w:pPr>
              <w:spacing w:after="0"/>
              <w:jc w:val="center"/>
              <w:rPr>
                <w:rFonts w:cs="Times New Roman"/>
                <w:sz w:val="21"/>
                <w:szCs w:val="21"/>
                <w:lang w:val="lt-LT"/>
              </w:rPr>
            </w:pPr>
            <w:r w:rsidRPr="00640D24">
              <w:rPr>
                <w:rFonts w:cs="Times New Roman"/>
                <w:sz w:val="21"/>
                <w:szCs w:val="21"/>
                <w:lang w:val="lt-LT"/>
              </w:rPr>
              <w:t>Dalinis palūkanų kompensavimas, jei tokia priemonė bus kuriama</w:t>
            </w:r>
          </w:p>
        </w:tc>
      </w:tr>
    </w:tbl>
    <w:p w14:paraId="7FE90980" w14:textId="6452074C" w:rsidR="00374E31" w:rsidRPr="00640D24" w:rsidRDefault="00374E31" w:rsidP="00DE79C4">
      <w:pPr>
        <w:spacing w:after="0" w:line="240" w:lineRule="auto"/>
        <w:jc w:val="both"/>
        <w:rPr>
          <w:rFonts w:cs="Times New Roman"/>
          <w:sz w:val="18"/>
          <w:szCs w:val="20"/>
        </w:rPr>
      </w:pPr>
      <w:r w:rsidRPr="00640D24">
        <w:rPr>
          <w:rFonts w:cs="Times New Roman"/>
          <w:sz w:val="18"/>
          <w:szCs w:val="20"/>
        </w:rPr>
        <w:t>* Pasikeitus situacijai rinkoje, gali būti svarstoma galimybė vieną ar kelias ES SF finansuotinas veiklas įgyvendinti pasitelkiant FT</w:t>
      </w:r>
    </w:p>
    <w:p w14:paraId="05629396" w14:textId="61CFE74B" w:rsidR="007A73CB" w:rsidRPr="00640D24" w:rsidRDefault="00093353" w:rsidP="001E5C0D">
      <w:pPr>
        <w:spacing w:after="0" w:line="240" w:lineRule="auto"/>
        <w:rPr>
          <w:rFonts w:cs="Times New Roman"/>
          <w:sz w:val="18"/>
          <w:szCs w:val="20"/>
        </w:rPr>
        <w:sectPr w:rsidR="007A73CB" w:rsidRPr="00640D24" w:rsidSect="007A73CB">
          <w:pgSz w:w="16838" w:h="11906" w:orient="landscape"/>
          <w:pgMar w:top="1701" w:right="1701" w:bottom="567" w:left="1134" w:header="567" w:footer="567" w:gutter="0"/>
          <w:cols w:space="1296"/>
          <w:docGrid w:linePitch="360"/>
        </w:sectPr>
      </w:pPr>
      <w:r w:rsidRPr="00640D24">
        <w:rPr>
          <w:rFonts w:cs="Times New Roman"/>
          <w:sz w:val="18"/>
          <w:szCs w:val="20"/>
        </w:rPr>
        <w:t>Šaltinis: s</w:t>
      </w:r>
      <w:r w:rsidR="00354E32" w:rsidRPr="00640D24">
        <w:rPr>
          <w:rFonts w:cs="Times New Roman"/>
          <w:sz w:val="18"/>
          <w:szCs w:val="20"/>
        </w:rPr>
        <w:t>udaryta Vertintojų</w:t>
      </w:r>
    </w:p>
    <w:p w14:paraId="15283135" w14:textId="3D7450F9" w:rsidR="00E2539C" w:rsidRPr="00640D24" w:rsidRDefault="00E2539C" w:rsidP="00824437">
      <w:pPr>
        <w:pStyle w:val="Antrat3"/>
        <w:numPr>
          <w:ilvl w:val="1"/>
          <w:numId w:val="1"/>
        </w:numPr>
        <w:spacing w:before="120"/>
      </w:pPr>
      <w:bookmarkStart w:id="96" w:name="_Toc146812399"/>
      <w:r w:rsidRPr="00640D24">
        <w:lastRenderedPageBreak/>
        <w:t>Garantijų FP</w:t>
      </w:r>
      <w:bookmarkEnd w:id="96"/>
    </w:p>
    <w:p w14:paraId="10AF1323" w14:textId="6981D2E2" w:rsidR="006A4DF4" w:rsidRPr="00640D24" w:rsidRDefault="000B0CA6" w:rsidP="006A4DF4">
      <w:pPr>
        <w:spacing w:before="60" w:after="60" w:line="240" w:lineRule="auto"/>
        <w:ind w:firstLine="567"/>
        <w:jc w:val="both"/>
        <w:rPr>
          <w:rFonts w:cs="Times New Roman"/>
          <w:sz w:val="22"/>
          <w:szCs w:val="22"/>
        </w:rPr>
      </w:pPr>
      <w:r w:rsidRPr="00640D24">
        <w:rPr>
          <w:rFonts w:cs="Times New Roman"/>
          <w:sz w:val="22"/>
          <w:szCs w:val="22"/>
        </w:rPr>
        <w:t>I</w:t>
      </w:r>
      <w:r w:rsidR="002C3D02" w:rsidRPr="00640D24">
        <w:rPr>
          <w:rFonts w:cs="Times New Roman"/>
          <w:sz w:val="22"/>
          <w:szCs w:val="22"/>
        </w:rPr>
        <w:t>nterviu</w:t>
      </w:r>
      <w:r w:rsidR="006A4DF4" w:rsidRPr="00640D24">
        <w:rPr>
          <w:rFonts w:cs="Times New Roman"/>
          <w:sz w:val="22"/>
          <w:szCs w:val="22"/>
        </w:rPr>
        <w:t xml:space="preserve"> su FT</w:t>
      </w:r>
      <w:r w:rsidR="002C3D02" w:rsidRPr="00640D24">
        <w:rPr>
          <w:rFonts w:cs="Times New Roman"/>
          <w:sz w:val="22"/>
          <w:szCs w:val="22"/>
        </w:rPr>
        <w:t xml:space="preserve"> metu buvo identifikuotas individualių garantijų poreikis – finansų įstaigos Lietuvoje yra ypač konservatyvios suteikiant finansavimą SVV subjektams, todėl garantijos palengvintų šį procesą ir padėtų išspręsti netinkamo arba nepakankamo užstato problemą. Tokio pobūdžio garantijos galėtų būti aktualios Vertinime nagrinėjamoms veikloms, susijusioms su MVĮ </w:t>
      </w:r>
      <w:proofErr w:type="spellStart"/>
      <w:r w:rsidR="002C3D02" w:rsidRPr="00640D24">
        <w:rPr>
          <w:rFonts w:cs="Times New Roman"/>
          <w:sz w:val="22"/>
          <w:szCs w:val="22"/>
        </w:rPr>
        <w:t>skaitmeninimu</w:t>
      </w:r>
      <w:proofErr w:type="spellEnd"/>
      <w:r w:rsidR="002C3D02" w:rsidRPr="00640D24">
        <w:rPr>
          <w:rFonts w:cs="Times New Roman"/>
          <w:sz w:val="22"/>
          <w:szCs w:val="22"/>
        </w:rPr>
        <w:t xml:space="preserve">, modernizavimu ir pan. </w:t>
      </w:r>
      <w:r w:rsidR="00CD129B" w:rsidRPr="00640D24">
        <w:rPr>
          <w:rFonts w:cs="Times New Roman"/>
          <w:sz w:val="22"/>
          <w:szCs w:val="22"/>
        </w:rPr>
        <w:t>Portfelinės</w:t>
      </w:r>
      <w:r w:rsidRPr="00640D24">
        <w:rPr>
          <w:rFonts w:cs="Times New Roman"/>
          <w:sz w:val="22"/>
          <w:szCs w:val="22"/>
        </w:rPr>
        <w:t xml:space="preserve"> garantijos buvo minimos kaip ypač svarbios, siekiant palengvinti įmonių tarpusavio atsiskaitymą su prekybos partneriais ir padidinti verslo gyvybingumą.</w:t>
      </w:r>
    </w:p>
    <w:p w14:paraId="0BDA6A97" w14:textId="65E42FE1" w:rsidR="00AF018F" w:rsidRPr="00640D24" w:rsidRDefault="002C3D02" w:rsidP="006A4DF4">
      <w:pPr>
        <w:spacing w:before="60" w:after="60" w:line="240" w:lineRule="auto"/>
        <w:ind w:firstLine="567"/>
        <w:jc w:val="both"/>
        <w:rPr>
          <w:rFonts w:cs="Times New Roman"/>
          <w:sz w:val="22"/>
          <w:szCs w:val="22"/>
        </w:rPr>
      </w:pPr>
      <w:r w:rsidRPr="00640D24">
        <w:rPr>
          <w:rFonts w:cs="Times New Roman"/>
          <w:sz w:val="22"/>
          <w:szCs w:val="22"/>
        </w:rPr>
        <w:t xml:space="preserve">Visgi, Vertinime nagrinėjamos veiklos preliminariai sudaro tik mažą dalį įmonių veiklos, </w:t>
      </w:r>
      <w:r w:rsidR="000B0CA6" w:rsidRPr="00640D24">
        <w:rPr>
          <w:rFonts w:cs="Times New Roman"/>
          <w:sz w:val="22"/>
          <w:szCs w:val="22"/>
        </w:rPr>
        <w:t>dėl kurios</w:t>
      </w:r>
      <w:r w:rsidRPr="00640D24">
        <w:rPr>
          <w:rFonts w:cs="Times New Roman"/>
          <w:sz w:val="22"/>
          <w:szCs w:val="22"/>
        </w:rPr>
        <w:t xml:space="preserve"> planuojama kreiptis dėl išorinio </w:t>
      </w:r>
      <w:r w:rsidR="000B0CA6" w:rsidRPr="00640D24">
        <w:rPr>
          <w:rFonts w:cs="Times New Roman"/>
          <w:sz w:val="22"/>
          <w:szCs w:val="22"/>
        </w:rPr>
        <w:t xml:space="preserve">verslo </w:t>
      </w:r>
      <w:r w:rsidRPr="00640D24">
        <w:rPr>
          <w:rFonts w:cs="Times New Roman"/>
          <w:sz w:val="22"/>
          <w:szCs w:val="22"/>
        </w:rPr>
        <w:t>finansavimo</w:t>
      </w:r>
      <w:r w:rsidR="000B0CA6" w:rsidRPr="00640D24">
        <w:rPr>
          <w:rFonts w:cs="Times New Roman"/>
          <w:sz w:val="22"/>
          <w:szCs w:val="22"/>
        </w:rPr>
        <w:t>.</w:t>
      </w:r>
      <w:r w:rsidRPr="00640D24">
        <w:rPr>
          <w:rFonts w:cs="Times New Roman"/>
          <w:sz w:val="22"/>
          <w:szCs w:val="22"/>
        </w:rPr>
        <w:t xml:space="preserve"> </w:t>
      </w:r>
      <w:r w:rsidR="000B0CA6" w:rsidRPr="00640D24">
        <w:rPr>
          <w:rFonts w:cs="Times New Roman"/>
          <w:sz w:val="22"/>
          <w:szCs w:val="22"/>
        </w:rPr>
        <w:t>N</w:t>
      </w:r>
      <w:r w:rsidRPr="00640D24">
        <w:rPr>
          <w:rFonts w:cs="Times New Roman"/>
          <w:sz w:val="22"/>
          <w:szCs w:val="22"/>
        </w:rPr>
        <w:t>umatyta, kad įgyvendinant garantijų FP</w:t>
      </w:r>
      <w:r w:rsidR="000B0CA6" w:rsidRPr="00640D24">
        <w:rPr>
          <w:rFonts w:cs="Times New Roman"/>
          <w:sz w:val="22"/>
          <w:szCs w:val="22"/>
        </w:rPr>
        <w:t>,</w:t>
      </w:r>
      <w:r w:rsidRPr="00640D24">
        <w:rPr>
          <w:rFonts w:cs="Times New Roman"/>
          <w:sz w:val="22"/>
          <w:szCs w:val="22"/>
        </w:rPr>
        <w:t xml:space="preserve"> </w:t>
      </w:r>
      <w:r w:rsidR="006A4DF4" w:rsidRPr="00640D24">
        <w:rPr>
          <w:rFonts w:cs="Times New Roman"/>
          <w:sz w:val="22"/>
          <w:szCs w:val="22"/>
        </w:rPr>
        <w:t xml:space="preserve">finansuojamos veiklos turėtų būti finansuojamos iš grįžusių ir (ar) grįžtančių lėšų bei neturėtų būti ribojamos pagal 2021–2027 m. programą. </w:t>
      </w:r>
      <w:r w:rsidR="000C7748" w:rsidRPr="00640D24">
        <w:rPr>
          <w:rFonts w:cs="Times New Roman"/>
          <w:sz w:val="22"/>
          <w:szCs w:val="22"/>
        </w:rPr>
        <w:t>Atsižvelgiant į tai, rekomenduojama Vertinime nagrinėjamų veiklų kontekste pritaikyti garantijų FP</w:t>
      </w:r>
      <w:r w:rsidR="006A4DF4" w:rsidRPr="00640D24">
        <w:rPr>
          <w:rFonts w:cs="Times New Roman"/>
          <w:sz w:val="22"/>
          <w:szCs w:val="22"/>
        </w:rPr>
        <w:t xml:space="preserve">, tačiau nepriskiriant garantijų FP prie tam tikrų konkrečių veiklų ir paliekant tik valstybės pagalbos ribojimus. </w:t>
      </w:r>
    </w:p>
    <w:p w14:paraId="1DA23520" w14:textId="7B40E49D" w:rsidR="000B0CA6" w:rsidRPr="00640D24" w:rsidRDefault="000B0CA6" w:rsidP="00E96F9E">
      <w:pPr>
        <w:spacing w:after="120" w:line="240" w:lineRule="auto"/>
        <w:jc w:val="both"/>
        <w:rPr>
          <w:rFonts w:cs="Times New Roman"/>
          <w:i/>
          <w:iCs/>
          <w:sz w:val="22"/>
          <w:szCs w:val="22"/>
        </w:rPr>
      </w:pPr>
      <w:r w:rsidRPr="00640D24">
        <w:rPr>
          <w:rFonts w:cs="Times New Roman"/>
          <w:i/>
          <w:iCs/>
          <w:sz w:val="22"/>
          <w:szCs w:val="22"/>
        </w:rPr>
        <w:t xml:space="preserve">Lentelė Nr. </w:t>
      </w:r>
      <w:r w:rsidR="006B75C9" w:rsidRPr="00640D24">
        <w:rPr>
          <w:rFonts w:cs="Times New Roman"/>
          <w:i/>
          <w:iCs/>
          <w:sz w:val="22"/>
          <w:szCs w:val="22"/>
        </w:rPr>
        <w:t>10</w:t>
      </w:r>
      <w:r w:rsidRPr="00640D24">
        <w:rPr>
          <w:rFonts w:cs="Times New Roman"/>
          <w:i/>
          <w:iCs/>
          <w:sz w:val="22"/>
          <w:szCs w:val="22"/>
        </w:rPr>
        <w:t>. Siūlomos garantijų FP Vertinime analizuojamoms veikloms finansuoti</w:t>
      </w:r>
    </w:p>
    <w:tbl>
      <w:tblPr>
        <w:tblStyle w:val="Lentelstinklelis"/>
        <w:tblW w:w="4946" w:type="pct"/>
        <w:tblLook w:val="04A0" w:firstRow="1" w:lastRow="0" w:firstColumn="1" w:lastColumn="0" w:noHBand="0" w:noVBand="1"/>
      </w:tblPr>
      <w:tblGrid>
        <w:gridCol w:w="2277"/>
        <w:gridCol w:w="1958"/>
        <w:gridCol w:w="2021"/>
        <w:gridCol w:w="2142"/>
        <w:gridCol w:w="1126"/>
      </w:tblGrid>
      <w:tr w:rsidR="00D25373" w:rsidRPr="00640D24" w14:paraId="027F0B55" w14:textId="321B22F6" w:rsidTr="00EB299F">
        <w:tc>
          <w:tcPr>
            <w:tcW w:w="1201" w:type="pct"/>
            <w:vAlign w:val="center"/>
          </w:tcPr>
          <w:p w14:paraId="1EF8C594" w14:textId="64D8BF08" w:rsidR="00D25373" w:rsidRPr="00640D24" w:rsidRDefault="00D25373" w:rsidP="006B31B3">
            <w:pPr>
              <w:spacing w:after="0" w:line="240" w:lineRule="auto"/>
              <w:jc w:val="center"/>
              <w:rPr>
                <w:rFonts w:cs="Times New Roman"/>
                <w:iCs/>
                <w:sz w:val="21"/>
                <w:szCs w:val="21"/>
                <w:lang w:val="lt-LT"/>
              </w:rPr>
            </w:pPr>
            <w:r w:rsidRPr="00640D24">
              <w:rPr>
                <w:rFonts w:cs="Times New Roman"/>
                <w:b/>
                <w:iCs/>
                <w:sz w:val="21"/>
                <w:szCs w:val="21"/>
                <w:lang w:val="lt-LT"/>
              </w:rPr>
              <w:t>Priemonės aprašymas</w:t>
            </w:r>
          </w:p>
        </w:tc>
        <w:tc>
          <w:tcPr>
            <w:tcW w:w="1033" w:type="pct"/>
            <w:vAlign w:val="center"/>
          </w:tcPr>
          <w:p w14:paraId="48C085A6" w14:textId="027DDAC3" w:rsidR="00D25373" w:rsidRPr="00640D24" w:rsidRDefault="00D25373" w:rsidP="006B31B3">
            <w:pPr>
              <w:spacing w:after="0" w:line="240" w:lineRule="auto"/>
              <w:jc w:val="center"/>
              <w:rPr>
                <w:rFonts w:cs="Times New Roman"/>
                <w:iCs/>
                <w:sz w:val="21"/>
                <w:szCs w:val="21"/>
                <w:lang w:val="lt-LT"/>
              </w:rPr>
            </w:pPr>
            <w:r w:rsidRPr="00640D24">
              <w:rPr>
                <w:rFonts w:eastAsia="Times New Roman" w:cs="Times New Roman"/>
                <w:b/>
                <w:iCs/>
                <w:sz w:val="21"/>
                <w:szCs w:val="21"/>
                <w:lang w:val="lt-LT" w:eastAsia="lt-LT"/>
              </w:rPr>
              <w:t xml:space="preserve">Portfelinės garantijos </w:t>
            </w:r>
            <w:r w:rsidR="00C60D45" w:rsidRPr="00640D24">
              <w:rPr>
                <w:rFonts w:eastAsia="Times New Roman" w:cs="Times New Roman"/>
                <w:b/>
                <w:iCs/>
                <w:sz w:val="21"/>
                <w:szCs w:val="21"/>
                <w:lang w:val="lt-LT" w:eastAsia="lt-LT"/>
              </w:rPr>
              <w:t>III</w:t>
            </w:r>
          </w:p>
        </w:tc>
        <w:tc>
          <w:tcPr>
            <w:tcW w:w="1065" w:type="pct"/>
            <w:vAlign w:val="center"/>
          </w:tcPr>
          <w:p w14:paraId="1CD404B4" w14:textId="313E29DB" w:rsidR="00D25373" w:rsidRPr="00640D24" w:rsidRDefault="00D25373" w:rsidP="006B31B3">
            <w:pPr>
              <w:spacing w:after="0" w:line="240" w:lineRule="auto"/>
              <w:jc w:val="center"/>
              <w:rPr>
                <w:rFonts w:cs="Times New Roman"/>
                <w:iCs/>
                <w:sz w:val="21"/>
                <w:szCs w:val="21"/>
                <w:lang w:val="lt-LT"/>
              </w:rPr>
            </w:pPr>
            <w:r w:rsidRPr="00640D24">
              <w:rPr>
                <w:rFonts w:eastAsia="Times New Roman" w:cs="Times New Roman"/>
                <w:b/>
                <w:iCs/>
                <w:sz w:val="21"/>
                <w:szCs w:val="21"/>
                <w:lang w:val="lt-LT" w:eastAsia="lt-LT"/>
              </w:rPr>
              <w:t xml:space="preserve">Portfelinės garantijos </w:t>
            </w:r>
            <w:r w:rsidR="00512E09" w:rsidRPr="00640D24">
              <w:rPr>
                <w:rFonts w:eastAsia="Times New Roman" w:cs="Times New Roman"/>
                <w:b/>
                <w:iCs/>
                <w:sz w:val="21"/>
                <w:szCs w:val="21"/>
                <w:lang w:val="lt-LT" w:eastAsia="lt-LT"/>
              </w:rPr>
              <w:t>faktoringo sandoriams</w:t>
            </w:r>
            <w:r w:rsidR="00C60D45" w:rsidRPr="00640D24">
              <w:rPr>
                <w:rFonts w:eastAsia="Times New Roman" w:cs="Times New Roman"/>
                <w:b/>
                <w:iCs/>
                <w:sz w:val="21"/>
                <w:szCs w:val="21"/>
                <w:lang w:val="lt-LT" w:eastAsia="lt-LT"/>
              </w:rPr>
              <w:t xml:space="preserve"> II</w:t>
            </w:r>
            <w:r w:rsidR="00512E09" w:rsidRPr="00640D24">
              <w:rPr>
                <w:rFonts w:eastAsia="Times New Roman" w:cs="Times New Roman"/>
                <w:b/>
                <w:iCs/>
                <w:sz w:val="21"/>
                <w:szCs w:val="21"/>
                <w:lang w:val="lt-LT" w:eastAsia="lt-LT"/>
              </w:rPr>
              <w:t>I</w:t>
            </w:r>
          </w:p>
        </w:tc>
        <w:tc>
          <w:tcPr>
            <w:tcW w:w="1130" w:type="pct"/>
            <w:vAlign w:val="center"/>
          </w:tcPr>
          <w:p w14:paraId="0CC5273D" w14:textId="5E9AE8D5" w:rsidR="00D25373" w:rsidRPr="00640D24" w:rsidRDefault="00D25373" w:rsidP="006B31B3">
            <w:pPr>
              <w:spacing w:after="0" w:line="240" w:lineRule="auto"/>
              <w:jc w:val="center"/>
              <w:rPr>
                <w:rFonts w:cs="Times New Roman"/>
                <w:b/>
                <w:bCs/>
                <w:iCs/>
                <w:sz w:val="21"/>
                <w:szCs w:val="21"/>
                <w:lang w:val="lt-LT"/>
              </w:rPr>
            </w:pPr>
            <w:r w:rsidRPr="00640D24">
              <w:rPr>
                <w:rFonts w:cs="Times New Roman"/>
                <w:b/>
                <w:bCs/>
                <w:iCs/>
                <w:sz w:val="21"/>
                <w:szCs w:val="21"/>
                <w:lang w:val="lt-LT"/>
              </w:rPr>
              <w:t>Individualios garantijos</w:t>
            </w:r>
            <w:r w:rsidR="00E4360C" w:rsidRPr="00640D24">
              <w:rPr>
                <w:rFonts w:cs="Times New Roman"/>
                <w:b/>
                <w:bCs/>
                <w:iCs/>
                <w:sz w:val="21"/>
                <w:szCs w:val="21"/>
                <w:lang w:val="lt-LT"/>
              </w:rPr>
              <w:t xml:space="preserve"> </w:t>
            </w:r>
            <w:r w:rsidR="00455236" w:rsidRPr="00640D24">
              <w:rPr>
                <w:rFonts w:cs="Times New Roman"/>
                <w:b/>
                <w:bCs/>
                <w:iCs/>
                <w:sz w:val="21"/>
                <w:szCs w:val="21"/>
                <w:lang w:val="lt-LT"/>
              </w:rPr>
              <w:t>(GIF V)</w:t>
            </w:r>
          </w:p>
        </w:tc>
        <w:tc>
          <w:tcPr>
            <w:tcW w:w="570" w:type="pct"/>
            <w:vAlign w:val="center"/>
          </w:tcPr>
          <w:p w14:paraId="5618F75B" w14:textId="4CA01E27" w:rsidR="00D25373" w:rsidRPr="00640D24" w:rsidRDefault="00D25373" w:rsidP="006B31B3">
            <w:pPr>
              <w:spacing w:after="0" w:line="240" w:lineRule="auto"/>
              <w:jc w:val="center"/>
              <w:rPr>
                <w:rFonts w:cs="Times New Roman"/>
                <w:b/>
                <w:bCs/>
                <w:iCs/>
                <w:sz w:val="21"/>
                <w:szCs w:val="21"/>
                <w:lang w:val="lt-LT"/>
              </w:rPr>
            </w:pPr>
            <w:r w:rsidRPr="00640D24">
              <w:rPr>
                <w:rFonts w:cs="Times New Roman"/>
                <w:b/>
                <w:bCs/>
                <w:iCs/>
                <w:sz w:val="21"/>
                <w:szCs w:val="21"/>
                <w:lang w:val="lt-LT"/>
              </w:rPr>
              <w:t>Eksporto kredito garantijos</w:t>
            </w:r>
            <w:r w:rsidR="00E4360C" w:rsidRPr="00640D24">
              <w:rPr>
                <w:rFonts w:cs="Times New Roman"/>
                <w:b/>
                <w:bCs/>
                <w:iCs/>
                <w:sz w:val="21"/>
                <w:szCs w:val="21"/>
                <w:lang w:val="lt-LT"/>
              </w:rPr>
              <w:t xml:space="preserve"> </w:t>
            </w:r>
            <w:r w:rsidR="00455236" w:rsidRPr="00640D24">
              <w:rPr>
                <w:rFonts w:cs="Times New Roman"/>
                <w:b/>
                <w:bCs/>
                <w:iCs/>
                <w:sz w:val="21"/>
                <w:szCs w:val="21"/>
                <w:lang w:val="lt-LT"/>
              </w:rPr>
              <w:t>II</w:t>
            </w:r>
          </w:p>
        </w:tc>
      </w:tr>
      <w:tr w:rsidR="0017192E" w:rsidRPr="00640D24" w14:paraId="053B0BA9" w14:textId="77777777" w:rsidTr="00EB299F">
        <w:tc>
          <w:tcPr>
            <w:tcW w:w="1201" w:type="pct"/>
            <w:vAlign w:val="center"/>
          </w:tcPr>
          <w:p w14:paraId="650DD1BB" w14:textId="14AEDBB5" w:rsidR="0017192E" w:rsidRPr="00640D24" w:rsidRDefault="0017192E" w:rsidP="0017192E">
            <w:pPr>
              <w:spacing w:after="0" w:line="240" w:lineRule="auto"/>
              <w:rPr>
                <w:rFonts w:cs="Times New Roman"/>
                <w:b/>
                <w:iCs/>
                <w:sz w:val="21"/>
                <w:szCs w:val="21"/>
                <w:lang w:val="lt-LT"/>
              </w:rPr>
            </w:pPr>
            <w:r w:rsidRPr="00640D24">
              <w:rPr>
                <w:rFonts w:cs="Times New Roman"/>
                <w:b/>
                <w:sz w:val="21"/>
                <w:szCs w:val="21"/>
                <w:lang w:val="lt-LT"/>
              </w:rPr>
              <w:t xml:space="preserve">Preliminariai skiriama valstybės lėšų suma (su valdymo mokesčiais), mln. </w:t>
            </w:r>
            <w:proofErr w:type="spellStart"/>
            <w:r w:rsidRPr="00640D24">
              <w:rPr>
                <w:rFonts w:cs="Times New Roman"/>
                <w:b/>
                <w:sz w:val="21"/>
                <w:szCs w:val="21"/>
                <w:lang w:val="lt-LT"/>
              </w:rPr>
              <w:t>Eur</w:t>
            </w:r>
            <w:proofErr w:type="spellEnd"/>
          </w:p>
        </w:tc>
        <w:tc>
          <w:tcPr>
            <w:tcW w:w="2099" w:type="pct"/>
            <w:gridSpan w:val="2"/>
            <w:vAlign w:val="center"/>
          </w:tcPr>
          <w:p w14:paraId="094B5FAB" w14:textId="67F4A5FB" w:rsidR="0017192E" w:rsidRPr="00640D24" w:rsidRDefault="00D76AB8" w:rsidP="0017192E">
            <w:pPr>
              <w:spacing w:after="0" w:line="240" w:lineRule="auto"/>
              <w:jc w:val="center"/>
              <w:rPr>
                <w:rFonts w:eastAsia="Times New Roman" w:cs="Times New Roman"/>
                <w:b/>
                <w:iCs/>
                <w:sz w:val="21"/>
                <w:szCs w:val="21"/>
                <w:lang w:val="lt-LT" w:eastAsia="lt-LT"/>
              </w:rPr>
            </w:pPr>
            <w:r w:rsidRPr="00640D24">
              <w:rPr>
                <w:rFonts w:eastAsia="Times New Roman" w:cs="Times New Roman"/>
                <w:b/>
                <w:iCs/>
                <w:sz w:val="21"/>
                <w:szCs w:val="21"/>
                <w:lang w:val="lt-LT" w:eastAsia="lt-LT"/>
              </w:rPr>
              <w:t>13</w:t>
            </w:r>
            <w:r w:rsidR="0017192E" w:rsidRPr="00640D24">
              <w:rPr>
                <w:rFonts w:eastAsia="Times New Roman" w:cs="Times New Roman"/>
                <w:b/>
                <w:iCs/>
                <w:sz w:val="21"/>
                <w:szCs w:val="21"/>
                <w:lang w:val="lt-LT" w:eastAsia="lt-LT"/>
              </w:rPr>
              <w:t>0</w:t>
            </w:r>
          </w:p>
        </w:tc>
        <w:tc>
          <w:tcPr>
            <w:tcW w:w="1130" w:type="pct"/>
            <w:vAlign w:val="center"/>
          </w:tcPr>
          <w:p w14:paraId="2BA1D15A" w14:textId="69F25005" w:rsidR="0017192E" w:rsidRPr="00640D24" w:rsidRDefault="0017192E" w:rsidP="0017192E">
            <w:pPr>
              <w:spacing w:after="0" w:line="240" w:lineRule="auto"/>
              <w:jc w:val="center"/>
              <w:rPr>
                <w:rFonts w:cs="Times New Roman"/>
                <w:b/>
                <w:bCs/>
                <w:iCs/>
                <w:sz w:val="21"/>
                <w:szCs w:val="21"/>
                <w:lang w:val="lt-LT"/>
              </w:rPr>
            </w:pPr>
            <w:r w:rsidRPr="00640D24">
              <w:rPr>
                <w:rFonts w:cs="Times New Roman"/>
                <w:b/>
                <w:bCs/>
                <w:iCs/>
                <w:sz w:val="21"/>
                <w:szCs w:val="21"/>
                <w:lang w:val="lt-LT"/>
              </w:rPr>
              <w:t>30</w:t>
            </w:r>
          </w:p>
        </w:tc>
        <w:tc>
          <w:tcPr>
            <w:tcW w:w="570" w:type="pct"/>
            <w:vAlign w:val="center"/>
          </w:tcPr>
          <w:p w14:paraId="79E9464E" w14:textId="3B030256" w:rsidR="0017192E" w:rsidRPr="00640D24" w:rsidRDefault="0017192E" w:rsidP="0017192E">
            <w:pPr>
              <w:spacing w:after="0" w:line="240" w:lineRule="auto"/>
              <w:jc w:val="center"/>
              <w:rPr>
                <w:rFonts w:cs="Times New Roman"/>
                <w:b/>
                <w:bCs/>
                <w:iCs/>
                <w:sz w:val="21"/>
                <w:szCs w:val="21"/>
                <w:lang w:val="lt-LT"/>
              </w:rPr>
            </w:pPr>
            <w:r w:rsidRPr="00640D24">
              <w:rPr>
                <w:rFonts w:cs="Times New Roman"/>
                <w:b/>
                <w:bCs/>
                <w:iCs/>
                <w:sz w:val="21"/>
                <w:szCs w:val="21"/>
                <w:lang w:val="lt-LT"/>
              </w:rPr>
              <w:t>17</w:t>
            </w:r>
          </w:p>
        </w:tc>
      </w:tr>
      <w:tr w:rsidR="0017192E" w:rsidRPr="00640D24" w14:paraId="5FE1529C" w14:textId="15ADE749" w:rsidTr="00EB299F">
        <w:tc>
          <w:tcPr>
            <w:tcW w:w="1201" w:type="pct"/>
            <w:vAlign w:val="center"/>
          </w:tcPr>
          <w:p w14:paraId="18FEBA13" w14:textId="1AF01BEB" w:rsidR="0017192E" w:rsidRPr="00640D24" w:rsidRDefault="0017192E" w:rsidP="0017192E">
            <w:pPr>
              <w:spacing w:after="0" w:line="240" w:lineRule="auto"/>
              <w:jc w:val="both"/>
              <w:rPr>
                <w:rFonts w:cs="Times New Roman"/>
                <w:sz w:val="21"/>
                <w:szCs w:val="21"/>
                <w:lang w:val="lt-LT"/>
              </w:rPr>
            </w:pPr>
            <w:r w:rsidRPr="00640D24">
              <w:rPr>
                <w:rFonts w:cs="Times New Roman"/>
                <w:b/>
                <w:sz w:val="21"/>
                <w:szCs w:val="21"/>
                <w:lang w:val="lt-LT"/>
              </w:rPr>
              <w:t>Finansavimo tipas</w:t>
            </w:r>
          </w:p>
        </w:tc>
        <w:tc>
          <w:tcPr>
            <w:tcW w:w="3799" w:type="pct"/>
            <w:gridSpan w:val="4"/>
            <w:vAlign w:val="center"/>
          </w:tcPr>
          <w:p w14:paraId="4B8E9E81" w14:textId="090BB204" w:rsidR="0017192E" w:rsidRPr="00640D24" w:rsidRDefault="0017192E" w:rsidP="0017192E">
            <w:pPr>
              <w:spacing w:after="0" w:line="240" w:lineRule="auto"/>
              <w:jc w:val="center"/>
              <w:rPr>
                <w:rFonts w:cs="Times New Roman"/>
                <w:sz w:val="21"/>
                <w:szCs w:val="21"/>
                <w:lang w:val="lt-LT"/>
              </w:rPr>
            </w:pPr>
            <w:r w:rsidRPr="00640D24">
              <w:rPr>
                <w:rFonts w:cs="Times New Roman"/>
                <w:sz w:val="21"/>
                <w:szCs w:val="21"/>
                <w:lang w:val="lt-LT"/>
              </w:rPr>
              <w:t>Per fondų fondą</w:t>
            </w:r>
          </w:p>
        </w:tc>
      </w:tr>
      <w:tr w:rsidR="0017192E" w:rsidRPr="00640D24" w14:paraId="682C0C61" w14:textId="2A8F188E" w:rsidTr="00EB299F">
        <w:tc>
          <w:tcPr>
            <w:tcW w:w="1201" w:type="pct"/>
            <w:vAlign w:val="center"/>
          </w:tcPr>
          <w:p w14:paraId="622B0AF4" w14:textId="086BBB6D" w:rsidR="0017192E" w:rsidRPr="00640D24" w:rsidRDefault="0017192E" w:rsidP="0017192E">
            <w:pPr>
              <w:spacing w:after="0" w:line="240" w:lineRule="auto"/>
              <w:jc w:val="both"/>
              <w:rPr>
                <w:rFonts w:cs="Times New Roman"/>
                <w:sz w:val="21"/>
                <w:szCs w:val="21"/>
                <w:lang w:val="lt-LT"/>
              </w:rPr>
            </w:pPr>
            <w:r w:rsidRPr="00640D24">
              <w:rPr>
                <w:rFonts w:cs="Times New Roman"/>
                <w:b/>
                <w:sz w:val="21"/>
                <w:szCs w:val="21"/>
                <w:lang w:val="lt-LT"/>
              </w:rPr>
              <w:t>Finansavimo šaltinis</w:t>
            </w:r>
          </w:p>
        </w:tc>
        <w:tc>
          <w:tcPr>
            <w:tcW w:w="3799" w:type="pct"/>
            <w:gridSpan w:val="4"/>
            <w:vAlign w:val="center"/>
          </w:tcPr>
          <w:p w14:paraId="4EADCB43" w14:textId="7AB1DBF2" w:rsidR="0017192E" w:rsidRPr="00640D24" w:rsidRDefault="0017192E" w:rsidP="0017192E">
            <w:pPr>
              <w:spacing w:after="0" w:line="240" w:lineRule="auto"/>
              <w:jc w:val="center"/>
              <w:rPr>
                <w:rFonts w:cs="Times New Roman"/>
                <w:color w:val="000000"/>
                <w:sz w:val="21"/>
                <w:szCs w:val="21"/>
                <w:lang w:val="lt-LT"/>
              </w:rPr>
            </w:pPr>
            <w:r w:rsidRPr="00640D24">
              <w:rPr>
                <w:rFonts w:cs="Times New Roman"/>
                <w:color w:val="000000"/>
                <w:sz w:val="21"/>
                <w:szCs w:val="21"/>
                <w:lang w:val="lt-LT"/>
              </w:rPr>
              <w:t>Biudžeto lėšos, grįžusios ir (ar) grįšiančios ir kitos lėšos</w:t>
            </w:r>
          </w:p>
        </w:tc>
      </w:tr>
      <w:tr w:rsidR="0017192E" w:rsidRPr="00640D24" w14:paraId="60CB6B6A" w14:textId="12EF6C69" w:rsidTr="00EB299F">
        <w:tc>
          <w:tcPr>
            <w:tcW w:w="1201" w:type="pct"/>
            <w:vAlign w:val="center"/>
          </w:tcPr>
          <w:p w14:paraId="7CE3D03C" w14:textId="2801E8CA" w:rsidR="0017192E" w:rsidRPr="00640D24" w:rsidRDefault="0017192E" w:rsidP="0017192E">
            <w:pPr>
              <w:spacing w:after="0" w:line="240" w:lineRule="auto"/>
              <w:jc w:val="both"/>
              <w:rPr>
                <w:rFonts w:cs="Times New Roman"/>
                <w:sz w:val="21"/>
                <w:szCs w:val="21"/>
                <w:lang w:val="lt-LT"/>
              </w:rPr>
            </w:pPr>
            <w:r w:rsidRPr="00640D24">
              <w:rPr>
                <w:rFonts w:cs="Times New Roman"/>
                <w:b/>
                <w:sz w:val="21"/>
                <w:szCs w:val="21"/>
                <w:lang w:val="lt-LT"/>
              </w:rPr>
              <w:t>Garantijos dydis</w:t>
            </w:r>
          </w:p>
        </w:tc>
        <w:tc>
          <w:tcPr>
            <w:tcW w:w="2099" w:type="pct"/>
            <w:gridSpan w:val="2"/>
            <w:vAlign w:val="center"/>
          </w:tcPr>
          <w:p w14:paraId="21A0109E" w14:textId="560DF5A8" w:rsidR="0017192E" w:rsidRPr="00640D24" w:rsidRDefault="0017192E" w:rsidP="0017192E">
            <w:pPr>
              <w:spacing w:after="0" w:line="240" w:lineRule="auto"/>
              <w:jc w:val="center"/>
              <w:rPr>
                <w:rFonts w:cs="Times New Roman"/>
                <w:sz w:val="21"/>
                <w:szCs w:val="21"/>
                <w:lang w:val="lt-LT"/>
              </w:rPr>
            </w:pPr>
            <w:r w:rsidRPr="00640D24">
              <w:rPr>
                <w:rFonts w:cs="Times New Roman"/>
                <w:sz w:val="21"/>
                <w:szCs w:val="21"/>
                <w:lang w:val="lt-LT"/>
              </w:rPr>
              <w:t>Iki 80 proc.</w:t>
            </w:r>
          </w:p>
        </w:tc>
        <w:tc>
          <w:tcPr>
            <w:tcW w:w="1130" w:type="pct"/>
            <w:vAlign w:val="center"/>
          </w:tcPr>
          <w:p w14:paraId="14AA354C" w14:textId="4037EFD6" w:rsidR="0017192E" w:rsidRPr="00640D24" w:rsidRDefault="00FB25FE" w:rsidP="0017192E">
            <w:pPr>
              <w:spacing w:after="0" w:line="240" w:lineRule="auto"/>
              <w:jc w:val="center"/>
              <w:rPr>
                <w:rFonts w:cs="Times New Roman"/>
                <w:sz w:val="21"/>
                <w:szCs w:val="21"/>
                <w:lang w:val="lt-LT"/>
              </w:rPr>
            </w:pPr>
            <w:r w:rsidRPr="00640D24">
              <w:rPr>
                <w:rFonts w:cs="Times New Roman"/>
                <w:sz w:val="21"/>
                <w:szCs w:val="21"/>
                <w:lang w:val="lt-LT"/>
              </w:rPr>
              <w:t xml:space="preserve">iki </w:t>
            </w:r>
            <w:r w:rsidR="0017192E" w:rsidRPr="00640D24">
              <w:rPr>
                <w:rFonts w:cs="Times New Roman"/>
                <w:sz w:val="21"/>
                <w:szCs w:val="21"/>
                <w:lang w:val="lt-LT"/>
              </w:rPr>
              <w:t>80 proc. </w:t>
            </w:r>
          </w:p>
        </w:tc>
        <w:tc>
          <w:tcPr>
            <w:tcW w:w="570" w:type="pct"/>
            <w:vAlign w:val="center"/>
          </w:tcPr>
          <w:p w14:paraId="061EAAF3" w14:textId="58AD2721" w:rsidR="0017192E" w:rsidRPr="00640D24" w:rsidRDefault="0017192E" w:rsidP="0017192E">
            <w:pPr>
              <w:spacing w:after="0" w:line="240" w:lineRule="auto"/>
              <w:jc w:val="center"/>
              <w:rPr>
                <w:rFonts w:cs="Times New Roman"/>
                <w:sz w:val="21"/>
                <w:szCs w:val="21"/>
                <w:lang w:val="lt-LT"/>
              </w:rPr>
            </w:pPr>
            <w:r w:rsidRPr="00640D24">
              <w:rPr>
                <w:rFonts w:cs="Times New Roman"/>
                <w:sz w:val="21"/>
                <w:szCs w:val="21"/>
                <w:lang w:val="lt-LT"/>
              </w:rPr>
              <w:t>Iki 90 proc.</w:t>
            </w:r>
          </w:p>
        </w:tc>
      </w:tr>
      <w:tr w:rsidR="0017192E" w:rsidRPr="00640D24" w14:paraId="28968120" w14:textId="3538FBE2" w:rsidTr="00EB299F">
        <w:tc>
          <w:tcPr>
            <w:tcW w:w="1201" w:type="pct"/>
            <w:vAlign w:val="center"/>
          </w:tcPr>
          <w:p w14:paraId="76E4B44C" w14:textId="6C4C5CF4" w:rsidR="0017192E" w:rsidRPr="00640D24" w:rsidRDefault="0017192E" w:rsidP="0017192E">
            <w:pPr>
              <w:spacing w:after="0" w:line="240" w:lineRule="auto"/>
              <w:jc w:val="both"/>
              <w:rPr>
                <w:rFonts w:cs="Times New Roman"/>
                <w:sz w:val="21"/>
                <w:szCs w:val="21"/>
                <w:lang w:val="lt-LT"/>
              </w:rPr>
            </w:pPr>
            <w:proofErr w:type="spellStart"/>
            <w:r w:rsidRPr="00640D24">
              <w:rPr>
                <w:rFonts w:cs="Times New Roman"/>
                <w:b/>
                <w:sz w:val="21"/>
                <w:szCs w:val="21"/>
                <w:lang w:val="lt-LT"/>
              </w:rPr>
              <w:t>Indikatyvi</w:t>
            </w:r>
            <w:proofErr w:type="spellEnd"/>
            <w:r w:rsidRPr="00640D24">
              <w:rPr>
                <w:rFonts w:cs="Times New Roman"/>
                <w:b/>
                <w:sz w:val="21"/>
                <w:szCs w:val="21"/>
                <w:lang w:val="lt-LT"/>
              </w:rPr>
              <w:t xml:space="preserve"> viršutinės ribos norma (angl. </w:t>
            </w:r>
            <w:r w:rsidRPr="00640D24">
              <w:rPr>
                <w:rFonts w:cs="Times New Roman"/>
                <w:b/>
                <w:i/>
                <w:sz w:val="21"/>
                <w:szCs w:val="21"/>
                <w:lang w:val="lt-LT"/>
              </w:rPr>
              <w:t>Cap Rate</w:t>
            </w:r>
            <w:r w:rsidRPr="00640D24">
              <w:rPr>
                <w:rFonts w:cs="Times New Roman"/>
                <w:b/>
                <w:sz w:val="21"/>
                <w:szCs w:val="21"/>
                <w:lang w:val="lt-LT"/>
              </w:rPr>
              <w:t>)</w:t>
            </w:r>
          </w:p>
        </w:tc>
        <w:tc>
          <w:tcPr>
            <w:tcW w:w="2099" w:type="pct"/>
            <w:gridSpan w:val="2"/>
            <w:vAlign w:val="center"/>
          </w:tcPr>
          <w:p w14:paraId="0C01F86C" w14:textId="7E0DC505" w:rsidR="0017192E" w:rsidRPr="00640D24" w:rsidRDefault="0017192E" w:rsidP="0017192E">
            <w:pPr>
              <w:spacing w:after="0" w:line="240" w:lineRule="auto"/>
              <w:jc w:val="center"/>
              <w:rPr>
                <w:rFonts w:cs="Times New Roman"/>
                <w:sz w:val="21"/>
                <w:szCs w:val="21"/>
                <w:lang w:val="lt-LT"/>
              </w:rPr>
            </w:pPr>
            <w:r w:rsidRPr="00640D24">
              <w:rPr>
                <w:rFonts w:cs="Times New Roman"/>
                <w:sz w:val="21"/>
                <w:szCs w:val="21"/>
                <w:lang w:val="lt-LT"/>
              </w:rPr>
              <w:t>Iki 20</w:t>
            </w:r>
            <w:r w:rsidR="00645085" w:rsidRPr="00640D24">
              <w:rPr>
                <w:rFonts w:cs="Times New Roman"/>
                <w:sz w:val="21"/>
                <w:szCs w:val="21"/>
                <w:lang w:val="lt-LT"/>
              </w:rPr>
              <w:t>–</w:t>
            </w:r>
            <w:r w:rsidRPr="00640D24">
              <w:rPr>
                <w:rFonts w:cs="Times New Roman"/>
                <w:sz w:val="21"/>
                <w:szCs w:val="21"/>
                <w:lang w:val="lt-LT"/>
              </w:rPr>
              <w:t>25 proc.</w:t>
            </w:r>
          </w:p>
        </w:tc>
        <w:tc>
          <w:tcPr>
            <w:tcW w:w="1700" w:type="pct"/>
            <w:gridSpan w:val="2"/>
            <w:vAlign w:val="center"/>
          </w:tcPr>
          <w:p w14:paraId="6623D22F" w14:textId="222DA345" w:rsidR="0017192E" w:rsidRPr="00640D24" w:rsidRDefault="0017192E" w:rsidP="0017192E">
            <w:pPr>
              <w:spacing w:after="0" w:line="240" w:lineRule="auto"/>
              <w:jc w:val="center"/>
              <w:rPr>
                <w:rFonts w:cs="Times New Roman"/>
                <w:sz w:val="21"/>
                <w:szCs w:val="21"/>
                <w:lang w:val="lt-LT"/>
              </w:rPr>
            </w:pPr>
            <w:r w:rsidRPr="00640D24">
              <w:rPr>
                <w:rFonts w:cs="Times New Roman"/>
                <w:sz w:val="21"/>
                <w:szCs w:val="21"/>
                <w:lang w:val="lt-LT"/>
              </w:rPr>
              <w:t>Netaikoma</w:t>
            </w:r>
          </w:p>
        </w:tc>
      </w:tr>
      <w:tr w:rsidR="0017192E" w:rsidRPr="00640D24" w14:paraId="33B93972" w14:textId="77777777" w:rsidTr="00EB299F">
        <w:tc>
          <w:tcPr>
            <w:tcW w:w="1201" w:type="pct"/>
            <w:vAlign w:val="center"/>
          </w:tcPr>
          <w:p w14:paraId="78FBDF81" w14:textId="584DA48F" w:rsidR="0017192E" w:rsidRPr="00640D24" w:rsidRDefault="0017192E" w:rsidP="0017192E">
            <w:pPr>
              <w:spacing w:after="0" w:line="240" w:lineRule="auto"/>
              <w:jc w:val="both"/>
              <w:rPr>
                <w:rFonts w:cs="Times New Roman"/>
                <w:b/>
                <w:sz w:val="21"/>
                <w:szCs w:val="21"/>
                <w:lang w:val="lt-LT"/>
              </w:rPr>
            </w:pPr>
            <w:r w:rsidRPr="00640D24">
              <w:rPr>
                <w:rFonts w:cs="Times New Roman"/>
                <w:b/>
                <w:sz w:val="21"/>
                <w:szCs w:val="21"/>
                <w:lang w:val="lt-LT"/>
              </w:rPr>
              <w:t>Garantuojamų paskolų (faktoringo, lizingo sandorių) trukmė</w:t>
            </w:r>
          </w:p>
        </w:tc>
        <w:tc>
          <w:tcPr>
            <w:tcW w:w="2099" w:type="pct"/>
            <w:gridSpan w:val="2"/>
            <w:vAlign w:val="center"/>
          </w:tcPr>
          <w:p w14:paraId="71BA62ED" w14:textId="714C3B70" w:rsidR="0017192E" w:rsidRPr="00640D24" w:rsidRDefault="0017192E" w:rsidP="0017192E">
            <w:pPr>
              <w:spacing w:after="0" w:line="240" w:lineRule="auto"/>
              <w:jc w:val="center"/>
              <w:rPr>
                <w:rFonts w:cs="Times New Roman"/>
                <w:sz w:val="21"/>
                <w:szCs w:val="21"/>
                <w:lang w:val="lt-LT"/>
              </w:rPr>
            </w:pPr>
            <w:r w:rsidRPr="00640D24">
              <w:rPr>
                <w:rFonts w:cs="Times New Roman"/>
                <w:sz w:val="21"/>
                <w:szCs w:val="21"/>
                <w:lang w:val="lt-LT"/>
              </w:rPr>
              <w:t>1</w:t>
            </w:r>
            <w:r w:rsidR="00645085" w:rsidRPr="00640D24">
              <w:rPr>
                <w:rFonts w:cs="Times New Roman"/>
                <w:sz w:val="21"/>
                <w:szCs w:val="21"/>
                <w:lang w:val="lt-LT"/>
              </w:rPr>
              <w:t>–</w:t>
            </w:r>
            <w:r w:rsidRPr="00640D24">
              <w:rPr>
                <w:rFonts w:cs="Times New Roman"/>
                <w:sz w:val="21"/>
                <w:szCs w:val="21"/>
                <w:lang w:val="lt-LT"/>
              </w:rPr>
              <w:t>10 m.</w:t>
            </w:r>
          </w:p>
        </w:tc>
        <w:tc>
          <w:tcPr>
            <w:tcW w:w="1700" w:type="pct"/>
            <w:gridSpan w:val="2"/>
            <w:vAlign w:val="center"/>
          </w:tcPr>
          <w:p w14:paraId="16722319" w14:textId="4A722083" w:rsidR="0017192E" w:rsidRPr="00640D24" w:rsidRDefault="0017192E" w:rsidP="0017192E">
            <w:pPr>
              <w:spacing w:after="0" w:line="240" w:lineRule="auto"/>
              <w:jc w:val="center"/>
              <w:rPr>
                <w:rFonts w:cs="Times New Roman"/>
                <w:sz w:val="21"/>
                <w:szCs w:val="21"/>
                <w:lang w:val="lt-LT"/>
              </w:rPr>
            </w:pPr>
            <w:r w:rsidRPr="00640D24">
              <w:rPr>
                <w:rFonts w:cs="Times New Roman"/>
                <w:sz w:val="21"/>
                <w:szCs w:val="21"/>
                <w:lang w:val="lt-LT"/>
              </w:rPr>
              <w:t>Neribojama</w:t>
            </w:r>
          </w:p>
        </w:tc>
      </w:tr>
      <w:tr w:rsidR="0017192E" w:rsidRPr="00640D24" w14:paraId="6886AE71" w14:textId="745D3E23" w:rsidTr="00EB299F">
        <w:tc>
          <w:tcPr>
            <w:tcW w:w="1201" w:type="pct"/>
            <w:vAlign w:val="center"/>
          </w:tcPr>
          <w:p w14:paraId="30E47A73" w14:textId="4896F919" w:rsidR="0017192E" w:rsidRPr="00640D24" w:rsidRDefault="0017192E" w:rsidP="0017192E">
            <w:pPr>
              <w:spacing w:after="0" w:line="240" w:lineRule="auto"/>
              <w:jc w:val="both"/>
              <w:rPr>
                <w:rFonts w:cs="Times New Roman"/>
                <w:sz w:val="21"/>
                <w:szCs w:val="21"/>
                <w:lang w:val="lt-LT"/>
              </w:rPr>
            </w:pPr>
            <w:r w:rsidRPr="00640D24">
              <w:rPr>
                <w:rFonts w:cs="Times New Roman"/>
                <w:b/>
                <w:sz w:val="21"/>
                <w:szCs w:val="21"/>
                <w:lang w:val="lt-LT"/>
              </w:rPr>
              <w:t xml:space="preserve">Maksimali garantijos suma, mln. </w:t>
            </w:r>
            <w:proofErr w:type="spellStart"/>
            <w:r w:rsidRPr="00640D24">
              <w:rPr>
                <w:rFonts w:cs="Times New Roman"/>
                <w:b/>
                <w:sz w:val="21"/>
                <w:szCs w:val="21"/>
                <w:lang w:val="lt-LT"/>
              </w:rPr>
              <w:t>Eur</w:t>
            </w:r>
            <w:proofErr w:type="spellEnd"/>
          </w:p>
        </w:tc>
        <w:tc>
          <w:tcPr>
            <w:tcW w:w="2099" w:type="pct"/>
            <w:gridSpan w:val="2"/>
            <w:vAlign w:val="center"/>
          </w:tcPr>
          <w:p w14:paraId="7FEB9501" w14:textId="1D810865" w:rsidR="0017192E" w:rsidRPr="00640D24" w:rsidRDefault="0017192E" w:rsidP="0017192E">
            <w:pPr>
              <w:spacing w:after="0" w:line="240" w:lineRule="auto"/>
              <w:jc w:val="center"/>
              <w:rPr>
                <w:rFonts w:cs="Times New Roman"/>
                <w:sz w:val="21"/>
                <w:szCs w:val="21"/>
                <w:lang w:val="lt-LT"/>
              </w:rPr>
            </w:pPr>
            <w:r w:rsidRPr="00640D24">
              <w:rPr>
                <w:rFonts w:cs="Times New Roman"/>
                <w:sz w:val="21"/>
                <w:szCs w:val="21"/>
                <w:lang w:val="lt-LT"/>
              </w:rPr>
              <w:t>Kaip nustatyta valstybės pagalbos schemoje</w:t>
            </w:r>
          </w:p>
        </w:tc>
        <w:tc>
          <w:tcPr>
            <w:tcW w:w="1130" w:type="pct"/>
            <w:vAlign w:val="center"/>
          </w:tcPr>
          <w:p w14:paraId="0BC03A3B" w14:textId="5E3E8EFB" w:rsidR="0017192E" w:rsidRPr="00640D24" w:rsidRDefault="0017192E" w:rsidP="0017192E">
            <w:pPr>
              <w:spacing w:after="0" w:line="240" w:lineRule="auto"/>
              <w:jc w:val="center"/>
              <w:rPr>
                <w:rFonts w:cs="Times New Roman"/>
                <w:sz w:val="21"/>
                <w:szCs w:val="21"/>
                <w:lang w:val="lt-LT"/>
              </w:rPr>
            </w:pPr>
            <w:r w:rsidRPr="00640D24">
              <w:rPr>
                <w:rFonts w:cs="Times New Roman"/>
                <w:sz w:val="21"/>
                <w:szCs w:val="21"/>
                <w:lang w:val="lt-LT"/>
              </w:rPr>
              <w:t>Kaip nustatyta valstybės pagalbos schemoje</w:t>
            </w:r>
          </w:p>
        </w:tc>
        <w:tc>
          <w:tcPr>
            <w:tcW w:w="570" w:type="pct"/>
            <w:vAlign w:val="center"/>
          </w:tcPr>
          <w:p w14:paraId="3825C73E" w14:textId="3393C681" w:rsidR="0017192E" w:rsidRPr="00640D24" w:rsidRDefault="0017192E" w:rsidP="0017192E">
            <w:pPr>
              <w:spacing w:after="0" w:line="240" w:lineRule="auto"/>
              <w:jc w:val="center"/>
              <w:rPr>
                <w:rFonts w:cs="Times New Roman"/>
                <w:sz w:val="21"/>
                <w:szCs w:val="21"/>
                <w:lang w:val="lt-LT"/>
              </w:rPr>
            </w:pPr>
            <w:r w:rsidRPr="00640D24">
              <w:rPr>
                <w:rFonts w:cs="Times New Roman"/>
                <w:sz w:val="21"/>
                <w:szCs w:val="21"/>
                <w:lang w:val="lt-LT"/>
              </w:rPr>
              <w:t>2</w:t>
            </w:r>
          </w:p>
        </w:tc>
      </w:tr>
      <w:tr w:rsidR="0017192E" w:rsidRPr="00640D24" w14:paraId="7A0D7CD1" w14:textId="053D3643" w:rsidTr="00EB299F">
        <w:tc>
          <w:tcPr>
            <w:tcW w:w="1201" w:type="pct"/>
            <w:vAlign w:val="center"/>
          </w:tcPr>
          <w:p w14:paraId="11DF0A0F" w14:textId="5B14A307" w:rsidR="0017192E" w:rsidRPr="00640D24" w:rsidRDefault="009B19BC" w:rsidP="0017192E">
            <w:pPr>
              <w:spacing w:after="0" w:line="240" w:lineRule="auto"/>
              <w:jc w:val="both"/>
              <w:rPr>
                <w:rFonts w:cs="Times New Roman"/>
                <w:sz w:val="21"/>
                <w:szCs w:val="21"/>
                <w:lang w:val="lt-LT"/>
              </w:rPr>
            </w:pPr>
            <w:r w:rsidRPr="00640D24">
              <w:rPr>
                <w:rFonts w:cs="Times New Roman"/>
                <w:b/>
                <w:sz w:val="21"/>
                <w:szCs w:val="21"/>
                <w:lang w:val="lt-LT"/>
              </w:rPr>
              <w:t>G</w:t>
            </w:r>
            <w:r w:rsidR="0017192E" w:rsidRPr="00640D24">
              <w:rPr>
                <w:rFonts w:cs="Times New Roman"/>
                <w:b/>
                <w:sz w:val="21"/>
                <w:szCs w:val="21"/>
                <w:lang w:val="lt-LT"/>
              </w:rPr>
              <w:t>G</w:t>
            </w:r>
          </w:p>
        </w:tc>
        <w:tc>
          <w:tcPr>
            <w:tcW w:w="2099" w:type="pct"/>
            <w:gridSpan w:val="2"/>
            <w:vAlign w:val="center"/>
          </w:tcPr>
          <w:p w14:paraId="4F30A399" w14:textId="6F248F8A" w:rsidR="0017192E" w:rsidRPr="00640D24" w:rsidRDefault="0017192E" w:rsidP="0017192E">
            <w:pPr>
              <w:spacing w:after="0" w:line="240" w:lineRule="auto"/>
              <w:jc w:val="center"/>
              <w:rPr>
                <w:rFonts w:cs="Times New Roman"/>
                <w:sz w:val="21"/>
                <w:szCs w:val="21"/>
                <w:lang w:val="lt-LT"/>
              </w:rPr>
            </w:pPr>
            <w:r w:rsidRPr="00640D24">
              <w:rPr>
                <w:rFonts w:cs="Times New Roman"/>
                <w:sz w:val="21"/>
                <w:szCs w:val="21"/>
                <w:lang w:val="lt-LT"/>
              </w:rPr>
              <w:t>SVV subjektai</w:t>
            </w:r>
          </w:p>
        </w:tc>
        <w:tc>
          <w:tcPr>
            <w:tcW w:w="1700" w:type="pct"/>
            <w:gridSpan w:val="2"/>
            <w:vAlign w:val="center"/>
          </w:tcPr>
          <w:p w14:paraId="18575467" w14:textId="42EF3263" w:rsidR="0017192E" w:rsidRPr="00640D24" w:rsidRDefault="0017192E" w:rsidP="0017192E">
            <w:pPr>
              <w:spacing w:after="0" w:line="240" w:lineRule="auto"/>
              <w:jc w:val="center"/>
              <w:rPr>
                <w:rFonts w:cs="Times New Roman"/>
                <w:sz w:val="21"/>
                <w:szCs w:val="21"/>
                <w:lang w:val="lt-LT"/>
              </w:rPr>
            </w:pPr>
            <w:r w:rsidRPr="00640D24">
              <w:rPr>
                <w:rFonts w:cs="Times New Roman"/>
                <w:sz w:val="21"/>
                <w:szCs w:val="21"/>
                <w:lang w:val="lt-LT"/>
              </w:rPr>
              <w:t>SVV subjektai, DĮ</w:t>
            </w:r>
          </w:p>
        </w:tc>
      </w:tr>
      <w:tr w:rsidR="0017192E" w:rsidRPr="00640D24" w14:paraId="63FE1E28" w14:textId="28E0552A" w:rsidTr="00EB299F">
        <w:tc>
          <w:tcPr>
            <w:tcW w:w="1201" w:type="pct"/>
            <w:vAlign w:val="center"/>
          </w:tcPr>
          <w:p w14:paraId="0C912CC3" w14:textId="26D7D85F" w:rsidR="0017192E" w:rsidRPr="00640D24" w:rsidRDefault="0017192E" w:rsidP="0017192E">
            <w:pPr>
              <w:spacing w:after="0" w:line="240" w:lineRule="auto"/>
              <w:jc w:val="both"/>
              <w:rPr>
                <w:rFonts w:cs="Times New Roman"/>
                <w:b/>
                <w:sz w:val="21"/>
                <w:szCs w:val="21"/>
                <w:lang w:val="lt-LT"/>
              </w:rPr>
            </w:pPr>
            <w:r w:rsidRPr="00640D24">
              <w:rPr>
                <w:rFonts w:cs="Times New Roman"/>
                <w:b/>
                <w:sz w:val="21"/>
                <w:szCs w:val="21"/>
                <w:lang w:val="lt-LT"/>
              </w:rPr>
              <w:t>Valstybės pagalba</w:t>
            </w:r>
          </w:p>
        </w:tc>
        <w:tc>
          <w:tcPr>
            <w:tcW w:w="3229" w:type="pct"/>
            <w:gridSpan w:val="3"/>
            <w:vAlign w:val="center"/>
          </w:tcPr>
          <w:p w14:paraId="07C67834" w14:textId="3965F22A" w:rsidR="0017192E" w:rsidRPr="00640D24" w:rsidRDefault="0017192E" w:rsidP="0017192E">
            <w:pPr>
              <w:spacing w:after="0" w:line="240" w:lineRule="auto"/>
              <w:jc w:val="center"/>
              <w:rPr>
                <w:rFonts w:cs="Times New Roman"/>
                <w:sz w:val="21"/>
                <w:szCs w:val="21"/>
                <w:lang w:val="lt-LT"/>
              </w:rPr>
            </w:pPr>
            <w:r w:rsidRPr="00640D24">
              <w:rPr>
                <w:rFonts w:cs="Times New Roman"/>
                <w:sz w:val="21"/>
                <w:szCs w:val="21"/>
                <w:lang w:val="lt-LT"/>
              </w:rPr>
              <w:t xml:space="preserve">Yra (pagal </w:t>
            </w:r>
            <w:proofErr w:type="spellStart"/>
            <w:r w:rsidRPr="00640D24">
              <w:rPr>
                <w:rFonts w:cs="Times New Roman"/>
                <w:i/>
                <w:sz w:val="21"/>
                <w:szCs w:val="21"/>
                <w:lang w:val="lt-LT"/>
              </w:rPr>
              <w:t>de</w:t>
            </w:r>
            <w:proofErr w:type="spellEnd"/>
            <w:r w:rsidRPr="00640D24">
              <w:rPr>
                <w:rFonts w:cs="Times New Roman"/>
                <w:i/>
                <w:sz w:val="21"/>
                <w:szCs w:val="21"/>
                <w:lang w:val="lt-LT"/>
              </w:rPr>
              <w:t xml:space="preserve"> </w:t>
            </w:r>
            <w:proofErr w:type="spellStart"/>
            <w:r w:rsidRPr="00640D24">
              <w:rPr>
                <w:rFonts w:cs="Times New Roman"/>
                <w:i/>
                <w:sz w:val="21"/>
                <w:szCs w:val="21"/>
                <w:lang w:val="lt-LT"/>
              </w:rPr>
              <w:t>minimis</w:t>
            </w:r>
            <w:proofErr w:type="spellEnd"/>
            <w:r w:rsidRPr="00640D24">
              <w:rPr>
                <w:rFonts w:cs="Times New Roman"/>
                <w:sz w:val="21"/>
                <w:szCs w:val="21"/>
                <w:lang w:val="lt-LT"/>
              </w:rPr>
              <w:t xml:space="preserve"> reglamentą arba bendrosios išimties reglamentą)</w:t>
            </w:r>
          </w:p>
        </w:tc>
        <w:tc>
          <w:tcPr>
            <w:tcW w:w="570" w:type="pct"/>
            <w:vAlign w:val="center"/>
          </w:tcPr>
          <w:p w14:paraId="412FFCE2" w14:textId="49C31545" w:rsidR="0017192E" w:rsidRPr="00640D24" w:rsidRDefault="0017192E" w:rsidP="0017192E">
            <w:pPr>
              <w:spacing w:after="0" w:line="240" w:lineRule="auto"/>
              <w:jc w:val="center"/>
              <w:rPr>
                <w:rFonts w:cs="Times New Roman"/>
                <w:sz w:val="21"/>
                <w:szCs w:val="21"/>
                <w:lang w:val="lt-LT"/>
              </w:rPr>
            </w:pPr>
            <w:r w:rsidRPr="00640D24">
              <w:rPr>
                <w:rFonts w:cs="Times New Roman"/>
                <w:sz w:val="21"/>
                <w:szCs w:val="21"/>
                <w:lang w:val="lt-LT"/>
              </w:rPr>
              <w:t>Nėra</w:t>
            </w:r>
          </w:p>
        </w:tc>
      </w:tr>
      <w:tr w:rsidR="0017192E" w:rsidRPr="00640D24" w14:paraId="44C8F44E" w14:textId="3DD15926" w:rsidTr="00EB299F">
        <w:tc>
          <w:tcPr>
            <w:tcW w:w="1201" w:type="pct"/>
            <w:vAlign w:val="center"/>
          </w:tcPr>
          <w:p w14:paraId="6916876F" w14:textId="6C5134FE" w:rsidR="0017192E" w:rsidRPr="00640D24" w:rsidRDefault="0017192E" w:rsidP="0017192E">
            <w:pPr>
              <w:spacing w:after="0" w:line="240" w:lineRule="auto"/>
              <w:jc w:val="both"/>
              <w:rPr>
                <w:rFonts w:cs="Times New Roman"/>
                <w:b/>
                <w:sz w:val="21"/>
                <w:szCs w:val="21"/>
                <w:lang w:val="lt-LT"/>
              </w:rPr>
            </w:pPr>
            <w:r w:rsidRPr="00640D24">
              <w:rPr>
                <w:rFonts w:cs="Times New Roman"/>
                <w:b/>
                <w:sz w:val="21"/>
                <w:szCs w:val="21"/>
                <w:lang w:val="lt-LT"/>
              </w:rPr>
              <w:t>Garantijos mokestis FT</w:t>
            </w:r>
          </w:p>
        </w:tc>
        <w:tc>
          <w:tcPr>
            <w:tcW w:w="3799" w:type="pct"/>
            <w:gridSpan w:val="4"/>
            <w:vAlign w:val="center"/>
          </w:tcPr>
          <w:p w14:paraId="2355DDB9" w14:textId="493A6224" w:rsidR="0017192E" w:rsidRPr="00640D24" w:rsidRDefault="0017192E" w:rsidP="0017192E">
            <w:pPr>
              <w:spacing w:after="0" w:line="240" w:lineRule="auto"/>
              <w:jc w:val="center"/>
              <w:rPr>
                <w:rFonts w:cs="Times New Roman"/>
                <w:sz w:val="21"/>
                <w:szCs w:val="21"/>
                <w:lang w:val="lt-LT"/>
              </w:rPr>
            </w:pPr>
            <w:r w:rsidRPr="00640D24">
              <w:rPr>
                <w:rFonts w:cs="Times New Roman"/>
                <w:sz w:val="21"/>
                <w:szCs w:val="21"/>
                <w:lang w:val="lt-LT"/>
              </w:rPr>
              <w:t>Pagal patvirtintą metodiką</w:t>
            </w:r>
          </w:p>
        </w:tc>
      </w:tr>
    </w:tbl>
    <w:p w14:paraId="6C26D09C" w14:textId="038F5ACB" w:rsidR="00EB3416" w:rsidRPr="00640D24" w:rsidRDefault="006B75C9" w:rsidP="00DE79C4">
      <w:pPr>
        <w:spacing w:after="0" w:line="240" w:lineRule="auto"/>
        <w:jc w:val="both"/>
        <w:rPr>
          <w:rFonts w:cs="Times New Roman"/>
          <w:sz w:val="20"/>
          <w:szCs w:val="20"/>
        </w:rPr>
      </w:pPr>
      <w:r w:rsidRPr="00640D24">
        <w:rPr>
          <w:rFonts w:cs="Times New Roman"/>
          <w:sz w:val="20"/>
          <w:szCs w:val="20"/>
        </w:rPr>
        <w:t>Šaltinis: s</w:t>
      </w:r>
      <w:r w:rsidR="000B0CA6" w:rsidRPr="00640D24">
        <w:rPr>
          <w:rFonts w:cs="Times New Roman"/>
          <w:sz w:val="20"/>
          <w:szCs w:val="20"/>
        </w:rPr>
        <w:t>udaryta Vertintojų</w:t>
      </w:r>
    </w:p>
    <w:p w14:paraId="35CE5B39" w14:textId="754FBA4D" w:rsidR="001905D3" w:rsidRPr="00640D24" w:rsidRDefault="001905D3" w:rsidP="00CD7825">
      <w:pPr>
        <w:spacing w:before="60" w:after="120" w:line="240" w:lineRule="auto"/>
        <w:ind w:firstLine="567"/>
        <w:jc w:val="both"/>
        <w:rPr>
          <w:rFonts w:cs="Times New Roman"/>
          <w:sz w:val="22"/>
          <w:szCs w:val="22"/>
        </w:rPr>
      </w:pPr>
      <w:bookmarkStart w:id="97" w:name="_Toc57307054"/>
      <w:r w:rsidRPr="00640D24">
        <w:rPr>
          <w:rFonts w:cs="Times New Roman"/>
          <w:sz w:val="22"/>
          <w:szCs w:val="22"/>
        </w:rPr>
        <w:t>Vertinimo metu nustatyta, kad tam tikroms verslo skatinimo veikloms FP taikymas nėra taikytinas. Analizuojant TUI investicijas į MTEP</w:t>
      </w:r>
      <w:r w:rsidR="00D02D81" w:rsidRPr="00640D24">
        <w:rPr>
          <w:rFonts w:cs="Times New Roman"/>
          <w:sz w:val="22"/>
          <w:szCs w:val="22"/>
        </w:rPr>
        <w:t>I</w:t>
      </w:r>
      <w:r w:rsidRPr="00640D24">
        <w:rPr>
          <w:rFonts w:cs="Times New Roman"/>
          <w:sz w:val="22"/>
          <w:szCs w:val="22"/>
        </w:rPr>
        <w:t xml:space="preserve"> veiklas Lietuvoje, pastebima, kad 2014–2020 m. programavimo laikotarpiu finansavimas buvo skiriamas negrąžinamosios subsidijos forma. Remiantis </w:t>
      </w:r>
      <w:proofErr w:type="spellStart"/>
      <w:r w:rsidRPr="00640D24">
        <w:rPr>
          <w:rFonts w:cs="Times New Roman"/>
          <w:sz w:val="22"/>
          <w:szCs w:val="22"/>
        </w:rPr>
        <w:t>VšĮ</w:t>
      </w:r>
      <w:proofErr w:type="spellEnd"/>
      <w:r w:rsidRPr="00640D24">
        <w:rPr>
          <w:rFonts w:cs="Times New Roman"/>
          <w:sz w:val="22"/>
          <w:szCs w:val="22"/>
        </w:rPr>
        <w:t xml:space="preserve"> „Investuok Lietuvoje“ duomenimis</w:t>
      </w:r>
      <w:r w:rsidRPr="00640D24">
        <w:rPr>
          <w:sz w:val="22"/>
          <w:szCs w:val="22"/>
          <w:vertAlign w:val="superscript"/>
        </w:rPr>
        <w:footnoteReference w:id="93"/>
      </w:r>
      <w:r w:rsidRPr="00640D24">
        <w:rPr>
          <w:rFonts w:cs="Times New Roman"/>
          <w:sz w:val="20"/>
          <w:szCs w:val="20"/>
        </w:rPr>
        <w:t xml:space="preserve"> </w:t>
      </w:r>
      <w:r w:rsidRPr="00640D24">
        <w:rPr>
          <w:rFonts w:cs="Times New Roman"/>
          <w:sz w:val="22"/>
          <w:szCs w:val="22"/>
        </w:rPr>
        <w:t>2018 m. tik 13 iš 45 užsienio investuotojų vykdė MTEP</w:t>
      </w:r>
      <w:r w:rsidR="00CF09A0" w:rsidRPr="00640D24">
        <w:rPr>
          <w:rFonts w:cs="Times New Roman"/>
          <w:sz w:val="22"/>
          <w:szCs w:val="22"/>
        </w:rPr>
        <w:t>I</w:t>
      </w:r>
      <w:r w:rsidRPr="00640D24">
        <w:rPr>
          <w:rFonts w:cs="Times New Roman"/>
          <w:sz w:val="22"/>
          <w:szCs w:val="22"/>
        </w:rPr>
        <w:t xml:space="preserve"> veiklas.</w:t>
      </w:r>
    </w:p>
    <w:p w14:paraId="488E5C78" w14:textId="033163C9" w:rsidR="001905D3" w:rsidRPr="00640D24" w:rsidRDefault="001905D3" w:rsidP="001905D3">
      <w:pPr>
        <w:spacing w:after="120" w:line="240" w:lineRule="auto"/>
        <w:ind w:firstLine="567"/>
        <w:jc w:val="both"/>
        <w:rPr>
          <w:rFonts w:cs="Times New Roman"/>
          <w:sz w:val="22"/>
          <w:szCs w:val="22"/>
        </w:rPr>
      </w:pPr>
      <w:r w:rsidRPr="00640D24">
        <w:rPr>
          <w:rFonts w:cs="Times New Roman"/>
          <w:sz w:val="22"/>
          <w:szCs w:val="22"/>
        </w:rPr>
        <w:t>2021–2027 m. programoje pažymima, kad TUI pritraukimo į MTEP</w:t>
      </w:r>
      <w:r w:rsidR="00CF09A0" w:rsidRPr="00640D24">
        <w:rPr>
          <w:rFonts w:cs="Times New Roman"/>
          <w:sz w:val="22"/>
          <w:szCs w:val="22"/>
        </w:rPr>
        <w:t>I</w:t>
      </w:r>
      <w:r w:rsidRPr="00640D24">
        <w:rPr>
          <w:rFonts w:cs="Times New Roman"/>
          <w:sz w:val="22"/>
          <w:szCs w:val="22"/>
        </w:rPr>
        <w:t xml:space="preserve"> skatinimą Vidurio ir Vakarų Lietuvos regione galima finansuoti pritaikant FP, tačiau tai gali būti nepatrauklu užsienio investuotojams dėl (1) ilgo atsiperkamumo laikotarpio ir (2) didelės talentų trūkumo rizikos. </w:t>
      </w:r>
      <w:r w:rsidR="008F3C16" w:rsidRPr="00640D24">
        <w:rPr>
          <w:rFonts w:cs="Times New Roman"/>
          <w:sz w:val="22"/>
          <w:szCs w:val="22"/>
        </w:rPr>
        <w:t xml:space="preserve">Atsižvelgiant į </w:t>
      </w:r>
      <w:r w:rsidRPr="00640D24">
        <w:rPr>
          <w:rFonts w:cs="Times New Roman"/>
          <w:sz w:val="22"/>
          <w:szCs w:val="22"/>
        </w:rPr>
        <w:t xml:space="preserve">užsienio investuotojų įžvelgiamas rizikas </w:t>
      </w:r>
      <w:r w:rsidR="008F3C16" w:rsidRPr="00640D24">
        <w:rPr>
          <w:rFonts w:cs="Times New Roman"/>
          <w:sz w:val="22"/>
          <w:szCs w:val="22"/>
        </w:rPr>
        <w:t xml:space="preserve">bei įtemptą konkurenciją regione dėl TUI </w:t>
      </w:r>
      <w:r w:rsidRPr="00640D24">
        <w:rPr>
          <w:rFonts w:cs="Times New Roman"/>
          <w:sz w:val="22"/>
          <w:szCs w:val="22"/>
        </w:rPr>
        <w:t xml:space="preserve">vertinimo metu nustatyta, kad </w:t>
      </w:r>
      <w:r w:rsidR="009E6647" w:rsidRPr="00640D24">
        <w:rPr>
          <w:rFonts w:cs="Times New Roman"/>
          <w:sz w:val="22"/>
          <w:szCs w:val="22"/>
        </w:rPr>
        <w:t xml:space="preserve">finansavimas </w:t>
      </w:r>
      <w:r w:rsidR="008F3C16" w:rsidRPr="00640D24">
        <w:rPr>
          <w:rFonts w:cs="Times New Roman"/>
          <w:sz w:val="22"/>
          <w:szCs w:val="22"/>
        </w:rPr>
        <w:lastRenderedPageBreak/>
        <w:t xml:space="preserve">turėtų būti ir toliau skiriamas </w:t>
      </w:r>
      <w:r w:rsidR="006172D2" w:rsidRPr="00640D24">
        <w:rPr>
          <w:rFonts w:cs="Times New Roman"/>
          <w:sz w:val="22"/>
          <w:szCs w:val="22"/>
        </w:rPr>
        <w:t xml:space="preserve">dotacijų </w:t>
      </w:r>
      <w:r w:rsidR="009E6647" w:rsidRPr="00640D24">
        <w:rPr>
          <w:rFonts w:cs="Times New Roman"/>
          <w:sz w:val="22"/>
          <w:szCs w:val="22"/>
        </w:rPr>
        <w:t>forma</w:t>
      </w:r>
      <w:r w:rsidRPr="00640D24">
        <w:rPr>
          <w:rFonts w:cs="Times New Roman"/>
          <w:sz w:val="22"/>
          <w:szCs w:val="22"/>
        </w:rPr>
        <w:t xml:space="preserve">. Nors </w:t>
      </w:r>
      <w:r w:rsidR="006172D2" w:rsidRPr="00640D24">
        <w:rPr>
          <w:rFonts w:cs="Times New Roman"/>
          <w:sz w:val="22"/>
          <w:szCs w:val="22"/>
        </w:rPr>
        <w:t xml:space="preserve">dotacijos </w:t>
      </w:r>
      <w:r w:rsidRPr="00640D24">
        <w:rPr>
          <w:rFonts w:cs="Times New Roman"/>
          <w:sz w:val="22"/>
          <w:szCs w:val="22"/>
        </w:rPr>
        <w:t xml:space="preserve">negeneruoja tiesioginės grąžos, investuotojų patirtis, žinios, technologinė pažanga, </w:t>
      </w:r>
      <w:proofErr w:type="spellStart"/>
      <w:r w:rsidRPr="00640D24">
        <w:rPr>
          <w:rFonts w:cs="Times New Roman"/>
          <w:sz w:val="22"/>
          <w:szCs w:val="22"/>
        </w:rPr>
        <w:t>tarptautiškumas</w:t>
      </w:r>
      <w:proofErr w:type="spellEnd"/>
      <w:r w:rsidRPr="00640D24">
        <w:rPr>
          <w:rFonts w:cs="Times New Roman"/>
          <w:sz w:val="22"/>
          <w:szCs w:val="22"/>
        </w:rPr>
        <w:t xml:space="preserve"> ilgalaikėje perspektyvoje kuria pridėtinę vertę šalies ekonomikai. </w:t>
      </w:r>
      <w:r w:rsidR="009E6647" w:rsidRPr="00640D24">
        <w:rPr>
          <w:rFonts w:cs="Times New Roman"/>
          <w:sz w:val="22"/>
          <w:szCs w:val="22"/>
        </w:rPr>
        <w:t>2021</w:t>
      </w:r>
      <w:r w:rsidR="008F3C16" w:rsidRPr="00640D24">
        <w:rPr>
          <w:rFonts w:cs="Times New Roman"/>
          <w:sz w:val="22"/>
          <w:szCs w:val="22"/>
        </w:rPr>
        <w:t>–</w:t>
      </w:r>
      <w:r w:rsidR="009E6647" w:rsidRPr="00640D24">
        <w:rPr>
          <w:rFonts w:cs="Times New Roman"/>
          <w:sz w:val="22"/>
          <w:szCs w:val="22"/>
        </w:rPr>
        <w:t xml:space="preserve">2027 m. </w:t>
      </w:r>
      <w:r w:rsidR="003E1154" w:rsidRPr="00640D24">
        <w:rPr>
          <w:rFonts w:cs="Times New Roman"/>
          <w:sz w:val="22"/>
          <w:szCs w:val="22"/>
        </w:rPr>
        <w:t xml:space="preserve">ES SF </w:t>
      </w:r>
      <w:r w:rsidRPr="00640D24">
        <w:rPr>
          <w:rFonts w:cs="Times New Roman"/>
          <w:sz w:val="22"/>
          <w:szCs w:val="22"/>
        </w:rPr>
        <w:t xml:space="preserve">programavimo laikotarpiu galėtų būti </w:t>
      </w:r>
      <w:r w:rsidR="008F3C16" w:rsidRPr="00640D24">
        <w:rPr>
          <w:rFonts w:cs="Times New Roman"/>
          <w:sz w:val="22"/>
          <w:szCs w:val="22"/>
        </w:rPr>
        <w:t>investicijos į TUI pri</w:t>
      </w:r>
      <w:r w:rsidR="00BB5873" w:rsidRPr="00640D24">
        <w:rPr>
          <w:rFonts w:cs="Times New Roman"/>
          <w:sz w:val="22"/>
          <w:szCs w:val="22"/>
        </w:rPr>
        <w:t>tr</w:t>
      </w:r>
      <w:r w:rsidR="008F3C16" w:rsidRPr="00640D24">
        <w:rPr>
          <w:rFonts w:cs="Times New Roman"/>
          <w:sz w:val="22"/>
          <w:szCs w:val="22"/>
        </w:rPr>
        <w:t>aukimą MTEP</w:t>
      </w:r>
      <w:r w:rsidR="00CF09A0" w:rsidRPr="00640D24">
        <w:rPr>
          <w:rFonts w:cs="Times New Roman"/>
          <w:sz w:val="22"/>
          <w:szCs w:val="22"/>
        </w:rPr>
        <w:t>I</w:t>
      </w:r>
      <w:r w:rsidR="008F3C16" w:rsidRPr="00640D24">
        <w:rPr>
          <w:rFonts w:cs="Times New Roman"/>
          <w:sz w:val="22"/>
          <w:szCs w:val="22"/>
        </w:rPr>
        <w:t xml:space="preserve"> veiklų skatinimui galėtų būti </w:t>
      </w:r>
      <w:r w:rsidR="00722850" w:rsidRPr="00640D24">
        <w:rPr>
          <w:rFonts w:cs="Times New Roman"/>
          <w:sz w:val="22"/>
          <w:szCs w:val="22"/>
        </w:rPr>
        <w:t>atliekamos</w:t>
      </w:r>
      <w:r w:rsidR="008F3C16" w:rsidRPr="00640D24">
        <w:rPr>
          <w:rFonts w:cs="Times New Roman"/>
          <w:sz w:val="22"/>
          <w:szCs w:val="22"/>
        </w:rPr>
        <w:t xml:space="preserve"> </w:t>
      </w:r>
      <w:r w:rsidR="006172D2" w:rsidRPr="00640D24">
        <w:rPr>
          <w:rFonts w:cs="Times New Roman"/>
          <w:sz w:val="22"/>
          <w:szCs w:val="22"/>
        </w:rPr>
        <w:t>dotacijų su sąlyga</w:t>
      </w:r>
      <w:r w:rsidR="00722850" w:rsidRPr="00640D24">
        <w:rPr>
          <w:rFonts w:cs="Times New Roman"/>
          <w:sz w:val="22"/>
          <w:szCs w:val="22"/>
        </w:rPr>
        <w:t xml:space="preserve"> forma</w:t>
      </w:r>
      <w:r w:rsidR="008F3C16" w:rsidRPr="00640D24">
        <w:rPr>
          <w:rFonts w:cs="Times New Roman"/>
          <w:sz w:val="22"/>
          <w:szCs w:val="22"/>
        </w:rPr>
        <w:t>, taip įgyvendinant nuoseklų perėjimą prie FP</w:t>
      </w:r>
      <w:r w:rsidRPr="00640D24">
        <w:rPr>
          <w:rFonts w:cs="Times New Roman"/>
          <w:sz w:val="22"/>
          <w:szCs w:val="22"/>
        </w:rPr>
        <w:t>.</w:t>
      </w:r>
    </w:p>
    <w:p w14:paraId="0F2D29F5" w14:textId="4D3BE7CF" w:rsidR="009E6647" w:rsidRPr="00640D24" w:rsidRDefault="009E6647" w:rsidP="001905D3">
      <w:pPr>
        <w:spacing w:after="120" w:line="240" w:lineRule="auto"/>
        <w:ind w:firstLine="567"/>
        <w:jc w:val="both"/>
        <w:rPr>
          <w:rFonts w:cs="Times New Roman"/>
          <w:sz w:val="22"/>
          <w:szCs w:val="22"/>
        </w:rPr>
      </w:pPr>
      <w:r w:rsidRPr="00640D24">
        <w:rPr>
          <w:rFonts w:cs="Times New Roman"/>
          <w:sz w:val="22"/>
          <w:szCs w:val="22"/>
        </w:rPr>
        <w:t xml:space="preserve">Taip pat, Vertinimo metu buvo nustatyta, kad </w:t>
      </w:r>
      <w:r w:rsidR="00722850" w:rsidRPr="00640D24">
        <w:rPr>
          <w:rFonts w:cs="Times New Roman"/>
          <w:sz w:val="22"/>
          <w:szCs w:val="22"/>
        </w:rPr>
        <w:t>mokestinės lengvatos pasižymi skatinamuoju efektu. Šiuo metu egzistuojanči</w:t>
      </w:r>
      <w:r w:rsidR="00EB3416" w:rsidRPr="00640D24">
        <w:rPr>
          <w:rFonts w:cs="Times New Roman"/>
          <w:sz w:val="22"/>
          <w:szCs w:val="22"/>
        </w:rPr>
        <w:t xml:space="preserve">ų </w:t>
      </w:r>
      <w:r w:rsidR="00722850" w:rsidRPr="00640D24">
        <w:rPr>
          <w:rFonts w:cs="Times New Roman"/>
          <w:sz w:val="22"/>
          <w:szCs w:val="22"/>
        </w:rPr>
        <w:t>pelno mokesčio lengvat</w:t>
      </w:r>
      <w:r w:rsidR="00EB3416" w:rsidRPr="00640D24">
        <w:rPr>
          <w:rFonts w:cs="Times New Roman"/>
          <w:sz w:val="22"/>
          <w:szCs w:val="22"/>
        </w:rPr>
        <w:t>ų</w:t>
      </w:r>
      <w:r w:rsidR="00722850" w:rsidRPr="00640D24">
        <w:rPr>
          <w:rFonts w:cs="Times New Roman"/>
          <w:sz w:val="22"/>
          <w:szCs w:val="22"/>
        </w:rPr>
        <w:t xml:space="preserve"> MTEP veikloms</w:t>
      </w:r>
      <w:r w:rsidR="00EB3416" w:rsidRPr="00640D24">
        <w:rPr>
          <w:rFonts w:cs="Times New Roman"/>
          <w:sz w:val="22"/>
          <w:szCs w:val="22"/>
        </w:rPr>
        <w:t xml:space="preserve"> ar technologiniam </w:t>
      </w:r>
      <w:r w:rsidR="00CD129B" w:rsidRPr="00640D24">
        <w:rPr>
          <w:rFonts w:cs="Times New Roman"/>
          <w:sz w:val="22"/>
          <w:szCs w:val="22"/>
        </w:rPr>
        <w:t>atsinaujinimui</w:t>
      </w:r>
      <w:r w:rsidR="00EB3416" w:rsidRPr="00640D24">
        <w:rPr>
          <w:rStyle w:val="Puslapioinaosnuoroda"/>
          <w:rFonts w:cs="Times New Roman"/>
          <w:sz w:val="22"/>
          <w:szCs w:val="22"/>
        </w:rPr>
        <w:footnoteReference w:id="94"/>
      </w:r>
      <w:r w:rsidR="00EB3416" w:rsidRPr="00640D24">
        <w:rPr>
          <w:rFonts w:cs="Times New Roman"/>
          <w:sz w:val="22"/>
          <w:szCs w:val="22"/>
        </w:rPr>
        <w:t xml:space="preserve"> principai galėtų būti pritaikomi ir kitoms veikloms, pvz.: </w:t>
      </w:r>
      <w:r w:rsidR="00722850" w:rsidRPr="00640D24">
        <w:rPr>
          <w:rFonts w:cs="Times New Roman"/>
          <w:sz w:val="22"/>
          <w:szCs w:val="22"/>
        </w:rPr>
        <w:t>pramonės MVĮ</w:t>
      </w:r>
      <w:r w:rsidR="00EB3416" w:rsidRPr="00640D24">
        <w:rPr>
          <w:rFonts w:cs="Times New Roman"/>
          <w:sz w:val="22"/>
          <w:szCs w:val="22"/>
        </w:rPr>
        <w:t xml:space="preserve"> investicijoms</w:t>
      </w:r>
      <w:r w:rsidR="00722850" w:rsidRPr="00640D24">
        <w:rPr>
          <w:rFonts w:cs="Times New Roman"/>
          <w:sz w:val="22"/>
          <w:szCs w:val="22"/>
        </w:rPr>
        <w:t xml:space="preserve"> į pramonės transformaciją arba </w:t>
      </w:r>
      <w:proofErr w:type="spellStart"/>
      <w:r w:rsidR="00722850" w:rsidRPr="00640D24">
        <w:rPr>
          <w:rFonts w:cs="Times New Roman"/>
          <w:sz w:val="22"/>
          <w:szCs w:val="22"/>
        </w:rPr>
        <w:t>skaitmeninimą</w:t>
      </w:r>
      <w:proofErr w:type="spellEnd"/>
      <w:r w:rsidR="00722850" w:rsidRPr="00640D24">
        <w:rPr>
          <w:rFonts w:cs="Times New Roman"/>
          <w:sz w:val="22"/>
          <w:szCs w:val="22"/>
        </w:rPr>
        <w:t>/modernizavimą.</w:t>
      </w:r>
    </w:p>
    <w:p w14:paraId="6C2AF0CC" w14:textId="5ED244A1" w:rsidR="000C3EBE" w:rsidRPr="00640D24" w:rsidRDefault="000C3EBE" w:rsidP="001905D3">
      <w:pPr>
        <w:spacing w:after="120" w:line="240" w:lineRule="auto"/>
        <w:ind w:firstLine="567"/>
        <w:jc w:val="both"/>
        <w:rPr>
          <w:rFonts w:cs="Times New Roman"/>
          <w:noProof/>
          <w:sz w:val="22"/>
          <w:szCs w:val="22"/>
        </w:rPr>
      </w:pPr>
      <w:r w:rsidRPr="00640D24">
        <w:rPr>
          <w:sz w:val="22"/>
        </w:rPr>
        <w:t xml:space="preserve">Atlikus kiekybinį ir kokybinį tyrimą Vertinime nagrinėjamoms veikloms iš viso buvo nustatytas </w:t>
      </w:r>
      <w:r w:rsidR="0037773B" w:rsidRPr="00640D24">
        <w:rPr>
          <w:b/>
          <w:bCs/>
          <w:sz w:val="22"/>
        </w:rPr>
        <w:t>3,7 </w:t>
      </w:r>
      <w:r w:rsidRPr="00640D24">
        <w:rPr>
          <w:b/>
          <w:bCs/>
          <w:sz w:val="22"/>
        </w:rPr>
        <w:t>mlrd</w:t>
      </w:r>
      <w:r w:rsidRPr="00640D24">
        <w:rPr>
          <w:sz w:val="22"/>
        </w:rPr>
        <w:t xml:space="preserve">. </w:t>
      </w:r>
      <w:proofErr w:type="spellStart"/>
      <w:r w:rsidRPr="00640D24">
        <w:rPr>
          <w:sz w:val="22"/>
        </w:rPr>
        <w:t>Eur</w:t>
      </w:r>
      <w:proofErr w:type="spellEnd"/>
      <w:r w:rsidRPr="00640D24">
        <w:rPr>
          <w:sz w:val="22"/>
        </w:rPr>
        <w:t xml:space="preserve"> finansavimo poreikis. </w:t>
      </w:r>
      <w:r w:rsidRPr="00640D24">
        <w:rPr>
          <w:rFonts w:cs="Times New Roman"/>
          <w:sz w:val="22"/>
          <w:szCs w:val="22"/>
        </w:rPr>
        <w:t>Planuojama, kad 2021</w:t>
      </w:r>
      <w:r w:rsidR="00A23911" w:rsidRPr="00640D24">
        <w:rPr>
          <w:rFonts w:cs="Times New Roman"/>
          <w:sz w:val="22"/>
          <w:szCs w:val="22"/>
        </w:rPr>
        <w:t>–</w:t>
      </w:r>
      <w:r w:rsidRPr="00640D24">
        <w:rPr>
          <w:rFonts w:cs="Times New Roman"/>
          <w:sz w:val="22"/>
          <w:szCs w:val="22"/>
        </w:rPr>
        <w:t xml:space="preserve">2027 m. </w:t>
      </w:r>
      <w:r w:rsidR="003E1154" w:rsidRPr="00640D24">
        <w:rPr>
          <w:rFonts w:cs="Times New Roman"/>
          <w:sz w:val="22"/>
          <w:szCs w:val="22"/>
        </w:rPr>
        <w:t xml:space="preserve">ES SF programavimo laikotarpiu </w:t>
      </w:r>
      <w:r w:rsidR="00A214DE" w:rsidRPr="00640D24">
        <w:rPr>
          <w:rFonts w:cs="Times New Roman"/>
          <w:sz w:val="22"/>
          <w:szCs w:val="22"/>
        </w:rPr>
        <w:t>bendras verslo</w:t>
      </w:r>
      <w:r w:rsidRPr="00640D24">
        <w:rPr>
          <w:rFonts w:cs="Times New Roman"/>
          <w:sz w:val="22"/>
          <w:szCs w:val="22"/>
        </w:rPr>
        <w:t xml:space="preserve"> finansavimo poreikis iš dalies bus padengtas įgyvendinant viršuje </w:t>
      </w:r>
      <w:r w:rsidR="003962DF" w:rsidRPr="00640D24">
        <w:rPr>
          <w:rFonts w:cs="Times New Roman"/>
          <w:sz w:val="22"/>
          <w:szCs w:val="22"/>
        </w:rPr>
        <w:t>nurodytas</w:t>
      </w:r>
      <w:r w:rsidRPr="00640D24">
        <w:rPr>
          <w:rFonts w:cs="Times New Roman"/>
          <w:sz w:val="22"/>
          <w:szCs w:val="22"/>
        </w:rPr>
        <w:t xml:space="preserve"> FP. </w:t>
      </w:r>
    </w:p>
    <w:p w14:paraId="07D8BDA3" w14:textId="70A5D290" w:rsidR="00B81A78" w:rsidRPr="00640D24" w:rsidRDefault="00B81A78" w:rsidP="001905D3">
      <w:pPr>
        <w:spacing w:after="120" w:line="240" w:lineRule="auto"/>
        <w:ind w:firstLine="567"/>
        <w:jc w:val="both"/>
        <w:rPr>
          <w:rFonts w:cs="Times New Roman"/>
          <w:sz w:val="22"/>
          <w:szCs w:val="22"/>
        </w:rPr>
      </w:pPr>
      <w:r w:rsidRPr="00640D24">
        <w:rPr>
          <w:rFonts w:cs="Times New Roman"/>
          <w:sz w:val="22"/>
          <w:szCs w:val="22"/>
        </w:rPr>
        <w:t xml:space="preserve">Pastebėtina, </w:t>
      </w:r>
      <w:r w:rsidR="004A4A43" w:rsidRPr="00640D24">
        <w:rPr>
          <w:rFonts w:cs="Times New Roman"/>
          <w:sz w:val="22"/>
          <w:szCs w:val="22"/>
        </w:rPr>
        <w:t>kad įgyvendinus ES SF lėšomis finansuojamas FP, finansavimo poreikis vis dar sieks apie 1,</w:t>
      </w:r>
      <w:r w:rsidR="000C3EBE" w:rsidRPr="00640D24">
        <w:rPr>
          <w:rFonts w:cs="Times New Roman"/>
          <w:sz w:val="22"/>
          <w:szCs w:val="22"/>
        </w:rPr>
        <w:t>14</w:t>
      </w:r>
      <w:r w:rsidR="004A4A43" w:rsidRPr="00640D24">
        <w:rPr>
          <w:rFonts w:cs="Times New Roman"/>
          <w:sz w:val="22"/>
          <w:szCs w:val="22"/>
        </w:rPr>
        <w:t xml:space="preserve"> mlrd. </w:t>
      </w:r>
      <w:proofErr w:type="spellStart"/>
      <w:r w:rsidR="004A4A43" w:rsidRPr="00640D24">
        <w:rPr>
          <w:rFonts w:cs="Times New Roman"/>
          <w:sz w:val="22"/>
          <w:szCs w:val="22"/>
        </w:rPr>
        <w:t>Eur</w:t>
      </w:r>
      <w:proofErr w:type="spellEnd"/>
      <w:r w:rsidR="004A4A43" w:rsidRPr="00640D24">
        <w:rPr>
          <w:rFonts w:cs="Times New Roman"/>
          <w:sz w:val="22"/>
          <w:szCs w:val="22"/>
        </w:rPr>
        <w:t xml:space="preserve">. </w:t>
      </w:r>
      <w:r w:rsidR="001D7D16" w:rsidRPr="00640D24">
        <w:rPr>
          <w:rFonts w:cs="Times New Roman"/>
          <w:sz w:val="22"/>
          <w:szCs w:val="22"/>
        </w:rPr>
        <w:t>Šis poreikis</w:t>
      </w:r>
      <w:r w:rsidR="004A4A43" w:rsidRPr="00640D24">
        <w:rPr>
          <w:rFonts w:cs="Times New Roman"/>
          <w:sz w:val="22"/>
          <w:szCs w:val="22"/>
        </w:rPr>
        <w:t xml:space="preserve"> iš dalies bus patenkinta</w:t>
      </w:r>
      <w:r w:rsidR="001D7D16" w:rsidRPr="00640D24">
        <w:rPr>
          <w:rFonts w:cs="Times New Roman"/>
          <w:sz w:val="22"/>
          <w:szCs w:val="22"/>
        </w:rPr>
        <w:t>s</w:t>
      </w:r>
      <w:r w:rsidR="004A4A43" w:rsidRPr="00640D24">
        <w:rPr>
          <w:rFonts w:cs="Times New Roman"/>
          <w:sz w:val="22"/>
          <w:szCs w:val="22"/>
        </w:rPr>
        <w:t xml:space="preserve"> </w:t>
      </w:r>
      <w:r w:rsidR="001D7D16" w:rsidRPr="00640D24">
        <w:rPr>
          <w:rFonts w:cs="Times New Roman"/>
          <w:sz w:val="22"/>
          <w:szCs w:val="22"/>
        </w:rPr>
        <w:t>suteikiant finansavimą verslo subjektams iš grįžusių lėšų</w:t>
      </w:r>
      <w:r w:rsidR="004A4A43" w:rsidRPr="00640D24">
        <w:rPr>
          <w:rFonts w:cs="Times New Roman"/>
          <w:sz w:val="22"/>
          <w:szCs w:val="22"/>
        </w:rPr>
        <w:t xml:space="preserve">. Apačioje yra pateikta lentelė, kurioje pateiktas rinkos padengimas ir finansavimo poreikis pagal </w:t>
      </w:r>
      <w:r w:rsidR="00A214DE" w:rsidRPr="00640D24">
        <w:rPr>
          <w:rFonts w:cs="Times New Roman"/>
          <w:sz w:val="22"/>
          <w:szCs w:val="22"/>
        </w:rPr>
        <w:t>(i) FP; (</w:t>
      </w:r>
      <w:proofErr w:type="spellStart"/>
      <w:r w:rsidR="00A214DE" w:rsidRPr="00640D24">
        <w:rPr>
          <w:rFonts w:cs="Times New Roman"/>
          <w:sz w:val="22"/>
          <w:szCs w:val="22"/>
        </w:rPr>
        <w:t>ii</w:t>
      </w:r>
      <w:proofErr w:type="spellEnd"/>
      <w:r w:rsidR="00A214DE" w:rsidRPr="00640D24">
        <w:rPr>
          <w:rFonts w:cs="Times New Roman"/>
          <w:sz w:val="22"/>
          <w:szCs w:val="22"/>
        </w:rPr>
        <w:t xml:space="preserve">) </w:t>
      </w:r>
      <w:r w:rsidR="004A4A43" w:rsidRPr="00640D24">
        <w:rPr>
          <w:rFonts w:cs="Times New Roman"/>
          <w:sz w:val="22"/>
          <w:szCs w:val="22"/>
        </w:rPr>
        <w:t xml:space="preserve">veiklas. </w:t>
      </w:r>
    </w:p>
    <w:p w14:paraId="210A5D7B" w14:textId="2D9AC5AF" w:rsidR="00536FE5" w:rsidRPr="00640D24" w:rsidRDefault="00536FE5" w:rsidP="00CD7825">
      <w:pPr>
        <w:spacing w:before="60" w:after="60" w:line="240" w:lineRule="auto"/>
        <w:jc w:val="both"/>
        <w:rPr>
          <w:rFonts w:cs="Times New Roman"/>
          <w:i/>
          <w:iCs/>
          <w:sz w:val="22"/>
          <w:szCs w:val="22"/>
        </w:rPr>
      </w:pPr>
      <w:bookmarkStart w:id="98" w:name="_Hlk83308503"/>
      <w:r w:rsidRPr="00640D24">
        <w:rPr>
          <w:rFonts w:cs="Times New Roman"/>
          <w:i/>
          <w:iCs/>
          <w:sz w:val="22"/>
          <w:szCs w:val="22"/>
        </w:rPr>
        <w:t xml:space="preserve">Lentelė Nr. </w:t>
      </w:r>
      <w:r w:rsidR="006B75C9" w:rsidRPr="00640D24">
        <w:rPr>
          <w:rFonts w:cs="Times New Roman"/>
          <w:i/>
          <w:iCs/>
          <w:sz w:val="22"/>
          <w:szCs w:val="22"/>
        </w:rPr>
        <w:t>11</w:t>
      </w:r>
      <w:r w:rsidRPr="00640D24">
        <w:rPr>
          <w:rFonts w:cs="Times New Roman"/>
          <w:i/>
          <w:iCs/>
          <w:sz w:val="22"/>
          <w:szCs w:val="22"/>
        </w:rPr>
        <w:t>. Rinkos padengimas ir finansavimo poreikis pagal FP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3584"/>
        <w:gridCol w:w="1386"/>
        <w:gridCol w:w="1386"/>
        <w:gridCol w:w="1346"/>
      </w:tblGrid>
      <w:tr w:rsidR="00CC0906" w:rsidRPr="00640D24" w14:paraId="3DD68F49" w14:textId="77777777" w:rsidTr="002E0743">
        <w:trPr>
          <w:trHeight w:val="870"/>
        </w:trPr>
        <w:tc>
          <w:tcPr>
            <w:tcW w:w="1000" w:type="pct"/>
            <w:shd w:val="clear" w:color="auto" w:fill="auto"/>
            <w:vAlign w:val="center"/>
            <w:hideMark/>
          </w:tcPr>
          <w:p w14:paraId="6AFE6A89" w14:textId="0115F2C6" w:rsidR="00CC0906" w:rsidRPr="00640D24" w:rsidRDefault="00CC0906" w:rsidP="00A214DE">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Siūlomos FP</w:t>
            </w:r>
          </w:p>
        </w:tc>
        <w:tc>
          <w:tcPr>
            <w:tcW w:w="1861" w:type="pct"/>
            <w:shd w:val="clear" w:color="auto" w:fill="auto"/>
            <w:vAlign w:val="center"/>
            <w:hideMark/>
          </w:tcPr>
          <w:p w14:paraId="3D49EDCD" w14:textId="66B640B6" w:rsidR="00CC0906" w:rsidRPr="00640D24" w:rsidRDefault="00CC0906" w:rsidP="00A214DE">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Veiklos pavadinimas</w:t>
            </w:r>
          </w:p>
        </w:tc>
        <w:tc>
          <w:tcPr>
            <w:tcW w:w="720" w:type="pct"/>
            <w:shd w:val="clear" w:color="auto" w:fill="auto"/>
            <w:vAlign w:val="center"/>
            <w:hideMark/>
          </w:tcPr>
          <w:p w14:paraId="583497D4" w14:textId="77777777" w:rsidR="00CC0906" w:rsidRPr="00640D24" w:rsidRDefault="00CC0906" w:rsidP="00A214DE">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 xml:space="preserve">Lėšų šaltinis </w:t>
            </w:r>
          </w:p>
        </w:tc>
        <w:tc>
          <w:tcPr>
            <w:tcW w:w="720" w:type="pct"/>
            <w:shd w:val="clear" w:color="auto" w:fill="auto"/>
            <w:vAlign w:val="center"/>
            <w:hideMark/>
          </w:tcPr>
          <w:p w14:paraId="19D52255" w14:textId="3C09B3AC" w:rsidR="00CC0906" w:rsidRPr="00640D24" w:rsidRDefault="00CC0906" w:rsidP="00A214DE">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 xml:space="preserve"> Rinkos padengimas pagal veiklą</w:t>
            </w:r>
            <w:r w:rsidR="001D7D16" w:rsidRPr="00640D24">
              <w:rPr>
                <w:rFonts w:eastAsia="Times New Roman" w:cs="Times New Roman"/>
                <w:b/>
                <w:bCs/>
                <w:color w:val="000000"/>
                <w:sz w:val="21"/>
                <w:szCs w:val="21"/>
                <w:lang w:eastAsia="lt-LT"/>
              </w:rPr>
              <w:t xml:space="preserve">, mln. </w:t>
            </w:r>
            <w:proofErr w:type="spellStart"/>
            <w:r w:rsidR="001D7D16" w:rsidRPr="00640D24">
              <w:rPr>
                <w:rFonts w:eastAsia="Times New Roman" w:cs="Times New Roman"/>
                <w:b/>
                <w:bCs/>
                <w:color w:val="000000"/>
                <w:sz w:val="21"/>
                <w:szCs w:val="21"/>
                <w:lang w:eastAsia="lt-LT"/>
              </w:rPr>
              <w:t>Eur</w:t>
            </w:r>
            <w:proofErr w:type="spellEnd"/>
            <w:r w:rsidRPr="00640D24">
              <w:rPr>
                <w:rFonts w:eastAsia="Times New Roman" w:cs="Times New Roman"/>
                <w:b/>
                <w:bCs/>
                <w:color w:val="000000"/>
                <w:sz w:val="21"/>
                <w:szCs w:val="21"/>
                <w:lang w:eastAsia="lt-LT"/>
              </w:rPr>
              <w:t xml:space="preserve"> </w:t>
            </w:r>
          </w:p>
        </w:tc>
        <w:tc>
          <w:tcPr>
            <w:tcW w:w="699" w:type="pct"/>
            <w:shd w:val="clear" w:color="auto" w:fill="auto"/>
            <w:vAlign w:val="center"/>
            <w:hideMark/>
          </w:tcPr>
          <w:p w14:paraId="2092E136" w14:textId="65CF8C0C" w:rsidR="00CC0906" w:rsidRPr="00640D24" w:rsidRDefault="6612F0DE" w:rsidP="00A214DE">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themeColor="text1"/>
                <w:sz w:val="21"/>
                <w:szCs w:val="21"/>
                <w:lang w:eastAsia="lt-LT"/>
              </w:rPr>
              <w:t xml:space="preserve"> FP rinkos padengimas</w:t>
            </w:r>
            <w:r w:rsidR="001D7D16" w:rsidRPr="00640D24">
              <w:rPr>
                <w:rFonts w:eastAsia="Times New Roman" w:cs="Times New Roman"/>
                <w:b/>
                <w:bCs/>
                <w:color w:val="000000" w:themeColor="text1"/>
                <w:sz w:val="21"/>
                <w:szCs w:val="21"/>
                <w:lang w:eastAsia="lt-LT"/>
              </w:rPr>
              <w:t xml:space="preserve">, mln. </w:t>
            </w:r>
            <w:proofErr w:type="spellStart"/>
            <w:r w:rsidR="001D7D16" w:rsidRPr="00640D24">
              <w:rPr>
                <w:rFonts w:eastAsia="Times New Roman" w:cs="Times New Roman"/>
                <w:b/>
                <w:bCs/>
                <w:color w:val="000000" w:themeColor="text1"/>
                <w:sz w:val="21"/>
                <w:szCs w:val="21"/>
                <w:lang w:eastAsia="lt-LT"/>
              </w:rPr>
              <w:t>Eur</w:t>
            </w:r>
            <w:proofErr w:type="spellEnd"/>
            <w:r w:rsidRPr="00640D24">
              <w:rPr>
                <w:rFonts w:eastAsia="Times New Roman" w:cs="Times New Roman"/>
                <w:b/>
                <w:bCs/>
                <w:color w:val="000000" w:themeColor="text1"/>
                <w:sz w:val="21"/>
                <w:szCs w:val="21"/>
                <w:lang w:eastAsia="lt-LT"/>
              </w:rPr>
              <w:t xml:space="preserve"> </w:t>
            </w:r>
          </w:p>
        </w:tc>
      </w:tr>
      <w:tr w:rsidR="00DE63CE" w:rsidRPr="00640D24" w14:paraId="6722A35E" w14:textId="77777777" w:rsidTr="002E0743">
        <w:trPr>
          <w:trHeight w:val="580"/>
        </w:trPr>
        <w:tc>
          <w:tcPr>
            <w:tcW w:w="1000" w:type="pct"/>
            <w:vMerge w:val="restart"/>
            <w:shd w:val="clear" w:color="auto" w:fill="auto"/>
            <w:vAlign w:val="center"/>
            <w:hideMark/>
          </w:tcPr>
          <w:p w14:paraId="6B43C5F9" w14:textId="050DC43C" w:rsidR="002874F1" w:rsidRPr="00640D24" w:rsidRDefault="00006D56" w:rsidP="002874F1">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Akceleratorius 3</w:t>
            </w:r>
          </w:p>
        </w:tc>
        <w:tc>
          <w:tcPr>
            <w:tcW w:w="1861" w:type="pct"/>
            <w:shd w:val="clear" w:color="auto" w:fill="auto"/>
            <w:vAlign w:val="center"/>
            <w:hideMark/>
          </w:tcPr>
          <w:p w14:paraId="220ED539" w14:textId="7C2DD65C" w:rsidR="002874F1" w:rsidRPr="00640D24" w:rsidRDefault="002874F1" w:rsidP="002874F1">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 xml:space="preserve">Skatinti </w:t>
            </w:r>
            <w:proofErr w:type="spellStart"/>
            <w:r w:rsidRPr="00640D24">
              <w:rPr>
                <w:rFonts w:eastAsia="Times New Roman" w:cs="Times New Roman"/>
                <w:sz w:val="21"/>
                <w:szCs w:val="21"/>
                <w:lang w:eastAsia="lt-LT"/>
              </w:rPr>
              <w:t>startuolių</w:t>
            </w:r>
            <w:proofErr w:type="spellEnd"/>
            <w:r w:rsidRPr="00640D24">
              <w:rPr>
                <w:rFonts w:eastAsia="Times New Roman" w:cs="Times New Roman"/>
                <w:sz w:val="21"/>
                <w:szCs w:val="21"/>
                <w:lang w:eastAsia="lt-LT"/>
              </w:rPr>
              <w:t xml:space="preserve"> vystymą, </w:t>
            </w:r>
            <w:proofErr w:type="spellStart"/>
            <w:r w:rsidRPr="00640D24">
              <w:rPr>
                <w:rFonts w:eastAsia="Times New Roman" w:cs="Times New Roman"/>
                <w:sz w:val="21"/>
                <w:szCs w:val="21"/>
                <w:lang w:eastAsia="lt-LT"/>
              </w:rPr>
              <w:t>akceleravimą</w:t>
            </w:r>
            <w:proofErr w:type="spellEnd"/>
            <w:r w:rsidRPr="00640D24">
              <w:rPr>
                <w:rFonts w:eastAsia="Times New Roman" w:cs="Times New Roman"/>
                <w:sz w:val="21"/>
                <w:szCs w:val="21"/>
                <w:lang w:eastAsia="lt-LT"/>
              </w:rPr>
              <w:t xml:space="preserve"> ir plėtrą </w:t>
            </w:r>
          </w:p>
        </w:tc>
        <w:tc>
          <w:tcPr>
            <w:tcW w:w="720" w:type="pct"/>
            <w:shd w:val="clear" w:color="auto" w:fill="auto"/>
            <w:vAlign w:val="center"/>
            <w:hideMark/>
          </w:tcPr>
          <w:p w14:paraId="2E16B79C" w14:textId="3947BBF0" w:rsidR="002874F1" w:rsidRPr="00640D24" w:rsidRDefault="002874F1" w:rsidP="002874F1">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 xml:space="preserve">ES SF </w:t>
            </w:r>
          </w:p>
        </w:tc>
        <w:tc>
          <w:tcPr>
            <w:tcW w:w="720" w:type="pct"/>
            <w:shd w:val="clear" w:color="auto" w:fill="auto"/>
            <w:noWrap/>
            <w:vAlign w:val="center"/>
            <w:hideMark/>
          </w:tcPr>
          <w:p w14:paraId="5160F244" w14:textId="55F44482" w:rsidR="002874F1" w:rsidRPr="00640D24" w:rsidRDefault="002874F1" w:rsidP="006A0F8D">
            <w:pPr>
              <w:spacing w:after="0" w:line="240" w:lineRule="auto"/>
              <w:jc w:val="center"/>
              <w:rPr>
                <w:sz w:val="21"/>
              </w:rPr>
            </w:pPr>
            <w:r w:rsidRPr="00640D24">
              <w:rPr>
                <w:sz w:val="21"/>
                <w:szCs w:val="21"/>
              </w:rPr>
              <w:t>13,05</w:t>
            </w:r>
          </w:p>
        </w:tc>
        <w:tc>
          <w:tcPr>
            <w:tcW w:w="699" w:type="pct"/>
            <w:vMerge w:val="restart"/>
            <w:shd w:val="clear" w:color="auto" w:fill="auto"/>
            <w:noWrap/>
            <w:vAlign w:val="center"/>
            <w:hideMark/>
          </w:tcPr>
          <w:p w14:paraId="0F3B0B06" w14:textId="4E93ED7D" w:rsidR="002874F1" w:rsidRPr="00640D24" w:rsidRDefault="002874F1" w:rsidP="007E0EF5">
            <w:pPr>
              <w:spacing w:after="0" w:line="240" w:lineRule="auto"/>
              <w:jc w:val="center"/>
              <w:rPr>
                <w:rFonts w:eastAsia="Times New Roman" w:cs="Times New Roman"/>
                <w:b/>
                <w:bCs/>
                <w:sz w:val="21"/>
                <w:szCs w:val="21"/>
                <w:lang w:eastAsia="lt-LT"/>
              </w:rPr>
            </w:pPr>
            <w:r w:rsidRPr="00640D24">
              <w:rPr>
                <w:rFonts w:eastAsia="Times New Roman" w:cs="Times New Roman"/>
                <w:b/>
                <w:bCs/>
                <w:sz w:val="21"/>
                <w:szCs w:val="21"/>
                <w:lang w:eastAsia="lt-LT"/>
              </w:rPr>
              <w:t>22,22</w:t>
            </w:r>
          </w:p>
        </w:tc>
      </w:tr>
      <w:tr w:rsidR="002874F1" w:rsidRPr="00640D24" w14:paraId="3EDCB3AE" w14:textId="77777777" w:rsidTr="002E0743">
        <w:trPr>
          <w:trHeight w:val="290"/>
        </w:trPr>
        <w:tc>
          <w:tcPr>
            <w:tcW w:w="1000" w:type="pct"/>
            <w:vMerge/>
            <w:vAlign w:val="center"/>
            <w:hideMark/>
          </w:tcPr>
          <w:p w14:paraId="36E24436" w14:textId="77777777" w:rsidR="002874F1" w:rsidRPr="00640D24" w:rsidRDefault="002874F1" w:rsidP="002874F1">
            <w:pPr>
              <w:spacing w:after="0" w:line="240" w:lineRule="auto"/>
              <w:rPr>
                <w:rFonts w:eastAsia="Times New Roman" w:cs="Times New Roman"/>
                <w:sz w:val="21"/>
                <w:szCs w:val="21"/>
                <w:lang w:eastAsia="lt-LT"/>
              </w:rPr>
            </w:pPr>
          </w:p>
        </w:tc>
        <w:tc>
          <w:tcPr>
            <w:tcW w:w="1861" w:type="pct"/>
            <w:shd w:val="clear" w:color="auto" w:fill="auto"/>
            <w:vAlign w:val="center"/>
            <w:hideMark/>
          </w:tcPr>
          <w:p w14:paraId="215F9726" w14:textId="439FB2C0" w:rsidR="002874F1" w:rsidRPr="00640D24" w:rsidRDefault="00645085" w:rsidP="002874F1">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w:t>
            </w:r>
          </w:p>
        </w:tc>
        <w:tc>
          <w:tcPr>
            <w:tcW w:w="720" w:type="pct"/>
            <w:shd w:val="clear" w:color="auto" w:fill="auto"/>
            <w:vAlign w:val="center"/>
            <w:hideMark/>
          </w:tcPr>
          <w:p w14:paraId="6B3643E0" w14:textId="6EA74C77" w:rsidR="002874F1" w:rsidRPr="00640D24" w:rsidRDefault="002874F1" w:rsidP="002874F1">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 xml:space="preserve">Kitos </w:t>
            </w:r>
          </w:p>
        </w:tc>
        <w:tc>
          <w:tcPr>
            <w:tcW w:w="720" w:type="pct"/>
            <w:shd w:val="clear" w:color="auto" w:fill="auto"/>
            <w:noWrap/>
            <w:hideMark/>
          </w:tcPr>
          <w:p w14:paraId="32F6B46E" w14:textId="1C0AA676" w:rsidR="002874F1" w:rsidRPr="00640D24" w:rsidRDefault="002874F1" w:rsidP="002874F1">
            <w:pPr>
              <w:spacing w:after="0" w:line="240" w:lineRule="auto"/>
              <w:jc w:val="center"/>
              <w:rPr>
                <w:sz w:val="21"/>
              </w:rPr>
            </w:pPr>
            <w:r w:rsidRPr="00640D24">
              <w:rPr>
                <w:sz w:val="21"/>
                <w:szCs w:val="21"/>
              </w:rPr>
              <w:t xml:space="preserve">9,17 </w:t>
            </w:r>
          </w:p>
        </w:tc>
        <w:tc>
          <w:tcPr>
            <w:tcW w:w="699" w:type="pct"/>
            <w:vMerge/>
            <w:hideMark/>
          </w:tcPr>
          <w:p w14:paraId="3D74A4A2" w14:textId="77777777" w:rsidR="002874F1" w:rsidRPr="00640D24" w:rsidRDefault="002874F1" w:rsidP="002874F1">
            <w:pPr>
              <w:spacing w:after="0" w:line="240" w:lineRule="auto"/>
              <w:jc w:val="center"/>
              <w:rPr>
                <w:rFonts w:eastAsia="Times New Roman" w:cs="Times New Roman"/>
                <w:b/>
                <w:bCs/>
                <w:sz w:val="21"/>
                <w:szCs w:val="21"/>
                <w:lang w:eastAsia="lt-LT"/>
              </w:rPr>
            </w:pPr>
          </w:p>
        </w:tc>
      </w:tr>
      <w:tr w:rsidR="00536FE5" w:rsidRPr="00640D24" w14:paraId="3B0EE022" w14:textId="77777777" w:rsidTr="002E0743">
        <w:trPr>
          <w:trHeight w:val="580"/>
        </w:trPr>
        <w:tc>
          <w:tcPr>
            <w:tcW w:w="1000" w:type="pct"/>
            <w:vMerge w:val="restart"/>
            <w:shd w:val="clear" w:color="auto" w:fill="auto"/>
            <w:vAlign w:val="center"/>
            <w:hideMark/>
          </w:tcPr>
          <w:p w14:paraId="33E5EDAF" w14:textId="77777777" w:rsidR="00536FE5" w:rsidRPr="00640D24" w:rsidRDefault="00536FE5" w:rsidP="00536FE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ASIPF III</w:t>
            </w:r>
          </w:p>
        </w:tc>
        <w:tc>
          <w:tcPr>
            <w:tcW w:w="1861" w:type="pct"/>
            <w:shd w:val="clear" w:color="auto" w:fill="auto"/>
            <w:vAlign w:val="center"/>
            <w:hideMark/>
          </w:tcPr>
          <w:p w14:paraId="16DC1364" w14:textId="5FA0AC5F" w:rsidR="00536FE5" w:rsidRPr="00640D24" w:rsidRDefault="00536FE5" w:rsidP="00536FE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 xml:space="preserve">Skatinti </w:t>
            </w:r>
            <w:proofErr w:type="spellStart"/>
            <w:r w:rsidRPr="00640D24">
              <w:rPr>
                <w:rFonts w:eastAsia="Times New Roman" w:cs="Times New Roman"/>
                <w:sz w:val="21"/>
                <w:szCs w:val="21"/>
                <w:lang w:eastAsia="lt-LT"/>
              </w:rPr>
              <w:t>startuolių</w:t>
            </w:r>
            <w:proofErr w:type="spellEnd"/>
            <w:r w:rsidRPr="00640D24">
              <w:rPr>
                <w:rFonts w:eastAsia="Times New Roman" w:cs="Times New Roman"/>
                <w:sz w:val="21"/>
                <w:szCs w:val="21"/>
                <w:lang w:eastAsia="lt-LT"/>
              </w:rPr>
              <w:t xml:space="preserve"> vystymą, </w:t>
            </w:r>
            <w:proofErr w:type="spellStart"/>
            <w:r w:rsidRPr="00640D24">
              <w:rPr>
                <w:rFonts w:eastAsia="Times New Roman" w:cs="Times New Roman"/>
                <w:sz w:val="21"/>
                <w:szCs w:val="21"/>
                <w:lang w:eastAsia="lt-LT"/>
              </w:rPr>
              <w:t>akceleravimą</w:t>
            </w:r>
            <w:proofErr w:type="spellEnd"/>
            <w:r w:rsidRPr="00640D24">
              <w:rPr>
                <w:rFonts w:eastAsia="Times New Roman" w:cs="Times New Roman"/>
                <w:sz w:val="21"/>
                <w:szCs w:val="21"/>
                <w:lang w:eastAsia="lt-LT"/>
              </w:rPr>
              <w:t xml:space="preserve"> ir plėtrą </w:t>
            </w:r>
          </w:p>
        </w:tc>
        <w:tc>
          <w:tcPr>
            <w:tcW w:w="720" w:type="pct"/>
            <w:shd w:val="clear" w:color="auto" w:fill="auto"/>
            <w:vAlign w:val="center"/>
            <w:hideMark/>
          </w:tcPr>
          <w:p w14:paraId="13E09B61" w14:textId="77777777" w:rsidR="00536FE5" w:rsidRPr="00640D24" w:rsidRDefault="00536FE5" w:rsidP="00536FE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ES SF</w:t>
            </w:r>
          </w:p>
        </w:tc>
        <w:tc>
          <w:tcPr>
            <w:tcW w:w="720" w:type="pct"/>
            <w:shd w:val="clear" w:color="auto" w:fill="auto"/>
            <w:noWrap/>
            <w:vAlign w:val="center"/>
            <w:hideMark/>
          </w:tcPr>
          <w:p w14:paraId="11A2529E" w14:textId="594F1D52" w:rsidR="00536FE5" w:rsidRPr="00640D24" w:rsidRDefault="00845788" w:rsidP="00536FE5">
            <w:pPr>
              <w:spacing w:after="0" w:line="240" w:lineRule="auto"/>
              <w:jc w:val="center"/>
              <w:rPr>
                <w:sz w:val="21"/>
              </w:rPr>
            </w:pPr>
            <w:r w:rsidRPr="00640D24">
              <w:rPr>
                <w:sz w:val="21"/>
              </w:rPr>
              <w:t>12,50</w:t>
            </w:r>
          </w:p>
        </w:tc>
        <w:tc>
          <w:tcPr>
            <w:tcW w:w="699" w:type="pct"/>
            <w:vMerge w:val="restart"/>
            <w:shd w:val="clear" w:color="auto" w:fill="auto"/>
            <w:noWrap/>
            <w:vAlign w:val="center"/>
            <w:hideMark/>
          </w:tcPr>
          <w:p w14:paraId="44027ADD" w14:textId="3201987F" w:rsidR="002874F1" w:rsidRPr="00640D24" w:rsidRDefault="00845788" w:rsidP="002874F1">
            <w:pPr>
              <w:spacing w:after="0" w:line="240" w:lineRule="auto"/>
              <w:jc w:val="center"/>
              <w:rPr>
                <w:rFonts w:eastAsia="Times New Roman" w:cs="Times New Roman"/>
                <w:b/>
                <w:bCs/>
                <w:sz w:val="21"/>
                <w:szCs w:val="21"/>
                <w:lang w:eastAsia="lt-LT"/>
              </w:rPr>
            </w:pPr>
            <w:r w:rsidRPr="00640D24">
              <w:rPr>
                <w:rFonts w:eastAsia="Times New Roman" w:cs="Times New Roman"/>
                <w:b/>
                <w:bCs/>
                <w:sz w:val="21"/>
                <w:szCs w:val="21"/>
                <w:lang w:eastAsia="lt-LT"/>
              </w:rPr>
              <w:t>47,55</w:t>
            </w:r>
          </w:p>
          <w:p w14:paraId="1B482DB9" w14:textId="425B3874" w:rsidR="00536FE5" w:rsidRPr="00640D24" w:rsidRDefault="00536FE5" w:rsidP="00536FE5">
            <w:pPr>
              <w:spacing w:after="0" w:line="240" w:lineRule="auto"/>
              <w:jc w:val="center"/>
              <w:rPr>
                <w:rFonts w:eastAsia="Times New Roman" w:cs="Times New Roman"/>
                <w:b/>
                <w:bCs/>
                <w:sz w:val="21"/>
                <w:szCs w:val="21"/>
                <w:lang w:eastAsia="lt-LT"/>
              </w:rPr>
            </w:pPr>
          </w:p>
        </w:tc>
      </w:tr>
      <w:tr w:rsidR="002874F1" w:rsidRPr="00640D24" w14:paraId="5CC6C7F2" w14:textId="77777777" w:rsidTr="002E0743">
        <w:trPr>
          <w:trHeight w:val="580"/>
        </w:trPr>
        <w:tc>
          <w:tcPr>
            <w:tcW w:w="1000" w:type="pct"/>
            <w:vMerge/>
            <w:vAlign w:val="center"/>
            <w:hideMark/>
          </w:tcPr>
          <w:p w14:paraId="44B94E98" w14:textId="77777777" w:rsidR="002874F1" w:rsidRPr="00640D24" w:rsidRDefault="002874F1" w:rsidP="002874F1">
            <w:pPr>
              <w:spacing w:after="0" w:line="240" w:lineRule="auto"/>
              <w:rPr>
                <w:rFonts w:eastAsia="Times New Roman" w:cs="Times New Roman"/>
                <w:sz w:val="21"/>
                <w:szCs w:val="21"/>
                <w:lang w:eastAsia="lt-LT"/>
              </w:rPr>
            </w:pPr>
          </w:p>
        </w:tc>
        <w:tc>
          <w:tcPr>
            <w:tcW w:w="1861" w:type="pct"/>
            <w:shd w:val="clear" w:color="auto" w:fill="auto"/>
            <w:vAlign w:val="center"/>
            <w:hideMark/>
          </w:tcPr>
          <w:p w14:paraId="1408F9AF" w14:textId="77777777" w:rsidR="002874F1" w:rsidRPr="00640D24" w:rsidRDefault="002874F1" w:rsidP="002874F1">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Skatinti pradedančiųjų SVV subjektų kūrimąsi, augimą ir plėtrą</w:t>
            </w:r>
          </w:p>
        </w:tc>
        <w:tc>
          <w:tcPr>
            <w:tcW w:w="720" w:type="pct"/>
            <w:shd w:val="clear" w:color="auto" w:fill="auto"/>
            <w:vAlign w:val="center"/>
            <w:hideMark/>
          </w:tcPr>
          <w:p w14:paraId="375F6798" w14:textId="77777777" w:rsidR="002874F1" w:rsidRPr="00640D24" w:rsidRDefault="002874F1" w:rsidP="002874F1">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ES SF</w:t>
            </w:r>
          </w:p>
        </w:tc>
        <w:tc>
          <w:tcPr>
            <w:tcW w:w="720" w:type="pct"/>
            <w:shd w:val="clear" w:color="auto" w:fill="auto"/>
            <w:noWrap/>
            <w:hideMark/>
          </w:tcPr>
          <w:p w14:paraId="220D37C9" w14:textId="07D0D293" w:rsidR="002874F1" w:rsidRPr="00640D24" w:rsidRDefault="002874F1" w:rsidP="002874F1">
            <w:pPr>
              <w:spacing w:after="0" w:line="240" w:lineRule="auto"/>
              <w:jc w:val="center"/>
              <w:rPr>
                <w:sz w:val="21"/>
              </w:rPr>
            </w:pPr>
            <w:r w:rsidRPr="00640D24">
              <w:rPr>
                <w:sz w:val="21"/>
              </w:rPr>
              <w:t>10,</w:t>
            </w:r>
            <w:r w:rsidRPr="00640D24">
              <w:rPr>
                <w:sz w:val="21"/>
                <w:szCs w:val="21"/>
              </w:rPr>
              <w:t xml:space="preserve">44 </w:t>
            </w:r>
          </w:p>
        </w:tc>
        <w:tc>
          <w:tcPr>
            <w:tcW w:w="699" w:type="pct"/>
            <w:vMerge/>
            <w:vAlign w:val="center"/>
            <w:hideMark/>
          </w:tcPr>
          <w:p w14:paraId="7021D3C9" w14:textId="77777777" w:rsidR="002874F1" w:rsidRPr="00640D24" w:rsidRDefault="002874F1" w:rsidP="002874F1">
            <w:pPr>
              <w:spacing w:after="0" w:line="240" w:lineRule="auto"/>
              <w:jc w:val="center"/>
              <w:rPr>
                <w:rFonts w:eastAsia="Times New Roman" w:cs="Times New Roman"/>
                <w:b/>
                <w:bCs/>
                <w:sz w:val="21"/>
                <w:szCs w:val="21"/>
                <w:lang w:eastAsia="lt-LT"/>
              </w:rPr>
            </w:pPr>
          </w:p>
        </w:tc>
      </w:tr>
      <w:tr w:rsidR="002874F1" w:rsidRPr="00640D24" w14:paraId="05BEAAFC" w14:textId="77777777" w:rsidTr="002E0743">
        <w:trPr>
          <w:trHeight w:val="290"/>
        </w:trPr>
        <w:tc>
          <w:tcPr>
            <w:tcW w:w="1000" w:type="pct"/>
            <w:vMerge/>
            <w:vAlign w:val="center"/>
            <w:hideMark/>
          </w:tcPr>
          <w:p w14:paraId="50F1678E" w14:textId="77777777" w:rsidR="002874F1" w:rsidRPr="00640D24" w:rsidRDefault="002874F1" w:rsidP="002874F1">
            <w:pPr>
              <w:spacing w:after="0" w:line="240" w:lineRule="auto"/>
              <w:rPr>
                <w:rFonts w:eastAsia="Times New Roman" w:cs="Times New Roman"/>
                <w:sz w:val="21"/>
                <w:szCs w:val="21"/>
                <w:lang w:eastAsia="lt-LT"/>
              </w:rPr>
            </w:pPr>
          </w:p>
        </w:tc>
        <w:tc>
          <w:tcPr>
            <w:tcW w:w="1861" w:type="pct"/>
            <w:shd w:val="clear" w:color="auto" w:fill="auto"/>
            <w:vAlign w:val="center"/>
            <w:hideMark/>
          </w:tcPr>
          <w:p w14:paraId="581E87DA" w14:textId="6099368E" w:rsidR="002874F1" w:rsidRPr="00640D24" w:rsidRDefault="00645085" w:rsidP="002874F1">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w:t>
            </w:r>
          </w:p>
        </w:tc>
        <w:tc>
          <w:tcPr>
            <w:tcW w:w="720" w:type="pct"/>
            <w:shd w:val="clear" w:color="auto" w:fill="auto"/>
            <w:vAlign w:val="center"/>
            <w:hideMark/>
          </w:tcPr>
          <w:p w14:paraId="264EAB29" w14:textId="6B3CC336" w:rsidR="002874F1" w:rsidRPr="00640D24" w:rsidRDefault="002874F1" w:rsidP="002874F1">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Kitos</w:t>
            </w:r>
          </w:p>
        </w:tc>
        <w:tc>
          <w:tcPr>
            <w:tcW w:w="720" w:type="pct"/>
            <w:shd w:val="clear" w:color="auto" w:fill="auto"/>
            <w:noWrap/>
            <w:hideMark/>
          </w:tcPr>
          <w:p w14:paraId="5D17EBB6" w14:textId="1D44136E" w:rsidR="002874F1" w:rsidRPr="00640D24" w:rsidRDefault="00845788" w:rsidP="002874F1">
            <w:pPr>
              <w:spacing w:after="0" w:line="240" w:lineRule="auto"/>
              <w:jc w:val="center"/>
              <w:rPr>
                <w:sz w:val="21"/>
              </w:rPr>
            </w:pPr>
            <w:r w:rsidRPr="00640D24">
              <w:rPr>
                <w:sz w:val="21"/>
              </w:rPr>
              <w:t>24,62</w:t>
            </w:r>
            <w:r w:rsidR="002874F1" w:rsidRPr="00640D24">
              <w:rPr>
                <w:sz w:val="21"/>
                <w:szCs w:val="21"/>
              </w:rPr>
              <w:t xml:space="preserve"> </w:t>
            </w:r>
          </w:p>
        </w:tc>
        <w:tc>
          <w:tcPr>
            <w:tcW w:w="699" w:type="pct"/>
            <w:vMerge/>
            <w:vAlign w:val="center"/>
            <w:hideMark/>
          </w:tcPr>
          <w:p w14:paraId="79BA93A2" w14:textId="77777777" w:rsidR="002874F1" w:rsidRPr="00640D24" w:rsidRDefault="002874F1" w:rsidP="002874F1">
            <w:pPr>
              <w:spacing w:after="0" w:line="240" w:lineRule="auto"/>
              <w:jc w:val="center"/>
              <w:rPr>
                <w:rFonts w:eastAsia="Times New Roman" w:cs="Times New Roman"/>
                <w:b/>
                <w:bCs/>
                <w:sz w:val="21"/>
                <w:szCs w:val="21"/>
                <w:lang w:eastAsia="lt-LT"/>
              </w:rPr>
            </w:pPr>
          </w:p>
        </w:tc>
      </w:tr>
      <w:tr w:rsidR="00D6581E" w:rsidRPr="00640D24" w14:paraId="16B8446B" w14:textId="77777777" w:rsidTr="002E0743">
        <w:trPr>
          <w:trHeight w:val="580"/>
        </w:trPr>
        <w:tc>
          <w:tcPr>
            <w:tcW w:w="1000" w:type="pct"/>
            <w:vMerge w:val="restart"/>
            <w:shd w:val="clear" w:color="auto" w:fill="auto"/>
            <w:vAlign w:val="center"/>
            <w:hideMark/>
          </w:tcPr>
          <w:p w14:paraId="7EB24635" w14:textId="77777777" w:rsidR="00D6581E" w:rsidRPr="00640D24" w:rsidRDefault="00D6581E" w:rsidP="002874F1">
            <w:pPr>
              <w:spacing w:after="0" w:line="240" w:lineRule="auto"/>
              <w:rPr>
                <w:rFonts w:eastAsia="Times New Roman" w:cs="Times New Roman"/>
                <w:sz w:val="21"/>
                <w:szCs w:val="21"/>
                <w:lang w:eastAsia="lt-LT"/>
              </w:rPr>
            </w:pPr>
            <w:proofErr w:type="spellStart"/>
            <w:r w:rsidRPr="00640D24">
              <w:rPr>
                <w:rFonts w:eastAsia="Times New Roman" w:cs="Times New Roman"/>
                <w:sz w:val="21"/>
                <w:szCs w:val="21"/>
                <w:lang w:eastAsia="lt-LT"/>
              </w:rPr>
              <w:t>Koinvesticinis</w:t>
            </w:r>
            <w:proofErr w:type="spellEnd"/>
            <w:r w:rsidRPr="00640D24">
              <w:rPr>
                <w:rFonts w:eastAsia="Times New Roman" w:cs="Times New Roman"/>
                <w:sz w:val="21"/>
                <w:szCs w:val="21"/>
                <w:lang w:eastAsia="lt-LT"/>
              </w:rPr>
              <w:t xml:space="preserve"> fondas </w:t>
            </w:r>
          </w:p>
        </w:tc>
        <w:tc>
          <w:tcPr>
            <w:tcW w:w="1861" w:type="pct"/>
            <w:vMerge w:val="restart"/>
            <w:shd w:val="clear" w:color="auto" w:fill="auto"/>
            <w:vAlign w:val="center"/>
            <w:hideMark/>
          </w:tcPr>
          <w:p w14:paraId="183C5618" w14:textId="57AA1516" w:rsidR="00D6581E" w:rsidRPr="00640D24" w:rsidRDefault="00D6581E" w:rsidP="002874F1">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 xml:space="preserve">Skatinti </w:t>
            </w:r>
            <w:proofErr w:type="spellStart"/>
            <w:r w:rsidRPr="00640D24">
              <w:rPr>
                <w:rFonts w:eastAsia="Times New Roman" w:cs="Times New Roman"/>
                <w:sz w:val="21"/>
                <w:szCs w:val="21"/>
                <w:lang w:eastAsia="lt-LT"/>
              </w:rPr>
              <w:t>startuolių</w:t>
            </w:r>
            <w:proofErr w:type="spellEnd"/>
            <w:r w:rsidRPr="00640D24">
              <w:rPr>
                <w:rFonts w:eastAsia="Times New Roman" w:cs="Times New Roman"/>
                <w:sz w:val="21"/>
                <w:szCs w:val="21"/>
                <w:lang w:eastAsia="lt-LT"/>
              </w:rPr>
              <w:t xml:space="preserve"> vystymą, </w:t>
            </w:r>
            <w:proofErr w:type="spellStart"/>
            <w:r w:rsidRPr="00640D24">
              <w:rPr>
                <w:rFonts w:eastAsia="Times New Roman" w:cs="Times New Roman"/>
                <w:sz w:val="21"/>
                <w:szCs w:val="21"/>
                <w:lang w:eastAsia="lt-LT"/>
              </w:rPr>
              <w:t>akceleravimą</w:t>
            </w:r>
            <w:proofErr w:type="spellEnd"/>
            <w:r w:rsidRPr="00640D24">
              <w:rPr>
                <w:rFonts w:eastAsia="Times New Roman" w:cs="Times New Roman"/>
                <w:sz w:val="21"/>
                <w:szCs w:val="21"/>
                <w:lang w:eastAsia="lt-LT"/>
              </w:rPr>
              <w:t xml:space="preserve"> ir plėtrą </w:t>
            </w:r>
          </w:p>
        </w:tc>
        <w:tc>
          <w:tcPr>
            <w:tcW w:w="720" w:type="pct"/>
            <w:shd w:val="clear" w:color="auto" w:fill="auto"/>
            <w:vAlign w:val="center"/>
            <w:hideMark/>
          </w:tcPr>
          <w:p w14:paraId="5DBF8D7D" w14:textId="77777777" w:rsidR="00D6581E" w:rsidRPr="00640D24" w:rsidRDefault="00D6581E" w:rsidP="002874F1">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ES SF</w:t>
            </w:r>
          </w:p>
        </w:tc>
        <w:tc>
          <w:tcPr>
            <w:tcW w:w="720" w:type="pct"/>
            <w:shd w:val="clear" w:color="auto" w:fill="auto"/>
            <w:noWrap/>
            <w:vAlign w:val="center"/>
            <w:hideMark/>
          </w:tcPr>
          <w:p w14:paraId="280369DE" w14:textId="3E5507C8" w:rsidR="00D6581E" w:rsidRPr="00640D24" w:rsidRDefault="00D6581E" w:rsidP="001E0D2C">
            <w:pPr>
              <w:spacing w:after="0" w:line="240" w:lineRule="auto"/>
              <w:jc w:val="center"/>
              <w:rPr>
                <w:sz w:val="21"/>
              </w:rPr>
            </w:pPr>
            <w:r w:rsidRPr="00640D24">
              <w:rPr>
                <w:rFonts w:eastAsia="Times New Roman" w:cs="Times New Roman"/>
                <w:sz w:val="21"/>
                <w:szCs w:val="21"/>
                <w:lang w:eastAsia="lt-LT"/>
              </w:rPr>
              <w:t>10,46</w:t>
            </w:r>
          </w:p>
        </w:tc>
        <w:tc>
          <w:tcPr>
            <w:tcW w:w="699" w:type="pct"/>
            <w:vMerge w:val="restart"/>
            <w:shd w:val="clear" w:color="auto" w:fill="auto"/>
            <w:noWrap/>
            <w:vAlign w:val="center"/>
            <w:hideMark/>
          </w:tcPr>
          <w:p w14:paraId="026B1158" w14:textId="698D68C7" w:rsidR="00D6581E" w:rsidRPr="00640D24" w:rsidRDefault="00D6581E" w:rsidP="002D682E">
            <w:pPr>
              <w:jc w:val="center"/>
              <w:rPr>
                <w:rFonts w:eastAsia="Times New Roman" w:cs="Times New Roman"/>
                <w:b/>
                <w:bCs/>
                <w:sz w:val="21"/>
                <w:szCs w:val="21"/>
                <w:lang w:eastAsia="lt-LT"/>
              </w:rPr>
            </w:pPr>
            <w:r w:rsidRPr="00640D24">
              <w:rPr>
                <w:rFonts w:eastAsia="Times New Roman" w:cs="Times New Roman"/>
                <w:b/>
                <w:bCs/>
                <w:sz w:val="21"/>
                <w:szCs w:val="21"/>
                <w:lang w:eastAsia="lt-LT"/>
              </w:rPr>
              <w:t>14,94</w:t>
            </w:r>
          </w:p>
          <w:p w14:paraId="260130C2" w14:textId="0E0157E0" w:rsidR="00D6581E" w:rsidRPr="00640D24" w:rsidRDefault="00D6581E" w:rsidP="002874F1">
            <w:pPr>
              <w:spacing w:after="0" w:line="240" w:lineRule="auto"/>
              <w:jc w:val="center"/>
              <w:rPr>
                <w:rFonts w:eastAsia="Times New Roman" w:cs="Times New Roman"/>
                <w:b/>
                <w:bCs/>
                <w:sz w:val="21"/>
                <w:szCs w:val="21"/>
                <w:lang w:eastAsia="lt-LT"/>
              </w:rPr>
            </w:pPr>
          </w:p>
        </w:tc>
      </w:tr>
      <w:tr w:rsidR="00D6581E" w:rsidRPr="00640D24" w14:paraId="4C4FFD81" w14:textId="77777777" w:rsidTr="002E0743">
        <w:trPr>
          <w:trHeight w:val="580"/>
        </w:trPr>
        <w:tc>
          <w:tcPr>
            <w:tcW w:w="1000" w:type="pct"/>
            <w:vMerge/>
            <w:vAlign w:val="center"/>
          </w:tcPr>
          <w:p w14:paraId="532D909A" w14:textId="77777777" w:rsidR="00D6581E" w:rsidRPr="00640D24" w:rsidRDefault="00D6581E" w:rsidP="002874F1">
            <w:pPr>
              <w:spacing w:after="0" w:line="240" w:lineRule="auto"/>
              <w:rPr>
                <w:rFonts w:eastAsia="Times New Roman" w:cs="Times New Roman"/>
                <w:sz w:val="21"/>
                <w:szCs w:val="21"/>
                <w:lang w:eastAsia="lt-LT"/>
              </w:rPr>
            </w:pPr>
          </w:p>
        </w:tc>
        <w:tc>
          <w:tcPr>
            <w:tcW w:w="1861" w:type="pct"/>
            <w:vMerge/>
            <w:vAlign w:val="center"/>
          </w:tcPr>
          <w:p w14:paraId="161155B0" w14:textId="77777777" w:rsidR="00D6581E" w:rsidRPr="00640D24" w:rsidRDefault="00D6581E" w:rsidP="002874F1">
            <w:pPr>
              <w:spacing w:after="0" w:line="240" w:lineRule="auto"/>
              <w:rPr>
                <w:rFonts w:eastAsia="Times New Roman" w:cs="Times New Roman"/>
                <w:sz w:val="21"/>
                <w:szCs w:val="21"/>
                <w:lang w:eastAsia="lt-LT"/>
              </w:rPr>
            </w:pPr>
          </w:p>
        </w:tc>
        <w:tc>
          <w:tcPr>
            <w:tcW w:w="720" w:type="pct"/>
            <w:shd w:val="clear" w:color="auto" w:fill="auto"/>
            <w:vAlign w:val="center"/>
          </w:tcPr>
          <w:p w14:paraId="32111070" w14:textId="565AF154" w:rsidR="00D6581E" w:rsidRPr="00640D24" w:rsidRDefault="00D6581E" w:rsidP="002874F1">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Kitos</w:t>
            </w:r>
          </w:p>
        </w:tc>
        <w:tc>
          <w:tcPr>
            <w:tcW w:w="720" w:type="pct"/>
            <w:shd w:val="clear" w:color="auto" w:fill="auto"/>
            <w:noWrap/>
            <w:vAlign w:val="center"/>
          </w:tcPr>
          <w:p w14:paraId="53B067D0" w14:textId="5F18558D" w:rsidR="00D6581E" w:rsidRPr="00640D24" w:rsidRDefault="00D6581E" w:rsidP="001E0D2C">
            <w:pPr>
              <w:spacing w:after="0" w:line="240" w:lineRule="auto"/>
              <w:jc w:val="center"/>
              <w:rPr>
                <w:rFonts w:eastAsia="Times New Roman" w:cs="Times New Roman"/>
                <w:sz w:val="21"/>
                <w:szCs w:val="21"/>
                <w:lang w:eastAsia="lt-LT"/>
              </w:rPr>
            </w:pPr>
            <w:r w:rsidRPr="00640D24">
              <w:rPr>
                <w:rFonts w:eastAsia="Times New Roman" w:cs="Times New Roman"/>
                <w:sz w:val="21"/>
                <w:szCs w:val="21"/>
                <w:lang w:eastAsia="lt-LT"/>
              </w:rPr>
              <w:t>4,48</w:t>
            </w:r>
          </w:p>
        </w:tc>
        <w:tc>
          <w:tcPr>
            <w:tcW w:w="699" w:type="pct"/>
            <w:vMerge/>
            <w:noWrap/>
            <w:vAlign w:val="center"/>
          </w:tcPr>
          <w:p w14:paraId="318B6936" w14:textId="77777777" w:rsidR="00D6581E" w:rsidRPr="00640D24" w:rsidRDefault="00D6581E" w:rsidP="002874F1">
            <w:pPr>
              <w:spacing w:after="0" w:line="240" w:lineRule="auto"/>
              <w:jc w:val="center"/>
              <w:rPr>
                <w:rFonts w:eastAsia="Times New Roman" w:cs="Times New Roman"/>
                <w:b/>
                <w:bCs/>
                <w:sz w:val="21"/>
                <w:szCs w:val="21"/>
                <w:lang w:eastAsia="lt-LT"/>
              </w:rPr>
            </w:pPr>
          </w:p>
        </w:tc>
      </w:tr>
      <w:tr w:rsidR="009D7D33" w:rsidRPr="00640D24" w14:paraId="625AAAB3" w14:textId="77777777" w:rsidTr="002E0743">
        <w:trPr>
          <w:trHeight w:val="290"/>
        </w:trPr>
        <w:tc>
          <w:tcPr>
            <w:tcW w:w="1000" w:type="pct"/>
            <w:shd w:val="clear" w:color="auto" w:fill="auto"/>
            <w:vAlign w:val="center"/>
          </w:tcPr>
          <w:p w14:paraId="1A567599" w14:textId="6F54CDF7" w:rsidR="009D7D33" w:rsidRPr="00640D24" w:rsidRDefault="009D7D33" w:rsidP="00536FE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 xml:space="preserve">Plėtros </w:t>
            </w:r>
            <w:r w:rsidR="00A574CA" w:rsidRPr="00640D24">
              <w:rPr>
                <w:rFonts w:eastAsia="Times New Roman" w:cs="Times New Roman"/>
                <w:sz w:val="21"/>
                <w:szCs w:val="21"/>
                <w:lang w:eastAsia="lt-LT"/>
              </w:rPr>
              <w:t>rizikos kapitalo fondai</w:t>
            </w:r>
          </w:p>
        </w:tc>
        <w:tc>
          <w:tcPr>
            <w:tcW w:w="1861" w:type="pct"/>
            <w:shd w:val="clear" w:color="auto" w:fill="auto"/>
            <w:vAlign w:val="center"/>
          </w:tcPr>
          <w:p w14:paraId="01EA273B" w14:textId="406147B0" w:rsidR="009D7D33" w:rsidRPr="00640D24" w:rsidRDefault="009D7D33" w:rsidP="00160B10">
            <w:pPr>
              <w:pStyle w:val="Sraopastraipa"/>
              <w:numPr>
                <w:ilvl w:val="0"/>
                <w:numId w:val="31"/>
              </w:num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softHyphen/>
            </w:r>
          </w:p>
        </w:tc>
        <w:tc>
          <w:tcPr>
            <w:tcW w:w="720" w:type="pct"/>
            <w:shd w:val="clear" w:color="auto" w:fill="auto"/>
            <w:vAlign w:val="center"/>
          </w:tcPr>
          <w:p w14:paraId="0EEFC233" w14:textId="2D7A7C79" w:rsidR="009D7D33" w:rsidRPr="00640D24" w:rsidRDefault="009D7D33" w:rsidP="00536FE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Kitos</w:t>
            </w:r>
          </w:p>
        </w:tc>
        <w:tc>
          <w:tcPr>
            <w:tcW w:w="720" w:type="pct"/>
            <w:shd w:val="clear" w:color="auto" w:fill="auto"/>
            <w:noWrap/>
            <w:vAlign w:val="center"/>
          </w:tcPr>
          <w:p w14:paraId="1EF9E81D" w14:textId="073C4674" w:rsidR="009D7D33" w:rsidRPr="00640D24" w:rsidRDefault="00905E1F" w:rsidP="00536FE5">
            <w:pPr>
              <w:spacing w:after="0" w:line="240" w:lineRule="auto"/>
              <w:jc w:val="center"/>
              <w:rPr>
                <w:rFonts w:cs="Times New Roman"/>
                <w:color w:val="000000"/>
                <w:sz w:val="20"/>
                <w:szCs w:val="20"/>
              </w:rPr>
            </w:pPr>
            <w:r w:rsidRPr="00640D24">
              <w:rPr>
                <w:rFonts w:cs="Times New Roman"/>
                <w:color w:val="000000"/>
                <w:sz w:val="20"/>
                <w:szCs w:val="20"/>
              </w:rPr>
              <w:t>240,00</w:t>
            </w:r>
          </w:p>
        </w:tc>
        <w:tc>
          <w:tcPr>
            <w:tcW w:w="699" w:type="pct"/>
            <w:shd w:val="clear" w:color="auto" w:fill="auto"/>
            <w:noWrap/>
            <w:vAlign w:val="center"/>
          </w:tcPr>
          <w:p w14:paraId="744A52E2" w14:textId="3CA588B4" w:rsidR="009D7D33" w:rsidRPr="00640D24" w:rsidRDefault="00905E1F" w:rsidP="00536FE5">
            <w:pPr>
              <w:spacing w:after="0" w:line="240" w:lineRule="auto"/>
              <w:jc w:val="center"/>
              <w:rPr>
                <w:rFonts w:eastAsia="Times New Roman" w:cs="Times New Roman"/>
                <w:b/>
                <w:bCs/>
                <w:sz w:val="21"/>
                <w:szCs w:val="21"/>
                <w:lang w:eastAsia="lt-LT"/>
              </w:rPr>
            </w:pPr>
            <w:r w:rsidRPr="00640D24">
              <w:rPr>
                <w:rFonts w:eastAsia="Times New Roman" w:cs="Times New Roman"/>
                <w:b/>
                <w:bCs/>
                <w:sz w:val="21"/>
                <w:szCs w:val="21"/>
                <w:lang w:eastAsia="lt-LT"/>
              </w:rPr>
              <w:t>240</w:t>
            </w:r>
            <w:r w:rsidR="009D7D33" w:rsidRPr="00640D24">
              <w:rPr>
                <w:rFonts w:eastAsia="Times New Roman" w:cs="Times New Roman"/>
                <w:b/>
                <w:bCs/>
                <w:sz w:val="21"/>
                <w:szCs w:val="21"/>
                <w:lang w:eastAsia="lt-LT"/>
              </w:rPr>
              <w:t>,00</w:t>
            </w:r>
          </w:p>
        </w:tc>
      </w:tr>
      <w:tr w:rsidR="00E82F20" w:rsidRPr="00640D24" w14:paraId="1392373B" w14:textId="77777777" w:rsidTr="002E0743">
        <w:trPr>
          <w:trHeight w:val="279"/>
        </w:trPr>
        <w:tc>
          <w:tcPr>
            <w:tcW w:w="1000" w:type="pct"/>
            <w:vAlign w:val="center"/>
          </w:tcPr>
          <w:p w14:paraId="0C89A6C6" w14:textId="014E0C88" w:rsidR="00E82F20" w:rsidRPr="00640D24" w:rsidRDefault="4FC99A0C" w:rsidP="002D682E">
            <w:pPr>
              <w:spacing w:after="0" w:line="240" w:lineRule="auto"/>
              <w:rPr>
                <w:rFonts w:eastAsia="Times New Roman" w:cs="Times New Roman"/>
                <w:sz w:val="21"/>
                <w:szCs w:val="21"/>
                <w:lang w:eastAsia="lt-LT"/>
              </w:rPr>
            </w:pPr>
            <w:proofErr w:type="spellStart"/>
            <w:r w:rsidRPr="00640D24">
              <w:rPr>
                <w:rFonts w:eastAsia="Times New Roman" w:cs="Times New Roman"/>
                <w:sz w:val="21"/>
                <w:szCs w:val="21"/>
                <w:lang w:eastAsia="lt-LT"/>
              </w:rPr>
              <w:t>M</w:t>
            </w:r>
            <w:r w:rsidR="72CABA7E" w:rsidRPr="00640D24">
              <w:rPr>
                <w:rFonts w:eastAsia="Times New Roman" w:cs="Times New Roman"/>
                <w:sz w:val="21"/>
                <w:szCs w:val="21"/>
                <w:lang w:eastAsia="lt-LT"/>
              </w:rPr>
              <w:t>IL</w:t>
            </w:r>
            <w:r w:rsidRPr="00640D24">
              <w:rPr>
                <w:rFonts w:eastAsia="Times New Roman" w:cs="Times New Roman"/>
                <w:sz w:val="21"/>
                <w:szCs w:val="21"/>
                <w:lang w:eastAsia="lt-LT"/>
              </w:rPr>
              <w:t>Invest</w:t>
            </w:r>
            <w:proofErr w:type="spellEnd"/>
            <w:r w:rsidRPr="00640D24">
              <w:rPr>
                <w:rFonts w:eastAsia="Times New Roman" w:cs="Times New Roman"/>
                <w:sz w:val="21"/>
                <w:szCs w:val="21"/>
                <w:lang w:eastAsia="lt-LT"/>
              </w:rPr>
              <w:t xml:space="preserve"> 2</w:t>
            </w:r>
          </w:p>
        </w:tc>
        <w:tc>
          <w:tcPr>
            <w:tcW w:w="1861" w:type="pct"/>
            <w:shd w:val="clear" w:color="auto" w:fill="auto"/>
            <w:vAlign w:val="center"/>
          </w:tcPr>
          <w:p w14:paraId="17CFB9EC" w14:textId="15A3179D" w:rsidR="00E82F20" w:rsidRPr="00640D24" w:rsidRDefault="009D0706" w:rsidP="002D682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w:t>
            </w:r>
          </w:p>
        </w:tc>
        <w:tc>
          <w:tcPr>
            <w:tcW w:w="720" w:type="pct"/>
            <w:shd w:val="clear" w:color="auto" w:fill="auto"/>
            <w:vAlign w:val="center"/>
          </w:tcPr>
          <w:p w14:paraId="171C4ADC" w14:textId="3D3FBDB7" w:rsidR="00E82F20" w:rsidRPr="00640D24" w:rsidRDefault="00E82F20" w:rsidP="002D682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 xml:space="preserve">Kitos </w:t>
            </w:r>
          </w:p>
        </w:tc>
        <w:tc>
          <w:tcPr>
            <w:tcW w:w="720" w:type="pct"/>
            <w:shd w:val="clear" w:color="auto" w:fill="auto"/>
            <w:noWrap/>
          </w:tcPr>
          <w:p w14:paraId="33708F46" w14:textId="008E0DF6" w:rsidR="00E82F20" w:rsidRPr="00640D24" w:rsidRDefault="005C3D7C" w:rsidP="002D682E">
            <w:pPr>
              <w:spacing w:after="0" w:line="240" w:lineRule="auto"/>
              <w:jc w:val="center"/>
              <w:rPr>
                <w:sz w:val="21"/>
                <w:szCs w:val="21"/>
              </w:rPr>
            </w:pPr>
            <w:r w:rsidRPr="00640D24">
              <w:rPr>
                <w:sz w:val="21"/>
                <w:szCs w:val="21"/>
              </w:rPr>
              <w:t>2</w:t>
            </w:r>
            <w:r w:rsidR="00926BA8" w:rsidRPr="00640D24">
              <w:rPr>
                <w:sz w:val="21"/>
                <w:szCs w:val="21"/>
              </w:rPr>
              <w:t>9</w:t>
            </w:r>
          </w:p>
        </w:tc>
        <w:tc>
          <w:tcPr>
            <w:tcW w:w="699" w:type="pct"/>
            <w:vAlign w:val="center"/>
          </w:tcPr>
          <w:p w14:paraId="0035307F" w14:textId="6BEB0820" w:rsidR="00E82F20" w:rsidRPr="00640D24" w:rsidRDefault="005C3D7C" w:rsidP="00A9055E">
            <w:pPr>
              <w:spacing w:after="0" w:line="240" w:lineRule="auto"/>
              <w:jc w:val="center"/>
              <w:rPr>
                <w:rFonts w:eastAsia="Times New Roman" w:cs="Times New Roman"/>
                <w:b/>
                <w:bCs/>
                <w:sz w:val="21"/>
                <w:szCs w:val="21"/>
                <w:lang w:eastAsia="lt-LT"/>
              </w:rPr>
            </w:pPr>
            <w:r w:rsidRPr="00640D24">
              <w:rPr>
                <w:rFonts w:eastAsia="Times New Roman" w:cs="Times New Roman"/>
                <w:b/>
                <w:bCs/>
                <w:sz w:val="21"/>
                <w:szCs w:val="21"/>
                <w:lang w:eastAsia="lt-LT"/>
              </w:rPr>
              <w:t>2</w:t>
            </w:r>
            <w:r w:rsidR="000866F9" w:rsidRPr="00640D24">
              <w:rPr>
                <w:rFonts w:eastAsia="Times New Roman" w:cs="Times New Roman"/>
                <w:b/>
                <w:bCs/>
                <w:sz w:val="21"/>
                <w:szCs w:val="21"/>
                <w:lang w:eastAsia="lt-LT"/>
              </w:rPr>
              <w:t>9</w:t>
            </w:r>
          </w:p>
        </w:tc>
      </w:tr>
      <w:tr w:rsidR="00374E31" w:rsidRPr="00640D24" w14:paraId="2BE76507" w14:textId="77777777" w:rsidTr="002E0743">
        <w:trPr>
          <w:trHeight w:val="279"/>
        </w:trPr>
        <w:tc>
          <w:tcPr>
            <w:tcW w:w="1000" w:type="pct"/>
            <w:vMerge w:val="restart"/>
            <w:vAlign w:val="center"/>
          </w:tcPr>
          <w:p w14:paraId="7A895B13" w14:textId="70CED860" w:rsidR="00374E31" w:rsidRPr="00640D24" w:rsidRDefault="00374E31" w:rsidP="002D682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Skolinio finansavimo FP</w:t>
            </w:r>
          </w:p>
          <w:p w14:paraId="258FDAE3" w14:textId="7067101E" w:rsidR="00374E31" w:rsidRPr="00640D24" w:rsidRDefault="00374E31" w:rsidP="00536FE5">
            <w:pPr>
              <w:spacing w:after="0" w:line="240" w:lineRule="auto"/>
              <w:rPr>
                <w:rFonts w:eastAsia="Times New Roman" w:cs="Times New Roman"/>
                <w:sz w:val="21"/>
                <w:szCs w:val="21"/>
                <w:lang w:eastAsia="lt-LT"/>
              </w:rPr>
            </w:pPr>
          </w:p>
        </w:tc>
        <w:tc>
          <w:tcPr>
            <w:tcW w:w="1861" w:type="pct"/>
            <w:vMerge w:val="restart"/>
            <w:shd w:val="clear" w:color="auto" w:fill="auto"/>
            <w:vAlign w:val="center"/>
          </w:tcPr>
          <w:p w14:paraId="1ACCF329" w14:textId="62E75D40" w:rsidR="00374E31" w:rsidRPr="00640D24" w:rsidRDefault="00374E31" w:rsidP="002D682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Skatinti inovacijų pasiūlą</w:t>
            </w:r>
          </w:p>
        </w:tc>
        <w:tc>
          <w:tcPr>
            <w:tcW w:w="720" w:type="pct"/>
            <w:shd w:val="clear" w:color="auto" w:fill="auto"/>
            <w:vAlign w:val="center"/>
          </w:tcPr>
          <w:p w14:paraId="43992FD1" w14:textId="2E9B3369" w:rsidR="00374E31" w:rsidRPr="00640D24" w:rsidRDefault="00374E31" w:rsidP="002D682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ES SF</w:t>
            </w:r>
          </w:p>
        </w:tc>
        <w:tc>
          <w:tcPr>
            <w:tcW w:w="720" w:type="pct"/>
            <w:shd w:val="clear" w:color="auto" w:fill="auto"/>
            <w:noWrap/>
          </w:tcPr>
          <w:p w14:paraId="66CC44CB" w14:textId="60F15B35" w:rsidR="00374E31" w:rsidRPr="00640D24" w:rsidRDefault="00374E31" w:rsidP="002D682E">
            <w:pPr>
              <w:spacing w:after="0" w:line="240" w:lineRule="auto"/>
              <w:jc w:val="center"/>
              <w:rPr>
                <w:color w:val="000000"/>
                <w:sz w:val="21"/>
              </w:rPr>
            </w:pPr>
            <w:r w:rsidRPr="00640D24">
              <w:rPr>
                <w:sz w:val="21"/>
                <w:szCs w:val="21"/>
              </w:rPr>
              <w:t xml:space="preserve">50,37 </w:t>
            </w:r>
          </w:p>
        </w:tc>
        <w:tc>
          <w:tcPr>
            <w:tcW w:w="699" w:type="pct"/>
            <w:vMerge w:val="restart"/>
            <w:vAlign w:val="center"/>
          </w:tcPr>
          <w:p w14:paraId="36E348DE" w14:textId="3CE2541F" w:rsidR="00374E31" w:rsidRPr="00640D24" w:rsidRDefault="00374E31" w:rsidP="00A9055E">
            <w:pPr>
              <w:spacing w:after="0" w:line="240" w:lineRule="auto"/>
              <w:jc w:val="center"/>
              <w:rPr>
                <w:rFonts w:eastAsia="Times New Roman" w:cs="Times New Roman"/>
                <w:b/>
                <w:bCs/>
                <w:sz w:val="21"/>
                <w:szCs w:val="21"/>
                <w:lang w:eastAsia="lt-LT"/>
              </w:rPr>
            </w:pPr>
            <w:r w:rsidRPr="00640D24">
              <w:rPr>
                <w:rFonts w:eastAsia="Times New Roman" w:cs="Times New Roman"/>
                <w:b/>
                <w:bCs/>
                <w:sz w:val="21"/>
                <w:szCs w:val="21"/>
                <w:lang w:eastAsia="lt-LT"/>
              </w:rPr>
              <w:t>333,01</w:t>
            </w:r>
          </w:p>
          <w:p w14:paraId="45781C6D" w14:textId="5D1B94D1" w:rsidR="00374E31" w:rsidRPr="00640D24" w:rsidRDefault="00374E31" w:rsidP="00374E31">
            <w:pPr>
              <w:spacing w:after="0" w:line="240" w:lineRule="auto"/>
              <w:jc w:val="center"/>
              <w:rPr>
                <w:rFonts w:eastAsia="Times New Roman" w:cs="Times New Roman"/>
                <w:b/>
                <w:bCs/>
                <w:sz w:val="21"/>
                <w:szCs w:val="21"/>
                <w:lang w:eastAsia="lt-LT"/>
              </w:rPr>
            </w:pPr>
          </w:p>
        </w:tc>
      </w:tr>
      <w:tr w:rsidR="00374E31" w:rsidRPr="00640D24" w14:paraId="54A6DE1E" w14:textId="77777777" w:rsidTr="002E0743">
        <w:trPr>
          <w:trHeight w:val="290"/>
        </w:trPr>
        <w:tc>
          <w:tcPr>
            <w:tcW w:w="1000" w:type="pct"/>
            <w:vMerge/>
            <w:vAlign w:val="center"/>
            <w:hideMark/>
          </w:tcPr>
          <w:p w14:paraId="2B460A43" w14:textId="18150C66" w:rsidR="00374E31" w:rsidRPr="00640D24" w:rsidRDefault="00374E31" w:rsidP="00536FE5">
            <w:pPr>
              <w:spacing w:after="0" w:line="240" w:lineRule="auto"/>
              <w:rPr>
                <w:rFonts w:eastAsia="Times New Roman" w:cs="Times New Roman"/>
                <w:sz w:val="21"/>
                <w:szCs w:val="21"/>
                <w:lang w:eastAsia="lt-LT"/>
              </w:rPr>
            </w:pPr>
          </w:p>
        </w:tc>
        <w:tc>
          <w:tcPr>
            <w:tcW w:w="1861" w:type="pct"/>
            <w:vMerge/>
            <w:vAlign w:val="center"/>
            <w:hideMark/>
          </w:tcPr>
          <w:p w14:paraId="39047E16" w14:textId="06BFE52E" w:rsidR="00374E31" w:rsidRPr="00640D24" w:rsidRDefault="00374E31" w:rsidP="002D682E">
            <w:pPr>
              <w:spacing w:after="0" w:line="240" w:lineRule="auto"/>
              <w:rPr>
                <w:rFonts w:eastAsia="Times New Roman" w:cs="Times New Roman"/>
                <w:sz w:val="21"/>
                <w:szCs w:val="21"/>
                <w:lang w:eastAsia="lt-LT"/>
              </w:rPr>
            </w:pPr>
          </w:p>
        </w:tc>
        <w:tc>
          <w:tcPr>
            <w:tcW w:w="720" w:type="pct"/>
            <w:shd w:val="clear" w:color="auto" w:fill="auto"/>
            <w:vAlign w:val="center"/>
            <w:hideMark/>
          </w:tcPr>
          <w:p w14:paraId="7C65F259" w14:textId="3265A74D" w:rsidR="00374E31" w:rsidRPr="00640D24" w:rsidRDefault="00374E31" w:rsidP="002D682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NK</w:t>
            </w:r>
          </w:p>
        </w:tc>
        <w:tc>
          <w:tcPr>
            <w:tcW w:w="720" w:type="pct"/>
            <w:shd w:val="clear" w:color="auto" w:fill="auto"/>
            <w:noWrap/>
            <w:hideMark/>
          </w:tcPr>
          <w:p w14:paraId="5AEE1F76" w14:textId="25BCBF57" w:rsidR="00374E31" w:rsidRPr="00640D24" w:rsidRDefault="00374E31" w:rsidP="002D682E">
            <w:pPr>
              <w:spacing w:after="0" w:line="240" w:lineRule="auto"/>
              <w:jc w:val="center"/>
              <w:rPr>
                <w:rFonts w:eastAsia="Times New Roman" w:cs="Times New Roman"/>
                <w:sz w:val="21"/>
                <w:szCs w:val="21"/>
                <w:lang w:eastAsia="lt-LT"/>
              </w:rPr>
            </w:pPr>
            <w:r w:rsidRPr="00640D24">
              <w:rPr>
                <w:sz w:val="21"/>
                <w:szCs w:val="21"/>
              </w:rPr>
              <w:t xml:space="preserve">50,37 </w:t>
            </w:r>
          </w:p>
        </w:tc>
        <w:tc>
          <w:tcPr>
            <w:tcW w:w="699" w:type="pct"/>
            <w:vMerge/>
            <w:noWrap/>
            <w:vAlign w:val="center"/>
            <w:hideMark/>
          </w:tcPr>
          <w:p w14:paraId="7C39E8DA" w14:textId="7F09FA66" w:rsidR="00374E31" w:rsidRPr="00640D24" w:rsidRDefault="00374E31" w:rsidP="00374E31">
            <w:pPr>
              <w:spacing w:after="0" w:line="240" w:lineRule="auto"/>
              <w:jc w:val="center"/>
              <w:rPr>
                <w:rFonts w:eastAsia="Times New Roman" w:cs="Times New Roman"/>
                <w:b/>
                <w:bCs/>
                <w:sz w:val="21"/>
                <w:szCs w:val="21"/>
                <w:lang w:eastAsia="lt-LT"/>
              </w:rPr>
            </w:pPr>
          </w:p>
        </w:tc>
      </w:tr>
      <w:tr w:rsidR="00374E31" w:rsidRPr="00640D24" w14:paraId="4A97E4AA" w14:textId="77777777" w:rsidTr="002E0743">
        <w:trPr>
          <w:trHeight w:val="580"/>
        </w:trPr>
        <w:tc>
          <w:tcPr>
            <w:tcW w:w="1000" w:type="pct"/>
            <w:vMerge/>
            <w:vAlign w:val="center"/>
            <w:hideMark/>
          </w:tcPr>
          <w:p w14:paraId="20A40688" w14:textId="24EE8C4D" w:rsidR="00374E31" w:rsidRPr="00640D24" w:rsidRDefault="00374E31" w:rsidP="00536FE5">
            <w:pPr>
              <w:spacing w:after="0" w:line="240" w:lineRule="auto"/>
              <w:rPr>
                <w:rFonts w:eastAsia="Times New Roman" w:cs="Times New Roman"/>
                <w:sz w:val="21"/>
                <w:szCs w:val="21"/>
                <w:lang w:eastAsia="lt-LT"/>
              </w:rPr>
            </w:pPr>
          </w:p>
        </w:tc>
        <w:tc>
          <w:tcPr>
            <w:tcW w:w="1861" w:type="pct"/>
            <w:vMerge w:val="restart"/>
            <w:shd w:val="clear" w:color="auto" w:fill="auto"/>
            <w:vAlign w:val="center"/>
            <w:hideMark/>
          </w:tcPr>
          <w:p w14:paraId="4F9B5CE2" w14:textId="56FCCFAC" w:rsidR="00374E31" w:rsidRPr="00640D24" w:rsidRDefault="00374E31" w:rsidP="00F801C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Sudaryti sąlygas tvariai pramonės transformacijai</w:t>
            </w:r>
          </w:p>
        </w:tc>
        <w:tc>
          <w:tcPr>
            <w:tcW w:w="720" w:type="pct"/>
            <w:shd w:val="clear" w:color="auto" w:fill="auto"/>
            <w:vAlign w:val="center"/>
            <w:hideMark/>
          </w:tcPr>
          <w:p w14:paraId="16471CE6" w14:textId="77777777" w:rsidR="00374E31" w:rsidRPr="00640D24" w:rsidRDefault="00374E31" w:rsidP="00F801C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ES SF</w:t>
            </w:r>
          </w:p>
        </w:tc>
        <w:tc>
          <w:tcPr>
            <w:tcW w:w="720" w:type="pct"/>
            <w:shd w:val="clear" w:color="auto" w:fill="auto"/>
            <w:noWrap/>
            <w:vAlign w:val="center"/>
            <w:hideMark/>
          </w:tcPr>
          <w:p w14:paraId="239C0068" w14:textId="3BB7D592" w:rsidR="00374E31" w:rsidRPr="00640D24" w:rsidRDefault="00374E31" w:rsidP="00536FE5">
            <w:pPr>
              <w:spacing w:after="0" w:line="240" w:lineRule="auto"/>
              <w:jc w:val="center"/>
              <w:rPr>
                <w:rFonts w:eastAsia="Times New Roman" w:cs="Times New Roman"/>
                <w:sz w:val="20"/>
                <w:szCs w:val="20"/>
                <w:lang w:eastAsia="lt-LT"/>
              </w:rPr>
            </w:pPr>
            <w:r w:rsidRPr="00640D24">
              <w:rPr>
                <w:rFonts w:cs="Times New Roman"/>
                <w:color w:val="000000"/>
                <w:sz w:val="20"/>
                <w:szCs w:val="20"/>
              </w:rPr>
              <w:t>38,48</w:t>
            </w:r>
          </w:p>
        </w:tc>
        <w:tc>
          <w:tcPr>
            <w:tcW w:w="699" w:type="pct"/>
            <w:vMerge/>
            <w:vAlign w:val="center"/>
            <w:hideMark/>
          </w:tcPr>
          <w:p w14:paraId="32C855FF" w14:textId="77777777" w:rsidR="00374E31" w:rsidRPr="00640D24" w:rsidRDefault="00374E31" w:rsidP="00374E31">
            <w:pPr>
              <w:spacing w:after="0" w:line="240" w:lineRule="auto"/>
              <w:jc w:val="center"/>
              <w:rPr>
                <w:rFonts w:eastAsia="Times New Roman" w:cs="Times New Roman"/>
                <w:b/>
                <w:bCs/>
                <w:sz w:val="21"/>
                <w:szCs w:val="21"/>
                <w:lang w:eastAsia="lt-LT"/>
              </w:rPr>
            </w:pPr>
          </w:p>
        </w:tc>
      </w:tr>
      <w:tr w:rsidR="00374E31" w:rsidRPr="00640D24" w14:paraId="3E188193" w14:textId="77777777" w:rsidTr="002E0743">
        <w:trPr>
          <w:trHeight w:val="580"/>
        </w:trPr>
        <w:tc>
          <w:tcPr>
            <w:tcW w:w="1000" w:type="pct"/>
            <w:vMerge/>
            <w:vAlign w:val="center"/>
          </w:tcPr>
          <w:p w14:paraId="54E30CAD" w14:textId="50EBB71A" w:rsidR="00374E31" w:rsidRPr="00640D24" w:rsidRDefault="00374E31" w:rsidP="00536FE5">
            <w:pPr>
              <w:spacing w:after="0" w:line="240" w:lineRule="auto"/>
              <w:rPr>
                <w:rFonts w:eastAsia="Times New Roman" w:cs="Times New Roman"/>
                <w:sz w:val="21"/>
                <w:szCs w:val="21"/>
                <w:lang w:eastAsia="lt-LT"/>
              </w:rPr>
            </w:pPr>
          </w:p>
        </w:tc>
        <w:tc>
          <w:tcPr>
            <w:tcW w:w="1861" w:type="pct"/>
            <w:vMerge/>
            <w:vAlign w:val="center"/>
          </w:tcPr>
          <w:p w14:paraId="256A3499" w14:textId="77777777" w:rsidR="00374E31" w:rsidRPr="00640D24" w:rsidRDefault="00374E31" w:rsidP="00F801C5">
            <w:pPr>
              <w:spacing w:after="0" w:line="240" w:lineRule="auto"/>
              <w:rPr>
                <w:rFonts w:eastAsia="Times New Roman" w:cs="Times New Roman"/>
                <w:sz w:val="21"/>
                <w:szCs w:val="21"/>
                <w:lang w:eastAsia="lt-LT"/>
              </w:rPr>
            </w:pPr>
          </w:p>
        </w:tc>
        <w:tc>
          <w:tcPr>
            <w:tcW w:w="720" w:type="pct"/>
            <w:shd w:val="clear" w:color="auto" w:fill="auto"/>
            <w:vAlign w:val="center"/>
          </w:tcPr>
          <w:p w14:paraId="76708CB3" w14:textId="2A22ABE9" w:rsidR="00374E31" w:rsidRPr="00640D24" w:rsidRDefault="00374E31" w:rsidP="00F801C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NK</w:t>
            </w:r>
          </w:p>
        </w:tc>
        <w:tc>
          <w:tcPr>
            <w:tcW w:w="720" w:type="pct"/>
            <w:shd w:val="clear" w:color="auto" w:fill="auto"/>
            <w:noWrap/>
            <w:vAlign w:val="center"/>
          </w:tcPr>
          <w:p w14:paraId="56D294EE" w14:textId="0CC4546E" w:rsidR="00374E31" w:rsidRPr="00640D24" w:rsidRDefault="00374E31" w:rsidP="00536FE5">
            <w:pPr>
              <w:spacing w:after="0" w:line="240" w:lineRule="auto"/>
              <w:jc w:val="center"/>
              <w:rPr>
                <w:rFonts w:cs="Times New Roman"/>
                <w:color w:val="000000"/>
                <w:sz w:val="20"/>
                <w:szCs w:val="20"/>
              </w:rPr>
            </w:pPr>
            <w:r w:rsidRPr="00640D24">
              <w:rPr>
                <w:rFonts w:cs="Times New Roman"/>
                <w:color w:val="000000"/>
                <w:sz w:val="20"/>
                <w:szCs w:val="20"/>
              </w:rPr>
              <w:t>6,79</w:t>
            </w:r>
          </w:p>
        </w:tc>
        <w:tc>
          <w:tcPr>
            <w:tcW w:w="699" w:type="pct"/>
            <w:vMerge/>
            <w:vAlign w:val="center"/>
          </w:tcPr>
          <w:p w14:paraId="67A8497F" w14:textId="77777777" w:rsidR="00374E31" w:rsidRPr="00640D24" w:rsidRDefault="00374E31" w:rsidP="00374E31">
            <w:pPr>
              <w:spacing w:after="0" w:line="240" w:lineRule="auto"/>
              <w:jc w:val="center"/>
              <w:rPr>
                <w:rFonts w:eastAsia="Times New Roman" w:cs="Times New Roman"/>
                <w:b/>
                <w:bCs/>
                <w:sz w:val="21"/>
                <w:szCs w:val="21"/>
                <w:lang w:eastAsia="lt-LT"/>
              </w:rPr>
            </w:pPr>
          </w:p>
        </w:tc>
      </w:tr>
      <w:tr w:rsidR="00374E31" w:rsidRPr="00640D24" w14:paraId="488DE017" w14:textId="77777777" w:rsidTr="002E0743">
        <w:trPr>
          <w:trHeight w:val="580"/>
        </w:trPr>
        <w:tc>
          <w:tcPr>
            <w:tcW w:w="1000" w:type="pct"/>
            <w:vMerge/>
            <w:vAlign w:val="center"/>
            <w:hideMark/>
          </w:tcPr>
          <w:p w14:paraId="402C1D1B" w14:textId="432370AD" w:rsidR="00374E31" w:rsidRPr="00640D24" w:rsidRDefault="00374E31" w:rsidP="00536FE5">
            <w:pPr>
              <w:spacing w:after="0" w:line="240" w:lineRule="auto"/>
              <w:rPr>
                <w:rFonts w:eastAsia="Times New Roman" w:cs="Times New Roman"/>
                <w:sz w:val="21"/>
                <w:szCs w:val="21"/>
                <w:lang w:eastAsia="lt-LT"/>
              </w:rPr>
            </w:pPr>
          </w:p>
        </w:tc>
        <w:tc>
          <w:tcPr>
            <w:tcW w:w="1861" w:type="pct"/>
            <w:vMerge w:val="restart"/>
            <w:shd w:val="clear" w:color="auto" w:fill="auto"/>
            <w:vAlign w:val="center"/>
            <w:hideMark/>
          </w:tcPr>
          <w:p w14:paraId="77657C5B" w14:textId="77777777" w:rsidR="00374E31" w:rsidRPr="00640D24" w:rsidRDefault="00374E31" w:rsidP="00F801C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Skatinti pradedančiųjų SVV subjektų kūrimąsi, augimą ir plėtrą</w:t>
            </w:r>
          </w:p>
        </w:tc>
        <w:tc>
          <w:tcPr>
            <w:tcW w:w="720" w:type="pct"/>
            <w:shd w:val="clear" w:color="auto" w:fill="auto"/>
            <w:vAlign w:val="center"/>
            <w:hideMark/>
          </w:tcPr>
          <w:p w14:paraId="0B60B050" w14:textId="77777777" w:rsidR="00374E31" w:rsidRPr="00640D24" w:rsidRDefault="00374E31" w:rsidP="00F801C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ES SF</w:t>
            </w:r>
          </w:p>
        </w:tc>
        <w:tc>
          <w:tcPr>
            <w:tcW w:w="720" w:type="pct"/>
            <w:shd w:val="clear" w:color="auto" w:fill="auto"/>
            <w:noWrap/>
            <w:vAlign w:val="center"/>
            <w:hideMark/>
          </w:tcPr>
          <w:p w14:paraId="116486FA" w14:textId="168924F2" w:rsidR="00374E31" w:rsidRPr="00640D24" w:rsidRDefault="00374E31" w:rsidP="00536FE5">
            <w:pPr>
              <w:spacing w:after="0" w:line="240" w:lineRule="auto"/>
              <w:jc w:val="center"/>
              <w:rPr>
                <w:rFonts w:eastAsia="Times New Roman" w:cs="Times New Roman"/>
                <w:sz w:val="20"/>
                <w:szCs w:val="20"/>
                <w:lang w:eastAsia="lt-LT"/>
              </w:rPr>
            </w:pPr>
            <w:r w:rsidRPr="00640D24">
              <w:rPr>
                <w:rFonts w:cs="Times New Roman"/>
                <w:color w:val="000000"/>
                <w:sz w:val="20"/>
                <w:szCs w:val="20"/>
              </w:rPr>
              <w:t>13,04</w:t>
            </w:r>
          </w:p>
        </w:tc>
        <w:tc>
          <w:tcPr>
            <w:tcW w:w="699" w:type="pct"/>
            <w:vMerge/>
            <w:vAlign w:val="center"/>
            <w:hideMark/>
          </w:tcPr>
          <w:p w14:paraId="589ADFF0" w14:textId="77777777" w:rsidR="00374E31" w:rsidRPr="00640D24" w:rsidRDefault="00374E31" w:rsidP="00374E31">
            <w:pPr>
              <w:spacing w:after="0" w:line="240" w:lineRule="auto"/>
              <w:jc w:val="center"/>
              <w:rPr>
                <w:rFonts w:eastAsia="Times New Roman" w:cs="Times New Roman"/>
                <w:b/>
                <w:bCs/>
                <w:sz w:val="21"/>
                <w:szCs w:val="21"/>
                <w:lang w:eastAsia="lt-LT"/>
              </w:rPr>
            </w:pPr>
          </w:p>
        </w:tc>
      </w:tr>
      <w:tr w:rsidR="00374E31" w:rsidRPr="00640D24" w14:paraId="6916A72B" w14:textId="77777777" w:rsidTr="002E0743">
        <w:trPr>
          <w:trHeight w:val="580"/>
        </w:trPr>
        <w:tc>
          <w:tcPr>
            <w:tcW w:w="1000" w:type="pct"/>
            <w:vMerge/>
            <w:vAlign w:val="center"/>
          </w:tcPr>
          <w:p w14:paraId="0140F90E" w14:textId="3EAA9482" w:rsidR="00374E31" w:rsidRPr="00640D24" w:rsidRDefault="00374E31" w:rsidP="00536FE5">
            <w:pPr>
              <w:spacing w:after="0" w:line="240" w:lineRule="auto"/>
              <w:rPr>
                <w:rFonts w:eastAsia="Times New Roman" w:cs="Times New Roman"/>
                <w:sz w:val="21"/>
                <w:szCs w:val="21"/>
                <w:lang w:eastAsia="lt-LT"/>
              </w:rPr>
            </w:pPr>
          </w:p>
        </w:tc>
        <w:tc>
          <w:tcPr>
            <w:tcW w:w="1861" w:type="pct"/>
            <w:vMerge/>
            <w:vAlign w:val="center"/>
          </w:tcPr>
          <w:p w14:paraId="349F47C8" w14:textId="77777777" w:rsidR="00374E31" w:rsidRPr="00640D24" w:rsidRDefault="00374E31" w:rsidP="00F801C5">
            <w:pPr>
              <w:spacing w:after="0" w:line="240" w:lineRule="auto"/>
              <w:rPr>
                <w:rFonts w:eastAsia="Times New Roman" w:cs="Times New Roman"/>
                <w:sz w:val="21"/>
                <w:szCs w:val="21"/>
                <w:lang w:eastAsia="lt-LT"/>
              </w:rPr>
            </w:pPr>
          </w:p>
        </w:tc>
        <w:tc>
          <w:tcPr>
            <w:tcW w:w="720" w:type="pct"/>
            <w:shd w:val="clear" w:color="auto" w:fill="auto"/>
            <w:vAlign w:val="center"/>
          </w:tcPr>
          <w:p w14:paraId="5D919840" w14:textId="3365B872" w:rsidR="00374E31" w:rsidRPr="00640D24" w:rsidRDefault="00374E31" w:rsidP="00F801C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NK</w:t>
            </w:r>
          </w:p>
        </w:tc>
        <w:tc>
          <w:tcPr>
            <w:tcW w:w="720" w:type="pct"/>
            <w:shd w:val="clear" w:color="auto" w:fill="auto"/>
            <w:noWrap/>
            <w:vAlign w:val="center"/>
          </w:tcPr>
          <w:p w14:paraId="358AB75D" w14:textId="052BBCCB" w:rsidR="00374E31" w:rsidRPr="00640D24" w:rsidRDefault="00374E31" w:rsidP="00536FE5">
            <w:pPr>
              <w:spacing w:after="0" w:line="240" w:lineRule="auto"/>
              <w:jc w:val="center"/>
              <w:rPr>
                <w:rFonts w:cs="Times New Roman"/>
                <w:color w:val="000000"/>
                <w:sz w:val="20"/>
                <w:szCs w:val="20"/>
              </w:rPr>
            </w:pPr>
            <w:r w:rsidRPr="00640D24">
              <w:rPr>
                <w:rFonts w:cs="Times New Roman"/>
                <w:color w:val="000000"/>
                <w:sz w:val="20"/>
                <w:szCs w:val="20"/>
              </w:rPr>
              <w:t>2,30</w:t>
            </w:r>
          </w:p>
        </w:tc>
        <w:tc>
          <w:tcPr>
            <w:tcW w:w="699" w:type="pct"/>
            <w:vMerge/>
            <w:vAlign w:val="center"/>
          </w:tcPr>
          <w:p w14:paraId="25A9405B" w14:textId="77777777" w:rsidR="00374E31" w:rsidRPr="00640D24" w:rsidRDefault="00374E31" w:rsidP="00374E31">
            <w:pPr>
              <w:spacing w:after="0" w:line="240" w:lineRule="auto"/>
              <w:jc w:val="center"/>
              <w:rPr>
                <w:rFonts w:eastAsia="Times New Roman" w:cs="Times New Roman"/>
                <w:b/>
                <w:bCs/>
                <w:sz w:val="21"/>
                <w:szCs w:val="21"/>
                <w:lang w:eastAsia="lt-LT"/>
              </w:rPr>
            </w:pPr>
          </w:p>
        </w:tc>
      </w:tr>
      <w:tr w:rsidR="00374E31" w:rsidRPr="00640D24" w14:paraId="5CB761A7" w14:textId="77777777" w:rsidTr="002E0743">
        <w:trPr>
          <w:trHeight w:val="580"/>
        </w:trPr>
        <w:tc>
          <w:tcPr>
            <w:tcW w:w="1000" w:type="pct"/>
            <w:vMerge/>
            <w:vAlign w:val="center"/>
            <w:hideMark/>
          </w:tcPr>
          <w:p w14:paraId="05DAAD66" w14:textId="19201522" w:rsidR="00374E31" w:rsidRPr="00640D24" w:rsidRDefault="00374E31" w:rsidP="00536FE5">
            <w:pPr>
              <w:spacing w:after="0" w:line="240" w:lineRule="auto"/>
              <w:rPr>
                <w:rFonts w:eastAsia="Times New Roman" w:cs="Times New Roman"/>
                <w:sz w:val="21"/>
                <w:szCs w:val="21"/>
                <w:lang w:eastAsia="lt-LT"/>
              </w:rPr>
            </w:pPr>
          </w:p>
        </w:tc>
        <w:tc>
          <w:tcPr>
            <w:tcW w:w="1861" w:type="pct"/>
            <w:vMerge w:val="restart"/>
            <w:shd w:val="clear" w:color="auto" w:fill="auto"/>
            <w:vAlign w:val="center"/>
            <w:hideMark/>
          </w:tcPr>
          <w:p w14:paraId="313AC9C5" w14:textId="7A277787" w:rsidR="00374E31" w:rsidRPr="00640D24" w:rsidRDefault="00374E31" w:rsidP="00F801C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 xml:space="preserve">Skatinti aukštą pridėtinę vertę kuriančių pramonės  įmonių gamybos  procesų </w:t>
            </w:r>
            <w:proofErr w:type="spellStart"/>
            <w:r w:rsidRPr="00640D24">
              <w:rPr>
                <w:rFonts w:eastAsia="Times New Roman" w:cs="Times New Roman"/>
                <w:sz w:val="21"/>
                <w:szCs w:val="21"/>
                <w:lang w:eastAsia="lt-LT"/>
              </w:rPr>
              <w:t>skaitmeninimą</w:t>
            </w:r>
            <w:proofErr w:type="spellEnd"/>
          </w:p>
        </w:tc>
        <w:tc>
          <w:tcPr>
            <w:tcW w:w="720" w:type="pct"/>
            <w:shd w:val="clear" w:color="auto" w:fill="auto"/>
            <w:vAlign w:val="center"/>
            <w:hideMark/>
          </w:tcPr>
          <w:p w14:paraId="375B4862" w14:textId="77777777" w:rsidR="00374E31" w:rsidRPr="00640D24" w:rsidRDefault="00374E31" w:rsidP="00F801C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ES SF</w:t>
            </w:r>
          </w:p>
        </w:tc>
        <w:tc>
          <w:tcPr>
            <w:tcW w:w="720" w:type="pct"/>
            <w:shd w:val="clear" w:color="auto" w:fill="auto"/>
            <w:noWrap/>
            <w:vAlign w:val="center"/>
            <w:hideMark/>
          </w:tcPr>
          <w:p w14:paraId="4B84E0B2" w14:textId="57216409" w:rsidR="00374E31" w:rsidRPr="00640D24" w:rsidRDefault="00374E31" w:rsidP="00536FE5">
            <w:pPr>
              <w:spacing w:after="0" w:line="240" w:lineRule="auto"/>
              <w:jc w:val="center"/>
              <w:rPr>
                <w:rFonts w:eastAsia="Times New Roman" w:cs="Times New Roman"/>
                <w:sz w:val="20"/>
                <w:szCs w:val="20"/>
                <w:lang w:eastAsia="lt-LT"/>
              </w:rPr>
            </w:pPr>
            <w:r w:rsidRPr="00640D24">
              <w:rPr>
                <w:rFonts w:cs="Times New Roman"/>
                <w:color w:val="000000"/>
                <w:sz w:val="20"/>
                <w:szCs w:val="20"/>
              </w:rPr>
              <w:t>48,21</w:t>
            </w:r>
          </w:p>
        </w:tc>
        <w:tc>
          <w:tcPr>
            <w:tcW w:w="699" w:type="pct"/>
            <w:vMerge/>
            <w:vAlign w:val="center"/>
            <w:hideMark/>
          </w:tcPr>
          <w:p w14:paraId="43ACF171" w14:textId="77777777" w:rsidR="00374E31" w:rsidRPr="00640D24" w:rsidRDefault="00374E31" w:rsidP="00374E31">
            <w:pPr>
              <w:spacing w:after="0" w:line="240" w:lineRule="auto"/>
              <w:jc w:val="center"/>
              <w:rPr>
                <w:rFonts w:eastAsia="Times New Roman" w:cs="Times New Roman"/>
                <w:b/>
                <w:bCs/>
                <w:sz w:val="21"/>
                <w:szCs w:val="21"/>
                <w:lang w:eastAsia="lt-LT"/>
              </w:rPr>
            </w:pPr>
          </w:p>
        </w:tc>
      </w:tr>
      <w:tr w:rsidR="00374E31" w:rsidRPr="00640D24" w14:paraId="0780AE56" w14:textId="77777777" w:rsidTr="002E0743">
        <w:trPr>
          <w:trHeight w:val="580"/>
        </w:trPr>
        <w:tc>
          <w:tcPr>
            <w:tcW w:w="1000" w:type="pct"/>
            <w:vMerge/>
            <w:vAlign w:val="center"/>
          </w:tcPr>
          <w:p w14:paraId="1CD5826A" w14:textId="26405B03" w:rsidR="00374E31" w:rsidRPr="00640D24" w:rsidRDefault="00374E31" w:rsidP="00536FE5">
            <w:pPr>
              <w:spacing w:after="0" w:line="240" w:lineRule="auto"/>
              <w:rPr>
                <w:rFonts w:eastAsia="Times New Roman" w:cs="Times New Roman"/>
                <w:sz w:val="21"/>
                <w:szCs w:val="21"/>
                <w:lang w:eastAsia="lt-LT"/>
              </w:rPr>
            </w:pPr>
          </w:p>
        </w:tc>
        <w:tc>
          <w:tcPr>
            <w:tcW w:w="1861" w:type="pct"/>
            <w:vMerge/>
            <w:vAlign w:val="center"/>
          </w:tcPr>
          <w:p w14:paraId="45F8EBA2" w14:textId="77777777" w:rsidR="00374E31" w:rsidRPr="00640D24" w:rsidRDefault="00374E31" w:rsidP="00F801C5">
            <w:pPr>
              <w:spacing w:after="0" w:line="240" w:lineRule="auto"/>
              <w:rPr>
                <w:rFonts w:eastAsia="Times New Roman" w:cs="Times New Roman"/>
                <w:sz w:val="21"/>
                <w:szCs w:val="21"/>
                <w:lang w:eastAsia="lt-LT"/>
              </w:rPr>
            </w:pPr>
          </w:p>
        </w:tc>
        <w:tc>
          <w:tcPr>
            <w:tcW w:w="720" w:type="pct"/>
            <w:shd w:val="clear" w:color="auto" w:fill="auto"/>
            <w:vAlign w:val="center"/>
          </w:tcPr>
          <w:p w14:paraId="7974787F" w14:textId="638BED49" w:rsidR="00374E31" w:rsidRPr="00640D24" w:rsidRDefault="00374E31" w:rsidP="00F801C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NK</w:t>
            </w:r>
          </w:p>
        </w:tc>
        <w:tc>
          <w:tcPr>
            <w:tcW w:w="720" w:type="pct"/>
            <w:shd w:val="clear" w:color="auto" w:fill="auto"/>
            <w:noWrap/>
            <w:vAlign w:val="center"/>
          </w:tcPr>
          <w:p w14:paraId="043F8764" w14:textId="220ABCC8" w:rsidR="00374E31" w:rsidRPr="00640D24" w:rsidRDefault="00374E31" w:rsidP="00536FE5">
            <w:pPr>
              <w:spacing w:after="0" w:line="240" w:lineRule="auto"/>
              <w:jc w:val="center"/>
              <w:rPr>
                <w:rFonts w:cs="Times New Roman"/>
                <w:color w:val="000000"/>
                <w:sz w:val="20"/>
                <w:szCs w:val="20"/>
              </w:rPr>
            </w:pPr>
            <w:r w:rsidRPr="00640D24">
              <w:rPr>
                <w:rFonts w:cs="Times New Roman"/>
                <w:color w:val="000000"/>
                <w:sz w:val="20"/>
                <w:szCs w:val="20"/>
              </w:rPr>
              <w:t>48,21</w:t>
            </w:r>
          </w:p>
        </w:tc>
        <w:tc>
          <w:tcPr>
            <w:tcW w:w="699" w:type="pct"/>
            <w:vMerge/>
            <w:vAlign w:val="center"/>
          </w:tcPr>
          <w:p w14:paraId="1439C67F" w14:textId="77777777" w:rsidR="00374E31" w:rsidRPr="00640D24" w:rsidRDefault="00374E31" w:rsidP="00374E31">
            <w:pPr>
              <w:spacing w:after="0" w:line="240" w:lineRule="auto"/>
              <w:jc w:val="center"/>
              <w:rPr>
                <w:rFonts w:eastAsia="Times New Roman" w:cs="Times New Roman"/>
                <w:b/>
                <w:bCs/>
                <w:sz w:val="21"/>
                <w:szCs w:val="21"/>
                <w:lang w:eastAsia="lt-LT"/>
              </w:rPr>
            </w:pPr>
          </w:p>
        </w:tc>
      </w:tr>
      <w:tr w:rsidR="00374E31" w:rsidRPr="00640D24" w14:paraId="700BCE82" w14:textId="77777777" w:rsidTr="002E0743">
        <w:trPr>
          <w:trHeight w:val="532"/>
        </w:trPr>
        <w:tc>
          <w:tcPr>
            <w:tcW w:w="1000" w:type="pct"/>
            <w:vMerge/>
            <w:vAlign w:val="center"/>
            <w:hideMark/>
          </w:tcPr>
          <w:p w14:paraId="022A2933" w14:textId="08943E6E" w:rsidR="00374E31" w:rsidRPr="00640D24" w:rsidRDefault="00374E31" w:rsidP="00536FE5">
            <w:pPr>
              <w:spacing w:after="0" w:line="240" w:lineRule="auto"/>
              <w:rPr>
                <w:rFonts w:eastAsia="Times New Roman" w:cs="Times New Roman"/>
                <w:sz w:val="21"/>
                <w:szCs w:val="21"/>
                <w:lang w:eastAsia="lt-LT"/>
              </w:rPr>
            </w:pPr>
          </w:p>
        </w:tc>
        <w:tc>
          <w:tcPr>
            <w:tcW w:w="1861" w:type="pct"/>
            <w:vMerge w:val="restart"/>
            <w:shd w:val="clear" w:color="auto" w:fill="auto"/>
            <w:vAlign w:val="center"/>
            <w:hideMark/>
          </w:tcPr>
          <w:p w14:paraId="267B41BA" w14:textId="77777777" w:rsidR="00374E31" w:rsidRPr="00640D24" w:rsidRDefault="00374E31" w:rsidP="00536FE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Skatinti trumpų vertės kūrimo grandinių formavimąsi ir plėtrą tarp MVĮ Vidurio ir Vakarų Lietuvos regionuose</w:t>
            </w:r>
          </w:p>
        </w:tc>
        <w:tc>
          <w:tcPr>
            <w:tcW w:w="720" w:type="pct"/>
            <w:shd w:val="clear" w:color="auto" w:fill="auto"/>
            <w:vAlign w:val="center"/>
            <w:hideMark/>
          </w:tcPr>
          <w:p w14:paraId="619538E3" w14:textId="77777777" w:rsidR="00374E31" w:rsidRPr="00640D24" w:rsidRDefault="00374E31" w:rsidP="00536FE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ES SF</w:t>
            </w:r>
          </w:p>
        </w:tc>
        <w:tc>
          <w:tcPr>
            <w:tcW w:w="720" w:type="pct"/>
            <w:shd w:val="clear" w:color="auto" w:fill="auto"/>
            <w:noWrap/>
            <w:vAlign w:val="center"/>
            <w:hideMark/>
          </w:tcPr>
          <w:p w14:paraId="0A1FD69C" w14:textId="3A9163E8" w:rsidR="00374E31" w:rsidRPr="00640D24" w:rsidRDefault="00374E31" w:rsidP="00536FE5">
            <w:pPr>
              <w:spacing w:after="0" w:line="240" w:lineRule="auto"/>
              <w:jc w:val="center"/>
              <w:rPr>
                <w:rFonts w:eastAsia="Times New Roman" w:cs="Times New Roman"/>
                <w:sz w:val="20"/>
                <w:szCs w:val="20"/>
                <w:lang w:eastAsia="lt-LT"/>
              </w:rPr>
            </w:pPr>
            <w:r w:rsidRPr="00640D24">
              <w:rPr>
                <w:rFonts w:cs="Times New Roman"/>
                <w:color w:val="000000"/>
                <w:sz w:val="20"/>
                <w:szCs w:val="20"/>
              </w:rPr>
              <w:t>23,02</w:t>
            </w:r>
          </w:p>
        </w:tc>
        <w:tc>
          <w:tcPr>
            <w:tcW w:w="699" w:type="pct"/>
            <w:vMerge/>
            <w:noWrap/>
            <w:vAlign w:val="center"/>
            <w:hideMark/>
          </w:tcPr>
          <w:p w14:paraId="0278D18D" w14:textId="5EFBE6B6" w:rsidR="00374E31" w:rsidRPr="00640D24" w:rsidRDefault="00374E31" w:rsidP="00374E31">
            <w:pPr>
              <w:spacing w:after="0" w:line="240" w:lineRule="auto"/>
              <w:jc w:val="center"/>
              <w:rPr>
                <w:rFonts w:eastAsia="Times New Roman" w:cs="Times New Roman"/>
                <w:b/>
                <w:bCs/>
                <w:sz w:val="21"/>
                <w:szCs w:val="21"/>
                <w:lang w:eastAsia="lt-LT"/>
              </w:rPr>
            </w:pPr>
          </w:p>
        </w:tc>
      </w:tr>
      <w:tr w:rsidR="00374E31" w:rsidRPr="00640D24" w14:paraId="5E664590" w14:textId="77777777" w:rsidTr="002E0743">
        <w:trPr>
          <w:trHeight w:val="359"/>
        </w:trPr>
        <w:tc>
          <w:tcPr>
            <w:tcW w:w="1000" w:type="pct"/>
            <w:vMerge/>
            <w:vAlign w:val="center"/>
          </w:tcPr>
          <w:p w14:paraId="120E3F5F" w14:textId="77777777" w:rsidR="00374E31" w:rsidRPr="00640D24" w:rsidRDefault="00374E31" w:rsidP="00536FE5">
            <w:pPr>
              <w:spacing w:after="0" w:line="240" w:lineRule="auto"/>
              <w:rPr>
                <w:rFonts w:eastAsia="Times New Roman" w:cs="Times New Roman"/>
                <w:sz w:val="21"/>
                <w:szCs w:val="21"/>
                <w:lang w:eastAsia="lt-LT"/>
              </w:rPr>
            </w:pPr>
          </w:p>
        </w:tc>
        <w:tc>
          <w:tcPr>
            <w:tcW w:w="1861" w:type="pct"/>
            <w:vMerge/>
            <w:vAlign w:val="center"/>
          </w:tcPr>
          <w:p w14:paraId="47A1CBF2" w14:textId="77777777" w:rsidR="00374E31" w:rsidRPr="00640D24" w:rsidRDefault="00374E31" w:rsidP="00536FE5">
            <w:pPr>
              <w:spacing w:after="0" w:line="240" w:lineRule="auto"/>
              <w:rPr>
                <w:rFonts w:eastAsia="Times New Roman" w:cs="Times New Roman"/>
                <w:sz w:val="21"/>
                <w:szCs w:val="21"/>
                <w:lang w:eastAsia="lt-LT"/>
              </w:rPr>
            </w:pPr>
          </w:p>
        </w:tc>
        <w:tc>
          <w:tcPr>
            <w:tcW w:w="720" w:type="pct"/>
            <w:shd w:val="clear" w:color="auto" w:fill="auto"/>
            <w:vAlign w:val="center"/>
          </w:tcPr>
          <w:p w14:paraId="2519D1BE" w14:textId="3AE1E9DE" w:rsidR="00374E31" w:rsidRPr="00640D24" w:rsidRDefault="00374E31" w:rsidP="00536FE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NK</w:t>
            </w:r>
          </w:p>
        </w:tc>
        <w:tc>
          <w:tcPr>
            <w:tcW w:w="720" w:type="pct"/>
            <w:shd w:val="clear" w:color="auto" w:fill="auto"/>
            <w:noWrap/>
            <w:vAlign w:val="center"/>
          </w:tcPr>
          <w:p w14:paraId="6A901CCB" w14:textId="150C08EE" w:rsidR="00374E31" w:rsidRPr="00640D24" w:rsidRDefault="00374E31" w:rsidP="00536FE5">
            <w:pPr>
              <w:spacing w:after="0" w:line="240" w:lineRule="auto"/>
              <w:jc w:val="center"/>
              <w:rPr>
                <w:rFonts w:cs="Times New Roman"/>
                <w:color w:val="000000"/>
                <w:sz w:val="20"/>
                <w:szCs w:val="20"/>
              </w:rPr>
            </w:pPr>
            <w:r w:rsidRPr="00640D24">
              <w:rPr>
                <w:rFonts w:cs="Times New Roman"/>
                <w:color w:val="000000"/>
                <w:sz w:val="20"/>
                <w:szCs w:val="20"/>
              </w:rPr>
              <w:t>4,06</w:t>
            </w:r>
          </w:p>
        </w:tc>
        <w:tc>
          <w:tcPr>
            <w:tcW w:w="699" w:type="pct"/>
            <w:vMerge/>
            <w:noWrap/>
            <w:vAlign w:val="center"/>
          </w:tcPr>
          <w:p w14:paraId="35AD8F7C" w14:textId="77777777" w:rsidR="00374E31" w:rsidRPr="00640D24" w:rsidRDefault="00374E31" w:rsidP="00536FE5">
            <w:pPr>
              <w:spacing w:after="0" w:line="240" w:lineRule="auto"/>
              <w:jc w:val="center"/>
              <w:rPr>
                <w:rFonts w:eastAsia="Times New Roman" w:cs="Times New Roman"/>
                <w:b/>
                <w:bCs/>
                <w:sz w:val="21"/>
                <w:szCs w:val="21"/>
                <w:lang w:eastAsia="lt-LT"/>
              </w:rPr>
            </w:pPr>
          </w:p>
        </w:tc>
      </w:tr>
      <w:tr w:rsidR="00374E31" w:rsidRPr="00640D24" w14:paraId="3ECE0550" w14:textId="77777777" w:rsidTr="002E0743">
        <w:trPr>
          <w:trHeight w:val="473"/>
        </w:trPr>
        <w:tc>
          <w:tcPr>
            <w:tcW w:w="1000" w:type="pct"/>
            <w:vMerge/>
            <w:vAlign w:val="center"/>
            <w:hideMark/>
          </w:tcPr>
          <w:p w14:paraId="0FFE4B97" w14:textId="77777777" w:rsidR="00374E31" w:rsidRPr="00640D24" w:rsidRDefault="00374E31" w:rsidP="00F801C5">
            <w:pPr>
              <w:spacing w:after="0" w:line="240" w:lineRule="auto"/>
              <w:rPr>
                <w:rFonts w:eastAsia="Times New Roman" w:cs="Times New Roman"/>
                <w:sz w:val="21"/>
                <w:szCs w:val="21"/>
                <w:lang w:eastAsia="lt-LT"/>
              </w:rPr>
            </w:pPr>
          </w:p>
        </w:tc>
        <w:tc>
          <w:tcPr>
            <w:tcW w:w="1861" w:type="pct"/>
            <w:vMerge w:val="restart"/>
            <w:shd w:val="clear" w:color="auto" w:fill="auto"/>
            <w:vAlign w:val="center"/>
            <w:hideMark/>
          </w:tcPr>
          <w:p w14:paraId="29A69BBA" w14:textId="49CB2D42" w:rsidR="00374E31" w:rsidRPr="00640D24" w:rsidRDefault="00374E31" w:rsidP="00F801C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 xml:space="preserve">Skatinti pramonės įmonių gamybos procesų automatizavimą ir </w:t>
            </w:r>
            <w:proofErr w:type="spellStart"/>
            <w:r w:rsidRPr="00640D24">
              <w:rPr>
                <w:rFonts w:eastAsia="Times New Roman" w:cs="Times New Roman"/>
                <w:sz w:val="21"/>
                <w:szCs w:val="21"/>
                <w:lang w:eastAsia="lt-LT"/>
              </w:rPr>
              <w:t>skaitmeninimo</w:t>
            </w:r>
            <w:proofErr w:type="spellEnd"/>
            <w:r w:rsidRPr="00640D24">
              <w:rPr>
                <w:rFonts w:eastAsia="Times New Roman" w:cs="Times New Roman"/>
                <w:sz w:val="21"/>
                <w:szCs w:val="21"/>
                <w:lang w:eastAsia="lt-LT"/>
              </w:rPr>
              <w:t xml:space="preserve"> technologijų diegimą (pramonės </w:t>
            </w:r>
            <w:proofErr w:type="spellStart"/>
            <w:r w:rsidRPr="00640D24">
              <w:rPr>
                <w:rFonts w:eastAsia="Times New Roman" w:cs="Times New Roman"/>
                <w:sz w:val="21"/>
                <w:szCs w:val="21"/>
                <w:lang w:eastAsia="lt-LT"/>
              </w:rPr>
              <w:t>skaitmeninimas</w:t>
            </w:r>
            <w:proofErr w:type="spellEnd"/>
            <w:r w:rsidRPr="00640D24">
              <w:rPr>
                <w:rFonts w:eastAsia="Times New Roman" w:cs="Times New Roman"/>
                <w:sz w:val="21"/>
                <w:szCs w:val="21"/>
                <w:lang w:eastAsia="lt-LT"/>
              </w:rPr>
              <w:t>)</w:t>
            </w:r>
          </w:p>
        </w:tc>
        <w:tc>
          <w:tcPr>
            <w:tcW w:w="720" w:type="pct"/>
            <w:shd w:val="clear" w:color="auto" w:fill="auto"/>
            <w:vAlign w:val="center"/>
            <w:hideMark/>
          </w:tcPr>
          <w:p w14:paraId="77B0E710" w14:textId="77777777" w:rsidR="00374E31" w:rsidRPr="00640D24" w:rsidRDefault="00374E31" w:rsidP="00F801C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ES SF</w:t>
            </w:r>
          </w:p>
        </w:tc>
        <w:tc>
          <w:tcPr>
            <w:tcW w:w="720" w:type="pct"/>
            <w:shd w:val="clear" w:color="auto" w:fill="auto"/>
            <w:noWrap/>
            <w:vAlign w:val="center"/>
            <w:hideMark/>
          </w:tcPr>
          <w:p w14:paraId="20B4F126" w14:textId="1294292D" w:rsidR="00374E31" w:rsidRPr="00640D24" w:rsidRDefault="00374E31" w:rsidP="00536FE5">
            <w:pPr>
              <w:spacing w:after="0" w:line="240" w:lineRule="auto"/>
              <w:jc w:val="center"/>
              <w:rPr>
                <w:rFonts w:eastAsia="Times New Roman" w:cs="Times New Roman"/>
                <w:sz w:val="20"/>
                <w:szCs w:val="20"/>
                <w:lang w:eastAsia="lt-LT"/>
              </w:rPr>
            </w:pPr>
            <w:r w:rsidRPr="00640D24">
              <w:rPr>
                <w:rFonts w:cs="Times New Roman"/>
                <w:color w:val="000000"/>
                <w:sz w:val="20"/>
                <w:szCs w:val="20"/>
              </w:rPr>
              <w:t xml:space="preserve">40,93 </w:t>
            </w:r>
          </w:p>
        </w:tc>
        <w:tc>
          <w:tcPr>
            <w:tcW w:w="699" w:type="pct"/>
            <w:vMerge/>
            <w:vAlign w:val="center"/>
            <w:hideMark/>
          </w:tcPr>
          <w:p w14:paraId="5893F294" w14:textId="77777777" w:rsidR="00374E31" w:rsidRPr="00640D24" w:rsidRDefault="00374E31" w:rsidP="00536FE5">
            <w:pPr>
              <w:spacing w:after="0" w:line="240" w:lineRule="auto"/>
              <w:jc w:val="center"/>
              <w:rPr>
                <w:rFonts w:eastAsia="Times New Roman" w:cs="Times New Roman"/>
                <w:b/>
                <w:bCs/>
                <w:sz w:val="21"/>
                <w:szCs w:val="21"/>
                <w:lang w:eastAsia="lt-LT"/>
              </w:rPr>
            </w:pPr>
          </w:p>
        </w:tc>
      </w:tr>
      <w:tr w:rsidR="00374E31" w:rsidRPr="00640D24" w14:paraId="14B4B92B" w14:textId="77777777" w:rsidTr="002E0743">
        <w:trPr>
          <w:trHeight w:val="423"/>
        </w:trPr>
        <w:tc>
          <w:tcPr>
            <w:tcW w:w="1000" w:type="pct"/>
            <w:vMerge/>
            <w:vAlign w:val="center"/>
          </w:tcPr>
          <w:p w14:paraId="33CE0F10" w14:textId="77777777" w:rsidR="00374E31" w:rsidRPr="00640D24" w:rsidRDefault="00374E31" w:rsidP="00F801C5">
            <w:pPr>
              <w:spacing w:after="0" w:line="240" w:lineRule="auto"/>
              <w:rPr>
                <w:rFonts w:eastAsia="Times New Roman" w:cs="Times New Roman"/>
                <w:sz w:val="21"/>
                <w:szCs w:val="21"/>
                <w:lang w:eastAsia="lt-LT"/>
              </w:rPr>
            </w:pPr>
          </w:p>
        </w:tc>
        <w:tc>
          <w:tcPr>
            <w:tcW w:w="1861" w:type="pct"/>
            <w:vMerge/>
            <w:vAlign w:val="center"/>
          </w:tcPr>
          <w:p w14:paraId="0324A398" w14:textId="53CD350E" w:rsidR="00374E31" w:rsidRPr="00640D24" w:rsidRDefault="00374E31" w:rsidP="00F801C5">
            <w:pPr>
              <w:spacing w:after="0" w:line="240" w:lineRule="auto"/>
              <w:rPr>
                <w:rFonts w:eastAsia="Times New Roman" w:cs="Times New Roman"/>
                <w:sz w:val="21"/>
                <w:szCs w:val="21"/>
                <w:lang w:eastAsia="lt-LT"/>
              </w:rPr>
            </w:pPr>
          </w:p>
        </w:tc>
        <w:tc>
          <w:tcPr>
            <w:tcW w:w="720" w:type="pct"/>
            <w:shd w:val="clear" w:color="auto" w:fill="auto"/>
            <w:vAlign w:val="center"/>
          </w:tcPr>
          <w:p w14:paraId="2FA4BC56" w14:textId="18ACC358" w:rsidR="00374E31" w:rsidRPr="00640D24" w:rsidRDefault="00374E31" w:rsidP="00F801C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NK</w:t>
            </w:r>
          </w:p>
        </w:tc>
        <w:tc>
          <w:tcPr>
            <w:tcW w:w="720" w:type="pct"/>
            <w:shd w:val="clear" w:color="auto" w:fill="auto"/>
            <w:noWrap/>
            <w:vAlign w:val="center"/>
          </w:tcPr>
          <w:p w14:paraId="5DD9F8F9" w14:textId="58FC61E9" w:rsidR="00374E31" w:rsidRPr="00640D24" w:rsidRDefault="00374E31" w:rsidP="00536FE5">
            <w:pPr>
              <w:spacing w:after="0" w:line="240" w:lineRule="auto"/>
              <w:jc w:val="center"/>
              <w:rPr>
                <w:color w:val="000000"/>
                <w:sz w:val="20"/>
              </w:rPr>
            </w:pPr>
            <w:r w:rsidRPr="00640D24">
              <w:rPr>
                <w:rFonts w:cs="Times New Roman"/>
                <w:color w:val="000000"/>
                <w:sz w:val="20"/>
                <w:szCs w:val="20"/>
              </w:rPr>
              <w:t>7,22</w:t>
            </w:r>
          </w:p>
        </w:tc>
        <w:tc>
          <w:tcPr>
            <w:tcW w:w="699" w:type="pct"/>
            <w:vMerge/>
            <w:vAlign w:val="center"/>
          </w:tcPr>
          <w:p w14:paraId="0E314F1D" w14:textId="77777777" w:rsidR="00374E31" w:rsidRPr="00640D24" w:rsidRDefault="00374E31" w:rsidP="00536FE5">
            <w:pPr>
              <w:spacing w:after="0" w:line="240" w:lineRule="auto"/>
              <w:jc w:val="center"/>
              <w:rPr>
                <w:rFonts w:eastAsia="Times New Roman" w:cs="Times New Roman"/>
                <w:b/>
                <w:bCs/>
                <w:sz w:val="21"/>
                <w:szCs w:val="21"/>
                <w:lang w:eastAsia="lt-LT"/>
              </w:rPr>
            </w:pPr>
          </w:p>
        </w:tc>
      </w:tr>
      <w:tr w:rsidR="006733E9" w:rsidRPr="00640D24" w14:paraId="3657CA79" w14:textId="77777777" w:rsidTr="002E0743">
        <w:trPr>
          <w:trHeight w:val="1012"/>
        </w:trPr>
        <w:tc>
          <w:tcPr>
            <w:tcW w:w="1000" w:type="pct"/>
            <w:vMerge w:val="restart"/>
            <w:shd w:val="clear" w:color="auto" w:fill="auto"/>
            <w:vAlign w:val="center"/>
          </w:tcPr>
          <w:p w14:paraId="7073E76D" w14:textId="68A93BF6" w:rsidR="006733E9" w:rsidRPr="00640D24" w:rsidRDefault="006733E9" w:rsidP="006F5AAF">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INVEGOS tiesioginio skolinio finansavimo FP EGADP</w:t>
            </w:r>
          </w:p>
        </w:tc>
        <w:tc>
          <w:tcPr>
            <w:tcW w:w="1861" w:type="pct"/>
            <w:vMerge w:val="restart"/>
            <w:shd w:val="clear" w:color="auto" w:fill="auto"/>
            <w:vAlign w:val="center"/>
          </w:tcPr>
          <w:p w14:paraId="29822860" w14:textId="1A3C5178" w:rsidR="006733E9" w:rsidRPr="00640D24" w:rsidRDefault="006733E9" w:rsidP="006F5AAF">
            <w:pPr>
              <w:spacing w:after="0" w:line="240" w:lineRule="auto"/>
              <w:rPr>
                <w:rFonts w:eastAsia="Times New Roman" w:cs="Times New Roman"/>
                <w:sz w:val="21"/>
                <w:szCs w:val="21"/>
                <w:lang w:eastAsia="lt-LT"/>
              </w:rPr>
            </w:pPr>
            <w:r w:rsidRPr="00640D24">
              <w:rPr>
                <w:sz w:val="22"/>
                <w:szCs w:val="22"/>
              </w:rPr>
              <w:t>Žaliųjų ir aukštos pridėtinės vertės technologijų vystymas bei gynybos ir saugumo pramonės konkurencingumo didinimas</w:t>
            </w:r>
          </w:p>
        </w:tc>
        <w:tc>
          <w:tcPr>
            <w:tcW w:w="720" w:type="pct"/>
            <w:shd w:val="clear" w:color="auto" w:fill="auto"/>
            <w:vAlign w:val="center"/>
          </w:tcPr>
          <w:p w14:paraId="0153B462" w14:textId="2E995B34" w:rsidR="006733E9" w:rsidRPr="00640D24" w:rsidRDefault="006733E9" w:rsidP="006F5AAF">
            <w:pPr>
              <w:spacing w:after="0" w:line="240" w:lineRule="auto"/>
              <w:rPr>
                <w:rFonts w:eastAsia="Times New Roman" w:cs="Times New Roman"/>
                <w:sz w:val="21"/>
                <w:szCs w:val="21"/>
                <w:lang w:eastAsia="lt-LT"/>
              </w:rPr>
            </w:pPr>
            <w:r w:rsidRPr="00640D24">
              <w:rPr>
                <w:rFonts w:eastAsia="Times New Roman" w:cs="Times New Roman"/>
                <w:color w:val="000000"/>
                <w:sz w:val="21"/>
                <w:szCs w:val="21"/>
              </w:rPr>
              <w:t xml:space="preserve">EGADP </w:t>
            </w:r>
          </w:p>
        </w:tc>
        <w:tc>
          <w:tcPr>
            <w:tcW w:w="720" w:type="pct"/>
            <w:shd w:val="clear" w:color="auto" w:fill="auto"/>
            <w:noWrap/>
            <w:vAlign w:val="center"/>
          </w:tcPr>
          <w:p w14:paraId="033BCE59" w14:textId="4396FBFB" w:rsidR="006733E9" w:rsidRPr="00640D24" w:rsidRDefault="006733E9" w:rsidP="001E0D2C">
            <w:pPr>
              <w:spacing w:after="0" w:line="240" w:lineRule="auto"/>
              <w:jc w:val="center"/>
              <w:rPr>
                <w:rFonts w:cs="Times New Roman"/>
                <w:color w:val="000000"/>
                <w:sz w:val="20"/>
                <w:szCs w:val="20"/>
              </w:rPr>
            </w:pPr>
            <w:r w:rsidRPr="00640D24">
              <w:rPr>
                <w:rFonts w:eastAsia="Times New Roman" w:cs="Times New Roman"/>
                <w:sz w:val="21"/>
                <w:szCs w:val="21"/>
                <w:lang w:eastAsia="lt-LT"/>
              </w:rPr>
              <w:t>944,39</w:t>
            </w:r>
          </w:p>
        </w:tc>
        <w:tc>
          <w:tcPr>
            <w:tcW w:w="699" w:type="pct"/>
            <w:shd w:val="clear" w:color="auto" w:fill="auto"/>
            <w:noWrap/>
            <w:vAlign w:val="center"/>
          </w:tcPr>
          <w:p w14:paraId="2867EF65" w14:textId="23229513" w:rsidR="006733E9" w:rsidRPr="00640D24" w:rsidRDefault="006733E9" w:rsidP="006F5AAF">
            <w:pPr>
              <w:spacing w:after="0" w:line="240" w:lineRule="auto"/>
              <w:jc w:val="center"/>
              <w:rPr>
                <w:rFonts w:eastAsia="Times New Roman" w:cs="Times New Roman"/>
                <w:b/>
                <w:bCs/>
                <w:sz w:val="21"/>
                <w:szCs w:val="21"/>
                <w:lang w:eastAsia="lt-LT"/>
              </w:rPr>
            </w:pPr>
            <w:r w:rsidRPr="00640D24">
              <w:rPr>
                <w:rFonts w:eastAsia="Times New Roman" w:cs="Times New Roman"/>
                <w:b/>
                <w:bCs/>
                <w:sz w:val="21"/>
                <w:szCs w:val="21"/>
                <w:lang w:eastAsia="lt-LT"/>
              </w:rPr>
              <w:t>944,39</w:t>
            </w:r>
          </w:p>
        </w:tc>
      </w:tr>
      <w:tr w:rsidR="006733E9" w:rsidRPr="00640D24" w14:paraId="0AFDF3A9" w14:textId="77777777" w:rsidTr="002E0743">
        <w:trPr>
          <w:trHeight w:val="290"/>
        </w:trPr>
        <w:tc>
          <w:tcPr>
            <w:tcW w:w="1000" w:type="pct"/>
            <w:vMerge/>
            <w:vAlign w:val="center"/>
          </w:tcPr>
          <w:p w14:paraId="4AC8DA3A" w14:textId="77777777" w:rsidR="006733E9" w:rsidRPr="00640D24" w:rsidRDefault="006733E9" w:rsidP="00536FE5">
            <w:pPr>
              <w:spacing w:after="0" w:line="240" w:lineRule="auto"/>
              <w:rPr>
                <w:rFonts w:eastAsia="Times New Roman" w:cs="Times New Roman"/>
                <w:sz w:val="21"/>
                <w:szCs w:val="21"/>
                <w:lang w:eastAsia="lt-LT"/>
              </w:rPr>
            </w:pPr>
          </w:p>
        </w:tc>
        <w:tc>
          <w:tcPr>
            <w:tcW w:w="1861" w:type="pct"/>
            <w:vMerge/>
            <w:vAlign w:val="center"/>
          </w:tcPr>
          <w:p w14:paraId="1668D15E" w14:textId="77777777" w:rsidR="006733E9" w:rsidRPr="00640D24" w:rsidRDefault="006733E9" w:rsidP="00536FE5">
            <w:pPr>
              <w:spacing w:after="0" w:line="240" w:lineRule="auto"/>
              <w:rPr>
                <w:rFonts w:eastAsia="Times New Roman" w:cs="Times New Roman"/>
                <w:sz w:val="21"/>
                <w:szCs w:val="21"/>
                <w:lang w:eastAsia="lt-LT"/>
              </w:rPr>
            </w:pPr>
          </w:p>
        </w:tc>
        <w:tc>
          <w:tcPr>
            <w:tcW w:w="720" w:type="pct"/>
            <w:shd w:val="clear" w:color="auto" w:fill="auto"/>
            <w:vAlign w:val="center"/>
          </w:tcPr>
          <w:p w14:paraId="4E34C503" w14:textId="3A94F83C" w:rsidR="006733E9" w:rsidRPr="00640D24" w:rsidRDefault="006733E9" w:rsidP="00536FE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Kitos</w:t>
            </w:r>
          </w:p>
        </w:tc>
        <w:tc>
          <w:tcPr>
            <w:tcW w:w="720" w:type="pct"/>
            <w:shd w:val="clear" w:color="auto" w:fill="auto"/>
            <w:noWrap/>
            <w:vAlign w:val="center"/>
          </w:tcPr>
          <w:p w14:paraId="5976D0F7" w14:textId="5E3995C5" w:rsidR="006733E9" w:rsidRPr="00640D24" w:rsidRDefault="006733E9" w:rsidP="00536FE5">
            <w:pPr>
              <w:spacing w:after="0" w:line="240" w:lineRule="auto"/>
              <w:jc w:val="center"/>
              <w:rPr>
                <w:rFonts w:cs="Times New Roman"/>
                <w:color w:val="000000"/>
                <w:sz w:val="20"/>
                <w:szCs w:val="20"/>
              </w:rPr>
            </w:pPr>
            <w:r w:rsidRPr="00640D24">
              <w:rPr>
                <w:rFonts w:cs="Times New Roman"/>
                <w:color w:val="000000"/>
                <w:sz w:val="20"/>
                <w:szCs w:val="20"/>
              </w:rPr>
              <w:t>450</w:t>
            </w:r>
          </w:p>
        </w:tc>
        <w:tc>
          <w:tcPr>
            <w:tcW w:w="699" w:type="pct"/>
            <w:shd w:val="clear" w:color="auto" w:fill="auto"/>
            <w:noWrap/>
            <w:vAlign w:val="center"/>
          </w:tcPr>
          <w:p w14:paraId="3E3B7B82" w14:textId="58BB28C3" w:rsidR="006733E9" w:rsidRPr="00640D24" w:rsidRDefault="006733E9" w:rsidP="00536FE5">
            <w:pPr>
              <w:spacing w:after="0" w:line="240" w:lineRule="auto"/>
              <w:jc w:val="center"/>
              <w:rPr>
                <w:rFonts w:eastAsia="Times New Roman" w:cs="Times New Roman"/>
                <w:b/>
                <w:bCs/>
                <w:sz w:val="21"/>
                <w:szCs w:val="21"/>
                <w:lang w:eastAsia="lt-LT"/>
              </w:rPr>
            </w:pPr>
            <w:r w:rsidRPr="00640D24">
              <w:rPr>
                <w:rFonts w:eastAsia="Times New Roman" w:cs="Times New Roman"/>
                <w:b/>
                <w:bCs/>
                <w:sz w:val="21"/>
                <w:szCs w:val="21"/>
                <w:lang w:eastAsia="lt-LT"/>
              </w:rPr>
              <w:t>450</w:t>
            </w:r>
          </w:p>
        </w:tc>
      </w:tr>
      <w:tr w:rsidR="00536FE5" w:rsidRPr="00640D24" w14:paraId="1D648F97" w14:textId="77777777" w:rsidTr="002E0743">
        <w:trPr>
          <w:trHeight w:val="290"/>
        </w:trPr>
        <w:tc>
          <w:tcPr>
            <w:tcW w:w="1000" w:type="pct"/>
            <w:shd w:val="clear" w:color="auto" w:fill="auto"/>
            <w:vAlign w:val="center"/>
            <w:hideMark/>
          </w:tcPr>
          <w:p w14:paraId="2A099B35" w14:textId="22E9A678" w:rsidR="00536FE5" w:rsidRPr="00640D24" w:rsidRDefault="00536FE5" w:rsidP="00536FE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 xml:space="preserve">PG III, </w:t>
            </w:r>
            <w:r w:rsidR="005A483C" w:rsidRPr="00640D24">
              <w:rPr>
                <w:rFonts w:eastAsia="Times New Roman" w:cs="Times New Roman"/>
                <w:sz w:val="21"/>
                <w:szCs w:val="21"/>
                <w:lang w:eastAsia="lt-LT"/>
              </w:rPr>
              <w:t>PGFIII</w:t>
            </w:r>
          </w:p>
        </w:tc>
        <w:tc>
          <w:tcPr>
            <w:tcW w:w="1861" w:type="pct"/>
            <w:shd w:val="clear" w:color="auto" w:fill="auto"/>
            <w:vAlign w:val="center"/>
            <w:hideMark/>
          </w:tcPr>
          <w:p w14:paraId="4D9418F8" w14:textId="1AC450B5" w:rsidR="00536FE5" w:rsidRPr="00640D24" w:rsidRDefault="00645085" w:rsidP="00536FE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w:t>
            </w:r>
          </w:p>
        </w:tc>
        <w:tc>
          <w:tcPr>
            <w:tcW w:w="720" w:type="pct"/>
            <w:shd w:val="clear" w:color="auto" w:fill="auto"/>
            <w:vAlign w:val="center"/>
            <w:hideMark/>
          </w:tcPr>
          <w:p w14:paraId="458EBE55" w14:textId="489A5FC9" w:rsidR="00536FE5" w:rsidRPr="00640D24" w:rsidRDefault="00DF5730" w:rsidP="00536FE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Kitos</w:t>
            </w:r>
          </w:p>
        </w:tc>
        <w:tc>
          <w:tcPr>
            <w:tcW w:w="720" w:type="pct"/>
            <w:shd w:val="clear" w:color="auto" w:fill="auto"/>
            <w:noWrap/>
            <w:vAlign w:val="center"/>
            <w:hideMark/>
          </w:tcPr>
          <w:p w14:paraId="3B19F68D" w14:textId="65451B2F" w:rsidR="00536FE5" w:rsidRPr="00640D24" w:rsidRDefault="005A483C" w:rsidP="00536FE5">
            <w:pPr>
              <w:spacing w:after="0" w:line="240" w:lineRule="auto"/>
              <w:jc w:val="center"/>
              <w:rPr>
                <w:rFonts w:eastAsia="Times New Roman" w:cs="Times New Roman"/>
                <w:sz w:val="20"/>
                <w:szCs w:val="20"/>
                <w:lang w:eastAsia="lt-LT"/>
              </w:rPr>
            </w:pPr>
            <w:r w:rsidRPr="00640D24">
              <w:rPr>
                <w:rFonts w:cs="Times New Roman"/>
                <w:color w:val="000000"/>
                <w:sz w:val="20"/>
                <w:szCs w:val="20"/>
              </w:rPr>
              <w:t>1</w:t>
            </w:r>
            <w:r w:rsidR="00910348" w:rsidRPr="00640D24">
              <w:rPr>
                <w:rFonts w:cs="Times New Roman"/>
                <w:color w:val="000000"/>
                <w:sz w:val="20"/>
                <w:szCs w:val="20"/>
              </w:rPr>
              <w:t>3</w:t>
            </w:r>
            <w:r w:rsidRPr="00640D24">
              <w:rPr>
                <w:rFonts w:cs="Times New Roman"/>
                <w:color w:val="000000"/>
                <w:sz w:val="20"/>
                <w:szCs w:val="20"/>
              </w:rPr>
              <w:t>0</w:t>
            </w:r>
            <w:r w:rsidR="00536FE5" w:rsidRPr="00640D24">
              <w:rPr>
                <w:rFonts w:cs="Times New Roman"/>
                <w:color w:val="000000"/>
                <w:sz w:val="20"/>
                <w:szCs w:val="20"/>
              </w:rPr>
              <w:t>,00</w:t>
            </w:r>
          </w:p>
        </w:tc>
        <w:tc>
          <w:tcPr>
            <w:tcW w:w="699" w:type="pct"/>
            <w:shd w:val="clear" w:color="auto" w:fill="auto"/>
            <w:noWrap/>
            <w:vAlign w:val="center"/>
            <w:hideMark/>
          </w:tcPr>
          <w:p w14:paraId="6E145743" w14:textId="43503DDB" w:rsidR="00536FE5" w:rsidRPr="00640D24" w:rsidRDefault="00410ACE" w:rsidP="00536FE5">
            <w:pPr>
              <w:spacing w:after="0" w:line="240" w:lineRule="auto"/>
              <w:jc w:val="center"/>
              <w:rPr>
                <w:rFonts w:eastAsia="Times New Roman" w:cs="Times New Roman"/>
                <w:b/>
                <w:bCs/>
                <w:sz w:val="21"/>
                <w:szCs w:val="21"/>
                <w:lang w:eastAsia="lt-LT"/>
              </w:rPr>
            </w:pPr>
            <w:r w:rsidRPr="00640D24">
              <w:rPr>
                <w:rFonts w:eastAsia="Times New Roman" w:cs="Times New Roman"/>
                <w:b/>
                <w:bCs/>
                <w:sz w:val="21"/>
                <w:szCs w:val="21"/>
                <w:lang w:eastAsia="lt-LT"/>
              </w:rPr>
              <w:t>812,5</w:t>
            </w:r>
            <w:r w:rsidR="009963D6" w:rsidRPr="00640D24">
              <w:rPr>
                <w:rFonts w:eastAsia="Times New Roman" w:cs="Times New Roman"/>
                <w:b/>
                <w:bCs/>
                <w:sz w:val="21"/>
                <w:szCs w:val="21"/>
                <w:lang w:eastAsia="lt-LT"/>
              </w:rPr>
              <w:t>0</w:t>
            </w:r>
          </w:p>
        </w:tc>
      </w:tr>
      <w:tr w:rsidR="00536FE5" w:rsidRPr="00640D24" w14:paraId="5C5AD1FB" w14:textId="77777777" w:rsidTr="002E0743">
        <w:trPr>
          <w:trHeight w:val="290"/>
        </w:trPr>
        <w:tc>
          <w:tcPr>
            <w:tcW w:w="1000" w:type="pct"/>
            <w:shd w:val="clear" w:color="auto" w:fill="auto"/>
            <w:vAlign w:val="center"/>
            <w:hideMark/>
          </w:tcPr>
          <w:p w14:paraId="35E55D36" w14:textId="77777777" w:rsidR="00536FE5" w:rsidRPr="00640D24" w:rsidRDefault="00536FE5" w:rsidP="00536FE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VSF III</w:t>
            </w:r>
          </w:p>
        </w:tc>
        <w:tc>
          <w:tcPr>
            <w:tcW w:w="1861" w:type="pct"/>
            <w:shd w:val="clear" w:color="auto" w:fill="auto"/>
            <w:vAlign w:val="center"/>
            <w:hideMark/>
          </w:tcPr>
          <w:p w14:paraId="3B35B3CA" w14:textId="7858E879" w:rsidR="00536FE5" w:rsidRPr="00640D24" w:rsidRDefault="00645085" w:rsidP="00536FE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w:t>
            </w:r>
          </w:p>
        </w:tc>
        <w:tc>
          <w:tcPr>
            <w:tcW w:w="720" w:type="pct"/>
            <w:shd w:val="clear" w:color="auto" w:fill="auto"/>
            <w:vAlign w:val="center"/>
            <w:hideMark/>
          </w:tcPr>
          <w:p w14:paraId="163F17B0" w14:textId="65597424" w:rsidR="00536FE5" w:rsidRPr="00640D24" w:rsidRDefault="00DF5730" w:rsidP="00536FE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Kitos</w:t>
            </w:r>
          </w:p>
        </w:tc>
        <w:tc>
          <w:tcPr>
            <w:tcW w:w="720" w:type="pct"/>
            <w:shd w:val="clear" w:color="auto" w:fill="auto"/>
            <w:noWrap/>
            <w:vAlign w:val="center"/>
            <w:hideMark/>
          </w:tcPr>
          <w:p w14:paraId="0C217C7C" w14:textId="134A6F44" w:rsidR="00536FE5" w:rsidRPr="00640D24" w:rsidRDefault="00C30096" w:rsidP="00536FE5">
            <w:pPr>
              <w:spacing w:after="0" w:line="240" w:lineRule="auto"/>
              <w:jc w:val="center"/>
              <w:rPr>
                <w:rFonts w:eastAsia="Times New Roman" w:cs="Times New Roman"/>
                <w:sz w:val="20"/>
                <w:szCs w:val="20"/>
                <w:lang w:eastAsia="lt-LT"/>
              </w:rPr>
            </w:pPr>
            <w:r w:rsidRPr="00640D24">
              <w:rPr>
                <w:rFonts w:cs="Times New Roman"/>
                <w:color w:val="000000"/>
                <w:sz w:val="20"/>
                <w:szCs w:val="20"/>
              </w:rPr>
              <w:t>39,60</w:t>
            </w:r>
          </w:p>
        </w:tc>
        <w:tc>
          <w:tcPr>
            <w:tcW w:w="699" w:type="pct"/>
            <w:shd w:val="clear" w:color="auto" w:fill="auto"/>
            <w:noWrap/>
            <w:vAlign w:val="center"/>
            <w:hideMark/>
          </w:tcPr>
          <w:p w14:paraId="7BB15019" w14:textId="299B3ADA" w:rsidR="00536FE5" w:rsidRPr="00640D24" w:rsidRDefault="00C30096" w:rsidP="00536FE5">
            <w:pPr>
              <w:spacing w:after="0" w:line="240" w:lineRule="auto"/>
              <w:jc w:val="center"/>
              <w:rPr>
                <w:rFonts w:eastAsia="Times New Roman" w:cs="Times New Roman"/>
                <w:b/>
                <w:bCs/>
                <w:sz w:val="21"/>
                <w:szCs w:val="21"/>
                <w:lang w:eastAsia="lt-LT"/>
              </w:rPr>
            </w:pPr>
            <w:r w:rsidRPr="00640D24">
              <w:rPr>
                <w:rFonts w:eastAsia="Times New Roman" w:cs="Times New Roman"/>
                <w:b/>
                <w:bCs/>
                <w:sz w:val="21"/>
                <w:szCs w:val="21"/>
                <w:lang w:eastAsia="lt-LT"/>
              </w:rPr>
              <w:t>39,60</w:t>
            </w:r>
          </w:p>
        </w:tc>
      </w:tr>
      <w:tr w:rsidR="00536FE5" w:rsidRPr="00640D24" w14:paraId="33739D51" w14:textId="77777777" w:rsidTr="002E0743">
        <w:trPr>
          <w:trHeight w:val="290"/>
        </w:trPr>
        <w:tc>
          <w:tcPr>
            <w:tcW w:w="1000" w:type="pct"/>
            <w:shd w:val="clear" w:color="auto" w:fill="auto"/>
            <w:vAlign w:val="center"/>
            <w:hideMark/>
          </w:tcPr>
          <w:p w14:paraId="2336709D" w14:textId="77777777" w:rsidR="00536FE5" w:rsidRPr="00640D24" w:rsidRDefault="00536FE5" w:rsidP="00536FE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AKF 3</w:t>
            </w:r>
          </w:p>
        </w:tc>
        <w:tc>
          <w:tcPr>
            <w:tcW w:w="1861" w:type="pct"/>
            <w:shd w:val="clear" w:color="auto" w:fill="auto"/>
            <w:vAlign w:val="center"/>
            <w:hideMark/>
          </w:tcPr>
          <w:p w14:paraId="7A8AF61F" w14:textId="05DB570E" w:rsidR="00536FE5" w:rsidRPr="00640D24" w:rsidRDefault="00645085" w:rsidP="00536FE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w:t>
            </w:r>
          </w:p>
        </w:tc>
        <w:tc>
          <w:tcPr>
            <w:tcW w:w="720" w:type="pct"/>
            <w:shd w:val="clear" w:color="auto" w:fill="auto"/>
            <w:vAlign w:val="center"/>
            <w:hideMark/>
          </w:tcPr>
          <w:p w14:paraId="40110137" w14:textId="43C15186" w:rsidR="00536FE5" w:rsidRPr="00640D24" w:rsidRDefault="00481FA0" w:rsidP="00536FE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Kitos</w:t>
            </w:r>
          </w:p>
        </w:tc>
        <w:tc>
          <w:tcPr>
            <w:tcW w:w="720" w:type="pct"/>
            <w:shd w:val="clear" w:color="auto" w:fill="auto"/>
            <w:noWrap/>
            <w:vAlign w:val="center"/>
            <w:hideMark/>
          </w:tcPr>
          <w:p w14:paraId="5525ABA1" w14:textId="432D8B0C" w:rsidR="00536FE5" w:rsidRPr="00640D24" w:rsidRDefault="00C30096" w:rsidP="00536FE5">
            <w:pPr>
              <w:spacing w:after="0" w:line="240" w:lineRule="auto"/>
              <w:jc w:val="center"/>
              <w:rPr>
                <w:rFonts w:eastAsia="Times New Roman" w:cs="Times New Roman"/>
                <w:sz w:val="20"/>
                <w:szCs w:val="20"/>
                <w:lang w:eastAsia="lt-LT"/>
              </w:rPr>
            </w:pPr>
            <w:r w:rsidRPr="00640D24">
              <w:rPr>
                <w:rFonts w:cs="Times New Roman"/>
                <w:color w:val="000000"/>
                <w:sz w:val="20"/>
                <w:szCs w:val="20"/>
              </w:rPr>
              <w:t>112,5</w:t>
            </w:r>
          </w:p>
        </w:tc>
        <w:tc>
          <w:tcPr>
            <w:tcW w:w="699" w:type="pct"/>
            <w:shd w:val="clear" w:color="auto" w:fill="auto"/>
            <w:noWrap/>
            <w:vAlign w:val="center"/>
            <w:hideMark/>
          </w:tcPr>
          <w:p w14:paraId="21361941" w14:textId="74D9F25E" w:rsidR="00536FE5" w:rsidRPr="00640D24" w:rsidRDefault="00C30096" w:rsidP="00536FE5">
            <w:pPr>
              <w:spacing w:after="0" w:line="240" w:lineRule="auto"/>
              <w:jc w:val="center"/>
              <w:rPr>
                <w:rFonts w:eastAsia="Times New Roman" w:cs="Times New Roman"/>
                <w:b/>
                <w:bCs/>
                <w:sz w:val="21"/>
                <w:szCs w:val="21"/>
                <w:lang w:eastAsia="lt-LT"/>
              </w:rPr>
            </w:pPr>
            <w:r w:rsidRPr="00640D24">
              <w:rPr>
                <w:rFonts w:eastAsia="Times New Roman" w:cs="Times New Roman"/>
                <w:b/>
                <w:bCs/>
                <w:sz w:val="21"/>
                <w:szCs w:val="21"/>
                <w:lang w:eastAsia="lt-LT"/>
              </w:rPr>
              <w:t>112,5</w:t>
            </w:r>
            <w:r w:rsidR="009963D6" w:rsidRPr="00640D24">
              <w:rPr>
                <w:rFonts w:eastAsia="Times New Roman" w:cs="Times New Roman"/>
                <w:b/>
                <w:bCs/>
                <w:sz w:val="21"/>
                <w:szCs w:val="21"/>
                <w:lang w:eastAsia="lt-LT"/>
              </w:rPr>
              <w:t>0</w:t>
            </w:r>
          </w:p>
        </w:tc>
      </w:tr>
      <w:tr w:rsidR="00536FE5" w:rsidRPr="00640D24" w14:paraId="78448E17" w14:textId="77777777" w:rsidTr="002E0743">
        <w:trPr>
          <w:trHeight w:val="290"/>
        </w:trPr>
        <w:tc>
          <w:tcPr>
            <w:tcW w:w="1000" w:type="pct"/>
            <w:shd w:val="clear" w:color="auto" w:fill="auto"/>
            <w:vAlign w:val="center"/>
            <w:hideMark/>
          </w:tcPr>
          <w:p w14:paraId="756709EF" w14:textId="1B16C0B9" w:rsidR="00536FE5" w:rsidRPr="00640D24" w:rsidRDefault="00536FE5" w:rsidP="00536FE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Individualios garantijos</w:t>
            </w:r>
            <w:r w:rsidR="00530F48" w:rsidRPr="00640D24">
              <w:rPr>
                <w:rFonts w:eastAsia="Times New Roman" w:cs="Times New Roman"/>
                <w:sz w:val="21"/>
                <w:szCs w:val="21"/>
                <w:lang w:eastAsia="lt-LT"/>
              </w:rPr>
              <w:t xml:space="preserve"> (GIF V)</w:t>
            </w:r>
          </w:p>
        </w:tc>
        <w:tc>
          <w:tcPr>
            <w:tcW w:w="1861" w:type="pct"/>
            <w:shd w:val="clear" w:color="auto" w:fill="auto"/>
            <w:vAlign w:val="center"/>
            <w:hideMark/>
          </w:tcPr>
          <w:p w14:paraId="0CF50A0B" w14:textId="4AA7798B" w:rsidR="00536FE5" w:rsidRPr="00640D24" w:rsidRDefault="00645085" w:rsidP="00536FE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w:t>
            </w:r>
          </w:p>
        </w:tc>
        <w:tc>
          <w:tcPr>
            <w:tcW w:w="720" w:type="pct"/>
            <w:shd w:val="clear" w:color="auto" w:fill="auto"/>
            <w:vAlign w:val="center"/>
            <w:hideMark/>
          </w:tcPr>
          <w:p w14:paraId="2F8EF0FC" w14:textId="33C965EA" w:rsidR="00536FE5" w:rsidRPr="00640D24" w:rsidRDefault="00DF5730" w:rsidP="00536FE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Kitos</w:t>
            </w:r>
          </w:p>
        </w:tc>
        <w:tc>
          <w:tcPr>
            <w:tcW w:w="720" w:type="pct"/>
            <w:shd w:val="clear" w:color="auto" w:fill="auto"/>
            <w:noWrap/>
            <w:vAlign w:val="center"/>
            <w:hideMark/>
          </w:tcPr>
          <w:p w14:paraId="7132942B" w14:textId="03E00A7B" w:rsidR="00536FE5" w:rsidRPr="00640D24" w:rsidRDefault="00536FE5" w:rsidP="00536FE5">
            <w:pPr>
              <w:spacing w:after="0" w:line="240" w:lineRule="auto"/>
              <w:jc w:val="center"/>
              <w:rPr>
                <w:rFonts w:eastAsia="Times New Roman" w:cs="Times New Roman"/>
                <w:sz w:val="20"/>
                <w:szCs w:val="20"/>
                <w:lang w:eastAsia="lt-LT"/>
              </w:rPr>
            </w:pPr>
            <w:r w:rsidRPr="00640D24">
              <w:rPr>
                <w:rFonts w:cs="Times New Roman"/>
                <w:color w:val="000000"/>
                <w:sz w:val="20"/>
                <w:szCs w:val="20"/>
              </w:rPr>
              <w:t>30,00</w:t>
            </w:r>
          </w:p>
        </w:tc>
        <w:tc>
          <w:tcPr>
            <w:tcW w:w="699" w:type="pct"/>
            <w:shd w:val="clear" w:color="auto" w:fill="auto"/>
            <w:noWrap/>
            <w:vAlign w:val="center"/>
            <w:hideMark/>
          </w:tcPr>
          <w:p w14:paraId="3C6B37B2" w14:textId="55375FFC" w:rsidR="00536FE5" w:rsidRPr="00640D24" w:rsidRDefault="00FB25FE" w:rsidP="00536FE5">
            <w:pPr>
              <w:spacing w:after="0" w:line="240" w:lineRule="auto"/>
              <w:jc w:val="center"/>
              <w:rPr>
                <w:rFonts w:eastAsia="Times New Roman" w:cs="Times New Roman"/>
                <w:b/>
                <w:bCs/>
                <w:sz w:val="21"/>
                <w:szCs w:val="21"/>
                <w:lang w:eastAsia="lt-LT"/>
              </w:rPr>
            </w:pPr>
            <w:r w:rsidRPr="00640D24">
              <w:rPr>
                <w:rFonts w:eastAsia="Times New Roman" w:cs="Times New Roman"/>
                <w:b/>
                <w:bCs/>
                <w:sz w:val="21"/>
                <w:szCs w:val="21"/>
                <w:lang w:eastAsia="lt-LT"/>
              </w:rPr>
              <w:t>210</w:t>
            </w:r>
            <w:r w:rsidR="009963D6" w:rsidRPr="00640D24">
              <w:rPr>
                <w:rFonts w:eastAsia="Times New Roman" w:cs="Times New Roman"/>
                <w:b/>
                <w:bCs/>
                <w:sz w:val="21"/>
                <w:szCs w:val="21"/>
                <w:lang w:eastAsia="lt-LT"/>
              </w:rPr>
              <w:t>,00</w:t>
            </w:r>
          </w:p>
        </w:tc>
      </w:tr>
      <w:tr w:rsidR="00536FE5" w:rsidRPr="00640D24" w14:paraId="07A76C9D" w14:textId="77777777" w:rsidTr="002E0743">
        <w:trPr>
          <w:trHeight w:val="290"/>
        </w:trPr>
        <w:tc>
          <w:tcPr>
            <w:tcW w:w="1000" w:type="pct"/>
            <w:shd w:val="clear" w:color="auto" w:fill="auto"/>
            <w:vAlign w:val="center"/>
            <w:hideMark/>
          </w:tcPr>
          <w:p w14:paraId="790BEDCE" w14:textId="1DCB3D71" w:rsidR="00536FE5" w:rsidRPr="00640D24" w:rsidRDefault="00536FE5" w:rsidP="00536FE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Eksporto kredito garantijos</w:t>
            </w:r>
            <w:r w:rsidR="00234AD0" w:rsidRPr="00640D24">
              <w:rPr>
                <w:rFonts w:eastAsia="Times New Roman" w:cs="Times New Roman"/>
                <w:sz w:val="21"/>
                <w:szCs w:val="21"/>
                <w:lang w:eastAsia="lt-LT"/>
              </w:rPr>
              <w:t xml:space="preserve"> II</w:t>
            </w:r>
          </w:p>
        </w:tc>
        <w:tc>
          <w:tcPr>
            <w:tcW w:w="1861" w:type="pct"/>
            <w:shd w:val="clear" w:color="auto" w:fill="auto"/>
            <w:vAlign w:val="center"/>
            <w:hideMark/>
          </w:tcPr>
          <w:p w14:paraId="59AEF5F0" w14:textId="15EEB1F3" w:rsidR="00536FE5" w:rsidRPr="00640D24" w:rsidRDefault="00645085" w:rsidP="00536FE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w:t>
            </w:r>
          </w:p>
        </w:tc>
        <w:tc>
          <w:tcPr>
            <w:tcW w:w="720" w:type="pct"/>
            <w:shd w:val="clear" w:color="auto" w:fill="auto"/>
            <w:vAlign w:val="center"/>
            <w:hideMark/>
          </w:tcPr>
          <w:p w14:paraId="281DED01" w14:textId="50579DDF" w:rsidR="00536FE5" w:rsidRPr="00640D24" w:rsidRDefault="00DF5730" w:rsidP="00536FE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Kitos</w:t>
            </w:r>
          </w:p>
        </w:tc>
        <w:tc>
          <w:tcPr>
            <w:tcW w:w="720" w:type="pct"/>
            <w:shd w:val="clear" w:color="auto" w:fill="auto"/>
            <w:noWrap/>
            <w:vAlign w:val="center"/>
            <w:hideMark/>
          </w:tcPr>
          <w:p w14:paraId="7704272F" w14:textId="7F222EC2" w:rsidR="00536FE5" w:rsidRPr="00640D24" w:rsidRDefault="00536FE5" w:rsidP="00536FE5">
            <w:pPr>
              <w:spacing w:after="0" w:line="240" w:lineRule="auto"/>
              <w:jc w:val="center"/>
              <w:rPr>
                <w:rFonts w:eastAsia="Times New Roman" w:cs="Times New Roman"/>
                <w:sz w:val="20"/>
                <w:szCs w:val="20"/>
                <w:lang w:eastAsia="lt-LT"/>
              </w:rPr>
            </w:pPr>
            <w:r w:rsidRPr="00640D24">
              <w:rPr>
                <w:rFonts w:cs="Times New Roman"/>
                <w:color w:val="000000"/>
                <w:sz w:val="20"/>
                <w:szCs w:val="20"/>
              </w:rPr>
              <w:t>17,00</w:t>
            </w:r>
          </w:p>
        </w:tc>
        <w:tc>
          <w:tcPr>
            <w:tcW w:w="699" w:type="pct"/>
            <w:shd w:val="clear" w:color="auto" w:fill="auto"/>
            <w:noWrap/>
            <w:vAlign w:val="center"/>
            <w:hideMark/>
          </w:tcPr>
          <w:p w14:paraId="75603A3F" w14:textId="3AAF934F" w:rsidR="00536FE5" w:rsidRPr="00640D24" w:rsidRDefault="00FB25FE" w:rsidP="00536FE5">
            <w:pPr>
              <w:spacing w:after="0" w:line="240" w:lineRule="auto"/>
              <w:jc w:val="center"/>
              <w:rPr>
                <w:rFonts w:eastAsia="Times New Roman" w:cs="Times New Roman"/>
                <w:b/>
                <w:bCs/>
                <w:sz w:val="21"/>
                <w:szCs w:val="21"/>
                <w:lang w:eastAsia="lt-LT"/>
              </w:rPr>
            </w:pPr>
            <w:r w:rsidRPr="00640D24">
              <w:rPr>
                <w:rFonts w:eastAsia="Times New Roman" w:cs="Times New Roman"/>
                <w:b/>
                <w:bCs/>
                <w:sz w:val="21"/>
                <w:szCs w:val="21"/>
                <w:lang w:eastAsia="lt-LT"/>
              </w:rPr>
              <w:t>34</w:t>
            </w:r>
            <w:r w:rsidR="00150AA2" w:rsidRPr="00640D24">
              <w:rPr>
                <w:rFonts w:eastAsia="Times New Roman" w:cs="Times New Roman"/>
                <w:b/>
                <w:bCs/>
                <w:sz w:val="21"/>
                <w:szCs w:val="21"/>
                <w:lang w:eastAsia="lt-LT"/>
              </w:rPr>
              <w:t>,00</w:t>
            </w:r>
          </w:p>
        </w:tc>
      </w:tr>
      <w:tr w:rsidR="00536FE5" w:rsidRPr="00640D24" w14:paraId="404991F2" w14:textId="77777777" w:rsidTr="002E0743">
        <w:trPr>
          <w:trHeight w:val="290"/>
        </w:trPr>
        <w:tc>
          <w:tcPr>
            <w:tcW w:w="4301" w:type="pct"/>
            <w:gridSpan w:val="4"/>
            <w:shd w:val="clear" w:color="auto" w:fill="auto"/>
            <w:vAlign w:val="center"/>
          </w:tcPr>
          <w:p w14:paraId="6D26E63D" w14:textId="460C2671" w:rsidR="00536FE5" w:rsidRPr="00640D24" w:rsidRDefault="00536FE5" w:rsidP="00536FE5">
            <w:pPr>
              <w:spacing w:after="0" w:line="240" w:lineRule="auto"/>
              <w:jc w:val="right"/>
              <w:rPr>
                <w:rFonts w:eastAsia="Times New Roman" w:cs="Times New Roman"/>
                <w:sz w:val="21"/>
                <w:szCs w:val="21"/>
                <w:lang w:eastAsia="lt-LT"/>
              </w:rPr>
            </w:pPr>
            <w:r w:rsidRPr="00640D24">
              <w:rPr>
                <w:rFonts w:eastAsia="Times New Roman" w:cs="Times New Roman"/>
                <w:b/>
                <w:bCs/>
                <w:sz w:val="21"/>
                <w:szCs w:val="21"/>
                <w:lang w:eastAsia="lt-LT"/>
              </w:rPr>
              <w:t>Iš viso:</w:t>
            </w:r>
          </w:p>
        </w:tc>
        <w:tc>
          <w:tcPr>
            <w:tcW w:w="699" w:type="pct"/>
            <w:shd w:val="clear" w:color="auto" w:fill="auto"/>
            <w:noWrap/>
            <w:vAlign w:val="center"/>
          </w:tcPr>
          <w:p w14:paraId="085BAEB2" w14:textId="6D889DD7" w:rsidR="00536FE5" w:rsidRPr="00640D24" w:rsidRDefault="00FF41D1" w:rsidP="005D3073">
            <w:pPr>
              <w:spacing w:after="0" w:line="240" w:lineRule="auto"/>
              <w:jc w:val="center"/>
              <w:rPr>
                <w:rFonts w:eastAsia="Times New Roman" w:cs="Times New Roman"/>
                <w:b/>
                <w:bCs/>
                <w:sz w:val="21"/>
                <w:szCs w:val="21"/>
                <w:lang w:eastAsia="lt-LT"/>
              </w:rPr>
            </w:pPr>
            <w:r w:rsidRPr="00640D24">
              <w:rPr>
                <w:rFonts w:eastAsia="Times New Roman" w:cs="Times New Roman"/>
                <w:b/>
                <w:bCs/>
                <w:sz w:val="21"/>
                <w:szCs w:val="21"/>
                <w:lang w:eastAsia="lt-LT"/>
              </w:rPr>
              <w:t>3</w:t>
            </w:r>
            <w:r w:rsidR="001665C6">
              <w:rPr>
                <w:rFonts w:eastAsia="Times New Roman" w:cs="Times New Roman"/>
                <w:b/>
                <w:bCs/>
                <w:sz w:val="21"/>
                <w:szCs w:val="21"/>
                <w:lang w:eastAsia="lt-LT"/>
              </w:rPr>
              <w:t>28</w:t>
            </w:r>
            <w:r w:rsidR="000A0F0D" w:rsidRPr="00640D24">
              <w:rPr>
                <w:rFonts w:eastAsia="Times New Roman" w:cs="Times New Roman"/>
                <w:b/>
                <w:bCs/>
                <w:sz w:val="21"/>
                <w:szCs w:val="21"/>
                <w:lang w:eastAsia="lt-LT"/>
              </w:rPr>
              <w:t>9</w:t>
            </w:r>
            <w:r w:rsidR="009963D6" w:rsidRPr="00640D24">
              <w:rPr>
                <w:rFonts w:eastAsia="Times New Roman" w:cs="Times New Roman"/>
                <w:b/>
                <w:bCs/>
                <w:sz w:val="21"/>
                <w:szCs w:val="21"/>
                <w:lang w:eastAsia="lt-LT"/>
              </w:rPr>
              <w:t>,7</w:t>
            </w:r>
            <w:r w:rsidR="005A433F" w:rsidRPr="00640D24">
              <w:rPr>
                <w:rFonts w:eastAsia="Times New Roman" w:cs="Times New Roman"/>
                <w:b/>
                <w:bCs/>
                <w:sz w:val="21"/>
                <w:szCs w:val="21"/>
                <w:lang w:eastAsia="lt-LT"/>
              </w:rPr>
              <w:t>1</w:t>
            </w:r>
          </w:p>
        </w:tc>
      </w:tr>
    </w:tbl>
    <w:p w14:paraId="44DAFCE4" w14:textId="259E9D4C" w:rsidR="003962DF" w:rsidRPr="00640D24" w:rsidRDefault="00093353" w:rsidP="00DE79C4">
      <w:pPr>
        <w:spacing w:after="0" w:line="240" w:lineRule="auto"/>
        <w:jc w:val="both"/>
        <w:rPr>
          <w:rFonts w:cs="Times New Roman"/>
          <w:sz w:val="18"/>
          <w:szCs w:val="20"/>
        </w:rPr>
      </w:pPr>
      <w:r w:rsidRPr="00640D24">
        <w:rPr>
          <w:rFonts w:cs="Times New Roman"/>
          <w:sz w:val="18"/>
          <w:szCs w:val="20"/>
        </w:rPr>
        <w:t>Šaltinis: s</w:t>
      </w:r>
      <w:r w:rsidR="003962DF" w:rsidRPr="00640D24">
        <w:rPr>
          <w:rFonts w:cs="Times New Roman"/>
          <w:sz w:val="18"/>
          <w:szCs w:val="20"/>
        </w:rPr>
        <w:t>udaryta Vertintojų</w:t>
      </w:r>
    </w:p>
    <w:p w14:paraId="74D3DFF3" w14:textId="77777777" w:rsidR="000C3EBE" w:rsidRPr="00640D24" w:rsidRDefault="000C3EBE" w:rsidP="001905D3">
      <w:pPr>
        <w:spacing w:after="120" w:line="240" w:lineRule="auto"/>
        <w:ind w:firstLine="567"/>
        <w:jc w:val="both"/>
        <w:rPr>
          <w:rFonts w:cs="Times New Roman"/>
          <w:sz w:val="22"/>
          <w:szCs w:val="22"/>
        </w:rPr>
      </w:pPr>
    </w:p>
    <w:p w14:paraId="65B146D5" w14:textId="3E235A54" w:rsidR="00F7058C" w:rsidRPr="00640D24" w:rsidRDefault="004A4A43" w:rsidP="004A4A43">
      <w:pPr>
        <w:spacing w:after="120" w:line="240" w:lineRule="auto"/>
        <w:jc w:val="both"/>
        <w:rPr>
          <w:rFonts w:cs="Times New Roman"/>
          <w:i/>
          <w:iCs/>
          <w:sz w:val="22"/>
          <w:szCs w:val="22"/>
        </w:rPr>
      </w:pPr>
      <w:r w:rsidRPr="00640D24">
        <w:rPr>
          <w:rFonts w:cs="Times New Roman"/>
          <w:i/>
          <w:iCs/>
          <w:sz w:val="22"/>
          <w:szCs w:val="22"/>
        </w:rPr>
        <w:t xml:space="preserve">Lentelė Nr. </w:t>
      </w:r>
      <w:r w:rsidR="006B75C9" w:rsidRPr="00640D24">
        <w:rPr>
          <w:rFonts w:cs="Times New Roman"/>
          <w:i/>
          <w:iCs/>
          <w:sz w:val="22"/>
          <w:szCs w:val="22"/>
        </w:rPr>
        <w:t>12</w:t>
      </w:r>
      <w:r w:rsidRPr="00640D24">
        <w:rPr>
          <w:rFonts w:cs="Times New Roman"/>
          <w:i/>
          <w:iCs/>
          <w:sz w:val="22"/>
          <w:szCs w:val="22"/>
        </w:rPr>
        <w:t>. Rinkos padengimas ir finansavimo poreikis pagal veiklas (bendras</w:t>
      </w:r>
      <w:r w:rsidR="00F7058C" w:rsidRPr="00640D24">
        <w:rPr>
          <w:rFonts w:cs="Times New Roman"/>
          <w:i/>
          <w:iCs/>
          <w:sz w:val="22"/>
          <w:szCs w:val="22"/>
        </w:rPr>
        <w:t>,</w:t>
      </w:r>
      <w:r w:rsidRPr="00640D24">
        <w:rPr>
          <w:rFonts w:cs="Times New Roman"/>
          <w:i/>
          <w:iCs/>
          <w:sz w:val="22"/>
          <w:szCs w:val="22"/>
        </w:rPr>
        <w:t xml:space="preserve"> ES SF</w:t>
      </w:r>
      <w:r w:rsidR="00F7058C" w:rsidRPr="00640D24">
        <w:rPr>
          <w:rFonts w:cs="Times New Roman"/>
          <w:i/>
          <w:iCs/>
          <w:sz w:val="22"/>
          <w:szCs w:val="22"/>
        </w:rPr>
        <w:t xml:space="preserve"> ir EGADP</w:t>
      </w:r>
      <w:r w:rsidRPr="00640D24">
        <w:rPr>
          <w:rFonts w:cs="Times New Roman"/>
          <w:i/>
          <w:iCs/>
          <w:sz w:val="22"/>
          <w:szCs w:val="22"/>
        </w:rPr>
        <w:t xml:space="preserve"> lėšų)</w:t>
      </w:r>
    </w:p>
    <w:tbl>
      <w:tblPr>
        <w:tblpPr w:leftFromText="180" w:rightFromText="180" w:vertAnchor="text" w:tblpY="1"/>
        <w:tblOverlap w:val="never"/>
        <w:tblW w:w="9628" w:type="dxa"/>
        <w:tblLook w:val="04A0" w:firstRow="1" w:lastRow="0" w:firstColumn="1" w:lastColumn="0" w:noHBand="0" w:noVBand="1"/>
      </w:tblPr>
      <w:tblGrid>
        <w:gridCol w:w="1730"/>
        <w:gridCol w:w="1791"/>
        <w:gridCol w:w="1362"/>
        <w:gridCol w:w="1454"/>
        <w:gridCol w:w="1362"/>
        <w:gridCol w:w="1929"/>
      </w:tblGrid>
      <w:tr w:rsidR="00854E73" w:rsidRPr="00640D24" w14:paraId="0BB43994" w14:textId="77777777" w:rsidTr="001E5C0D">
        <w:trPr>
          <w:trHeight w:val="19"/>
          <w:tblHeader/>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8FCD3" w14:textId="77777777" w:rsidR="00F7058C" w:rsidRPr="00640D24" w:rsidRDefault="00F7058C">
            <w:pPr>
              <w:spacing w:after="0" w:line="240" w:lineRule="auto"/>
              <w:jc w:val="center"/>
              <w:rPr>
                <w:rFonts w:eastAsia="Times New Roman" w:cs="Times New Roman"/>
                <w:b/>
                <w:bCs/>
                <w:color w:val="000000"/>
                <w:sz w:val="21"/>
                <w:szCs w:val="21"/>
              </w:rPr>
            </w:pPr>
            <w:r w:rsidRPr="00640D24">
              <w:rPr>
                <w:rFonts w:eastAsia="Times New Roman" w:cs="Times New Roman"/>
                <w:b/>
                <w:bCs/>
                <w:color w:val="000000"/>
                <w:sz w:val="21"/>
                <w:szCs w:val="21"/>
              </w:rPr>
              <w:t>Veikla</w:t>
            </w:r>
          </w:p>
        </w:tc>
        <w:tc>
          <w:tcPr>
            <w:tcW w:w="1805" w:type="dxa"/>
            <w:tcBorders>
              <w:top w:val="single" w:sz="4" w:space="0" w:color="auto"/>
              <w:left w:val="nil"/>
              <w:bottom w:val="single" w:sz="4" w:space="0" w:color="auto"/>
              <w:right w:val="single" w:sz="4" w:space="0" w:color="auto"/>
            </w:tcBorders>
            <w:shd w:val="clear" w:color="auto" w:fill="auto"/>
            <w:vAlign w:val="center"/>
            <w:hideMark/>
          </w:tcPr>
          <w:p w14:paraId="73E81E90" w14:textId="380DAD96" w:rsidR="00F7058C" w:rsidRPr="00640D24" w:rsidRDefault="00F7058C">
            <w:pPr>
              <w:spacing w:after="0" w:line="240" w:lineRule="auto"/>
              <w:jc w:val="center"/>
              <w:rPr>
                <w:rFonts w:eastAsia="Times New Roman" w:cs="Times New Roman"/>
                <w:b/>
                <w:bCs/>
                <w:color w:val="000000"/>
                <w:sz w:val="21"/>
                <w:szCs w:val="21"/>
              </w:rPr>
            </w:pPr>
            <w:r w:rsidRPr="00640D24">
              <w:rPr>
                <w:rFonts w:eastAsia="Times New Roman" w:cs="Times New Roman"/>
                <w:b/>
                <w:bCs/>
                <w:color w:val="000000"/>
                <w:sz w:val="21"/>
                <w:szCs w:val="21"/>
              </w:rPr>
              <w:t xml:space="preserve">Numatytas ES fondų + EGADP investicijos FP forma </w:t>
            </w:r>
            <w:r w:rsidR="006B3618" w:rsidRPr="00640D24">
              <w:rPr>
                <w:rFonts w:eastAsia="Times New Roman" w:cs="Times New Roman"/>
                <w:b/>
                <w:bCs/>
                <w:color w:val="000000"/>
                <w:sz w:val="21"/>
                <w:szCs w:val="21"/>
              </w:rPr>
              <w:t>mln.</w:t>
            </w:r>
            <w:r w:rsidR="00811262" w:rsidRPr="00640D24">
              <w:rPr>
                <w:rFonts w:eastAsia="Times New Roman" w:cs="Times New Roman"/>
                <w:b/>
                <w:bCs/>
                <w:color w:val="000000"/>
                <w:sz w:val="21"/>
                <w:szCs w:val="21"/>
              </w:rPr>
              <w:t xml:space="preserve"> </w:t>
            </w:r>
            <w:proofErr w:type="spellStart"/>
            <w:r w:rsidRPr="00640D24">
              <w:rPr>
                <w:rFonts w:eastAsia="Times New Roman" w:cs="Times New Roman"/>
                <w:b/>
                <w:bCs/>
                <w:color w:val="000000"/>
                <w:sz w:val="21"/>
                <w:szCs w:val="21"/>
              </w:rPr>
              <w:t>Eur</w:t>
            </w:r>
            <w:proofErr w:type="spellEnd"/>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2AE97A71" w14:textId="67DA4112" w:rsidR="00F7058C" w:rsidRPr="00640D24" w:rsidRDefault="00F7058C">
            <w:pPr>
              <w:spacing w:after="0" w:line="240" w:lineRule="auto"/>
              <w:jc w:val="center"/>
              <w:rPr>
                <w:rFonts w:eastAsia="Times New Roman" w:cs="Times New Roman"/>
                <w:b/>
                <w:bCs/>
                <w:color w:val="000000"/>
                <w:sz w:val="21"/>
                <w:szCs w:val="21"/>
              </w:rPr>
            </w:pPr>
            <w:r w:rsidRPr="00640D24">
              <w:rPr>
                <w:rFonts w:eastAsia="Times New Roman" w:cs="Times New Roman"/>
                <w:b/>
                <w:bCs/>
                <w:color w:val="000000"/>
                <w:sz w:val="21"/>
                <w:szCs w:val="21"/>
              </w:rPr>
              <w:t>Finansavimo poreikis (ES SF ir EGADP remiamoms veikloms</w:t>
            </w:r>
            <w:r w:rsidR="00B10EFE" w:rsidRPr="00640D24">
              <w:rPr>
                <w:rStyle w:val="Puslapioinaosnuoroda"/>
                <w:rFonts w:eastAsia="Times New Roman" w:cs="Times New Roman"/>
                <w:b/>
                <w:bCs/>
                <w:color w:val="000000"/>
                <w:sz w:val="21"/>
                <w:szCs w:val="21"/>
              </w:rPr>
              <w:footnoteReference w:id="95"/>
            </w:r>
            <w:r w:rsidRPr="00640D24">
              <w:rPr>
                <w:rFonts w:eastAsia="Times New Roman" w:cs="Times New Roman"/>
                <w:b/>
                <w:bCs/>
                <w:color w:val="000000"/>
                <w:sz w:val="21"/>
                <w:szCs w:val="21"/>
              </w:rPr>
              <w:t>)</w:t>
            </w:r>
            <w:r w:rsidR="006B3618" w:rsidRPr="00640D24">
              <w:rPr>
                <w:rFonts w:eastAsia="Times New Roman" w:cs="Times New Roman"/>
                <w:b/>
                <w:bCs/>
                <w:color w:val="000000"/>
                <w:sz w:val="21"/>
                <w:szCs w:val="21"/>
              </w:rPr>
              <w:t xml:space="preserve"> mln. </w:t>
            </w:r>
            <w:proofErr w:type="spellStart"/>
            <w:r w:rsidR="006B3618" w:rsidRPr="00640D24">
              <w:rPr>
                <w:rFonts w:eastAsia="Times New Roman" w:cs="Times New Roman"/>
                <w:b/>
                <w:bCs/>
                <w:color w:val="000000"/>
                <w:sz w:val="21"/>
                <w:szCs w:val="21"/>
              </w:rPr>
              <w:t>Eur</w:t>
            </w:r>
            <w:proofErr w:type="spellEnd"/>
          </w:p>
        </w:tc>
        <w:tc>
          <w:tcPr>
            <w:tcW w:w="1445" w:type="dxa"/>
            <w:tcBorders>
              <w:top w:val="single" w:sz="4" w:space="0" w:color="auto"/>
              <w:left w:val="nil"/>
              <w:bottom w:val="single" w:sz="4" w:space="0" w:color="auto"/>
              <w:right w:val="single" w:sz="4" w:space="0" w:color="auto"/>
            </w:tcBorders>
            <w:shd w:val="clear" w:color="auto" w:fill="auto"/>
            <w:vAlign w:val="center"/>
            <w:hideMark/>
          </w:tcPr>
          <w:p w14:paraId="5A0B0BE7" w14:textId="604F633E" w:rsidR="00F7058C" w:rsidRPr="00640D24" w:rsidRDefault="00F7058C">
            <w:pPr>
              <w:spacing w:after="0" w:line="240" w:lineRule="auto"/>
              <w:jc w:val="center"/>
              <w:rPr>
                <w:rFonts w:eastAsia="Times New Roman" w:cs="Times New Roman"/>
                <w:b/>
                <w:bCs/>
                <w:color w:val="000000"/>
                <w:sz w:val="21"/>
                <w:szCs w:val="21"/>
              </w:rPr>
            </w:pPr>
            <w:r w:rsidRPr="00640D24">
              <w:rPr>
                <w:rFonts w:eastAsia="Times New Roman" w:cs="Times New Roman"/>
                <w:b/>
                <w:bCs/>
                <w:color w:val="000000"/>
                <w:sz w:val="21"/>
                <w:szCs w:val="21"/>
              </w:rPr>
              <w:t>Rinkos padengimas (ES</w:t>
            </w:r>
            <w:r w:rsidR="00811262" w:rsidRPr="00640D24">
              <w:rPr>
                <w:rFonts w:eastAsia="Times New Roman" w:cs="Times New Roman"/>
                <w:b/>
                <w:bCs/>
                <w:color w:val="000000"/>
                <w:sz w:val="21"/>
                <w:szCs w:val="21"/>
              </w:rPr>
              <w:t xml:space="preserve"> </w:t>
            </w:r>
            <w:r w:rsidRPr="00640D24">
              <w:rPr>
                <w:rFonts w:eastAsia="Times New Roman" w:cs="Times New Roman"/>
                <w:b/>
                <w:bCs/>
                <w:color w:val="000000"/>
                <w:sz w:val="21"/>
                <w:szCs w:val="21"/>
              </w:rPr>
              <w:t>+</w:t>
            </w:r>
            <w:r w:rsidR="00811262" w:rsidRPr="00640D24">
              <w:rPr>
                <w:rFonts w:eastAsia="Times New Roman" w:cs="Times New Roman"/>
                <w:b/>
                <w:bCs/>
                <w:color w:val="000000"/>
                <w:sz w:val="21"/>
                <w:szCs w:val="21"/>
              </w:rPr>
              <w:t xml:space="preserve"> </w:t>
            </w:r>
            <w:proofErr w:type="spellStart"/>
            <w:r w:rsidRPr="00640D24">
              <w:rPr>
                <w:rFonts w:eastAsia="Times New Roman" w:cs="Times New Roman"/>
                <w:b/>
                <w:bCs/>
                <w:color w:val="000000"/>
                <w:sz w:val="21"/>
                <w:szCs w:val="21"/>
              </w:rPr>
              <w:t>nac</w:t>
            </w:r>
            <w:proofErr w:type="spellEnd"/>
            <w:r w:rsidRPr="00640D24">
              <w:rPr>
                <w:rFonts w:eastAsia="Times New Roman" w:cs="Times New Roman"/>
                <w:b/>
                <w:bCs/>
                <w:color w:val="000000"/>
                <w:sz w:val="21"/>
                <w:szCs w:val="21"/>
              </w:rPr>
              <w:t>. + EGADP finansavimas)</w:t>
            </w:r>
            <w:r w:rsidR="006B3618" w:rsidRPr="00640D24">
              <w:rPr>
                <w:rFonts w:eastAsia="Times New Roman" w:cs="Times New Roman"/>
                <w:b/>
                <w:bCs/>
                <w:color w:val="000000"/>
                <w:sz w:val="21"/>
                <w:szCs w:val="21"/>
              </w:rPr>
              <w:t xml:space="preserve"> mln. </w:t>
            </w:r>
            <w:proofErr w:type="spellStart"/>
            <w:r w:rsidR="006B3618" w:rsidRPr="00640D24">
              <w:rPr>
                <w:rFonts w:eastAsia="Times New Roman" w:cs="Times New Roman"/>
                <w:b/>
                <w:bCs/>
                <w:color w:val="000000"/>
                <w:sz w:val="21"/>
                <w:szCs w:val="21"/>
              </w:rPr>
              <w:t>Eur</w:t>
            </w:r>
            <w:proofErr w:type="spellEnd"/>
          </w:p>
        </w:tc>
        <w:tc>
          <w:tcPr>
            <w:tcW w:w="1353" w:type="dxa"/>
            <w:tcBorders>
              <w:top w:val="single" w:sz="4" w:space="0" w:color="auto"/>
              <w:left w:val="nil"/>
              <w:bottom w:val="single" w:sz="4" w:space="0" w:color="auto"/>
              <w:right w:val="single" w:sz="4" w:space="0" w:color="auto"/>
            </w:tcBorders>
            <w:shd w:val="clear" w:color="auto" w:fill="auto"/>
            <w:vAlign w:val="center"/>
            <w:hideMark/>
          </w:tcPr>
          <w:p w14:paraId="74D4885D" w14:textId="6A587041" w:rsidR="00F7058C" w:rsidRPr="00640D24" w:rsidRDefault="00F7058C">
            <w:pPr>
              <w:spacing w:after="0" w:line="240" w:lineRule="auto"/>
              <w:jc w:val="center"/>
              <w:rPr>
                <w:rFonts w:eastAsia="Times New Roman" w:cs="Times New Roman"/>
                <w:b/>
                <w:bCs/>
                <w:color w:val="000000"/>
                <w:sz w:val="21"/>
                <w:szCs w:val="21"/>
              </w:rPr>
            </w:pPr>
            <w:r w:rsidRPr="00640D24">
              <w:rPr>
                <w:rFonts w:eastAsia="Times New Roman" w:cs="Times New Roman"/>
                <w:b/>
                <w:bCs/>
                <w:color w:val="000000"/>
                <w:sz w:val="21"/>
                <w:szCs w:val="21"/>
              </w:rPr>
              <w:t>Finansavimo poreikis (bendras)</w:t>
            </w:r>
            <w:r w:rsidR="006B3618" w:rsidRPr="00640D24">
              <w:rPr>
                <w:rFonts w:eastAsia="Times New Roman" w:cs="Times New Roman"/>
                <w:b/>
                <w:bCs/>
                <w:color w:val="000000"/>
                <w:sz w:val="21"/>
                <w:szCs w:val="21"/>
              </w:rPr>
              <w:t xml:space="preserve"> </w:t>
            </w:r>
            <w:r w:rsidR="0045022D" w:rsidRPr="00640D24">
              <w:rPr>
                <w:rFonts w:eastAsia="Times New Roman" w:cs="Times New Roman"/>
                <w:b/>
                <w:bCs/>
                <w:color w:val="000000"/>
                <w:sz w:val="21"/>
                <w:szCs w:val="21"/>
              </w:rPr>
              <w:t xml:space="preserve"> </w:t>
            </w:r>
            <w:r w:rsidR="006B3618" w:rsidRPr="00640D24">
              <w:rPr>
                <w:rFonts w:eastAsia="Times New Roman" w:cs="Times New Roman"/>
                <w:b/>
                <w:bCs/>
                <w:color w:val="000000"/>
                <w:sz w:val="21"/>
                <w:szCs w:val="21"/>
              </w:rPr>
              <w:t xml:space="preserve">mln. </w:t>
            </w:r>
            <w:proofErr w:type="spellStart"/>
            <w:r w:rsidR="006B3618" w:rsidRPr="00640D24">
              <w:rPr>
                <w:rFonts w:eastAsia="Times New Roman" w:cs="Times New Roman"/>
                <w:b/>
                <w:bCs/>
                <w:color w:val="000000"/>
                <w:sz w:val="21"/>
                <w:szCs w:val="21"/>
              </w:rPr>
              <w:t>Eur</w:t>
            </w:r>
            <w:proofErr w:type="spellEnd"/>
          </w:p>
        </w:tc>
        <w:tc>
          <w:tcPr>
            <w:tcW w:w="1944" w:type="dxa"/>
            <w:tcBorders>
              <w:top w:val="single" w:sz="4" w:space="0" w:color="auto"/>
              <w:left w:val="nil"/>
              <w:bottom w:val="single" w:sz="4" w:space="0" w:color="auto"/>
              <w:right w:val="single" w:sz="4" w:space="0" w:color="auto"/>
            </w:tcBorders>
            <w:shd w:val="clear" w:color="auto" w:fill="auto"/>
            <w:vAlign w:val="center"/>
            <w:hideMark/>
          </w:tcPr>
          <w:p w14:paraId="188043C2" w14:textId="6177C490" w:rsidR="00F7058C" w:rsidRPr="00640D24" w:rsidRDefault="00F7058C">
            <w:pPr>
              <w:spacing w:after="0" w:line="240" w:lineRule="auto"/>
              <w:jc w:val="center"/>
              <w:rPr>
                <w:rFonts w:eastAsia="Times New Roman" w:cs="Times New Roman"/>
                <w:b/>
                <w:bCs/>
                <w:color w:val="000000"/>
                <w:sz w:val="21"/>
                <w:szCs w:val="21"/>
              </w:rPr>
            </w:pPr>
            <w:r w:rsidRPr="00640D24">
              <w:rPr>
                <w:rFonts w:eastAsia="Times New Roman" w:cs="Times New Roman"/>
                <w:b/>
                <w:bCs/>
                <w:color w:val="000000"/>
                <w:sz w:val="21"/>
                <w:szCs w:val="21"/>
              </w:rPr>
              <w:t>Rinkos padengimas su planuojam</w:t>
            </w:r>
            <w:r w:rsidR="00242974" w:rsidRPr="00640D24">
              <w:rPr>
                <w:rFonts w:eastAsia="Times New Roman" w:cs="Times New Roman"/>
                <w:b/>
                <w:bCs/>
                <w:color w:val="000000"/>
                <w:sz w:val="21"/>
                <w:szCs w:val="21"/>
              </w:rPr>
              <w:t>omis</w:t>
            </w:r>
            <w:r w:rsidRPr="00640D24">
              <w:rPr>
                <w:rFonts w:eastAsia="Times New Roman" w:cs="Times New Roman"/>
                <w:b/>
                <w:bCs/>
                <w:color w:val="000000"/>
                <w:sz w:val="21"/>
                <w:szCs w:val="21"/>
              </w:rPr>
              <w:t xml:space="preserve"> FP (bendras)</w:t>
            </w:r>
            <w:r w:rsidR="006B3618" w:rsidRPr="00640D24">
              <w:rPr>
                <w:rFonts w:eastAsia="Times New Roman" w:cs="Times New Roman"/>
                <w:b/>
                <w:bCs/>
                <w:color w:val="000000"/>
                <w:sz w:val="21"/>
                <w:szCs w:val="21"/>
              </w:rPr>
              <w:t xml:space="preserve"> mln. </w:t>
            </w:r>
            <w:proofErr w:type="spellStart"/>
            <w:r w:rsidR="006B3618" w:rsidRPr="00640D24">
              <w:rPr>
                <w:rFonts w:eastAsia="Times New Roman" w:cs="Times New Roman"/>
                <w:b/>
                <w:bCs/>
                <w:color w:val="000000"/>
                <w:sz w:val="21"/>
                <w:szCs w:val="21"/>
              </w:rPr>
              <w:t>Eur</w:t>
            </w:r>
            <w:proofErr w:type="spellEnd"/>
          </w:p>
        </w:tc>
      </w:tr>
      <w:tr w:rsidR="00854E73" w:rsidRPr="00640D24" w14:paraId="7631563C" w14:textId="77777777" w:rsidTr="006A0F8D">
        <w:trPr>
          <w:trHeight w:val="19"/>
        </w:trPr>
        <w:tc>
          <w:tcPr>
            <w:tcW w:w="1716" w:type="dxa"/>
            <w:tcBorders>
              <w:top w:val="nil"/>
              <w:left w:val="single" w:sz="4" w:space="0" w:color="auto"/>
              <w:bottom w:val="single" w:sz="4" w:space="0" w:color="auto"/>
              <w:right w:val="single" w:sz="4" w:space="0" w:color="auto"/>
            </w:tcBorders>
            <w:shd w:val="clear" w:color="auto" w:fill="auto"/>
            <w:vAlign w:val="bottom"/>
            <w:hideMark/>
          </w:tcPr>
          <w:p w14:paraId="1C119CEA" w14:textId="77777777" w:rsidR="006B3618" w:rsidRPr="00640D24" w:rsidRDefault="006B3618">
            <w:pPr>
              <w:spacing w:after="0" w:line="240" w:lineRule="auto"/>
              <w:rPr>
                <w:rFonts w:eastAsia="Times New Roman" w:cs="Times New Roman"/>
                <w:color w:val="000000"/>
                <w:sz w:val="21"/>
                <w:szCs w:val="21"/>
              </w:rPr>
            </w:pPr>
            <w:r w:rsidRPr="00640D24">
              <w:rPr>
                <w:rFonts w:eastAsia="Times New Roman" w:cs="Times New Roman"/>
                <w:color w:val="000000"/>
                <w:sz w:val="21"/>
                <w:szCs w:val="21"/>
              </w:rPr>
              <w:t xml:space="preserve">Skatinti </w:t>
            </w:r>
            <w:proofErr w:type="spellStart"/>
            <w:r w:rsidRPr="00640D24">
              <w:rPr>
                <w:rFonts w:eastAsia="Times New Roman" w:cs="Times New Roman"/>
                <w:color w:val="000000"/>
                <w:sz w:val="21"/>
                <w:szCs w:val="21"/>
              </w:rPr>
              <w:t>startuolių</w:t>
            </w:r>
            <w:proofErr w:type="spellEnd"/>
            <w:r w:rsidRPr="00640D24">
              <w:rPr>
                <w:rFonts w:eastAsia="Times New Roman" w:cs="Times New Roman"/>
                <w:color w:val="000000"/>
                <w:sz w:val="21"/>
                <w:szCs w:val="21"/>
              </w:rPr>
              <w:t xml:space="preserve"> vystymą, </w:t>
            </w:r>
            <w:proofErr w:type="spellStart"/>
            <w:r w:rsidRPr="00640D24">
              <w:rPr>
                <w:rFonts w:eastAsia="Times New Roman" w:cs="Times New Roman"/>
                <w:color w:val="000000"/>
                <w:sz w:val="21"/>
                <w:szCs w:val="21"/>
              </w:rPr>
              <w:t>akceleravimą</w:t>
            </w:r>
            <w:proofErr w:type="spellEnd"/>
            <w:r w:rsidRPr="00640D24">
              <w:rPr>
                <w:rFonts w:eastAsia="Times New Roman" w:cs="Times New Roman"/>
                <w:color w:val="000000"/>
                <w:sz w:val="21"/>
                <w:szCs w:val="21"/>
              </w:rPr>
              <w:t xml:space="preserve"> ir plėtrą </w:t>
            </w:r>
          </w:p>
        </w:tc>
        <w:tc>
          <w:tcPr>
            <w:tcW w:w="1805" w:type="dxa"/>
            <w:tcBorders>
              <w:top w:val="nil"/>
              <w:left w:val="nil"/>
              <w:bottom w:val="single" w:sz="4" w:space="0" w:color="auto"/>
              <w:right w:val="single" w:sz="4" w:space="0" w:color="auto"/>
            </w:tcBorders>
            <w:shd w:val="clear" w:color="auto" w:fill="auto"/>
            <w:vAlign w:val="center"/>
            <w:hideMark/>
          </w:tcPr>
          <w:p w14:paraId="6ABD6EAF" w14:textId="4ABCAF6A" w:rsidR="006B3618" w:rsidRPr="00640D24" w:rsidRDefault="006B3618" w:rsidP="006A0F8D">
            <w:pPr>
              <w:spacing w:after="0" w:line="240" w:lineRule="auto"/>
              <w:jc w:val="center"/>
              <w:rPr>
                <w:rFonts w:eastAsia="Times New Roman" w:cs="Times New Roman"/>
                <w:sz w:val="21"/>
                <w:szCs w:val="21"/>
              </w:rPr>
            </w:pPr>
            <w:r w:rsidRPr="00640D24">
              <w:rPr>
                <w:rFonts w:eastAsia="Times New Roman" w:cs="Times New Roman"/>
                <w:sz w:val="21"/>
                <w:szCs w:val="21"/>
              </w:rPr>
              <w:t>30,19</w:t>
            </w:r>
          </w:p>
        </w:tc>
        <w:tc>
          <w:tcPr>
            <w:tcW w:w="1365" w:type="dxa"/>
            <w:tcBorders>
              <w:top w:val="nil"/>
              <w:left w:val="nil"/>
              <w:bottom w:val="single" w:sz="4" w:space="0" w:color="auto"/>
              <w:right w:val="single" w:sz="4" w:space="0" w:color="auto"/>
            </w:tcBorders>
            <w:shd w:val="clear" w:color="auto" w:fill="auto"/>
            <w:vAlign w:val="center"/>
            <w:hideMark/>
          </w:tcPr>
          <w:p w14:paraId="004C19D4" w14:textId="43A24CF3" w:rsidR="006B3618" w:rsidRPr="00640D24" w:rsidRDefault="006B3618" w:rsidP="006A0F8D">
            <w:pPr>
              <w:spacing w:after="0" w:line="240" w:lineRule="auto"/>
              <w:jc w:val="center"/>
              <w:rPr>
                <w:rFonts w:eastAsia="Times New Roman" w:cs="Times New Roman"/>
                <w:sz w:val="21"/>
                <w:szCs w:val="21"/>
              </w:rPr>
            </w:pPr>
            <w:r w:rsidRPr="00640D24">
              <w:rPr>
                <w:rFonts w:eastAsia="Times New Roman" w:cs="Times New Roman"/>
                <w:sz w:val="21"/>
                <w:szCs w:val="21"/>
              </w:rPr>
              <w:t>43,12</w:t>
            </w:r>
          </w:p>
        </w:tc>
        <w:tc>
          <w:tcPr>
            <w:tcW w:w="1445" w:type="dxa"/>
            <w:tcBorders>
              <w:top w:val="nil"/>
              <w:left w:val="nil"/>
              <w:bottom w:val="single" w:sz="4" w:space="0" w:color="auto"/>
              <w:right w:val="single" w:sz="4" w:space="0" w:color="auto"/>
            </w:tcBorders>
            <w:shd w:val="clear" w:color="auto" w:fill="auto"/>
            <w:vAlign w:val="center"/>
            <w:hideMark/>
          </w:tcPr>
          <w:p w14:paraId="02877CDD" w14:textId="6B624736" w:rsidR="006B3618" w:rsidRPr="00640D24" w:rsidRDefault="008F286E" w:rsidP="006A0F8D">
            <w:pPr>
              <w:spacing w:after="0" w:line="240" w:lineRule="auto"/>
              <w:jc w:val="center"/>
              <w:rPr>
                <w:rFonts w:eastAsia="Times New Roman" w:cs="Times New Roman"/>
                <w:sz w:val="21"/>
                <w:szCs w:val="21"/>
              </w:rPr>
            </w:pPr>
            <w:r w:rsidRPr="00640D24">
              <w:rPr>
                <w:rFonts w:eastAsia="Times New Roman" w:cs="Times New Roman"/>
                <w:sz w:val="21"/>
                <w:szCs w:val="21"/>
              </w:rPr>
              <w:t>36,01</w:t>
            </w:r>
          </w:p>
        </w:tc>
        <w:tc>
          <w:tcPr>
            <w:tcW w:w="1353" w:type="dxa"/>
            <w:tcBorders>
              <w:top w:val="nil"/>
              <w:left w:val="nil"/>
              <w:bottom w:val="single" w:sz="4" w:space="0" w:color="auto"/>
              <w:right w:val="single" w:sz="4" w:space="0" w:color="auto"/>
            </w:tcBorders>
            <w:shd w:val="clear" w:color="auto" w:fill="auto"/>
            <w:vAlign w:val="center"/>
            <w:hideMark/>
          </w:tcPr>
          <w:p w14:paraId="22CDC929" w14:textId="04EEB220" w:rsidR="006B3618" w:rsidRPr="00640D24" w:rsidRDefault="00297DCB" w:rsidP="006A0F8D">
            <w:pPr>
              <w:spacing w:after="0" w:line="240" w:lineRule="auto"/>
              <w:jc w:val="center"/>
              <w:rPr>
                <w:rFonts w:eastAsia="Times New Roman" w:cs="Times New Roman"/>
                <w:sz w:val="21"/>
                <w:szCs w:val="21"/>
              </w:rPr>
            </w:pPr>
            <w:r w:rsidRPr="00640D24">
              <w:rPr>
                <w:rFonts w:eastAsia="Times New Roman" w:cs="Times New Roman"/>
                <w:sz w:val="21"/>
                <w:szCs w:val="21"/>
              </w:rPr>
              <w:t>95,42</w:t>
            </w:r>
          </w:p>
        </w:tc>
        <w:tc>
          <w:tcPr>
            <w:tcW w:w="1944" w:type="dxa"/>
            <w:tcBorders>
              <w:top w:val="nil"/>
              <w:left w:val="nil"/>
              <w:bottom w:val="single" w:sz="4" w:space="0" w:color="auto"/>
              <w:right w:val="single" w:sz="4" w:space="0" w:color="auto"/>
            </w:tcBorders>
            <w:shd w:val="clear" w:color="auto" w:fill="auto"/>
            <w:vAlign w:val="center"/>
            <w:hideMark/>
          </w:tcPr>
          <w:p w14:paraId="4BAAE573" w14:textId="1240C4CC" w:rsidR="006B3618" w:rsidRPr="00640D24" w:rsidRDefault="0020361B" w:rsidP="006A0F8D">
            <w:pPr>
              <w:spacing w:after="0" w:line="240" w:lineRule="auto"/>
              <w:jc w:val="center"/>
              <w:rPr>
                <w:rFonts w:eastAsia="Times New Roman" w:cs="Times New Roman"/>
                <w:sz w:val="21"/>
                <w:szCs w:val="21"/>
              </w:rPr>
            </w:pPr>
            <w:r w:rsidRPr="00640D24">
              <w:rPr>
                <w:rFonts w:eastAsia="Times New Roman" w:cs="Times New Roman"/>
                <w:sz w:val="21"/>
                <w:szCs w:val="21"/>
              </w:rPr>
              <w:t>60,94</w:t>
            </w:r>
          </w:p>
        </w:tc>
      </w:tr>
      <w:tr w:rsidR="00854E73" w:rsidRPr="00640D24" w14:paraId="70C61AA5" w14:textId="77777777" w:rsidTr="006A0F8D">
        <w:trPr>
          <w:trHeight w:val="19"/>
        </w:trPr>
        <w:tc>
          <w:tcPr>
            <w:tcW w:w="1716" w:type="dxa"/>
            <w:tcBorders>
              <w:top w:val="nil"/>
              <w:left w:val="single" w:sz="4" w:space="0" w:color="auto"/>
              <w:bottom w:val="single" w:sz="4" w:space="0" w:color="auto"/>
              <w:right w:val="single" w:sz="4" w:space="0" w:color="auto"/>
            </w:tcBorders>
            <w:shd w:val="clear" w:color="auto" w:fill="auto"/>
            <w:vAlign w:val="bottom"/>
            <w:hideMark/>
          </w:tcPr>
          <w:p w14:paraId="5DC64211" w14:textId="77777777" w:rsidR="006B3618" w:rsidRPr="00640D24" w:rsidRDefault="006B3618">
            <w:pPr>
              <w:spacing w:after="0" w:line="240" w:lineRule="auto"/>
              <w:rPr>
                <w:rFonts w:eastAsia="Times New Roman" w:cs="Times New Roman"/>
                <w:color w:val="000000"/>
                <w:sz w:val="21"/>
                <w:szCs w:val="21"/>
              </w:rPr>
            </w:pPr>
            <w:r w:rsidRPr="00640D24">
              <w:rPr>
                <w:rFonts w:eastAsia="Times New Roman" w:cs="Times New Roman"/>
                <w:color w:val="000000"/>
                <w:sz w:val="21"/>
                <w:szCs w:val="21"/>
              </w:rPr>
              <w:t>Skatinti pradedančiųjų SVV subjektų kūrimąsi, augimą ir plėtrą</w:t>
            </w:r>
          </w:p>
        </w:tc>
        <w:tc>
          <w:tcPr>
            <w:tcW w:w="1805" w:type="dxa"/>
            <w:tcBorders>
              <w:top w:val="nil"/>
              <w:left w:val="nil"/>
              <w:bottom w:val="single" w:sz="4" w:space="0" w:color="auto"/>
              <w:right w:val="single" w:sz="4" w:space="0" w:color="auto"/>
            </w:tcBorders>
            <w:shd w:val="clear" w:color="auto" w:fill="auto"/>
            <w:vAlign w:val="center"/>
            <w:hideMark/>
          </w:tcPr>
          <w:p w14:paraId="19E17333" w14:textId="4148F98D" w:rsidR="006B3618" w:rsidRPr="00640D24" w:rsidRDefault="006B3618" w:rsidP="006A0F8D">
            <w:pPr>
              <w:spacing w:after="0" w:line="240" w:lineRule="auto"/>
              <w:jc w:val="center"/>
              <w:rPr>
                <w:rFonts w:eastAsia="Times New Roman" w:cs="Times New Roman"/>
                <w:sz w:val="21"/>
                <w:szCs w:val="21"/>
              </w:rPr>
            </w:pPr>
            <w:r w:rsidRPr="00640D24">
              <w:rPr>
                <w:rFonts w:eastAsia="Times New Roman" w:cs="Times New Roman"/>
                <w:sz w:val="21"/>
                <w:szCs w:val="21"/>
              </w:rPr>
              <w:t>21,82</w:t>
            </w:r>
          </w:p>
        </w:tc>
        <w:tc>
          <w:tcPr>
            <w:tcW w:w="1365" w:type="dxa"/>
            <w:tcBorders>
              <w:top w:val="nil"/>
              <w:left w:val="nil"/>
              <w:bottom w:val="single" w:sz="4" w:space="0" w:color="auto"/>
              <w:right w:val="single" w:sz="4" w:space="0" w:color="auto"/>
            </w:tcBorders>
            <w:shd w:val="clear" w:color="auto" w:fill="auto"/>
            <w:vAlign w:val="center"/>
            <w:hideMark/>
          </w:tcPr>
          <w:p w14:paraId="790D2A04" w14:textId="1E5A2A1D" w:rsidR="006B3618" w:rsidRPr="00640D24" w:rsidRDefault="00762283" w:rsidP="006A0F8D">
            <w:pPr>
              <w:spacing w:after="0" w:line="240" w:lineRule="auto"/>
              <w:jc w:val="center"/>
              <w:rPr>
                <w:rFonts w:eastAsia="Times New Roman" w:cs="Times New Roman"/>
                <w:sz w:val="21"/>
                <w:szCs w:val="21"/>
              </w:rPr>
            </w:pPr>
            <w:r w:rsidRPr="00640D24">
              <w:rPr>
                <w:rFonts w:eastAsia="Times New Roman" w:cs="Times New Roman"/>
                <w:sz w:val="21"/>
                <w:szCs w:val="21"/>
              </w:rPr>
              <w:t>272,33</w:t>
            </w:r>
          </w:p>
        </w:tc>
        <w:tc>
          <w:tcPr>
            <w:tcW w:w="1445" w:type="dxa"/>
            <w:tcBorders>
              <w:top w:val="nil"/>
              <w:left w:val="nil"/>
              <w:bottom w:val="single" w:sz="4" w:space="0" w:color="auto"/>
              <w:right w:val="single" w:sz="4" w:space="0" w:color="auto"/>
            </w:tcBorders>
            <w:shd w:val="clear" w:color="auto" w:fill="auto"/>
            <w:vAlign w:val="center"/>
            <w:hideMark/>
          </w:tcPr>
          <w:p w14:paraId="0911C807" w14:textId="69CA12FE" w:rsidR="006B3618" w:rsidRPr="00640D24" w:rsidRDefault="006B3618" w:rsidP="006A0F8D">
            <w:pPr>
              <w:spacing w:after="0" w:line="240" w:lineRule="auto"/>
              <w:jc w:val="center"/>
              <w:rPr>
                <w:rFonts w:eastAsia="Times New Roman" w:cs="Times New Roman"/>
                <w:sz w:val="21"/>
                <w:szCs w:val="21"/>
              </w:rPr>
            </w:pPr>
            <w:r w:rsidRPr="00640D24">
              <w:rPr>
                <w:rFonts w:eastAsia="Times New Roman" w:cs="Times New Roman"/>
                <w:sz w:val="21"/>
                <w:szCs w:val="21"/>
              </w:rPr>
              <w:t>23,48</w:t>
            </w:r>
          </w:p>
        </w:tc>
        <w:tc>
          <w:tcPr>
            <w:tcW w:w="1353" w:type="dxa"/>
            <w:tcBorders>
              <w:top w:val="nil"/>
              <w:left w:val="nil"/>
              <w:bottom w:val="single" w:sz="4" w:space="0" w:color="auto"/>
              <w:right w:val="single" w:sz="4" w:space="0" w:color="auto"/>
            </w:tcBorders>
            <w:shd w:val="clear" w:color="auto" w:fill="auto"/>
            <w:vAlign w:val="center"/>
            <w:hideMark/>
          </w:tcPr>
          <w:p w14:paraId="0A336FAA" w14:textId="0847892C" w:rsidR="006B3618" w:rsidRPr="00640D24" w:rsidRDefault="006B3618" w:rsidP="006A0F8D">
            <w:pPr>
              <w:spacing w:after="0" w:line="240" w:lineRule="auto"/>
              <w:jc w:val="center"/>
              <w:rPr>
                <w:rFonts w:eastAsia="Times New Roman" w:cs="Times New Roman"/>
                <w:sz w:val="21"/>
                <w:szCs w:val="21"/>
              </w:rPr>
            </w:pPr>
            <w:r w:rsidRPr="00640D24">
              <w:rPr>
                <w:rFonts w:eastAsia="Times New Roman" w:cs="Times New Roman"/>
                <w:sz w:val="21"/>
                <w:szCs w:val="21"/>
              </w:rPr>
              <w:t>389,04</w:t>
            </w:r>
          </w:p>
        </w:tc>
        <w:tc>
          <w:tcPr>
            <w:tcW w:w="1944" w:type="dxa"/>
            <w:tcBorders>
              <w:top w:val="nil"/>
              <w:left w:val="nil"/>
              <w:bottom w:val="single" w:sz="4" w:space="0" w:color="auto"/>
              <w:right w:val="single" w:sz="4" w:space="0" w:color="auto"/>
            </w:tcBorders>
            <w:shd w:val="clear" w:color="auto" w:fill="auto"/>
            <w:vAlign w:val="center"/>
            <w:hideMark/>
          </w:tcPr>
          <w:p w14:paraId="724F8C4B" w14:textId="3B6609DE" w:rsidR="006B3618" w:rsidRPr="00640D24" w:rsidRDefault="006B3618" w:rsidP="006A0F8D">
            <w:pPr>
              <w:spacing w:after="0" w:line="240" w:lineRule="auto"/>
              <w:jc w:val="center"/>
              <w:rPr>
                <w:rFonts w:eastAsia="Times New Roman" w:cs="Times New Roman"/>
                <w:sz w:val="21"/>
                <w:szCs w:val="21"/>
              </w:rPr>
            </w:pPr>
            <w:r w:rsidRPr="00640D24">
              <w:rPr>
                <w:rFonts w:eastAsia="Times New Roman" w:cs="Times New Roman"/>
                <w:sz w:val="21"/>
                <w:szCs w:val="21"/>
              </w:rPr>
              <w:t>39,12</w:t>
            </w:r>
          </w:p>
        </w:tc>
      </w:tr>
      <w:tr w:rsidR="00854E73" w:rsidRPr="00640D24" w14:paraId="5BA449E9" w14:textId="77777777" w:rsidTr="006A0F8D">
        <w:trPr>
          <w:trHeight w:val="19"/>
        </w:trPr>
        <w:tc>
          <w:tcPr>
            <w:tcW w:w="1716" w:type="dxa"/>
            <w:tcBorders>
              <w:top w:val="nil"/>
              <w:left w:val="single" w:sz="4" w:space="0" w:color="auto"/>
              <w:bottom w:val="single" w:sz="4" w:space="0" w:color="auto"/>
              <w:right w:val="single" w:sz="4" w:space="0" w:color="auto"/>
            </w:tcBorders>
            <w:shd w:val="clear" w:color="auto" w:fill="auto"/>
            <w:vAlign w:val="bottom"/>
            <w:hideMark/>
          </w:tcPr>
          <w:p w14:paraId="7AF92074" w14:textId="77777777" w:rsidR="006B3618" w:rsidRPr="00640D24" w:rsidRDefault="006B3618">
            <w:pPr>
              <w:spacing w:after="0" w:line="240" w:lineRule="auto"/>
              <w:rPr>
                <w:rFonts w:eastAsia="Times New Roman" w:cs="Times New Roman"/>
                <w:color w:val="000000"/>
                <w:sz w:val="21"/>
                <w:szCs w:val="21"/>
              </w:rPr>
            </w:pPr>
            <w:r w:rsidRPr="00640D24">
              <w:rPr>
                <w:rFonts w:eastAsia="Times New Roman" w:cs="Times New Roman"/>
                <w:color w:val="000000"/>
                <w:sz w:val="21"/>
                <w:szCs w:val="21"/>
              </w:rPr>
              <w:t xml:space="preserve">Skatinti inovacijų pasiūlą </w:t>
            </w:r>
          </w:p>
        </w:tc>
        <w:tc>
          <w:tcPr>
            <w:tcW w:w="1805" w:type="dxa"/>
            <w:tcBorders>
              <w:top w:val="nil"/>
              <w:left w:val="nil"/>
              <w:bottom w:val="single" w:sz="4" w:space="0" w:color="auto"/>
              <w:right w:val="single" w:sz="4" w:space="0" w:color="auto"/>
            </w:tcBorders>
            <w:shd w:val="clear" w:color="auto" w:fill="auto"/>
            <w:vAlign w:val="center"/>
            <w:hideMark/>
          </w:tcPr>
          <w:p w14:paraId="425EED5D" w14:textId="54955BEB" w:rsidR="006B3618" w:rsidRPr="00640D24" w:rsidRDefault="006B3618" w:rsidP="006A0F8D">
            <w:pPr>
              <w:spacing w:after="0" w:line="240" w:lineRule="auto"/>
              <w:jc w:val="center"/>
              <w:rPr>
                <w:rFonts w:eastAsia="Times New Roman" w:cs="Times New Roman"/>
                <w:sz w:val="21"/>
                <w:szCs w:val="21"/>
              </w:rPr>
            </w:pPr>
            <w:r w:rsidRPr="00640D24">
              <w:rPr>
                <w:rFonts w:eastAsia="Times New Roman" w:cs="Times New Roman"/>
                <w:sz w:val="21"/>
                <w:szCs w:val="21"/>
              </w:rPr>
              <w:t>50,37</w:t>
            </w:r>
          </w:p>
        </w:tc>
        <w:tc>
          <w:tcPr>
            <w:tcW w:w="1365" w:type="dxa"/>
            <w:tcBorders>
              <w:top w:val="nil"/>
              <w:left w:val="nil"/>
              <w:bottom w:val="single" w:sz="4" w:space="0" w:color="auto"/>
              <w:right w:val="single" w:sz="4" w:space="0" w:color="auto"/>
            </w:tcBorders>
            <w:shd w:val="clear" w:color="auto" w:fill="auto"/>
            <w:vAlign w:val="center"/>
            <w:hideMark/>
          </w:tcPr>
          <w:p w14:paraId="4EC4DFED" w14:textId="41BD3090" w:rsidR="006B3618" w:rsidRPr="00640D24" w:rsidRDefault="00FB3BDC" w:rsidP="006A0F8D">
            <w:pPr>
              <w:spacing w:after="0" w:line="240" w:lineRule="auto"/>
              <w:jc w:val="center"/>
              <w:rPr>
                <w:rFonts w:eastAsia="Times New Roman" w:cs="Times New Roman"/>
                <w:sz w:val="21"/>
                <w:szCs w:val="21"/>
              </w:rPr>
            </w:pPr>
            <w:r w:rsidRPr="00640D24">
              <w:rPr>
                <w:rFonts w:eastAsia="Times New Roman" w:cs="Times New Roman"/>
                <w:sz w:val="21"/>
                <w:szCs w:val="21"/>
              </w:rPr>
              <w:t>38</w:t>
            </w:r>
            <w:r w:rsidR="006B3618" w:rsidRPr="00640D24">
              <w:rPr>
                <w:rFonts w:eastAsia="Times New Roman" w:cs="Times New Roman"/>
                <w:sz w:val="21"/>
                <w:szCs w:val="21"/>
              </w:rPr>
              <w:t>6,06</w:t>
            </w:r>
          </w:p>
        </w:tc>
        <w:tc>
          <w:tcPr>
            <w:tcW w:w="1445" w:type="dxa"/>
            <w:tcBorders>
              <w:top w:val="nil"/>
              <w:left w:val="nil"/>
              <w:bottom w:val="single" w:sz="4" w:space="0" w:color="auto"/>
              <w:right w:val="single" w:sz="4" w:space="0" w:color="auto"/>
            </w:tcBorders>
            <w:shd w:val="clear" w:color="auto" w:fill="auto"/>
            <w:vAlign w:val="center"/>
            <w:hideMark/>
          </w:tcPr>
          <w:p w14:paraId="71CF6A73" w14:textId="11FCE5FC" w:rsidR="006B3618" w:rsidRPr="00640D24" w:rsidRDefault="006B3618" w:rsidP="006A0F8D">
            <w:pPr>
              <w:spacing w:after="0" w:line="240" w:lineRule="auto"/>
              <w:jc w:val="center"/>
              <w:rPr>
                <w:rFonts w:eastAsia="Times New Roman" w:cs="Times New Roman"/>
                <w:sz w:val="21"/>
                <w:szCs w:val="21"/>
              </w:rPr>
            </w:pPr>
            <w:r w:rsidRPr="00640D24">
              <w:rPr>
                <w:rFonts w:eastAsia="Times New Roman" w:cs="Times New Roman"/>
                <w:sz w:val="21"/>
                <w:szCs w:val="21"/>
              </w:rPr>
              <w:t>100,73</w:t>
            </w:r>
          </w:p>
        </w:tc>
        <w:tc>
          <w:tcPr>
            <w:tcW w:w="1353" w:type="dxa"/>
            <w:tcBorders>
              <w:top w:val="nil"/>
              <w:left w:val="nil"/>
              <w:bottom w:val="single" w:sz="4" w:space="0" w:color="auto"/>
              <w:right w:val="single" w:sz="4" w:space="0" w:color="auto"/>
            </w:tcBorders>
            <w:shd w:val="clear" w:color="auto" w:fill="auto"/>
            <w:vAlign w:val="center"/>
            <w:hideMark/>
          </w:tcPr>
          <w:p w14:paraId="3D33B86F" w14:textId="0D54929C" w:rsidR="006B3618" w:rsidRPr="00640D24" w:rsidRDefault="00FB3BDC" w:rsidP="006A0F8D">
            <w:pPr>
              <w:spacing w:after="0" w:line="240" w:lineRule="auto"/>
              <w:jc w:val="center"/>
              <w:rPr>
                <w:rFonts w:eastAsia="Times New Roman" w:cs="Times New Roman"/>
                <w:sz w:val="21"/>
                <w:szCs w:val="21"/>
              </w:rPr>
            </w:pPr>
            <w:r w:rsidRPr="00640D24">
              <w:rPr>
                <w:rFonts w:eastAsia="Times New Roman" w:cs="Times New Roman"/>
                <w:sz w:val="21"/>
                <w:szCs w:val="21"/>
              </w:rPr>
              <w:t>47</w:t>
            </w:r>
            <w:r w:rsidR="006B3618" w:rsidRPr="00640D24">
              <w:rPr>
                <w:rFonts w:eastAsia="Times New Roman" w:cs="Times New Roman"/>
                <w:sz w:val="21"/>
                <w:szCs w:val="21"/>
              </w:rPr>
              <w:t>6,06</w:t>
            </w:r>
          </w:p>
        </w:tc>
        <w:tc>
          <w:tcPr>
            <w:tcW w:w="1944" w:type="dxa"/>
            <w:tcBorders>
              <w:top w:val="nil"/>
              <w:left w:val="nil"/>
              <w:bottom w:val="single" w:sz="4" w:space="0" w:color="auto"/>
              <w:right w:val="single" w:sz="4" w:space="0" w:color="auto"/>
            </w:tcBorders>
            <w:shd w:val="clear" w:color="auto" w:fill="auto"/>
            <w:vAlign w:val="center"/>
            <w:hideMark/>
          </w:tcPr>
          <w:p w14:paraId="04376181" w14:textId="00891F80" w:rsidR="006B3618" w:rsidRPr="00640D24" w:rsidRDefault="006B3618" w:rsidP="006A0F8D">
            <w:pPr>
              <w:spacing w:after="0" w:line="240" w:lineRule="auto"/>
              <w:jc w:val="center"/>
              <w:rPr>
                <w:rFonts w:eastAsia="Times New Roman" w:cs="Times New Roman"/>
                <w:sz w:val="21"/>
                <w:szCs w:val="21"/>
              </w:rPr>
            </w:pPr>
            <w:r w:rsidRPr="00640D24">
              <w:rPr>
                <w:rFonts w:eastAsia="Times New Roman" w:cs="Times New Roman"/>
                <w:sz w:val="21"/>
                <w:szCs w:val="21"/>
              </w:rPr>
              <w:t>100,73</w:t>
            </w:r>
          </w:p>
        </w:tc>
      </w:tr>
      <w:tr w:rsidR="00854E73" w:rsidRPr="00640D24" w14:paraId="4243C6FC" w14:textId="77777777" w:rsidTr="006A0F8D">
        <w:trPr>
          <w:trHeight w:val="19"/>
        </w:trPr>
        <w:tc>
          <w:tcPr>
            <w:tcW w:w="1716" w:type="dxa"/>
            <w:tcBorders>
              <w:top w:val="nil"/>
              <w:left w:val="single" w:sz="4" w:space="0" w:color="auto"/>
              <w:bottom w:val="single" w:sz="4" w:space="0" w:color="auto"/>
              <w:right w:val="single" w:sz="4" w:space="0" w:color="auto"/>
            </w:tcBorders>
            <w:shd w:val="clear" w:color="auto" w:fill="auto"/>
            <w:vAlign w:val="bottom"/>
            <w:hideMark/>
          </w:tcPr>
          <w:p w14:paraId="7F80940C" w14:textId="77777777" w:rsidR="00B10EFE" w:rsidRPr="00640D24" w:rsidRDefault="00B10EFE">
            <w:pPr>
              <w:spacing w:after="0" w:line="240" w:lineRule="auto"/>
              <w:rPr>
                <w:rFonts w:eastAsia="Times New Roman" w:cs="Times New Roman"/>
                <w:color w:val="000000"/>
                <w:sz w:val="21"/>
                <w:szCs w:val="21"/>
              </w:rPr>
            </w:pPr>
            <w:r w:rsidRPr="00640D24">
              <w:rPr>
                <w:rFonts w:eastAsia="Times New Roman" w:cs="Times New Roman"/>
                <w:color w:val="000000"/>
                <w:sz w:val="21"/>
                <w:szCs w:val="21"/>
              </w:rPr>
              <w:lastRenderedPageBreak/>
              <w:t xml:space="preserve">Skatinti trumpų vertės kūrimo grandinių formavimąsi ir plėtrą tarp MVĮ </w:t>
            </w:r>
          </w:p>
        </w:tc>
        <w:tc>
          <w:tcPr>
            <w:tcW w:w="1805" w:type="dxa"/>
            <w:tcBorders>
              <w:top w:val="nil"/>
              <w:left w:val="nil"/>
              <w:bottom w:val="single" w:sz="4" w:space="0" w:color="auto"/>
              <w:right w:val="single" w:sz="4" w:space="0" w:color="auto"/>
            </w:tcBorders>
            <w:shd w:val="clear" w:color="auto" w:fill="auto"/>
            <w:vAlign w:val="center"/>
            <w:hideMark/>
          </w:tcPr>
          <w:p w14:paraId="02BC8CAB" w14:textId="77777777" w:rsidR="00B10EFE" w:rsidRPr="00640D24" w:rsidRDefault="00B10EFE" w:rsidP="006A0F8D">
            <w:pPr>
              <w:spacing w:after="0" w:line="240" w:lineRule="auto"/>
              <w:jc w:val="center"/>
              <w:rPr>
                <w:rFonts w:eastAsia="Times New Roman" w:cs="Times New Roman"/>
                <w:sz w:val="21"/>
                <w:szCs w:val="21"/>
              </w:rPr>
            </w:pPr>
            <w:r w:rsidRPr="00640D24">
              <w:rPr>
                <w:rFonts w:eastAsia="Times New Roman" w:cs="Times New Roman"/>
                <w:sz w:val="21"/>
                <w:szCs w:val="21"/>
              </w:rPr>
              <w:t>23,02</w:t>
            </w:r>
          </w:p>
        </w:tc>
        <w:tc>
          <w:tcPr>
            <w:tcW w:w="1365" w:type="dxa"/>
            <w:tcBorders>
              <w:top w:val="nil"/>
              <w:left w:val="nil"/>
              <w:bottom w:val="single" w:sz="4" w:space="0" w:color="auto"/>
              <w:right w:val="single" w:sz="4" w:space="0" w:color="auto"/>
            </w:tcBorders>
            <w:shd w:val="clear" w:color="auto" w:fill="auto"/>
            <w:vAlign w:val="center"/>
            <w:hideMark/>
          </w:tcPr>
          <w:p w14:paraId="166D3CC9" w14:textId="77777777" w:rsidR="00B10EFE" w:rsidRPr="00640D24" w:rsidRDefault="00B10EFE" w:rsidP="006A0F8D">
            <w:pPr>
              <w:spacing w:after="0" w:line="240" w:lineRule="auto"/>
              <w:jc w:val="center"/>
              <w:rPr>
                <w:rFonts w:eastAsia="Times New Roman" w:cs="Times New Roman"/>
                <w:sz w:val="21"/>
                <w:szCs w:val="21"/>
              </w:rPr>
            </w:pPr>
            <w:r w:rsidRPr="00640D24">
              <w:rPr>
                <w:rFonts w:eastAsia="Times New Roman" w:cs="Times New Roman"/>
                <w:sz w:val="21"/>
                <w:szCs w:val="21"/>
              </w:rPr>
              <w:t>95,62</w:t>
            </w:r>
          </w:p>
        </w:tc>
        <w:tc>
          <w:tcPr>
            <w:tcW w:w="1445" w:type="dxa"/>
            <w:tcBorders>
              <w:top w:val="nil"/>
              <w:left w:val="nil"/>
              <w:bottom w:val="single" w:sz="4" w:space="0" w:color="auto"/>
              <w:right w:val="single" w:sz="4" w:space="0" w:color="auto"/>
            </w:tcBorders>
            <w:shd w:val="clear" w:color="auto" w:fill="auto"/>
            <w:vAlign w:val="center"/>
            <w:hideMark/>
          </w:tcPr>
          <w:p w14:paraId="77C1BB7E" w14:textId="77777777" w:rsidR="00B10EFE" w:rsidRPr="00640D24" w:rsidRDefault="00B10EFE" w:rsidP="006A0F8D">
            <w:pPr>
              <w:spacing w:after="0" w:line="240" w:lineRule="auto"/>
              <w:jc w:val="center"/>
              <w:rPr>
                <w:rFonts w:eastAsia="Times New Roman" w:cs="Times New Roman"/>
                <w:sz w:val="21"/>
                <w:szCs w:val="21"/>
              </w:rPr>
            </w:pPr>
            <w:r w:rsidRPr="00640D24">
              <w:rPr>
                <w:rFonts w:eastAsia="Times New Roman" w:cs="Times New Roman"/>
                <w:sz w:val="21"/>
                <w:szCs w:val="21"/>
              </w:rPr>
              <w:t>27,08</w:t>
            </w:r>
          </w:p>
        </w:tc>
        <w:tc>
          <w:tcPr>
            <w:tcW w:w="1353" w:type="dxa"/>
            <w:tcBorders>
              <w:top w:val="nil"/>
              <w:left w:val="nil"/>
              <w:bottom w:val="single" w:sz="4" w:space="0" w:color="auto"/>
              <w:right w:val="single" w:sz="4" w:space="0" w:color="auto"/>
            </w:tcBorders>
            <w:shd w:val="clear" w:color="auto" w:fill="auto"/>
            <w:vAlign w:val="center"/>
            <w:hideMark/>
          </w:tcPr>
          <w:p w14:paraId="5E42C4C3" w14:textId="77777777" w:rsidR="00B10EFE" w:rsidRPr="00640D24" w:rsidRDefault="00B10EFE" w:rsidP="006A0F8D">
            <w:pPr>
              <w:spacing w:after="0" w:line="240" w:lineRule="auto"/>
              <w:jc w:val="center"/>
              <w:rPr>
                <w:rFonts w:eastAsia="Times New Roman" w:cs="Times New Roman"/>
                <w:sz w:val="21"/>
                <w:szCs w:val="21"/>
              </w:rPr>
            </w:pPr>
            <w:r w:rsidRPr="00640D24">
              <w:rPr>
                <w:rFonts w:eastAsia="Times New Roman" w:cs="Times New Roman"/>
                <w:sz w:val="21"/>
                <w:szCs w:val="21"/>
              </w:rPr>
              <w:t>145,66</w:t>
            </w:r>
          </w:p>
        </w:tc>
        <w:tc>
          <w:tcPr>
            <w:tcW w:w="1944" w:type="dxa"/>
            <w:tcBorders>
              <w:top w:val="nil"/>
              <w:left w:val="nil"/>
              <w:bottom w:val="single" w:sz="4" w:space="0" w:color="auto"/>
              <w:right w:val="single" w:sz="4" w:space="0" w:color="auto"/>
            </w:tcBorders>
            <w:shd w:val="clear" w:color="auto" w:fill="auto"/>
            <w:vAlign w:val="center"/>
            <w:hideMark/>
          </w:tcPr>
          <w:p w14:paraId="42834D93" w14:textId="77777777" w:rsidR="00B10EFE" w:rsidRPr="00640D24" w:rsidRDefault="00B10EFE" w:rsidP="006A0F8D">
            <w:pPr>
              <w:spacing w:after="0" w:line="240" w:lineRule="auto"/>
              <w:jc w:val="center"/>
              <w:rPr>
                <w:rFonts w:eastAsia="Times New Roman" w:cs="Times New Roman"/>
                <w:sz w:val="21"/>
                <w:szCs w:val="21"/>
              </w:rPr>
            </w:pPr>
            <w:r w:rsidRPr="00640D24">
              <w:rPr>
                <w:rFonts w:eastAsia="Times New Roman" w:cs="Times New Roman"/>
                <w:sz w:val="21"/>
                <w:szCs w:val="21"/>
              </w:rPr>
              <w:t>27,08</w:t>
            </w:r>
          </w:p>
        </w:tc>
      </w:tr>
      <w:tr w:rsidR="001E5C0D" w:rsidRPr="00640D24" w14:paraId="54C8AE19" w14:textId="77777777" w:rsidTr="006A0F8D">
        <w:trPr>
          <w:trHeight w:val="19"/>
        </w:trPr>
        <w:tc>
          <w:tcPr>
            <w:tcW w:w="1716" w:type="dxa"/>
            <w:tcBorders>
              <w:top w:val="nil"/>
              <w:left w:val="single" w:sz="4" w:space="0" w:color="auto"/>
              <w:bottom w:val="single" w:sz="4" w:space="0" w:color="auto"/>
              <w:right w:val="single" w:sz="4" w:space="0" w:color="auto"/>
            </w:tcBorders>
            <w:shd w:val="clear" w:color="auto" w:fill="auto"/>
            <w:vAlign w:val="bottom"/>
          </w:tcPr>
          <w:p w14:paraId="38EF4992" w14:textId="7F2F3A76" w:rsidR="00854E73" w:rsidRPr="00640D24" w:rsidRDefault="00854E73">
            <w:pPr>
              <w:spacing w:after="0" w:line="240" w:lineRule="auto"/>
              <w:rPr>
                <w:rFonts w:eastAsia="Times New Roman" w:cs="Times New Roman"/>
                <w:color w:val="000000"/>
                <w:sz w:val="21"/>
                <w:szCs w:val="21"/>
              </w:rPr>
            </w:pPr>
            <w:r w:rsidRPr="00640D24">
              <w:rPr>
                <w:rFonts w:eastAsia="Times New Roman" w:cs="Times New Roman"/>
                <w:color w:val="000000"/>
                <w:sz w:val="21"/>
                <w:szCs w:val="21"/>
              </w:rPr>
              <w:t>Sudaryti sąlygas tvariai pramonės transformacijai</w:t>
            </w:r>
          </w:p>
        </w:tc>
        <w:tc>
          <w:tcPr>
            <w:tcW w:w="1805" w:type="dxa"/>
            <w:tcBorders>
              <w:top w:val="nil"/>
              <w:left w:val="nil"/>
              <w:bottom w:val="single" w:sz="4" w:space="0" w:color="auto"/>
              <w:right w:val="single" w:sz="4" w:space="0" w:color="auto"/>
            </w:tcBorders>
            <w:shd w:val="clear" w:color="auto" w:fill="auto"/>
            <w:vAlign w:val="center"/>
          </w:tcPr>
          <w:p w14:paraId="4EE641AD" w14:textId="6EC54B8A" w:rsidR="00854E73" w:rsidRPr="00640D24" w:rsidRDefault="00854E73" w:rsidP="006A0F8D">
            <w:pPr>
              <w:spacing w:after="0" w:line="240" w:lineRule="auto"/>
              <w:jc w:val="center"/>
              <w:rPr>
                <w:rFonts w:eastAsia="Times New Roman" w:cs="Times New Roman"/>
                <w:sz w:val="21"/>
                <w:szCs w:val="21"/>
              </w:rPr>
            </w:pPr>
            <w:r w:rsidRPr="00640D24">
              <w:rPr>
                <w:rFonts w:eastAsia="Times New Roman" w:cs="Times New Roman"/>
                <w:sz w:val="21"/>
                <w:szCs w:val="21"/>
              </w:rPr>
              <w:t>38,48</w:t>
            </w:r>
          </w:p>
        </w:tc>
        <w:tc>
          <w:tcPr>
            <w:tcW w:w="1365" w:type="dxa"/>
            <w:vMerge w:val="restart"/>
            <w:tcBorders>
              <w:top w:val="nil"/>
              <w:left w:val="nil"/>
              <w:right w:val="single" w:sz="4" w:space="0" w:color="auto"/>
            </w:tcBorders>
            <w:shd w:val="clear" w:color="auto" w:fill="auto"/>
            <w:vAlign w:val="center"/>
          </w:tcPr>
          <w:p w14:paraId="0645C9AF" w14:textId="1BE7166C" w:rsidR="00854E73" w:rsidRPr="00640D24" w:rsidRDefault="00854E73" w:rsidP="006A0F8D">
            <w:pPr>
              <w:spacing w:after="0" w:line="240" w:lineRule="auto"/>
              <w:jc w:val="center"/>
              <w:rPr>
                <w:rFonts w:eastAsia="Times New Roman" w:cs="Times New Roman"/>
                <w:sz w:val="21"/>
                <w:szCs w:val="21"/>
              </w:rPr>
            </w:pPr>
            <w:r w:rsidRPr="00640D24">
              <w:rPr>
                <w:rFonts w:eastAsia="Times New Roman" w:cs="Times New Roman"/>
                <w:sz w:val="21"/>
                <w:szCs w:val="21"/>
              </w:rPr>
              <w:t>1 795,87</w:t>
            </w:r>
          </w:p>
          <w:p w14:paraId="7272694E" w14:textId="2C4EA8CF" w:rsidR="00854E73" w:rsidRPr="00640D24" w:rsidDel="00B10EFE" w:rsidRDefault="00854E73" w:rsidP="006A0F8D">
            <w:pPr>
              <w:spacing w:after="0" w:line="240" w:lineRule="auto"/>
              <w:jc w:val="center"/>
              <w:rPr>
                <w:rFonts w:eastAsia="Times New Roman" w:cs="Times New Roman"/>
                <w:sz w:val="21"/>
                <w:szCs w:val="21"/>
              </w:rPr>
            </w:pPr>
          </w:p>
        </w:tc>
        <w:tc>
          <w:tcPr>
            <w:tcW w:w="1445" w:type="dxa"/>
            <w:tcBorders>
              <w:top w:val="nil"/>
              <w:left w:val="nil"/>
              <w:bottom w:val="single" w:sz="4" w:space="0" w:color="auto"/>
              <w:right w:val="single" w:sz="4" w:space="0" w:color="auto"/>
            </w:tcBorders>
            <w:shd w:val="clear" w:color="auto" w:fill="auto"/>
            <w:vAlign w:val="center"/>
          </w:tcPr>
          <w:p w14:paraId="2A3EBEE9" w14:textId="79D60648" w:rsidR="00854E73" w:rsidRPr="00640D24" w:rsidRDefault="00854E73" w:rsidP="006A0F8D">
            <w:pPr>
              <w:spacing w:after="0" w:line="240" w:lineRule="auto"/>
              <w:jc w:val="center"/>
              <w:rPr>
                <w:rFonts w:eastAsia="Times New Roman" w:cs="Times New Roman"/>
                <w:sz w:val="21"/>
                <w:szCs w:val="21"/>
              </w:rPr>
            </w:pPr>
            <w:r w:rsidRPr="00640D24">
              <w:rPr>
                <w:rFonts w:eastAsia="Times New Roman" w:cs="Times New Roman"/>
                <w:sz w:val="21"/>
                <w:szCs w:val="21"/>
              </w:rPr>
              <w:t>45,27</w:t>
            </w:r>
          </w:p>
        </w:tc>
        <w:tc>
          <w:tcPr>
            <w:tcW w:w="1353" w:type="dxa"/>
            <w:vMerge w:val="restart"/>
            <w:tcBorders>
              <w:top w:val="nil"/>
              <w:left w:val="nil"/>
              <w:right w:val="single" w:sz="4" w:space="0" w:color="auto"/>
            </w:tcBorders>
            <w:shd w:val="clear" w:color="auto" w:fill="auto"/>
            <w:vAlign w:val="center"/>
          </w:tcPr>
          <w:p w14:paraId="442EC7F0" w14:textId="647A5909" w:rsidR="00854E73" w:rsidRPr="00640D24" w:rsidRDefault="001C7D86" w:rsidP="006A0F8D">
            <w:pPr>
              <w:spacing w:after="0" w:line="240" w:lineRule="auto"/>
              <w:jc w:val="center"/>
              <w:rPr>
                <w:rFonts w:eastAsia="Times New Roman" w:cs="Times New Roman"/>
                <w:sz w:val="21"/>
                <w:szCs w:val="21"/>
              </w:rPr>
            </w:pPr>
            <w:r w:rsidRPr="00640D24">
              <w:rPr>
                <w:rFonts w:eastAsia="Times New Roman" w:cs="Times New Roman"/>
                <w:sz w:val="21"/>
                <w:szCs w:val="21"/>
              </w:rPr>
              <w:t>3</w:t>
            </w:r>
            <w:r w:rsidR="009D6289" w:rsidRPr="00640D24">
              <w:rPr>
                <w:rFonts w:eastAsia="Times New Roman" w:cs="Times New Roman"/>
                <w:sz w:val="21"/>
                <w:szCs w:val="21"/>
              </w:rPr>
              <w:t>11</w:t>
            </w:r>
            <w:r w:rsidRPr="00640D24">
              <w:rPr>
                <w:rFonts w:eastAsia="Times New Roman" w:cs="Times New Roman"/>
                <w:sz w:val="21"/>
                <w:szCs w:val="21"/>
              </w:rPr>
              <w:t>6</w:t>
            </w:r>
            <w:r w:rsidR="00854E73" w:rsidRPr="00640D24">
              <w:rPr>
                <w:rFonts w:eastAsia="Times New Roman" w:cs="Times New Roman"/>
                <w:sz w:val="21"/>
                <w:szCs w:val="21"/>
              </w:rPr>
              <w:t>,42</w:t>
            </w:r>
          </w:p>
        </w:tc>
        <w:tc>
          <w:tcPr>
            <w:tcW w:w="1944" w:type="dxa"/>
            <w:tcBorders>
              <w:top w:val="nil"/>
              <w:left w:val="nil"/>
              <w:bottom w:val="single" w:sz="4" w:space="0" w:color="auto"/>
              <w:right w:val="single" w:sz="4" w:space="0" w:color="auto"/>
            </w:tcBorders>
            <w:shd w:val="clear" w:color="auto" w:fill="auto"/>
            <w:vAlign w:val="center"/>
          </w:tcPr>
          <w:p w14:paraId="51B90D1D" w14:textId="6F83DE36" w:rsidR="00854E73" w:rsidRPr="00640D24" w:rsidRDefault="00854E73" w:rsidP="006A0F8D">
            <w:pPr>
              <w:spacing w:after="0" w:line="240" w:lineRule="auto"/>
              <w:jc w:val="center"/>
              <w:rPr>
                <w:rFonts w:eastAsia="Times New Roman" w:cs="Times New Roman"/>
                <w:sz w:val="21"/>
                <w:szCs w:val="21"/>
              </w:rPr>
            </w:pPr>
            <w:r w:rsidRPr="00640D24">
              <w:rPr>
                <w:rFonts w:eastAsia="Times New Roman" w:cs="Times New Roman"/>
                <w:sz w:val="21"/>
                <w:szCs w:val="21"/>
              </w:rPr>
              <w:t>45,27</w:t>
            </w:r>
          </w:p>
        </w:tc>
      </w:tr>
      <w:tr w:rsidR="001E5C0D" w:rsidRPr="00640D24" w14:paraId="1607DD3A" w14:textId="77777777" w:rsidTr="006A0F8D">
        <w:trPr>
          <w:trHeight w:val="19"/>
        </w:trPr>
        <w:tc>
          <w:tcPr>
            <w:tcW w:w="1716" w:type="dxa"/>
            <w:tcBorders>
              <w:top w:val="nil"/>
              <w:left w:val="single" w:sz="4" w:space="0" w:color="auto"/>
              <w:bottom w:val="single" w:sz="4" w:space="0" w:color="auto"/>
              <w:right w:val="single" w:sz="4" w:space="0" w:color="auto"/>
            </w:tcBorders>
            <w:shd w:val="clear" w:color="auto" w:fill="auto"/>
            <w:vAlign w:val="bottom"/>
            <w:hideMark/>
          </w:tcPr>
          <w:p w14:paraId="0B6EE62C" w14:textId="77777777" w:rsidR="00854E73" w:rsidRPr="00640D24" w:rsidRDefault="00854E73">
            <w:pPr>
              <w:spacing w:after="0" w:line="240" w:lineRule="auto"/>
              <w:rPr>
                <w:rFonts w:eastAsia="Times New Roman" w:cs="Times New Roman"/>
                <w:color w:val="000000"/>
                <w:sz w:val="21"/>
                <w:szCs w:val="21"/>
              </w:rPr>
            </w:pPr>
            <w:r w:rsidRPr="00640D24">
              <w:rPr>
                <w:rFonts w:eastAsia="Times New Roman" w:cs="Times New Roman"/>
                <w:color w:val="000000"/>
                <w:sz w:val="21"/>
                <w:szCs w:val="21"/>
              </w:rPr>
              <w:t xml:space="preserve">Skatinti pramonės  gamybos procesų automatizavimą ir </w:t>
            </w:r>
            <w:proofErr w:type="spellStart"/>
            <w:r w:rsidRPr="00640D24">
              <w:rPr>
                <w:rFonts w:eastAsia="Times New Roman" w:cs="Times New Roman"/>
                <w:color w:val="000000"/>
                <w:sz w:val="21"/>
                <w:szCs w:val="21"/>
              </w:rPr>
              <w:t>skaitmeninimo</w:t>
            </w:r>
            <w:proofErr w:type="spellEnd"/>
            <w:r w:rsidRPr="00640D24">
              <w:rPr>
                <w:rFonts w:eastAsia="Times New Roman" w:cs="Times New Roman"/>
                <w:color w:val="000000"/>
                <w:sz w:val="21"/>
                <w:szCs w:val="21"/>
              </w:rPr>
              <w:t xml:space="preserve"> technologijų diegimą (pramonės </w:t>
            </w:r>
            <w:proofErr w:type="spellStart"/>
            <w:r w:rsidRPr="00640D24">
              <w:rPr>
                <w:rFonts w:eastAsia="Times New Roman" w:cs="Times New Roman"/>
                <w:color w:val="000000"/>
                <w:sz w:val="21"/>
                <w:szCs w:val="21"/>
              </w:rPr>
              <w:t>skaitmeninimas</w:t>
            </w:r>
            <w:proofErr w:type="spellEnd"/>
            <w:r w:rsidRPr="00640D24">
              <w:rPr>
                <w:rFonts w:eastAsia="Times New Roman" w:cs="Times New Roman"/>
                <w:color w:val="000000"/>
                <w:sz w:val="21"/>
                <w:szCs w:val="21"/>
              </w:rPr>
              <w:t>)</w:t>
            </w:r>
          </w:p>
        </w:tc>
        <w:tc>
          <w:tcPr>
            <w:tcW w:w="1805" w:type="dxa"/>
            <w:tcBorders>
              <w:top w:val="nil"/>
              <w:left w:val="nil"/>
              <w:bottom w:val="single" w:sz="4" w:space="0" w:color="auto"/>
              <w:right w:val="single" w:sz="4" w:space="0" w:color="auto"/>
            </w:tcBorders>
            <w:shd w:val="clear" w:color="auto" w:fill="auto"/>
            <w:vAlign w:val="center"/>
            <w:hideMark/>
          </w:tcPr>
          <w:p w14:paraId="3880E97F" w14:textId="01A2D1C4" w:rsidR="00854E73" w:rsidRPr="00640D24" w:rsidRDefault="00854E73" w:rsidP="006A0F8D">
            <w:pPr>
              <w:spacing w:after="0" w:line="240" w:lineRule="auto"/>
              <w:jc w:val="center"/>
              <w:rPr>
                <w:rFonts w:eastAsia="Times New Roman" w:cs="Times New Roman"/>
                <w:sz w:val="21"/>
                <w:szCs w:val="21"/>
              </w:rPr>
            </w:pPr>
            <w:r w:rsidRPr="00640D24">
              <w:rPr>
                <w:rFonts w:eastAsia="Times New Roman" w:cs="Times New Roman"/>
                <w:sz w:val="21"/>
                <w:szCs w:val="21"/>
              </w:rPr>
              <w:t>40,93</w:t>
            </w:r>
          </w:p>
        </w:tc>
        <w:tc>
          <w:tcPr>
            <w:tcW w:w="1365" w:type="dxa"/>
            <w:vMerge/>
            <w:tcBorders>
              <w:left w:val="nil"/>
              <w:right w:val="single" w:sz="4" w:space="0" w:color="auto"/>
            </w:tcBorders>
            <w:shd w:val="clear" w:color="auto" w:fill="auto"/>
            <w:vAlign w:val="center"/>
          </w:tcPr>
          <w:p w14:paraId="448A79DD" w14:textId="35C8F08A" w:rsidR="00854E73" w:rsidRPr="00640D24" w:rsidRDefault="00854E73" w:rsidP="006A0F8D">
            <w:pPr>
              <w:spacing w:after="0" w:line="240" w:lineRule="auto"/>
              <w:jc w:val="center"/>
              <w:rPr>
                <w:rFonts w:eastAsia="Times New Roman" w:cs="Times New Roman"/>
                <w:sz w:val="21"/>
                <w:szCs w:val="21"/>
              </w:rPr>
            </w:pPr>
          </w:p>
        </w:tc>
        <w:tc>
          <w:tcPr>
            <w:tcW w:w="1445" w:type="dxa"/>
            <w:tcBorders>
              <w:top w:val="nil"/>
              <w:left w:val="nil"/>
              <w:bottom w:val="single" w:sz="4" w:space="0" w:color="auto"/>
              <w:right w:val="single" w:sz="4" w:space="0" w:color="auto"/>
            </w:tcBorders>
            <w:shd w:val="clear" w:color="auto" w:fill="auto"/>
            <w:vAlign w:val="center"/>
            <w:hideMark/>
          </w:tcPr>
          <w:p w14:paraId="0F71ED21" w14:textId="5E56055F" w:rsidR="00854E73" w:rsidRPr="00640D24" w:rsidRDefault="00854E73" w:rsidP="006A0F8D">
            <w:pPr>
              <w:spacing w:after="0" w:line="240" w:lineRule="auto"/>
              <w:jc w:val="center"/>
              <w:rPr>
                <w:rFonts w:eastAsia="Times New Roman" w:cs="Times New Roman"/>
                <w:sz w:val="21"/>
                <w:szCs w:val="21"/>
              </w:rPr>
            </w:pPr>
            <w:r w:rsidRPr="00640D24">
              <w:rPr>
                <w:rFonts w:eastAsia="Times New Roman" w:cs="Times New Roman"/>
                <w:sz w:val="21"/>
                <w:szCs w:val="21"/>
              </w:rPr>
              <w:t>48,16</w:t>
            </w:r>
          </w:p>
        </w:tc>
        <w:tc>
          <w:tcPr>
            <w:tcW w:w="1353" w:type="dxa"/>
            <w:vMerge/>
            <w:tcBorders>
              <w:left w:val="nil"/>
              <w:right w:val="single" w:sz="4" w:space="0" w:color="auto"/>
            </w:tcBorders>
            <w:shd w:val="clear" w:color="auto" w:fill="auto"/>
            <w:vAlign w:val="center"/>
          </w:tcPr>
          <w:p w14:paraId="20A2B64D" w14:textId="064CF124" w:rsidR="00854E73" w:rsidRPr="00640D24" w:rsidRDefault="00854E73" w:rsidP="006A0F8D">
            <w:pPr>
              <w:spacing w:after="0" w:line="240" w:lineRule="auto"/>
              <w:jc w:val="center"/>
              <w:rPr>
                <w:rFonts w:eastAsia="Times New Roman" w:cs="Times New Roman"/>
                <w:sz w:val="21"/>
                <w:szCs w:val="21"/>
              </w:rPr>
            </w:pPr>
          </w:p>
        </w:tc>
        <w:tc>
          <w:tcPr>
            <w:tcW w:w="1944" w:type="dxa"/>
            <w:tcBorders>
              <w:top w:val="nil"/>
              <w:left w:val="nil"/>
              <w:bottom w:val="single" w:sz="4" w:space="0" w:color="auto"/>
              <w:right w:val="single" w:sz="4" w:space="0" w:color="auto"/>
            </w:tcBorders>
            <w:shd w:val="clear" w:color="auto" w:fill="auto"/>
            <w:vAlign w:val="center"/>
            <w:hideMark/>
          </w:tcPr>
          <w:p w14:paraId="1D385B00" w14:textId="2518FE0F" w:rsidR="00854E73" w:rsidRPr="00640D24" w:rsidRDefault="00854E73" w:rsidP="006A0F8D">
            <w:pPr>
              <w:spacing w:after="0" w:line="240" w:lineRule="auto"/>
              <w:jc w:val="center"/>
              <w:rPr>
                <w:rFonts w:eastAsia="Times New Roman" w:cs="Times New Roman"/>
                <w:sz w:val="21"/>
                <w:szCs w:val="21"/>
              </w:rPr>
            </w:pPr>
            <w:r w:rsidRPr="00640D24">
              <w:rPr>
                <w:rFonts w:eastAsia="Times New Roman" w:cs="Times New Roman"/>
                <w:sz w:val="21"/>
                <w:szCs w:val="21"/>
              </w:rPr>
              <w:t>48,16</w:t>
            </w:r>
          </w:p>
        </w:tc>
      </w:tr>
      <w:tr w:rsidR="001E5C0D" w:rsidRPr="00640D24" w14:paraId="0175CCD6" w14:textId="77777777" w:rsidTr="006A0F8D">
        <w:trPr>
          <w:trHeight w:val="19"/>
        </w:trPr>
        <w:tc>
          <w:tcPr>
            <w:tcW w:w="1716" w:type="dxa"/>
            <w:tcBorders>
              <w:top w:val="nil"/>
              <w:left w:val="single" w:sz="4" w:space="0" w:color="auto"/>
              <w:bottom w:val="single" w:sz="4" w:space="0" w:color="auto"/>
              <w:right w:val="single" w:sz="4" w:space="0" w:color="auto"/>
            </w:tcBorders>
            <w:shd w:val="clear" w:color="auto" w:fill="auto"/>
            <w:vAlign w:val="bottom"/>
            <w:hideMark/>
          </w:tcPr>
          <w:p w14:paraId="46BEC5D3" w14:textId="77777777" w:rsidR="00854E73" w:rsidRPr="00640D24" w:rsidRDefault="00854E73">
            <w:pPr>
              <w:spacing w:after="0" w:line="240" w:lineRule="auto"/>
              <w:rPr>
                <w:rFonts w:eastAsia="Times New Roman" w:cs="Times New Roman"/>
                <w:color w:val="000000"/>
                <w:sz w:val="21"/>
                <w:szCs w:val="21"/>
              </w:rPr>
            </w:pPr>
            <w:r w:rsidRPr="00640D24">
              <w:rPr>
                <w:rFonts w:eastAsia="Times New Roman" w:cs="Times New Roman"/>
                <w:color w:val="000000"/>
                <w:sz w:val="21"/>
                <w:szCs w:val="21"/>
              </w:rPr>
              <w:t xml:space="preserve">Skatinti aukštą pridėtinę vertę kuriančių įmonių verslo procesų </w:t>
            </w:r>
            <w:proofErr w:type="spellStart"/>
            <w:r w:rsidRPr="00640D24">
              <w:rPr>
                <w:rFonts w:eastAsia="Times New Roman" w:cs="Times New Roman"/>
                <w:color w:val="000000"/>
                <w:sz w:val="21"/>
                <w:szCs w:val="21"/>
              </w:rPr>
              <w:t>skaitmeninimą</w:t>
            </w:r>
            <w:proofErr w:type="spellEnd"/>
          </w:p>
        </w:tc>
        <w:tc>
          <w:tcPr>
            <w:tcW w:w="1805" w:type="dxa"/>
            <w:tcBorders>
              <w:top w:val="nil"/>
              <w:left w:val="nil"/>
              <w:bottom w:val="single" w:sz="4" w:space="0" w:color="auto"/>
              <w:right w:val="single" w:sz="4" w:space="0" w:color="auto"/>
            </w:tcBorders>
            <w:shd w:val="clear" w:color="auto" w:fill="auto"/>
            <w:vAlign w:val="center"/>
            <w:hideMark/>
          </w:tcPr>
          <w:p w14:paraId="1FB7FBA2" w14:textId="4AD73DA5" w:rsidR="00854E73" w:rsidRPr="00640D24" w:rsidRDefault="00854E73" w:rsidP="006A0F8D">
            <w:pPr>
              <w:spacing w:after="0" w:line="240" w:lineRule="auto"/>
              <w:jc w:val="center"/>
              <w:rPr>
                <w:rFonts w:eastAsia="Times New Roman" w:cs="Times New Roman"/>
                <w:sz w:val="21"/>
                <w:szCs w:val="21"/>
              </w:rPr>
            </w:pPr>
            <w:r w:rsidRPr="00640D24">
              <w:rPr>
                <w:rFonts w:eastAsia="Times New Roman" w:cs="Times New Roman"/>
                <w:sz w:val="21"/>
                <w:szCs w:val="21"/>
              </w:rPr>
              <w:t>48,21</w:t>
            </w:r>
          </w:p>
        </w:tc>
        <w:tc>
          <w:tcPr>
            <w:tcW w:w="1365" w:type="dxa"/>
            <w:vMerge/>
            <w:tcBorders>
              <w:left w:val="nil"/>
              <w:right w:val="single" w:sz="4" w:space="0" w:color="auto"/>
            </w:tcBorders>
            <w:shd w:val="clear" w:color="auto" w:fill="auto"/>
            <w:vAlign w:val="center"/>
          </w:tcPr>
          <w:p w14:paraId="703D305E" w14:textId="3ADBC33C" w:rsidR="00854E73" w:rsidRPr="00640D24" w:rsidRDefault="00854E73" w:rsidP="006A0F8D">
            <w:pPr>
              <w:spacing w:after="0" w:line="240" w:lineRule="auto"/>
              <w:jc w:val="center"/>
              <w:rPr>
                <w:rFonts w:eastAsia="Times New Roman" w:cs="Times New Roman"/>
                <w:sz w:val="21"/>
                <w:szCs w:val="21"/>
              </w:rPr>
            </w:pPr>
          </w:p>
        </w:tc>
        <w:tc>
          <w:tcPr>
            <w:tcW w:w="1445" w:type="dxa"/>
            <w:tcBorders>
              <w:top w:val="nil"/>
              <w:left w:val="nil"/>
              <w:bottom w:val="single" w:sz="4" w:space="0" w:color="auto"/>
              <w:right w:val="single" w:sz="4" w:space="0" w:color="auto"/>
            </w:tcBorders>
            <w:shd w:val="clear" w:color="auto" w:fill="auto"/>
            <w:vAlign w:val="center"/>
            <w:hideMark/>
          </w:tcPr>
          <w:p w14:paraId="76758107" w14:textId="3E64C59F" w:rsidR="00854E73" w:rsidRPr="00640D24" w:rsidRDefault="00854E73" w:rsidP="006A0F8D">
            <w:pPr>
              <w:spacing w:after="0" w:line="240" w:lineRule="auto"/>
              <w:jc w:val="center"/>
              <w:rPr>
                <w:rFonts w:eastAsia="Times New Roman" w:cs="Times New Roman"/>
                <w:sz w:val="21"/>
                <w:szCs w:val="21"/>
              </w:rPr>
            </w:pPr>
            <w:r w:rsidRPr="00640D24">
              <w:rPr>
                <w:rFonts w:eastAsia="Times New Roman" w:cs="Times New Roman"/>
                <w:sz w:val="21"/>
                <w:szCs w:val="21"/>
              </w:rPr>
              <w:t>96,42</w:t>
            </w:r>
          </w:p>
        </w:tc>
        <w:tc>
          <w:tcPr>
            <w:tcW w:w="1353" w:type="dxa"/>
            <w:vMerge/>
            <w:tcBorders>
              <w:left w:val="nil"/>
              <w:right w:val="single" w:sz="4" w:space="0" w:color="auto"/>
            </w:tcBorders>
            <w:shd w:val="clear" w:color="auto" w:fill="auto"/>
            <w:vAlign w:val="center"/>
          </w:tcPr>
          <w:p w14:paraId="14E3E58D" w14:textId="1E12C6BE" w:rsidR="00854E73" w:rsidRPr="00640D24" w:rsidRDefault="00854E73" w:rsidP="006A0F8D">
            <w:pPr>
              <w:spacing w:after="0" w:line="240" w:lineRule="auto"/>
              <w:jc w:val="center"/>
              <w:rPr>
                <w:rFonts w:eastAsia="Times New Roman" w:cs="Times New Roman"/>
                <w:sz w:val="21"/>
                <w:szCs w:val="21"/>
              </w:rPr>
            </w:pPr>
          </w:p>
        </w:tc>
        <w:tc>
          <w:tcPr>
            <w:tcW w:w="1944" w:type="dxa"/>
            <w:tcBorders>
              <w:top w:val="nil"/>
              <w:left w:val="nil"/>
              <w:bottom w:val="single" w:sz="4" w:space="0" w:color="auto"/>
              <w:right w:val="single" w:sz="4" w:space="0" w:color="auto"/>
            </w:tcBorders>
            <w:shd w:val="clear" w:color="auto" w:fill="auto"/>
            <w:vAlign w:val="center"/>
            <w:hideMark/>
          </w:tcPr>
          <w:p w14:paraId="05EA1D61" w14:textId="3AFE4711" w:rsidR="00854E73" w:rsidRPr="00640D24" w:rsidRDefault="00854E73" w:rsidP="006A0F8D">
            <w:pPr>
              <w:spacing w:after="0" w:line="240" w:lineRule="auto"/>
              <w:jc w:val="center"/>
              <w:rPr>
                <w:rFonts w:eastAsia="Times New Roman" w:cs="Times New Roman"/>
                <w:sz w:val="21"/>
                <w:szCs w:val="21"/>
              </w:rPr>
            </w:pPr>
            <w:r w:rsidRPr="00640D24">
              <w:rPr>
                <w:rFonts w:eastAsia="Times New Roman" w:cs="Times New Roman"/>
                <w:sz w:val="21"/>
                <w:szCs w:val="21"/>
              </w:rPr>
              <w:t>96,42</w:t>
            </w:r>
          </w:p>
        </w:tc>
      </w:tr>
      <w:tr w:rsidR="001E5C0D" w:rsidRPr="00640D24" w14:paraId="686BE5FF" w14:textId="77777777" w:rsidTr="001E5C0D">
        <w:trPr>
          <w:trHeight w:val="19"/>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6AB7CB71" w14:textId="77777777" w:rsidR="00854E73" w:rsidRPr="00640D24" w:rsidRDefault="00854E73">
            <w:pPr>
              <w:spacing w:after="0" w:line="240" w:lineRule="auto"/>
              <w:rPr>
                <w:rFonts w:eastAsia="Times New Roman" w:cs="Times New Roman"/>
                <w:sz w:val="21"/>
                <w:szCs w:val="21"/>
              </w:rPr>
            </w:pPr>
            <w:r w:rsidRPr="00640D24">
              <w:rPr>
                <w:rFonts w:eastAsia="Times New Roman" w:cs="Times New Roman"/>
                <w:sz w:val="21"/>
                <w:szCs w:val="21"/>
              </w:rPr>
              <w:t>Žaliųjų ir aukštos pridėtinės vertės technologijų vystymas bei gynybos ir saugumo pramonės konkurencingumo didinimas</w:t>
            </w:r>
          </w:p>
        </w:tc>
        <w:tc>
          <w:tcPr>
            <w:tcW w:w="1805" w:type="dxa"/>
            <w:tcBorders>
              <w:top w:val="nil"/>
              <w:left w:val="nil"/>
              <w:bottom w:val="single" w:sz="4" w:space="0" w:color="auto"/>
              <w:right w:val="single" w:sz="4" w:space="0" w:color="auto"/>
            </w:tcBorders>
            <w:shd w:val="clear" w:color="auto" w:fill="auto"/>
            <w:vAlign w:val="center"/>
            <w:hideMark/>
          </w:tcPr>
          <w:p w14:paraId="2804B0CD" w14:textId="33779EE7" w:rsidR="00854E73" w:rsidRPr="00640D24" w:rsidRDefault="00854E73">
            <w:pPr>
              <w:spacing w:after="0" w:line="240" w:lineRule="auto"/>
              <w:jc w:val="center"/>
              <w:rPr>
                <w:rFonts w:eastAsia="Times New Roman" w:cs="Times New Roman"/>
                <w:sz w:val="21"/>
                <w:szCs w:val="21"/>
              </w:rPr>
            </w:pPr>
            <w:r w:rsidRPr="00640D24">
              <w:rPr>
                <w:rFonts w:eastAsia="Times New Roman" w:cs="Times New Roman"/>
                <w:sz w:val="21"/>
                <w:szCs w:val="21"/>
              </w:rPr>
              <w:t>94</w:t>
            </w:r>
            <w:r w:rsidR="00762283" w:rsidRPr="00640D24">
              <w:rPr>
                <w:rFonts w:eastAsia="Times New Roman" w:cs="Times New Roman"/>
                <w:sz w:val="21"/>
                <w:szCs w:val="21"/>
              </w:rPr>
              <w:t>4</w:t>
            </w:r>
            <w:r w:rsidRPr="00640D24">
              <w:rPr>
                <w:rFonts w:eastAsia="Times New Roman" w:cs="Times New Roman"/>
                <w:sz w:val="21"/>
                <w:szCs w:val="21"/>
              </w:rPr>
              <w:t>,</w:t>
            </w:r>
            <w:r w:rsidR="00762283" w:rsidRPr="00640D24">
              <w:rPr>
                <w:rFonts w:eastAsia="Times New Roman" w:cs="Times New Roman"/>
                <w:sz w:val="21"/>
                <w:szCs w:val="21"/>
              </w:rPr>
              <w:t>39</w:t>
            </w:r>
          </w:p>
        </w:tc>
        <w:tc>
          <w:tcPr>
            <w:tcW w:w="1365" w:type="dxa"/>
            <w:vMerge/>
            <w:tcBorders>
              <w:left w:val="nil"/>
              <w:bottom w:val="single" w:sz="4" w:space="0" w:color="auto"/>
              <w:right w:val="single" w:sz="4" w:space="0" w:color="auto"/>
            </w:tcBorders>
            <w:shd w:val="clear" w:color="auto" w:fill="auto"/>
            <w:vAlign w:val="center"/>
            <w:hideMark/>
          </w:tcPr>
          <w:p w14:paraId="56FF80E3" w14:textId="77777777" w:rsidR="00854E73" w:rsidRPr="00640D24" w:rsidRDefault="00854E73">
            <w:pPr>
              <w:spacing w:after="0" w:line="240" w:lineRule="auto"/>
              <w:jc w:val="center"/>
              <w:rPr>
                <w:rFonts w:eastAsia="Times New Roman" w:cs="Times New Roman"/>
                <w:sz w:val="21"/>
                <w:szCs w:val="21"/>
              </w:rPr>
            </w:pPr>
          </w:p>
        </w:tc>
        <w:tc>
          <w:tcPr>
            <w:tcW w:w="1445" w:type="dxa"/>
            <w:tcBorders>
              <w:top w:val="nil"/>
              <w:left w:val="nil"/>
              <w:bottom w:val="single" w:sz="4" w:space="0" w:color="auto"/>
              <w:right w:val="single" w:sz="4" w:space="0" w:color="auto"/>
            </w:tcBorders>
            <w:shd w:val="clear" w:color="auto" w:fill="auto"/>
            <w:vAlign w:val="center"/>
            <w:hideMark/>
          </w:tcPr>
          <w:p w14:paraId="23006B32" w14:textId="12438919" w:rsidR="00854E73" w:rsidRPr="00640D24" w:rsidRDefault="00184166">
            <w:pPr>
              <w:spacing w:after="0" w:line="240" w:lineRule="auto"/>
              <w:jc w:val="center"/>
              <w:rPr>
                <w:rFonts w:eastAsia="Times New Roman" w:cs="Times New Roman"/>
                <w:sz w:val="21"/>
                <w:szCs w:val="21"/>
              </w:rPr>
            </w:pPr>
            <w:r w:rsidRPr="00640D24">
              <w:rPr>
                <w:rFonts w:eastAsia="Times New Roman" w:cs="Times New Roman"/>
                <w:sz w:val="21"/>
                <w:szCs w:val="21"/>
              </w:rPr>
              <w:t>943,3912</w:t>
            </w:r>
          </w:p>
        </w:tc>
        <w:tc>
          <w:tcPr>
            <w:tcW w:w="1353" w:type="dxa"/>
            <w:vMerge/>
            <w:tcBorders>
              <w:left w:val="nil"/>
              <w:bottom w:val="single" w:sz="4" w:space="0" w:color="auto"/>
              <w:right w:val="single" w:sz="4" w:space="0" w:color="auto"/>
            </w:tcBorders>
            <w:shd w:val="clear" w:color="auto" w:fill="auto"/>
            <w:vAlign w:val="center"/>
          </w:tcPr>
          <w:p w14:paraId="621D11C3" w14:textId="2985AE12" w:rsidR="00854E73" w:rsidRPr="00640D24" w:rsidRDefault="00854E73">
            <w:pPr>
              <w:spacing w:after="0" w:line="240" w:lineRule="auto"/>
              <w:jc w:val="center"/>
              <w:rPr>
                <w:rFonts w:eastAsia="Times New Roman" w:cs="Times New Roman"/>
                <w:sz w:val="21"/>
                <w:szCs w:val="21"/>
              </w:rPr>
            </w:pPr>
          </w:p>
        </w:tc>
        <w:tc>
          <w:tcPr>
            <w:tcW w:w="1944" w:type="dxa"/>
            <w:tcBorders>
              <w:top w:val="nil"/>
              <w:left w:val="nil"/>
              <w:bottom w:val="single" w:sz="4" w:space="0" w:color="auto"/>
              <w:right w:val="single" w:sz="4" w:space="0" w:color="auto"/>
            </w:tcBorders>
            <w:shd w:val="clear" w:color="auto" w:fill="auto"/>
            <w:vAlign w:val="center"/>
            <w:hideMark/>
          </w:tcPr>
          <w:p w14:paraId="103F5350" w14:textId="3186060B" w:rsidR="00854E73" w:rsidRPr="00640D24" w:rsidRDefault="0057225C">
            <w:pPr>
              <w:spacing w:after="0" w:line="240" w:lineRule="auto"/>
              <w:jc w:val="center"/>
              <w:rPr>
                <w:rFonts w:eastAsia="Times New Roman" w:cs="Times New Roman"/>
                <w:sz w:val="21"/>
                <w:szCs w:val="21"/>
              </w:rPr>
            </w:pPr>
            <w:r w:rsidRPr="00640D24">
              <w:rPr>
                <w:rFonts w:eastAsia="Times New Roman" w:cs="Times New Roman"/>
                <w:sz w:val="21"/>
                <w:szCs w:val="21"/>
              </w:rPr>
              <w:t>944</w:t>
            </w:r>
            <w:r w:rsidR="00762283" w:rsidRPr="00640D24">
              <w:rPr>
                <w:rFonts w:eastAsia="Times New Roman" w:cs="Times New Roman"/>
                <w:sz w:val="21"/>
                <w:szCs w:val="21"/>
              </w:rPr>
              <w:t>,39</w:t>
            </w:r>
          </w:p>
        </w:tc>
      </w:tr>
      <w:tr w:rsidR="00854E73" w:rsidRPr="00640D24" w14:paraId="73C49AA3" w14:textId="77777777" w:rsidTr="001E5C0D">
        <w:trPr>
          <w:trHeight w:val="19"/>
        </w:trPr>
        <w:tc>
          <w:tcPr>
            <w:tcW w:w="1716" w:type="dxa"/>
            <w:tcBorders>
              <w:top w:val="nil"/>
              <w:left w:val="single" w:sz="4" w:space="0" w:color="auto"/>
              <w:bottom w:val="single" w:sz="4" w:space="0" w:color="auto"/>
              <w:right w:val="single" w:sz="4" w:space="0" w:color="auto"/>
            </w:tcBorders>
            <w:shd w:val="clear" w:color="auto" w:fill="auto"/>
            <w:vAlign w:val="bottom"/>
            <w:hideMark/>
          </w:tcPr>
          <w:p w14:paraId="1B492C81" w14:textId="77777777" w:rsidR="00732C7D" w:rsidRPr="00640D24" w:rsidRDefault="00732C7D" w:rsidP="001E5C0D">
            <w:pPr>
              <w:spacing w:after="0" w:line="240" w:lineRule="auto"/>
              <w:jc w:val="center"/>
              <w:rPr>
                <w:rFonts w:eastAsia="Times New Roman" w:cs="Times New Roman"/>
                <w:color w:val="000000"/>
                <w:sz w:val="21"/>
                <w:szCs w:val="21"/>
              </w:rPr>
            </w:pPr>
            <w:r w:rsidRPr="00640D24">
              <w:rPr>
                <w:rFonts w:eastAsia="Times New Roman" w:cs="Times New Roman"/>
                <w:color w:val="000000"/>
                <w:sz w:val="21"/>
                <w:szCs w:val="21"/>
              </w:rPr>
              <w:t>Iš viso:</w:t>
            </w:r>
          </w:p>
        </w:tc>
        <w:tc>
          <w:tcPr>
            <w:tcW w:w="1805" w:type="dxa"/>
            <w:tcBorders>
              <w:top w:val="nil"/>
              <w:left w:val="nil"/>
              <w:bottom w:val="single" w:sz="4" w:space="0" w:color="auto"/>
              <w:right w:val="single" w:sz="4" w:space="0" w:color="auto"/>
            </w:tcBorders>
            <w:shd w:val="clear" w:color="auto" w:fill="auto"/>
            <w:hideMark/>
          </w:tcPr>
          <w:p w14:paraId="613D0443" w14:textId="5FD7D5D9" w:rsidR="00732C7D" w:rsidRPr="00640D24" w:rsidRDefault="006B3618">
            <w:pPr>
              <w:spacing w:after="0" w:line="240" w:lineRule="auto"/>
              <w:jc w:val="center"/>
              <w:rPr>
                <w:rFonts w:eastAsia="Times New Roman" w:cs="Times New Roman"/>
                <w:sz w:val="21"/>
                <w:szCs w:val="21"/>
              </w:rPr>
            </w:pPr>
            <w:r w:rsidRPr="00640D24">
              <w:rPr>
                <w:rFonts w:eastAsia="Times New Roman" w:cs="Times New Roman"/>
                <w:sz w:val="21"/>
                <w:szCs w:val="21"/>
              </w:rPr>
              <w:t>1.19</w:t>
            </w:r>
            <w:r w:rsidR="00D07E16" w:rsidRPr="00640D24">
              <w:rPr>
                <w:rFonts w:eastAsia="Times New Roman" w:cs="Times New Roman"/>
                <w:sz w:val="21"/>
                <w:szCs w:val="21"/>
              </w:rPr>
              <w:t>7</w:t>
            </w:r>
            <w:r w:rsidRPr="00640D24">
              <w:rPr>
                <w:rFonts w:eastAsia="Times New Roman" w:cs="Times New Roman"/>
                <w:sz w:val="21"/>
                <w:szCs w:val="21"/>
              </w:rPr>
              <w:t>,</w:t>
            </w:r>
            <w:r w:rsidR="00D07E16" w:rsidRPr="00640D24">
              <w:rPr>
                <w:rFonts w:eastAsia="Times New Roman" w:cs="Times New Roman"/>
                <w:sz w:val="21"/>
                <w:szCs w:val="21"/>
              </w:rPr>
              <w:t>41</w:t>
            </w:r>
          </w:p>
        </w:tc>
        <w:tc>
          <w:tcPr>
            <w:tcW w:w="1365" w:type="dxa"/>
            <w:tcBorders>
              <w:top w:val="nil"/>
              <w:left w:val="nil"/>
              <w:bottom w:val="single" w:sz="4" w:space="0" w:color="auto"/>
              <w:right w:val="single" w:sz="4" w:space="0" w:color="auto"/>
            </w:tcBorders>
            <w:shd w:val="clear" w:color="auto" w:fill="auto"/>
            <w:hideMark/>
          </w:tcPr>
          <w:p w14:paraId="7CD96F67" w14:textId="13AF16BE" w:rsidR="00732C7D" w:rsidRPr="00640D24" w:rsidRDefault="00854E73">
            <w:pPr>
              <w:spacing w:after="0" w:line="240" w:lineRule="auto"/>
              <w:jc w:val="center"/>
              <w:rPr>
                <w:rFonts w:eastAsia="Times New Roman" w:cs="Times New Roman"/>
                <w:sz w:val="21"/>
                <w:szCs w:val="21"/>
                <w:lang w:val="en-US"/>
              </w:rPr>
            </w:pPr>
            <w:r w:rsidRPr="00640D24">
              <w:rPr>
                <w:rFonts w:eastAsia="Times New Roman" w:cs="Times New Roman"/>
                <w:sz w:val="21"/>
                <w:szCs w:val="21"/>
                <w:lang w:val="en-US"/>
              </w:rPr>
              <w:t>2.593,00</w:t>
            </w:r>
          </w:p>
        </w:tc>
        <w:tc>
          <w:tcPr>
            <w:tcW w:w="1445" w:type="dxa"/>
            <w:tcBorders>
              <w:top w:val="nil"/>
              <w:left w:val="nil"/>
              <w:bottom w:val="single" w:sz="4" w:space="0" w:color="auto"/>
              <w:right w:val="single" w:sz="4" w:space="0" w:color="auto"/>
            </w:tcBorders>
            <w:shd w:val="clear" w:color="auto" w:fill="auto"/>
            <w:hideMark/>
          </w:tcPr>
          <w:p w14:paraId="3C93C64B" w14:textId="55368290" w:rsidR="00732C7D" w:rsidRPr="00640D24" w:rsidRDefault="00854E73">
            <w:pPr>
              <w:spacing w:after="0" w:line="240" w:lineRule="auto"/>
              <w:jc w:val="center"/>
              <w:rPr>
                <w:rFonts w:eastAsia="Times New Roman" w:cs="Times New Roman"/>
                <w:sz w:val="21"/>
                <w:szCs w:val="21"/>
              </w:rPr>
            </w:pPr>
            <w:r w:rsidRPr="00640D24">
              <w:rPr>
                <w:rFonts w:eastAsia="Times New Roman" w:cs="Times New Roman"/>
                <w:sz w:val="21"/>
                <w:szCs w:val="21"/>
              </w:rPr>
              <w:t>1.</w:t>
            </w:r>
            <w:r w:rsidR="000706A8" w:rsidRPr="00640D24">
              <w:rPr>
                <w:rFonts w:eastAsia="Times New Roman" w:cs="Times New Roman"/>
                <w:sz w:val="21"/>
                <w:szCs w:val="21"/>
              </w:rPr>
              <w:t>321</w:t>
            </w:r>
            <w:r w:rsidRPr="00640D24">
              <w:rPr>
                <w:rFonts w:eastAsia="Times New Roman" w:cs="Times New Roman"/>
                <w:sz w:val="21"/>
                <w:szCs w:val="21"/>
              </w:rPr>
              <w:t>,54</w:t>
            </w:r>
          </w:p>
        </w:tc>
        <w:tc>
          <w:tcPr>
            <w:tcW w:w="1353" w:type="dxa"/>
            <w:tcBorders>
              <w:top w:val="nil"/>
              <w:left w:val="nil"/>
              <w:bottom w:val="single" w:sz="4" w:space="0" w:color="auto"/>
              <w:right w:val="single" w:sz="4" w:space="0" w:color="auto"/>
            </w:tcBorders>
            <w:shd w:val="clear" w:color="auto" w:fill="auto"/>
            <w:hideMark/>
          </w:tcPr>
          <w:p w14:paraId="0C2AF91A" w14:textId="280701B9" w:rsidR="00732C7D" w:rsidRPr="00640D24" w:rsidRDefault="00980898">
            <w:pPr>
              <w:spacing w:after="0" w:line="240" w:lineRule="auto"/>
              <w:jc w:val="center"/>
              <w:rPr>
                <w:rFonts w:eastAsia="Times New Roman" w:cs="Times New Roman"/>
                <w:sz w:val="21"/>
                <w:szCs w:val="21"/>
              </w:rPr>
            </w:pPr>
            <w:r w:rsidRPr="00640D24">
              <w:rPr>
                <w:rFonts w:eastAsia="Times New Roman" w:cs="Times New Roman"/>
                <w:sz w:val="21"/>
                <w:szCs w:val="21"/>
              </w:rPr>
              <w:t>4.222</w:t>
            </w:r>
            <w:r w:rsidR="00854E73" w:rsidRPr="00640D24">
              <w:rPr>
                <w:rFonts w:eastAsia="Times New Roman" w:cs="Times New Roman"/>
                <w:sz w:val="21"/>
                <w:szCs w:val="21"/>
              </w:rPr>
              <w:t>,60</w:t>
            </w:r>
          </w:p>
        </w:tc>
        <w:tc>
          <w:tcPr>
            <w:tcW w:w="1944" w:type="dxa"/>
            <w:tcBorders>
              <w:top w:val="nil"/>
              <w:left w:val="nil"/>
              <w:bottom w:val="single" w:sz="4" w:space="0" w:color="auto"/>
              <w:right w:val="single" w:sz="4" w:space="0" w:color="auto"/>
            </w:tcBorders>
            <w:shd w:val="clear" w:color="auto" w:fill="auto"/>
            <w:hideMark/>
          </w:tcPr>
          <w:p w14:paraId="67A3035B" w14:textId="7A291729" w:rsidR="00732C7D" w:rsidRPr="00640D24" w:rsidRDefault="00732C7D">
            <w:pPr>
              <w:spacing w:after="0" w:line="240" w:lineRule="auto"/>
              <w:jc w:val="center"/>
              <w:rPr>
                <w:rFonts w:eastAsia="Times New Roman" w:cs="Times New Roman"/>
                <w:sz w:val="21"/>
                <w:szCs w:val="21"/>
              </w:rPr>
            </w:pPr>
            <w:r w:rsidRPr="00640D24">
              <w:rPr>
                <w:rFonts w:eastAsia="Times New Roman" w:cs="Times New Roman"/>
                <w:sz w:val="21"/>
                <w:szCs w:val="21"/>
              </w:rPr>
              <w:t>1</w:t>
            </w:r>
            <w:r w:rsidR="006B3618" w:rsidRPr="00640D24">
              <w:rPr>
                <w:rFonts w:eastAsia="Times New Roman" w:cs="Times New Roman"/>
                <w:sz w:val="21"/>
                <w:szCs w:val="21"/>
              </w:rPr>
              <w:t>.</w:t>
            </w:r>
            <w:r w:rsidR="00AF7753" w:rsidRPr="00640D24">
              <w:rPr>
                <w:rFonts w:eastAsia="Times New Roman" w:cs="Times New Roman"/>
                <w:sz w:val="21"/>
                <w:szCs w:val="21"/>
              </w:rPr>
              <w:t>362</w:t>
            </w:r>
            <w:r w:rsidR="00F2650E" w:rsidRPr="00640D24">
              <w:rPr>
                <w:rFonts w:eastAsia="Times New Roman" w:cs="Times New Roman"/>
                <w:sz w:val="21"/>
                <w:szCs w:val="21"/>
              </w:rPr>
              <w:t>,11</w:t>
            </w:r>
          </w:p>
        </w:tc>
      </w:tr>
      <w:tr w:rsidR="00E03F68" w:rsidRPr="00640D24" w14:paraId="35CFB4C2" w14:textId="77777777" w:rsidTr="001E5C0D">
        <w:trPr>
          <w:trHeight w:val="19"/>
        </w:trPr>
        <w:tc>
          <w:tcPr>
            <w:tcW w:w="9628" w:type="dxa"/>
            <w:gridSpan w:val="6"/>
            <w:tcBorders>
              <w:top w:val="nil"/>
              <w:left w:val="single" w:sz="4" w:space="0" w:color="auto"/>
              <w:bottom w:val="single" w:sz="4" w:space="0" w:color="auto"/>
              <w:right w:val="single" w:sz="4" w:space="0" w:color="auto"/>
            </w:tcBorders>
            <w:shd w:val="clear" w:color="000000" w:fill="F2F2F2"/>
            <w:vAlign w:val="bottom"/>
            <w:hideMark/>
          </w:tcPr>
          <w:p w14:paraId="08AB7105" w14:textId="77777777" w:rsidR="00E03F68" w:rsidRPr="00640D24" w:rsidRDefault="00E03F68">
            <w:pPr>
              <w:spacing w:after="0" w:line="240" w:lineRule="auto"/>
              <w:rPr>
                <w:rFonts w:eastAsia="Times New Roman" w:cs="Times New Roman"/>
                <w:color w:val="000000"/>
                <w:sz w:val="21"/>
                <w:szCs w:val="21"/>
              </w:rPr>
            </w:pPr>
            <w:r w:rsidRPr="00640D24">
              <w:rPr>
                <w:rFonts w:eastAsia="Times New Roman" w:cs="Times New Roman"/>
                <w:color w:val="000000"/>
                <w:sz w:val="21"/>
                <w:szCs w:val="21"/>
              </w:rPr>
              <w:t>Finansuojama iš grįžusių lėšų ir galėtų padengti dalį bendro rinkos trūkumo:</w:t>
            </w:r>
          </w:p>
          <w:p w14:paraId="7286BB63" w14:textId="53915012" w:rsidR="00E03F68" w:rsidRPr="00640D24" w:rsidRDefault="00E03F68">
            <w:pPr>
              <w:spacing w:after="0" w:line="240" w:lineRule="auto"/>
              <w:rPr>
                <w:rFonts w:eastAsia="Times New Roman" w:cs="Times New Roman"/>
                <w:color w:val="000000"/>
                <w:sz w:val="21"/>
                <w:szCs w:val="21"/>
              </w:rPr>
            </w:pPr>
            <w:r w:rsidRPr="00640D24">
              <w:rPr>
                <w:rFonts w:eastAsia="Times New Roman" w:cs="Times New Roman"/>
                <w:color w:val="000000"/>
                <w:sz w:val="21"/>
                <w:szCs w:val="21"/>
              </w:rPr>
              <w:t>  </w:t>
            </w:r>
          </w:p>
        </w:tc>
      </w:tr>
      <w:tr w:rsidR="00B57F9E" w:rsidRPr="00640D24" w14:paraId="312C5F83" w14:textId="77777777" w:rsidTr="001E5C0D">
        <w:trPr>
          <w:trHeight w:val="19"/>
        </w:trPr>
        <w:tc>
          <w:tcPr>
            <w:tcW w:w="1716" w:type="dxa"/>
            <w:tcBorders>
              <w:top w:val="nil"/>
              <w:left w:val="single" w:sz="4" w:space="0" w:color="auto"/>
              <w:bottom w:val="single" w:sz="4" w:space="0" w:color="auto"/>
              <w:right w:val="single" w:sz="4" w:space="0" w:color="auto"/>
            </w:tcBorders>
            <w:shd w:val="clear" w:color="000000" w:fill="F2F2F2"/>
            <w:vAlign w:val="bottom"/>
            <w:hideMark/>
          </w:tcPr>
          <w:p w14:paraId="7C56509D" w14:textId="08D128A7" w:rsidR="00F7058C" w:rsidRPr="00640D24" w:rsidRDefault="00B73C11">
            <w:pPr>
              <w:spacing w:after="0" w:line="240" w:lineRule="auto"/>
              <w:rPr>
                <w:rFonts w:eastAsia="Times New Roman" w:cs="Times New Roman"/>
                <w:color w:val="000000"/>
                <w:sz w:val="21"/>
                <w:szCs w:val="21"/>
              </w:rPr>
            </w:pPr>
            <w:r w:rsidRPr="00640D24">
              <w:rPr>
                <w:rFonts w:eastAsia="Times New Roman" w:cs="Times New Roman"/>
                <w:color w:val="000000"/>
                <w:sz w:val="21"/>
                <w:szCs w:val="21"/>
              </w:rPr>
              <w:t xml:space="preserve">SVV </w:t>
            </w:r>
            <w:r w:rsidR="00F7058C" w:rsidRPr="00640D24">
              <w:rPr>
                <w:rFonts w:eastAsia="Times New Roman" w:cs="Times New Roman"/>
                <w:color w:val="000000"/>
                <w:sz w:val="21"/>
                <w:szCs w:val="21"/>
              </w:rPr>
              <w:t>vystymui</w:t>
            </w:r>
            <w:r w:rsidRPr="00640D24">
              <w:rPr>
                <w:rFonts w:eastAsia="Times New Roman" w:cs="Times New Roman"/>
                <w:color w:val="000000"/>
                <w:sz w:val="21"/>
                <w:szCs w:val="21"/>
              </w:rPr>
              <w:t xml:space="preserve">si </w:t>
            </w:r>
            <w:r w:rsidR="00F7058C" w:rsidRPr="00640D24">
              <w:rPr>
                <w:rFonts w:eastAsia="Times New Roman" w:cs="Times New Roman"/>
                <w:color w:val="000000"/>
                <w:sz w:val="21"/>
                <w:szCs w:val="21"/>
              </w:rPr>
              <w:t xml:space="preserve"> ir plėtrai</w:t>
            </w:r>
          </w:p>
        </w:tc>
        <w:tc>
          <w:tcPr>
            <w:tcW w:w="1805" w:type="dxa"/>
            <w:tcBorders>
              <w:top w:val="nil"/>
              <w:left w:val="nil"/>
              <w:bottom w:val="single" w:sz="4" w:space="0" w:color="auto"/>
              <w:right w:val="single" w:sz="4" w:space="0" w:color="auto"/>
            </w:tcBorders>
            <w:shd w:val="clear" w:color="000000" w:fill="F2F2F2"/>
            <w:vAlign w:val="center"/>
            <w:hideMark/>
          </w:tcPr>
          <w:p w14:paraId="165F8495" w14:textId="7D730A16" w:rsidR="00F7058C" w:rsidRPr="00640D24" w:rsidRDefault="00F7058C">
            <w:pPr>
              <w:spacing w:after="0" w:line="240" w:lineRule="auto"/>
              <w:jc w:val="center"/>
              <w:rPr>
                <w:rFonts w:eastAsia="Times New Roman" w:cs="Times New Roman"/>
                <w:color w:val="000000"/>
                <w:sz w:val="21"/>
                <w:szCs w:val="21"/>
              </w:rPr>
            </w:pPr>
          </w:p>
        </w:tc>
        <w:tc>
          <w:tcPr>
            <w:tcW w:w="1365" w:type="dxa"/>
            <w:tcBorders>
              <w:top w:val="nil"/>
              <w:left w:val="nil"/>
              <w:bottom w:val="single" w:sz="4" w:space="0" w:color="auto"/>
              <w:right w:val="single" w:sz="4" w:space="0" w:color="auto"/>
            </w:tcBorders>
            <w:shd w:val="clear" w:color="000000" w:fill="F2F2F2"/>
            <w:vAlign w:val="center"/>
            <w:hideMark/>
          </w:tcPr>
          <w:p w14:paraId="696E112F" w14:textId="4156DCBD" w:rsidR="00F7058C" w:rsidRPr="00640D24" w:rsidRDefault="00F7058C">
            <w:pPr>
              <w:spacing w:after="0" w:line="240" w:lineRule="auto"/>
              <w:jc w:val="center"/>
              <w:rPr>
                <w:rFonts w:eastAsia="Times New Roman" w:cs="Times New Roman"/>
                <w:color w:val="000000"/>
                <w:sz w:val="21"/>
                <w:szCs w:val="21"/>
              </w:rPr>
            </w:pPr>
          </w:p>
        </w:tc>
        <w:tc>
          <w:tcPr>
            <w:tcW w:w="1445" w:type="dxa"/>
            <w:tcBorders>
              <w:top w:val="nil"/>
              <w:left w:val="nil"/>
              <w:bottom w:val="single" w:sz="4" w:space="0" w:color="auto"/>
              <w:right w:val="single" w:sz="4" w:space="0" w:color="auto"/>
            </w:tcBorders>
            <w:shd w:val="clear" w:color="auto" w:fill="auto"/>
            <w:vAlign w:val="center"/>
            <w:hideMark/>
          </w:tcPr>
          <w:p w14:paraId="3E9615BC" w14:textId="3C5F041F" w:rsidR="00F7058C" w:rsidRPr="00640D24" w:rsidRDefault="00F7058C">
            <w:pPr>
              <w:spacing w:after="0" w:line="240" w:lineRule="auto"/>
              <w:jc w:val="center"/>
              <w:rPr>
                <w:rFonts w:eastAsia="Times New Roman" w:cs="Times New Roman"/>
                <w:color w:val="000000"/>
                <w:sz w:val="21"/>
                <w:szCs w:val="21"/>
              </w:rPr>
            </w:pPr>
          </w:p>
        </w:tc>
        <w:tc>
          <w:tcPr>
            <w:tcW w:w="1353" w:type="dxa"/>
            <w:tcBorders>
              <w:top w:val="nil"/>
              <w:left w:val="nil"/>
              <w:bottom w:val="single" w:sz="4" w:space="0" w:color="auto"/>
              <w:right w:val="single" w:sz="4" w:space="0" w:color="auto"/>
            </w:tcBorders>
            <w:shd w:val="clear" w:color="auto" w:fill="auto"/>
            <w:vAlign w:val="center"/>
            <w:hideMark/>
          </w:tcPr>
          <w:p w14:paraId="1ECCA916" w14:textId="242DDB5A" w:rsidR="00F7058C" w:rsidRPr="00640D24" w:rsidRDefault="00F7058C">
            <w:pPr>
              <w:spacing w:after="0" w:line="240" w:lineRule="auto"/>
              <w:jc w:val="center"/>
              <w:rPr>
                <w:rFonts w:eastAsia="Times New Roman" w:cs="Times New Roman"/>
                <w:color w:val="000000"/>
                <w:sz w:val="21"/>
                <w:szCs w:val="21"/>
              </w:rPr>
            </w:pPr>
          </w:p>
        </w:tc>
        <w:tc>
          <w:tcPr>
            <w:tcW w:w="1944" w:type="dxa"/>
            <w:tcBorders>
              <w:top w:val="single" w:sz="4" w:space="0" w:color="auto"/>
              <w:left w:val="nil"/>
              <w:bottom w:val="single" w:sz="4" w:space="0" w:color="auto"/>
              <w:right w:val="single" w:sz="4" w:space="0" w:color="auto"/>
            </w:tcBorders>
            <w:shd w:val="clear" w:color="auto" w:fill="auto"/>
            <w:vAlign w:val="center"/>
            <w:hideMark/>
          </w:tcPr>
          <w:p w14:paraId="2C7F7807" w14:textId="62350978" w:rsidR="00F7058C" w:rsidRPr="00640D24" w:rsidRDefault="00F7058C">
            <w:pPr>
              <w:spacing w:after="0" w:line="240" w:lineRule="auto"/>
              <w:jc w:val="center"/>
              <w:rPr>
                <w:rFonts w:eastAsia="Times New Roman" w:cs="Times New Roman"/>
                <w:color w:val="000000"/>
                <w:sz w:val="21"/>
                <w:szCs w:val="21"/>
              </w:rPr>
            </w:pPr>
            <w:r w:rsidRPr="00640D24">
              <w:rPr>
                <w:rFonts w:eastAsia="Times New Roman" w:cs="Times New Roman"/>
                <w:color w:val="000000"/>
                <w:sz w:val="21"/>
                <w:szCs w:val="21"/>
              </w:rPr>
              <w:t>39</w:t>
            </w:r>
            <w:r w:rsidR="005E7792" w:rsidRPr="00640D24">
              <w:rPr>
                <w:rFonts w:eastAsia="Times New Roman" w:cs="Times New Roman"/>
                <w:color w:val="000000"/>
                <w:sz w:val="21"/>
                <w:szCs w:val="21"/>
              </w:rPr>
              <w:t>,</w:t>
            </w:r>
            <w:r w:rsidRPr="00640D24">
              <w:rPr>
                <w:rFonts w:eastAsia="Times New Roman" w:cs="Times New Roman"/>
                <w:color w:val="000000"/>
                <w:sz w:val="21"/>
                <w:szCs w:val="21"/>
              </w:rPr>
              <w:t>60</w:t>
            </w:r>
          </w:p>
        </w:tc>
      </w:tr>
      <w:tr w:rsidR="00B57F9E" w:rsidRPr="00640D24" w14:paraId="36CEF56D" w14:textId="77777777" w:rsidTr="001E5C0D">
        <w:trPr>
          <w:trHeight w:val="19"/>
        </w:trPr>
        <w:tc>
          <w:tcPr>
            <w:tcW w:w="1716" w:type="dxa"/>
            <w:tcBorders>
              <w:top w:val="nil"/>
              <w:left w:val="single" w:sz="4" w:space="0" w:color="auto"/>
              <w:bottom w:val="single" w:sz="4" w:space="0" w:color="auto"/>
              <w:right w:val="single" w:sz="4" w:space="0" w:color="auto"/>
            </w:tcBorders>
            <w:shd w:val="clear" w:color="000000" w:fill="F2F2F2"/>
            <w:vAlign w:val="bottom"/>
            <w:hideMark/>
          </w:tcPr>
          <w:p w14:paraId="0E58FC8F" w14:textId="77777777" w:rsidR="00F7058C" w:rsidRPr="00640D24" w:rsidRDefault="00F7058C">
            <w:pPr>
              <w:spacing w:after="0" w:line="240" w:lineRule="auto"/>
              <w:rPr>
                <w:rFonts w:eastAsia="Times New Roman" w:cs="Times New Roman"/>
                <w:color w:val="000000"/>
                <w:sz w:val="21"/>
                <w:szCs w:val="21"/>
              </w:rPr>
            </w:pPr>
            <w:r w:rsidRPr="00640D24">
              <w:rPr>
                <w:rFonts w:eastAsia="Times New Roman" w:cs="Times New Roman"/>
                <w:color w:val="000000"/>
                <w:sz w:val="21"/>
                <w:szCs w:val="21"/>
              </w:rPr>
              <w:t>MVĮ plėtrai</w:t>
            </w:r>
          </w:p>
        </w:tc>
        <w:tc>
          <w:tcPr>
            <w:tcW w:w="1805" w:type="dxa"/>
            <w:tcBorders>
              <w:top w:val="nil"/>
              <w:left w:val="nil"/>
              <w:bottom w:val="single" w:sz="4" w:space="0" w:color="auto"/>
              <w:right w:val="single" w:sz="4" w:space="0" w:color="auto"/>
            </w:tcBorders>
            <w:shd w:val="clear" w:color="000000" w:fill="F2F2F2"/>
            <w:vAlign w:val="center"/>
            <w:hideMark/>
          </w:tcPr>
          <w:p w14:paraId="06DDB6DF" w14:textId="0E44C71E" w:rsidR="00F7058C" w:rsidRPr="00640D24" w:rsidRDefault="00F7058C">
            <w:pPr>
              <w:spacing w:after="0" w:line="240" w:lineRule="auto"/>
              <w:jc w:val="center"/>
              <w:rPr>
                <w:rFonts w:eastAsia="Times New Roman" w:cs="Times New Roman"/>
                <w:color w:val="000000"/>
                <w:sz w:val="21"/>
                <w:szCs w:val="21"/>
              </w:rPr>
            </w:pPr>
          </w:p>
        </w:tc>
        <w:tc>
          <w:tcPr>
            <w:tcW w:w="1365" w:type="dxa"/>
            <w:tcBorders>
              <w:top w:val="nil"/>
              <w:left w:val="nil"/>
              <w:bottom w:val="single" w:sz="4" w:space="0" w:color="auto"/>
              <w:right w:val="single" w:sz="4" w:space="0" w:color="auto"/>
            </w:tcBorders>
            <w:shd w:val="clear" w:color="000000" w:fill="F2F2F2"/>
            <w:vAlign w:val="center"/>
            <w:hideMark/>
          </w:tcPr>
          <w:p w14:paraId="02BD2FFA" w14:textId="7F977EF2" w:rsidR="00F7058C" w:rsidRPr="00640D24" w:rsidRDefault="00F7058C">
            <w:pPr>
              <w:spacing w:after="0" w:line="240" w:lineRule="auto"/>
              <w:jc w:val="center"/>
              <w:rPr>
                <w:rFonts w:eastAsia="Times New Roman" w:cs="Times New Roman"/>
                <w:color w:val="000000"/>
                <w:sz w:val="21"/>
                <w:szCs w:val="21"/>
              </w:rPr>
            </w:pPr>
          </w:p>
        </w:tc>
        <w:tc>
          <w:tcPr>
            <w:tcW w:w="1445" w:type="dxa"/>
            <w:tcBorders>
              <w:top w:val="nil"/>
              <w:left w:val="nil"/>
              <w:bottom w:val="single" w:sz="4" w:space="0" w:color="auto"/>
              <w:right w:val="single" w:sz="4" w:space="0" w:color="auto"/>
            </w:tcBorders>
            <w:shd w:val="clear" w:color="auto" w:fill="auto"/>
            <w:vAlign w:val="center"/>
            <w:hideMark/>
          </w:tcPr>
          <w:p w14:paraId="2EE64EAE" w14:textId="71EDFAD4" w:rsidR="00F7058C" w:rsidRPr="00640D24" w:rsidRDefault="00F7058C">
            <w:pPr>
              <w:spacing w:after="0" w:line="240" w:lineRule="auto"/>
              <w:jc w:val="center"/>
              <w:rPr>
                <w:rFonts w:eastAsia="Times New Roman" w:cs="Times New Roman"/>
                <w:color w:val="000000"/>
                <w:sz w:val="21"/>
                <w:szCs w:val="21"/>
              </w:rPr>
            </w:pPr>
          </w:p>
        </w:tc>
        <w:tc>
          <w:tcPr>
            <w:tcW w:w="1353" w:type="dxa"/>
            <w:tcBorders>
              <w:top w:val="nil"/>
              <w:left w:val="nil"/>
              <w:bottom w:val="single" w:sz="4" w:space="0" w:color="auto"/>
              <w:right w:val="single" w:sz="4" w:space="0" w:color="auto"/>
            </w:tcBorders>
            <w:shd w:val="clear" w:color="auto" w:fill="auto"/>
            <w:vAlign w:val="center"/>
            <w:hideMark/>
          </w:tcPr>
          <w:p w14:paraId="54654047" w14:textId="51BC8D07" w:rsidR="00F7058C" w:rsidRPr="00640D24" w:rsidRDefault="00F7058C">
            <w:pPr>
              <w:spacing w:after="0" w:line="240" w:lineRule="auto"/>
              <w:jc w:val="center"/>
              <w:rPr>
                <w:rFonts w:eastAsia="Times New Roman" w:cs="Times New Roman"/>
                <w:color w:val="000000"/>
                <w:sz w:val="21"/>
                <w:szCs w:val="21"/>
              </w:rPr>
            </w:pPr>
          </w:p>
        </w:tc>
        <w:tc>
          <w:tcPr>
            <w:tcW w:w="1944" w:type="dxa"/>
            <w:tcBorders>
              <w:top w:val="nil"/>
              <w:left w:val="nil"/>
              <w:bottom w:val="single" w:sz="4" w:space="0" w:color="auto"/>
              <w:right w:val="single" w:sz="4" w:space="0" w:color="auto"/>
            </w:tcBorders>
            <w:shd w:val="clear" w:color="auto" w:fill="auto"/>
            <w:vAlign w:val="center"/>
            <w:hideMark/>
          </w:tcPr>
          <w:p w14:paraId="4B5FD72F" w14:textId="4FC39018" w:rsidR="00F7058C" w:rsidRPr="00640D24" w:rsidRDefault="00F7058C">
            <w:pPr>
              <w:spacing w:after="0" w:line="240" w:lineRule="auto"/>
              <w:jc w:val="center"/>
              <w:rPr>
                <w:rFonts w:eastAsia="Times New Roman" w:cs="Times New Roman"/>
                <w:color w:val="000000"/>
                <w:sz w:val="21"/>
                <w:szCs w:val="21"/>
              </w:rPr>
            </w:pPr>
            <w:r w:rsidRPr="00640D24">
              <w:rPr>
                <w:rFonts w:eastAsia="Times New Roman" w:cs="Times New Roman"/>
                <w:color w:val="000000"/>
                <w:sz w:val="21"/>
                <w:szCs w:val="21"/>
              </w:rPr>
              <w:t>1</w:t>
            </w:r>
            <w:r w:rsidR="006B3618" w:rsidRPr="00640D24">
              <w:rPr>
                <w:rFonts w:eastAsia="Times New Roman" w:cs="Times New Roman"/>
                <w:color w:val="000000"/>
                <w:sz w:val="21"/>
                <w:szCs w:val="21"/>
              </w:rPr>
              <w:t>.</w:t>
            </w:r>
            <w:r w:rsidR="002A5632" w:rsidRPr="00640D24">
              <w:rPr>
                <w:rFonts w:eastAsia="Times New Roman" w:cs="Times New Roman"/>
                <w:color w:val="000000"/>
                <w:sz w:val="21"/>
                <w:szCs w:val="21"/>
              </w:rPr>
              <w:t>4</w:t>
            </w:r>
            <w:r w:rsidR="00DB72F6">
              <w:rPr>
                <w:rFonts w:eastAsia="Times New Roman" w:cs="Times New Roman"/>
                <w:color w:val="000000"/>
                <w:sz w:val="21"/>
                <w:szCs w:val="21"/>
              </w:rPr>
              <w:t>3</w:t>
            </w:r>
            <w:r w:rsidR="002A5632" w:rsidRPr="00640D24">
              <w:rPr>
                <w:rFonts w:eastAsia="Times New Roman" w:cs="Times New Roman"/>
                <w:color w:val="000000"/>
                <w:sz w:val="21"/>
                <w:szCs w:val="21"/>
              </w:rPr>
              <w:t>8</w:t>
            </w:r>
            <w:r w:rsidR="005E7792" w:rsidRPr="00640D24">
              <w:rPr>
                <w:rFonts w:eastAsia="Times New Roman" w:cs="Times New Roman"/>
                <w:color w:val="000000"/>
                <w:sz w:val="21"/>
                <w:szCs w:val="21"/>
              </w:rPr>
              <w:t>,</w:t>
            </w:r>
            <w:r w:rsidRPr="00640D24">
              <w:rPr>
                <w:rFonts w:eastAsia="Times New Roman" w:cs="Times New Roman"/>
                <w:color w:val="000000"/>
                <w:sz w:val="21"/>
                <w:szCs w:val="21"/>
              </w:rPr>
              <w:t>00</w:t>
            </w:r>
          </w:p>
        </w:tc>
      </w:tr>
      <w:tr w:rsidR="00E21538" w:rsidRPr="00640D24" w14:paraId="0171C3A8" w14:textId="77777777" w:rsidTr="001E5C0D">
        <w:trPr>
          <w:trHeight w:val="19"/>
        </w:trPr>
        <w:tc>
          <w:tcPr>
            <w:tcW w:w="1716" w:type="dxa"/>
            <w:tcBorders>
              <w:top w:val="nil"/>
              <w:left w:val="single" w:sz="4" w:space="0" w:color="auto"/>
              <w:bottom w:val="single" w:sz="4" w:space="0" w:color="auto"/>
              <w:right w:val="single" w:sz="4" w:space="0" w:color="auto"/>
            </w:tcBorders>
            <w:shd w:val="clear" w:color="000000" w:fill="F2F2F2"/>
            <w:noWrap/>
            <w:vAlign w:val="bottom"/>
          </w:tcPr>
          <w:p w14:paraId="111FD0DB" w14:textId="0705CA69" w:rsidR="00E21538" w:rsidRPr="00640D24" w:rsidRDefault="00594ACA">
            <w:pPr>
              <w:spacing w:after="0" w:line="240" w:lineRule="auto"/>
              <w:rPr>
                <w:rFonts w:eastAsia="Times New Roman" w:cs="Times New Roman"/>
                <w:color w:val="000000"/>
                <w:sz w:val="21"/>
                <w:szCs w:val="21"/>
                <w:lang w:val="en-GB"/>
              </w:rPr>
            </w:pPr>
            <w:r w:rsidRPr="00640D24">
              <w:rPr>
                <w:rFonts w:eastAsia="Times New Roman" w:cs="Times New Roman"/>
                <w:color w:val="000000"/>
                <w:sz w:val="21"/>
                <w:szCs w:val="21"/>
              </w:rPr>
              <w:t>Pramonės konkurencingumo didinimui</w:t>
            </w:r>
          </w:p>
        </w:tc>
        <w:tc>
          <w:tcPr>
            <w:tcW w:w="1805" w:type="dxa"/>
            <w:tcBorders>
              <w:top w:val="nil"/>
              <w:left w:val="nil"/>
              <w:bottom w:val="single" w:sz="4" w:space="0" w:color="auto"/>
              <w:right w:val="single" w:sz="4" w:space="0" w:color="auto"/>
            </w:tcBorders>
            <w:shd w:val="clear" w:color="000000" w:fill="F2F2F2"/>
            <w:noWrap/>
          </w:tcPr>
          <w:p w14:paraId="0C9C2D9D" w14:textId="77777777" w:rsidR="00E21538" w:rsidRPr="00640D24" w:rsidRDefault="00E21538">
            <w:pPr>
              <w:spacing w:after="0" w:line="240" w:lineRule="auto"/>
              <w:jc w:val="center"/>
              <w:rPr>
                <w:rFonts w:eastAsia="Times New Roman" w:cs="Times New Roman"/>
                <w:color w:val="000000"/>
                <w:sz w:val="21"/>
                <w:szCs w:val="21"/>
              </w:rPr>
            </w:pPr>
          </w:p>
        </w:tc>
        <w:tc>
          <w:tcPr>
            <w:tcW w:w="1365" w:type="dxa"/>
            <w:tcBorders>
              <w:top w:val="nil"/>
              <w:left w:val="nil"/>
              <w:bottom w:val="single" w:sz="4" w:space="0" w:color="auto"/>
              <w:right w:val="single" w:sz="4" w:space="0" w:color="auto"/>
            </w:tcBorders>
            <w:shd w:val="clear" w:color="000000" w:fill="F2F2F2"/>
            <w:noWrap/>
          </w:tcPr>
          <w:p w14:paraId="5E8EA185" w14:textId="77777777" w:rsidR="00E21538" w:rsidRPr="00640D24" w:rsidRDefault="00E21538">
            <w:pPr>
              <w:spacing w:after="0" w:line="240" w:lineRule="auto"/>
              <w:jc w:val="center"/>
              <w:rPr>
                <w:rFonts w:eastAsia="Times New Roman" w:cs="Times New Roman"/>
                <w:sz w:val="21"/>
                <w:szCs w:val="21"/>
                <w:lang w:val="en-US"/>
              </w:rPr>
            </w:pPr>
          </w:p>
        </w:tc>
        <w:tc>
          <w:tcPr>
            <w:tcW w:w="1445" w:type="dxa"/>
            <w:tcBorders>
              <w:top w:val="nil"/>
              <w:left w:val="nil"/>
              <w:bottom w:val="single" w:sz="4" w:space="0" w:color="auto"/>
              <w:right w:val="single" w:sz="4" w:space="0" w:color="auto"/>
            </w:tcBorders>
            <w:shd w:val="clear" w:color="auto" w:fill="auto"/>
            <w:noWrap/>
          </w:tcPr>
          <w:p w14:paraId="20D76214" w14:textId="77777777" w:rsidR="00E21538" w:rsidRPr="00640D24" w:rsidRDefault="00E21538">
            <w:pPr>
              <w:spacing w:after="0" w:line="240" w:lineRule="auto"/>
              <w:jc w:val="center"/>
              <w:rPr>
                <w:rFonts w:eastAsia="Times New Roman" w:cs="Times New Roman"/>
                <w:sz w:val="21"/>
                <w:szCs w:val="21"/>
              </w:rPr>
            </w:pPr>
          </w:p>
        </w:tc>
        <w:tc>
          <w:tcPr>
            <w:tcW w:w="1353" w:type="dxa"/>
            <w:tcBorders>
              <w:top w:val="nil"/>
              <w:left w:val="nil"/>
              <w:bottom w:val="single" w:sz="4" w:space="0" w:color="auto"/>
              <w:right w:val="single" w:sz="4" w:space="0" w:color="auto"/>
            </w:tcBorders>
            <w:shd w:val="clear" w:color="auto" w:fill="auto"/>
            <w:noWrap/>
          </w:tcPr>
          <w:p w14:paraId="01DA6F4A" w14:textId="77777777" w:rsidR="00E21538" w:rsidRPr="00640D24" w:rsidRDefault="00E21538">
            <w:pPr>
              <w:spacing w:after="0" w:line="240" w:lineRule="auto"/>
              <w:jc w:val="center"/>
              <w:rPr>
                <w:rFonts w:eastAsia="Times New Roman" w:cs="Times New Roman"/>
                <w:sz w:val="21"/>
                <w:szCs w:val="21"/>
              </w:rPr>
            </w:pPr>
          </w:p>
        </w:tc>
        <w:tc>
          <w:tcPr>
            <w:tcW w:w="1944" w:type="dxa"/>
            <w:tcBorders>
              <w:top w:val="nil"/>
              <w:left w:val="nil"/>
              <w:bottom w:val="single" w:sz="4" w:space="0" w:color="auto"/>
              <w:right w:val="single" w:sz="4" w:space="0" w:color="auto"/>
            </w:tcBorders>
            <w:shd w:val="clear" w:color="auto" w:fill="auto"/>
            <w:noWrap/>
          </w:tcPr>
          <w:p w14:paraId="33EC0B14" w14:textId="4203AE41" w:rsidR="00E21538" w:rsidRPr="00640D24" w:rsidRDefault="00143EAE">
            <w:pPr>
              <w:spacing w:after="0" w:line="240" w:lineRule="auto"/>
              <w:jc w:val="center"/>
              <w:rPr>
                <w:rFonts w:eastAsia="Times New Roman" w:cs="Times New Roman"/>
                <w:color w:val="000000"/>
                <w:sz w:val="21"/>
                <w:szCs w:val="21"/>
              </w:rPr>
            </w:pPr>
            <w:r w:rsidRPr="00640D24">
              <w:rPr>
                <w:rFonts w:eastAsia="Times New Roman" w:cs="Times New Roman"/>
                <w:color w:val="000000"/>
                <w:sz w:val="21"/>
                <w:szCs w:val="21"/>
              </w:rPr>
              <w:t>450</w:t>
            </w:r>
          </w:p>
        </w:tc>
      </w:tr>
      <w:tr w:rsidR="00B57F9E" w:rsidRPr="00640D24" w14:paraId="1C51D05F" w14:textId="77777777" w:rsidTr="001E5C0D">
        <w:trPr>
          <w:trHeight w:val="19"/>
        </w:trPr>
        <w:tc>
          <w:tcPr>
            <w:tcW w:w="1716" w:type="dxa"/>
            <w:tcBorders>
              <w:top w:val="nil"/>
              <w:left w:val="single" w:sz="4" w:space="0" w:color="auto"/>
              <w:bottom w:val="single" w:sz="4" w:space="0" w:color="auto"/>
              <w:right w:val="single" w:sz="4" w:space="0" w:color="auto"/>
            </w:tcBorders>
            <w:shd w:val="clear" w:color="000000" w:fill="F2F2F2"/>
            <w:noWrap/>
            <w:vAlign w:val="bottom"/>
            <w:hideMark/>
          </w:tcPr>
          <w:p w14:paraId="3CAA17C9" w14:textId="77777777" w:rsidR="00732C7D" w:rsidRPr="00640D24" w:rsidRDefault="00732C7D">
            <w:pPr>
              <w:spacing w:after="0" w:line="240" w:lineRule="auto"/>
              <w:rPr>
                <w:rFonts w:eastAsia="Times New Roman" w:cs="Times New Roman"/>
                <w:b/>
                <w:bCs/>
                <w:color w:val="000000"/>
                <w:sz w:val="21"/>
                <w:szCs w:val="21"/>
              </w:rPr>
            </w:pPr>
            <w:r w:rsidRPr="00640D24">
              <w:rPr>
                <w:rFonts w:eastAsia="Times New Roman" w:cs="Times New Roman"/>
                <w:b/>
                <w:bCs/>
                <w:color w:val="000000"/>
                <w:sz w:val="21"/>
                <w:szCs w:val="21"/>
              </w:rPr>
              <w:t> </w:t>
            </w:r>
          </w:p>
        </w:tc>
        <w:tc>
          <w:tcPr>
            <w:tcW w:w="1805" w:type="dxa"/>
            <w:tcBorders>
              <w:top w:val="nil"/>
              <w:left w:val="nil"/>
              <w:bottom w:val="single" w:sz="4" w:space="0" w:color="auto"/>
              <w:right w:val="single" w:sz="4" w:space="0" w:color="auto"/>
            </w:tcBorders>
            <w:shd w:val="clear" w:color="000000" w:fill="F2F2F2"/>
            <w:noWrap/>
            <w:hideMark/>
          </w:tcPr>
          <w:p w14:paraId="645F54E8" w14:textId="3CDC5DAC" w:rsidR="00732C7D" w:rsidRPr="00640D24" w:rsidRDefault="006B3618">
            <w:pPr>
              <w:spacing w:after="0" w:line="240" w:lineRule="auto"/>
              <w:jc w:val="center"/>
              <w:rPr>
                <w:rFonts w:eastAsia="Times New Roman" w:cs="Times New Roman"/>
                <w:color w:val="000000"/>
                <w:sz w:val="21"/>
                <w:szCs w:val="21"/>
              </w:rPr>
            </w:pPr>
            <w:r w:rsidRPr="00640D24">
              <w:rPr>
                <w:rFonts w:eastAsia="Times New Roman" w:cs="Times New Roman"/>
                <w:color w:val="000000"/>
                <w:sz w:val="21"/>
                <w:szCs w:val="21"/>
              </w:rPr>
              <w:t>1 19</w:t>
            </w:r>
            <w:r w:rsidR="00D07E16" w:rsidRPr="00640D24">
              <w:rPr>
                <w:rFonts w:eastAsia="Times New Roman" w:cs="Times New Roman"/>
                <w:color w:val="000000"/>
                <w:sz w:val="21"/>
                <w:szCs w:val="21"/>
              </w:rPr>
              <w:t>7</w:t>
            </w:r>
            <w:r w:rsidRPr="00640D24">
              <w:rPr>
                <w:rFonts w:eastAsia="Times New Roman" w:cs="Times New Roman"/>
                <w:color w:val="000000"/>
                <w:sz w:val="21"/>
                <w:szCs w:val="21"/>
              </w:rPr>
              <w:t>,4</w:t>
            </w:r>
            <w:r w:rsidR="00D07E16" w:rsidRPr="00640D24">
              <w:rPr>
                <w:rFonts w:eastAsia="Times New Roman" w:cs="Times New Roman"/>
                <w:color w:val="000000"/>
                <w:sz w:val="21"/>
                <w:szCs w:val="21"/>
              </w:rPr>
              <w:t>1</w:t>
            </w:r>
          </w:p>
        </w:tc>
        <w:tc>
          <w:tcPr>
            <w:tcW w:w="1365" w:type="dxa"/>
            <w:tcBorders>
              <w:top w:val="nil"/>
              <w:left w:val="nil"/>
              <w:bottom w:val="single" w:sz="4" w:space="0" w:color="auto"/>
              <w:right w:val="single" w:sz="4" w:space="0" w:color="auto"/>
            </w:tcBorders>
            <w:shd w:val="clear" w:color="000000" w:fill="F2F2F2"/>
            <w:noWrap/>
            <w:hideMark/>
          </w:tcPr>
          <w:p w14:paraId="38492EC9" w14:textId="07821A97" w:rsidR="00732C7D" w:rsidRPr="00640D24" w:rsidRDefault="00F2650E">
            <w:pPr>
              <w:spacing w:after="0" w:line="240" w:lineRule="auto"/>
              <w:jc w:val="center"/>
              <w:rPr>
                <w:rFonts w:eastAsia="Times New Roman" w:cs="Times New Roman"/>
                <w:color w:val="000000"/>
                <w:sz w:val="21"/>
                <w:szCs w:val="21"/>
              </w:rPr>
            </w:pPr>
            <w:r w:rsidRPr="00640D24">
              <w:rPr>
                <w:rFonts w:eastAsia="Times New Roman" w:cs="Times New Roman"/>
                <w:sz w:val="21"/>
                <w:szCs w:val="21"/>
                <w:lang w:val="en-US"/>
              </w:rPr>
              <w:t>2.593,00</w:t>
            </w:r>
          </w:p>
        </w:tc>
        <w:tc>
          <w:tcPr>
            <w:tcW w:w="1445" w:type="dxa"/>
            <w:tcBorders>
              <w:top w:val="nil"/>
              <w:left w:val="nil"/>
              <w:bottom w:val="single" w:sz="4" w:space="0" w:color="auto"/>
              <w:right w:val="single" w:sz="4" w:space="0" w:color="auto"/>
            </w:tcBorders>
            <w:shd w:val="clear" w:color="auto" w:fill="auto"/>
            <w:noWrap/>
            <w:hideMark/>
          </w:tcPr>
          <w:p w14:paraId="6A949B13" w14:textId="142B7BD7" w:rsidR="00732C7D" w:rsidRPr="00640D24" w:rsidRDefault="00F2650E">
            <w:pPr>
              <w:spacing w:after="0" w:line="240" w:lineRule="auto"/>
              <w:jc w:val="center"/>
              <w:rPr>
                <w:rFonts w:eastAsia="Times New Roman" w:cs="Times New Roman"/>
                <w:color w:val="000000"/>
                <w:sz w:val="21"/>
                <w:szCs w:val="21"/>
              </w:rPr>
            </w:pPr>
            <w:r w:rsidRPr="00640D24">
              <w:rPr>
                <w:rFonts w:eastAsia="Times New Roman" w:cs="Times New Roman"/>
                <w:sz w:val="21"/>
                <w:szCs w:val="21"/>
              </w:rPr>
              <w:t>1.</w:t>
            </w:r>
            <w:r w:rsidR="00143EAE" w:rsidRPr="00640D24">
              <w:rPr>
                <w:rFonts w:eastAsia="Times New Roman" w:cs="Times New Roman"/>
                <w:sz w:val="21"/>
                <w:szCs w:val="21"/>
              </w:rPr>
              <w:t>321</w:t>
            </w:r>
            <w:r w:rsidRPr="00640D24">
              <w:rPr>
                <w:rFonts w:eastAsia="Times New Roman" w:cs="Times New Roman"/>
                <w:sz w:val="21"/>
                <w:szCs w:val="21"/>
              </w:rPr>
              <w:t>,54</w:t>
            </w:r>
          </w:p>
        </w:tc>
        <w:tc>
          <w:tcPr>
            <w:tcW w:w="1353" w:type="dxa"/>
            <w:tcBorders>
              <w:top w:val="nil"/>
              <w:left w:val="nil"/>
              <w:bottom w:val="single" w:sz="4" w:space="0" w:color="auto"/>
              <w:right w:val="single" w:sz="4" w:space="0" w:color="auto"/>
            </w:tcBorders>
            <w:shd w:val="clear" w:color="auto" w:fill="auto"/>
            <w:noWrap/>
            <w:hideMark/>
          </w:tcPr>
          <w:p w14:paraId="620E21BC" w14:textId="57A55543" w:rsidR="00732C7D" w:rsidRPr="00640D24" w:rsidRDefault="00980898">
            <w:pPr>
              <w:spacing w:after="0" w:line="240" w:lineRule="auto"/>
              <w:jc w:val="center"/>
              <w:rPr>
                <w:rFonts w:eastAsia="Times New Roman" w:cs="Times New Roman"/>
                <w:color w:val="000000"/>
                <w:sz w:val="21"/>
                <w:szCs w:val="21"/>
              </w:rPr>
            </w:pPr>
            <w:r w:rsidRPr="00640D24">
              <w:rPr>
                <w:rFonts w:eastAsia="Times New Roman" w:cs="Times New Roman"/>
                <w:sz w:val="21"/>
                <w:szCs w:val="21"/>
              </w:rPr>
              <w:t>4.222</w:t>
            </w:r>
            <w:r w:rsidR="00F2650E" w:rsidRPr="00640D24">
              <w:rPr>
                <w:rFonts w:eastAsia="Times New Roman" w:cs="Times New Roman"/>
                <w:sz w:val="21"/>
                <w:szCs w:val="21"/>
              </w:rPr>
              <w:t>,60</w:t>
            </w:r>
          </w:p>
        </w:tc>
        <w:tc>
          <w:tcPr>
            <w:tcW w:w="1944" w:type="dxa"/>
            <w:tcBorders>
              <w:top w:val="nil"/>
              <w:left w:val="nil"/>
              <w:bottom w:val="single" w:sz="4" w:space="0" w:color="auto"/>
              <w:right w:val="single" w:sz="4" w:space="0" w:color="auto"/>
            </w:tcBorders>
            <w:shd w:val="clear" w:color="auto" w:fill="auto"/>
            <w:noWrap/>
            <w:hideMark/>
          </w:tcPr>
          <w:p w14:paraId="53311079" w14:textId="6FD7F8D0" w:rsidR="00732C7D" w:rsidRPr="00640D24" w:rsidRDefault="00E47B04">
            <w:pPr>
              <w:spacing w:after="0" w:line="240" w:lineRule="auto"/>
              <w:jc w:val="center"/>
              <w:rPr>
                <w:rFonts w:eastAsia="Times New Roman" w:cs="Times New Roman"/>
                <w:color w:val="000000"/>
                <w:sz w:val="21"/>
                <w:szCs w:val="21"/>
              </w:rPr>
            </w:pPr>
            <w:r w:rsidRPr="00640D24">
              <w:rPr>
                <w:rFonts w:eastAsia="Times New Roman" w:cs="Times New Roman"/>
                <w:color w:val="000000"/>
                <w:sz w:val="21"/>
                <w:szCs w:val="21"/>
              </w:rPr>
              <w:t>3</w:t>
            </w:r>
            <w:r w:rsidR="00B74401" w:rsidRPr="00640D24">
              <w:rPr>
                <w:rFonts w:eastAsia="Times New Roman" w:cs="Times New Roman"/>
                <w:color w:val="000000"/>
                <w:sz w:val="21"/>
                <w:szCs w:val="21"/>
              </w:rPr>
              <w:t>.</w:t>
            </w:r>
            <w:r w:rsidR="00DB72F6">
              <w:rPr>
                <w:rFonts w:eastAsia="Times New Roman" w:cs="Times New Roman"/>
                <w:color w:val="000000"/>
                <w:sz w:val="21"/>
                <w:szCs w:val="21"/>
              </w:rPr>
              <w:t>28</w:t>
            </w:r>
            <w:r w:rsidR="0086297D" w:rsidRPr="00640D24">
              <w:rPr>
                <w:rFonts w:eastAsia="Times New Roman" w:cs="Times New Roman"/>
                <w:color w:val="000000"/>
                <w:sz w:val="21"/>
                <w:szCs w:val="21"/>
              </w:rPr>
              <w:t>9,</w:t>
            </w:r>
            <w:r w:rsidR="00B74401" w:rsidRPr="00640D24">
              <w:rPr>
                <w:rFonts w:eastAsia="Times New Roman" w:cs="Times New Roman"/>
                <w:color w:val="000000"/>
                <w:sz w:val="21"/>
                <w:szCs w:val="21"/>
              </w:rPr>
              <w:t>7</w:t>
            </w:r>
            <w:r w:rsidR="0086297D" w:rsidRPr="00640D24">
              <w:rPr>
                <w:rFonts w:eastAsia="Times New Roman" w:cs="Times New Roman"/>
                <w:color w:val="000000"/>
                <w:sz w:val="21"/>
                <w:szCs w:val="21"/>
              </w:rPr>
              <w:t>1</w:t>
            </w:r>
          </w:p>
        </w:tc>
      </w:tr>
    </w:tbl>
    <w:bookmarkEnd w:id="97"/>
    <w:bookmarkEnd w:id="98"/>
    <w:p w14:paraId="2D5B4FA2" w14:textId="174CA961" w:rsidR="00E867EF" w:rsidRPr="00640D24" w:rsidRDefault="00093353" w:rsidP="005723F2">
      <w:pPr>
        <w:spacing w:after="0" w:line="240" w:lineRule="auto"/>
        <w:rPr>
          <w:rFonts w:cs="Times New Roman"/>
          <w:bCs/>
          <w:sz w:val="18"/>
          <w:szCs w:val="20"/>
        </w:rPr>
      </w:pPr>
      <w:r w:rsidRPr="00640D24">
        <w:rPr>
          <w:rFonts w:cs="Times New Roman"/>
          <w:bCs/>
          <w:sz w:val="18"/>
          <w:szCs w:val="20"/>
        </w:rPr>
        <w:t>Šaltinis: sudaryta Vertintojų</w:t>
      </w:r>
    </w:p>
    <w:p w14:paraId="6292EA91" w14:textId="2C1C9ED3" w:rsidR="004871C4" w:rsidRPr="00640D24" w:rsidRDefault="004871C4" w:rsidP="00824437">
      <w:pPr>
        <w:pStyle w:val="Antrat1"/>
        <w:numPr>
          <w:ilvl w:val="0"/>
          <w:numId w:val="1"/>
        </w:numPr>
        <w:spacing w:before="120" w:after="60" w:line="240" w:lineRule="auto"/>
        <w:ind w:left="357" w:hanging="357"/>
        <w:rPr>
          <w:rFonts w:ascii="Times New Roman" w:hAnsi="Times New Roman" w:cs="Times New Roman"/>
          <w:b/>
          <w:bCs/>
          <w:color w:val="auto"/>
        </w:rPr>
      </w:pPr>
      <w:bookmarkStart w:id="99" w:name="_Toc57225217"/>
      <w:bookmarkStart w:id="100" w:name="_Toc146812400"/>
      <w:bookmarkEnd w:id="55"/>
      <w:r w:rsidRPr="00640D24">
        <w:rPr>
          <w:rFonts w:ascii="Times New Roman" w:hAnsi="Times New Roman" w:cs="Times New Roman"/>
          <w:b/>
          <w:bCs/>
          <w:color w:val="auto"/>
        </w:rPr>
        <w:t>Sverto efekto skaičiavimas</w:t>
      </w:r>
      <w:bookmarkEnd w:id="99"/>
      <w:bookmarkEnd w:id="100"/>
    </w:p>
    <w:p w14:paraId="393D9AA3" w14:textId="41BF30DD" w:rsidR="00A019F0" w:rsidRPr="00640D24" w:rsidRDefault="00EF77A6" w:rsidP="00D12B54">
      <w:pPr>
        <w:spacing w:before="60" w:after="60" w:line="240" w:lineRule="auto"/>
        <w:ind w:firstLine="567"/>
        <w:jc w:val="both"/>
        <w:rPr>
          <w:rFonts w:cs="Times New Roman"/>
          <w:sz w:val="22"/>
          <w:szCs w:val="22"/>
        </w:rPr>
      </w:pPr>
      <w:r w:rsidRPr="00640D24">
        <w:rPr>
          <w:rFonts w:cs="Times New Roman"/>
          <w:sz w:val="22"/>
          <w:szCs w:val="22"/>
        </w:rPr>
        <w:t>Šiame skyriuje pateikiamas numatomo sverto efekto skaičiavimas 3 skyriuje</w:t>
      </w:r>
      <w:r w:rsidR="00134F15" w:rsidRPr="00640D24">
        <w:rPr>
          <w:rFonts w:cs="Times New Roman"/>
          <w:sz w:val="22"/>
          <w:szCs w:val="22"/>
        </w:rPr>
        <w:t xml:space="preserve"> „</w:t>
      </w:r>
      <w:r w:rsidR="00DA6057" w:rsidRPr="00640D24">
        <w:rPr>
          <w:rFonts w:cs="Times New Roman"/>
          <w:sz w:val="22"/>
          <w:szCs w:val="22"/>
        </w:rPr>
        <w:t>Siūlomi f</w:t>
      </w:r>
      <w:r w:rsidR="00134F15" w:rsidRPr="00640D24">
        <w:rPr>
          <w:rFonts w:cs="Times New Roman"/>
          <w:sz w:val="22"/>
          <w:szCs w:val="22"/>
        </w:rPr>
        <w:t xml:space="preserve">inansiniai </w:t>
      </w:r>
      <w:r w:rsidR="00CD129B" w:rsidRPr="00640D24">
        <w:rPr>
          <w:rFonts w:cs="Times New Roman"/>
          <w:sz w:val="22"/>
          <w:szCs w:val="22"/>
        </w:rPr>
        <w:t>produktai</w:t>
      </w:r>
      <w:r w:rsidR="00134F15" w:rsidRPr="00640D24">
        <w:rPr>
          <w:rFonts w:cs="Times New Roman"/>
          <w:sz w:val="22"/>
          <w:szCs w:val="22"/>
        </w:rPr>
        <w:t>“</w:t>
      </w:r>
      <w:r w:rsidRPr="00640D24">
        <w:rPr>
          <w:rFonts w:cs="Times New Roman"/>
          <w:sz w:val="22"/>
          <w:szCs w:val="22"/>
        </w:rPr>
        <w:t xml:space="preserve"> </w:t>
      </w:r>
      <w:r w:rsidR="00134F15" w:rsidRPr="00640D24">
        <w:rPr>
          <w:rFonts w:cs="Times New Roman"/>
          <w:sz w:val="22"/>
          <w:szCs w:val="22"/>
        </w:rPr>
        <w:t>siūlomoms</w:t>
      </w:r>
      <w:r w:rsidRPr="00640D24">
        <w:rPr>
          <w:rFonts w:cs="Times New Roman"/>
          <w:sz w:val="22"/>
          <w:szCs w:val="22"/>
        </w:rPr>
        <w:t xml:space="preserve"> FP. </w:t>
      </w:r>
      <w:r w:rsidR="00A019F0" w:rsidRPr="00640D24">
        <w:rPr>
          <w:rFonts w:cs="Times New Roman"/>
          <w:sz w:val="22"/>
          <w:szCs w:val="22"/>
        </w:rPr>
        <w:t>Sverto efektas buvo paskaičiuotas remiantis</w:t>
      </w:r>
      <w:r w:rsidR="0079143E" w:rsidRPr="00640D24">
        <w:rPr>
          <w:rFonts w:cs="Times New Roman"/>
          <w:sz w:val="22"/>
          <w:szCs w:val="22"/>
        </w:rPr>
        <w:t xml:space="preserve"> 2014</w:t>
      </w:r>
      <w:r w:rsidR="005A46AE" w:rsidRPr="00640D24">
        <w:rPr>
          <w:rFonts w:cs="Times New Roman"/>
          <w:sz w:val="22"/>
          <w:szCs w:val="22"/>
        </w:rPr>
        <w:t>–</w:t>
      </w:r>
      <w:r w:rsidR="0079143E" w:rsidRPr="00640D24">
        <w:rPr>
          <w:rFonts w:cs="Times New Roman"/>
          <w:sz w:val="22"/>
          <w:szCs w:val="22"/>
        </w:rPr>
        <w:t>2020 m. ES SF lėšomis planuojamų finansuoti finansinių instrumentų</w:t>
      </w:r>
      <w:r w:rsidR="00C664AC" w:rsidRPr="00640D24">
        <w:rPr>
          <w:rFonts w:cs="Times New Roman"/>
          <w:sz w:val="22"/>
        </w:rPr>
        <w:t xml:space="preserve"> </w:t>
      </w:r>
      <w:proofErr w:type="spellStart"/>
      <w:r w:rsidR="00C664AC" w:rsidRPr="00640D24">
        <w:rPr>
          <w:rFonts w:cs="Times New Roman"/>
          <w:i/>
          <w:sz w:val="22"/>
          <w:szCs w:val="22"/>
        </w:rPr>
        <w:t>ex</w:t>
      </w:r>
      <w:proofErr w:type="spellEnd"/>
      <w:r w:rsidR="00893EAA" w:rsidRPr="00640D24">
        <w:rPr>
          <w:rFonts w:cs="Times New Roman"/>
          <w:i/>
          <w:sz w:val="22"/>
          <w:szCs w:val="22"/>
        </w:rPr>
        <w:t xml:space="preserve"> </w:t>
      </w:r>
      <w:proofErr w:type="spellStart"/>
      <w:r w:rsidR="00C664AC" w:rsidRPr="00640D24">
        <w:rPr>
          <w:rFonts w:cs="Times New Roman"/>
          <w:i/>
          <w:sz w:val="22"/>
          <w:szCs w:val="22"/>
        </w:rPr>
        <w:t>ante</w:t>
      </w:r>
      <w:proofErr w:type="spellEnd"/>
      <w:r w:rsidR="0079143E" w:rsidRPr="00640D24">
        <w:rPr>
          <w:rFonts w:cs="Times New Roman"/>
          <w:sz w:val="22"/>
          <w:szCs w:val="22"/>
        </w:rPr>
        <w:t xml:space="preserve"> vertinimo metodologija</w:t>
      </w:r>
      <w:r w:rsidR="00A019F0" w:rsidRPr="00640D24">
        <w:rPr>
          <w:rFonts w:cs="Times New Roman"/>
          <w:sz w:val="22"/>
          <w:szCs w:val="22"/>
        </w:rPr>
        <w:t xml:space="preserve"> ir </w:t>
      </w:r>
      <w:r w:rsidR="00C664AC" w:rsidRPr="00640D24">
        <w:rPr>
          <w:rFonts w:cs="Times New Roman"/>
          <w:sz w:val="22"/>
          <w:szCs w:val="22"/>
        </w:rPr>
        <w:t>E</w:t>
      </w:r>
      <w:r w:rsidR="00751514" w:rsidRPr="00640D24">
        <w:rPr>
          <w:rFonts w:cs="Times New Roman"/>
          <w:sz w:val="22"/>
          <w:szCs w:val="22"/>
        </w:rPr>
        <w:t>K</w:t>
      </w:r>
      <w:r w:rsidR="00A019F0" w:rsidRPr="00640D24">
        <w:rPr>
          <w:rFonts w:cs="Times New Roman"/>
          <w:sz w:val="22"/>
          <w:szCs w:val="22"/>
        </w:rPr>
        <w:t xml:space="preserve"> parengt</w:t>
      </w:r>
      <w:r w:rsidR="006D4ABC" w:rsidRPr="00640D24">
        <w:rPr>
          <w:rFonts w:cs="Times New Roman"/>
          <w:sz w:val="22"/>
          <w:szCs w:val="22"/>
        </w:rPr>
        <w:t>omis gairėmis</w:t>
      </w:r>
      <w:r w:rsidR="00A019F0" w:rsidRPr="00640D24">
        <w:rPr>
          <w:rFonts w:cs="Times New Roman"/>
          <w:sz w:val="22"/>
          <w:szCs w:val="22"/>
        </w:rPr>
        <w:t xml:space="preserve">, </w:t>
      </w:r>
      <w:r w:rsidR="006D4ABC" w:rsidRPr="00640D24">
        <w:rPr>
          <w:rFonts w:cs="Times New Roman"/>
          <w:sz w:val="22"/>
          <w:szCs w:val="22"/>
        </w:rPr>
        <w:lastRenderedPageBreak/>
        <w:t>skirtomis</w:t>
      </w:r>
      <w:r w:rsidR="00A019F0" w:rsidRPr="00640D24">
        <w:rPr>
          <w:rFonts w:cs="Times New Roman"/>
          <w:sz w:val="22"/>
          <w:szCs w:val="22"/>
        </w:rPr>
        <w:t xml:space="preserve"> ES valstybėms narėms FP vertinimo ataskait</w:t>
      </w:r>
      <w:r w:rsidR="00E22B5F" w:rsidRPr="00640D24">
        <w:rPr>
          <w:rFonts w:cs="Times New Roman"/>
          <w:sz w:val="22"/>
          <w:szCs w:val="22"/>
        </w:rPr>
        <w:t>oms pateikti</w:t>
      </w:r>
      <w:r w:rsidR="00A019F0" w:rsidRPr="00640D24">
        <w:rPr>
          <w:rFonts w:cs="Times New Roman"/>
          <w:sz w:val="22"/>
          <w:szCs w:val="22"/>
          <w:vertAlign w:val="superscript"/>
        </w:rPr>
        <w:footnoteReference w:id="96"/>
      </w:r>
      <w:r w:rsidR="0052433D" w:rsidRPr="00640D24">
        <w:rPr>
          <w:rFonts w:cs="Times New Roman"/>
          <w:sz w:val="22"/>
          <w:szCs w:val="22"/>
        </w:rPr>
        <w:t xml:space="preserve">. Pagal Finansinio reglamento 140 straipsnio ir 223 straipsnio dalis sverto efektas apskaičiuojamas sudėjus visą </w:t>
      </w:r>
      <w:r w:rsidR="00E50BA4" w:rsidRPr="00640D24">
        <w:rPr>
          <w:rFonts w:cs="Times New Roman"/>
          <w:sz w:val="22"/>
          <w:szCs w:val="22"/>
        </w:rPr>
        <w:t>GG</w:t>
      </w:r>
      <w:r w:rsidR="0052433D" w:rsidRPr="00640D24">
        <w:rPr>
          <w:rFonts w:cs="Times New Roman"/>
          <w:sz w:val="22"/>
          <w:szCs w:val="22"/>
        </w:rPr>
        <w:t xml:space="preserve"> prieinamą finansavimo sumą ir padalinus ją iš ES SF skirtų lėšų. Sverto efektas yra suprantamas kaip kiekybinis metodas, skirtas įvertinti FP sukuriamą pridėtinę vertę. </w:t>
      </w:r>
    </w:p>
    <w:p w14:paraId="0B623084" w14:textId="4DA5FA4B" w:rsidR="00983C7D" w:rsidRPr="00640D24" w:rsidRDefault="00983C7D" w:rsidP="00824437">
      <w:pPr>
        <w:pStyle w:val="Antrat2"/>
        <w:numPr>
          <w:ilvl w:val="1"/>
          <w:numId w:val="1"/>
        </w:numPr>
        <w:spacing w:before="120" w:after="60" w:line="240" w:lineRule="auto"/>
        <w:ind w:left="958" w:hanging="601"/>
        <w:rPr>
          <w:rFonts w:ascii="Times New Roman" w:hAnsi="Times New Roman" w:cs="Times New Roman"/>
          <w:b/>
          <w:bCs/>
          <w:color w:val="auto"/>
        </w:rPr>
      </w:pPr>
      <w:bookmarkStart w:id="101" w:name="_Toc53953514"/>
      <w:bookmarkStart w:id="102" w:name="_Toc57225218"/>
      <w:bookmarkStart w:id="103" w:name="_Toc146812401"/>
      <w:bookmarkEnd w:id="101"/>
      <w:r w:rsidRPr="00640D24">
        <w:rPr>
          <w:rFonts w:ascii="Times New Roman" w:hAnsi="Times New Roman" w:cs="Times New Roman"/>
          <w:b/>
          <w:bCs/>
          <w:color w:val="auto"/>
        </w:rPr>
        <w:t xml:space="preserve">Finansinis rizikos kapitalo FP </w:t>
      </w:r>
      <w:bookmarkEnd w:id="102"/>
      <w:r w:rsidR="00BD19F3" w:rsidRPr="00640D24">
        <w:rPr>
          <w:rFonts w:ascii="Times New Roman" w:hAnsi="Times New Roman" w:cs="Times New Roman"/>
          <w:b/>
          <w:bCs/>
          <w:color w:val="auto"/>
        </w:rPr>
        <w:t>sverto efektas</w:t>
      </w:r>
      <w:bookmarkEnd w:id="103"/>
    </w:p>
    <w:p w14:paraId="163836A4" w14:textId="336ECD07" w:rsidR="00372079" w:rsidRPr="00640D24" w:rsidRDefault="00983C7D" w:rsidP="001B2ECC">
      <w:pPr>
        <w:spacing w:before="60" w:after="60" w:line="240" w:lineRule="auto"/>
        <w:ind w:firstLine="567"/>
        <w:jc w:val="both"/>
        <w:rPr>
          <w:rFonts w:cs="Times New Roman"/>
          <w:sz w:val="22"/>
          <w:szCs w:val="22"/>
          <w:lang w:eastAsia="lt-LT"/>
        </w:rPr>
      </w:pPr>
      <w:r w:rsidRPr="00640D24">
        <w:rPr>
          <w:rFonts w:cs="Times New Roman"/>
          <w:sz w:val="22"/>
          <w:szCs w:val="22"/>
        </w:rPr>
        <w:t xml:space="preserve">Jeigu rizikos kapitalo FP, skirtos finansuoti įmones prieš jų pirmą komercinį pardavimą bet kurioje rinkoje, būtų įgyvendinamos pagal bendrosios išimties – ES lėšų dalis investicijose privalės sudaryti ne daugiau 90 proc. Tokiu atveju šių FP finansinis svertas tiesioginių lėšų pritraukimo etape ir kiekybinė pridėtinė vertė sudarytų </w:t>
      </w:r>
      <w:r w:rsidRPr="00640D24">
        <w:rPr>
          <w:rFonts w:cs="Times New Roman"/>
          <w:b/>
          <w:bCs/>
          <w:sz w:val="22"/>
          <w:szCs w:val="22"/>
        </w:rPr>
        <w:t>1,1 (1 (projekto vertė)/90 proc. ES lėšos)</w:t>
      </w:r>
      <w:r w:rsidRPr="00640D24">
        <w:rPr>
          <w:rFonts w:cs="Times New Roman"/>
          <w:sz w:val="22"/>
          <w:szCs w:val="22"/>
        </w:rPr>
        <w:t xml:space="preserve">, o pridėtinė kiekybinė vertė yra didesnė ir toks efektas atsiranda dėl iš investicijų grįžusių lėšų. Vertinime taip pat teigiama, kad </w:t>
      </w:r>
      <w:r w:rsidRPr="00640D24">
        <w:rPr>
          <w:rFonts w:cs="Times New Roman"/>
          <w:sz w:val="22"/>
          <w:szCs w:val="22"/>
          <w:lang w:eastAsia="lt-LT"/>
        </w:rPr>
        <w:t>jeigu rizikos kapitalo FP, skirtos investuoti į įmones, kurios veiklą bet kurioje rinkoje vykdė mažiau nei 7 metus nuo savo pirmo komercinio pardavimo, būtų įgyvendinamos pagal bendrosios išimties reglamentą – privačių lėšų dalis tokiose FP turės būti mažiausiai 40 proc. arba 60 proc., jeigu bus investuojama į įmones, kurioms reikia pradinės rizikos finansų investicijos, kuri, remiantis verslo planu, parengtu siekiant patekti į naują produkto ar geografinę rinką, yra didesnė nei 50 proc. jų vidutinės metinės apyvartos per ankstesnius 5 metus bei paskesnių investicijų atvejais investuojant į įmones, kurios</w:t>
      </w:r>
      <w:r w:rsidRPr="00640D24">
        <w:rPr>
          <w:rFonts w:cs="Times New Roman"/>
          <w:sz w:val="22"/>
          <w:szCs w:val="22"/>
        </w:rPr>
        <w:t xml:space="preserve"> </w:t>
      </w:r>
      <w:r w:rsidRPr="00640D24">
        <w:rPr>
          <w:rFonts w:cs="Times New Roman"/>
          <w:sz w:val="22"/>
          <w:szCs w:val="22"/>
          <w:lang w:eastAsia="lt-LT"/>
        </w:rPr>
        <w:t xml:space="preserve">veiklą bet kurioje rinkoje vykdo daugiau nei 7 metus nuo savo pirmo komercinio pardavimo, finansinis svertas tiesioginių lėšų pritraukimo etape sudarytų nuo </w:t>
      </w:r>
      <w:r w:rsidRPr="00640D24">
        <w:rPr>
          <w:rFonts w:cs="Times New Roman"/>
          <w:b/>
          <w:sz w:val="22"/>
          <w:szCs w:val="22"/>
          <w:lang w:eastAsia="lt-LT"/>
        </w:rPr>
        <w:t>1,7 </w:t>
      </w:r>
      <w:r w:rsidRPr="00640D24">
        <w:rPr>
          <w:rFonts w:cs="Times New Roman"/>
          <w:sz w:val="22"/>
          <w:szCs w:val="22"/>
          <w:lang w:eastAsia="lt-LT"/>
        </w:rPr>
        <w:t xml:space="preserve">(1 (projekto vertė)/60 proc. ES lėšos) iki </w:t>
      </w:r>
      <w:r w:rsidRPr="00640D24">
        <w:rPr>
          <w:rFonts w:cs="Times New Roman"/>
          <w:b/>
          <w:bCs/>
          <w:sz w:val="22"/>
          <w:szCs w:val="22"/>
          <w:lang w:eastAsia="lt-LT"/>
        </w:rPr>
        <w:t>2,5</w:t>
      </w:r>
      <w:r w:rsidRPr="00640D24">
        <w:rPr>
          <w:rFonts w:cs="Times New Roman"/>
          <w:sz w:val="22"/>
          <w:szCs w:val="22"/>
          <w:lang w:eastAsia="lt-LT"/>
        </w:rPr>
        <w:t xml:space="preserve"> (1 (projekto vertė)/40 proc. ES lėšos), o pridėtinė kiekybinė vertė yra didesnė ir toks efektas atsiranda dėl iš investicijų grįžusių lėšų.</w:t>
      </w:r>
    </w:p>
    <w:p w14:paraId="17822984" w14:textId="77777777" w:rsidR="00542697" w:rsidRPr="00640D24" w:rsidRDefault="00542697" w:rsidP="00542697">
      <w:pPr>
        <w:spacing w:before="60" w:after="60" w:line="240" w:lineRule="auto"/>
        <w:ind w:firstLine="567"/>
        <w:jc w:val="both"/>
        <w:rPr>
          <w:rFonts w:cs="Times New Roman"/>
          <w:sz w:val="22"/>
          <w:szCs w:val="22"/>
        </w:rPr>
      </w:pPr>
      <w:r w:rsidRPr="00640D24">
        <w:rPr>
          <w:rFonts w:cs="Times New Roman"/>
          <w:sz w:val="22"/>
          <w:szCs w:val="22"/>
        </w:rPr>
        <w:t>Rizikos kapitalo skolinimosi finansinis sverto efektas apskaičiuojamas remiantis šiomis prielaidomis:</w:t>
      </w:r>
    </w:p>
    <w:p w14:paraId="777F7B06" w14:textId="4A0A0DA5" w:rsidR="00542697" w:rsidRPr="00640D24" w:rsidRDefault="00542697" w:rsidP="00160B10">
      <w:pPr>
        <w:pStyle w:val="Sraopastraipa"/>
        <w:numPr>
          <w:ilvl w:val="0"/>
          <w:numId w:val="23"/>
        </w:numPr>
        <w:spacing w:after="120" w:line="240" w:lineRule="auto"/>
        <w:jc w:val="both"/>
        <w:rPr>
          <w:sz w:val="22"/>
          <w:szCs w:val="20"/>
        </w:rPr>
      </w:pPr>
      <w:r w:rsidRPr="00640D24">
        <w:rPr>
          <w:sz w:val="22"/>
          <w:szCs w:val="20"/>
        </w:rPr>
        <w:t>Investicijos (paskolos) vertė – 1, iš kurių: 10 proc. privačių investicijų dalis ir 90 proc. ES SF arba biudžeto lėšos</w:t>
      </w:r>
      <w:r w:rsidR="009E61C8" w:rsidRPr="00640D24">
        <w:rPr>
          <w:sz w:val="22"/>
          <w:szCs w:val="20"/>
        </w:rPr>
        <w:t>;</w:t>
      </w:r>
    </w:p>
    <w:p w14:paraId="24E245D9" w14:textId="29999AA4" w:rsidR="00542697" w:rsidRPr="00640D24" w:rsidRDefault="00542697" w:rsidP="00160B10">
      <w:pPr>
        <w:pStyle w:val="Sraopastraipa"/>
        <w:numPr>
          <w:ilvl w:val="0"/>
          <w:numId w:val="23"/>
        </w:numPr>
        <w:spacing w:after="120" w:line="240" w:lineRule="auto"/>
        <w:jc w:val="both"/>
        <w:rPr>
          <w:sz w:val="22"/>
          <w:szCs w:val="20"/>
        </w:rPr>
      </w:pPr>
      <w:r w:rsidRPr="00640D24">
        <w:rPr>
          <w:sz w:val="22"/>
          <w:szCs w:val="20"/>
        </w:rPr>
        <w:t xml:space="preserve">skaičiuojama, kad sverto efektas siektų </w:t>
      </w:r>
      <w:r w:rsidRPr="00640D24">
        <w:rPr>
          <w:b/>
          <w:bCs/>
          <w:sz w:val="22"/>
          <w:szCs w:val="20"/>
        </w:rPr>
        <w:t xml:space="preserve">1,1 </w:t>
      </w:r>
      <w:r w:rsidRPr="00640D24">
        <w:rPr>
          <w:rFonts w:cs="Times New Roman"/>
          <w:sz w:val="22"/>
          <w:szCs w:val="20"/>
        </w:rPr>
        <w:t>(1/0,9).</w:t>
      </w:r>
    </w:p>
    <w:bookmarkStart w:id="104" w:name="_Toc57225219"/>
    <w:bookmarkStart w:id="105" w:name="_Toc146812402"/>
    <w:p w14:paraId="5BCD775B" w14:textId="5B170F75" w:rsidR="001C10F0" w:rsidRPr="00640D24" w:rsidRDefault="005723F2" w:rsidP="001C10F0">
      <w:pPr>
        <w:pStyle w:val="Antrat2"/>
        <w:numPr>
          <w:ilvl w:val="1"/>
          <w:numId w:val="1"/>
        </w:numPr>
        <w:spacing w:before="120" w:after="60" w:line="240" w:lineRule="auto"/>
        <w:ind w:left="958" w:hanging="601"/>
        <w:rPr>
          <w:rFonts w:ascii="Times New Roman" w:hAnsi="Times New Roman" w:cs="Times New Roman"/>
          <w:b/>
          <w:bCs/>
          <w:color w:val="auto"/>
        </w:rPr>
      </w:pPr>
      <w:r w:rsidRPr="00640D24">
        <w:rPr>
          <w:noProof/>
          <w:lang w:eastAsia="lt-LT"/>
        </w:rPr>
        <mc:AlternateContent>
          <mc:Choice Requires="wps">
            <w:drawing>
              <wp:anchor distT="45720" distB="45720" distL="114300" distR="114300" simplePos="0" relativeHeight="251658257" behindDoc="0" locked="0" layoutInCell="1" allowOverlap="1" wp14:anchorId="71A16DC9" wp14:editId="6B1415C1">
                <wp:simplePos x="0" y="0"/>
                <wp:positionH relativeFrom="column">
                  <wp:posOffset>8890</wp:posOffset>
                </wp:positionH>
                <wp:positionV relativeFrom="paragraph">
                  <wp:posOffset>410210</wp:posOffset>
                </wp:positionV>
                <wp:extent cx="6114415" cy="1240155"/>
                <wp:effectExtent l="0" t="0" r="19685"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1240155"/>
                        </a:xfrm>
                        <a:prstGeom prst="rect">
                          <a:avLst/>
                        </a:prstGeom>
                        <a:solidFill>
                          <a:srgbClr val="FFFFFF"/>
                        </a:solidFill>
                        <a:ln w="9525">
                          <a:solidFill>
                            <a:srgbClr val="000000"/>
                          </a:solidFill>
                          <a:miter lim="800000"/>
                          <a:headEnd/>
                          <a:tailEnd/>
                        </a:ln>
                      </wps:spPr>
                      <wps:txbx>
                        <w:txbxContent>
                          <w:p w14:paraId="21BD54D3" w14:textId="21D76387" w:rsidR="005723F2" w:rsidRPr="00C73B8A" w:rsidRDefault="005723F2" w:rsidP="005934F2">
                            <w:pPr>
                              <w:spacing w:after="0" w:line="240" w:lineRule="auto"/>
                              <w:ind w:firstLine="567"/>
                              <w:jc w:val="both"/>
                              <w:rPr>
                                <w:rFonts w:cs="Times New Roman"/>
                                <w:sz w:val="22"/>
                                <w:szCs w:val="22"/>
                              </w:rPr>
                            </w:pPr>
                            <w:r w:rsidRPr="00C73B8A">
                              <w:rPr>
                                <w:rFonts w:cs="Times New Roman"/>
                                <w:sz w:val="22"/>
                                <w:szCs w:val="22"/>
                              </w:rPr>
                              <w:t xml:space="preserve">Atsižvelgiant į tai, kad 2014–2020 m. daugelis veiklų buvo subsidijuojamos reikalingas nuoseklus perėjimas nuo </w:t>
                            </w:r>
                            <w:r>
                              <w:rPr>
                                <w:rFonts w:cs="Times New Roman"/>
                                <w:sz w:val="22"/>
                                <w:szCs w:val="22"/>
                              </w:rPr>
                              <w:t xml:space="preserve">dotacinių </w:t>
                            </w:r>
                            <w:r w:rsidRPr="00C73B8A">
                              <w:rPr>
                                <w:rFonts w:cs="Times New Roman"/>
                                <w:sz w:val="22"/>
                                <w:szCs w:val="22"/>
                              </w:rPr>
                              <w:t xml:space="preserve">priemonių prie FP. Atsižvelgiant į SVV subjektų apklausos duomenis ir kokybinio tyrimo metu gautus rezultatus numatoma, kad FP derinimas su daline </w:t>
                            </w:r>
                            <w:r>
                              <w:rPr>
                                <w:rFonts w:cs="Times New Roman"/>
                                <w:sz w:val="22"/>
                                <w:szCs w:val="22"/>
                              </w:rPr>
                              <w:t>dotacija</w:t>
                            </w:r>
                            <w:r w:rsidRPr="00C73B8A">
                              <w:rPr>
                                <w:rFonts w:cs="Times New Roman"/>
                                <w:sz w:val="22"/>
                                <w:szCs w:val="22"/>
                              </w:rPr>
                              <w:t xml:space="preserve"> būtų patrauklus būdas investuoti į prioritetinius sektorius ir veiklas.</w:t>
                            </w:r>
                          </w:p>
                          <w:p w14:paraId="2351F6B8" w14:textId="5F11E4B1" w:rsidR="005723F2" w:rsidRDefault="005723F2" w:rsidP="005934F2">
                            <w:pPr>
                              <w:spacing w:after="0" w:line="240" w:lineRule="auto"/>
                              <w:ind w:firstLine="567"/>
                              <w:jc w:val="both"/>
                            </w:pPr>
                            <w:r w:rsidRPr="00C73B8A">
                              <w:rPr>
                                <w:rFonts w:cs="Times New Roman"/>
                                <w:sz w:val="22"/>
                                <w:szCs w:val="22"/>
                              </w:rPr>
                              <w:t>Vertinime nustatyta, kad verslo finansavimo poreikis iš dalies gali būti patenkintas pritaikant 3 skyriuje aprašomas FP. Visgi, finansavimo poreikis verslo subjektams yra didesnis nei numatyta bendra FP suma.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16DC9" id="Text Box 2" o:spid="_x0000_s1032" type="#_x0000_t202" style="position:absolute;left:0;text-align:left;margin-left:.7pt;margin-top:32.3pt;width:481.45pt;height:97.6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">
                <v:textbox>
                  <w:txbxContent>
                    <w:p w14:paraId="21BD54D3" w14:textId="21D76387" w:rsidR="005723F2" w:rsidRPr="00C73B8A" w:rsidRDefault="005723F2" w:rsidP="005934F2">
                      <w:pPr>
                        <w:spacing w:after="0" w:line="240" w:lineRule="auto"/>
                        <w:ind w:firstLine="567"/>
                        <w:jc w:val="both"/>
                        <w:rPr>
                          <w:rFonts w:cs="Times New Roman"/>
                          <w:sz w:val="22"/>
                          <w:szCs w:val="22"/>
                        </w:rPr>
                      </w:pPr>
                      <w:r w:rsidRPr="00C73B8A">
                        <w:rPr>
                          <w:rFonts w:cs="Times New Roman"/>
                          <w:sz w:val="22"/>
                          <w:szCs w:val="22"/>
                        </w:rPr>
                        <w:t xml:space="preserve">Atsižvelgiant į tai, kad 2014–2020 m. daugelis veiklų buvo subsidijuojamos reikalingas nuoseklus perėjimas nuo </w:t>
                      </w:r>
                      <w:r>
                        <w:rPr>
                          <w:rFonts w:cs="Times New Roman"/>
                          <w:sz w:val="22"/>
                          <w:szCs w:val="22"/>
                        </w:rPr>
                        <w:t xml:space="preserve">dotacinių </w:t>
                      </w:r>
                      <w:r w:rsidRPr="00C73B8A">
                        <w:rPr>
                          <w:rFonts w:cs="Times New Roman"/>
                          <w:sz w:val="22"/>
                          <w:szCs w:val="22"/>
                        </w:rPr>
                        <w:t xml:space="preserve">priemonių prie FP. Atsižvelgiant į SVV subjektų apklausos duomenis ir kokybinio tyrimo metu gautus rezultatus numatoma, kad FP derinimas su daline </w:t>
                      </w:r>
                      <w:r>
                        <w:rPr>
                          <w:rFonts w:cs="Times New Roman"/>
                          <w:sz w:val="22"/>
                          <w:szCs w:val="22"/>
                        </w:rPr>
                        <w:t>dotacija</w:t>
                      </w:r>
                      <w:r w:rsidRPr="00C73B8A">
                        <w:rPr>
                          <w:rFonts w:cs="Times New Roman"/>
                          <w:sz w:val="22"/>
                          <w:szCs w:val="22"/>
                        </w:rPr>
                        <w:t xml:space="preserve"> būtų patrauklus būdas investuoti į prioritetinius sektorius ir veiklas.</w:t>
                      </w:r>
                    </w:p>
                    <w:p w14:paraId="2351F6B8" w14:textId="5F11E4B1" w:rsidR="005723F2" w:rsidRDefault="005723F2" w:rsidP="005934F2">
                      <w:pPr>
                        <w:spacing w:after="0" w:line="240" w:lineRule="auto"/>
                        <w:ind w:firstLine="567"/>
                        <w:jc w:val="both"/>
                      </w:pPr>
                      <w:r w:rsidRPr="00C73B8A">
                        <w:rPr>
                          <w:rFonts w:cs="Times New Roman"/>
                          <w:sz w:val="22"/>
                          <w:szCs w:val="22"/>
                        </w:rPr>
                        <w:t>Vertinime nustatyta, kad verslo finansavimo poreikis iš dalies gali būti patenkintas pritaikant 3 skyriuje aprašomas FP. Visgi, finansavimo poreikis verslo subjektams yra didesnis nei numatyta bendra FP suma.</w:t>
                      </w:r>
                    </w:p>
                  </w:txbxContent>
                </v:textbox>
                <w10:wrap type="topAndBottom"/>
              </v:shape>
            </w:pict>
          </mc:Fallback>
        </mc:AlternateContent>
      </w:r>
      <w:r w:rsidR="00983C7D" w:rsidRPr="00640D24">
        <w:rPr>
          <w:rFonts w:ascii="Times New Roman" w:hAnsi="Times New Roman" w:cs="Times New Roman"/>
          <w:b/>
          <w:bCs/>
          <w:color w:val="auto"/>
        </w:rPr>
        <w:t xml:space="preserve">Finansinis </w:t>
      </w:r>
      <w:r w:rsidR="00C840DD" w:rsidRPr="00640D24">
        <w:rPr>
          <w:rFonts w:ascii="Times New Roman" w:hAnsi="Times New Roman" w:cs="Times New Roman"/>
          <w:b/>
          <w:bCs/>
          <w:color w:val="auto"/>
        </w:rPr>
        <w:t xml:space="preserve">paskolų </w:t>
      </w:r>
      <w:r w:rsidR="00983C7D" w:rsidRPr="00640D24">
        <w:rPr>
          <w:rFonts w:ascii="Times New Roman" w:hAnsi="Times New Roman" w:cs="Times New Roman"/>
          <w:b/>
          <w:bCs/>
          <w:color w:val="auto"/>
        </w:rPr>
        <w:t xml:space="preserve">FP </w:t>
      </w:r>
      <w:bookmarkEnd w:id="104"/>
      <w:r w:rsidR="003F4067" w:rsidRPr="00640D24">
        <w:rPr>
          <w:rFonts w:ascii="Times New Roman" w:hAnsi="Times New Roman" w:cs="Times New Roman"/>
          <w:b/>
          <w:bCs/>
          <w:color w:val="auto"/>
        </w:rPr>
        <w:t>sverto efektas</w:t>
      </w:r>
      <w:bookmarkEnd w:id="105"/>
    </w:p>
    <w:p w14:paraId="449AE3E4" w14:textId="3D342A5F" w:rsidR="00035B7B" w:rsidRPr="00640D24" w:rsidRDefault="00C840DD" w:rsidP="00D12B54">
      <w:pPr>
        <w:spacing w:before="60" w:after="60" w:line="240" w:lineRule="auto"/>
        <w:ind w:firstLine="567"/>
        <w:jc w:val="both"/>
        <w:rPr>
          <w:rFonts w:cs="Times New Roman"/>
          <w:sz w:val="22"/>
          <w:szCs w:val="22"/>
        </w:rPr>
      </w:pPr>
      <w:r w:rsidRPr="00640D24">
        <w:rPr>
          <w:rFonts w:cs="Times New Roman"/>
          <w:sz w:val="22"/>
          <w:szCs w:val="22"/>
        </w:rPr>
        <w:t xml:space="preserve">Finansinis paskolų FP sverto efektas yra apskaičiuotas remiantis </w:t>
      </w:r>
      <w:r w:rsidR="00271CB9" w:rsidRPr="00640D24">
        <w:rPr>
          <w:rFonts w:cs="Times New Roman"/>
          <w:sz w:val="22"/>
          <w:szCs w:val="22"/>
        </w:rPr>
        <w:t>preliminariomis siūlomų taikyti paskolų FP sąlygomis.</w:t>
      </w:r>
      <w:r w:rsidRPr="00640D24">
        <w:rPr>
          <w:rFonts w:cs="Times New Roman"/>
          <w:sz w:val="22"/>
          <w:szCs w:val="22"/>
        </w:rPr>
        <w:t xml:space="preserve"> </w:t>
      </w:r>
    </w:p>
    <w:p w14:paraId="400B836D" w14:textId="77777777" w:rsidR="00351B75" w:rsidRPr="00640D24" w:rsidRDefault="00351B75" w:rsidP="00351B75">
      <w:pPr>
        <w:spacing w:before="60" w:after="120" w:line="240" w:lineRule="auto"/>
        <w:ind w:left="567"/>
        <w:jc w:val="both"/>
        <w:rPr>
          <w:noProof/>
        </w:rPr>
      </w:pPr>
      <w:r w:rsidRPr="00640D24">
        <w:rPr>
          <w:sz w:val="22"/>
        </w:rPr>
        <w:t>Grįžtančių lėšų efektas skaičiuojamas remiantis šiomis prielaidomis:</w:t>
      </w:r>
    </w:p>
    <w:p w14:paraId="14BDB37C" w14:textId="63E6600F" w:rsidR="00351B75" w:rsidRPr="00640D24" w:rsidRDefault="00351B75" w:rsidP="00160B10">
      <w:pPr>
        <w:pStyle w:val="Sraopastraipa"/>
        <w:numPr>
          <w:ilvl w:val="0"/>
          <w:numId w:val="25"/>
        </w:numPr>
        <w:spacing w:before="60" w:after="120" w:line="240" w:lineRule="auto"/>
        <w:jc w:val="both"/>
        <w:rPr>
          <w:sz w:val="22"/>
        </w:rPr>
      </w:pPr>
      <w:r w:rsidRPr="00640D24">
        <w:rPr>
          <w:sz w:val="22"/>
        </w:rPr>
        <w:t>Taikoma fiksuota metinė palūkanų norma – 1</w:t>
      </w:r>
      <w:r w:rsidR="00324C91" w:rsidRPr="00640D24">
        <w:rPr>
          <w:sz w:val="22"/>
        </w:rPr>
        <w:t>5</w:t>
      </w:r>
      <w:r w:rsidRPr="00640D24">
        <w:rPr>
          <w:sz w:val="22"/>
        </w:rPr>
        <w:t xml:space="preserve"> proc.;</w:t>
      </w:r>
    </w:p>
    <w:p w14:paraId="4C9B4914" w14:textId="365B3200" w:rsidR="00351B75" w:rsidRPr="00640D24" w:rsidRDefault="00CA6BE4" w:rsidP="00160B10">
      <w:pPr>
        <w:pStyle w:val="Sraopastraipa"/>
        <w:numPr>
          <w:ilvl w:val="0"/>
          <w:numId w:val="25"/>
        </w:numPr>
        <w:spacing w:before="60" w:after="120" w:line="240" w:lineRule="auto"/>
        <w:jc w:val="both"/>
        <w:rPr>
          <w:sz w:val="22"/>
        </w:rPr>
      </w:pPr>
      <w:r w:rsidRPr="00640D24">
        <w:rPr>
          <w:sz w:val="22"/>
        </w:rPr>
        <w:t>vidutinis</w:t>
      </w:r>
      <w:r w:rsidR="00351B75" w:rsidRPr="00640D24">
        <w:rPr>
          <w:sz w:val="22"/>
        </w:rPr>
        <w:t xml:space="preserve"> paskolos grąžinimo laikotarpis – </w:t>
      </w:r>
      <w:r w:rsidR="00DD7176" w:rsidRPr="00640D24">
        <w:rPr>
          <w:sz w:val="22"/>
        </w:rPr>
        <w:t>5</w:t>
      </w:r>
      <w:r w:rsidR="00351B75" w:rsidRPr="00640D24">
        <w:rPr>
          <w:sz w:val="22"/>
        </w:rPr>
        <w:t xml:space="preserve"> metai;</w:t>
      </w:r>
    </w:p>
    <w:p w14:paraId="154A4A4E" w14:textId="1268CD01" w:rsidR="0055427C" w:rsidRPr="00640D24" w:rsidRDefault="00351B75" w:rsidP="00160B10">
      <w:pPr>
        <w:pStyle w:val="Sraopastraipa"/>
        <w:numPr>
          <w:ilvl w:val="0"/>
          <w:numId w:val="25"/>
        </w:numPr>
        <w:spacing w:before="60" w:after="120" w:line="240" w:lineRule="auto"/>
        <w:jc w:val="both"/>
        <w:rPr>
          <w:sz w:val="22"/>
        </w:rPr>
      </w:pPr>
      <w:r w:rsidRPr="00640D24">
        <w:rPr>
          <w:sz w:val="22"/>
        </w:rPr>
        <w:t>Skaičiuojant grįžtančių lėšų efektą daroma prielaida, kad paskola būtų grąžinama ir iš grąžintos metinės dalies būtų galima išduoti vis naujas paskolas. Finansinė kiekybinė FP vertė skaičiuojama anuiteto pagrindu (</w:t>
      </w:r>
      <w:r w:rsidR="00DD7176" w:rsidRPr="00640D24">
        <w:rPr>
          <w:sz w:val="22"/>
        </w:rPr>
        <w:t>5</w:t>
      </w:r>
      <w:r w:rsidRPr="00640D24">
        <w:rPr>
          <w:sz w:val="22"/>
        </w:rPr>
        <w:t xml:space="preserve"> metai). Būsimas pinigų srautas tolimesnėms investicijoms dabartine verte sudaro 0,</w:t>
      </w:r>
      <w:r w:rsidR="004D3E91" w:rsidRPr="00640D24">
        <w:rPr>
          <w:sz w:val="22"/>
        </w:rPr>
        <w:t>7</w:t>
      </w:r>
      <w:r w:rsidRPr="00640D24">
        <w:rPr>
          <w:sz w:val="22"/>
        </w:rPr>
        <w:t xml:space="preserve">. Tokiu atveju multiplikatoriaus efektas sudarytų </w:t>
      </w:r>
      <w:r w:rsidRPr="00640D24">
        <w:rPr>
          <w:b/>
          <w:sz w:val="22"/>
        </w:rPr>
        <w:t>1,</w:t>
      </w:r>
      <w:r w:rsidR="00DD7176" w:rsidRPr="00640D24">
        <w:rPr>
          <w:b/>
          <w:sz w:val="22"/>
        </w:rPr>
        <w:t>3</w:t>
      </w:r>
      <w:r w:rsidRPr="00640D24">
        <w:rPr>
          <w:sz w:val="22"/>
        </w:rPr>
        <w:t>.</w:t>
      </w:r>
    </w:p>
    <w:p w14:paraId="60D9CBEB" w14:textId="50FD48B0" w:rsidR="007754F3" w:rsidRPr="00640D24" w:rsidRDefault="007754F3" w:rsidP="00035B7B">
      <w:pPr>
        <w:spacing w:before="60" w:after="60" w:line="240" w:lineRule="auto"/>
        <w:ind w:firstLine="567"/>
        <w:jc w:val="both"/>
        <w:rPr>
          <w:rFonts w:cs="Times New Roman"/>
          <w:sz w:val="22"/>
          <w:szCs w:val="22"/>
        </w:rPr>
      </w:pPr>
      <w:bookmarkStart w:id="106" w:name="_Hlk63852720"/>
      <w:r w:rsidRPr="00640D24">
        <w:rPr>
          <w:rFonts w:cs="Times New Roman"/>
          <w:sz w:val="22"/>
          <w:szCs w:val="22"/>
        </w:rPr>
        <w:t>INVEGOS tiesiogiai išduodamų paskolų</w:t>
      </w:r>
      <w:r w:rsidR="005F46CC" w:rsidRPr="00640D24">
        <w:rPr>
          <w:rFonts w:cs="Times New Roman"/>
          <w:sz w:val="22"/>
          <w:szCs w:val="22"/>
        </w:rPr>
        <w:t>, finansuojamų</w:t>
      </w:r>
      <w:r w:rsidRPr="00640D24">
        <w:rPr>
          <w:rFonts w:cs="Times New Roman"/>
          <w:sz w:val="22"/>
          <w:szCs w:val="22"/>
        </w:rPr>
        <w:t xml:space="preserve"> </w:t>
      </w:r>
      <w:r w:rsidR="005F46CC" w:rsidRPr="00640D24">
        <w:rPr>
          <w:rFonts w:cs="Times New Roman"/>
          <w:sz w:val="22"/>
          <w:szCs w:val="22"/>
        </w:rPr>
        <w:t xml:space="preserve">ES SF lėšomis </w:t>
      </w:r>
      <w:r w:rsidRPr="00640D24">
        <w:rPr>
          <w:rFonts w:cs="Times New Roman"/>
          <w:sz w:val="22"/>
          <w:szCs w:val="22"/>
        </w:rPr>
        <w:t>FP finansinis sverto efektas apskaičiuojamas remiantis šiomis prielaidomis:</w:t>
      </w:r>
    </w:p>
    <w:bookmarkEnd w:id="106"/>
    <w:p w14:paraId="0B5621DF" w14:textId="29E6FF5C" w:rsidR="003F4067" w:rsidRPr="00640D24" w:rsidRDefault="003F4067" w:rsidP="00160B10">
      <w:pPr>
        <w:pStyle w:val="Sraopastraipa"/>
        <w:numPr>
          <w:ilvl w:val="0"/>
          <w:numId w:val="27"/>
        </w:numPr>
        <w:spacing w:after="120" w:line="240" w:lineRule="auto"/>
        <w:jc w:val="both"/>
        <w:rPr>
          <w:sz w:val="22"/>
          <w:szCs w:val="20"/>
        </w:rPr>
      </w:pPr>
      <w:r w:rsidRPr="00640D24">
        <w:rPr>
          <w:sz w:val="22"/>
          <w:szCs w:val="20"/>
        </w:rPr>
        <w:t xml:space="preserve">projekto vertė – 1, iš kurių:  </w:t>
      </w:r>
      <w:r w:rsidR="00271CB9" w:rsidRPr="00640D24">
        <w:rPr>
          <w:sz w:val="22"/>
          <w:szCs w:val="20"/>
        </w:rPr>
        <w:t xml:space="preserve">30 </w:t>
      </w:r>
      <w:r w:rsidRPr="00640D24">
        <w:rPr>
          <w:sz w:val="22"/>
          <w:szCs w:val="20"/>
        </w:rPr>
        <w:t xml:space="preserve">proc. – </w:t>
      </w:r>
      <w:r w:rsidR="00E8687A" w:rsidRPr="00640D24">
        <w:rPr>
          <w:sz w:val="22"/>
          <w:szCs w:val="20"/>
        </w:rPr>
        <w:t>dotacija</w:t>
      </w:r>
      <w:r w:rsidRPr="00640D24">
        <w:rPr>
          <w:sz w:val="22"/>
          <w:szCs w:val="20"/>
        </w:rPr>
        <w:t>,</w:t>
      </w:r>
      <w:r w:rsidR="003F4B08" w:rsidRPr="00640D24">
        <w:rPr>
          <w:sz w:val="22"/>
          <w:szCs w:val="20"/>
        </w:rPr>
        <w:t xml:space="preserve"> </w:t>
      </w:r>
      <w:r w:rsidR="00271CB9" w:rsidRPr="00640D24">
        <w:rPr>
          <w:sz w:val="22"/>
          <w:szCs w:val="20"/>
        </w:rPr>
        <w:t>70</w:t>
      </w:r>
      <w:r w:rsidRPr="00640D24">
        <w:rPr>
          <w:sz w:val="22"/>
          <w:szCs w:val="20"/>
        </w:rPr>
        <w:t xml:space="preserve"> proc.  – paskola (</w:t>
      </w:r>
      <w:r w:rsidR="00DD7176" w:rsidRPr="00640D24">
        <w:rPr>
          <w:sz w:val="22"/>
          <w:szCs w:val="20"/>
        </w:rPr>
        <w:t>2</w:t>
      </w:r>
      <w:r w:rsidR="00271CB9" w:rsidRPr="00640D24">
        <w:rPr>
          <w:sz w:val="22"/>
          <w:szCs w:val="20"/>
        </w:rPr>
        <w:t>0</w:t>
      </w:r>
      <w:r w:rsidRPr="00640D24">
        <w:rPr>
          <w:sz w:val="22"/>
          <w:szCs w:val="20"/>
        </w:rPr>
        <w:t xml:space="preserve"> proc. paskolos dalies sudaro FT indėlis, o likusią dalį – </w:t>
      </w:r>
      <w:r w:rsidR="00DD7176" w:rsidRPr="00640D24">
        <w:rPr>
          <w:sz w:val="22"/>
          <w:szCs w:val="20"/>
        </w:rPr>
        <w:t>8</w:t>
      </w:r>
      <w:r w:rsidR="00271CB9" w:rsidRPr="00640D24">
        <w:rPr>
          <w:sz w:val="22"/>
          <w:szCs w:val="20"/>
        </w:rPr>
        <w:t>0</w:t>
      </w:r>
      <w:r w:rsidRPr="00640D24">
        <w:rPr>
          <w:sz w:val="22"/>
          <w:szCs w:val="20"/>
        </w:rPr>
        <w:t xml:space="preserve"> proc. – ES SF arba biudžeto lėšos). </w:t>
      </w:r>
      <w:r w:rsidR="003F4B08" w:rsidRPr="00640D24">
        <w:rPr>
          <w:sz w:val="22"/>
          <w:szCs w:val="20"/>
        </w:rPr>
        <w:t xml:space="preserve">Atsižvelgiant į pateiktas </w:t>
      </w:r>
      <w:r w:rsidR="00271CB9" w:rsidRPr="00640D24">
        <w:rPr>
          <w:sz w:val="22"/>
          <w:szCs w:val="20"/>
        </w:rPr>
        <w:t>prielaidas</w:t>
      </w:r>
      <w:r w:rsidR="003F4B08" w:rsidRPr="00640D24">
        <w:rPr>
          <w:sz w:val="22"/>
          <w:szCs w:val="20"/>
        </w:rPr>
        <w:t xml:space="preserve"> skaičiuojama, kad </w:t>
      </w:r>
      <w:r w:rsidRPr="00640D24">
        <w:rPr>
          <w:sz w:val="22"/>
          <w:szCs w:val="20"/>
        </w:rPr>
        <w:t xml:space="preserve">ES SF arba </w:t>
      </w:r>
      <w:r w:rsidR="00271CB9" w:rsidRPr="00640D24">
        <w:rPr>
          <w:sz w:val="22"/>
          <w:szCs w:val="20"/>
        </w:rPr>
        <w:t>biudžeto</w:t>
      </w:r>
      <w:r w:rsidRPr="00640D24">
        <w:rPr>
          <w:sz w:val="22"/>
          <w:szCs w:val="20"/>
        </w:rPr>
        <w:t xml:space="preserve"> lėšų dalis </w:t>
      </w:r>
      <w:r w:rsidR="00271CB9" w:rsidRPr="00640D24">
        <w:rPr>
          <w:sz w:val="22"/>
          <w:szCs w:val="20"/>
        </w:rPr>
        <w:t xml:space="preserve">sudarytų </w:t>
      </w:r>
      <w:r w:rsidR="00DD7176" w:rsidRPr="00640D24">
        <w:rPr>
          <w:sz w:val="22"/>
          <w:szCs w:val="20"/>
        </w:rPr>
        <w:t>86</w:t>
      </w:r>
      <w:r w:rsidRPr="00640D24">
        <w:rPr>
          <w:sz w:val="22"/>
          <w:szCs w:val="20"/>
        </w:rPr>
        <w:t xml:space="preserve"> proc. projekto sumos, FT – </w:t>
      </w:r>
      <w:r w:rsidR="00DD7176" w:rsidRPr="00640D24">
        <w:rPr>
          <w:sz w:val="22"/>
          <w:szCs w:val="20"/>
        </w:rPr>
        <w:t>14</w:t>
      </w:r>
      <w:r w:rsidRPr="00640D24">
        <w:rPr>
          <w:sz w:val="22"/>
          <w:szCs w:val="20"/>
        </w:rPr>
        <w:t xml:space="preserve"> proc.</w:t>
      </w:r>
    </w:p>
    <w:p w14:paraId="025E0E4E" w14:textId="2D43D54B" w:rsidR="003F4067" w:rsidRPr="00640D24" w:rsidRDefault="003F4067" w:rsidP="00160B10">
      <w:pPr>
        <w:pStyle w:val="Sraopastraipa"/>
        <w:numPr>
          <w:ilvl w:val="0"/>
          <w:numId w:val="27"/>
        </w:numPr>
        <w:spacing w:after="120" w:line="240" w:lineRule="auto"/>
        <w:jc w:val="both"/>
        <w:rPr>
          <w:sz w:val="22"/>
          <w:szCs w:val="20"/>
        </w:rPr>
      </w:pPr>
      <w:r w:rsidRPr="00640D24">
        <w:rPr>
          <w:sz w:val="22"/>
          <w:szCs w:val="20"/>
        </w:rPr>
        <w:lastRenderedPageBreak/>
        <w:t xml:space="preserve">skaičiuojama, kad sverto efektas siektų </w:t>
      </w:r>
      <w:r w:rsidRPr="00640D24">
        <w:rPr>
          <w:b/>
          <w:bCs/>
          <w:sz w:val="22"/>
          <w:szCs w:val="20"/>
        </w:rPr>
        <w:t>1</w:t>
      </w:r>
      <w:r w:rsidR="00271CB9" w:rsidRPr="00640D24">
        <w:rPr>
          <w:b/>
          <w:bCs/>
          <w:sz w:val="22"/>
          <w:szCs w:val="20"/>
        </w:rPr>
        <w:t>,</w:t>
      </w:r>
      <w:r w:rsidR="00DD7176" w:rsidRPr="00640D24">
        <w:rPr>
          <w:b/>
          <w:bCs/>
          <w:sz w:val="22"/>
          <w:szCs w:val="20"/>
        </w:rPr>
        <w:t>16</w:t>
      </w:r>
      <w:r w:rsidRPr="00640D24">
        <w:rPr>
          <w:b/>
          <w:bCs/>
          <w:sz w:val="22"/>
          <w:szCs w:val="20"/>
        </w:rPr>
        <w:t xml:space="preserve"> </w:t>
      </w:r>
      <w:r w:rsidR="00BD19F3" w:rsidRPr="00640D24">
        <w:rPr>
          <w:rFonts w:cs="Times New Roman"/>
          <w:sz w:val="22"/>
          <w:szCs w:val="20"/>
        </w:rPr>
        <w:t>(</w:t>
      </w:r>
      <w:r w:rsidR="00271CB9" w:rsidRPr="00640D24">
        <w:rPr>
          <w:rFonts w:cs="Times New Roman"/>
          <w:sz w:val="22"/>
          <w:szCs w:val="20"/>
        </w:rPr>
        <w:t>1</w:t>
      </w:r>
      <w:r w:rsidR="00BD19F3" w:rsidRPr="00640D24">
        <w:rPr>
          <w:rFonts w:cs="Times New Roman"/>
          <w:sz w:val="22"/>
          <w:szCs w:val="20"/>
        </w:rPr>
        <w:t>/</w:t>
      </w:r>
      <w:r w:rsidR="00271CB9" w:rsidRPr="00640D24">
        <w:rPr>
          <w:rFonts w:cs="Times New Roman"/>
          <w:sz w:val="22"/>
          <w:szCs w:val="20"/>
        </w:rPr>
        <w:t>0,</w:t>
      </w:r>
      <w:r w:rsidR="00DD7176" w:rsidRPr="00640D24">
        <w:rPr>
          <w:rFonts w:cs="Times New Roman"/>
          <w:sz w:val="22"/>
          <w:szCs w:val="20"/>
        </w:rPr>
        <w:t>86</w:t>
      </w:r>
      <w:r w:rsidR="00BD19F3" w:rsidRPr="00640D24">
        <w:rPr>
          <w:rFonts w:cs="Times New Roman"/>
          <w:sz w:val="22"/>
          <w:szCs w:val="20"/>
        </w:rPr>
        <w:t>)</w:t>
      </w:r>
      <w:r w:rsidR="00271CB9" w:rsidRPr="00640D24">
        <w:rPr>
          <w:rFonts w:cs="Times New Roman"/>
          <w:sz w:val="22"/>
          <w:szCs w:val="20"/>
        </w:rPr>
        <w:t>.</w:t>
      </w:r>
    </w:p>
    <w:p w14:paraId="7963F9CA" w14:textId="77777777" w:rsidR="00596D45" w:rsidRPr="00640D24" w:rsidRDefault="00596D45" w:rsidP="00596D45">
      <w:pPr>
        <w:spacing w:before="60" w:after="120" w:line="240" w:lineRule="auto"/>
        <w:ind w:left="567"/>
        <w:jc w:val="both"/>
      </w:pPr>
      <w:r w:rsidRPr="00640D24">
        <w:rPr>
          <w:rFonts w:eastAsia="Times New Roman" w:cs="Times New Roman"/>
          <w:sz w:val="22"/>
          <w:szCs w:val="22"/>
        </w:rPr>
        <w:t>Grįžtančių lėšų efektas skaičiuojamas remiantis šiomis prielaidomis:</w:t>
      </w:r>
    </w:p>
    <w:p w14:paraId="0B72B472" w14:textId="4640689F" w:rsidR="00596D45" w:rsidRPr="00640D24" w:rsidRDefault="00596D45" w:rsidP="00160B10">
      <w:pPr>
        <w:pStyle w:val="Sraopastraipa"/>
        <w:numPr>
          <w:ilvl w:val="0"/>
          <w:numId w:val="28"/>
        </w:numPr>
        <w:spacing w:before="60" w:after="120" w:line="240" w:lineRule="auto"/>
        <w:jc w:val="both"/>
        <w:rPr>
          <w:sz w:val="22"/>
          <w:szCs w:val="22"/>
        </w:rPr>
      </w:pPr>
      <w:r w:rsidRPr="00640D24">
        <w:rPr>
          <w:sz w:val="22"/>
          <w:szCs w:val="22"/>
        </w:rPr>
        <w:t>INVEGOS tiesiogiai išduodamoms paskoloms taikoma fiksuota metinė palūkanų norma – 2 proc. arba 3 proc.;</w:t>
      </w:r>
    </w:p>
    <w:p w14:paraId="4A8128D8" w14:textId="1DDF37E1" w:rsidR="00596D45" w:rsidRPr="00640D24" w:rsidRDefault="00596D45" w:rsidP="00160B10">
      <w:pPr>
        <w:pStyle w:val="Sraopastraipa"/>
        <w:numPr>
          <w:ilvl w:val="0"/>
          <w:numId w:val="28"/>
        </w:numPr>
        <w:spacing w:before="60" w:after="120" w:line="240" w:lineRule="auto"/>
        <w:jc w:val="both"/>
        <w:rPr>
          <w:sz w:val="22"/>
          <w:szCs w:val="22"/>
        </w:rPr>
      </w:pPr>
      <w:r w:rsidRPr="00640D24">
        <w:rPr>
          <w:sz w:val="22"/>
          <w:szCs w:val="22"/>
        </w:rPr>
        <w:t>ilgiausias galimas paskolos grąžinimo laikotarpis – 1</w:t>
      </w:r>
      <w:r w:rsidR="00324C91" w:rsidRPr="00640D24">
        <w:rPr>
          <w:sz w:val="22"/>
          <w:szCs w:val="22"/>
        </w:rPr>
        <w:t>5</w:t>
      </w:r>
      <w:r w:rsidRPr="00640D24">
        <w:rPr>
          <w:sz w:val="22"/>
          <w:szCs w:val="22"/>
        </w:rPr>
        <w:t xml:space="preserve"> metų;</w:t>
      </w:r>
    </w:p>
    <w:p w14:paraId="01E1C714" w14:textId="272FC379" w:rsidR="007E51A9" w:rsidRPr="00640D24" w:rsidRDefault="00596D45" w:rsidP="00160B10">
      <w:pPr>
        <w:pStyle w:val="Sraopastraipa"/>
        <w:numPr>
          <w:ilvl w:val="0"/>
          <w:numId w:val="28"/>
        </w:numPr>
        <w:spacing w:before="60" w:after="120" w:line="240" w:lineRule="auto"/>
        <w:jc w:val="both"/>
        <w:rPr>
          <w:sz w:val="22"/>
          <w:szCs w:val="22"/>
        </w:rPr>
      </w:pPr>
      <w:r w:rsidRPr="00640D24">
        <w:rPr>
          <w:sz w:val="22"/>
          <w:szCs w:val="22"/>
        </w:rPr>
        <w:t>Skaičiuojant grįžtančių lėšų efektą daroma prielaida, kad paskola būtų grąžinama ir iš grąžintos metinės dalies būtų galima išduoti vis naujas paskolas. Finansinė kiekybinė FP vertė skaičiuojama anuiteto pagrindu (1</w:t>
      </w:r>
      <w:r w:rsidR="00324C91" w:rsidRPr="00640D24">
        <w:rPr>
          <w:sz w:val="22"/>
          <w:szCs w:val="22"/>
        </w:rPr>
        <w:t>5</w:t>
      </w:r>
      <w:r w:rsidRPr="00640D24">
        <w:rPr>
          <w:sz w:val="22"/>
          <w:szCs w:val="22"/>
        </w:rPr>
        <w:t xml:space="preserve"> metų). Būsimas pinigų srautas tolimesnėms investicijoms dabartine verte sudaro </w:t>
      </w:r>
      <w:r w:rsidR="00DD7176" w:rsidRPr="00640D24">
        <w:rPr>
          <w:sz w:val="22"/>
          <w:szCs w:val="22"/>
        </w:rPr>
        <w:t>~</w:t>
      </w:r>
      <w:r w:rsidRPr="00640D24">
        <w:rPr>
          <w:sz w:val="22"/>
          <w:szCs w:val="22"/>
        </w:rPr>
        <w:t>0,</w:t>
      </w:r>
      <w:r w:rsidR="00DD7176" w:rsidRPr="00640D24">
        <w:rPr>
          <w:sz w:val="22"/>
          <w:szCs w:val="22"/>
        </w:rPr>
        <w:t>5</w:t>
      </w:r>
      <w:r w:rsidRPr="00640D24">
        <w:rPr>
          <w:sz w:val="22"/>
          <w:szCs w:val="22"/>
        </w:rPr>
        <w:t xml:space="preserve">. Atsižvelgiant į tai, multiplikatoriaus efektas sudarytų </w:t>
      </w:r>
      <w:r w:rsidRPr="00640D24">
        <w:rPr>
          <w:b/>
          <w:bCs/>
          <w:sz w:val="22"/>
          <w:szCs w:val="22"/>
        </w:rPr>
        <w:t>1,1</w:t>
      </w:r>
      <w:r w:rsidR="00645085" w:rsidRPr="00640D24">
        <w:rPr>
          <w:b/>
          <w:bCs/>
          <w:sz w:val="22"/>
          <w:szCs w:val="22"/>
        </w:rPr>
        <w:t>–</w:t>
      </w:r>
      <w:r w:rsidRPr="00640D24">
        <w:rPr>
          <w:b/>
          <w:bCs/>
          <w:sz w:val="22"/>
          <w:szCs w:val="22"/>
        </w:rPr>
        <w:t>1,</w:t>
      </w:r>
      <w:r w:rsidR="00DD7176" w:rsidRPr="00640D24">
        <w:rPr>
          <w:b/>
          <w:bCs/>
          <w:sz w:val="22"/>
          <w:szCs w:val="22"/>
        </w:rPr>
        <w:t>2</w:t>
      </w:r>
      <w:r w:rsidRPr="00640D24">
        <w:rPr>
          <w:b/>
          <w:bCs/>
          <w:sz w:val="22"/>
          <w:szCs w:val="22"/>
        </w:rPr>
        <w:t xml:space="preserve"> </w:t>
      </w:r>
      <w:r w:rsidRPr="00640D24">
        <w:rPr>
          <w:sz w:val="22"/>
          <w:szCs w:val="22"/>
        </w:rPr>
        <w:t>priklausomai nuo paskolos grąžinimo termino ir metinės palūkanų normos.</w:t>
      </w:r>
    </w:p>
    <w:p w14:paraId="2237BD98" w14:textId="55591B85" w:rsidR="00EF37CE" w:rsidRPr="00640D24" w:rsidRDefault="00EF37CE" w:rsidP="00EF37CE">
      <w:pPr>
        <w:spacing w:before="60" w:after="60" w:line="240" w:lineRule="auto"/>
        <w:ind w:firstLine="567"/>
        <w:jc w:val="both"/>
        <w:rPr>
          <w:rFonts w:cs="Times New Roman"/>
          <w:sz w:val="22"/>
          <w:szCs w:val="22"/>
        </w:rPr>
      </w:pPr>
      <w:bookmarkStart w:id="107" w:name="_Hlk56610882"/>
      <w:r w:rsidRPr="00640D24">
        <w:rPr>
          <w:rFonts w:cs="Times New Roman"/>
          <w:sz w:val="22"/>
          <w:szCs w:val="22"/>
        </w:rPr>
        <w:t>Pasidalytos rizikos paskolų FP finansinis sverto efektas apskaičiuojamas remiantis šiomis prielaidomis:</w:t>
      </w:r>
    </w:p>
    <w:p w14:paraId="4F7134A1" w14:textId="6AE7010F" w:rsidR="00EF37CE" w:rsidRPr="00640D24" w:rsidRDefault="00EF37CE" w:rsidP="00160B10">
      <w:pPr>
        <w:pStyle w:val="Sraopastraipa"/>
        <w:numPr>
          <w:ilvl w:val="0"/>
          <w:numId w:val="24"/>
        </w:numPr>
        <w:spacing w:after="120" w:line="240" w:lineRule="auto"/>
        <w:jc w:val="both"/>
        <w:rPr>
          <w:sz w:val="22"/>
          <w:szCs w:val="20"/>
        </w:rPr>
      </w:pPr>
      <w:r w:rsidRPr="00640D24">
        <w:rPr>
          <w:sz w:val="22"/>
          <w:szCs w:val="20"/>
        </w:rPr>
        <w:t xml:space="preserve">projekto vertė – 1, iš kurių:  25 proc. – </w:t>
      </w:r>
      <w:r w:rsidR="00184A61" w:rsidRPr="00640D24">
        <w:rPr>
          <w:sz w:val="22"/>
          <w:szCs w:val="20"/>
        </w:rPr>
        <w:t>dotacija</w:t>
      </w:r>
      <w:r w:rsidRPr="00640D24">
        <w:rPr>
          <w:sz w:val="22"/>
          <w:szCs w:val="20"/>
        </w:rPr>
        <w:t xml:space="preserve">, 75 proc.  – paskola (20 proc. paskolos dalies sudaro FT indėlis, o likusią dalį – 80 proc. – ES SF arba biudžeto lėšos). Atsižvelgiant į pateiktas prielaidas skaičiuojama, kad ES SF arba biudžeto lėšų dalis sudarytų </w:t>
      </w:r>
      <w:r w:rsidR="00596D45" w:rsidRPr="00640D24">
        <w:rPr>
          <w:sz w:val="22"/>
          <w:szCs w:val="20"/>
        </w:rPr>
        <w:t>85</w:t>
      </w:r>
      <w:r w:rsidRPr="00640D24">
        <w:rPr>
          <w:sz w:val="22"/>
          <w:szCs w:val="20"/>
        </w:rPr>
        <w:t xml:space="preserve"> proc. projekto sumos, FT – </w:t>
      </w:r>
      <w:r w:rsidR="00596D45" w:rsidRPr="00640D24">
        <w:rPr>
          <w:sz w:val="22"/>
          <w:szCs w:val="20"/>
        </w:rPr>
        <w:t>15</w:t>
      </w:r>
      <w:r w:rsidRPr="00640D24">
        <w:rPr>
          <w:sz w:val="22"/>
          <w:szCs w:val="20"/>
        </w:rPr>
        <w:t xml:space="preserve"> proc.</w:t>
      </w:r>
    </w:p>
    <w:p w14:paraId="44FCD81C" w14:textId="5D615440" w:rsidR="00EF37CE" w:rsidRPr="00640D24" w:rsidRDefault="00EF37CE" w:rsidP="00160B10">
      <w:pPr>
        <w:pStyle w:val="Sraopastraipa"/>
        <w:numPr>
          <w:ilvl w:val="0"/>
          <w:numId w:val="24"/>
        </w:numPr>
        <w:spacing w:after="120" w:line="240" w:lineRule="auto"/>
        <w:jc w:val="both"/>
        <w:rPr>
          <w:sz w:val="22"/>
          <w:szCs w:val="20"/>
        </w:rPr>
      </w:pPr>
      <w:r w:rsidRPr="00640D24">
        <w:rPr>
          <w:sz w:val="22"/>
          <w:szCs w:val="20"/>
        </w:rPr>
        <w:t xml:space="preserve">skaičiuojama, kad sverto efektas siektų </w:t>
      </w:r>
      <w:r w:rsidRPr="00640D24">
        <w:rPr>
          <w:b/>
          <w:bCs/>
          <w:sz w:val="22"/>
          <w:szCs w:val="20"/>
        </w:rPr>
        <w:t>1,</w:t>
      </w:r>
      <w:r w:rsidR="004D3E91" w:rsidRPr="00640D24">
        <w:rPr>
          <w:b/>
          <w:bCs/>
          <w:sz w:val="22"/>
          <w:szCs w:val="20"/>
        </w:rPr>
        <w:t>2</w:t>
      </w:r>
      <w:r w:rsidRPr="00640D24">
        <w:rPr>
          <w:b/>
          <w:bCs/>
          <w:sz w:val="22"/>
          <w:szCs w:val="20"/>
        </w:rPr>
        <w:t xml:space="preserve"> </w:t>
      </w:r>
      <w:r w:rsidRPr="00640D24">
        <w:rPr>
          <w:rFonts w:cs="Times New Roman"/>
          <w:sz w:val="22"/>
          <w:szCs w:val="20"/>
        </w:rPr>
        <w:t>(1/0,</w:t>
      </w:r>
      <w:r w:rsidR="00596D45" w:rsidRPr="00640D24">
        <w:rPr>
          <w:rFonts w:cs="Times New Roman"/>
          <w:sz w:val="22"/>
          <w:szCs w:val="20"/>
        </w:rPr>
        <w:t>85</w:t>
      </w:r>
      <w:r w:rsidRPr="00640D24">
        <w:rPr>
          <w:rFonts w:cs="Times New Roman"/>
          <w:sz w:val="22"/>
          <w:szCs w:val="20"/>
        </w:rPr>
        <w:t>).</w:t>
      </w:r>
    </w:p>
    <w:p w14:paraId="721B82A8" w14:textId="77777777" w:rsidR="00596D45" w:rsidRPr="00640D24" w:rsidRDefault="00596D45" w:rsidP="00596D45">
      <w:pPr>
        <w:spacing w:before="60" w:after="120" w:line="240" w:lineRule="auto"/>
        <w:ind w:left="567"/>
        <w:jc w:val="both"/>
      </w:pPr>
      <w:r w:rsidRPr="00640D24">
        <w:rPr>
          <w:rFonts w:eastAsia="Times New Roman" w:cs="Times New Roman"/>
          <w:sz w:val="22"/>
          <w:szCs w:val="22"/>
        </w:rPr>
        <w:t>Grįžtančių lėšų efektas skaičiuojamas remiantis šiomis prielaidomis:</w:t>
      </w:r>
    </w:p>
    <w:p w14:paraId="247061B1" w14:textId="2D9CEC10" w:rsidR="00596D45" w:rsidRPr="00640D24" w:rsidRDefault="00596D45" w:rsidP="00160B10">
      <w:pPr>
        <w:pStyle w:val="Sraopastraipa"/>
        <w:numPr>
          <w:ilvl w:val="0"/>
          <w:numId w:val="26"/>
        </w:numPr>
        <w:spacing w:before="60" w:after="120" w:line="240" w:lineRule="auto"/>
        <w:jc w:val="both"/>
        <w:rPr>
          <w:sz w:val="22"/>
          <w:szCs w:val="22"/>
        </w:rPr>
      </w:pPr>
      <w:r w:rsidRPr="00640D24">
        <w:rPr>
          <w:sz w:val="22"/>
          <w:szCs w:val="22"/>
        </w:rPr>
        <w:t>pasidalytos rizikos paskoloms taikoma fiksuota metinė palūkanų norma – 3 proc.;</w:t>
      </w:r>
    </w:p>
    <w:p w14:paraId="0660841E" w14:textId="72611A7C" w:rsidR="00596D45" w:rsidRPr="00640D24" w:rsidRDefault="00596D45" w:rsidP="00160B10">
      <w:pPr>
        <w:pStyle w:val="Sraopastraipa"/>
        <w:numPr>
          <w:ilvl w:val="0"/>
          <w:numId w:val="26"/>
        </w:numPr>
        <w:spacing w:before="60" w:after="120" w:line="240" w:lineRule="auto"/>
        <w:jc w:val="both"/>
        <w:rPr>
          <w:sz w:val="22"/>
          <w:szCs w:val="22"/>
        </w:rPr>
      </w:pPr>
      <w:r w:rsidRPr="00640D24">
        <w:rPr>
          <w:sz w:val="22"/>
          <w:szCs w:val="22"/>
        </w:rPr>
        <w:t xml:space="preserve">paskolos grąžinimo laikotarpis yra 3 metai, jeigu paskola yra skirta apyvartinėms </w:t>
      </w:r>
      <w:r w:rsidR="00CD129B" w:rsidRPr="00640D24">
        <w:rPr>
          <w:sz w:val="22"/>
          <w:szCs w:val="22"/>
        </w:rPr>
        <w:t>lėšoms</w:t>
      </w:r>
      <w:r w:rsidRPr="00640D24">
        <w:rPr>
          <w:sz w:val="22"/>
          <w:szCs w:val="22"/>
        </w:rPr>
        <w:t xml:space="preserve"> arba 10 metų, jeigu paskola yra skirta investicijoms;</w:t>
      </w:r>
    </w:p>
    <w:p w14:paraId="25DE0430" w14:textId="6E6ACBFA" w:rsidR="0090505D" w:rsidRPr="00640D24" w:rsidRDefault="00596D45" w:rsidP="00160B10">
      <w:pPr>
        <w:pStyle w:val="Sraopastraipa"/>
        <w:numPr>
          <w:ilvl w:val="0"/>
          <w:numId w:val="26"/>
        </w:numPr>
        <w:spacing w:before="60" w:after="120" w:line="240" w:lineRule="auto"/>
        <w:jc w:val="both"/>
        <w:rPr>
          <w:sz w:val="22"/>
          <w:szCs w:val="22"/>
        </w:rPr>
      </w:pPr>
      <w:r w:rsidRPr="00640D24">
        <w:rPr>
          <w:sz w:val="22"/>
          <w:szCs w:val="22"/>
        </w:rPr>
        <w:t xml:space="preserve">skaičiuojant grįžtančių lėšų efektą daroma prielaida, kad paskola būtų grąžinama ir iš grąžintos metinės dalies būtų galima išduoti vis naujas paskolas. Finansinė kiekybinė FP vertė skaičiuojama anuiteto pagrindu (3 arba 10 metų). Būsimas pinigų srautas tolimesnėms investicijoms dabartine verte sudaro 0,57 apyvartinėms lėšoms finansuoti skirtai paskolai ir 0,51 – investicijoms skirtai paskolai. Atsižvelgiant į tai, multiplikatoriaus efektas sudarytų </w:t>
      </w:r>
      <w:r w:rsidRPr="00640D24">
        <w:rPr>
          <w:b/>
          <w:bCs/>
          <w:sz w:val="22"/>
          <w:szCs w:val="22"/>
        </w:rPr>
        <w:t>1,</w:t>
      </w:r>
      <w:r w:rsidR="004D3E91" w:rsidRPr="00640D24">
        <w:rPr>
          <w:b/>
          <w:bCs/>
          <w:sz w:val="22"/>
          <w:szCs w:val="22"/>
        </w:rPr>
        <w:t>1</w:t>
      </w:r>
      <w:r w:rsidR="00645085" w:rsidRPr="00640D24">
        <w:rPr>
          <w:b/>
          <w:bCs/>
          <w:sz w:val="22"/>
          <w:szCs w:val="22"/>
        </w:rPr>
        <w:t>–</w:t>
      </w:r>
      <w:r w:rsidRPr="00640D24">
        <w:rPr>
          <w:b/>
          <w:bCs/>
          <w:sz w:val="22"/>
          <w:szCs w:val="22"/>
        </w:rPr>
        <w:t>1,</w:t>
      </w:r>
      <w:r w:rsidR="004D3E91" w:rsidRPr="00640D24">
        <w:rPr>
          <w:b/>
          <w:bCs/>
          <w:sz w:val="22"/>
          <w:szCs w:val="22"/>
        </w:rPr>
        <w:t>2</w:t>
      </w:r>
      <w:r w:rsidRPr="00640D24">
        <w:rPr>
          <w:b/>
          <w:bCs/>
          <w:sz w:val="22"/>
          <w:szCs w:val="22"/>
        </w:rPr>
        <w:t xml:space="preserve"> </w:t>
      </w:r>
      <w:r w:rsidRPr="00640D24">
        <w:rPr>
          <w:sz w:val="22"/>
          <w:szCs w:val="22"/>
        </w:rPr>
        <w:t>priklausomai nuo paskolos paskirties.</w:t>
      </w:r>
    </w:p>
    <w:p w14:paraId="1D6CFE88" w14:textId="1E72E8B1" w:rsidR="009B62D5" w:rsidRPr="00640D24" w:rsidRDefault="00596D45" w:rsidP="00812121">
      <w:pPr>
        <w:spacing w:before="60" w:after="60" w:line="240" w:lineRule="auto"/>
        <w:ind w:firstLine="567"/>
        <w:jc w:val="both"/>
        <w:rPr>
          <w:rFonts w:cs="Times New Roman"/>
          <w:sz w:val="22"/>
          <w:szCs w:val="22"/>
        </w:rPr>
      </w:pPr>
      <w:r w:rsidRPr="00640D24">
        <w:rPr>
          <w:rFonts w:cs="Times New Roman"/>
          <w:sz w:val="22"/>
          <w:szCs w:val="22"/>
        </w:rPr>
        <w:t xml:space="preserve">Atsižvelgiant į tai, kad </w:t>
      </w:r>
      <w:proofErr w:type="spellStart"/>
      <w:r w:rsidR="0055427C" w:rsidRPr="00640D24">
        <w:rPr>
          <w:rFonts w:cs="Times New Roman"/>
          <w:sz w:val="22"/>
          <w:szCs w:val="22"/>
        </w:rPr>
        <w:t>mikrokreditų</w:t>
      </w:r>
      <w:proofErr w:type="spellEnd"/>
      <w:r w:rsidR="0055427C" w:rsidRPr="00640D24">
        <w:rPr>
          <w:rFonts w:cs="Times New Roman"/>
          <w:sz w:val="22"/>
          <w:szCs w:val="22"/>
        </w:rPr>
        <w:t xml:space="preserve"> FP ir AKF</w:t>
      </w:r>
      <w:r w:rsidR="00AD20CD" w:rsidRPr="00640D24">
        <w:rPr>
          <w:rFonts w:cs="Times New Roman"/>
          <w:sz w:val="22"/>
          <w:szCs w:val="22"/>
        </w:rPr>
        <w:t xml:space="preserve"> </w:t>
      </w:r>
      <w:r w:rsidR="0055427C" w:rsidRPr="00640D24">
        <w:rPr>
          <w:rFonts w:cs="Times New Roman"/>
          <w:sz w:val="22"/>
          <w:szCs w:val="22"/>
        </w:rPr>
        <w:t>3 bus finansuojama iš grįžusių</w:t>
      </w:r>
      <w:r w:rsidR="00DD7176" w:rsidRPr="00640D24">
        <w:rPr>
          <w:rFonts w:cs="Times New Roman"/>
          <w:sz w:val="22"/>
          <w:szCs w:val="22"/>
        </w:rPr>
        <w:t xml:space="preserve"> ir (ar) grįšiančių</w:t>
      </w:r>
      <w:r w:rsidR="0055427C" w:rsidRPr="00640D24">
        <w:rPr>
          <w:rFonts w:cs="Times New Roman"/>
          <w:sz w:val="22"/>
          <w:szCs w:val="22"/>
        </w:rPr>
        <w:t xml:space="preserve"> lėšų, šių FP finansinis sverto efektas nėra skaičiuojamas. </w:t>
      </w:r>
      <w:bookmarkEnd w:id="107"/>
    </w:p>
    <w:p w14:paraId="24FB0BF1" w14:textId="549F894E" w:rsidR="0094537B" w:rsidRPr="00640D24" w:rsidRDefault="00F763B2" w:rsidP="0094537B">
      <w:pPr>
        <w:spacing w:before="60" w:after="120" w:line="240" w:lineRule="auto"/>
        <w:ind w:firstLine="567"/>
        <w:jc w:val="both"/>
        <w:rPr>
          <w:rFonts w:cs="Times New Roman"/>
          <w:sz w:val="22"/>
          <w:szCs w:val="22"/>
        </w:rPr>
      </w:pPr>
      <w:r w:rsidRPr="00640D24">
        <w:rPr>
          <w:rFonts w:eastAsia="Times New Roman" w:cs="Times New Roman"/>
          <w:color w:val="000000"/>
          <w:sz w:val="21"/>
          <w:szCs w:val="21"/>
          <w:lang w:eastAsia="lt-LT"/>
        </w:rPr>
        <w:t>INVEGOS tiesioginio skolinio finansavimo EGADP lėšomis (ž</w:t>
      </w:r>
      <w:r w:rsidRPr="00640D24">
        <w:rPr>
          <w:rFonts w:cs="Times New Roman"/>
          <w:sz w:val="22"/>
          <w:szCs w:val="22"/>
        </w:rPr>
        <w:t>aliųjų ir aukštos pridėtinės vertės technologijų vystym</w:t>
      </w:r>
      <w:r w:rsidR="005F46CC" w:rsidRPr="00640D24">
        <w:rPr>
          <w:rFonts w:cs="Times New Roman"/>
          <w:sz w:val="22"/>
          <w:szCs w:val="22"/>
        </w:rPr>
        <w:t>o</w:t>
      </w:r>
      <w:r w:rsidRPr="00640D24">
        <w:rPr>
          <w:rFonts w:cs="Times New Roman"/>
          <w:sz w:val="22"/>
          <w:szCs w:val="22"/>
        </w:rPr>
        <w:t xml:space="preserve"> bei gynybos ir saugumo pramonės konkurencingumo didinim</w:t>
      </w:r>
      <w:r w:rsidR="005F46CC" w:rsidRPr="00640D24">
        <w:rPr>
          <w:rFonts w:cs="Times New Roman"/>
          <w:sz w:val="22"/>
          <w:szCs w:val="22"/>
        </w:rPr>
        <w:t>o veikla</w:t>
      </w:r>
      <w:r w:rsidR="00AB3FB2" w:rsidRPr="00640D24">
        <w:rPr>
          <w:rFonts w:cs="Times New Roman"/>
          <w:sz w:val="22"/>
          <w:szCs w:val="22"/>
        </w:rPr>
        <w:t>)</w:t>
      </w:r>
      <w:r w:rsidRPr="00640D24" w:rsidDel="00F763B2">
        <w:rPr>
          <w:rFonts w:cs="Times New Roman"/>
          <w:sz w:val="22"/>
          <w:szCs w:val="22"/>
        </w:rPr>
        <w:t xml:space="preserve"> </w:t>
      </w:r>
      <w:r w:rsidR="0094537B" w:rsidRPr="00640D24">
        <w:rPr>
          <w:rFonts w:cs="Times New Roman"/>
          <w:sz w:val="22"/>
          <w:szCs w:val="22"/>
        </w:rPr>
        <w:t>FP sverto efektas skaičiuojamas remiantis šiomis prielaidomis:</w:t>
      </w:r>
    </w:p>
    <w:p w14:paraId="4E05F44B" w14:textId="19908DB8" w:rsidR="0094537B" w:rsidRPr="00640D24" w:rsidRDefault="0094537B" w:rsidP="00160B10">
      <w:pPr>
        <w:pStyle w:val="Sraopastraipa"/>
        <w:numPr>
          <w:ilvl w:val="0"/>
          <w:numId w:val="33"/>
        </w:numPr>
        <w:spacing w:after="120" w:line="240" w:lineRule="auto"/>
        <w:jc w:val="both"/>
        <w:rPr>
          <w:sz w:val="22"/>
          <w:szCs w:val="20"/>
        </w:rPr>
      </w:pPr>
      <w:r w:rsidRPr="00640D24">
        <w:rPr>
          <w:sz w:val="22"/>
          <w:szCs w:val="20"/>
        </w:rPr>
        <w:t>projekto vertė – 1</w:t>
      </w:r>
      <w:r w:rsidR="00A55BBF" w:rsidRPr="00640D24">
        <w:rPr>
          <w:sz w:val="22"/>
          <w:szCs w:val="20"/>
        </w:rPr>
        <w:t>. Darant prielaidą, kad</w:t>
      </w:r>
      <w:r w:rsidR="009D46E5" w:rsidRPr="00640D24">
        <w:rPr>
          <w:sz w:val="22"/>
          <w:szCs w:val="20"/>
        </w:rPr>
        <w:t xml:space="preserve"> sindikuotų ar subordinuotų paskolų atvejais 40 proc. projekto vertės bus finansuojama paskola iš NPĮ, bent </w:t>
      </w:r>
      <w:r w:rsidR="00DE050C" w:rsidRPr="00640D24">
        <w:rPr>
          <w:sz w:val="22"/>
          <w:szCs w:val="20"/>
        </w:rPr>
        <w:t>2</w:t>
      </w:r>
      <w:r w:rsidR="009D46E5" w:rsidRPr="00640D24">
        <w:rPr>
          <w:sz w:val="22"/>
          <w:szCs w:val="20"/>
        </w:rPr>
        <w:t>0 proc. finansuos pats projekto vykdytojas nuosavomis lėšomis, o likusi</w:t>
      </w:r>
      <w:r w:rsidR="00DE050C" w:rsidRPr="00640D24">
        <w:rPr>
          <w:sz w:val="22"/>
          <w:szCs w:val="20"/>
        </w:rPr>
        <w:t xml:space="preserve"> projekto dalis bus finansuojama</w:t>
      </w:r>
      <w:r w:rsidR="009D46E5" w:rsidRPr="00640D24">
        <w:rPr>
          <w:sz w:val="22"/>
          <w:szCs w:val="20"/>
        </w:rPr>
        <w:t xml:space="preserve"> FT</w:t>
      </w:r>
      <w:r w:rsidR="00A55BBF" w:rsidRPr="00640D24">
        <w:rPr>
          <w:sz w:val="22"/>
          <w:szCs w:val="20"/>
        </w:rPr>
        <w:t xml:space="preserve"> lėšomis</w:t>
      </w:r>
      <w:r w:rsidR="009D46E5" w:rsidRPr="00640D24">
        <w:rPr>
          <w:sz w:val="22"/>
          <w:szCs w:val="20"/>
        </w:rPr>
        <w:t xml:space="preserve"> (</w:t>
      </w:r>
      <w:r w:rsidR="00DE050C" w:rsidRPr="00640D24">
        <w:rPr>
          <w:sz w:val="22"/>
          <w:szCs w:val="20"/>
        </w:rPr>
        <w:t>4</w:t>
      </w:r>
      <w:r w:rsidR="009D46E5" w:rsidRPr="00640D24">
        <w:rPr>
          <w:sz w:val="22"/>
          <w:szCs w:val="20"/>
        </w:rPr>
        <w:t xml:space="preserve">0 proc.), tai sverto efektas sieks </w:t>
      </w:r>
      <w:r w:rsidR="00DE050C" w:rsidRPr="00640D24">
        <w:rPr>
          <w:sz w:val="22"/>
          <w:szCs w:val="20"/>
        </w:rPr>
        <w:t>2. Jeigu nuosavomis lėšomis projekto vykdytojas prisidėtų bent 30 proc., tai FT dalis siektų 30 proc., ir sverto efektas atitinkamai siektų 1,75</w:t>
      </w:r>
      <w:r w:rsidR="009D46E5" w:rsidRPr="00640D24">
        <w:rPr>
          <w:sz w:val="22"/>
          <w:szCs w:val="20"/>
        </w:rPr>
        <w:t>.</w:t>
      </w:r>
      <w:r w:rsidR="008E254A" w:rsidRPr="00640D24">
        <w:rPr>
          <w:sz w:val="22"/>
          <w:szCs w:val="20"/>
        </w:rPr>
        <w:t xml:space="preserve"> Tiesioginių paskolų atveju, kadangi visa paskolos dalis bus finansuojama viešomis lėšomis, tai sverto efektas sieks 1</w:t>
      </w:r>
      <w:r w:rsidR="004726B4" w:rsidRPr="00640D24">
        <w:rPr>
          <w:sz w:val="22"/>
          <w:szCs w:val="20"/>
        </w:rPr>
        <w:t>.</w:t>
      </w:r>
    </w:p>
    <w:p w14:paraId="3E0F4911" w14:textId="754CFDE9" w:rsidR="00C71DAD" w:rsidRPr="00640D24" w:rsidRDefault="00C71DAD" w:rsidP="00462885">
      <w:pPr>
        <w:spacing w:before="60" w:after="60" w:line="240" w:lineRule="auto"/>
        <w:ind w:firstLine="567"/>
        <w:jc w:val="both"/>
        <w:rPr>
          <w:rFonts w:cs="Times New Roman"/>
          <w:sz w:val="22"/>
          <w:szCs w:val="22"/>
        </w:rPr>
      </w:pPr>
      <w:r w:rsidRPr="00640D24">
        <w:rPr>
          <w:rFonts w:cs="Times New Roman"/>
          <w:sz w:val="22"/>
          <w:szCs w:val="22"/>
        </w:rPr>
        <w:t xml:space="preserve">Atsižvelgiant į tai, kad </w:t>
      </w:r>
      <w:r w:rsidR="000D7B27" w:rsidRPr="00640D24">
        <w:rPr>
          <w:rFonts w:cs="Times New Roman"/>
          <w:sz w:val="22"/>
          <w:szCs w:val="22"/>
        </w:rPr>
        <w:t xml:space="preserve">šios </w:t>
      </w:r>
      <w:r w:rsidRPr="00640D24">
        <w:rPr>
          <w:rFonts w:cs="Times New Roman"/>
          <w:sz w:val="22"/>
          <w:szCs w:val="22"/>
        </w:rPr>
        <w:t>subordinuot</w:t>
      </w:r>
      <w:r w:rsidR="00462885" w:rsidRPr="00640D24">
        <w:rPr>
          <w:rFonts w:cs="Times New Roman"/>
          <w:sz w:val="22"/>
          <w:szCs w:val="22"/>
        </w:rPr>
        <w:t>os</w:t>
      </w:r>
      <w:r w:rsidRPr="00640D24">
        <w:rPr>
          <w:rFonts w:cs="Times New Roman"/>
          <w:sz w:val="22"/>
          <w:szCs w:val="22"/>
        </w:rPr>
        <w:t>, sindikuot</w:t>
      </w:r>
      <w:r w:rsidR="00462885" w:rsidRPr="00640D24">
        <w:rPr>
          <w:rFonts w:cs="Times New Roman"/>
          <w:sz w:val="22"/>
          <w:szCs w:val="22"/>
        </w:rPr>
        <w:t xml:space="preserve">os </w:t>
      </w:r>
      <w:r w:rsidRPr="00640D24">
        <w:rPr>
          <w:rFonts w:cs="Times New Roman"/>
          <w:sz w:val="22"/>
          <w:szCs w:val="22"/>
        </w:rPr>
        <w:t>ir tiesiogin</w:t>
      </w:r>
      <w:r w:rsidR="00462885" w:rsidRPr="00640D24">
        <w:rPr>
          <w:rFonts w:cs="Times New Roman"/>
          <w:sz w:val="22"/>
          <w:szCs w:val="22"/>
        </w:rPr>
        <w:t>ės</w:t>
      </w:r>
      <w:r w:rsidRPr="00640D24">
        <w:rPr>
          <w:rFonts w:cs="Times New Roman"/>
          <w:sz w:val="22"/>
          <w:szCs w:val="22"/>
        </w:rPr>
        <w:t xml:space="preserve"> paskol</w:t>
      </w:r>
      <w:r w:rsidR="00462885" w:rsidRPr="00640D24">
        <w:rPr>
          <w:rFonts w:cs="Times New Roman"/>
          <w:sz w:val="22"/>
          <w:szCs w:val="22"/>
        </w:rPr>
        <w:t>os</w:t>
      </w:r>
      <w:r w:rsidRPr="00640D24">
        <w:rPr>
          <w:rFonts w:cs="Times New Roman"/>
          <w:sz w:val="22"/>
          <w:szCs w:val="22"/>
        </w:rPr>
        <w:t xml:space="preserve"> </w:t>
      </w:r>
      <w:r w:rsidR="00462885" w:rsidRPr="00640D24">
        <w:rPr>
          <w:rFonts w:cs="Times New Roman"/>
          <w:sz w:val="22"/>
          <w:szCs w:val="22"/>
        </w:rPr>
        <w:t>bus finansuojamos iš EGADP lėšų, kurios bus pasiskolintos, tai grįžtančių lėšų efektas nėra skaičiuojamas, nes grįžtančios lėšos bus naudojamos pasiskolintų EGADP lėšų grąžinimui.</w:t>
      </w:r>
    </w:p>
    <w:p w14:paraId="6A12A984" w14:textId="232F46AA" w:rsidR="00983C7D" w:rsidRPr="00640D24" w:rsidRDefault="00983C7D" w:rsidP="00824437">
      <w:pPr>
        <w:pStyle w:val="Antrat2"/>
        <w:numPr>
          <w:ilvl w:val="1"/>
          <w:numId w:val="1"/>
        </w:numPr>
        <w:spacing w:before="120" w:after="60" w:line="240" w:lineRule="auto"/>
        <w:ind w:left="958" w:hanging="601"/>
        <w:rPr>
          <w:rFonts w:ascii="Times New Roman" w:hAnsi="Times New Roman" w:cs="Times New Roman"/>
          <w:b/>
          <w:bCs/>
          <w:color w:val="auto"/>
        </w:rPr>
      </w:pPr>
      <w:bookmarkStart w:id="108" w:name="_Toc57225220"/>
      <w:bookmarkStart w:id="109" w:name="_Toc146812403"/>
      <w:r w:rsidRPr="00640D24">
        <w:rPr>
          <w:rFonts w:ascii="Times New Roman" w:hAnsi="Times New Roman" w:cs="Times New Roman"/>
          <w:b/>
          <w:bCs/>
          <w:color w:val="auto"/>
        </w:rPr>
        <w:t xml:space="preserve">Finansinis garantijų FP </w:t>
      </w:r>
      <w:r w:rsidR="00BD19F3" w:rsidRPr="00640D24">
        <w:rPr>
          <w:rFonts w:ascii="Times New Roman" w:hAnsi="Times New Roman" w:cs="Times New Roman"/>
          <w:b/>
          <w:bCs/>
          <w:color w:val="auto"/>
        </w:rPr>
        <w:t>sverto efektas</w:t>
      </w:r>
      <w:bookmarkEnd w:id="108"/>
      <w:bookmarkEnd w:id="109"/>
    </w:p>
    <w:p w14:paraId="2A5C388A" w14:textId="17C2E65B" w:rsidR="00983C7D" w:rsidRPr="00640D24" w:rsidRDefault="00FE69B4" w:rsidP="00D12B54">
      <w:pPr>
        <w:spacing w:before="60" w:after="60" w:line="240" w:lineRule="auto"/>
        <w:ind w:firstLine="567"/>
        <w:jc w:val="both"/>
        <w:rPr>
          <w:rFonts w:cs="Times New Roman"/>
          <w:sz w:val="22"/>
          <w:szCs w:val="22"/>
        </w:rPr>
      </w:pPr>
      <w:r w:rsidRPr="00640D24">
        <w:rPr>
          <w:rFonts w:cs="Times New Roman"/>
          <w:sz w:val="22"/>
          <w:szCs w:val="22"/>
        </w:rPr>
        <w:t>Remiantis 2020 m. lapkričio 19 d. duomenimis</w:t>
      </w:r>
      <w:r w:rsidR="00413BA2" w:rsidRPr="00640D24">
        <w:rPr>
          <w:rFonts w:cs="Times New Roman"/>
          <w:sz w:val="22"/>
          <w:szCs w:val="22"/>
        </w:rPr>
        <w:t xml:space="preserve"> tiek individualios, tiek portfelinės garantijos yra plačiai naudojamos (2020 m. lapkričio 18 d. duomenimis individualių garantijų </w:t>
      </w:r>
      <w:proofErr w:type="spellStart"/>
      <w:r w:rsidR="00413BA2" w:rsidRPr="00640D24">
        <w:rPr>
          <w:rFonts w:cs="Times New Roman"/>
          <w:sz w:val="22"/>
          <w:szCs w:val="22"/>
        </w:rPr>
        <w:t>panaudojamumas</w:t>
      </w:r>
      <w:proofErr w:type="spellEnd"/>
      <w:r w:rsidR="00413BA2" w:rsidRPr="00640D24">
        <w:rPr>
          <w:rFonts w:cs="Times New Roman"/>
          <w:sz w:val="22"/>
          <w:szCs w:val="22"/>
        </w:rPr>
        <w:t xml:space="preserve"> suplanuotame laikotarpyje nuo 2020 m. vasario 1 d. iki 2020 m. gruodžio 31 d. siekė 101 proc., o portfelinių garantijų paskoloms ir lizingui – 158 proc.). </w:t>
      </w:r>
    </w:p>
    <w:p w14:paraId="2EF1C4ED" w14:textId="0BA160E5" w:rsidR="00983C7D" w:rsidRPr="00640D24" w:rsidRDefault="00983C7D" w:rsidP="00D12B54">
      <w:pPr>
        <w:spacing w:before="60" w:after="60" w:line="240" w:lineRule="auto"/>
        <w:ind w:firstLine="567"/>
        <w:jc w:val="both"/>
        <w:rPr>
          <w:rFonts w:cs="Times New Roman"/>
          <w:sz w:val="22"/>
          <w:szCs w:val="22"/>
        </w:rPr>
      </w:pPr>
      <w:r w:rsidRPr="00640D24">
        <w:rPr>
          <w:rFonts w:cs="Times New Roman"/>
          <w:sz w:val="22"/>
          <w:szCs w:val="22"/>
        </w:rPr>
        <w:t>Atsižvelgiant į tai, kad Vertini</w:t>
      </w:r>
      <w:r w:rsidR="00EC7B71" w:rsidRPr="00640D24">
        <w:rPr>
          <w:rFonts w:cs="Times New Roman"/>
          <w:sz w:val="22"/>
          <w:szCs w:val="22"/>
        </w:rPr>
        <w:t>me</w:t>
      </w:r>
      <w:r w:rsidRPr="00640D24">
        <w:rPr>
          <w:rFonts w:cs="Times New Roman"/>
          <w:sz w:val="22"/>
          <w:szCs w:val="22"/>
        </w:rPr>
        <w:t xml:space="preserve"> nagrinėjamos sritys yra </w:t>
      </w:r>
      <w:r w:rsidR="00413BA2" w:rsidRPr="00640D24">
        <w:rPr>
          <w:rFonts w:cs="Times New Roman"/>
          <w:sz w:val="22"/>
          <w:szCs w:val="22"/>
        </w:rPr>
        <w:t>suprantamos kaip vidutinės arba</w:t>
      </w:r>
      <w:r w:rsidRPr="00640D24">
        <w:rPr>
          <w:rFonts w:cs="Times New Roman"/>
          <w:sz w:val="22"/>
          <w:szCs w:val="22"/>
        </w:rPr>
        <w:t xml:space="preserve"> aukštos rizikos, 2021</w:t>
      </w:r>
      <w:r w:rsidR="00893EAA" w:rsidRPr="00640D24">
        <w:rPr>
          <w:rFonts w:cs="Times New Roman"/>
          <w:sz w:val="22"/>
          <w:szCs w:val="22"/>
        </w:rPr>
        <w:t>–</w:t>
      </w:r>
      <w:r w:rsidRPr="00640D24">
        <w:rPr>
          <w:rFonts w:cs="Times New Roman"/>
          <w:sz w:val="22"/>
          <w:szCs w:val="22"/>
        </w:rPr>
        <w:t xml:space="preserve">2027 m. </w:t>
      </w:r>
      <w:r w:rsidR="003E1154" w:rsidRPr="00640D24">
        <w:rPr>
          <w:rFonts w:cs="Times New Roman"/>
          <w:sz w:val="22"/>
          <w:szCs w:val="22"/>
        </w:rPr>
        <w:t xml:space="preserve">ES SF programavimo </w:t>
      </w:r>
      <w:r w:rsidRPr="00640D24">
        <w:rPr>
          <w:rFonts w:cs="Times New Roman"/>
          <w:sz w:val="22"/>
          <w:szCs w:val="22"/>
        </w:rPr>
        <w:t xml:space="preserve">laikotarpiu yra numatomas didelis garantijų poreikis. Siekiant užtikrinti rizikingų projektų prieinamumą prie išorinio finansavimo tikimasi valstybės intervencijos taikant garantijų </w:t>
      </w:r>
      <w:r w:rsidR="00222840" w:rsidRPr="00640D24">
        <w:rPr>
          <w:rFonts w:cs="Times New Roman"/>
          <w:sz w:val="22"/>
          <w:szCs w:val="22"/>
        </w:rPr>
        <w:t>FP</w:t>
      </w:r>
    </w:p>
    <w:p w14:paraId="0C153ADA" w14:textId="2C82DECF" w:rsidR="00270A44" w:rsidRPr="00640D24" w:rsidRDefault="00270A44" w:rsidP="00CD7825">
      <w:pPr>
        <w:spacing w:before="60" w:after="60" w:line="240" w:lineRule="auto"/>
        <w:ind w:firstLine="567"/>
        <w:jc w:val="both"/>
        <w:rPr>
          <w:rFonts w:cs="Times New Roman"/>
          <w:sz w:val="22"/>
          <w:szCs w:val="22"/>
        </w:rPr>
      </w:pPr>
      <w:r w:rsidRPr="00640D24">
        <w:rPr>
          <w:rFonts w:cs="Times New Roman"/>
          <w:sz w:val="22"/>
          <w:szCs w:val="22"/>
        </w:rPr>
        <w:lastRenderedPageBreak/>
        <w:t>Atsižvelgiant į tai, kad garantijų FP bus finansuojamos iš biudžeto ir (ar) grįžusių ir (ar) grįšiančių lėšų, šių FP finansinis sverto efektas nėra skaičiuojamas.</w:t>
      </w:r>
      <w:r w:rsidR="00CD7825" w:rsidRPr="00640D24">
        <w:rPr>
          <w:rFonts w:cs="Times New Roman"/>
          <w:sz w:val="22"/>
          <w:szCs w:val="22"/>
        </w:rPr>
        <w:t xml:space="preserve"> </w:t>
      </w:r>
    </w:p>
    <w:p w14:paraId="0C1C73D2" w14:textId="3679BAD9" w:rsidR="00983C7D" w:rsidRPr="00640D24" w:rsidRDefault="00983C7D" w:rsidP="00824437">
      <w:pPr>
        <w:pStyle w:val="Antrat2"/>
        <w:numPr>
          <w:ilvl w:val="1"/>
          <w:numId w:val="1"/>
        </w:numPr>
        <w:spacing w:before="120" w:after="60" w:line="240" w:lineRule="auto"/>
        <w:ind w:left="958" w:hanging="601"/>
        <w:rPr>
          <w:rFonts w:ascii="Times New Roman" w:hAnsi="Times New Roman" w:cs="Times New Roman"/>
          <w:b/>
          <w:bCs/>
          <w:color w:val="auto"/>
        </w:rPr>
      </w:pPr>
      <w:bookmarkStart w:id="110" w:name="_Toc76556725"/>
      <w:bookmarkStart w:id="111" w:name="_Toc57225221"/>
      <w:bookmarkStart w:id="112" w:name="_Toc146812404"/>
      <w:bookmarkEnd w:id="110"/>
      <w:r w:rsidRPr="00640D24">
        <w:rPr>
          <w:rFonts w:ascii="Times New Roman" w:hAnsi="Times New Roman" w:cs="Times New Roman"/>
          <w:b/>
          <w:bCs/>
          <w:color w:val="auto"/>
        </w:rPr>
        <w:t xml:space="preserve">FP finansinio sverto ir </w:t>
      </w:r>
      <w:r w:rsidR="006172D2" w:rsidRPr="00640D24">
        <w:rPr>
          <w:rFonts w:ascii="Times New Roman" w:hAnsi="Times New Roman" w:cs="Times New Roman"/>
          <w:b/>
          <w:bCs/>
          <w:color w:val="auto"/>
        </w:rPr>
        <w:t xml:space="preserve">dotacijų </w:t>
      </w:r>
      <w:r w:rsidRPr="00640D24">
        <w:rPr>
          <w:rFonts w:ascii="Times New Roman" w:hAnsi="Times New Roman" w:cs="Times New Roman"/>
          <w:b/>
          <w:bCs/>
          <w:color w:val="auto"/>
        </w:rPr>
        <w:t>kiekybinio rodiklio palyginimas</w:t>
      </w:r>
      <w:bookmarkEnd w:id="111"/>
      <w:bookmarkEnd w:id="112"/>
    </w:p>
    <w:p w14:paraId="3A93E9D9" w14:textId="30188E31" w:rsidR="00983C7D" w:rsidRPr="00640D24" w:rsidRDefault="00983C7D" w:rsidP="00D12B54">
      <w:pPr>
        <w:spacing w:before="60" w:after="60" w:line="240" w:lineRule="auto"/>
        <w:ind w:firstLine="567"/>
        <w:jc w:val="both"/>
        <w:rPr>
          <w:rFonts w:cs="Times New Roman"/>
          <w:sz w:val="22"/>
          <w:szCs w:val="22"/>
        </w:rPr>
      </w:pPr>
      <w:r w:rsidRPr="00640D24">
        <w:rPr>
          <w:rFonts w:cs="Times New Roman"/>
          <w:sz w:val="22"/>
          <w:szCs w:val="22"/>
        </w:rPr>
        <w:t xml:space="preserve">Siekiant palyginti FP ir </w:t>
      </w:r>
      <w:r w:rsidR="006172D2" w:rsidRPr="00640D24">
        <w:rPr>
          <w:rFonts w:cs="Times New Roman"/>
          <w:sz w:val="22"/>
          <w:szCs w:val="22"/>
        </w:rPr>
        <w:t xml:space="preserve">dotacijų </w:t>
      </w:r>
      <w:r w:rsidRPr="00640D24">
        <w:rPr>
          <w:rFonts w:cs="Times New Roman"/>
          <w:sz w:val="22"/>
          <w:szCs w:val="22"/>
        </w:rPr>
        <w:t xml:space="preserve">efektą, </w:t>
      </w:r>
      <w:r w:rsidR="006172D2" w:rsidRPr="00640D24">
        <w:rPr>
          <w:rFonts w:cs="Times New Roman"/>
          <w:sz w:val="22"/>
          <w:szCs w:val="22"/>
        </w:rPr>
        <w:t xml:space="preserve">dotacijų </w:t>
      </w:r>
      <w:r w:rsidRPr="00640D24">
        <w:rPr>
          <w:rFonts w:cs="Times New Roman"/>
          <w:sz w:val="22"/>
          <w:szCs w:val="22"/>
        </w:rPr>
        <w:t>efektas buvo apskaičiuotas remiantis kaštų ir naudos analizės metodu bei remiantis kokybinėmis ir kiekybinėmis prielaidomis:</w:t>
      </w:r>
    </w:p>
    <w:p w14:paraId="577F0A43" w14:textId="77777777" w:rsidR="00983C7D" w:rsidRPr="00640D24" w:rsidRDefault="00983C7D" w:rsidP="00160B10">
      <w:pPr>
        <w:pStyle w:val="Sraopastraipa"/>
        <w:numPr>
          <w:ilvl w:val="0"/>
          <w:numId w:val="15"/>
        </w:numPr>
        <w:spacing w:before="60" w:after="60" w:line="240" w:lineRule="auto"/>
        <w:rPr>
          <w:rFonts w:cs="Times New Roman"/>
          <w:sz w:val="22"/>
          <w:szCs w:val="22"/>
        </w:rPr>
      </w:pPr>
      <w:r w:rsidRPr="00640D24">
        <w:rPr>
          <w:rFonts w:cs="Times New Roman"/>
          <w:sz w:val="22"/>
          <w:szCs w:val="22"/>
        </w:rPr>
        <w:t>Remiantis ankstesniais vertinimais</w:t>
      </w:r>
      <w:r w:rsidRPr="00640D24">
        <w:rPr>
          <w:rFonts w:cs="Times New Roman"/>
          <w:vertAlign w:val="superscript"/>
        </w:rPr>
        <w:footnoteReference w:id="97"/>
      </w:r>
      <w:r w:rsidRPr="00640D24">
        <w:rPr>
          <w:rFonts w:cs="Times New Roman"/>
          <w:sz w:val="22"/>
          <w:szCs w:val="22"/>
        </w:rPr>
        <w:t xml:space="preserve"> daromos prielaidos, kad skirtingose srityse privačių investicijų dalis siekia:</w:t>
      </w:r>
    </w:p>
    <w:p w14:paraId="3FB9A3C7" w14:textId="25B5BA39" w:rsidR="00983C7D" w:rsidRPr="00640D24" w:rsidRDefault="00983C7D" w:rsidP="00160B10">
      <w:pPr>
        <w:pStyle w:val="Sraopastraipa"/>
        <w:numPr>
          <w:ilvl w:val="1"/>
          <w:numId w:val="15"/>
        </w:numPr>
        <w:spacing w:before="60" w:after="60" w:line="240" w:lineRule="auto"/>
        <w:rPr>
          <w:rFonts w:cs="Times New Roman"/>
          <w:sz w:val="22"/>
          <w:szCs w:val="22"/>
        </w:rPr>
      </w:pPr>
      <w:r w:rsidRPr="00640D24">
        <w:rPr>
          <w:rFonts w:cs="Times New Roman"/>
          <w:sz w:val="22"/>
          <w:szCs w:val="22"/>
        </w:rPr>
        <w:t>55</w:t>
      </w:r>
      <w:r w:rsidR="00645085" w:rsidRPr="00640D24">
        <w:rPr>
          <w:rFonts w:cs="Times New Roman"/>
          <w:sz w:val="22"/>
          <w:szCs w:val="22"/>
        </w:rPr>
        <w:t>–</w:t>
      </w:r>
      <w:r w:rsidRPr="00640D24">
        <w:rPr>
          <w:rFonts w:cs="Times New Roman"/>
          <w:sz w:val="22"/>
          <w:szCs w:val="22"/>
        </w:rPr>
        <w:t xml:space="preserve">65 proc. įgyvendinamiems infrastruktūriniams projektams; </w:t>
      </w:r>
    </w:p>
    <w:p w14:paraId="4FCCD14C" w14:textId="47B5E9CF" w:rsidR="00983C7D" w:rsidRPr="00640D24" w:rsidRDefault="00983C7D" w:rsidP="00160B10">
      <w:pPr>
        <w:pStyle w:val="Sraopastraipa"/>
        <w:numPr>
          <w:ilvl w:val="1"/>
          <w:numId w:val="15"/>
        </w:numPr>
        <w:spacing w:before="60" w:after="60" w:line="240" w:lineRule="auto"/>
        <w:rPr>
          <w:rFonts w:cs="Times New Roman"/>
          <w:sz w:val="22"/>
          <w:szCs w:val="22"/>
        </w:rPr>
      </w:pPr>
      <w:r w:rsidRPr="00640D24">
        <w:rPr>
          <w:rFonts w:cs="Times New Roman"/>
          <w:sz w:val="22"/>
          <w:szCs w:val="22"/>
        </w:rPr>
        <w:t>25</w:t>
      </w:r>
      <w:r w:rsidR="00645085" w:rsidRPr="00640D24">
        <w:rPr>
          <w:rFonts w:cs="Times New Roman"/>
          <w:sz w:val="22"/>
          <w:szCs w:val="22"/>
        </w:rPr>
        <w:t>–</w:t>
      </w:r>
      <w:r w:rsidRPr="00640D24">
        <w:rPr>
          <w:rFonts w:cs="Times New Roman"/>
          <w:sz w:val="22"/>
          <w:szCs w:val="22"/>
        </w:rPr>
        <w:t>40 proc. įgyvendinamiems MTEPI projektams.</w:t>
      </w:r>
    </w:p>
    <w:p w14:paraId="7F863FCD" w14:textId="69917B7A" w:rsidR="00983C7D" w:rsidRPr="00640D24" w:rsidRDefault="00983C7D" w:rsidP="00160B10">
      <w:pPr>
        <w:pStyle w:val="Sraopastraipa"/>
        <w:numPr>
          <w:ilvl w:val="0"/>
          <w:numId w:val="15"/>
        </w:numPr>
        <w:spacing w:before="60" w:after="60" w:line="240" w:lineRule="auto"/>
        <w:rPr>
          <w:rFonts w:cs="Times New Roman"/>
          <w:sz w:val="22"/>
          <w:szCs w:val="22"/>
        </w:rPr>
      </w:pPr>
      <w:r w:rsidRPr="00640D24">
        <w:rPr>
          <w:rFonts w:cs="Times New Roman"/>
          <w:sz w:val="22"/>
          <w:szCs w:val="22"/>
        </w:rPr>
        <w:t xml:space="preserve">Svertinis dydis yra apskaičiuotas remiantis Paveikslo Nr. 2. </w:t>
      </w:r>
      <w:r w:rsidR="00AF3726" w:rsidRPr="00640D24">
        <w:rPr>
          <w:rFonts w:cs="Times New Roman"/>
          <w:sz w:val="22"/>
          <w:szCs w:val="22"/>
        </w:rPr>
        <w:t>D</w:t>
      </w:r>
      <w:r w:rsidRPr="00640D24">
        <w:rPr>
          <w:rFonts w:cs="Times New Roman"/>
          <w:sz w:val="22"/>
          <w:szCs w:val="22"/>
        </w:rPr>
        <w:t>uomenimis, t. y. MTEP</w:t>
      </w:r>
      <w:r w:rsidR="00CF09A0" w:rsidRPr="00640D24">
        <w:rPr>
          <w:rFonts w:cs="Times New Roman"/>
          <w:sz w:val="22"/>
          <w:szCs w:val="22"/>
        </w:rPr>
        <w:t>I</w:t>
      </w:r>
      <w:r w:rsidRPr="00640D24">
        <w:rPr>
          <w:rFonts w:cs="Times New Roman"/>
          <w:sz w:val="22"/>
          <w:szCs w:val="22"/>
        </w:rPr>
        <w:t xml:space="preserve"> (įskaitant </w:t>
      </w:r>
      <w:proofErr w:type="spellStart"/>
      <w:r w:rsidRPr="00640D24">
        <w:rPr>
          <w:rFonts w:cs="Times New Roman"/>
          <w:sz w:val="22"/>
          <w:szCs w:val="22"/>
        </w:rPr>
        <w:t>startuolius</w:t>
      </w:r>
      <w:proofErr w:type="spellEnd"/>
      <w:r w:rsidRPr="00640D24">
        <w:rPr>
          <w:rFonts w:cs="Times New Roman"/>
          <w:sz w:val="22"/>
          <w:szCs w:val="22"/>
        </w:rPr>
        <w:t xml:space="preserve"> ir TUI) priskiriama 64,76 proc. bendro sverto, o infrastruktūriniams projektams – 35,24 proc. </w:t>
      </w:r>
    </w:p>
    <w:p w14:paraId="5C4A8A97" w14:textId="3913CC83" w:rsidR="00983C7D" w:rsidRPr="00640D24" w:rsidRDefault="006172D2" w:rsidP="00160B10">
      <w:pPr>
        <w:pStyle w:val="Sraopastraipa"/>
        <w:numPr>
          <w:ilvl w:val="0"/>
          <w:numId w:val="15"/>
        </w:numPr>
        <w:spacing w:before="60" w:after="60" w:line="240" w:lineRule="auto"/>
        <w:rPr>
          <w:rFonts w:cs="Times New Roman"/>
          <w:sz w:val="22"/>
          <w:szCs w:val="22"/>
        </w:rPr>
      </w:pPr>
      <w:r w:rsidRPr="00640D24">
        <w:rPr>
          <w:rFonts w:cs="Times New Roman"/>
          <w:sz w:val="22"/>
          <w:szCs w:val="22"/>
        </w:rPr>
        <w:t>Dotac</w:t>
      </w:r>
      <w:r w:rsidR="00260E19" w:rsidRPr="00640D24">
        <w:rPr>
          <w:rFonts w:cs="Times New Roman"/>
          <w:sz w:val="22"/>
          <w:szCs w:val="22"/>
        </w:rPr>
        <w:t>i</w:t>
      </w:r>
      <w:r w:rsidRPr="00640D24">
        <w:rPr>
          <w:rFonts w:cs="Times New Roman"/>
          <w:sz w:val="22"/>
          <w:szCs w:val="22"/>
        </w:rPr>
        <w:t xml:space="preserve">jos </w:t>
      </w:r>
      <w:r w:rsidR="00983C7D" w:rsidRPr="00640D24">
        <w:rPr>
          <w:rFonts w:cs="Times New Roman"/>
          <w:sz w:val="22"/>
          <w:szCs w:val="22"/>
        </w:rPr>
        <w:t>yra vienkartinės išmokos, kurios neturi grįžtančių lėšų efekto sukuriamos kiekybinės pridėtinės vertės, ilguoju laikotarpiu, vertinant pridėtinę kiekybinę vertę.</w:t>
      </w:r>
    </w:p>
    <w:p w14:paraId="32B3AB15" w14:textId="597301F0" w:rsidR="00983C7D" w:rsidRPr="00640D24" w:rsidRDefault="00983C7D" w:rsidP="00160B10">
      <w:pPr>
        <w:pStyle w:val="Sraopastraipa"/>
        <w:numPr>
          <w:ilvl w:val="0"/>
          <w:numId w:val="15"/>
        </w:numPr>
        <w:spacing w:before="60" w:after="60" w:line="240" w:lineRule="auto"/>
        <w:rPr>
          <w:rFonts w:cs="Times New Roman"/>
          <w:sz w:val="22"/>
          <w:szCs w:val="22"/>
        </w:rPr>
      </w:pPr>
      <w:r w:rsidRPr="00640D24">
        <w:rPr>
          <w:rFonts w:cs="Times New Roman"/>
          <w:sz w:val="22"/>
          <w:szCs w:val="22"/>
        </w:rPr>
        <w:t xml:space="preserve">1 mln. </w:t>
      </w:r>
      <w:proofErr w:type="spellStart"/>
      <w:r w:rsidRPr="00640D24">
        <w:rPr>
          <w:rFonts w:cs="Times New Roman"/>
          <w:sz w:val="22"/>
          <w:szCs w:val="22"/>
        </w:rPr>
        <w:t>Eur</w:t>
      </w:r>
      <w:proofErr w:type="spellEnd"/>
      <w:r w:rsidRPr="00640D24">
        <w:rPr>
          <w:rFonts w:cs="Times New Roman"/>
          <w:sz w:val="22"/>
          <w:szCs w:val="22"/>
        </w:rPr>
        <w:t xml:space="preserve"> projektui bendruoju atveju tenka 386,67 tūkst. </w:t>
      </w:r>
      <w:proofErr w:type="spellStart"/>
      <w:r w:rsidRPr="00640D24">
        <w:rPr>
          <w:rFonts w:cs="Times New Roman"/>
          <w:sz w:val="22"/>
          <w:szCs w:val="22"/>
        </w:rPr>
        <w:t>Eur</w:t>
      </w:r>
      <w:proofErr w:type="spellEnd"/>
      <w:r w:rsidR="009078DA" w:rsidRPr="00640D24">
        <w:rPr>
          <w:rFonts w:cs="Times New Roman"/>
          <w:sz w:val="22"/>
          <w:szCs w:val="22"/>
        </w:rPr>
        <w:t xml:space="preserve"> ES EF lėšų</w:t>
      </w:r>
      <w:r w:rsidRPr="00640D24">
        <w:rPr>
          <w:rFonts w:cs="Times New Roman"/>
          <w:sz w:val="22"/>
          <w:szCs w:val="22"/>
        </w:rPr>
        <w:t>. Atsižvelgiant į tai, kaštų ir naudos santykis – 2,59.</w:t>
      </w:r>
    </w:p>
    <w:p w14:paraId="1E0C8203" w14:textId="703BA9A3" w:rsidR="00674153" w:rsidRPr="00640D24" w:rsidRDefault="00983C7D" w:rsidP="00D12B54">
      <w:pPr>
        <w:spacing w:before="60" w:after="60" w:line="240" w:lineRule="auto"/>
        <w:ind w:firstLine="567"/>
        <w:jc w:val="both"/>
        <w:rPr>
          <w:rFonts w:cs="Times New Roman"/>
          <w:sz w:val="22"/>
          <w:szCs w:val="22"/>
        </w:rPr>
      </w:pPr>
      <w:r w:rsidRPr="00640D24">
        <w:rPr>
          <w:rFonts w:cs="Times New Roman"/>
          <w:sz w:val="22"/>
          <w:szCs w:val="22"/>
        </w:rPr>
        <w:t xml:space="preserve">Ankstesniuose </w:t>
      </w:r>
      <w:proofErr w:type="spellStart"/>
      <w:r w:rsidRPr="00640D24">
        <w:rPr>
          <w:rFonts w:cs="Times New Roman"/>
          <w:i/>
          <w:iCs/>
          <w:sz w:val="22"/>
          <w:szCs w:val="22"/>
        </w:rPr>
        <w:t>ex</w:t>
      </w:r>
      <w:proofErr w:type="spellEnd"/>
      <w:r w:rsidR="00893EAA" w:rsidRPr="00640D24">
        <w:rPr>
          <w:rFonts w:cs="Times New Roman"/>
          <w:i/>
          <w:iCs/>
          <w:sz w:val="22"/>
          <w:szCs w:val="22"/>
        </w:rPr>
        <w:t xml:space="preserve"> </w:t>
      </w:r>
      <w:proofErr w:type="spellStart"/>
      <w:r w:rsidRPr="00640D24">
        <w:rPr>
          <w:rFonts w:cs="Times New Roman"/>
          <w:i/>
          <w:iCs/>
          <w:sz w:val="22"/>
          <w:szCs w:val="22"/>
        </w:rPr>
        <w:t>ante</w:t>
      </w:r>
      <w:proofErr w:type="spellEnd"/>
      <w:r w:rsidRPr="00640D24">
        <w:rPr>
          <w:rFonts w:cs="Times New Roman"/>
          <w:sz w:val="22"/>
          <w:szCs w:val="22"/>
        </w:rPr>
        <w:t xml:space="preserve"> vertinimuose yra pažymėta, kad subsidijų panaudojimas paskatina projektų įgyvendinimą greičiau ir didesne apimtimi. Taip pat, nustatyta, kad nors ir subsidijų</w:t>
      </w:r>
      <w:r w:rsidR="00DD1FF0" w:rsidRPr="00640D24">
        <w:rPr>
          <w:rFonts w:cs="Times New Roman"/>
          <w:sz w:val="22"/>
          <w:szCs w:val="22"/>
        </w:rPr>
        <w:t xml:space="preserve"> naudos</w:t>
      </w:r>
      <w:r w:rsidRPr="00640D24">
        <w:rPr>
          <w:rFonts w:cs="Times New Roman"/>
          <w:sz w:val="22"/>
          <w:szCs w:val="22"/>
        </w:rPr>
        <w:t xml:space="preserve"> efektas yra didesnis, subsidijos neturi grįžtančių lėšų efekto sukuriamos kiekybinės pridėtinės vertės. Italijoje atliktame vertinime</w:t>
      </w:r>
      <w:r w:rsidRPr="00640D24">
        <w:rPr>
          <w:rFonts w:cs="Times New Roman"/>
          <w:sz w:val="22"/>
          <w:szCs w:val="22"/>
          <w:vertAlign w:val="superscript"/>
        </w:rPr>
        <w:footnoteReference w:id="98"/>
      </w:r>
      <w:r w:rsidRPr="00640D24">
        <w:rPr>
          <w:rFonts w:cs="Times New Roman"/>
          <w:sz w:val="22"/>
          <w:szCs w:val="22"/>
        </w:rPr>
        <w:t xml:space="preserve"> buvo nustatyta, kad investuojant į pramonės ir paslaugų įmonių infrastruktūrą lengvatiniai kreditai kartu su DPK (traktuojama kaip negrąžinamoji subsidija, tačiau tiesiogiai susijusi su FP) buvo efektyvesnės investavimo formos nei negrąžinamosios subsidijos. </w:t>
      </w:r>
    </w:p>
    <w:p w14:paraId="5FDD629E" w14:textId="77777777" w:rsidR="00AC1A28" w:rsidRPr="00640D24" w:rsidRDefault="00AC1A28" w:rsidP="00D12B54">
      <w:pPr>
        <w:spacing w:before="60" w:after="60" w:line="240" w:lineRule="auto"/>
        <w:ind w:firstLine="567"/>
        <w:jc w:val="both"/>
        <w:rPr>
          <w:rFonts w:cs="Times New Roman"/>
          <w:sz w:val="22"/>
          <w:szCs w:val="22"/>
        </w:rPr>
      </w:pPr>
    </w:p>
    <w:tbl>
      <w:tblPr>
        <w:tblStyle w:val="Lentelstinklelis"/>
        <w:tblW w:w="0" w:type="auto"/>
        <w:tblLook w:val="04A0" w:firstRow="1" w:lastRow="0" w:firstColumn="1" w:lastColumn="0" w:noHBand="0" w:noVBand="1"/>
      </w:tblPr>
      <w:tblGrid>
        <w:gridCol w:w="9628"/>
      </w:tblGrid>
      <w:tr w:rsidR="005C1F5E" w:rsidRPr="00640D24" w14:paraId="66A16F81" w14:textId="77777777" w:rsidTr="005C1F5E">
        <w:tc>
          <w:tcPr>
            <w:tcW w:w="9854" w:type="dxa"/>
          </w:tcPr>
          <w:p w14:paraId="0F309B46" w14:textId="3BF30EC6" w:rsidR="005C1F5E" w:rsidRPr="00640D24" w:rsidRDefault="005C1F5E" w:rsidP="00947582">
            <w:pPr>
              <w:spacing w:before="60" w:after="60" w:line="240" w:lineRule="auto"/>
              <w:jc w:val="both"/>
              <w:rPr>
                <w:rFonts w:cs="Times New Roman"/>
                <w:sz w:val="22"/>
                <w:szCs w:val="22"/>
                <w:lang w:val="lt-LT"/>
              </w:rPr>
            </w:pPr>
            <w:r w:rsidRPr="00640D24">
              <w:rPr>
                <w:rFonts w:cs="Times New Roman"/>
                <w:sz w:val="22"/>
                <w:szCs w:val="22"/>
                <w:lang w:val="lt-LT"/>
              </w:rPr>
              <w:t xml:space="preserve">Atsižvelgiant į </w:t>
            </w:r>
            <w:r w:rsidR="00CC48BD" w:rsidRPr="00640D24">
              <w:rPr>
                <w:rFonts w:cs="Times New Roman"/>
                <w:sz w:val="22"/>
                <w:szCs w:val="22"/>
                <w:lang w:val="lt-LT"/>
              </w:rPr>
              <w:t xml:space="preserve">šiame Vertinimo ataskaitoje </w:t>
            </w:r>
            <w:r w:rsidRPr="00640D24">
              <w:rPr>
                <w:rFonts w:cs="Times New Roman"/>
                <w:sz w:val="22"/>
                <w:szCs w:val="22"/>
                <w:lang w:val="lt-LT"/>
              </w:rPr>
              <w:t xml:space="preserve">pateiktus duomenis, galima daryti šias išvadas: </w:t>
            </w:r>
          </w:p>
          <w:p w14:paraId="56C17304" w14:textId="4097B5D1" w:rsidR="005C1F5E" w:rsidRPr="00640D24" w:rsidRDefault="005C1F5E" w:rsidP="00160B10">
            <w:pPr>
              <w:pStyle w:val="Sraopastraipa"/>
              <w:numPr>
                <w:ilvl w:val="0"/>
                <w:numId w:val="16"/>
              </w:numPr>
              <w:spacing w:before="60" w:after="60" w:line="240" w:lineRule="auto"/>
              <w:jc w:val="both"/>
              <w:rPr>
                <w:rFonts w:cs="Times New Roman"/>
                <w:sz w:val="22"/>
                <w:szCs w:val="22"/>
                <w:lang w:val="lt-LT"/>
              </w:rPr>
            </w:pPr>
            <w:r w:rsidRPr="00640D24">
              <w:rPr>
                <w:rFonts w:cs="Times New Roman"/>
                <w:sz w:val="22"/>
                <w:szCs w:val="22"/>
                <w:lang w:val="lt-LT"/>
              </w:rPr>
              <w:t>Paskolų ir garantijų FP turi didžiausią finansinio sverto efektą.</w:t>
            </w:r>
          </w:p>
          <w:p w14:paraId="183C915E" w14:textId="67FD4388" w:rsidR="005C1F5E" w:rsidRPr="00640D24" w:rsidRDefault="005C1F5E" w:rsidP="00811262">
            <w:pPr>
              <w:pStyle w:val="Sraopastraipa"/>
              <w:numPr>
                <w:ilvl w:val="0"/>
                <w:numId w:val="16"/>
              </w:numPr>
              <w:spacing w:before="60" w:after="60" w:line="240" w:lineRule="auto"/>
              <w:jc w:val="both"/>
              <w:rPr>
                <w:rFonts w:cs="Times New Roman"/>
                <w:sz w:val="22"/>
                <w:szCs w:val="22"/>
                <w:lang w:val="lt-LT"/>
              </w:rPr>
            </w:pPr>
            <w:r w:rsidRPr="00640D24">
              <w:rPr>
                <w:rFonts w:cs="Times New Roman"/>
                <w:sz w:val="22"/>
                <w:szCs w:val="22"/>
                <w:lang w:val="lt-LT"/>
              </w:rPr>
              <w:t xml:space="preserve">Pirminė </w:t>
            </w:r>
            <w:r w:rsidR="00811262" w:rsidRPr="00640D24">
              <w:rPr>
                <w:rFonts w:cs="Times New Roman"/>
                <w:sz w:val="22"/>
                <w:szCs w:val="22"/>
                <w:lang w:val="lt-LT"/>
              </w:rPr>
              <w:t xml:space="preserve">dotacijų </w:t>
            </w:r>
            <w:r w:rsidRPr="00640D24">
              <w:rPr>
                <w:rFonts w:cs="Times New Roman"/>
                <w:sz w:val="22"/>
                <w:szCs w:val="22"/>
                <w:lang w:val="lt-LT"/>
              </w:rPr>
              <w:t xml:space="preserve">kaštų naudos analizė parodė, kad </w:t>
            </w:r>
            <w:r w:rsidR="00811262" w:rsidRPr="00640D24">
              <w:rPr>
                <w:rFonts w:cs="Times New Roman"/>
                <w:sz w:val="22"/>
                <w:szCs w:val="22"/>
                <w:lang w:val="lt-LT"/>
              </w:rPr>
              <w:t xml:space="preserve">dotacijos </w:t>
            </w:r>
            <w:r w:rsidRPr="00640D24">
              <w:rPr>
                <w:rFonts w:cs="Times New Roman"/>
                <w:sz w:val="22"/>
                <w:szCs w:val="22"/>
                <w:lang w:val="lt-LT"/>
              </w:rPr>
              <w:t>gali turėti sąlyginai aukštą kokybinį efektą, tačiau ilgalaikėje perspektyvoje nėra tokios efektyvios kaip FP.</w:t>
            </w:r>
          </w:p>
        </w:tc>
      </w:tr>
    </w:tbl>
    <w:p w14:paraId="6F523A1E" w14:textId="77777777" w:rsidR="004F1199" w:rsidRPr="00640D24" w:rsidRDefault="004F1199" w:rsidP="00BB5873">
      <w:pPr>
        <w:spacing w:before="60" w:after="60" w:line="240" w:lineRule="auto"/>
        <w:jc w:val="both"/>
        <w:rPr>
          <w:rFonts w:cs="Times New Roman"/>
          <w:sz w:val="22"/>
          <w:szCs w:val="22"/>
        </w:rPr>
      </w:pPr>
    </w:p>
    <w:p w14:paraId="29035590" w14:textId="77777777" w:rsidR="00D7272B" w:rsidRPr="00640D24" w:rsidRDefault="00D7272B" w:rsidP="00D12B54">
      <w:pPr>
        <w:spacing w:before="60" w:after="60" w:line="240" w:lineRule="auto"/>
        <w:rPr>
          <w:rFonts w:cs="Times New Roman"/>
        </w:rPr>
      </w:pPr>
    </w:p>
    <w:p w14:paraId="2B5A2321" w14:textId="77777777" w:rsidR="00DA48C6" w:rsidRPr="00640D24" w:rsidRDefault="00DA48C6" w:rsidP="00D12B54">
      <w:pPr>
        <w:spacing w:before="60" w:after="60" w:line="240" w:lineRule="auto"/>
        <w:rPr>
          <w:rFonts w:cs="Times New Roman"/>
          <w:b/>
          <w:bCs/>
        </w:rPr>
        <w:sectPr w:rsidR="00DA48C6" w:rsidRPr="00640D24" w:rsidSect="00943791">
          <w:pgSz w:w="11906" w:h="16838"/>
          <w:pgMar w:top="1701" w:right="567" w:bottom="1134" w:left="1701" w:header="567" w:footer="567" w:gutter="0"/>
          <w:cols w:space="1296"/>
          <w:docGrid w:linePitch="360"/>
        </w:sectPr>
      </w:pPr>
    </w:p>
    <w:p w14:paraId="23C68531" w14:textId="3D3A3111" w:rsidR="004871C4" w:rsidRPr="00640D24" w:rsidRDefault="4DF410FC" w:rsidP="00824437">
      <w:pPr>
        <w:pStyle w:val="Antrat1"/>
        <w:numPr>
          <w:ilvl w:val="0"/>
          <w:numId w:val="1"/>
        </w:numPr>
        <w:spacing w:before="120" w:after="60" w:line="240" w:lineRule="auto"/>
        <w:ind w:left="357" w:hanging="357"/>
        <w:rPr>
          <w:rFonts w:ascii="Times New Roman" w:hAnsi="Times New Roman" w:cs="Times New Roman"/>
          <w:b/>
          <w:bCs/>
          <w:color w:val="auto"/>
        </w:rPr>
      </w:pPr>
      <w:bookmarkStart w:id="113" w:name="_Toc146812405"/>
      <w:r w:rsidRPr="00640D24">
        <w:rPr>
          <w:rFonts w:ascii="Times New Roman" w:hAnsi="Times New Roman" w:cs="Times New Roman"/>
          <w:b/>
          <w:bCs/>
          <w:color w:val="auto"/>
        </w:rPr>
        <w:lastRenderedPageBreak/>
        <w:t>Siūl</w:t>
      </w:r>
      <w:r w:rsidR="12B8DC49" w:rsidRPr="00640D24">
        <w:rPr>
          <w:rFonts w:ascii="Times New Roman" w:hAnsi="Times New Roman" w:cs="Times New Roman"/>
          <w:b/>
          <w:bCs/>
          <w:color w:val="auto"/>
        </w:rPr>
        <w:t>y</w:t>
      </w:r>
      <w:r w:rsidRPr="00640D24">
        <w:rPr>
          <w:rFonts w:ascii="Times New Roman" w:hAnsi="Times New Roman" w:cs="Times New Roman"/>
          <w:b/>
          <w:bCs/>
          <w:color w:val="auto"/>
        </w:rPr>
        <w:t>mai dėl finansinių priemonių stebėsenos rodiklių</w:t>
      </w:r>
      <w:bookmarkEnd w:id="113"/>
    </w:p>
    <w:p w14:paraId="11F06FC3" w14:textId="69B5BED2" w:rsidR="00212F9F" w:rsidRPr="00640D24" w:rsidRDefault="00735831" w:rsidP="00CC48BD">
      <w:pPr>
        <w:spacing w:before="120" w:after="120" w:line="240" w:lineRule="auto"/>
        <w:ind w:firstLine="567"/>
        <w:jc w:val="both"/>
        <w:rPr>
          <w:rFonts w:cs="Times New Roman"/>
          <w:sz w:val="22"/>
          <w:szCs w:val="22"/>
        </w:rPr>
      </w:pPr>
      <w:r w:rsidRPr="00640D24">
        <w:rPr>
          <w:rFonts w:cs="Times New Roman"/>
          <w:sz w:val="22"/>
          <w:szCs w:val="22"/>
        </w:rPr>
        <w:t xml:space="preserve">Šiame skyriuje pateikiami </w:t>
      </w:r>
      <w:r w:rsidR="00455495" w:rsidRPr="00640D24">
        <w:rPr>
          <w:rFonts w:cs="Times New Roman"/>
          <w:sz w:val="22"/>
          <w:szCs w:val="22"/>
        </w:rPr>
        <w:t>FP</w:t>
      </w:r>
      <w:r w:rsidRPr="00640D24">
        <w:rPr>
          <w:rFonts w:cs="Times New Roman"/>
          <w:sz w:val="22"/>
          <w:szCs w:val="22"/>
        </w:rPr>
        <w:t xml:space="preserve"> siektinų rodiklių pavyzdžiai. Informacija yra pateikiama pagal siūlomas taikyti FP.</w:t>
      </w:r>
    </w:p>
    <w:p w14:paraId="4FFC3FD7" w14:textId="00C5A425" w:rsidR="00212F9F" w:rsidRPr="00640D24" w:rsidRDefault="00735831" w:rsidP="00D12B54">
      <w:pPr>
        <w:pStyle w:val="Antrat"/>
        <w:spacing w:before="60" w:after="60" w:line="240" w:lineRule="auto"/>
        <w:ind w:firstLine="0"/>
        <w:rPr>
          <w:rFonts w:cs="Times New Roman"/>
          <w:b w:val="0"/>
          <w:bCs w:val="0"/>
          <w:i/>
          <w:iCs/>
          <w:color w:val="auto"/>
          <w:sz w:val="22"/>
          <w:szCs w:val="16"/>
        </w:rPr>
      </w:pPr>
      <w:r w:rsidRPr="00640D24">
        <w:rPr>
          <w:rFonts w:cs="Times New Roman"/>
          <w:b w:val="0"/>
          <w:bCs w:val="0"/>
          <w:i/>
          <w:iCs/>
          <w:color w:val="auto"/>
          <w:sz w:val="22"/>
          <w:szCs w:val="16"/>
        </w:rPr>
        <w:t xml:space="preserve">Lentelė Nr. </w:t>
      </w:r>
      <w:r w:rsidR="006B75C9" w:rsidRPr="00640D24">
        <w:rPr>
          <w:rFonts w:cs="Times New Roman"/>
          <w:b w:val="0"/>
          <w:bCs w:val="0"/>
          <w:i/>
          <w:iCs/>
          <w:color w:val="auto"/>
          <w:sz w:val="22"/>
          <w:szCs w:val="16"/>
        </w:rPr>
        <w:t>13</w:t>
      </w:r>
      <w:r w:rsidRPr="00640D24">
        <w:rPr>
          <w:rFonts w:cs="Times New Roman"/>
          <w:b w:val="0"/>
          <w:bCs w:val="0"/>
          <w:i/>
          <w:iCs/>
          <w:color w:val="auto"/>
          <w:sz w:val="22"/>
          <w:szCs w:val="16"/>
        </w:rPr>
        <w:t xml:space="preserve">. </w:t>
      </w:r>
      <w:r w:rsidR="009E1E31" w:rsidRPr="00640D24">
        <w:rPr>
          <w:rFonts w:cs="Times New Roman"/>
          <w:b w:val="0"/>
          <w:bCs w:val="0"/>
          <w:i/>
          <w:iCs/>
          <w:color w:val="auto"/>
          <w:sz w:val="22"/>
          <w:szCs w:val="16"/>
        </w:rPr>
        <w:t>Siūlomi FP stebėsenos rodikliai</w:t>
      </w:r>
    </w:p>
    <w:p w14:paraId="68226FA8" w14:textId="77777777" w:rsidR="00587B6B" w:rsidRPr="00640D24" w:rsidRDefault="00587B6B" w:rsidP="00587B6B"/>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473"/>
        <w:gridCol w:w="3196"/>
        <w:gridCol w:w="2466"/>
        <w:gridCol w:w="2466"/>
        <w:gridCol w:w="1328"/>
        <w:gridCol w:w="3091"/>
      </w:tblGrid>
      <w:tr w:rsidR="00587B6B" w:rsidRPr="00640D24" w14:paraId="66A053CA" w14:textId="77777777" w:rsidTr="00587B6B">
        <w:trPr>
          <w:tblHeader/>
        </w:trPr>
        <w:tc>
          <w:tcPr>
            <w:tcW w:w="823" w:type="pct"/>
            <w:shd w:val="clear" w:color="auto" w:fill="auto"/>
            <w:noWrap/>
            <w:vAlign w:val="center"/>
            <w:hideMark/>
          </w:tcPr>
          <w:p w14:paraId="477D723D" w14:textId="5CB425B5" w:rsidR="00DA1B83" w:rsidRPr="00640D24" w:rsidRDefault="006B31B3" w:rsidP="000D6C24">
            <w:pPr>
              <w:spacing w:after="0" w:line="240" w:lineRule="auto"/>
              <w:rPr>
                <w:rFonts w:eastAsia="Times New Roman" w:cs="Times New Roman"/>
                <w:b/>
                <w:bCs/>
                <w:color w:val="000000"/>
                <w:sz w:val="21"/>
                <w:szCs w:val="21"/>
                <w:lang w:eastAsia="lt-LT"/>
              </w:rPr>
            </w:pPr>
            <w:bookmarkStart w:id="114" w:name="_Hlk66101080"/>
            <w:r w:rsidRPr="00640D24">
              <w:rPr>
                <w:rFonts w:eastAsia="Times New Roman" w:cs="Times New Roman"/>
                <w:b/>
                <w:bCs/>
                <w:color w:val="000000"/>
                <w:sz w:val="21"/>
                <w:szCs w:val="21"/>
                <w:lang w:eastAsia="lt-LT"/>
              </w:rPr>
              <w:t>Siūloma FP</w:t>
            </w:r>
          </w:p>
        </w:tc>
        <w:tc>
          <w:tcPr>
            <w:tcW w:w="1064" w:type="pct"/>
            <w:shd w:val="clear" w:color="auto" w:fill="auto"/>
            <w:noWrap/>
            <w:vAlign w:val="center"/>
            <w:hideMark/>
          </w:tcPr>
          <w:p w14:paraId="329475CA" w14:textId="28D78085" w:rsidR="00DA1B83" w:rsidRPr="00640D24" w:rsidRDefault="006B31B3" w:rsidP="00355961">
            <w:pPr>
              <w:spacing w:after="0" w:line="240" w:lineRule="auto"/>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2021–2027 m. programos veiklos</w:t>
            </w:r>
          </w:p>
        </w:tc>
        <w:tc>
          <w:tcPr>
            <w:tcW w:w="821" w:type="pct"/>
            <w:shd w:val="clear" w:color="auto" w:fill="auto"/>
            <w:noWrap/>
            <w:vAlign w:val="center"/>
            <w:hideMark/>
          </w:tcPr>
          <w:p w14:paraId="047781E1" w14:textId="77777777" w:rsidR="00DA1B83" w:rsidRPr="00640D24" w:rsidRDefault="00DA1B83" w:rsidP="00355961">
            <w:pPr>
              <w:spacing w:after="0" w:line="240" w:lineRule="auto"/>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FP stebėsenos rodiklių pavadinimas</w:t>
            </w:r>
          </w:p>
        </w:tc>
        <w:tc>
          <w:tcPr>
            <w:tcW w:w="821" w:type="pct"/>
            <w:shd w:val="clear" w:color="auto" w:fill="auto"/>
            <w:noWrap/>
            <w:vAlign w:val="center"/>
            <w:hideMark/>
          </w:tcPr>
          <w:p w14:paraId="77BE50C1" w14:textId="77777777" w:rsidR="00DA1B83" w:rsidRPr="00640D24" w:rsidRDefault="00DA1B83" w:rsidP="00355961">
            <w:pPr>
              <w:spacing w:after="0" w:line="240" w:lineRule="auto"/>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Rodiklio apibūdinimas</w:t>
            </w:r>
          </w:p>
        </w:tc>
        <w:tc>
          <w:tcPr>
            <w:tcW w:w="442" w:type="pct"/>
            <w:shd w:val="clear" w:color="auto" w:fill="auto"/>
            <w:noWrap/>
            <w:vAlign w:val="center"/>
            <w:hideMark/>
          </w:tcPr>
          <w:p w14:paraId="5B2CE8E8" w14:textId="77777777" w:rsidR="00DA1B83" w:rsidRPr="00640D24" w:rsidRDefault="00DA1B83" w:rsidP="00355961">
            <w:pPr>
              <w:spacing w:after="0" w:line="240" w:lineRule="auto"/>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Matavimo vnt.</w:t>
            </w:r>
          </w:p>
        </w:tc>
        <w:tc>
          <w:tcPr>
            <w:tcW w:w="1029" w:type="pct"/>
            <w:shd w:val="clear" w:color="auto" w:fill="auto"/>
            <w:noWrap/>
            <w:vAlign w:val="center"/>
            <w:hideMark/>
          </w:tcPr>
          <w:p w14:paraId="64F00297" w14:textId="77777777" w:rsidR="00DA1B83" w:rsidRPr="00640D24" w:rsidRDefault="00DA1B83" w:rsidP="00355961">
            <w:pPr>
              <w:spacing w:after="0" w:line="240" w:lineRule="auto"/>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Skaičiavimo metodika</w:t>
            </w:r>
          </w:p>
        </w:tc>
      </w:tr>
      <w:bookmarkEnd w:id="114"/>
      <w:tr w:rsidR="00587B6B" w:rsidRPr="00640D24" w14:paraId="5B2D6625" w14:textId="77777777" w:rsidTr="00587B6B">
        <w:trPr>
          <w:tblHeader/>
        </w:trPr>
        <w:tc>
          <w:tcPr>
            <w:tcW w:w="823" w:type="pct"/>
            <w:vMerge w:val="restart"/>
            <w:shd w:val="clear" w:color="auto" w:fill="auto"/>
            <w:noWrap/>
            <w:vAlign w:val="center"/>
          </w:tcPr>
          <w:p w14:paraId="2CDDB7E2" w14:textId="77777777" w:rsidR="00742513" w:rsidRPr="00640D24" w:rsidRDefault="00742513" w:rsidP="00742513">
            <w:pPr>
              <w:spacing w:after="0" w:line="240" w:lineRule="auto"/>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Akceleratorius 3</w:t>
            </w:r>
          </w:p>
          <w:p w14:paraId="50E42C92" w14:textId="305C7492" w:rsidR="00742513" w:rsidRPr="00640D24" w:rsidRDefault="00742513" w:rsidP="00742513">
            <w:pPr>
              <w:spacing w:after="0" w:line="240" w:lineRule="auto"/>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Ko</w:t>
            </w:r>
            <w:r w:rsidR="00645085" w:rsidRPr="00640D24">
              <w:rPr>
                <w:rFonts w:eastAsia="Times New Roman" w:cs="Times New Roman"/>
                <w:b/>
                <w:bCs/>
                <w:color w:val="000000"/>
                <w:sz w:val="21"/>
                <w:szCs w:val="21"/>
                <w:lang w:eastAsia="lt-LT"/>
              </w:rPr>
              <w:t>–</w:t>
            </w:r>
            <w:r w:rsidRPr="00640D24">
              <w:rPr>
                <w:rFonts w:eastAsia="Times New Roman" w:cs="Times New Roman"/>
                <w:b/>
                <w:bCs/>
                <w:color w:val="000000"/>
                <w:sz w:val="21"/>
                <w:szCs w:val="21"/>
                <w:lang w:eastAsia="lt-LT"/>
              </w:rPr>
              <w:t>investicinis fondas</w:t>
            </w:r>
          </w:p>
          <w:p w14:paraId="77558A14" w14:textId="781BA428" w:rsidR="00CF2F1B" w:rsidRPr="00640D24" w:rsidRDefault="00CF2F1B" w:rsidP="00466C6D">
            <w:pPr>
              <w:spacing w:after="0" w:line="240" w:lineRule="auto"/>
              <w:rPr>
                <w:rFonts w:eastAsia="Times New Roman" w:cs="Times New Roman"/>
                <w:b/>
                <w:bCs/>
                <w:color w:val="000000"/>
                <w:sz w:val="21"/>
                <w:szCs w:val="21"/>
                <w:lang w:eastAsia="lt-LT"/>
              </w:rPr>
            </w:pPr>
          </w:p>
        </w:tc>
        <w:tc>
          <w:tcPr>
            <w:tcW w:w="1064" w:type="pct"/>
            <w:vMerge w:val="restart"/>
            <w:shd w:val="clear" w:color="auto" w:fill="auto"/>
            <w:noWrap/>
            <w:vAlign w:val="center"/>
          </w:tcPr>
          <w:p w14:paraId="279F139C" w14:textId="3C2AA5B7" w:rsidR="0077055D" w:rsidRPr="00640D24" w:rsidRDefault="0077055D" w:rsidP="00466C6D">
            <w:pPr>
              <w:spacing w:after="0" w:line="240" w:lineRule="auto"/>
              <w:rPr>
                <w:rFonts w:eastAsia="Times New Roman" w:cs="Times New Roman"/>
                <w:b/>
                <w:bCs/>
                <w:color w:val="000000"/>
                <w:sz w:val="21"/>
                <w:szCs w:val="21"/>
                <w:lang w:eastAsia="lt-LT"/>
              </w:rPr>
            </w:pPr>
            <w:proofErr w:type="spellStart"/>
            <w:r w:rsidRPr="00640D24">
              <w:rPr>
                <w:rFonts w:eastAsia="Times New Roman" w:cs="Times New Roman"/>
                <w:b/>
                <w:bCs/>
                <w:sz w:val="21"/>
                <w:szCs w:val="21"/>
                <w:lang w:eastAsia="lt-LT"/>
              </w:rPr>
              <w:t>Startuolių</w:t>
            </w:r>
            <w:proofErr w:type="spellEnd"/>
            <w:r w:rsidRPr="00640D24">
              <w:rPr>
                <w:rFonts w:eastAsia="Times New Roman" w:cs="Times New Roman"/>
                <w:b/>
                <w:bCs/>
                <w:sz w:val="21"/>
                <w:szCs w:val="21"/>
                <w:lang w:eastAsia="lt-LT"/>
              </w:rPr>
              <w:t xml:space="preserve"> vystymas, </w:t>
            </w:r>
            <w:proofErr w:type="spellStart"/>
            <w:r w:rsidRPr="00640D24">
              <w:rPr>
                <w:rFonts w:eastAsia="Times New Roman" w:cs="Times New Roman"/>
                <w:b/>
                <w:bCs/>
                <w:sz w:val="21"/>
                <w:szCs w:val="21"/>
                <w:lang w:eastAsia="lt-LT"/>
              </w:rPr>
              <w:t>akceleravimas</w:t>
            </w:r>
            <w:proofErr w:type="spellEnd"/>
            <w:r w:rsidRPr="00640D24">
              <w:rPr>
                <w:rFonts w:eastAsia="Times New Roman" w:cs="Times New Roman"/>
                <w:b/>
                <w:bCs/>
                <w:sz w:val="21"/>
                <w:szCs w:val="21"/>
                <w:lang w:eastAsia="lt-LT"/>
              </w:rPr>
              <w:t xml:space="preserve"> ir plėtra</w:t>
            </w:r>
            <w:r w:rsidR="005B0F50" w:rsidRPr="00640D24">
              <w:rPr>
                <w:rStyle w:val="Puslapioinaosnuoroda"/>
                <w:rFonts w:cs="Times New Roman"/>
                <w:sz w:val="21"/>
                <w:szCs w:val="21"/>
              </w:rPr>
              <w:footnoteReference w:id="99"/>
            </w:r>
          </w:p>
        </w:tc>
        <w:tc>
          <w:tcPr>
            <w:tcW w:w="821" w:type="pct"/>
            <w:shd w:val="clear" w:color="auto" w:fill="auto"/>
            <w:noWrap/>
            <w:vAlign w:val="center"/>
          </w:tcPr>
          <w:p w14:paraId="1CC00258" w14:textId="6325588E" w:rsidR="0077055D" w:rsidRPr="00640D24" w:rsidRDefault="0077055D" w:rsidP="00466C6D">
            <w:pPr>
              <w:spacing w:after="0" w:line="240" w:lineRule="auto"/>
              <w:rPr>
                <w:rFonts w:eastAsia="Times New Roman" w:cs="Times New Roman"/>
                <w:b/>
                <w:bCs/>
                <w:color w:val="000000"/>
                <w:sz w:val="21"/>
                <w:szCs w:val="21"/>
                <w:lang w:eastAsia="lt-LT"/>
              </w:rPr>
            </w:pPr>
            <w:r w:rsidRPr="00640D24">
              <w:rPr>
                <w:color w:val="000000"/>
                <w:sz w:val="21"/>
                <w:szCs w:val="21"/>
              </w:rPr>
              <w:t>Didelį augimo potencialą turinčių įmonių, gavusių viešąsias investicijas, skaičius</w:t>
            </w:r>
            <w:r w:rsidR="0036691A" w:rsidRPr="00640D24">
              <w:rPr>
                <w:color w:val="000000"/>
                <w:sz w:val="21"/>
                <w:szCs w:val="21"/>
              </w:rPr>
              <w:t>.</w:t>
            </w:r>
          </w:p>
        </w:tc>
        <w:tc>
          <w:tcPr>
            <w:tcW w:w="821" w:type="pct"/>
            <w:shd w:val="clear" w:color="auto" w:fill="auto"/>
            <w:noWrap/>
            <w:vAlign w:val="center"/>
          </w:tcPr>
          <w:p w14:paraId="0D26A611" w14:textId="2DF2BA03" w:rsidR="0077055D" w:rsidRPr="00640D24" w:rsidRDefault="0077055D" w:rsidP="00466C6D">
            <w:pPr>
              <w:spacing w:after="0" w:line="240" w:lineRule="auto"/>
              <w:rPr>
                <w:rFonts w:eastAsia="Times New Roman" w:cs="Times New Roman"/>
                <w:b/>
                <w:bCs/>
                <w:color w:val="000000"/>
                <w:sz w:val="21"/>
                <w:szCs w:val="21"/>
                <w:lang w:eastAsia="lt-LT"/>
              </w:rPr>
            </w:pPr>
            <w:r w:rsidRPr="00640D24">
              <w:rPr>
                <w:color w:val="000000"/>
                <w:sz w:val="21"/>
                <w:szCs w:val="21"/>
              </w:rPr>
              <w:t>Skaičiuojamas naujų įmonių</w:t>
            </w:r>
            <w:r w:rsidRPr="00640D24">
              <w:rPr>
                <w:rStyle w:val="Puslapioinaosnuoroda"/>
                <w:color w:val="000000"/>
                <w:sz w:val="21"/>
                <w:szCs w:val="21"/>
              </w:rPr>
              <w:footnoteReference w:id="100"/>
            </w:r>
            <w:r w:rsidRPr="00640D24">
              <w:rPr>
                <w:color w:val="000000"/>
                <w:sz w:val="21"/>
                <w:szCs w:val="21"/>
              </w:rPr>
              <w:t>, gavusių rizikos kapitalo investicijas arba paskolas, skaičius</w:t>
            </w:r>
            <w:r w:rsidR="0036691A" w:rsidRPr="00640D24">
              <w:rPr>
                <w:color w:val="000000"/>
                <w:sz w:val="21"/>
                <w:szCs w:val="21"/>
              </w:rPr>
              <w:t>.</w:t>
            </w:r>
          </w:p>
        </w:tc>
        <w:tc>
          <w:tcPr>
            <w:tcW w:w="442" w:type="pct"/>
            <w:shd w:val="clear" w:color="auto" w:fill="auto"/>
            <w:noWrap/>
            <w:vAlign w:val="center"/>
          </w:tcPr>
          <w:p w14:paraId="1EBD8137" w14:textId="154FC625" w:rsidR="0077055D" w:rsidRPr="00640D24" w:rsidRDefault="0077055D" w:rsidP="00466C6D">
            <w:pPr>
              <w:spacing w:after="0" w:line="240" w:lineRule="auto"/>
              <w:rPr>
                <w:rFonts w:eastAsia="Times New Roman" w:cs="Times New Roman"/>
                <w:b/>
                <w:bCs/>
                <w:color w:val="000000"/>
                <w:sz w:val="21"/>
                <w:szCs w:val="21"/>
                <w:lang w:eastAsia="lt-LT"/>
              </w:rPr>
            </w:pPr>
            <w:r w:rsidRPr="00640D24">
              <w:rPr>
                <w:color w:val="000000"/>
                <w:sz w:val="21"/>
                <w:szCs w:val="21"/>
              </w:rPr>
              <w:t>Įmonės</w:t>
            </w:r>
          </w:p>
        </w:tc>
        <w:tc>
          <w:tcPr>
            <w:tcW w:w="1029" w:type="pct"/>
            <w:shd w:val="clear" w:color="auto" w:fill="auto"/>
            <w:noWrap/>
            <w:vAlign w:val="center"/>
          </w:tcPr>
          <w:p w14:paraId="6712E6CE" w14:textId="14A49453" w:rsidR="0077055D" w:rsidRPr="00640D24" w:rsidRDefault="0077055D" w:rsidP="00466C6D">
            <w:pPr>
              <w:spacing w:after="0" w:line="240" w:lineRule="auto"/>
              <w:rPr>
                <w:rFonts w:eastAsia="Times New Roman" w:cs="Times New Roman"/>
                <w:b/>
                <w:bCs/>
                <w:color w:val="000000"/>
                <w:sz w:val="21"/>
                <w:szCs w:val="21"/>
                <w:lang w:eastAsia="lt-LT"/>
              </w:rPr>
            </w:pPr>
            <w:r w:rsidRPr="00640D24">
              <w:rPr>
                <w:color w:val="000000"/>
                <w:sz w:val="21"/>
                <w:szCs w:val="21"/>
              </w:rPr>
              <w:t>Apskaičiuojamas automatiškai, sumuojant nauj</w:t>
            </w:r>
            <w:r w:rsidR="00221B2A" w:rsidRPr="00640D24">
              <w:rPr>
                <w:color w:val="000000"/>
                <w:sz w:val="21"/>
                <w:szCs w:val="21"/>
              </w:rPr>
              <w:t>ų</w:t>
            </w:r>
            <w:r w:rsidRPr="00640D24">
              <w:rPr>
                <w:color w:val="000000"/>
                <w:sz w:val="21"/>
                <w:szCs w:val="21"/>
              </w:rPr>
              <w:t xml:space="preserve"> įmon</w:t>
            </w:r>
            <w:r w:rsidR="00221B2A" w:rsidRPr="00640D24">
              <w:rPr>
                <w:color w:val="000000"/>
                <w:sz w:val="21"/>
                <w:szCs w:val="21"/>
              </w:rPr>
              <w:t>ių</w:t>
            </w:r>
            <w:r w:rsidRPr="00640D24">
              <w:rPr>
                <w:color w:val="000000"/>
                <w:sz w:val="21"/>
                <w:szCs w:val="21"/>
              </w:rPr>
              <w:t xml:space="preserve">, </w:t>
            </w:r>
            <w:r w:rsidR="00221B2A" w:rsidRPr="00640D24">
              <w:rPr>
                <w:color w:val="000000"/>
                <w:sz w:val="21"/>
                <w:szCs w:val="21"/>
              </w:rPr>
              <w:t>gavusių</w:t>
            </w:r>
            <w:r w:rsidRPr="00640D24">
              <w:rPr>
                <w:color w:val="000000"/>
                <w:sz w:val="21"/>
                <w:szCs w:val="21"/>
              </w:rPr>
              <w:t xml:space="preserve"> rizikos kapitalo investicijas arba paskolas</w:t>
            </w:r>
            <w:r w:rsidR="00221B2A" w:rsidRPr="00640D24">
              <w:rPr>
                <w:color w:val="000000"/>
                <w:sz w:val="21"/>
                <w:szCs w:val="21"/>
              </w:rPr>
              <w:t>, skaičių</w:t>
            </w:r>
            <w:r w:rsidR="0036691A" w:rsidRPr="00640D24">
              <w:rPr>
                <w:color w:val="000000"/>
                <w:sz w:val="21"/>
                <w:szCs w:val="21"/>
              </w:rPr>
              <w:t>.</w:t>
            </w:r>
          </w:p>
        </w:tc>
      </w:tr>
      <w:tr w:rsidR="00587B6B" w:rsidRPr="00640D24" w14:paraId="69DAE6AA" w14:textId="77777777" w:rsidTr="00587B6B">
        <w:trPr>
          <w:tblHeader/>
        </w:trPr>
        <w:tc>
          <w:tcPr>
            <w:tcW w:w="823" w:type="pct"/>
            <w:vMerge/>
            <w:shd w:val="clear" w:color="auto" w:fill="auto"/>
            <w:noWrap/>
            <w:vAlign w:val="center"/>
          </w:tcPr>
          <w:p w14:paraId="477781A7" w14:textId="77777777" w:rsidR="0077055D" w:rsidRPr="00640D24" w:rsidRDefault="0077055D" w:rsidP="00A2188B">
            <w:pPr>
              <w:spacing w:after="0" w:line="240" w:lineRule="auto"/>
              <w:rPr>
                <w:rFonts w:eastAsia="Times New Roman" w:cs="Times New Roman"/>
                <w:b/>
                <w:bCs/>
                <w:color w:val="000000"/>
                <w:sz w:val="21"/>
                <w:szCs w:val="21"/>
                <w:lang w:eastAsia="lt-LT"/>
              </w:rPr>
            </w:pPr>
          </w:p>
        </w:tc>
        <w:tc>
          <w:tcPr>
            <w:tcW w:w="1064" w:type="pct"/>
            <w:vMerge/>
            <w:shd w:val="clear" w:color="auto" w:fill="auto"/>
            <w:noWrap/>
            <w:vAlign w:val="center"/>
          </w:tcPr>
          <w:p w14:paraId="4EB5C945" w14:textId="77777777" w:rsidR="0077055D" w:rsidRPr="00640D24" w:rsidRDefault="0077055D" w:rsidP="00A2188B">
            <w:pPr>
              <w:spacing w:after="0" w:line="240" w:lineRule="auto"/>
              <w:rPr>
                <w:rFonts w:eastAsia="Times New Roman" w:cs="Times New Roman"/>
                <w:b/>
                <w:bCs/>
                <w:sz w:val="21"/>
                <w:szCs w:val="21"/>
                <w:lang w:eastAsia="lt-LT"/>
              </w:rPr>
            </w:pPr>
          </w:p>
        </w:tc>
        <w:tc>
          <w:tcPr>
            <w:tcW w:w="821" w:type="pct"/>
            <w:shd w:val="clear" w:color="auto" w:fill="auto"/>
            <w:noWrap/>
            <w:vAlign w:val="center"/>
          </w:tcPr>
          <w:p w14:paraId="2EF74198" w14:textId="4D261DC1" w:rsidR="0077055D" w:rsidRPr="00640D24" w:rsidRDefault="0077055D" w:rsidP="00A2188B">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 xml:space="preserve">Privačios investicijos, atitinkančios viešąją paramą įmonėms (ne </w:t>
            </w:r>
            <w:r w:rsidR="00820952" w:rsidRPr="00640D24">
              <w:rPr>
                <w:rFonts w:eastAsia="Times New Roman" w:cs="Times New Roman"/>
                <w:sz w:val="21"/>
                <w:szCs w:val="21"/>
                <w:lang w:eastAsia="lt-LT"/>
              </w:rPr>
              <w:t>dotacijos</w:t>
            </w:r>
            <w:r w:rsidRPr="00640D24">
              <w:rPr>
                <w:rFonts w:eastAsia="Times New Roman" w:cs="Times New Roman"/>
                <w:sz w:val="21"/>
                <w:szCs w:val="21"/>
                <w:lang w:eastAsia="lt-LT"/>
              </w:rPr>
              <w:t>)</w:t>
            </w:r>
            <w:r w:rsidR="0036691A" w:rsidRPr="00640D24">
              <w:rPr>
                <w:rFonts w:eastAsia="Times New Roman" w:cs="Times New Roman"/>
                <w:sz w:val="21"/>
                <w:szCs w:val="21"/>
                <w:lang w:eastAsia="lt-LT"/>
              </w:rPr>
              <w:t>.</w:t>
            </w:r>
          </w:p>
        </w:tc>
        <w:tc>
          <w:tcPr>
            <w:tcW w:w="821" w:type="pct"/>
            <w:shd w:val="clear" w:color="auto" w:fill="auto"/>
            <w:noWrap/>
            <w:vAlign w:val="center"/>
          </w:tcPr>
          <w:p w14:paraId="5E9C42C7" w14:textId="7B4191B7" w:rsidR="0077055D" w:rsidRPr="00640D24" w:rsidRDefault="00221B2A" w:rsidP="00A2188B">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K</w:t>
            </w:r>
            <w:r w:rsidR="0077055D" w:rsidRPr="00640D24">
              <w:rPr>
                <w:rFonts w:eastAsia="Times New Roman" w:cs="Times New Roman"/>
                <w:sz w:val="21"/>
                <w:szCs w:val="21"/>
                <w:lang w:eastAsia="lt-LT"/>
              </w:rPr>
              <w:t xml:space="preserve">itos formos nei </w:t>
            </w:r>
            <w:r w:rsidR="00820952" w:rsidRPr="00640D24">
              <w:rPr>
                <w:rFonts w:eastAsia="Times New Roman" w:cs="Times New Roman"/>
                <w:sz w:val="21"/>
                <w:szCs w:val="21"/>
                <w:lang w:eastAsia="lt-LT"/>
              </w:rPr>
              <w:t>dotacija</w:t>
            </w:r>
            <w:r w:rsidR="0077055D" w:rsidRPr="00640D24">
              <w:rPr>
                <w:rFonts w:eastAsia="Times New Roman" w:cs="Times New Roman"/>
                <w:sz w:val="21"/>
                <w:szCs w:val="21"/>
                <w:lang w:eastAsia="lt-LT"/>
              </w:rPr>
              <w:t xml:space="preserve"> pritrauktų privačių lėšų dalis</w:t>
            </w:r>
            <w:r w:rsidR="0036691A" w:rsidRPr="00640D24">
              <w:rPr>
                <w:rFonts w:eastAsia="Times New Roman" w:cs="Times New Roman"/>
                <w:sz w:val="21"/>
                <w:szCs w:val="21"/>
                <w:lang w:eastAsia="lt-LT"/>
              </w:rPr>
              <w:t>.</w:t>
            </w:r>
          </w:p>
        </w:tc>
        <w:tc>
          <w:tcPr>
            <w:tcW w:w="442" w:type="pct"/>
            <w:shd w:val="clear" w:color="auto" w:fill="auto"/>
            <w:noWrap/>
            <w:vAlign w:val="center"/>
          </w:tcPr>
          <w:p w14:paraId="2BBAAEFA" w14:textId="7F2FECFF" w:rsidR="0077055D" w:rsidRPr="00640D24" w:rsidRDefault="0077055D" w:rsidP="00A2188B">
            <w:pPr>
              <w:spacing w:after="0" w:line="240" w:lineRule="auto"/>
              <w:rPr>
                <w:rFonts w:eastAsia="Times New Roman" w:cs="Times New Roman"/>
                <w:sz w:val="21"/>
                <w:szCs w:val="21"/>
                <w:lang w:eastAsia="lt-LT"/>
              </w:rPr>
            </w:pPr>
            <w:proofErr w:type="spellStart"/>
            <w:r w:rsidRPr="00640D24">
              <w:rPr>
                <w:rFonts w:eastAsia="Times New Roman" w:cs="Times New Roman"/>
                <w:sz w:val="21"/>
                <w:szCs w:val="21"/>
                <w:lang w:eastAsia="lt-LT"/>
              </w:rPr>
              <w:t>Eur</w:t>
            </w:r>
            <w:proofErr w:type="spellEnd"/>
          </w:p>
        </w:tc>
        <w:tc>
          <w:tcPr>
            <w:tcW w:w="1029" w:type="pct"/>
            <w:shd w:val="clear" w:color="auto" w:fill="auto"/>
            <w:noWrap/>
            <w:vAlign w:val="center"/>
          </w:tcPr>
          <w:p w14:paraId="33D768C4" w14:textId="7C13B397" w:rsidR="0077055D" w:rsidRPr="00640D24" w:rsidRDefault="0077055D" w:rsidP="00A2188B">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Apskaičiuojamas automatiškai, susumuojant pritraukt</w:t>
            </w:r>
            <w:r w:rsidR="00221B2A" w:rsidRPr="00640D24">
              <w:rPr>
                <w:rFonts w:eastAsia="Times New Roman" w:cs="Times New Roman"/>
                <w:sz w:val="21"/>
                <w:szCs w:val="21"/>
                <w:lang w:eastAsia="lt-LT"/>
              </w:rPr>
              <w:t>as</w:t>
            </w:r>
            <w:r w:rsidRPr="00640D24">
              <w:rPr>
                <w:rFonts w:eastAsia="Times New Roman" w:cs="Times New Roman"/>
                <w:sz w:val="21"/>
                <w:szCs w:val="21"/>
                <w:lang w:eastAsia="lt-LT"/>
              </w:rPr>
              <w:t xml:space="preserve"> privači</w:t>
            </w:r>
            <w:r w:rsidR="00221B2A" w:rsidRPr="00640D24">
              <w:rPr>
                <w:rFonts w:eastAsia="Times New Roman" w:cs="Times New Roman"/>
                <w:sz w:val="21"/>
                <w:szCs w:val="21"/>
                <w:lang w:eastAsia="lt-LT"/>
              </w:rPr>
              <w:t>as</w:t>
            </w:r>
            <w:r w:rsidRPr="00640D24">
              <w:rPr>
                <w:rFonts w:eastAsia="Times New Roman" w:cs="Times New Roman"/>
                <w:sz w:val="21"/>
                <w:szCs w:val="21"/>
                <w:lang w:eastAsia="lt-LT"/>
              </w:rPr>
              <w:t xml:space="preserve"> investicij</w:t>
            </w:r>
            <w:r w:rsidR="00221B2A" w:rsidRPr="00640D24">
              <w:rPr>
                <w:rFonts w:eastAsia="Times New Roman" w:cs="Times New Roman"/>
                <w:sz w:val="21"/>
                <w:szCs w:val="21"/>
                <w:lang w:eastAsia="lt-LT"/>
              </w:rPr>
              <w:t>as</w:t>
            </w:r>
            <w:r w:rsidRPr="00640D24">
              <w:rPr>
                <w:rFonts w:eastAsia="Times New Roman" w:cs="Times New Roman"/>
                <w:sz w:val="21"/>
                <w:szCs w:val="21"/>
                <w:lang w:eastAsia="lt-LT"/>
              </w:rPr>
              <w:t>.</w:t>
            </w:r>
          </w:p>
        </w:tc>
      </w:tr>
      <w:tr w:rsidR="00587B6B" w:rsidRPr="00640D24" w14:paraId="52B83E73" w14:textId="77777777" w:rsidTr="00587B6B">
        <w:trPr>
          <w:tblHeader/>
        </w:trPr>
        <w:tc>
          <w:tcPr>
            <w:tcW w:w="823" w:type="pct"/>
            <w:vMerge/>
            <w:shd w:val="clear" w:color="auto" w:fill="auto"/>
            <w:noWrap/>
            <w:vAlign w:val="center"/>
          </w:tcPr>
          <w:p w14:paraId="3C63E253" w14:textId="77777777" w:rsidR="0077055D" w:rsidRPr="00640D24" w:rsidRDefault="0077055D" w:rsidP="00A2188B">
            <w:pPr>
              <w:spacing w:after="0" w:line="240" w:lineRule="auto"/>
              <w:rPr>
                <w:rFonts w:eastAsia="Times New Roman" w:cs="Times New Roman"/>
                <w:b/>
                <w:bCs/>
                <w:color w:val="000000"/>
                <w:sz w:val="21"/>
                <w:szCs w:val="21"/>
                <w:lang w:eastAsia="lt-LT"/>
              </w:rPr>
            </w:pPr>
          </w:p>
        </w:tc>
        <w:tc>
          <w:tcPr>
            <w:tcW w:w="1064" w:type="pct"/>
            <w:vMerge/>
            <w:shd w:val="clear" w:color="auto" w:fill="auto"/>
            <w:noWrap/>
            <w:vAlign w:val="center"/>
          </w:tcPr>
          <w:p w14:paraId="5EEE6FAE" w14:textId="77777777" w:rsidR="0077055D" w:rsidRPr="00640D24" w:rsidRDefault="0077055D" w:rsidP="00A2188B">
            <w:pPr>
              <w:spacing w:after="0" w:line="240" w:lineRule="auto"/>
              <w:rPr>
                <w:rFonts w:eastAsia="Times New Roman" w:cs="Times New Roman"/>
                <w:b/>
                <w:bCs/>
                <w:sz w:val="21"/>
                <w:szCs w:val="21"/>
                <w:lang w:eastAsia="lt-LT"/>
              </w:rPr>
            </w:pPr>
          </w:p>
        </w:tc>
        <w:tc>
          <w:tcPr>
            <w:tcW w:w="821" w:type="pct"/>
            <w:shd w:val="clear" w:color="auto" w:fill="auto"/>
            <w:noWrap/>
            <w:vAlign w:val="center"/>
          </w:tcPr>
          <w:p w14:paraId="7C3F44C4" w14:textId="40565024" w:rsidR="0077055D" w:rsidRPr="00640D24" w:rsidRDefault="0077055D" w:rsidP="00A2188B">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 xml:space="preserve">Kitos formos nei </w:t>
            </w:r>
            <w:r w:rsidR="00820952" w:rsidRPr="00640D24">
              <w:rPr>
                <w:rFonts w:eastAsia="Times New Roman" w:cs="Times New Roman"/>
                <w:sz w:val="21"/>
                <w:szCs w:val="21"/>
                <w:lang w:eastAsia="lt-LT"/>
              </w:rPr>
              <w:t>dotacija</w:t>
            </w:r>
            <w:r w:rsidRPr="00640D24">
              <w:rPr>
                <w:rFonts w:eastAsia="Times New Roman" w:cs="Times New Roman"/>
                <w:sz w:val="21"/>
                <w:szCs w:val="21"/>
                <w:lang w:eastAsia="lt-LT"/>
              </w:rPr>
              <w:t xml:space="preserve"> finansinę paramą gaunančių įmonių skaičius</w:t>
            </w:r>
            <w:r w:rsidR="0036691A" w:rsidRPr="00640D24">
              <w:rPr>
                <w:rFonts w:eastAsia="Times New Roman" w:cs="Times New Roman"/>
                <w:sz w:val="21"/>
                <w:szCs w:val="21"/>
                <w:lang w:eastAsia="lt-LT"/>
              </w:rPr>
              <w:t>.</w:t>
            </w:r>
          </w:p>
        </w:tc>
        <w:tc>
          <w:tcPr>
            <w:tcW w:w="821" w:type="pct"/>
            <w:shd w:val="clear" w:color="auto" w:fill="auto"/>
            <w:noWrap/>
            <w:vAlign w:val="center"/>
          </w:tcPr>
          <w:p w14:paraId="223E1C40" w14:textId="1345669B" w:rsidR="0077055D" w:rsidRPr="00640D24" w:rsidRDefault="0077055D" w:rsidP="00A2188B">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 xml:space="preserve">Kitos formos nei </w:t>
            </w:r>
            <w:r w:rsidR="00820952" w:rsidRPr="00640D24">
              <w:rPr>
                <w:rFonts w:eastAsia="Times New Roman" w:cs="Times New Roman"/>
                <w:sz w:val="21"/>
                <w:szCs w:val="21"/>
                <w:lang w:eastAsia="lt-LT"/>
              </w:rPr>
              <w:t>dotacija</w:t>
            </w:r>
            <w:r w:rsidRPr="00640D24">
              <w:rPr>
                <w:rFonts w:eastAsia="Times New Roman" w:cs="Times New Roman"/>
                <w:sz w:val="21"/>
                <w:szCs w:val="21"/>
                <w:lang w:eastAsia="lt-LT"/>
              </w:rPr>
              <w:t xml:space="preserve"> finansinė parama – įmonėms teikiamas finansavimas įgyvendinant FP.</w:t>
            </w:r>
          </w:p>
        </w:tc>
        <w:tc>
          <w:tcPr>
            <w:tcW w:w="442" w:type="pct"/>
            <w:shd w:val="clear" w:color="auto" w:fill="auto"/>
            <w:noWrap/>
            <w:vAlign w:val="center"/>
          </w:tcPr>
          <w:p w14:paraId="43CE7F45" w14:textId="41E3D35F" w:rsidR="0077055D" w:rsidRPr="00640D24" w:rsidRDefault="0077055D" w:rsidP="00A2188B">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Įmonės</w:t>
            </w:r>
          </w:p>
        </w:tc>
        <w:tc>
          <w:tcPr>
            <w:tcW w:w="1029" w:type="pct"/>
            <w:shd w:val="clear" w:color="auto" w:fill="auto"/>
            <w:noWrap/>
            <w:vAlign w:val="center"/>
          </w:tcPr>
          <w:p w14:paraId="63F5407F" w14:textId="4F91EA5E" w:rsidR="0077055D" w:rsidRPr="00640D24" w:rsidRDefault="0077055D" w:rsidP="00A2188B">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Apskaičiuojamas automatiškai, sumuojant įmon</w:t>
            </w:r>
            <w:r w:rsidR="00221B2A" w:rsidRPr="00640D24">
              <w:rPr>
                <w:rFonts w:eastAsia="Times New Roman" w:cs="Times New Roman"/>
                <w:sz w:val="21"/>
                <w:szCs w:val="21"/>
                <w:lang w:eastAsia="lt-LT"/>
              </w:rPr>
              <w:t>ių</w:t>
            </w:r>
            <w:r w:rsidRPr="00640D24">
              <w:rPr>
                <w:rFonts w:eastAsia="Times New Roman" w:cs="Times New Roman"/>
                <w:sz w:val="21"/>
                <w:szCs w:val="21"/>
                <w:lang w:eastAsia="lt-LT"/>
              </w:rPr>
              <w:t xml:space="preserve">, kurios gavo kitos formos nei </w:t>
            </w:r>
            <w:r w:rsidR="00820952" w:rsidRPr="00640D24">
              <w:rPr>
                <w:rFonts w:eastAsia="Times New Roman" w:cs="Times New Roman"/>
                <w:sz w:val="21"/>
                <w:szCs w:val="21"/>
                <w:lang w:eastAsia="lt-LT"/>
              </w:rPr>
              <w:t>dotacija</w:t>
            </w:r>
            <w:r w:rsidRPr="00640D24">
              <w:rPr>
                <w:rFonts w:eastAsia="Times New Roman" w:cs="Times New Roman"/>
                <w:sz w:val="21"/>
                <w:szCs w:val="21"/>
                <w:lang w:eastAsia="lt-LT"/>
              </w:rPr>
              <w:t xml:space="preserve"> finansinę paramą</w:t>
            </w:r>
            <w:r w:rsidR="00221B2A" w:rsidRPr="00640D24">
              <w:rPr>
                <w:rFonts w:eastAsia="Times New Roman" w:cs="Times New Roman"/>
                <w:sz w:val="21"/>
                <w:szCs w:val="21"/>
                <w:lang w:eastAsia="lt-LT"/>
              </w:rPr>
              <w:t>, skaičių.</w:t>
            </w:r>
          </w:p>
        </w:tc>
      </w:tr>
      <w:tr w:rsidR="00587B6B" w:rsidRPr="00640D24" w14:paraId="47919ABC" w14:textId="77777777" w:rsidTr="00587B6B">
        <w:trPr>
          <w:tblHeader/>
        </w:trPr>
        <w:tc>
          <w:tcPr>
            <w:tcW w:w="823" w:type="pct"/>
            <w:vMerge w:val="restart"/>
            <w:shd w:val="clear" w:color="auto" w:fill="auto"/>
            <w:noWrap/>
            <w:vAlign w:val="center"/>
          </w:tcPr>
          <w:p w14:paraId="314423C8" w14:textId="77777777" w:rsidR="001A6F71" w:rsidRPr="00640D24" w:rsidRDefault="001A6F71" w:rsidP="00466C6D">
            <w:pPr>
              <w:spacing w:after="0" w:line="240" w:lineRule="auto"/>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Ankstyvos stadijos ir plėtros fondas III</w:t>
            </w:r>
          </w:p>
          <w:p w14:paraId="4F3E525A" w14:textId="3B5BCD7F" w:rsidR="001A6F71" w:rsidRPr="00640D24" w:rsidRDefault="001A6F71" w:rsidP="00D31EEE">
            <w:pPr>
              <w:spacing w:after="0" w:line="240" w:lineRule="auto"/>
              <w:rPr>
                <w:rFonts w:eastAsia="Times New Roman" w:cs="Times New Roman"/>
                <w:b/>
                <w:bCs/>
                <w:color w:val="000000"/>
                <w:sz w:val="21"/>
                <w:szCs w:val="21"/>
                <w:lang w:eastAsia="lt-LT"/>
              </w:rPr>
            </w:pPr>
          </w:p>
        </w:tc>
        <w:tc>
          <w:tcPr>
            <w:tcW w:w="1064" w:type="pct"/>
            <w:vMerge w:val="restart"/>
            <w:shd w:val="clear" w:color="auto" w:fill="auto"/>
            <w:noWrap/>
            <w:vAlign w:val="center"/>
          </w:tcPr>
          <w:p w14:paraId="3E029EF8" w14:textId="77777777" w:rsidR="005B0F50" w:rsidRPr="00640D24" w:rsidRDefault="001A6F71" w:rsidP="00844B68">
            <w:pPr>
              <w:spacing w:before="60" w:after="60" w:line="240" w:lineRule="auto"/>
              <w:rPr>
                <w:rFonts w:cs="Times New Roman"/>
                <w:b/>
                <w:bCs/>
                <w:sz w:val="21"/>
                <w:szCs w:val="21"/>
              </w:rPr>
            </w:pPr>
            <w:proofErr w:type="spellStart"/>
            <w:r w:rsidRPr="00640D24">
              <w:rPr>
                <w:rFonts w:cs="Times New Roman"/>
                <w:b/>
                <w:bCs/>
                <w:sz w:val="21"/>
                <w:szCs w:val="21"/>
              </w:rPr>
              <w:t>Startuolių</w:t>
            </w:r>
            <w:proofErr w:type="spellEnd"/>
            <w:r w:rsidRPr="00640D24">
              <w:rPr>
                <w:rFonts w:cs="Times New Roman"/>
                <w:b/>
                <w:bCs/>
                <w:sz w:val="21"/>
                <w:szCs w:val="21"/>
              </w:rPr>
              <w:t xml:space="preserve"> vystymas, </w:t>
            </w:r>
            <w:proofErr w:type="spellStart"/>
            <w:r w:rsidRPr="00640D24">
              <w:rPr>
                <w:rFonts w:cs="Times New Roman"/>
                <w:b/>
                <w:bCs/>
                <w:sz w:val="21"/>
                <w:szCs w:val="21"/>
              </w:rPr>
              <w:t>akceleravimas</w:t>
            </w:r>
            <w:proofErr w:type="spellEnd"/>
            <w:r w:rsidRPr="00640D24">
              <w:rPr>
                <w:rFonts w:cs="Times New Roman"/>
                <w:b/>
                <w:bCs/>
                <w:sz w:val="21"/>
                <w:szCs w:val="21"/>
              </w:rPr>
              <w:t xml:space="preserve"> ir plėtra</w:t>
            </w:r>
            <w:r w:rsidR="005B0F50" w:rsidRPr="00640D24">
              <w:rPr>
                <w:rStyle w:val="Puslapioinaosnuoroda"/>
                <w:rFonts w:cs="Times New Roman"/>
                <w:sz w:val="21"/>
                <w:szCs w:val="21"/>
              </w:rPr>
              <w:footnoteReference w:id="101"/>
            </w:r>
          </w:p>
          <w:p w14:paraId="24EA3571" w14:textId="21E7DD6E" w:rsidR="001A6F71" w:rsidRPr="00640D24" w:rsidRDefault="001A6F71" w:rsidP="00844B68">
            <w:pPr>
              <w:spacing w:before="60" w:after="60" w:line="240" w:lineRule="auto"/>
              <w:rPr>
                <w:rFonts w:eastAsia="Times New Roman" w:cs="Times New Roman"/>
                <w:b/>
                <w:bCs/>
                <w:sz w:val="21"/>
                <w:szCs w:val="21"/>
                <w:lang w:eastAsia="lt-LT"/>
              </w:rPr>
            </w:pPr>
            <w:r w:rsidRPr="00640D24">
              <w:rPr>
                <w:rFonts w:eastAsia="Times New Roman" w:cs="Times New Roman"/>
                <w:b/>
                <w:bCs/>
                <w:color w:val="000000"/>
                <w:sz w:val="21"/>
                <w:szCs w:val="21"/>
                <w:lang w:eastAsia="lt-LT"/>
              </w:rPr>
              <w:t>Skatinti pradedančiųjų SVV subjektų kūrimąsi, augimą ir plėtrą</w:t>
            </w:r>
            <w:r w:rsidR="005B0F50" w:rsidRPr="00640D24">
              <w:rPr>
                <w:rStyle w:val="Puslapioinaosnuoroda"/>
                <w:rFonts w:cs="Times New Roman"/>
                <w:sz w:val="21"/>
                <w:szCs w:val="21"/>
              </w:rPr>
              <w:footnoteReference w:id="102"/>
            </w:r>
          </w:p>
        </w:tc>
        <w:tc>
          <w:tcPr>
            <w:tcW w:w="821" w:type="pct"/>
            <w:shd w:val="clear" w:color="auto" w:fill="auto"/>
            <w:noWrap/>
            <w:vAlign w:val="center"/>
          </w:tcPr>
          <w:p w14:paraId="4810F55C" w14:textId="6681E70D" w:rsidR="001A6F71" w:rsidRPr="00640D24" w:rsidRDefault="001A6F71" w:rsidP="00466C6D">
            <w:pPr>
              <w:spacing w:after="0" w:line="240" w:lineRule="auto"/>
              <w:rPr>
                <w:rFonts w:eastAsia="Times New Roman" w:cs="Times New Roman"/>
                <w:sz w:val="21"/>
                <w:szCs w:val="21"/>
                <w:lang w:eastAsia="lt-LT"/>
              </w:rPr>
            </w:pPr>
            <w:r w:rsidRPr="00640D24">
              <w:rPr>
                <w:color w:val="000000"/>
                <w:sz w:val="21"/>
                <w:szCs w:val="21"/>
              </w:rPr>
              <w:t>Didelį augimo potencialą turinčių įmonių, gavusių viešąsias investicijas, skaičius.</w:t>
            </w:r>
          </w:p>
        </w:tc>
        <w:tc>
          <w:tcPr>
            <w:tcW w:w="821" w:type="pct"/>
            <w:shd w:val="clear" w:color="auto" w:fill="auto"/>
            <w:noWrap/>
            <w:vAlign w:val="center"/>
          </w:tcPr>
          <w:p w14:paraId="4DA1A4EF" w14:textId="2A8E631B" w:rsidR="001A6F71" w:rsidRPr="00640D24" w:rsidRDefault="001A6F71" w:rsidP="00466C6D">
            <w:pPr>
              <w:spacing w:after="0" w:line="240" w:lineRule="auto"/>
              <w:rPr>
                <w:rFonts w:eastAsia="Times New Roman" w:cs="Times New Roman"/>
                <w:sz w:val="21"/>
                <w:szCs w:val="21"/>
                <w:lang w:eastAsia="lt-LT"/>
              </w:rPr>
            </w:pPr>
            <w:r w:rsidRPr="00640D24">
              <w:rPr>
                <w:color w:val="000000"/>
                <w:sz w:val="21"/>
                <w:szCs w:val="21"/>
              </w:rPr>
              <w:t>Skaičiuojamas naujų įmonių, gavusių rizikos kapitalo investicijas arba paskolas, skaičius.</w:t>
            </w:r>
          </w:p>
        </w:tc>
        <w:tc>
          <w:tcPr>
            <w:tcW w:w="442" w:type="pct"/>
            <w:shd w:val="clear" w:color="auto" w:fill="auto"/>
            <w:noWrap/>
            <w:vAlign w:val="center"/>
          </w:tcPr>
          <w:p w14:paraId="4D414ED9" w14:textId="5880EA16" w:rsidR="001A6F71" w:rsidRPr="00640D24" w:rsidRDefault="001A6F71" w:rsidP="00466C6D">
            <w:pPr>
              <w:spacing w:after="0" w:line="240" w:lineRule="auto"/>
              <w:rPr>
                <w:rFonts w:eastAsia="Times New Roman" w:cs="Times New Roman"/>
                <w:sz w:val="21"/>
                <w:szCs w:val="21"/>
                <w:lang w:eastAsia="lt-LT"/>
              </w:rPr>
            </w:pPr>
            <w:r w:rsidRPr="00640D24">
              <w:rPr>
                <w:color w:val="000000"/>
                <w:sz w:val="21"/>
                <w:szCs w:val="21"/>
              </w:rPr>
              <w:t>Įmonės</w:t>
            </w:r>
          </w:p>
        </w:tc>
        <w:tc>
          <w:tcPr>
            <w:tcW w:w="1029" w:type="pct"/>
            <w:shd w:val="clear" w:color="auto" w:fill="auto"/>
            <w:noWrap/>
            <w:vAlign w:val="center"/>
          </w:tcPr>
          <w:p w14:paraId="5D7AB57E" w14:textId="1E6A522A" w:rsidR="001A6F71" w:rsidRPr="00640D24" w:rsidRDefault="001A6F71" w:rsidP="00466C6D">
            <w:pPr>
              <w:spacing w:after="0" w:line="240" w:lineRule="auto"/>
              <w:rPr>
                <w:rFonts w:eastAsia="Times New Roman" w:cs="Times New Roman"/>
                <w:sz w:val="21"/>
                <w:szCs w:val="21"/>
                <w:lang w:eastAsia="lt-LT"/>
              </w:rPr>
            </w:pPr>
            <w:r w:rsidRPr="00640D24">
              <w:rPr>
                <w:color w:val="000000"/>
                <w:sz w:val="21"/>
                <w:szCs w:val="21"/>
              </w:rPr>
              <w:t>Apskaičiuojamas automatiškai, sumuojant naujų įmonių, gavusių rizikos kapitalo investicijas arba paskolas, skaičius.</w:t>
            </w:r>
          </w:p>
        </w:tc>
      </w:tr>
      <w:tr w:rsidR="00587B6B" w:rsidRPr="00640D24" w14:paraId="67FD0556" w14:textId="77777777" w:rsidTr="00587B6B">
        <w:trPr>
          <w:tblHeader/>
        </w:trPr>
        <w:tc>
          <w:tcPr>
            <w:tcW w:w="823" w:type="pct"/>
            <w:vMerge/>
            <w:shd w:val="clear" w:color="auto" w:fill="auto"/>
            <w:noWrap/>
            <w:vAlign w:val="center"/>
          </w:tcPr>
          <w:p w14:paraId="69EC7792" w14:textId="77777777" w:rsidR="001A6F71" w:rsidRPr="00640D24" w:rsidRDefault="001A6F71" w:rsidP="004D5F5D">
            <w:pPr>
              <w:spacing w:after="0" w:line="240" w:lineRule="auto"/>
              <w:rPr>
                <w:rFonts w:eastAsia="Times New Roman" w:cs="Times New Roman"/>
                <w:b/>
                <w:bCs/>
                <w:color w:val="000000"/>
                <w:sz w:val="21"/>
                <w:szCs w:val="21"/>
                <w:lang w:eastAsia="lt-LT"/>
              </w:rPr>
            </w:pPr>
          </w:p>
        </w:tc>
        <w:tc>
          <w:tcPr>
            <w:tcW w:w="1064" w:type="pct"/>
            <w:vMerge/>
            <w:shd w:val="clear" w:color="auto" w:fill="auto"/>
            <w:noWrap/>
            <w:vAlign w:val="center"/>
          </w:tcPr>
          <w:p w14:paraId="2FB41B7E" w14:textId="77777777" w:rsidR="001A6F71" w:rsidRPr="00640D24" w:rsidRDefault="001A6F71" w:rsidP="004D5F5D">
            <w:pPr>
              <w:spacing w:before="60" w:after="60" w:line="240" w:lineRule="auto"/>
              <w:rPr>
                <w:rFonts w:cs="Times New Roman"/>
                <w:b/>
                <w:bCs/>
                <w:sz w:val="21"/>
                <w:szCs w:val="21"/>
              </w:rPr>
            </w:pPr>
          </w:p>
        </w:tc>
        <w:tc>
          <w:tcPr>
            <w:tcW w:w="821" w:type="pct"/>
            <w:shd w:val="clear" w:color="auto" w:fill="auto"/>
            <w:noWrap/>
            <w:vAlign w:val="center"/>
          </w:tcPr>
          <w:p w14:paraId="2B8F897D" w14:textId="29A25060" w:rsidR="001A6F71" w:rsidRPr="00640D24" w:rsidRDefault="001A6F71" w:rsidP="004D5F5D">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 xml:space="preserve">Privačios investicijos, atitinkančios viešąją paramą įmonėms (ne </w:t>
            </w:r>
            <w:r w:rsidR="00820952" w:rsidRPr="00640D24">
              <w:rPr>
                <w:rFonts w:eastAsia="Times New Roman" w:cs="Times New Roman"/>
                <w:sz w:val="21"/>
                <w:szCs w:val="21"/>
                <w:lang w:eastAsia="lt-LT"/>
              </w:rPr>
              <w:t>dotacijos</w:t>
            </w:r>
            <w:r w:rsidRPr="00640D24">
              <w:rPr>
                <w:rFonts w:eastAsia="Times New Roman" w:cs="Times New Roman"/>
                <w:sz w:val="21"/>
                <w:szCs w:val="21"/>
                <w:lang w:eastAsia="lt-LT"/>
              </w:rPr>
              <w:t>).</w:t>
            </w:r>
          </w:p>
        </w:tc>
        <w:tc>
          <w:tcPr>
            <w:tcW w:w="821" w:type="pct"/>
            <w:shd w:val="clear" w:color="auto" w:fill="auto"/>
            <w:noWrap/>
            <w:vAlign w:val="center"/>
          </w:tcPr>
          <w:p w14:paraId="3C9A5CA6" w14:textId="4563D297" w:rsidR="001A6F71" w:rsidRPr="00640D24" w:rsidRDefault="001A6F71" w:rsidP="004D5F5D">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 xml:space="preserve">Kitos formos nei </w:t>
            </w:r>
            <w:r w:rsidR="00820952" w:rsidRPr="00640D24">
              <w:rPr>
                <w:rFonts w:eastAsia="Times New Roman" w:cs="Times New Roman"/>
                <w:sz w:val="21"/>
                <w:szCs w:val="21"/>
                <w:lang w:eastAsia="lt-LT"/>
              </w:rPr>
              <w:t>dotacija</w:t>
            </w:r>
            <w:r w:rsidRPr="00640D24">
              <w:rPr>
                <w:rFonts w:eastAsia="Times New Roman" w:cs="Times New Roman"/>
                <w:sz w:val="21"/>
                <w:szCs w:val="21"/>
                <w:lang w:eastAsia="lt-LT"/>
              </w:rPr>
              <w:t xml:space="preserve"> pritrauktų privačių lėšų dalis.</w:t>
            </w:r>
          </w:p>
        </w:tc>
        <w:tc>
          <w:tcPr>
            <w:tcW w:w="442" w:type="pct"/>
            <w:shd w:val="clear" w:color="auto" w:fill="auto"/>
            <w:noWrap/>
            <w:vAlign w:val="center"/>
          </w:tcPr>
          <w:p w14:paraId="08E116C9" w14:textId="223C6A94" w:rsidR="001A6F71" w:rsidRPr="00640D24" w:rsidRDefault="001A6F71" w:rsidP="004D5F5D">
            <w:pPr>
              <w:spacing w:after="0" w:line="240" w:lineRule="auto"/>
              <w:rPr>
                <w:rFonts w:eastAsia="Times New Roman" w:cs="Times New Roman"/>
                <w:sz w:val="21"/>
                <w:szCs w:val="21"/>
                <w:lang w:eastAsia="lt-LT"/>
              </w:rPr>
            </w:pPr>
            <w:proofErr w:type="spellStart"/>
            <w:r w:rsidRPr="00640D24">
              <w:rPr>
                <w:rFonts w:eastAsia="Times New Roman" w:cs="Times New Roman"/>
                <w:sz w:val="21"/>
                <w:szCs w:val="21"/>
                <w:lang w:eastAsia="lt-LT"/>
              </w:rPr>
              <w:t>Eur</w:t>
            </w:r>
            <w:proofErr w:type="spellEnd"/>
          </w:p>
        </w:tc>
        <w:tc>
          <w:tcPr>
            <w:tcW w:w="1029" w:type="pct"/>
            <w:shd w:val="clear" w:color="auto" w:fill="auto"/>
            <w:noWrap/>
            <w:vAlign w:val="center"/>
          </w:tcPr>
          <w:p w14:paraId="3E33E5A0" w14:textId="6496DAC8" w:rsidR="001A6F71" w:rsidRPr="00640D24" w:rsidRDefault="001A6F71" w:rsidP="004D5F5D">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Apskaičiuojamas automatiškai, susumuojant pritrauktas privačias investicijas.</w:t>
            </w:r>
          </w:p>
        </w:tc>
      </w:tr>
    </w:tbl>
    <w:p w14:paraId="0E842D09" w14:textId="77777777" w:rsidR="00587B6B" w:rsidRPr="00640D24" w:rsidRDefault="00587B6B">
      <w:r w:rsidRPr="00640D24">
        <w:br w:type="page"/>
      </w:r>
    </w:p>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473"/>
        <w:gridCol w:w="3196"/>
        <w:gridCol w:w="2466"/>
        <w:gridCol w:w="2466"/>
        <w:gridCol w:w="1328"/>
        <w:gridCol w:w="3091"/>
      </w:tblGrid>
      <w:tr w:rsidR="00587B6B" w:rsidRPr="00640D24" w14:paraId="6B557E7C" w14:textId="77777777" w:rsidTr="00587B6B">
        <w:trPr>
          <w:tblHeader/>
        </w:trPr>
        <w:tc>
          <w:tcPr>
            <w:tcW w:w="823" w:type="pct"/>
            <w:vMerge w:val="restart"/>
            <w:shd w:val="clear" w:color="auto" w:fill="auto"/>
            <w:noWrap/>
            <w:vAlign w:val="center"/>
          </w:tcPr>
          <w:p w14:paraId="04A0C017" w14:textId="77777777" w:rsidR="00587B6B" w:rsidRPr="00640D24" w:rsidRDefault="00587B6B" w:rsidP="00587B6B">
            <w:pPr>
              <w:spacing w:after="0" w:line="240" w:lineRule="auto"/>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lastRenderedPageBreak/>
              <w:t>Ankstyvos stadijos ir plėtros fondas III</w:t>
            </w:r>
          </w:p>
          <w:p w14:paraId="6A2324B5" w14:textId="76E37172" w:rsidR="001A6F71" w:rsidRPr="00640D24" w:rsidRDefault="001A6F71" w:rsidP="004D5F5D">
            <w:pPr>
              <w:spacing w:after="0" w:line="240" w:lineRule="auto"/>
              <w:rPr>
                <w:rFonts w:eastAsia="Times New Roman" w:cs="Times New Roman"/>
                <w:b/>
                <w:bCs/>
                <w:color w:val="000000"/>
                <w:sz w:val="21"/>
                <w:szCs w:val="21"/>
                <w:lang w:eastAsia="lt-LT"/>
              </w:rPr>
            </w:pPr>
          </w:p>
        </w:tc>
        <w:tc>
          <w:tcPr>
            <w:tcW w:w="1064" w:type="pct"/>
            <w:vMerge w:val="restart"/>
            <w:shd w:val="clear" w:color="auto" w:fill="auto"/>
            <w:noWrap/>
            <w:vAlign w:val="center"/>
          </w:tcPr>
          <w:p w14:paraId="63318C63" w14:textId="77777777" w:rsidR="00587B6B" w:rsidRPr="00640D24" w:rsidRDefault="00587B6B" w:rsidP="00587B6B">
            <w:pPr>
              <w:spacing w:before="60" w:after="60" w:line="240" w:lineRule="auto"/>
              <w:rPr>
                <w:rFonts w:cs="Times New Roman"/>
                <w:b/>
                <w:bCs/>
                <w:sz w:val="21"/>
                <w:szCs w:val="21"/>
              </w:rPr>
            </w:pPr>
            <w:proofErr w:type="spellStart"/>
            <w:r w:rsidRPr="00640D24">
              <w:rPr>
                <w:rFonts w:cs="Times New Roman"/>
                <w:b/>
                <w:bCs/>
                <w:sz w:val="21"/>
                <w:szCs w:val="21"/>
              </w:rPr>
              <w:t>Startuolių</w:t>
            </w:r>
            <w:proofErr w:type="spellEnd"/>
            <w:r w:rsidRPr="00640D24">
              <w:rPr>
                <w:rFonts w:cs="Times New Roman"/>
                <w:b/>
                <w:bCs/>
                <w:sz w:val="21"/>
                <w:szCs w:val="21"/>
              </w:rPr>
              <w:t xml:space="preserve"> vystymas, </w:t>
            </w:r>
            <w:proofErr w:type="spellStart"/>
            <w:r w:rsidRPr="00640D24">
              <w:rPr>
                <w:rFonts w:cs="Times New Roman"/>
                <w:b/>
                <w:bCs/>
                <w:sz w:val="21"/>
                <w:szCs w:val="21"/>
              </w:rPr>
              <w:t>akceleravimas</w:t>
            </w:r>
            <w:proofErr w:type="spellEnd"/>
            <w:r w:rsidRPr="00640D24">
              <w:rPr>
                <w:rFonts w:cs="Times New Roman"/>
                <w:b/>
                <w:bCs/>
                <w:sz w:val="21"/>
                <w:szCs w:val="21"/>
              </w:rPr>
              <w:t xml:space="preserve"> ir plėtra</w:t>
            </w:r>
            <w:r w:rsidRPr="00640D24">
              <w:rPr>
                <w:rStyle w:val="Puslapioinaosnuoroda"/>
                <w:rFonts w:cs="Times New Roman"/>
                <w:sz w:val="21"/>
                <w:szCs w:val="21"/>
              </w:rPr>
              <w:footnoteReference w:id="103"/>
            </w:r>
          </w:p>
          <w:p w14:paraId="61441E9A" w14:textId="7EE39FE2" w:rsidR="001A6F71" w:rsidRPr="00640D24" w:rsidRDefault="00587B6B" w:rsidP="00587B6B">
            <w:pPr>
              <w:spacing w:before="60" w:after="60" w:line="240" w:lineRule="auto"/>
              <w:rPr>
                <w:rFonts w:cs="Times New Roman"/>
                <w:b/>
                <w:bCs/>
                <w:sz w:val="21"/>
                <w:szCs w:val="21"/>
              </w:rPr>
            </w:pPr>
            <w:r w:rsidRPr="00640D24">
              <w:rPr>
                <w:rFonts w:eastAsia="Times New Roman" w:cs="Times New Roman"/>
                <w:b/>
                <w:bCs/>
                <w:color w:val="000000"/>
                <w:sz w:val="21"/>
                <w:szCs w:val="21"/>
                <w:lang w:eastAsia="lt-LT"/>
              </w:rPr>
              <w:t>Skatinti pradedančiųjų SVV subjektų kūrimąsi, augimą ir plėtrą</w:t>
            </w:r>
            <w:r w:rsidRPr="00640D24">
              <w:rPr>
                <w:rStyle w:val="Puslapioinaosnuoroda"/>
                <w:rFonts w:cs="Times New Roman"/>
                <w:sz w:val="21"/>
                <w:szCs w:val="21"/>
              </w:rPr>
              <w:footnoteReference w:id="104"/>
            </w:r>
          </w:p>
        </w:tc>
        <w:tc>
          <w:tcPr>
            <w:tcW w:w="821" w:type="pct"/>
            <w:shd w:val="clear" w:color="auto" w:fill="auto"/>
            <w:noWrap/>
            <w:vAlign w:val="center"/>
          </w:tcPr>
          <w:p w14:paraId="0D56D489" w14:textId="496F6FE3" w:rsidR="001A6F71" w:rsidRPr="00640D24" w:rsidRDefault="001A6F71" w:rsidP="004D5F5D">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 xml:space="preserve">Kitos formos nei </w:t>
            </w:r>
            <w:r w:rsidR="00820952" w:rsidRPr="00640D24">
              <w:rPr>
                <w:rFonts w:eastAsia="Times New Roman" w:cs="Times New Roman"/>
                <w:sz w:val="21"/>
                <w:szCs w:val="21"/>
                <w:lang w:eastAsia="lt-LT"/>
              </w:rPr>
              <w:t>dotacija</w:t>
            </w:r>
            <w:r w:rsidRPr="00640D24">
              <w:rPr>
                <w:rFonts w:eastAsia="Times New Roman" w:cs="Times New Roman"/>
                <w:sz w:val="21"/>
                <w:szCs w:val="21"/>
                <w:lang w:eastAsia="lt-LT"/>
              </w:rPr>
              <w:t xml:space="preserve"> finansinę paramą gaunančių įmonių skaičius.</w:t>
            </w:r>
          </w:p>
        </w:tc>
        <w:tc>
          <w:tcPr>
            <w:tcW w:w="821" w:type="pct"/>
            <w:shd w:val="clear" w:color="auto" w:fill="auto"/>
            <w:noWrap/>
            <w:vAlign w:val="center"/>
          </w:tcPr>
          <w:p w14:paraId="57245666" w14:textId="19D95B94" w:rsidR="001A6F71" w:rsidRPr="00640D24" w:rsidRDefault="001A6F71" w:rsidP="004D5F5D">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Kitos formos nei</w:t>
            </w:r>
            <w:r w:rsidR="00820952" w:rsidRPr="00640D24">
              <w:rPr>
                <w:rFonts w:eastAsia="Times New Roman" w:cs="Times New Roman"/>
                <w:sz w:val="21"/>
                <w:szCs w:val="21"/>
                <w:lang w:eastAsia="lt-LT"/>
              </w:rPr>
              <w:t xml:space="preserve"> dotacija</w:t>
            </w:r>
            <w:r w:rsidRPr="00640D24">
              <w:rPr>
                <w:rFonts w:eastAsia="Times New Roman" w:cs="Times New Roman"/>
                <w:sz w:val="21"/>
                <w:szCs w:val="21"/>
                <w:lang w:eastAsia="lt-LT"/>
              </w:rPr>
              <w:t xml:space="preserve"> finansinė parama – įmonėms teikiamas finansavimas įgyvendinant FP.</w:t>
            </w:r>
          </w:p>
        </w:tc>
        <w:tc>
          <w:tcPr>
            <w:tcW w:w="442" w:type="pct"/>
            <w:shd w:val="clear" w:color="auto" w:fill="auto"/>
            <w:noWrap/>
            <w:vAlign w:val="center"/>
          </w:tcPr>
          <w:p w14:paraId="28135D99" w14:textId="61715486" w:rsidR="001A6F71" w:rsidRPr="00640D24" w:rsidRDefault="001A6F71" w:rsidP="004D5F5D">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Įmonės</w:t>
            </w:r>
          </w:p>
        </w:tc>
        <w:tc>
          <w:tcPr>
            <w:tcW w:w="1029" w:type="pct"/>
            <w:shd w:val="clear" w:color="auto" w:fill="auto"/>
            <w:noWrap/>
            <w:vAlign w:val="center"/>
          </w:tcPr>
          <w:p w14:paraId="09FA888F" w14:textId="0667DA94" w:rsidR="001A6F71" w:rsidRPr="00640D24" w:rsidRDefault="001A6F71" w:rsidP="004D5F5D">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Apskaičiuojamas automatiškai, sumuojant įmones, kurios gavo kitos formos nei</w:t>
            </w:r>
            <w:r w:rsidR="00820952" w:rsidRPr="00640D24">
              <w:rPr>
                <w:rFonts w:eastAsia="Times New Roman" w:cs="Times New Roman"/>
                <w:sz w:val="21"/>
                <w:szCs w:val="21"/>
                <w:lang w:eastAsia="lt-LT"/>
              </w:rPr>
              <w:t xml:space="preserve"> dotacija</w:t>
            </w:r>
            <w:r w:rsidRPr="00640D24">
              <w:rPr>
                <w:rFonts w:eastAsia="Times New Roman" w:cs="Times New Roman"/>
                <w:sz w:val="21"/>
                <w:szCs w:val="21"/>
                <w:lang w:eastAsia="lt-LT"/>
              </w:rPr>
              <w:t xml:space="preserve"> finansinę paramą</w:t>
            </w:r>
            <w:r w:rsidRPr="00640D24">
              <w:rPr>
                <w:rFonts w:eastAsia="Times New Roman" w:cs="Times New Roman"/>
                <w:i/>
                <w:iCs/>
                <w:sz w:val="21"/>
                <w:szCs w:val="21"/>
                <w:lang w:eastAsia="lt-LT"/>
              </w:rPr>
              <w:t>.</w:t>
            </w:r>
            <w:r w:rsidRPr="00640D24">
              <w:rPr>
                <w:rFonts w:eastAsia="Times New Roman" w:cs="Times New Roman"/>
                <w:sz w:val="21"/>
                <w:szCs w:val="21"/>
                <w:lang w:eastAsia="lt-LT"/>
              </w:rPr>
              <w:t xml:space="preserve"> </w:t>
            </w:r>
          </w:p>
        </w:tc>
      </w:tr>
      <w:tr w:rsidR="00587B6B" w:rsidRPr="00640D24" w14:paraId="794A25B4" w14:textId="77777777" w:rsidTr="00587B6B">
        <w:trPr>
          <w:tblHeader/>
        </w:trPr>
        <w:tc>
          <w:tcPr>
            <w:tcW w:w="823" w:type="pct"/>
            <w:vMerge/>
            <w:shd w:val="clear" w:color="auto" w:fill="auto"/>
            <w:noWrap/>
            <w:vAlign w:val="center"/>
          </w:tcPr>
          <w:p w14:paraId="48CA58BB" w14:textId="77777777" w:rsidR="001A6F71" w:rsidRPr="00640D24" w:rsidRDefault="001A6F71" w:rsidP="007B5A4D">
            <w:pPr>
              <w:spacing w:after="0" w:line="240" w:lineRule="auto"/>
              <w:rPr>
                <w:rFonts w:eastAsia="Times New Roman" w:cs="Times New Roman"/>
                <w:b/>
                <w:bCs/>
                <w:color w:val="000000"/>
                <w:sz w:val="21"/>
                <w:szCs w:val="21"/>
                <w:lang w:eastAsia="lt-LT"/>
              </w:rPr>
            </w:pPr>
          </w:p>
        </w:tc>
        <w:tc>
          <w:tcPr>
            <w:tcW w:w="1064" w:type="pct"/>
            <w:vMerge/>
            <w:shd w:val="clear" w:color="auto" w:fill="auto"/>
            <w:noWrap/>
            <w:vAlign w:val="center"/>
          </w:tcPr>
          <w:p w14:paraId="15BAC771" w14:textId="77777777" w:rsidR="001A6F71" w:rsidRPr="00640D24" w:rsidRDefault="001A6F71" w:rsidP="007B5A4D">
            <w:pPr>
              <w:spacing w:after="0" w:line="240" w:lineRule="auto"/>
              <w:rPr>
                <w:rFonts w:eastAsia="Times New Roman" w:cs="Times New Roman"/>
                <w:b/>
                <w:bCs/>
                <w:sz w:val="21"/>
                <w:szCs w:val="21"/>
                <w:lang w:eastAsia="lt-LT"/>
              </w:rPr>
            </w:pPr>
          </w:p>
        </w:tc>
        <w:tc>
          <w:tcPr>
            <w:tcW w:w="821" w:type="pct"/>
            <w:shd w:val="clear" w:color="auto" w:fill="auto"/>
            <w:noWrap/>
            <w:vAlign w:val="center"/>
          </w:tcPr>
          <w:p w14:paraId="3981F4CC" w14:textId="7A149EFB" w:rsidR="001A6F71" w:rsidRPr="00640D24" w:rsidRDefault="001A6F71" w:rsidP="00466C6D">
            <w:pPr>
              <w:spacing w:after="0" w:line="240" w:lineRule="auto"/>
              <w:rPr>
                <w:rFonts w:eastAsia="Times New Roman" w:cs="Times New Roman"/>
                <w:sz w:val="21"/>
                <w:szCs w:val="21"/>
                <w:lang w:eastAsia="lt-LT"/>
              </w:rPr>
            </w:pPr>
            <w:r w:rsidRPr="00640D24">
              <w:rPr>
                <w:color w:val="000000"/>
                <w:sz w:val="21"/>
                <w:szCs w:val="21"/>
              </w:rPr>
              <w:t xml:space="preserve">Privačios investicijos, atitinkančios viešąją paramą </w:t>
            </w:r>
            <w:r w:rsidRPr="00640D24">
              <w:rPr>
                <w:i/>
                <w:iCs/>
                <w:color w:val="000000"/>
                <w:sz w:val="21"/>
                <w:szCs w:val="21"/>
              </w:rPr>
              <w:t>(jeigu taikoma).</w:t>
            </w:r>
          </w:p>
        </w:tc>
        <w:tc>
          <w:tcPr>
            <w:tcW w:w="821" w:type="pct"/>
            <w:shd w:val="clear" w:color="auto" w:fill="auto"/>
            <w:noWrap/>
            <w:vAlign w:val="center"/>
          </w:tcPr>
          <w:p w14:paraId="4998F92C" w14:textId="0A54046D" w:rsidR="001A6F71" w:rsidRPr="00640D24" w:rsidRDefault="001A6F71" w:rsidP="00466C6D">
            <w:pPr>
              <w:spacing w:after="0" w:line="240" w:lineRule="auto"/>
              <w:rPr>
                <w:rFonts w:eastAsia="Times New Roman" w:cs="Times New Roman"/>
                <w:sz w:val="21"/>
                <w:szCs w:val="21"/>
                <w:lang w:eastAsia="lt-LT"/>
              </w:rPr>
            </w:pPr>
            <w:r w:rsidRPr="00640D24">
              <w:rPr>
                <w:color w:val="000000"/>
                <w:sz w:val="21"/>
                <w:szCs w:val="21"/>
              </w:rPr>
              <w:t>Privačių investicijų suma į numatytą projektą.</w:t>
            </w:r>
          </w:p>
        </w:tc>
        <w:tc>
          <w:tcPr>
            <w:tcW w:w="442" w:type="pct"/>
            <w:shd w:val="clear" w:color="auto" w:fill="auto"/>
            <w:noWrap/>
            <w:vAlign w:val="center"/>
          </w:tcPr>
          <w:p w14:paraId="0C9BD645" w14:textId="58479B3F" w:rsidR="001A6F71" w:rsidRPr="00640D24" w:rsidRDefault="001A6F71" w:rsidP="00466C6D">
            <w:pPr>
              <w:spacing w:after="0" w:line="240" w:lineRule="auto"/>
              <w:rPr>
                <w:rFonts w:eastAsia="Times New Roman" w:cs="Times New Roman"/>
                <w:sz w:val="21"/>
                <w:szCs w:val="21"/>
                <w:lang w:eastAsia="lt-LT"/>
              </w:rPr>
            </w:pPr>
            <w:proofErr w:type="spellStart"/>
            <w:r w:rsidRPr="00640D24">
              <w:rPr>
                <w:color w:val="000000"/>
                <w:sz w:val="21"/>
                <w:szCs w:val="21"/>
              </w:rPr>
              <w:t>Eur</w:t>
            </w:r>
            <w:proofErr w:type="spellEnd"/>
          </w:p>
        </w:tc>
        <w:tc>
          <w:tcPr>
            <w:tcW w:w="1029" w:type="pct"/>
            <w:shd w:val="clear" w:color="auto" w:fill="auto"/>
            <w:noWrap/>
            <w:vAlign w:val="center"/>
          </w:tcPr>
          <w:p w14:paraId="5177BAE8" w14:textId="0423F694" w:rsidR="001A6F71" w:rsidRPr="00640D24" w:rsidRDefault="001A6F71" w:rsidP="00466C6D">
            <w:pPr>
              <w:spacing w:after="0" w:line="240" w:lineRule="auto"/>
              <w:rPr>
                <w:rFonts w:eastAsia="Times New Roman" w:cs="Times New Roman"/>
                <w:sz w:val="21"/>
                <w:szCs w:val="21"/>
                <w:lang w:eastAsia="lt-LT"/>
              </w:rPr>
            </w:pPr>
            <w:r w:rsidRPr="00640D24">
              <w:rPr>
                <w:color w:val="000000"/>
                <w:sz w:val="21"/>
                <w:szCs w:val="21"/>
              </w:rPr>
              <w:t>Apskaičiuojamas automatiškai, susumuojant projekto įgyvendinimo metu pritrauktų privačių investicijų sumas.</w:t>
            </w:r>
          </w:p>
        </w:tc>
      </w:tr>
      <w:tr w:rsidR="00587B6B" w:rsidRPr="00640D24" w14:paraId="65EFE2C6" w14:textId="77777777" w:rsidTr="00587B6B">
        <w:trPr>
          <w:tblHeader/>
        </w:trPr>
        <w:tc>
          <w:tcPr>
            <w:tcW w:w="823" w:type="pct"/>
            <w:vMerge w:val="restart"/>
            <w:shd w:val="clear" w:color="auto" w:fill="auto"/>
            <w:noWrap/>
            <w:vAlign w:val="center"/>
          </w:tcPr>
          <w:p w14:paraId="0FF1410A" w14:textId="61C91042" w:rsidR="00DC4572" w:rsidRPr="00640D24" w:rsidRDefault="00B73C11" w:rsidP="006202A7">
            <w:pPr>
              <w:spacing w:after="0" w:line="240" w:lineRule="auto"/>
              <w:rPr>
                <w:rFonts w:eastAsia="Times New Roman" w:cs="Times New Roman"/>
                <w:b/>
                <w:bCs/>
                <w:color w:val="000000"/>
                <w:sz w:val="21"/>
                <w:szCs w:val="21"/>
                <w:lang w:eastAsia="lt-LT"/>
              </w:rPr>
            </w:pPr>
            <w:r w:rsidRPr="00640D24">
              <w:rPr>
                <w:rFonts w:cs="Times New Roman"/>
                <w:b/>
                <w:color w:val="000000"/>
                <w:sz w:val="21"/>
                <w:szCs w:val="21"/>
              </w:rPr>
              <w:t>S</w:t>
            </w:r>
            <w:r w:rsidR="00D609E9" w:rsidRPr="00640D24">
              <w:rPr>
                <w:rFonts w:cs="Times New Roman"/>
                <w:b/>
                <w:color w:val="000000"/>
                <w:sz w:val="21"/>
                <w:szCs w:val="21"/>
              </w:rPr>
              <w:t>kolinio finansavimo</w:t>
            </w:r>
            <w:r w:rsidR="00DC4572" w:rsidRPr="00640D24">
              <w:rPr>
                <w:rFonts w:cs="Times New Roman"/>
                <w:b/>
                <w:color w:val="000000"/>
                <w:sz w:val="21"/>
                <w:szCs w:val="21"/>
              </w:rPr>
              <w:t xml:space="preserve"> FP </w:t>
            </w:r>
          </w:p>
        </w:tc>
        <w:tc>
          <w:tcPr>
            <w:tcW w:w="1064" w:type="pct"/>
            <w:vMerge w:val="restart"/>
            <w:shd w:val="clear" w:color="auto" w:fill="auto"/>
            <w:noWrap/>
            <w:vAlign w:val="center"/>
          </w:tcPr>
          <w:p w14:paraId="76947D2C" w14:textId="0BA3A862" w:rsidR="003422C5" w:rsidRPr="00640D24" w:rsidRDefault="003422C5" w:rsidP="0057510E">
            <w:pPr>
              <w:spacing w:before="60" w:after="60" w:line="240" w:lineRule="auto"/>
              <w:rPr>
                <w:rFonts w:cs="Times New Roman"/>
                <w:b/>
                <w:bCs/>
                <w:sz w:val="21"/>
                <w:szCs w:val="21"/>
              </w:rPr>
            </w:pPr>
            <w:r w:rsidRPr="00640D24">
              <w:rPr>
                <w:rFonts w:cs="Times New Roman"/>
                <w:b/>
                <w:bCs/>
                <w:sz w:val="21"/>
                <w:szCs w:val="21"/>
              </w:rPr>
              <w:t>Skatinti inovacijų pasiūlą</w:t>
            </w:r>
            <w:r w:rsidR="005B0F50" w:rsidRPr="00640D24">
              <w:rPr>
                <w:rStyle w:val="Puslapioinaosnuoroda"/>
                <w:rFonts w:cs="Times New Roman"/>
                <w:sz w:val="21"/>
                <w:szCs w:val="21"/>
              </w:rPr>
              <w:footnoteReference w:id="105"/>
            </w:r>
          </w:p>
          <w:p w14:paraId="3992E7A3" w14:textId="60E6731C" w:rsidR="003422C5" w:rsidRPr="00640D24" w:rsidRDefault="003422C5" w:rsidP="0057510E">
            <w:pPr>
              <w:spacing w:before="60" w:after="60" w:line="240" w:lineRule="auto"/>
              <w:rPr>
                <w:rFonts w:cs="Times New Roman"/>
                <w:b/>
                <w:bCs/>
                <w:sz w:val="21"/>
                <w:szCs w:val="21"/>
              </w:rPr>
            </w:pPr>
            <w:r w:rsidRPr="00640D24">
              <w:rPr>
                <w:rFonts w:cs="Times New Roman"/>
                <w:b/>
                <w:bCs/>
                <w:sz w:val="21"/>
                <w:szCs w:val="21"/>
              </w:rPr>
              <w:t xml:space="preserve">Sudaryti sąlygas tvariai pramonės </w:t>
            </w:r>
            <w:r w:rsidR="00AB08CF" w:rsidRPr="00640D24">
              <w:rPr>
                <w:rFonts w:cs="Times New Roman"/>
                <w:b/>
                <w:bCs/>
                <w:sz w:val="21"/>
                <w:szCs w:val="21"/>
              </w:rPr>
              <w:t xml:space="preserve">įmonių </w:t>
            </w:r>
            <w:r w:rsidRPr="00640D24">
              <w:rPr>
                <w:rFonts w:cs="Times New Roman"/>
                <w:b/>
                <w:bCs/>
                <w:sz w:val="21"/>
                <w:szCs w:val="21"/>
              </w:rPr>
              <w:t>transformacijai</w:t>
            </w:r>
            <w:r w:rsidR="005B0F50" w:rsidRPr="00640D24">
              <w:rPr>
                <w:rStyle w:val="Puslapioinaosnuoroda"/>
                <w:rFonts w:cs="Times New Roman"/>
                <w:sz w:val="21"/>
                <w:szCs w:val="21"/>
              </w:rPr>
              <w:footnoteReference w:id="106"/>
            </w:r>
          </w:p>
          <w:p w14:paraId="53CD2C5C" w14:textId="64A1F887" w:rsidR="003422C5" w:rsidRPr="00640D24" w:rsidRDefault="003422C5" w:rsidP="0057510E">
            <w:pPr>
              <w:spacing w:before="60" w:after="60" w:line="240" w:lineRule="auto"/>
              <w:rPr>
                <w:rFonts w:cs="Times New Roman"/>
                <w:b/>
                <w:bCs/>
                <w:sz w:val="21"/>
                <w:szCs w:val="21"/>
              </w:rPr>
            </w:pPr>
            <w:r w:rsidRPr="00640D24">
              <w:rPr>
                <w:rFonts w:cs="Times New Roman"/>
                <w:b/>
                <w:bCs/>
                <w:sz w:val="21"/>
                <w:szCs w:val="21"/>
              </w:rPr>
              <w:t>Skatinti pradedančiųjų SVV subjektų kūrimąsi ir plėtrą</w:t>
            </w:r>
            <w:r w:rsidR="005B0F50" w:rsidRPr="00640D24">
              <w:rPr>
                <w:rStyle w:val="Puslapioinaosnuoroda"/>
                <w:rFonts w:cs="Times New Roman"/>
                <w:sz w:val="21"/>
                <w:szCs w:val="21"/>
              </w:rPr>
              <w:footnoteReference w:id="107"/>
            </w:r>
          </w:p>
          <w:p w14:paraId="564FF654" w14:textId="498F2840" w:rsidR="00B73C11" w:rsidRPr="00640D24" w:rsidRDefault="00F07999" w:rsidP="00B73C11">
            <w:pPr>
              <w:spacing w:after="0" w:line="240" w:lineRule="auto"/>
              <w:rPr>
                <w:rFonts w:cs="Times New Roman"/>
                <w:b/>
                <w:bCs/>
                <w:sz w:val="21"/>
                <w:szCs w:val="21"/>
              </w:rPr>
            </w:pPr>
            <w:r w:rsidRPr="00640D24">
              <w:rPr>
                <w:rFonts w:cs="Times New Roman"/>
                <w:b/>
                <w:bCs/>
                <w:sz w:val="21"/>
                <w:szCs w:val="21"/>
              </w:rPr>
              <w:t xml:space="preserve">Skatinti aukštą pridėtinę vertę kuriančių </w:t>
            </w:r>
            <w:r w:rsidR="00AB08CF" w:rsidRPr="00640D24">
              <w:rPr>
                <w:rFonts w:cs="Times New Roman"/>
                <w:b/>
                <w:bCs/>
                <w:sz w:val="21"/>
                <w:szCs w:val="21"/>
              </w:rPr>
              <w:t>pramonės įmonių</w:t>
            </w:r>
            <w:r w:rsidRPr="00640D24">
              <w:rPr>
                <w:rFonts w:cs="Times New Roman"/>
                <w:b/>
                <w:bCs/>
                <w:sz w:val="21"/>
                <w:szCs w:val="21"/>
              </w:rPr>
              <w:t xml:space="preserve"> </w:t>
            </w:r>
            <w:r w:rsidR="007C2090" w:rsidRPr="00640D24">
              <w:rPr>
                <w:rFonts w:cs="Times New Roman"/>
                <w:b/>
                <w:bCs/>
                <w:sz w:val="21"/>
                <w:szCs w:val="21"/>
              </w:rPr>
              <w:t xml:space="preserve">gamybos </w:t>
            </w:r>
            <w:r w:rsidRPr="00640D24">
              <w:rPr>
                <w:rFonts w:cs="Times New Roman"/>
                <w:b/>
                <w:bCs/>
                <w:sz w:val="21"/>
                <w:szCs w:val="21"/>
              </w:rPr>
              <w:t xml:space="preserve">procesų </w:t>
            </w:r>
            <w:proofErr w:type="spellStart"/>
            <w:r w:rsidRPr="00640D24">
              <w:rPr>
                <w:rFonts w:cs="Times New Roman"/>
                <w:b/>
                <w:bCs/>
                <w:sz w:val="21"/>
                <w:szCs w:val="21"/>
              </w:rPr>
              <w:t>skaitmeninimą</w:t>
            </w:r>
            <w:proofErr w:type="spellEnd"/>
            <w:r w:rsidRPr="00640D24">
              <w:rPr>
                <w:rStyle w:val="Puslapioinaosnuoroda"/>
                <w:rFonts w:cs="Times New Roman"/>
                <w:sz w:val="21"/>
                <w:szCs w:val="21"/>
              </w:rPr>
              <w:footnoteReference w:id="108"/>
            </w:r>
            <w:r w:rsidR="00B73C11" w:rsidRPr="00640D24">
              <w:rPr>
                <w:rFonts w:cs="Times New Roman"/>
                <w:b/>
                <w:bCs/>
                <w:sz w:val="21"/>
                <w:szCs w:val="21"/>
              </w:rPr>
              <w:t xml:space="preserve"> Skatinti trumpų vertės kūrimo grandinių formavimąsi ir plėtrą tarp MVĮ </w:t>
            </w:r>
          </w:p>
          <w:p w14:paraId="34C849BB" w14:textId="54A9D300" w:rsidR="00F07999" w:rsidRPr="00640D24" w:rsidRDefault="00B73C11" w:rsidP="00B73C11">
            <w:pPr>
              <w:spacing w:before="60" w:after="60" w:line="240" w:lineRule="auto"/>
              <w:rPr>
                <w:rFonts w:cs="Times New Roman"/>
                <w:b/>
                <w:bCs/>
                <w:sz w:val="21"/>
                <w:szCs w:val="21"/>
              </w:rPr>
            </w:pPr>
            <w:r w:rsidRPr="00640D24">
              <w:rPr>
                <w:rFonts w:cs="Times New Roman"/>
                <w:b/>
                <w:bCs/>
                <w:sz w:val="21"/>
                <w:szCs w:val="21"/>
              </w:rPr>
              <w:t xml:space="preserve">Skatinti pramonės  įmonių gamybos procesų automatizavimą ir </w:t>
            </w:r>
            <w:proofErr w:type="spellStart"/>
            <w:r w:rsidRPr="00640D24">
              <w:rPr>
                <w:rFonts w:cs="Times New Roman"/>
                <w:b/>
                <w:bCs/>
                <w:sz w:val="21"/>
                <w:szCs w:val="21"/>
              </w:rPr>
              <w:t>skaitmeninimo</w:t>
            </w:r>
            <w:proofErr w:type="spellEnd"/>
            <w:r w:rsidRPr="00640D24">
              <w:rPr>
                <w:rFonts w:cs="Times New Roman"/>
                <w:b/>
                <w:bCs/>
                <w:sz w:val="21"/>
                <w:szCs w:val="21"/>
              </w:rPr>
              <w:t xml:space="preserve"> technologijų diegimą (pramonės </w:t>
            </w:r>
            <w:proofErr w:type="spellStart"/>
            <w:r w:rsidRPr="00640D24">
              <w:rPr>
                <w:rFonts w:cs="Times New Roman"/>
                <w:b/>
                <w:bCs/>
                <w:sz w:val="21"/>
                <w:szCs w:val="21"/>
              </w:rPr>
              <w:t>skaitmeninimas</w:t>
            </w:r>
            <w:proofErr w:type="spellEnd"/>
            <w:r w:rsidRPr="00640D24">
              <w:rPr>
                <w:rFonts w:cs="Times New Roman"/>
                <w:b/>
                <w:bCs/>
                <w:sz w:val="21"/>
                <w:szCs w:val="21"/>
              </w:rPr>
              <w:t>)</w:t>
            </w:r>
            <w:r w:rsidRPr="00640D24">
              <w:rPr>
                <w:rStyle w:val="Puslapioinaosnuoroda"/>
                <w:rFonts w:cs="Times New Roman"/>
                <w:sz w:val="21"/>
                <w:szCs w:val="21"/>
              </w:rPr>
              <w:footnoteReference w:id="109"/>
            </w:r>
          </w:p>
          <w:p w14:paraId="3558DEA5" w14:textId="505550CB" w:rsidR="00DC4572" w:rsidRPr="00640D24" w:rsidRDefault="00DC4572" w:rsidP="0057510E">
            <w:pPr>
              <w:spacing w:after="0" w:line="240" w:lineRule="auto"/>
              <w:rPr>
                <w:rFonts w:eastAsia="Times New Roman" w:cs="Times New Roman"/>
                <w:b/>
                <w:bCs/>
                <w:color w:val="000000"/>
                <w:sz w:val="21"/>
                <w:szCs w:val="21"/>
                <w:lang w:eastAsia="lt-LT"/>
              </w:rPr>
            </w:pPr>
          </w:p>
        </w:tc>
        <w:tc>
          <w:tcPr>
            <w:tcW w:w="821" w:type="pct"/>
            <w:shd w:val="clear" w:color="auto" w:fill="auto"/>
            <w:noWrap/>
            <w:vAlign w:val="center"/>
          </w:tcPr>
          <w:p w14:paraId="2D623AC2" w14:textId="5C577208" w:rsidR="00DC4572" w:rsidRPr="00640D24" w:rsidRDefault="00DC4572" w:rsidP="006202A7">
            <w:pPr>
              <w:spacing w:after="0" w:line="240" w:lineRule="auto"/>
              <w:rPr>
                <w:rFonts w:eastAsia="Times New Roman" w:cs="Times New Roman"/>
                <w:b/>
                <w:bCs/>
                <w:color w:val="000000"/>
                <w:sz w:val="21"/>
                <w:szCs w:val="21"/>
                <w:lang w:eastAsia="lt-LT"/>
              </w:rPr>
            </w:pPr>
            <w:r w:rsidRPr="00640D24">
              <w:rPr>
                <w:rFonts w:eastAsia="Times New Roman" w:cs="Times New Roman"/>
                <w:sz w:val="21"/>
                <w:szCs w:val="21"/>
                <w:lang w:eastAsia="lt-LT"/>
              </w:rPr>
              <w:t xml:space="preserve">Naujų įmonių, gavusių investicijas (įskaitant rizikos kapitalo investicijas, paskolas, garantijas ir </w:t>
            </w:r>
            <w:r w:rsidR="00820952" w:rsidRPr="00640D24">
              <w:rPr>
                <w:rFonts w:eastAsia="Times New Roman" w:cs="Times New Roman"/>
                <w:sz w:val="21"/>
                <w:szCs w:val="21"/>
                <w:lang w:eastAsia="lt-LT"/>
              </w:rPr>
              <w:t>dotacijas</w:t>
            </w:r>
            <w:r w:rsidRPr="00640D24">
              <w:rPr>
                <w:rFonts w:eastAsia="Times New Roman" w:cs="Times New Roman"/>
                <w:sz w:val="21"/>
                <w:szCs w:val="21"/>
                <w:lang w:eastAsia="lt-LT"/>
              </w:rPr>
              <w:t>), skaičius</w:t>
            </w:r>
            <w:r w:rsidR="0036691A" w:rsidRPr="00640D24">
              <w:rPr>
                <w:rFonts w:eastAsia="Times New Roman" w:cs="Times New Roman"/>
                <w:sz w:val="21"/>
                <w:szCs w:val="21"/>
                <w:lang w:eastAsia="lt-LT"/>
              </w:rPr>
              <w:t>.</w:t>
            </w:r>
          </w:p>
        </w:tc>
        <w:tc>
          <w:tcPr>
            <w:tcW w:w="821" w:type="pct"/>
            <w:shd w:val="clear" w:color="auto" w:fill="auto"/>
            <w:noWrap/>
            <w:vAlign w:val="center"/>
          </w:tcPr>
          <w:p w14:paraId="2C74DDA6" w14:textId="2EE17947" w:rsidR="00DC4572" w:rsidRPr="00640D24" w:rsidRDefault="00DC4572" w:rsidP="006202A7">
            <w:pPr>
              <w:spacing w:after="0" w:line="240" w:lineRule="auto"/>
              <w:rPr>
                <w:rFonts w:eastAsia="Times New Roman" w:cs="Times New Roman"/>
                <w:b/>
                <w:bCs/>
                <w:color w:val="000000"/>
                <w:sz w:val="21"/>
                <w:szCs w:val="21"/>
                <w:lang w:eastAsia="lt-LT"/>
              </w:rPr>
            </w:pPr>
            <w:r w:rsidRPr="00640D24">
              <w:rPr>
                <w:rFonts w:eastAsia="Times New Roman" w:cs="Times New Roman"/>
                <w:sz w:val="21"/>
                <w:szCs w:val="21"/>
                <w:lang w:eastAsia="lt-LT"/>
              </w:rPr>
              <w:t>Skaičiuojama naujų įmonių, įkurtų ne anksčiau kaip prieš 3 metus iki finansavimo sutarties pasirašymo tarp įmonės ir įgyvendinančios institucijos ar FT, skaičius.</w:t>
            </w:r>
          </w:p>
        </w:tc>
        <w:tc>
          <w:tcPr>
            <w:tcW w:w="442" w:type="pct"/>
            <w:shd w:val="clear" w:color="auto" w:fill="auto"/>
            <w:noWrap/>
            <w:vAlign w:val="center"/>
          </w:tcPr>
          <w:p w14:paraId="1A67F37C" w14:textId="7BD4DFCE" w:rsidR="00DC4572" w:rsidRPr="00640D24" w:rsidRDefault="00DC4572" w:rsidP="006202A7">
            <w:pPr>
              <w:spacing w:after="0" w:line="240" w:lineRule="auto"/>
              <w:rPr>
                <w:rFonts w:eastAsia="Times New Roman" w:cs="Times New Roman"/>
                <w:b/>
                <w:bCs/>
                <w:color w:val="000000"/>
                <w:sz w:val="21"/>
                <w:szCs w:val="21"/>
                <w:lang w:eastAsia="lt-LT"/>
              </w:rPr>
            </w:pPr>
            <w:r w:rsidRPr="00640D24">
              <w:rPr>
                <w:rFonts w:eastAsia="Times New Roman" w:cs="Times New Roman"/>
                <w:sz w:val="21"/>
                <w:szCs w:val="21"/>
                <w:lang w:eastAsia="lt-LT"/>
              </w:rPr>
              <w:t>Įmonės</w:t>
            </w:r>
          </w:p>
        </w:tc>
        <w:tc>
          <w:tcPr>
            <w:tcW w:w="1029" w:type="pct"/>
            <w:shd w:val="clear" w:color="auto" w:fill="auto"/>
            <w:noWrap/>
            <w:vAlign w:val="center"/>
          </w:tcPr>
          <w:p w14:paraId="20F4AF25" w14:textId="7BE634DE" w:rsidR="00DC4572" w:rsidRPr="00640D24" w:rsidRDefault="00DC4572" w:rsidP="006202A7">
            <w:pPr>
              <w:spacing w:after="0" w:line="240" w:lineRule="auto"/>
              <w:rPr>
                <w:rFonts w:eastAsia="Times New Roman" w:cs="Times New Roman"/>
                <w:b/>
                <w:bCs/>
                <w:color w:val="000000"/>
                <w:sz w:val="21"/>
                <w:szCs w:val="21"/>
                <w:lang w:eastAsia="lt-LT"/>
              </w:rPr>
            </w:pPr>
            <w:r w:rsidRPr="00640D24">
              <w:rPr>
                <w:rFonts w:eastAsia="Times New Roman" w:cs="Times New Roman"/>
                <w:sz w:val="21"/>
                <w:szCs w:val="21"/>
                <w:lang w:eastAsia="lt-LT"/>
              </w:rPr>
              <w:t xml:space="preserve">Apskaičiuojamas automatiškai, sumuojant naujas įmones, kurios gavo investicijas (įskaitant rizikos kapitalo investicijas, paskolas, garantijas ir </w:t>
            </w:r>
            <w:r w:rsidR="00820952" w:rsidRPr="00640D24">
              <w:rPr>
                <w:rFonts w:eastAsia="Times New Roman" w:cs="Times New Roman"/>
                <w:sz w:val="21"/>
                <w:szCs w:val="21"/>
                <w:lang w:eastAsia="lt-LT"/>
              </w:rPr>
              <w:t>dotacijas</w:t>
            </w:r>
            <w:r w:rsidRPr="00640D24">
              <w:rPr>
                <w:rFonts w:eastAsia="Times New Roman" w:cs="Times New Roman"/>
                <w:sz w:val="21"/>
                <w:szCs w:val="21"/>
                <w:lang w:eastAsia="lt-LT"/>
              </w:rPr>
              <w:t>)</w:t>
            </w:r>
            <w:r w:rsidR="0036691A" w:rsidRPr="00640D24">
              <w:rPr>
                <w:rFonts w:eastAsia="Times New Roman" w:cs="Times New Roman"/>
                <w:sz w:val="21"/>
                <w:szCs w:val="21"/>
                <w:lang w:eastAsia="lt-LT"/>
              </w:rPr>
              <w:t>.</w:t>
            </w:r>
          </w:p>
        </w:tc>
      </w:tr>
      <w:tr w:rsidR="00587B6B" w:rsidRPr="00640D24" w14:paraId="0E628248" w14:textId="77777777" w:rsidTr="00587B6B">
        <w:trPr>
          <w:tblHeader/>
        </w:trPr>
        <w:tc>
          <w:tcPr>
            <w:tcW w:w="823" w:type="pct"/>
            <w:vMerge/>
            <w:shd w:val="clear" w:color="auto" w:fill="auto"/>
            <w:noWrap/>
            <w:vAlign w:val="center"/>
          </w:tcPr>
          <w:p w14:paraId="4FA4F900" w14:textId="77777777" w:rsidR="00DC4572" w:rsidRPr="00640D24" w:rsidRDefault="00DC4572" w:rsidP="006202A7">
            <w:pPr>
              <w:spacing w:after="0" w:line="240" w:lineRule="auto"/>
              <w:rPr>
                <w:rFonts w:cs="Times New Roman"/>
                <w:b/>
                <w:color w:val="000000"/>
                <w:sz w:val="21"/>
                <w:szCs w:val="21"/>
              </w:rPr>
            </w:pPr>
          </w:p>
        </w:tc>
        <w:tc>
          <w:tcPr>
            <w:tcW w:w="1064" w:type="pct"/>
            <w:vMerge/>
            <w:shd w:val="clear" w:color="auto" w:fill="auto"/>
            <w:noWrap/>
            <w:vAlign w:val="center"/>
          </w:tcPr>
          <w:p w14:paraId="06F15B48" w14:textId="77777777" w:rsidR="00DC4572" w:rsidRPr="00640D24" w:rsidRDefault="00DC4572" w:rsidP="0057510E">
            <w:pPr>
              <w:spacing w:after="0" w:line="240" w:lineRule="auto"/>
              <w:rPr>
                <w:rFonts w:eastAsia="Times New Roman" w:cs="Times New Roman"/>
                <w:b/>
                <w:bCs/>
                <w:color w:val="000000"/>
                <w:sz w:val="21"/>
                <w:szCs w:val="21"/>
                <w:lang w:eastAsia="lt-LT"/>
              </w:rPr>
            </w:pPr>
          </w:p>
        </w:tc>
        <w:tc>
          <w:tcPr>
            <w:tcW w:w="821" w:type="pct"/>
            <w:shd w:val="clear" w:color="auto" w:fill="auto"/>
            <w:noWrap/>
            <w:vAlign w:val="center"/>
          </w:tcPr>
          <w:p w14:paraId="74478A4E" w14:textId="3DDB4DC7" w:rsidR="00DC4572" w:rsidRPr="00640D24" w:rsidRDefault="00820952" w:rsidP="006202A7">
            <w:pPr>
              <w:spacing w:after="0" w:line="240" w:lineRule="auto"/>
              <w:rPr>
                <w:rFonts w:eastAsia="Times New Roman" w:cs="Times New Roman"/>
                <w:b/>
                <w:bCs/>
                <w:color w:val="000000"/>
                <w:sz w:val="21"/>
                <w:szCs w:val="21"/>
                <w:lang w:eastAsia="lt-LT"/>
              </w:rPr>
            </w:pPr>
            <w:r w:rsidRPr="00640D24">
              <w:rPr>
                <w:rFonts w:eastAsia="Times New Roman" w:cs="Times New Roman"/>
                <w:sz w:val="21"/>
                <w:szCs w:val="21"/>
                <w:lang w:eastAsia="lt-LT"/>
              </w:rPr>
              <w:t>Dotacijas</w:t>
            </w:r>
            <w:r w:rsidR="00DC4572" w:rsidRPr="00640D24">
              <w:rPr>
                <w:rFonts w:eastAsia="Times New Roman" w:cs="Times New Roman"/>
                <w:sz w:val="21"/>
                <w:szCs w:val="21"/>
                <w:lang w:eastAsia="lt-LT"/>
              </w:rPr>
              <w:t xml:space="preserve"> gaunančių įmonių skaičius</w:t>
            </w:r>
            <w:r w:rsidR="0036691A" w:rsidRPr="00640D24">
              <w:rPr>
                <w:rFonts w:eastAsia="Times New Roman" w:cs="Times New Roman"/>
                <w:sz w:val="21"/>
                <w:szCs w:val="21"/>
                <w:lang w:eastAsia="lt-LT"/>
              </w:rPr>
              <w:t>.</w:t>
            </w:r>
          </w:p>
        </w:tc>
        <w:tc>
          <w:tcPr>
            <w:tcW w:w="821" w:type="pct"/>
            <w:shd w:val="clear" w:color="auto" w:fill="auto"/>
            <w:noWrap/>
            <w:vAlign w:val="center"/>
          </w:tcPr>
          <w:p w14:paraId="7791D888" w14:textId="5BD1D9F7" w:rsidR="00DC4572" w:rsidRPr="00640D24" w:rsidRDefault="00DC4572" w:rsidP="006202A7">
            <w:pPr>
              <w:spacing w:after="0" w:line="240" w:lineRule="auto"/>
              <w:rPr>
                <w:rFonts w:eastAsia="Times New Roman" w:cs="Times New Roman"/>
                <w:b/>
                <w:bCs/>
                <w:color w:val="000000"/>
                <w:sz w:val="21"/>
                <w:szCs w:val="21"/>
                <w:lang w:eastAsia="lt-LT"/>
              </w:rPr>
            </w:pPr>
            <w:r w:rsidRPr="00640D24">
              <w:rPr>
                <w:rFonts w:eastAsia="Times New Roman" w:cs="Times New Roman"/>
                <w:sz w:val="21"/>
                <w:szCs w:val="21"/>
                <w:lang w:eastAsia="lt-LT"/>
              </w:rPr>
              <w:t xml:space="preserve">Skaičiuojamas sumuojant įmones ir (ar) verslininkus, kurie gavo </w:t>
            </w:r>
            <w:r w:rsidR="00CA4F57" w:rsidRPr="00640D24">
              <w:rPr>
                <w:rFonts w:eastAsia="Times New Roman" w:cs="Times New Roman"/>
                <w:sz w:val="21"/>
                <w:szCs w:val="21"/>
                <w:lang w:eastAsia="lt-LT"/>
              </w:rPr>
              <w:t>dotacijas</w:t>
            </w:r>
            <w:r w:rsidRPr="00640D24">
              <w:rPr>
                <w:rFonts w:eastAsia="Times New Roman" w:cs="Times New Roman"/>
                <w:sz w:val="21"/>
                <w:szCs w:val="21"/>
                <w:lang w:eastAsia="lt-LT"/>
              </w:rPr>
              <w:t xml:space="preserve">. </w:t>
            </w:r>
          </w:p>
        </w:tc>
        <w:tc>
          <w:tcPr>
            <w:tcW w:w="442" w:type="pct"/>
            <w:shd w:val="clear" w:color="auto" w:fill="auto"/>
            <w:noWrap/>
            <w:vAlign w:val="center"/>
          </w:tcPr>
          <w:p w14:paraId="312CBF89" w14:textId="28BF5DCD" w:rsidR="00DC4572" w:rsidRPr="00640D24" w:rsidRDefault="00DC4572" w:rsidP="006202A7">
            <w:pPr>
              <w:spacing w:after="0" w:line="240" w:lineRule="auto"/>
              <w:rPr>
                <w:rFonts w:eastAsia="Times New Roman" w:cs="Times New Roman"/>
                <w:b/>
                <w:bCs/>
                <w:color w:val="000000"/>
                <w:sz w:val="21"/>
                <w:szCs w:val="21"/>
                <w:lang w:eastAsia="lt-LT"/>
              </w:rPr>
            </w:pPr>
            <w:r w:rsidRPr="00640D24">
              <w:rPr>
                <w:rFonts w:eastAsia="Times New Roman" w:cs="Times New Roman"/>
                <w:sz w:val="21"/>
                <w:szCs w:val="21"/>
                <w:lang w:eastAsia="lt-LT"/>
              </w:rPr>
              <w:t>Įmonės</w:t>
            </w:r>
          </w:p>
        </w:tc>
        <w:tc>
          <w:tcPr>
            <w:tcW w:w="1029" w:type="pct"/>
            <w:shd w:val="clear" w:color="auto" w:fill="auto"/>
            <w:noWrap/>
            <w:vAlign w:val="center"/>
          </w:tcPr>
          <w:p w14:paraId="1CBCB46D" w14:textId="25FEB2C4" w:rsidR="00DC4572" w:rsidRPr="00640D24" w:rsidRDefault="00DC4572" w:rsidP="006202A7">
            <w:pPr>
              <w:spacing w:after="0" w:line="240" w:lineRule="auto"/>
              <w:rPr>
                <w:rFonts w:eastAsia="Times New Roman" w:cs="Times New Roman"/>
                <w:b/>
                <w:bCs/>
                <w:color w:val="000000"/>
                <w:sz w:val="21"/>
                <w:szCs w:val="21"/>
                <w:lang w:eastAsia="lt-LT"/>
              </w:rPr>
            </w:pPr>
            <w:r w:rsidRPr="00640D24">
              <w:rPr>
                <w:rFonts w:eastAsia="Times New Roman" w:cs="Times New Roman"/>
                <w:sz w:val="21"/>
                <w:szCs w:val="21"/>
                <w:lang w:eastAsia="lt-LT"/>
              </w:rPr>
              <w:t xml:space="preserve">Apskaičiuojamas automatiškai, sumuojant įmones, kurios finansinę paramą gavo </w:t>
            </w:r>
            <w:r w:rsidR="00CA4F57" w:rsidRPr="00640D24">
              <w:rPr>
                <w:rFonts w:eastAsia="Times New Roman" w:cs="Times New Roman"/>
                <w:sz w:val="21"/>
                <w:szCs w:val="21"/>
                <w:lang w:eastAsia="lt-LT"/>
              </w:rPr>
              <w:t>dotacijos</w:t>
            </w:r>
            <w:r w:rsidRPr="00640D24">
              <w:rPr>
                <w:rFonts w:eastAsia="Times New Roman" w:cs="Times New Roman"/>
                <w:sz w:val="21"/>
                <w:szCs w:val="21"/>
                <w:lang w:eastAsia="lt-LT"/>
              </w:rPr>
              <w:t xml:space="preserve"> forma</w:t>
            </w:r>
            <w:r w:rsidR="0036691A" w:rsidRPr="00640D24">
              <w:rPr>
                <w:rFonts w:eastAsia="Times New Roman" w:cs="Times New Roman"/>
                <w:sz w:val="21"/>
                <w:szCs w:val="21"/>
                <w:lang w:eastAsia="lt-LT"/>
              </w:rPr>
              <w:t>.</w:t>
            </w:r>
          </w:p>
        </w:tc>
      </w:tr>
      <w:tr w:rsidR="00587B6B" w:rsidRPr="00640D24" w14:paraId="463D7B06" w14:textId="77777777" w:rsidTr="00587B6B">
        <w:trPr>
          <w:tblHeader/>
        </w:trPr>
        <w:tc>
          <w:tcPr>
            <w:tcW w:w="823" w:type="pct"/>
            <w:vMerge/>
            <w:shd w:val="clear" w:color="auto" w:fill="auto"/>
            <w:noWrap/>
            <w:vAlign w:val="center"/>
          </w:tcPr>
          <w:p w14:paraId="63C6CD30" w14:textId="77777777" w:rsidR="00DC4572" w:rsidRPr="00640D24" w:rsidRDefault="00DC4572" w:rsidP="006202A7">
            <w:pPr>
              <w:spacing w:after="0" w:line="240" w:lineRule="auto"/>
              <w:rPr>
                <w:rFonts w:cs="Times New Roman"/>
                <w:b/>
                <w:color w:val="000000"/>
                <w:sz w:val="21"/>
                <w:szCs w:val="21"/>
              </w:rPr>
            </w:pPr>
          </w:p>
        </w:tc>
        <w:tc>
          <w:tcPr>
            <w:tcW w:w="1064" w:type="pct"/>
            <w:vMerge/>
            <w:shd w:val="clear" w:color="auto" w:fill="auto"/>
            <w:noWrap/>
            <w:vAlign w:val="center"/>
          </w:tcPr>
          <w:p w14:paraId="5CBA8F11" w14:textId="77777777" w:rsidR="00DC4572" w:rsidRPr="00640D24" w:rsidRDefault="00DC4572" w:rsidP="0057510E">
            <w:pPr>
              <w:spacing w:after="0" w:line="240" w:lineRule="auto"/>
              <w:rPr>
                <w:rFonts w:eastAsia="Times New Roman" w:cs="Times New Roman"/>
                <w:b/>
                <w:bCs/>
                <w:color w:val="000000"/>
                <w:sz w:val="21"/>
                <w:szCs w:val="21"/>
                <w:lang w:eastAsia="lt-LT"/>
              </w:rPr>
            </w:pPr>
          </w:p>
        </w:tc>
        <w:tc>
          <w:tcPr>
            <w:tcW w:w="821" w:type="pct"/>
            <w:shd w:val="clear" w:color="auto" w:fill="auto"/>
            <w:noWrap/>
            <w:vAlign w:val="center"/>
          </w:tcPr>
          <w:p w14:paraId="7C0F56D7" w14:textId="6CC97413" w:rsidR="00DC4572" w:rsidRPr="00640D24" w:rsidRDefault="00DC4572" w:rsidP="006202A7">
            <w:pPr>
              <w:spacing w:after="0" w:line="240" w:lineRule="auto"/>
              <w:rPr>
                <w:rFonts w:eastAsia="Times New Roman" w:cs="Times New Roman"/>
                <w:b/>
                <w:bCs/>
                <w:color w:val="000000"/>
                <w:sz w:val="21"/>
                <w:szCs w:val="21"/>
                <w:lang w:eastAsia="lt-LT"/>
              </w:rPr>
            </w:pPr>
            <w:r w:rsidRPr="00640D24">
              <w:rPr>
                <w:rFonts w:eastAsia="Times New Roman" w:cs="Times New Roman"/>
                <w:sz w:val="21"/>
                <w:szCs w:val="21"/>
                <w:lang w:eastAsia="lt-LT"/>
              </w:rPr>
              <w:t>Kitos formos nei</w:t>
            </w:r>
            <w:r w:rsidR="00CA4F57" w:rsidRPr="00640D24">
              <w:rPr>
                <w:rFonts w:eastAsia="Times New Roman" w:cs="Times New Roman"/>
                <w:sz w:val="21"/>
                <w:szCs w:val="21"/>
                <w:lang w:eastAsia="lt-LT"/>
              </w:rPr>
              <w:t xml:space="preserve"> dotacij</w:t>
            </w:r>
            <w:r w:rsidRPr="00640D24">
              <w:rPr>
                <w:rFonts w:eastAsia="Times New Roman" w:cs="Times New Roman"/>
                <w:sz w:val="21"/>
                <w:szCs w:val="21"/>
                <w:lang w:eastAsia="lt-LT"/>
              </w:rPr>
              <w:t>a finansinę paramą gaunančių įmonių skaičius</w:t>
            </w:r>
            <w:r w:rsidR="0036691A" w:rsidRPr="00640D24">
              <w:rPr>
                <w:rFonts w:eastAsia="Times New Roman" w:cs="Times New Roman"/>
                <w:sz w:val="21"/>
                <w:szCs w:val="21"/>
                <w:lang w:eastAsia="lt-LT"/>
              </w:rPr>
              <w:t>.</w:t>
            </w:r>
          </w:p>
        </w:tc>
        <w:tc>
          <w:tcPr>
            <w:tcW w:w="821" w:type="pct"/>
            <w:shd w:val="clear" w:color="auto" w:fill="auto"/>
            <w:noWrap/>
            <w:vAlign w:val="center"/>
          </w:tcPr>
          <w:p w14:paraId="738363DF" w14:textId="2F57FECC" w:rsidR="00DC4572" w:rsidRPr="00640D24" w:rsidRDefault="00DC4572" w:rsidP="006202A7">
            <w:pPr>
              <w:spacing w:after="0" w:line="240" w:lineRule="auto"/>
              <w:rPr>
                <w:rFonts w:eastAsia="Times New Roman" w:cs="Times New Roman"/>
                <w:b/>
                <w:bCs/>
                <w:color w:val="000000"/>
                <w:sz w:val="21"/>
                <w:szCs w:val="21"/>
                <w:lang w:eastAsia="lt-LT"/>
              </w:rPr>
            </w:pPr>
            <w:r w:rsidRPr="00640D24">
              <w:rPr>
                <w:rFonts w:eastAsia="Times New Roman" w:cs="Times New Roman"/>
                <w:sz w:val="21"/>
                <w:szCs w:val="21"/>
                <w:lang w:eastAsia="lt-LT"/>
              </w:rPr>
              <w:t xml:space="preserve">Kitos formos nei </w:t>
            </w:r>
            <w:r w:rsidR="00CA4F57" w:rsidRPr="00640D24">
              <w:rPr>
                <w:rFonts w:eastAsia="Times New Roman" w:cs="Times New Roman"/>
                <w:sz w:val="21"/>
                <w:szCs w:val="21"/>
                <w:lang w:eastAsia="lt-LT"/>
              </w:rPr>
              <w:t>dotacija</w:t>
            </w:r>
            <w:r w:rsidRPr="00640D24">
              <w:rPr>
                <w:rFonts w:eastAsia="Times New Roman" w:cs="Times New Roman"/>
                <w:sz w:val="21"/>
                <w:szCs w:val="21"/>
                <w:lang w:eastAsia="lt-LT"/>
              </w:rPr>
              <w:t xml:space="preserve"> finansinė parama – įmonėms teikiamas finansavimas įgyvendinant FP.</w:t>
            </w:r>
          </w:p>
        </w:tc>
        <w:tc>
          <w:tcPr>
            <w:tcW w:w="442" w:type="pct"/>
            <w:shd w:val="clear" w:color="auto" w:fill="auto"/>
            <w:noWrap/>
            <w:vAlign w:val="center"/>
          </w:tcPr>
          <w:p w14:paraId="129B6643" w14:textId="0C2BC413" w:rsidR="00DC4572" w:rsidRPr="00640D24" w:rsidRDefault="00DC4572" w:rsidP="006202A7">
            <w:pPr>
              <w:spacing w:after="0" w:line="240" w:lineRule="auto"/>
              <w:rPr>
                <w:rFonts w:eastAsia="Times New Roman" w:cs="Times New Roman"/>
                <w:b/>
                <w:bCs/>
                <w:color w:val="000000"/>
                <w:sz w:val="21"/>
                <w:szCs w:val="21"/>
                <w:lang w:eastAsia="lt-LT"/>
              </w:rPr>
            </w:pPr>
            <w:r w:rsidRPr="00640D24">
              <w:rPr>
                <w:rFonts w:eastAsia="Times New Roman" w:cs="Times New Roman"/>
                <w:sz w:val="21"/>
                <w:szCs w:val="21"/>
                <w:lang w:eastAsia="lt-LT"/>
              </w:rPr>
              <w:t>Įmonės</w:t>
            </w:r>
          </w:p>
        </w:tc>
        <w:tc>
          <w:tcPr>
            <w:tcW w:w="1029" w:type="pct"/>
            <w:shd w:val="clear" w:color="auto" w:fill="auto"/>
            <w:noWrap/>
            <w:vAlign w:val="center"/>
          </w:tcPr>
          <w:p w14:paraId="6EAEE2BE" w14:textId="1F073B61" w:rsidR="00DC4572" w:rsidRPr="00640D24" w:rsidRDefault="00DC4572" w:rsidP="006202A7">
            <w:pPr>
              <w:spacing w:after="0" w:line="240" w:lineRule="auto"/>
              <w:rPr>
                <w:rFonts w:eastAsia="Times New Roman" w:cs="Times New Roman"/>
                <w:b/>
                <w:bCs/>
                <w:color w:val="000000"/>
                <w:sz w:val="21"/>
                <w:szCs w:val="21"/>
                <w:lang w:eastAsia="lt-LT"/>
              </w:rPr>
            </w:pPr>
            <w:r w:rsidRPr="00640D24">
              <w:rPr>
                <w:rFonts w:eastAsia="Times New Roman" w:cs="Times New Roman"/>
                <w:sz w:val="21"/>
                <w:szCs w:val="21"/>
                <w:lang w:eastAsia="lt-LT"/>
              </w:rPr>
              <w:t xml:space="preserve">Apskaičiuojamas automatiškai, sumuojant įmones, kurios gavo kitos formos nei </w:t>
            </w:r>
            <w:r w:rsidR="00CA4F57" w:rsidRPr="00640D24">
              <w:rPr>
                <w:rFonts w:eastAsia="Times New Roman" w:cs="Times New Roman"/>
                <w:sz w:val="21"/>
                <w:szCs w:val="21"/>
                <w:lang w:eastAsia="lt-LT"/>
              </w:rPr>
              <w:t>dotacija</w:t>
            </w:r>
            <w:r w:rsidRPr="00640D24">
              <w:rPr>
                <w:rFonts w:eastAsia="Times New Roman" w:cs="Times New Roman"/>
                <w:sz w:val="21"/>
                <w:szCs w:val="21"/>
                <w:lang w:eastAsia="lt-LT"/>
              </w:rPr>
              <w:t xml:space="preserve"> finansinę paramą</w:t>
            </w:r>
            <w:r w:rsidRPr="00640D24">
              <w:rPr>
                <w:rFonts w:eastAsia="Times New Roman" w:cs="Times New Roman"/>
                <w:i/>
                <w:iCs/>
                <w:sz w:val="21"/>
                <w:szCs w:val="21"/>
                <w:lang w:eastAsia="lt-LT"/>
              </w:rPr>
              <w:t>.</w:t>
            </w:r>
            <w:r w:rsidRPr="00640D24">
              <w:rPr>
                <w:rFonts w:eastAsia="Times New Roman" w:cs="Times New Roman"/>
                <w:sz w:val="21"/>
                <w:szCs w:val="21"/>
                <w:lang w:eastAsia="lt-LT"/>
              </w:rPr>
              <w:t xml:space="preserve"> </w:t>
            </w:r>
          </w:p>
        </w:tc>
      </w:tr>
      <w:tr w:rsidR="00587B6B" w:rsidRPr="00640D24" w14:paraId="3FDF2A87" w14:textId="77777777" w:rsidTr="00587B6B">
        <w:trPr>
          <w:tblHeader/>
        </w:trPr>
        <w:tc>
          <w:tcPr>
            <w:tcW w:w="823" w:type="pct"/>
            <w:vMerge/>
            <w:shd w:val="clear" w:color="auto" w:fill="auto"/>
            <w:noWrap/>
            <w:vAlign w:val="center"/>
          </w:tcPr>
          <w:p w14:paraId="788E053F" w14:textId="77777777" w:rsidR="00DC4572" w:rsidRPr="00640D24" w:rsidRDefault="00DC4572" w:rsidP="006202A7">
            <w:pPr>
              <w:spacing w:after="0" w:line="240" w:lineRule="auto"/>
              <w:rPr>
                <w:rFonts w:cs="Times New Roman"/>
                <w:b/>
                <w:color w:val="000000"/>
                <w:sz w:val="21"/>
                <w:szCs w:val="21"/>
              </w:rPr>
            </w:pPr>
          </w:p>
        </w:tc>
        <w:tc>
          <w:tcPr>
            <w:tcW w:w="1064" w:type="pct"/>
            <w:vMerge/>
            <w:shd w:val="clear" w:color="auto" w:fill="auto"/>
            <w:noWrap/>
            <w:vAlign w:val="center"/>
          </w:tcPr>
          <w:p w14:paraId="7B6C2D1B" w14:textId="77777777" w:rsidR="00DC4572" w:rsidRPr="00640D24" w:rsidRDefault="00DC4572" w:rsidP="0057510E">
            <w:pPr>
              <w:spacing w:after="0" w:line="240" w:lineRule="auto"/>
              <w:rPr>
                <w:rFonts w:eastAsia="Times New Roman" w:cs="Times New Roman"/>
                <w:b/>
                <w:bCs/>
                <w:color w:val="000000"/>
                <w:sz w:val="21"/>
                <w:szCs w:val="21"/>
                <w:lang w:eastAsia="lt-LT"/>
              </w:rPr>
            </w:pPr>
          </w:p>
        </w:tc>
        <w:tc>
          <w:tcPr>
            <w:tcW w:w="821" w:type="pct"/>
            <w:shd w:val="clear" w:color="auto" w:fill="auto"/>
            <w:noWrap/>
            <w:vAlign w:val="center"/>
          </w:tcPr>
          <w:p w14:paraId="000B6251" w14:textId="48261203" w:rsidR="00DC4572" w:rsidRPr="00640D24" w:rsidRDefault="00DC4572" w:rsidP="006202A7">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Privačios investicijos, atitinkančios viešąją paramą</w:t>
            </w:r>
            <w:r w:rsidR="00B60CC2" w:rsidRPr="00640D24">
              <w:rPr>
                <w:rFonts w:eastAsia="Times New Roman" w:cs="Times New Roman"/>
                <w:sz w:val="21"/>
                <w:szCs w:val="21"/>
                <w:lang w:eastAsia="lt-LT"/>
              </w:rPr>
              <w:t>.</w:t>
            </w:r>
            <w:r w:rsidRPr="00640D24">
              <w:rPr>
                <w:rFonts w:eastAsia="Times New Roman" w:cs="Times New Roman"/>
                <w:sz w:val="21"/>
                <w:szCs w:val="21"/>
                <w:lang w:eastAsia="lt-LT"/>
              </w:rPr>
              <w:t xml:space="preserve"> (jeigu taikoma)</w:t>
            </w:r>
            <w:r w:rsidR="0036691A" w:rsidRPr="00640D24">
              <w:rPr>
                <w:rFonts w:eastAsia="Times New Roman" w:cs="Times New Roman"/>
                <w:sz w:val="21"/>
                <w:szCs w:val="21"/>
                <w:lang w:eastAsia="lt-LT"/>
              </w:rPr>
              <w:t>.</w:t>
            </w:r>
          </w:p>
        </w:tc>
        <w:tc>
          <w:tcPr>
            <w:tcW w:w="821" w:type="pct"/>
            <w:shd w:val="clear" w:color="auto" w:fill="auto"/>
            <w:noWrap/>
            <w:vAlign w:val="center"/>
          </w:tcPr>
          <w:p w14:paraId="4FC77A7E" w14:textId="4665445C" w:rsidR="00DC4572" w:rsidRPr="00640D24" w:rsidRDefault="0036691A" w:rsidP="006202A7">
            <w:pPr>
              <w:spacing w:after="0" w:line="240" w:lineRule="auto"/>
              <w:rPr>
                <w:rFonts w:eastAsia="Times New Roman" w:cs="Times New Roman"/>
                <w:sz w:val="21"/>
                <w:szCs w:val="21"/>
                <w:lang w:eastAsia="lt-LT"/>
              </w:rPr>
            </w:pPr>
            <w:r w:rsidRPr="00640D24">
              <w:rPr>
                <w:color w:val="000000"/>
                <w:sz w:val="21"/>
                <w:szCs w:val="21"/>
              </w:rPr>
              <w:t>Privačių investicijų suma į numatytą projektą.</w:t>
            </w:r>
          </w:p>
        </w:tc>
        <w:tc>
          <w:tcPr>
            <w:tcW w:w="442" w:type="pct"/>
            <w:shd w:val="clear" w:color="auto" w:fill="auto"/>
            <w:noWrap/>
            <w:vAlign w:val="center"/>
          </w:tcPr>
          <w:p w14:paraId="32B30F0A" w14:textId="3345FAC7" w:rsidR="00DC4572" w:rsidRPr="00640D24" w:rsidRDefault="00DC4572" w:rsidP="006202A7">
            <w:pPr>
              <w:spacing w:after="0" w:line="240" w:lineRule="auto"/>
              <w:rPr>
                <w:rFonts w:eastAsia="Times New Roman" w:cs="Times New Roman"/>
                <w:sz w:val="21"/>
                <w:szCs w:val="21"/>
                <w:lang w:eastAsia="lt-LT"/>
              </w:rPr>
            </w:pPr>
            <w:proofErr w:type="spellStart"/>
            <w:r w:rsidRPr="00640D24">
              <w:rPr>
                <w:rFonts w:eastAsia="Times New Roman" w:cs="Times New Roman"/>
                <w:sz w:val="21"/>
                <w:szCs w:val="21"/>
                <w:lang w:eastAsia="lt-LT"/>
              </w:rPr>
              <w:t>Eur</w:t>
            </w:r>
            <w:proofErr w:type="spellEnd"/>
          </w:p>
        </w:tc>
        <w:tc>
          <w:tcPr>
            <w:tcW w:w="1029" w:type="pct"/>
            <w:shd w:val="clear" w:color="auto" w:fill="auto"/>
            <w:noWrap/>
            <w:vAlign w:val="center"/>
          </w:tcPr>
          <w:p w14:paraId="1A54BCE4" w14:textId="3A897CF3" w:rsidR="00DC4572" w:rsidRPr="00640D24" w:rsidRDefault="00DC4572" w:rsidP="006202A7">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Apskaičiuojamas automatiškai, susumuojant projekto įgyvendinimo metu pritrauktų privačių investicijų sumas.</w:t>
            </w:r>
          </w:p>
        </w:tc>
      </w:tr>
    </w:tbl>
    <w:p w14:paraId="4CEA7D00" w14:textId="18074D08" w:rsidR="001900B4" w:rsidRPr="00640D24" w:rsidRDefault="00BF629A" w:rsidP="00FA3F59">
      <w:pPr>
        <w:tabs>
          <w:tab w:val="left" w:pos="7311"/>
        </w:tabs>
        <w:spacing w:before="60" w:after="60" w:line="240" w:lineRule="auto"/>
        <w:rPr>
          <w:rFonts w:cs="Times New Roman"/>
          <w:sz w:val="16"/>
          <w:szCs w:val="20"/>
        </w:rPr>
        <w:sectPr w:rsidR="001900B4" w:rsidRPr="00640D24" w:rsidSect="000C6FDC">
          <w:pgSz w:w="16838" w:h="11906" w:orient="landscape"/>
          <w:pgMar w:top="993" w:right="1701" w:bottom="567" w:left="1134" w:header="567" w:footer="567" w:gutter="0"/>
          <w:cols w:space="1296"/>
          <w:docGrid w:linePitch="360"/>
        </w:sectPr>
      </w:pPr>
      <w:r w:rsidRPr="00640D24">
        <w:rPr>
          <w:rFonts w:cs="Times New Roman"/>
          <w:sz w:val="16"/>
          <w:szCs w:val="20"/>
        </w:rPr>
        <w:t>Šaltinis: su</w:t>
      </w:r>
      <w:r w:rsidR="00215BDC" w:rsidRPr="00640D24">
        <w:rPr>
          <w:rFonts w:cs="Times New Roman"/>
          <w:sz w:val="16"/>
          <w:szCs w:val="20"/>
        </w:rPr>
        <w:t>daryta Vertintojų</w:t>
      </w:r>
    </w:p>
    <w:p w14:paraId="6D1BE587" w14:textId="77777777" w:rsidR="00946920" w:rsidRPr="00640D24" w:rsidRDefault="00946920" w:rsidP="00824437">
      <w:pPr>
        <w:pStyle w:val="Antrat1"/>
        <w:numPr>
          <w:ilvl w:val="0"/>
          <w:numId w:val="1"/>
        </w:numPr>
        <w:spacing w:before="120" w:after="60" w:line="240" w:lineRule="auto"/>
        <w:ind w:left="357" w:hanging="357"/>
        <w:rPr>
          <w:rFonts w:ascii="Times New Roman" w:hAnsi="Times New Roman" w:cs="Times New Roman"/>
          <w:b/>
          <w:bCs/>
          <w:color w:val="auto"/>
        </w:rPr>
      </w:pPr>
      <w:bookmarkStart w:id="115" w:name="_Toc57225224"/>
      <w:bookmarkStart w:id="116" w:name="_Toc146812406"/>
      <w:r w:rsidRPr="00640D24">
        <w:rPr>
          <w:rFonts w:ascii="Times New Roman" w:hAnsi="Times New Roman" w:cs="Times New Roman"/>
          <w:b/>
          <w:bCs/>
          <w:color w:val="auto"/>
        </w:rPr>
        <w:lastRenderedPageBreak/>
        <w:t>Išvados ir rekomendacijos</w:t>
      </w:r>
      <w:bookmarkEnd w:id="115"/>
      <w:bookmarkEnd w:id="116"/>
    </w:p>
    <w:p w14:paraId="624168A6" w14:textId="7BBCCA7D" w:rsidR="00946920" w:rsidRPr="00640D24" w:rsidRDefault="00946920" w:rsidP="00D12B54">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 xml:space="preserve">Šio verslo srities planuojamų </w:t>
      </w:r>
      <w:r w:rsidR="00864B99" w:rsidRPr="00640D24">
        <w:rPr>
          <w:rFonts w:cs="Times New Roman"/>
          <w:sz w:val="22"/>
          <w:szCs w:val="22"/>
        </w:rPr>
        <w:t>FP</w:t>
      </w:r>
      <w:r w:rsidRPr="00640D24">
        <w:rPr>
          <w:rFonts w:cs="Times New Roman"/>
          <w:sz w:val="22"/>
          <w:szCs w:val="22"/>
        </w:rPr>
        <w:t xml:space="preserve"> išankstinio vertinimo tikslas – </w:t>
      </w:r>
      <w:r w:rsidR="00EA33F0" w:rsidRPr="00640D24">
        <w:rPr>
          <w:rFonts w:cs="Times New Roman"/>
          <w:sz w:val="22"/>
          <w:szCs w:val="22"/>
        </w:rPr>
        <w:t xml:space="preserve">išnagrinėti </w:t>
      </w:r>
      <w:r w:rsidRPr="00640D24">
        <w:rPr>
          <w:rFonts w:cs="Times New Roman"/>
          <w:sz w:val="22"/>
          <w:szCs w:val="22"/>
        </w:rPr>
        <w:t>naujai planuojamų įgyvendinti FP iš ES, valstybės biudžeto lėšų ar kitų finansinių šaltinių poreikį ir atlikti išankstinius vertinimus (</w:t>
      </w:r>
      <w:proofErr w:type="spellStart"/>
      <w:r w:rsidR="00C664AC" w:rsidRPr="00640D24">
        <w:rPr>
          <w:rFonts w:cs="Times New Roman"/>
          <w:i/>
          <w:iCs/>
          <w:sz w:val="22"/>
          <w:szCs w:val="22"/>
        </w:rPr>
        <w:t>ex</w:t>
      </w:r>
      <w:proofErr w:type="spellEnd"/>
      <w:r w:rsidR="00893EAA" w:rsidRPr="00640D24">
        <w:rPr>
          <w:rFonts w:cs="Times New Roman"/>
          <w:i/>
          <w:iCs/>
          <w:sz w:val="22"/>
          <w:szCs w:val="22"/>
        </w:rPr>
        <w:t xml:space="preserve"> </w:t>
      </w:r>
      <w:proofErr w:type="spellStart"/>
      <w:r w:rsidR="00C664AC" w:rsidRPr="00640D24">
        <w:rPr>
          <w:rFonts w:cs="Times New Roman"/>
          <w:i/>
          <w:iCs/>
          <w:sz w:val="22"/>
          <w:szCs w:val="22"/>
        </w:rPr>
        <w:t>ante</w:t>
      </w:r>
      <w:proofErr w:type="spellEnd"/>
      <w:r w:rsidRPr="00640D24">
        <w:rPr>
          <w:rFonts w:cs="Times New Roman"/>
          <w:sz w:val="22"/>
          <w:szCs w:val="22"/>
        </w:rPr>
        <w:t>) pagal Reglament</w:t>
      </w:r>
      <w:r w:rsidR="00D84D90" w:rsidRPr="00640D24">
        <w:rPr>
          <w:rFonts w:cs="Times New Roman"/>
          <w:sz w:val="22"/>
          <w:szCs w:val="22"/>
        </w:rPr>
        <w:t>uose</w:t>
      </w:r>
      <w:r w:rsidRPr="00640D24">
        <w:rPr>
          <w:rFonts w:cs="Times New Roman"/>
          <w:sz w:val="22"/>
          <w:szCs w:val="22"/>
        </w:rPr>
        <w:t xml:space="preserve"> numatytus metodinius reikalavimus </w:t>
      </w:r>
      <w:r w:rsidR="00B26122" w:rsidRPr="00640D24">
        <w:rPr>
          <w:rFonts w:cs="Times New Roman"/>
          <w:sz w:val="22"/>
          <w:szCs w:val="22"/>
        </w:rPr>
        <w:t xml:space="preserve">šioms </w:t>
      </w:r>
      <w:r w:rsidRPr="00640D24">
        <w:rPr>
          <w:rFonts w:cs="Times New Roman"/>
          <w:sz w:val="22"/>
          <w:szCs w:val="22"/>
        </w:rPr>
        <w:t>verslo srityje planuojamoms</w:t>
      </w:r>
      <w:r w:rsidR="00B26122" w:rsidRPr="00640D24">
        <w:rPr>
          <w:rFonts w:cs="Times New Roman"/>
          <w:sz w:val="22"/>
          <w:szCs w:val="22"/>
        </w:rPr>
        <w:t xml:space="preserve"> skatinti</w:t>
      </w:r>
      <w:r w:rsidRPr="00640D24">
        <w:rPr>
          <w:rFonts w:cs="Times New Roman"/>
          <w:sz w:val="22"/>
          <w:szCs w:val="22"/>
        </w:rPr>
        <w:t xml:space="preserve"> veikloms:</w:t>
      </w:r>
    </w:p>
    <w:p w14:paraId="025884D8" w14:textId="14B11BD1" w:rsidR="00946920" w:rsidRPr="00640D24" w:rsidRDefault="00B73C11" w:rsidP="004511EC">
      <w:pPr>
        <w:pStyle w:val="Sraopastraipa"/>
        <w:numPr>
          <w:ilvl w:val="0"/>
          <w:numId w:val="10"/>
        </w:numPr>
        <w:tabs>
          <w:tab w:val="left" w:pos="248"/>
        </w:tabs>
        <w:spacing w:before="60" w:after="60" w:line="240" w:lineRule="auto"/>
        <w:jc w:val="both"/>
        <w:rPr>
          <w:rFonts w:eastAsia="Calibri" w:cs="Times New Roman"/>
          <w:sz w:val="22"/>
          <w:szCs w:val="22"/>
          <w:lang w:bidi="lt-LT"/>
        </w:rPr>
      </w:pPr>
      <w:r w:rsidRPr="00640D24">
        <w:rPr>
          <w:rFonts w:cs="Times New Roman"/>
          <w:sz w:val="22"/>
          <w:szCs w:val="22"/>
        </w:rPr>
        <w:t xml:space="preserve">SVV subjektų kūrimuisi, augimui, </w:t>
      </w:r>
      <w:proofErr w:type="spellStart"/>
      <w:r w:rsidR="00946920" w:rsidRPr="00640D24">
        <w:rPr>
          <w:rFonts w:cs="Times New Roman"/>
          <w:sz w:val="22"/>
          <w:szCs w:val="22"/>
        </w:rPr>
        <w:t>s</w:t>
      </w:r>
      <w:r w:rsidR="00946920" w:rsidRPr="00640D24">
        <w:rPr>
          <w:rFonts w:eastAsia="Calibri" w:cs="Times New Roman"/>
          <w:sz w:val="22"/>
          <w:szCs w:val="22"/>
          <w:lang w:bidi="lt-LT"/>
        </w:rPr>
        <w:t>tartuolių</w:t>
      </w:r>
      <w:proofErr w:type="spellEnd"/>
      <w:r w:rsidR="00946920" w:rsidRPr="00640D24">
        <w:rPr>
          <w:rFonts w:eastAsia="Calibri" w:cs="Times New Roman"/>
          <w:sz w:val="22"/>
          <w:szCs w:val="22"/>
          <w:lang w:bidi="lt-LT"/>
        </w:rPr>
        <w:t xml:space="preserve"> vystymui, </w:t>
      </w:r>
      <w:proofErr w:type="spellStart"/>
      <w:r w:rsidR="00946920" w:rsidRPr="00640D24">
        <w:rPr>
          <w:rFonts w:eastAsia="Calibri" w:cs="Times New Roman"/>
          <w:sz w:val="22"/>
          <w:szCs w:val="22"/>
          <w:lang w:bidi="lt-LT"/>
        </w:rPr>
        <w:t>akceleravimui</w:t>
      </w:r>
      <w:proofErr w:type="spellEnd"/>
      <w:r w:rsidR="00946920" w:rsidRPr="00640D24">
        <w:rPr>
          <w:rFonts w:eastAsia="Calibri" w:cs="Times New Roman"/>
          <w:sz w:val="22"/>
          <w:szCs w:val="22"/>
          <w:lang w:bidi="lt-LT"/>
        </w:rPr>
        <w:t xml:space="preserve"> (įskaitant kultūros</w:t>
      </w:r>
      <w:r w:rsidR="00645085" w:rsidRPr="00640D24">
        <w:rPr>
          <w:rFonts w:eastAsia="Calibri" w:cs="Times New Roman"/>
          <w:sz w:val="22"/>
          <w:szCs w:val="22"/>
          <w:lang w:bidi="lt-LT"/>
        </w:rPr>
        <w:t>–</w:t>
      </w:r>
      <w:r w:rsidR="00946920" w:rsidRPr="00640D24">
        <w:rPr>
          <w:rFonts w:eastAsia="Calibri" w:cs="Times New Roman"/>
          <w:sz w:val="22"/>
          <w:szCs w:val="22"/>
          <w:lang w:bidi="lt-LT"/>
        </w:rPr>
        <w:t xml:space="preserve">kūrybinių industrijų skatinimą) ir plėtrai; </w:t>
      </w:r>
    </w:p>
    <w:p w14:paraId="18ED1276" w14:textId="6984E4E2" w:rsidR="00946920" w:rsidRPr="00640D24" w:rsidRDefault="00946920" w:rsidP="004511EC">
      <w:pPr>
        <w:pStyle w:val="Sraopastraipa"/>
        <w:numPr>
          <w:ilvl w:val="0"/>
          <w:numId w:val="10"/>
        </w:numPr>
        <w:tabs>
          <w:tab w:val="left" w:pos="248"/>
        </w:tabs>
        <w:spacing w:before="60" w:after="60" w:line="240" w:lineRule="auto"/>
        <w:jc w:val="both"/>
        <w:rPr>
          <w:rFonts w:eastAsia="Calibri" w:cs="Times New Roman"/>
          <w:sz w:val="22"/>
          <w:szCs w:val="22"/>
          <w:lang w:bidi="lt-LT"/>
        </w:rPr>
      </w:pPr>
      <w:r w:rsidRPr="00640D24">
        <w:rPr>
          <w:rFonts w:eastAsia="Calibri" w:cs="Times New Roman"/>
          <w:sz w:val="22"/>
          <w:szCs w:val="22"/>
          <w:lang w:bidi="lt-LT"/>
        </w:rPr>
        <w:t xml:space="preserve">MTEP vykdymui; </w:t>
      </w:r>
    </w:p>
    <w:p w14:paraId="125291B8" w14:textId="2A4DA8A4" w:rsidR="007927F9" w:rsidRPr="00640D24" w:rsidRDefault="00B73C11" w:rsidP="004511EC">
      <w:pPr>
        <w:pStyle w:val="Sraopastraipa"/>
        <w:numPr>
          <w:ilvl w:val="0"/>
          <w:numId w:val="10"/>
        </w:numPr>
        <w:tabs>
          <w:tab w:val="left" w:pos="248"/>
        </w:tabs>
        <w:spacing w:before="60" w:after="60" w:line="240" w:lineRule="auto"/>
        <w:jc w:val="both"/>
        <w:rPr>
          <w:rFonts w:eastAsia="Calibri" w:cs="Times New Roman"/>
          <w:sz w:val="22"/>
          <w:szCs w:val="22"/>
          <w:lang w:bidi="lt-LT"/>
        </w:rPr>
      </w:pPr>
      <w:r w:rsidRPr="00640D24">
        <w:rPr>
          <w:rFonts w:cs="Times New Roman"/>
          <w:sz w:val="22"/>
          <w:szCs w:val="22"/>
        </w:rPr>
        <w:t>trumpų vertės kūrimo grandinių formavimui ir plėtrai tarp MVĮ;</w:t>
      </w:r>
    </w:p>
    <w:p w14:paraId="7ECF0C9F" w14:textId="38497268" w:rsidR="00946920" w:rsidRPr="00640D24" w:rsidRDefault="00946920" w:rsidP="004511EC">
      <w:pPr>
        <w:pStyle w:val="Sraopastraipa"/>
        <w:numPr>
          <w:ilvl w:val="0"/>
          <w:numId w:val="10"/>
        </w:numPr>
        <w:tabs>
          <w:tab w:val="left" w:pos="248"/>
        </w:tabs>
        <w:spacing w:before="60" w:after="60" w:line="240" w:lineRule="auto"/>
        <w:jc w:val="both"/>
        <w:rPr>
          <w:rFonts w:cs="Times New Roman"/>
          <w:sz w:val="22"/>
          <w:szCs w:val="22"/>
        </w:rPr>
      </w:pPr>
      <w:r w:rsidRPr="00640D24">
        <w:rPr>
          <w:rFonts w:eastAsia="Calibri" w:cs="Times New Roman"/>
          <w:sz w:val="22"/>
          <w:szCs w:val="22"/>
          <w:lang w:bidi="lt-LT"/>
        </w:rPr>
        <w:t>TUI pritraukimo MTEP</w:t>
      </w:r>
      <w:r w:rsidR="00CF09A0" w:rsidRPr="00640D24">
        <w:rPr>
          <w:rFonts w:eastAsia="Calibri" w:cs="Times New Roman"/>
          <w:sz w:val="22"/>
          <w:szCs w:val="22"/>
          <w:lang w:bidi="lt-LT"/>
        </w:rPr>
        <w:t>I</w:t>
      </w:r>
      <w:r w:rsidRPr="00640D24">
        <w:rPr>
          <w:rFonts w:eastAsia="Calibri" w:cs="Times New Roman"/>
          <w:sz w:val="22"/>
          <w:szCs w:val="22"/>
          <w:lang w:bidi="lt-LT"/>
        </w:rPr>
        <w:t xml:space="preserve"> skatinimui</w:t>
      </w:r>
      <w:r w:rsidRPr="00640D24">
        <w:rPr>
          <w:rFonts w:cs="Times New Roman"/>
          <w:sz w:val="22"/>
          <w:szCs w:val="22"/>
        </w:rPr>
        <w:t xml:space="preserve">; </w:t>
      </w:r>
    </w:p>
    <w:p w14:paraId="42AB1A93" w14:textId="77777777" w:rsidR="00B73C11" w:rsidRPr="00640D24" w:rsidRDefault="00B73C11" w:rsidP="004511EC">
      <w:pPr>
        <w:pStyle w:val="Sraopastraipa"/>
        <w:numPr>
          <w:ilvl w:val="0"/>
          <w:numId w:val="10"/>
        </w:numPr>
        <w:tabs>
          <w:tab w:val="left" w:pos="248"/>
        </w:tabs>
        <w:spacing w:before="60" w:after="60" w:line="240" w:lineRule="auto"/>
        <w:jc w:val="both"/>
        <w:rPr>
          <w:rFonts w:cs="Times New Roman"/>
          <w:sz w:val="22"/>
          <w:szCs w:val="22"/>
        </w:rPr>
      </w:pPr>
      <w:r w:rsidRPr="00640D24">
        <w:rPr>
          <w:rFonts w:eastAsia="Calibri" w:cs="Times New Roman"/>
          <w:sz w:val="22"/>
          <w:szCs w:val="22"/>
          <w:lang w:bidi="lt-LT"/>
        </w:rPr>
        <w:t>Pramonės įmonių skatinimui ir konkurencingumo didinimui:</w:t>
      </w:r>
    </w:p>
    <w:p w14:paraId="3EF991BD" w14:textId="77777777" w:rsidR="003367B3" w:rsidRPr="00640D24" w:rsidRDefault="00B73C11" w:rsidP="00B73C11">
      <w:pPr>
        <w:pStyle w:val="Sraopastraipa"/>
        <w:numPr>
          <w:ilvl w:val="1"/>
          <w:numId w:val="10"/>
        </w:numPr>
        <w:tabs>
          <w:tab w:val="left" w:pos="248"/>
        </w:tabs>
        <w:spacing w:before="60" w:after="60" w:line="240" w:lineRule="auto"/>
        <w:jc w:val="both"/>
        <w:rPr>
          <w:rFonts w:cs="Times New Roman"/>
          <w:sz w:val="22"/>
          <w:szCs w:val="22"/>
        </w:rPr>
      </w:pPr>
      <w:r w:rsidRPr="00640D24">
        <w:rPr>
          <w:rFonts w:eastAsia="Calibri" w:cs="Times New Roman"/>
          <w:sz w:val="22"/>
          <w:szCs w:val="22"/>
          <w:lang w:bidi="lt-LT"/>
        </w:rPr>
        <w:t>pramonės įmonių transformacijos skatinimu</w:t>
      </w:r>
      <w:r w:rsidR="003367B3" w:rsidRPr="00640D24">
        <w:rPr>
          <w:rFonts w:eastAsia="Calibri" w:cs="Times New Roman"/>
          <w:sz w:val="22"/>
          <w:szCs w:val="22"/>
          <w:lang w:bidi="lt-LT"/>
        </w:rPr>
        <w:t>;</w:t>
      </w:r>
    </w:p>
    <w:p w14:paraId="0B922416" w14:textId="594943C4" w:rsidR="003367B3" w:rsidRPr="00640D24" w:rsidRDefault="00946920" w:rsidP="001E5C0D">
      <w:pPr>
        <w:pStyle w:val="Sraopastraipa"/>
        <w:numPr>
          <w:ilvl w:val="1"/>
          <w:numId w:val="10"/>
        </w:numPr>
        <w:tabs>
          <w:tab w:val="left" w:pos="248"/>
        </w:tabs>
        <w:spacing w:before="60" w:after="60" w:line="240" w:lineRule="auto"/>
        <w:jc w:val="both"/>
        <w:rPr>
          <w:rFonts w:eastAsia="Calibri" w:cs="Times New Roman"/>
          <w:sz w:val="22"/>
          <w:szCs w:val="22"/>
          <w:lang w:bidi="lt-LT"/>
        </w:rPr>
      </w:pPr>
      <w:r w:rsidRPr="00640D24">
        <w:rPr>
          <w:rFonts w:eastAsia="Calibri" w:cs="Times New Roman"/>
          <w:sz w:val="22"/>
          <w:szCs w:val="22"/>
          <w:lang w:bidi="lt-LT"/>
        </w:rPr>
        <w:t xml:space="preserve">pramonės </w:t>
      </w:r>
      <w:r w:rsidR="00C5537B" w:rsidRPr="00640D24">
        <w:rPr>
          <w:rFonts w:eastAsia="Calibri" w:cs="Times New Roman"/>
          <w:sz w:val="22"/>
          <w:szCs w:val="22"/>
          <w:lang w:bidi="lt-LT"/>
        </w:rPr>
        <w:t xml:space="preserve">įmonių </w:t>
      </w:r>
      <w:r w:rsidRPr="00640D24">
        <w:rPr>
          <w:rFonts w:eastAsia="Calibri" w:cs="Times New Roman"/>
          <w:sz w:val="22"/>
          <w:szCs w:val="22"/>
          <w:lang w:bidi="lt-LT"/>
        </w:rPr>
        <w:t xml:space="preserve">gamybos procesų automatizavimui ir </w:t>
      </w:r>
      <w:proofErr w:type="spellStart"/>
      <w:r w:rsidRPr="00640D24">
        <w:rPr>
          <w:rFonts w:eastAsia="Calibri" w:cs="Times New Roman"/>
          <w:sz w:val="22"/>
          <w:szCs w:val="22"/>
          <w:lang w:bidi="lt-LT"/>
        </w:rPr>
        <w:t>skaitmeninimui</w:t>
      </w:r>
      <w:proofErr w:type="spellEnd"/>
      <w:r w:rsidRPr="00640D24">
        <w:rPr>
          <w:rFonts w:eastAsia="Calibri" w:cs="Times New Roman"/>
          <w:sz w:val="22"/>
          <w:szCs w:val="22"/>
          <w:lang w:bidi="lt-LT"/>
        </w:rPr>
        <w:t xml:space="preserve">; </w:t>
      </w:r>
    </w:p>
    <w:p w14:paraId="7FF9CB1F" w14:textId="77777777" w:rsidR="007927F9" w:rsidRPr="00640D24" w:rsidRDefault="00946920">
      <w:pPr>
        <w:pStyle w:val="Sraopastraipa"/>
        <w:numPr>
          <w:ilvl w:val="1"/>
          <w:numId w:val="10"/>
        </w:numPr>
        <w:tabs>
          <w:tab w:val="left" w:pos="248"/>
        </w:tabs>
        <w:spacing w:before="60" w:after="60" w:line="240" w:lineRule="auto"/>
        <w:jc w:val="both"/>
        <w:rPr>
          <w:rFonts w:eastAsia="Calibri" w:cs="Times New Roman"/>
          <w:sz w:val="22"/>
          <w:szCs w:val="22"/>
          <w:lang w:bidi="lt-LT"/>
        </w:rPr>
      </w:pPr>
      <w:r w:rsidRPr="00640D24">
        <w:rPr>
          <w:rFonts w:eastAsia="Calibri" w:cs="Times New Roman"/>
          <w:sz w:val="22"/>
          <w:szCs w:val="22"/>
          <w:lang w:bidi="lt-LT"/>
        </w:rPr>
        <w:t>aukštą pridėtinę vertę kuriančių</w:t>
      </w:r>
      <w:r w:rsidR="002837AF" w:rsidRPr="00640D24">
        <w:rPr>
          <w:rFonts w:eastAsia="Calibri" w:cs="Times New Roman"/>
          <w:sz w:val="22"/>
          <w:szCs w:val="22"/>
          <w:lang w:bidi="lt-LT"/>
        </w:rPr>
        <w:t xml:space="preserve"> pramonės</w:t>
      </w:r>
      <w:r w:rsidRPr="00640D24">
        <w:rPr>
          <w:rFonts w:eastAsia="Calibri" w:cs="Times New Roman"/>
          <w:sz w:val="22"/>
          <w:szCs w:val="22"/>
          <w:lang w:bidi="lt-LT"/>
        </w:rPr>
        <w:t xml:space="preserve"> </w:t>
      </w:r>
      <w:r w:rsidR="00C5537B" w:rsidRPr="00640D24">
        <w:rPr>
          <w:rFonts w:eastAsia="Calibri" w:cs="Times New Roman"/>
          <w:sz w:val="22"/>
          <w:szCs w:val="22"/>
          <w:lang w:bidi="lt-LT"/>
        </w:rPr>
        <w:t xml:space="preserve">įmonių </w:t>
      </w:r>
      <w:r w:rsidR="007C2090" w:rsidRPr="00640D24">
        <w:rPr>
          <w:rFonts w:eastAsia="Calibri" w:cs="Times New Roman"/>
          <w:sz w:val="22"/>
          <w:szCs w:val="22"/>
          <w:lang w:bidi="lt-LT"/>
        </w:rPr>
        <w:t xml:space="preserve">gamybos </w:t>
      </w:r>
      <w:r w:rsidRPr="00640D24">
        <w:rPr>
          <w:rFonts w:eastAsia="Calibri" w:cs="Times New Roman"/>
          <w:sz w:val="22"/>
          <w:szCs w:val="22"/>
          <w:lang w:bidi="lt-LT"/>
        </w:rPr>
        <w:t xml:space="preserve">procesų </w:t>
      </w:r>
      <w:proofErr w:type="spellStart"/>
      <w:r w:rsidRPr="00640D24">
        <w:rPr>
          <w:rFonts w:eastAsia="Calibri" w:cs="Times New Roman"/>
          <w:sz w:val="22"/>
          <w:szCs w:val="22"/>
          <w:lang w:bidi="lt-LT"/>
        </w:rPr>
        <w:t>skaitmeninimui</w:t>
      </w:r>
      <w:proofErr w:type="spellEnd"/>
    </w:p>
    <w:p w14:paraId="12C01F8C" w14:textId="52F516A1" w:rsidR="002C7AB7" w:rsidRPr="00640D24" w:rsidRDefault="003F5A86" w:rsidP="001E5C0D">
      <w:pPr>
        <w:pStyle w:val="Sraopastraipa"/>
        <w:numPr>
          <w:ilvl w:val="1"/>
          <w:numId w:val="10"/>
        </w:numPr>
        <w:tabs>
          <w:tab w:val="left" w:pos="248"/>
        </w:tabs>
        <w:spacing w:before="60" w:after="60" w:line="240" w:lineRule="auto"/>
        <w:jc w:val="both"/>
        <w:rPr>
          <w:rFonts w:cs="Times New Roman"/>
          <w:sz w:val="22"/>
          <w:szCs w:val="22"/>
        </w:rPr>
      </w:pPr>
      <w:r w:rsidRPr="00640D24">
        <w:rPr>
          <w:rFonts w:eastAsia="Calibri" w:cs="Times New Roman"/>
          <w:sz w:val="22"/>
          <w:szCs w:val="22"/>
          <w:lang w:bidi="lt-LT"/>
        </w:rPr>
        <w:t>gynybos ir saugumo pramonės konkurencingumo skatinimas.</w:t>
      </w:r>
    </w:p>
    <w:p w14:paraId="387FB0BD" w14:textId="1F72090A" w:rsidR="00946920" w:rsidRPr="00640D24" w:rsidRDefault="00946920" w:rsidP="002C7AB7">
      <w:pPr>
        <w:tabs>
          <w:tab w:val="left" w:pos="248"/>
        </w:tabs>
        <w:spacing w:before="60" w:after="60" w:line="240" w:lineRule="auto"/>
        <w:ind w:firstLine="562"/>
        <w:jc w:val="both"/>
        <w:rPr>
          <w:rFonts w:cs="Times New Roman"/>
          <w:sz w:val="22"/>
          <w:szCs w:val="22"/>
        </w:rPr>
      </w:pPr>
      <w:r w:rsidRPr="00640D24">
        <w:rPr>
          <w:rFonts w:cs="Times New Roman"/>
          <w:sz w:val="22"/>
          <w:szCs w:val="22"/>
        </w:rPr>
        <w:t>Atlikus ES ir nacionalinio lygmens strateginių krypčių analizę galima teigti, kad visos planuojamos finansuoti veiklos yra grįstos pastarųjų metų Lietuvos ekonominės situacijos rodikliais. Finansavimas planuojamų vykdyti veiklų srityse prisideda prie 2021</w:t>
      </w:r>
      <w:r w:rsidR="00893EAA" w:rsidRPr="00640D24">
        <w:rPr>
          <w:rFonts w:cs="Times New Roman"/>
          <w:sz w:val="22"/>
          <w:szCs w:val="22"/>
        </w:rPr>
        <w:t>–</w:t>
      </w:r>
      <w:r w:rsidRPr="00640D24">
        <w:rPr>
          <w:rFonts w:cs="Times New Roman"/>
          <w:sz w:val="22"/>
          <w:szCs w:val="22"/>
        </w:rPr>
        <w:t xml:space="preserve">2027 m. programos pirmojo politikos tikslo „Pažangesnė </w:t>
      </w:r>
      <w:r w:rsidR="00C664AC" w:rsidRPr="00640D24">
        <w:rPr>
          <w:rFonts w:cs="Times New Roman"/>
          <w:sz w:val="22"/>
          <w:szCs w:val="22"/>
        </w:rPr>
        <w:t>Eur</w:t>
      </w:r>
      <w:r w:rsidRPr="00640D24">
        <w:rPr>
          <w:rFonts w:cs="Times New Roman"/>
          <w:sz w:val="22"/>
          <w:szCs w:val="22"/>
        </w:rPr>
        <w:t>opa“, o taip pat prie</w:t>
      </w:r>
      <w:r w:rsidR="00201B7C" w:rsidRPr="00640D24">
        <w:rPr>
          <w:rFonts w:cs="Times New Roman"/>
          <w:sz w:val="22"/>
          <w:szCs w:val="22"/>
        </w:rPr>
        <w:t xml:space="preserve"> EGADP tikslų</w:t>
      </w:r>
      <w:r w:rsidR="00CB7E7C" w:rsidRPr="00640D24">
        <w:rPr>
          <w:rStyle w:val="Puslapioinaosnuoroda"/>
          <w:rFonts w:cs="Times New Roman"/>
          <w:sz w:val="22"/>
          <w:szCs w:val="22"/>
        </w:rPr>
        <w:footnoteReference w:id="110"/>
      </w:r>
      <w:r w:rsidR="00201B7C" w:rsidRPr="00640D24">
        <w:rPr>
          <w:rFonts w:cs="Times New Roman"/>
          <w:sz w:val="22"/>
          <w:szCs w:val="22"/>
        </w:rPr>
        <w:t xml:space="preserve"> ir</w:t>
      </w:r>
      <w:r w:rsidRPr="00640D24">
        <w:rPr>
          <w:rFonts w:cs="Times New Roman"/>
          <w:sz w:val="22"/>
          <w:szCs w:val="22"/>
        </w:rPr>
        <w:t xml:space="preserve"> NP </w:t>
      </w:r>
      <w:r w:rsidR="00193AF4" w:rsidRPr="00640D24">
        <w:rPr>
          <w:rFonts w:cs="Times New Roman"/>
          <w:sz w:val="22"/>
          <w:szCs w:val="22"/>
        </w:rPr>
        <w:t>p</w:t>
      </w:r>
      <w:r w:rsidRPr="00640D24">
        <w:rPr>
          <w:rFonts w:cs="Times New Roman"/>
          <w:sz w:val="22"/>
          <w:szCs w:val="22"/>
        </w:rPr>
        <w:t>lano I</w:t>
      </w:r>
      <w:r w:rsidR="00645085" w:rsidRPr="00640D24">
        <w:rPr>
          <w:rFonts w:cs="Times New Roman"/>
          <w:sz w:val="22"/>
          <w:szCs w:val="22"/>
        </w:rPr>
        <w:t>–</w:t>
      </w:r>
      <w:proofErr w:type="spellStart"/>
      <w:r w:rsidRPr="00640D24">
        <w:rPr>
          <w:rFonts w:cs="Times New Roman"/>
          <w:sz w:val="22"/>
          <w:szCs w:val="22"/>
        </w:rPr>
        <w:t>ojo</w:t>
      </w:r>
      <w:proofErr w:type="spellEnd"/>
      <w:r w:rsidRPr="00640D24">
        <w:rPr>
          <w:rFonts w:cs="Times New Roman"/>
          <w:sz w:val="22"/>
          <w:szCs w:val="22"/>
        </w:rPr>
        <w:t xml:space="preserve"> strateginio tikslo „Pereiti prie mokslo žiniomis, pažangiosiomis technologijomis, inovacijomis grįsto darnaus ekonomikos augimo ir didinti šalies tarptautinį konkurencingumą“.</w:t>
      </w:r>
    </w:p>
    <w:p w14:paraId="02FFB804" w14:textId="617D7A4D" w:rsidR="00F35E1E" w:rsidRPr="00640D24" w:rsidRDefault="003367B3" w:rsidP="00D12B54">
      <w:pPr>
        <w:spacing w:before="60" w:after="60" w:line="240" w:lineRule="auto"/>
        <w:rPr>
          <w:rFonts w:cs="Times New Roman"/>
          <w:i/>
          <w:iCs/>
          <w:sz w:val="22"/>
          <w:szCs w:val="22"/>
        </w:rPr>
      </w:pPr>
      <w:r w:rsidRPr="00640D24">
        <w:rPr>
          <w:rFonts w:cs="Times New Roman"/>
          <w:i/>
          <w:iCs/>
          <w:sz w:val="22"/>
          <w:szCs w:val="22"/>
        </w:rPr>
        <w:t xml:space="preserve">SVV kūrimasis, augimas ir </w:t>
      </w:r>
      <w:proofErr w:type="spellStart"/>
      <w:r w:rsidR="00F35E1E" w:rsidRPr="00640D24">
        <w:rPr>
          <w:rFonts w:cs="Times New Roman"/>
          <w:i/>
          <w:iCs/>
          <w:sz w:val="22"/>
          <w:szCs w:val="22"/>
        </w:rPr>
        <w:t>Startuolių</w:t>
      </w:r>
      <w:proofErr w:type="spellEnd"/>
      <w:r w:rsidR="00F35E1E" w:rsidRPr="00640D24">
        <w:rPr>
          <w:rFonts w:cs="Times New Roman"/>
          <w:i/>
          <w:iCs/>
          <w:sz w:val="22"/>
          <w:szCs w:val="22"/>
        </w:rPr>
        <w:t xml:space="preserve"> vystymas ir </w:t>
      </w:r>
      <w:proofErr w:type="spellStart"/>
      <w:r w:rsidR="00F35E1E" w:rsidRPr="00640D24">
        <w:rPr>
          <w:rFonts w:cs="Times New Roman"/>
          <w:i/>
          <w:iCs/>
          <w:sz w:val="22"/>
          <w:szCs w:val="22"/>
        </w:rPr>
        <w:t>akceleravimas</w:t>
      </w:r>
      <w:proofErr w:type="spellEnd"/>
    </w:p>
    <w:p w14:paraId="27433471" w14:textId="1217A601" w:rsidR="00F35E1E" w:rsidRPr="00640D24" w:rsidRDefault="00F35E1E" w:rsidP="00D12B54">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 xml:space="preserve">Viena iš pagrindinių </w:t>
      </w:r>
      <w:proofErr w:type="spellStart"/>
      <w:r w:rsidRPr="00640D24">
        <w:rPr>
          <w:rFonts w:cs="Times New Roman"/>
          <w:sz w:val="22"/>
          <w:szCs w:val="22"/>
        </w:rPr>
        <w:t>startuolių</w:t>
      </w:r>
      <w:proofErr w:type="spellEnd"/>
      <w:r w:rsidRPr="00640D24">
        <w:rPr>
          <w:rFonts w:cs="Times New Roman"/>
          <w:sz w:val="22"/>
          <w:szCs w:val="22"/>
        </w:rPr>
        <w:t xml:space="preserve"> finansavimo trūkumo priežasčių buvo įvard</w:t>
      </w:r>
      <w:r w:rsidR="00B220D2" w:rsidRPr="00640D24">
        <w:rPr>
          <w:rFonts w:cs="Times New Roman"/>
          <w:sz w:val="22"/>
          <w:szCs w:val="22"/>
        </w:rPr>
        <w:t>y</w:t>
      </w:r>
      <w:r w:rsidRPr="00640D24">
        <w:rPr>
          <w:rFonts w:cs="Times New Roman"/>
          <w:sz w:val="22"/>
          <w:szCs w:val="22"/>
        </w:rPr>
        <w:t xml:space="preserve">ta didelė investavimo rizika, kurios privatūs investuotojai nėra linkę prisiimti. Ši rizika yra ypač didelė </w:t>
      </w:r>
      <w:proofErr w:type="spellStart"/>
      <w:r w:rsidRPr="00640D24">
        <w:rPr>
          <w:rFonts w:cs="Times New Roman"/>
          <w:sz w:val="22"/>
          <w:szCs w:val="22"/>
        </w:rPr>
        <w:t>priešankstyvojoje</w:t>
      </w:r>
      <w:proofErr w:type="spellEnd"/>
      <w:r w:rsidRPr="00640D24">
        <w:rPr>
          <w:rFonts w:cs="Times New Roman"/>
          <w:sz w:val="22"/>
          <w:szCs w:val="22"/>
        </w:rPr>
        <w:t xml:space="preserve"> ir ankstyvojoje </w:t>
      </w:r>
      <w:proofErr w:type="spellStart"/>
      <w:r w:rsidRPr="00640D24">
        <w:rPr>
          <w:rFonts w:cs="Times New Roman"/>
          <w:sz w:val="22"/>
          <w:szCs w:val="22"/>
        </w:rPr>
        <w:t>startuolių</w:t>
      </w:r>
      <w:proofErr w:type="spellEnd"/>
      <w:r w:rsidRPr="00640D24">
        <w:rPr>
          <w:rFonts w:cs="Times New Roman"/>
          <w:sz w:val="22"/>
          <w:szCs w:val="22"/>
        </w:rPr>
        <w:t xml:space="preserve"> plėtros stadijoje. Ekspertai pastebi, kad pradiniame verslo vystymo etape </w:t>
      </w:r>
      <w:proofErr w:type="spellStart"/>
      <w:r w:rsidRPr="00640D24">
        <w:rPr>
          <w:rFonts w:cs="Times New Roman"/>
          <w:sz w:val="22"/>
          <w:szCs w:val="22"/>
        </w:rPr>
        <w:t>startuoliams</w:t>
      </w:r>
      <w:proofErr w:type="spellEnd"/>
      <w:r w:rsidRPr="00640D24">
        <w:rPr>
          <w:rFonts w:cs="Times New Roman"/>
          <w:sz w:val="22"/>
          <w:szCs w:val="22"/>
        </w:rPr>
        <w:t xml:space="preserve"> yra ypač svarbu gauti verslo valdymo žinių, </w:t>
      </w:r>
      <w:proofErr w:type="spellStart"/>
      <w:r w:rsidRPr="00640D24">
        <w:rPr>
          <w:rFonts w:cs="Times New Roman"/>
          <w:sz w:val="22"/>
          <w:szCs w:val="22"/>
        </w:rPr>
        <w:t>mentorystės</w:t>
      </w:r>
      <w:proofErr w:type="spellEnd"/>
      <w:r w:rsidRPr="00640D24">
        <w:rPr>
          <w:rFonts w:cs="Times New Roman"/>
          <w:sz w:val="22"/>
          <w:szCs w:val="22"/>
        </w:rPr>
        <w:t>, konsultacijų, bendradarbiavimo galimybių ir, žinoma, prieigą prie finansavimo šaltinių. 2014</w:t>
      </w:r>
      <w:r w:rsidR="005A46AE" w:rsidRPr="00640D24">
        <w:rPr>
          <w:rFonts w:cs="Times New Roman"/>
          <w:sz w:val="22"/>
          <w:szCs w:val="22"/>
        </w:rPr>
        <w:t>–</w:t>
      </w:r>
      <w:r w:rsidRPr="00640D24">
        <w:rPr>
          <w:rFonts w:cs="Times New Roman"/>
          <w:sz w:val="22"/>
          <w:szCs w:val="22"/>
        </w:rPr>
        <w:t>2020 m. programavimo laikotarpyje valstybės dalyvavimas steigiant FP „</w:t>
      </w:r>
      <w:proofErr w:type="spellStart"/>
      <w:r w:rsidRPr="00640D24">
        <w:rPr>
          <w:rFonts w:cs="Times New Roman"/>
          <w:sz w:val="22"/>
          <w:szCs w:val="22"/>
        </w:rPr>
        <w:t>Akceleravimo</w:t>
      </w:r>
      <w:proofErr w:type="spellEnd"/>
      <w:r w:rsidRPr="00640D24">
        <w:rPr>
          <w:rFonts w:cs="Times New Roman"/>
          <w:sz w:val="22"/>
          <w:szCs w:val="22"/>
        </w:rPr>
        <w:t xml:space="preserve"> fondas“ yra suprantamas kaip itin reikšmingas žingsnis užtikrinant galimybes </w:t>
      </w:r>
      <w:proofErr w:type="spellStart"/>
      <w:r w:rsidRPr="00640D24">
        <w:rPr>
          <w:rFonts w:cs="Times New Roman"/>
          <w:sz w:val="22"/>
        </w:rPr>
        <w:t>priešankstyvosios</w:t>
      </w:r>
      <w:proofErr w:type="spellEnd"/>
      <w:r w:rsidRPr="00640D24">
        <w:rPr>
          <w:rFonts w:cs="Times New Roman"/>
          <w:sz w:val="22"/>
        </w:rPr>
        <w:t xml:space="preserve"> ir ankstyvosios </w:t>
      </w:r>
      <w:proofErr w:type="spellStart"/>
      <w:r w:rsidRPr="00640D24">
        <w:rPr>
          <w:rFonts w:cs="Times New Roman"/>
          <w:sz w:val="22"/>
        </w:rPr>
        <w:t>startuoliams</w:t>
      </w:r>
      <w:proofErr w:type="spellEnd"/>
      <w:r w:rsidRPr="00640D24">
        <w:rPr>
          <w:rFonts w:cs="Times New Roman"/>
          <w:sz w:val="22"/>
        </w:rPr>
        <w:t xml:space="preserve"> gauti reikalingą pagalbą ir pradinį finansavimą pradinėms verslo idėjoms išbandyti</w:t>
      </w:r>
      <w:r w:rsidRPr="00640D24">
        <w:rPr>
          <w:rFonts w:cs="Times New Roman"/>
          <w:sz w:val="22"/>
          <w:szCs w:val="22"/>
        </w:rPr>
        <w:t>.</w:t>
      </w:r>
      <w:r w:rsidR="001B2240" w:rsidRPr="00640D24">
        <w:rPr>
          <w:rFonts w:cs="Times New Roman"/>
          <w:sz w:val="22"/>
          <w:szCs w:val="22"/>
        </w:rPr>
        <w:t xml:space="preserve"> </w:t>
      </w:r>
    </w:p>
    <w:p w14:paraId="08EF72C1" w14:textId="48BA6D5C" w:rsidR="003367B3" w:rsidRPr="00640D24" w:rsidRDefault="47D228B7" w:rsidP="641B94F2">
      <w:pPr>
        <w:autoSpaceDE w:val="0"/>
        <w:autoSpaceDN w:val="0"/>
        <w:adjustRightInd w:val="0"/>
        <w:spacing w:before="60" w:after="60" w:line="240" w:lineRule="auto"/>
        <w:ind w:firstLine="567"/>
        <w:jc w:val="both"/>
        <w:rPr>
          <w:sz w:val="22"/>
          <w:szCs w:val="22"/>
        </w:rPr>
      </w:pPr>
      <w:r w:rsidRPr="00640D24">
        <w:rPr>
          <w:rFonts w:cs="Times New Roman"/>
          <w:sz w:val="22"/>
          <w:szCs w:val="22"/>
        </w:rPr>
        <w:t xml:space="preserve">Remiantis atlikta finansavimo paklausos analize nustatyta, kad </w:t>
      </w:r>
      <w:proofErr w:type="spellStart"/>
      <w:r w:rsidRPr="00640D24">
        <w:rPr>
          <w:rFonts w:cs="Times New Roman"/>
          <w:sz w:val="22"/>
          <w:szCs w:val="22"/>
        </w:rPr>
        <w:t>startuolių</w:t>
      </w:r>
      <w:proofErr w:type="spellEnd"/>
      <w:r w:rsidRPr="00640D24">
        <w:rPr>
          <w:rFonts w:cs="Times New Roman"/>
          <w:sz w:val="22"/>
          <w:szCs w:val="22"/>
        </w:rPr>
        <w:t xml:space="preserve"> vystymui ir </w:t>
      </w:r>
      <w:proofErr w:type="spellStart"/>
      <w:r w:rsidRPr="00640D24">
        <w:rPr>
          <w:rFonts w:cs="Times New Roman"/>
          <w:sz w:val="22"/>
          <w:szCs w:val="22"/>
        </w:rPr>
        <w:t>akceleravimui</w:t>
      </w:r>
      <w:proofErr w:type="spellEnd"/>
      <w:r w:rsidRPr="00640D24">
        <w:rPr>
          <w:rFonts w:cs="Times New Roman"/>
          <w:sz w:val="22"/>
          <w:szCs w:val="22"/>
        </w:rPr>
        <w:t xml:space="preserve"> Vidurio ir Vakarų Lietuvos regione reikalinga </w:t>
      </w:r>
      <w:r w:rsidR="218519C2" w:rsidRPr="00640D24">
        <w:rPr>
          <w:rFonts w:cs="Times New Roman"/>
          <w:b/>
          <w:bCs/>
          <w:sz w:val="22"/>
          <w:szCs w:val="22"/>
        </w:rPr>
        <w:t xml:space="preserve">iki </w:t>
      </w:r>
      <w:r w:rsidR="2B1C0DAC" w:rsidRPr="00640D24">
        <w:rPr>
          <w:rFonts w:cs="Times New Roman"/>
          <w:b/>
          <w:bCs/>
          <w:sz w:val="22"/>
          <w:szCs w:val="22"/>
        </w:rPr>
        <w:t>81,34</w:t>
      </w:r>
      <w:r w:rsidRPr="00640D24">
        <w:rPr>
          <w:rFonts w:cs="Times New Roman"/>
          <w:b/>
          <w:bCs/>
          <w:sz w:val="22"/>
          <w:szCs w:val="22"/>
        </w:rPr>
        <w:t xml:space="preserve">mln. </w:t>
      </w:r>
      <w:proofErr w:type="spellStart"/>
      <w:r w:rsidRPr="00640D24">
        <w:rPr>
          <w:rFonts w:cs="Times New Roman"/>
          <w:b/>
          <w:bCs/>
          <w:sz w:val="22"/>
          <w:szCs w:val="22"/>
        </w:rPr>
        <w:t>Eur</w:t>
      </w:r>
      <w:proofErr w:type="spellEnd"/>
      <w:r w:rsidRPr="00640D24">
        <w:rPr>
          <w:rFonts w:cs="Times New Roman"/>
          <w:sz w:val="22"/>
          <w:szCs w:val="22"/>
        </w:rPr>
        <w:t xml:space="preserve"> suma. </w:t>
      </w:r>
      <w:r w:rsidR="3134EBA8" w:rsidRPr="00640D24">
        <w:rPr>
          <w:rFonts w:cs="Times New Roman"/>
          <w:sz w:val="22"/>
          <w:szCs w:val="22"/>
        </w:rPr>
        <w:t>B</w:t>
      </w:r>
      <w:r w:rsidR="2BA6C66A" w:rsidRPr="00640D24">
        <w:rPr>
          <w:rFonts w:cs="Times New Roman"/>
          <w:sz w:val="22"/>
          <w:szCs w:val="22"/>
        </w:rPr>
        <w:t xml:space="preserve">endras </w:t>
      </w:r>
      <w:proofErr w:type="spellStart"/>
      <w:r w:rsidR="0622D924" w:rsidRPr="00640D24">
        <w:rPr>
          <w:rFonts w:cs="Times New Roman"/>
          <w:sz w:val="22"/>
          <w:szCs w:val="22"/>
        </w:rPr>
        <w:t>startuolių</w:t>
      </w:r>
      <w:proofErr w:type="spellEnd"/>
      <w:r w:rsidR="0622D924" w:rsidRPr="00640D24">
        <w:rPr>
          <w:rFonts w:cs="Times New Roman"/>
          <w:sz w:val="22"/>
          <w:szCs w:val="22"/>
        </w:rPr>
        <w:t xml:space="preserve"> </w:t>
      </w:r>
      <w:r w:rsidR="2BA6C66A" w:rsidRPr="00640D24">
        <w:rPr>
          <w:rFonts w:cs="Times New Roman"/>
          <w:sz w:val="22"/>
          <w:szCs w:val="22"/>
        </w:rPr>
        <w:t xml:space="preserve">vystymo, </w:t>
      </w:r>
      <w:proofErr w:type="spellStart"/>
      <w:r w:rsidR="2BA6C66A" w:rsidRPr="00640D24">
        <w:rPr>
          <w:rFonts w:cs="Times New Roman"/>
          <w:sz w:val="22"/>
          <w:szCs w:val="22"/>
        </w:rPr>
        <w:t>akceleravimo</w:t>
      </w:r>
      <w:proofErr w:type="spellEnd"/>
      <w:r w:rsidR="2BA6C66A" w:rsidRPr="00640D24">
        <w:rPr>
          <w:rFonts w:cs="Times New Roman"/>
          <w:sz w:val="22"/>
          <w:szCs w:val="22"/>
        </w:rPr>
        <w:t xml:space="preserve"> ir plėtros finansavimo poreikis siekia </w:t>
      </w:r>
      <w:r w:rsidR="218519C2" w:rsidRPr="00640D24">
        <w:rPr>
          <w:rFonts w:cs="Times New Roman"/>
          <w:sz w:val="22"/>
          <w:szCs w:val="22"/>
        </w:rPr>
        <w:t xml:space="preserve">iki </w:t>
      </w:r>
      <w:r w:rsidR="2B1C0DAC" w:rsidRPr="00640D24">
        <w:rPr>
          <w:rFonts w:cs="Times New Roman"/>
          <w:b/>
          <w:bCs/>
          <w:sz w:val="22"/>
          <w:szCs w:val="22"/>
        </w:rPr>
        <w:t>148,55</w:t>
      </w:r>
      <w:r w:rsidR="2B1C0DAC" w:rsidRPr="00640D24">
        <w:rPr>
          <w:rFonts w:cs="Times New Roman"/>
          <w:sz w:val="22"/>
          <w:szCs w:val="22"/>
        </w:rPr>
        <w:t xml:space="preserve"> </w:t>
      </w:r>
      <w:r w:rsidR="2BA6C66A" w:rsidRPr="00640D24">
        <w:rPr>
          <w:rFonts w:cs="Times New Roman"/>
          <w:b/>
          <w:bCs/>
          <w:sz w:val="22"/>
          <w:szCs w:val="22"/>
        </w:rPr>
        <w:t>mln</w:t>
      </w:r>
      <w:r w:rsidR="77ACD174" w:rsidRPr="00640D24">
        <w:rPr>
          <w:rFonts w:cs="Times New Roman"/>
          <w:b/>
          <w:bCs/>
          <w:sz w:val="22"/>
          <w:szCs w:val="22"/>
        </w:rPr>
        <w:t>.</w:t>
      </w:r>
      <w:r w:rsidR="2BA6C66A" w:rsidRPr="00640D24">
        <w:rPr>
          <w:rFonts w:cs="Times New Roman"/>
          <w:b/>
          <w:bCs/>
          <w:sz w:val="22"/>
          <w:szCs w:val="22"/>
        </w:rPr>
        <w:t xml:space="preserve"> </w:t>
      </w:r>
      <w:proofErr w:type="spellStart"/>
      <w:r w:rsidR="2BA6C66A" w:rsidRPr="00640D24">
        <w:rPr>
          <w:rFonts w:cs="Times New Roman"/>
          <w:b/>
          <w:bCs/>
          <w:sz w:val="22"/>
          <w:szCs w:val="22"/>
        </w:rPr>
        <w:t>Eur</w:t>
      </w:r>
      <w:proofErr w:type="spellEnd"/>
      <w:r w:rsidR="2BA6C66A" w:rsidRPr="00640D24">
        <w:rPr>
          <w:rFonts w:cs="Times New Roman"/>
          <w:b/>
          <w:bCs/>
          <w:sz w:val="22"/>
          <w:szCs w:val="22"/>
        </w:rPr>
        <w:t xml:space="preserve">. </w:t>
      </w:r>
      <w:r w:rsidRPr="00640D24">
        <w:rPr>
          <w:rFonts w:cs="Times New Roman"/>
          <w:sz w:val="22"/>
          <w:szCs w:val="22"/>
        </w:rPr>
        <w:t>Išnagrinėjus SVV subjektų apklausos</w:t>
      </w:r>
      <w:r w:rsidR="2F2EFE9B" w:rsidRPr="00640D24">
        <w:rPr>
          <w:rFonts w:cs="Times New Roman"/>
          <w:sz w:val="22"/>
          <w:szCs w:val="22"/>
        </w:rPr>
        <w:t xml:space="preserve"> ir kokybinio tyrimo atliktus rezultatus, pirminius ir antrinius duomenų šaltinius buvo nustatyta, kad </w:t>
      </w:r>
      <w:proofErr w:type="spellStart"/>
      <w:r w:rsidR="2F2EFE9B" w:rsidRPr="00640D24">
        <w:rPr>
          <w:rFonts w:cs="Times New Roman"/>
          <w:sz w:val="22"/>
          <w:szCs w:val="22"/>
        </w:rPr>
        <w:t>startuoliams</w:t>
      </w:r>
      <w:proofErr w:type="spellEnd"/>
      <w:r w:rsidR="2F2EFE9B" w:rsidRPr="00640D24">
        <w:rPr>
          <w:rFonts w:cs="Times New Roman"/>
          <w:sz w:val="22"/>
          <w:szCs w:val="22"/>
        </w:rPr>
        <w:t xml:space="preserve"> reikalingos </w:t>
      </w:r>
      <w:r w:rsidR="378A5953" w:rsidRPr="00640D24">
        <w:rPr>
          <w:rFonts w:cs="Times New Roman"/>
          <w:sz w:val="22"/>
          <w:szCs w:val="22"/>
        </w:rPr>
        <w:t xml:space="preserve">rizikos kapitalo investicijų </w:t>
      </w:r>
      <w:r w:rsidR="2F2EFE9B" w:rsidRPr="00640D24">
        <w:rPr>
          <w:rFonts w:cs="Times New Roman"/>
          <w:sz w:val="22"/>
          <w:szCs w:val="22"/>
        </w:rPr>
        <w:t xml:space="preserve">ir paskolų FP. </w:t>
      </w:r>
      <w:r w:rsidR="3A9CFA44" w:rsidRPr="00640D24">
        <w:rPr>
          <w:rFonts w:cs="Times New Roman"/>
          <w:sz w:val="22"/>
          <w:szCs w:val="22"/>
        </w:rPr>
        <w:t xml:space="preserve">Atsižvelgiant į pateiktas prielaidas finansavimo poreikis </w:t>
      </w:r>
      <w:r w:rsidR="3A9CFA44" w:rsidRPr="00640D24">
        <w:rPr>
          <w:sz w:val="22"/>
          <w:szCs w:val="22"/>
        </w:rPr>
        <w:t xml:space="preserve">SVV subjektų kūrimuisi, augimui ir plėtrai sudarys iki </w:t>
      </w:r>
      <w:r w:rsidR="3A9CFA44" w:rsidRPr="00640D24">
        <w:rPr>
          <w:b/>
          <w:bCs/>
          <w:sz w:val="22"/>
          <w:szCs w:val="22"/>
        </w:rPr>
        <w:t xml:space="preserve">389 mln. </w:t>
      </w:r>
      <w:proofErr w:type="spellStart"/>
      <w:r w:rsidR="3A9CFA44" w:rsidRPr="00640D24">
        <w:rPr>
          <w:b/>
          <w:bCs/>
          <w:sz w:val="22"/>
          <w:szCs w:val="22"/>
        </w:rPr>
        <w:t>Eur</w:t>
      </w:r>
      <w:proofErr w:type="spellEnd"/>
      <w:r w:rsidR="3A9CFA44" w:rsidRPr="00640D24">
        <w:rPr>
          <w:sz w:val="22"/>
          <w:szCs w:val="22"/>
        </w:rPr>
        <w:t xml:space="preserve">, iš kurių iki </w:t>
      </w:r>
      <w:r w:rsidR="3A9CFA44" w:rsidRPr="00640D24">
        <w:rPr>
          <w:b/>
          <w:bCs/>
          <w:sz w:val="22"/>
          <w:szCs w:val="22"/>
        </w:rPr>
        <w:t xml:space="preserve">272 mln. </w:t>
      </w:r>
      <w:proofErr w:type="spellStart"/>
      <w:r w:rsidR="3A9CFA44" w:rsidRPr="00640D24">
        <w:rPr>
          <w:b/>
          <w:bCs/>
          <w:sz w:val="22"/>
          <w:szCs w:val="22"/>
        </w:rPr>
        <w:t>Eur</w:t>
      </w:r>
      <w:proofErr w:type="spellEnd"/>
      <w:r w:rsidR="3A9CFA44" w:rsidRPr="00640D24">
        <w:rPr>
          <w:sz w:val="22"/>
          <w:szCs w:val="22"/>
        </w:rPr>
        <w:t xml:space="preserve"> </w:t>
      </w:r>
      <w:r w:rsidR="3A9CFA44" w:rsidRPr="00640D24">
        <w:rPr>
          <w:rFonts w:cs="Times New Roman"/>
          <w:sz w:val="22"/>
          <w:szCs w:val="22"/>
        </w:rPr>
        <w:t>Vidurio ir Vakarų Lietuvos regione.</w:t>
      </w:r>
    </w:p>
    <w:p w14:paraId="0ED8AA61" w14:textId="79A0530F" w:rsidR="00F35E1E" w:rsidRPr="00640D24" w:rsidRDefault="00F35E1E" w:rsidP="003367B3">
      <w:pPr>
        <w:autoSpaceDE w:val="0"/>
        <w:autoSpaceDN w:val="0"/>
        <w:adjustRightInd w:val="0"/>
        <w:spacing w:before="60" w:after="60" w:line="240" w:lineRule="auto"/>
        <w:ind w:firstLine="567"/>
        <w:jc w:val="both"/>
        <w:rPr>
          <w:rFonts w:cs="Times New Roman"/>
          <w:i/>
          <w:iCs/>
          <w:sz w:val="22"/>
          <w:szCs w:val="22"/>
        </w:rPr>
      </w:pPr>
      <w:r w:rsidRPr="00640D24">
        <w:rPr>
          <w:rFonts w:cs="Times New Roman"/>
          <w:i/>
          <w:iCs/>
          <w:sz w:val="22"/>
          <w:szCs w:val="22"/>
        </w:rPr>
        <w:t xml:space="preserve">MTEP vykdymas </w:t>
      </w:r>
    </w:p>
    <w:p w14:paraId="4D09B42B" w14:textId="5561DC4C" w:rsidR="00B26122" w:rsidRPr="00640D24" w:rsidRDefault="00476F27" w:rsidP="00D12B54">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2014</w:t>
      </w:r>
      <w:r w:rsidR="005A46AE" w:rsidRPr="00640D24">
        <w:rPr>
          <w:rFonts w:cs="Times New Roman"/>
          <w:sz w:val="22"/>
          <w:szCs w:val="22"/>
        </w:rPr>
        <w:t>–</w:t>
      </w:r>
      <w:r w:rsidRPr="00640D24">
        <w:rPr>
          <w:rFonts w:cs="Times New Roman"/>
          <w:sz w:val="22"/>
          <w:szCs w:val="22"/>
        </w:rPr>
        <w:t xml:space="preserve">2020 m. </w:t>
      </w:r>
      <w:r w:rsidR="00AF3726" w:rsidRPr="00640D24">
        <w:rPr>
          <w:rFonts w:cs="Times New Roman"/>
          <w:sz w:val="22"/>
          <w:szCs w:val="22"/>
        </w:rPr>
        <w:t xml:space="preserve">programavimo </w:t>
      </w:r>
      <w:r w:rsidRPr="00640D24">
        <w:rPr>
          <w:rFonts w:cs="Times New Roman"/>
          <w:sz w:val="22"/>
          <w:szCs w:val="22"/>
        </w:rPr>
        <w:t>laikotarpiu negrąžinamosios subsidijos forma MTEP</w:t>
      </w:r>
      <w:r w:rsidR="00D02D81" w:rsidRPr="00640D24">
        <w:rPr>
          <w:rFonts w:cs="Times New Roman"/>
          <w:sz w:val="22"/>
          <w:szCs w:val="22"/>
        </w:rPr>
        <w:t>I</w:t>
      </w:r>
      <w:r w:rsidRPr="00640D24">
        <w:rPr>
          <w:rFonts w:cs="Times New Roman"/>
          <w:sz w:val="22"/>
          <w:szCs w:val="22"/>
        </w:rPr>
        <w:t xml:space="preserve"> veikloms buvo skirta 321,89 mln. </w:t>
      </w:r>
      <w:proofErr w:type="spellStart"/>
      <w:r w:rsidRPr="00640D24">
        <w:rPr>
          <w:rFonts w:cs="Times New Roman"/>
          <w:sz w:val="22"/>
          <w:szCs w:val="22"/>
        </w:rPr>
        <w:t>Eur</w:t>
      </w:r>
      <w:proofErr w:type="spellEnd"/>
      <w:r w:rsidRPr="00640D24">
        <w:rPr>
          <w:rFonts w:cs="Times New Roman"/>
          <w:sz w:val="22"/>
          <w:szCs w:val="22"/>
        </w:rPr>
        <w:t>.</w:t>
      </w:r>
      <w:r w:rsidR="00F35E1E" w:rsidRPr="00640D24">
        <w:rPr>
          <w:rFonts w:cs="Times New Roman"/>
          <w:sz w:val="22"/>
          <w:szCs w:val="22"/>
        </w:rPr>
        <w:t xml:space="preserve"> </w:t>
      </w:r>
      <w:r w:rsidR="00B26122" w:rsidRPr="00640D24">
        <w:rPr>
          <w:rFonts w:cs="Times New Roman"/>
          <w:sz w:val="22"/>
          <w:szCs w:val="22"/>
        </w:rPr>
        <w:t xml:space="preserve">Šiuo programavimo laikotarpiu taip pat buvo įgyvendinamos ir šiuo metu tęsiamos įgyvendinti rizikos kapitalo FP, skirtos investuoti į MTEPI projektus. </w:t>
      </w:r>
    </w:p>
    <w:p w14:paraId="290D0712" w14:textId="169F56C5" w:rsidR="00F35E1E" w:rsidRPr="00640D24" w:rsidRDefault="00B26122" w:rsidP="00D12B54">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 xml:space="preserve">ES SF panaudojimo vertinimų metu nustatyta, kad poreikis MTEP veiklų finansavimui nuolat auga. </w:t>
      </w:r>
      <w:r w:rsidR="00476F27" w:rsidRPr="00640D24">
        <w:rPr>
          <w:rFonts w:cs="Times New Roman"/>
          <w:sz w:val="22"/>
          <w:szCs w:val="22"/>
        </w:rPr>
        <w:t xml:space="preserve">Remiantis analizuojamais šaltiniais nustatyta, kad Sostinės regione MTEP veiklą vykdančių įmonių reikalingos investicijos sieks </w:t>
      </w:r>
      <w:r w:rsidR="003367B3" w:rsidRPr="00640D24">
        <w:rPr>
          <w:rFonts w:cs="Times New Roman"/>
          <w:b/>
          <w:bCs/>
          <w:sz w:val="22"/>
          <w:szCs w:val="22"/>
        </w:rPr>
        <w:t>386</w:t>
      </w:r>
      <w:r w:rsidR="00D074D8" w:rsidRPr="00640D24">
        <w:rPr>
          <w:rFonts w:cs="Times New Roman"/>
          <w:b/>
          <w:bCs/>
          <w:sz w:val="22"/>
          <w:szCs w:val="22"/>
        </w:rPr>
        <w:t xml:space="preserve"> </w:t>
      </w:r>
      <w:r w:rsidR="00476F27" w:rsidRPr="00640D24">
        <w:rPr>
          <w:rFonts w:cs="Times New Roman"/>
          <w:b/>
          <w:bCs/>
          <w:sz w:val="22"/>
          <w:szCs w:val="22"/>
        </w:rPr>
        <w:t xml:space="preserve">mln. </w:t>
      </w:r>
      <w:proofErr w:type="spellStart"/>
      <w:r w:rsidR="00476F27" w:rsidRPr="00640D24">
        <w:rPr>
          <w:rFonts w:cs="Times New Roman"/>
          <w:b/>
          <w:bCs/>
          <w:sz w:val="22"/>
          <w:szCs w:val="22"/>
        </w:rPr>
        <w:t>Eur</w:t>
      </w:r>
      <w:proofErr w:type="spellEnd"/>
      <w:r w:rsidR="00476F27" w:rsidRPr="00640D24">
        <w:rPr>
          <w:rFonts w:cs="Times New Roman"/>
          <w:sz w:val="22"/>
          <w:szCs w:val="22"/>
        </w:rPr>
        <w:t xml:space="preserve">. </w:t>
      </w:r>
      <w:r w:rsidR="00DF5730" w:rsidRPr="00640D24">
        <w:rPr>
          <w:rFonts w:cs="Times New Roman"/>
          <w:sz w:val="22"/>
          <w:szCs w:val="22"/>
        </w:rPr>
        <w:t>B</w:t>
      </w:r>
      <w:r w:rsidR="00AA14C5" w:rsidRPr="00640D24">
        <w:rPr>
          <w:rFonts w:cs="Times New Roman"/>
          <w:sz w:val="22"/>
          <w:szCs w:val="22"/>
        </w:rPr>
        <w:t>endras finansavimo poreikis MTEP vykdymui</w:t>
      </w:r>
      <w:r w:rsidR="00FA3F59" w:rsidRPr="00640D24">
        <w:rPr>
          <w:rStyle w:val="Puslapioinaosnuoroda"/>
          <w:rFonts w:cs="Times New Roman"/>
          <w:sz w:val="22"/>
          <w:szCs w:val="22"/>
        </w:rPr>
        <w:footnoteReference w:id="111"/>
      </w:r>
      <w:r w:rsidR="00AA14C5" w:rsidRPr="00640D24">
        <w:rPr>
          <w:rFonts w:cs="Times New Roman"/>
          <w:sz w:val="22"/>
          <w:szCs w:val="22"/>
        </w:rPr>
        <w:t xml:space="preserve"> visoje Lietuvoje – </w:t>
      </w:r>
      <w:r w:rsidR="003D4E51" w:rsidRPr="00640D24">
        <w:rPr>
          <w:rFonts w:cs="Times New Roman"/>
          <w:b/>
          <w:sz w:val="22"/>
          <w:szCs w:val="22"/>
        </w:rPr>
        <w:t>476,</w:t>
      </w:r>
      <w:r w:rsidR="000E1A05" w:rsidRPr="00640D24">
        <w:rPr>
          <w:rFonts w:cs="Times New Roman"/>
          <w:b/>
          <w:sz w:val="22"/>
          <w:szCs w:val="22"/>
        </w:rPr>
        <w:t xml:space="preserve">06 </w:t>
      </w:r>
      <w:r w:rsidR="00AA14C5" w:rsidRPr="00640D24">
        <w:rPr>
          <w:rFonts w:cs="Times New Roman"/>
          <w:b/>
          <w:sz w:val="22"/>
          <w:szCs w:val="22"/>
        </w:rPr>
        <w:t>mln</w:t>
      </w:r>
      <w:r w:rsidR="00510019" w:rsidRPr="00640D24">
        <w:rPr>
          <w:rFonts w:cs="Times New Roman"/>
          <w:b/>
          <w:sz w:val="22"/>
          <w:szCs w:val="22"/>
        </w:rPr>
        <w:t>.</w:t>
      </w:r>
      <w:r w:rsidR="00AA14C5" w:rsidRPr="00640D24">
        <w:rPr>
          <w:rFonts w:cs="Times New Roman"/>
          <w:b/>
          <w:sz w:val="22"/>
          <w:szCs w:val="22"/>
        </w:rPr>
        <w:t xml:space="preserve"> </w:t>
      </w:r>
      <w:proofErr w:type="spellStart"/>
      <w:r w:rsidR="00AA14C5" w:rsidRPr="00640D24">
        <w:rPr>
          <w:rFonts w:cs="Times New Roman"/>
          <w:b/>
          <w:sz w:val="22"/>
          <w:szCs w:val="22"/>
        </w:rPr>
        <w:t>Eur</w:t>
      </w:r>
      <w:proofErr w:type="spellEnd"/>
      <w:r w:rsidR="00AA14C5" w:rsidRPr="00640D24">
        <w:rPr>
          <w:rFonts w:cs="Times New Roman"/>
          <w:sz w:val="22"/>
          <w:szCs w:val="22"/>
        </w:rPr>
        <w:t>.</w:t>
      </w:r>
    </w:p>
    <w:p w14:paraId="4CC38825" w14:textId="3ACA729F" w:rsidR="00476F27" w:rsidRPr="00640D24" w:rsidRDefault="00476F27" w:rsidP="00D12B54">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lastRenderedPageBreak/>
        <w:t xml:space="preserve">Atsižvelgiant į tai, kad ši veikla yra skirta Sostinės regione MTEP veiklą vykdančioms įmonėms daroma prielaida, kad </w:t>
      </w:r>
      <w:r w:rsidR="00B26122" w:rsidRPr="00640D24">
        <w:rPr>
          <w:rFonts w:cs="Times New Roman"/>
          <w:sz w:val="22"/>
          <w:szCs w:val="22"/>
        </w:rPr>
        <w:t xml:space="preserve">rizikos kapitalo ir paskolų, derinamų su </w:t>
      </w:r>
      <w:r w:rsidR="00184A61" w:rsidRPr="00640D24">
        <w:rPr>
          <w:rFonts w:cs="Times New Roman"/>
          <w:sz w:val="22"/>
          <w:szCs w:val="22"/>
        </w:rPr>
        <w:t>dotacija</w:t>
      </w:r>
      <w:r w:rsidR="000A44C2" w:rsidRPr="00640D24">
        <w:rPr>
          <w:rFonts w:cs="Times New Roman"/>
          <w:sz w:val="22"/>
          <w:szCs w:val="22"/>
        </w:rPr>
        <w:t>,</w:t>
      </w:r>
      <w:r w:rsidR="00B26122" w:rsidRPr="00640D24">
        <w:rPr>
          <w:rFonts w:cs="Times New Roman"/>
          <w:sz w:val="22"/>
          <w:szCs w:val="22"/>
        </w:rPr>
        <w:t xml:space="preserve"> FP bus</w:t>
      </w:r>
      <w:r w:rsidRPr="00640D24">
        <w:rPr>
          <w:rFonts w:cs="Times New Roman"/>
          <w:sz w:val="22"/>
          <w:szCs w:val="22"/>
        </w:rPr>
        <w:t xml:space="preserve"> ypač aktuali</w:t>
      </w:r>
      <w:r w:rsidR="00B26122" w:rsidRPr="00640D24">
        <w:rPr>
          <w:rFonts w:cs="Times New Roman"/>
          <w:sz w:val="22"/>
          <w:szCs w:val="22"/>
        </w:rPr>
        <w:t xml:space="preserve">os. Šių FP įgyvendinimas leidžia daryti prielaidą, kad </w:t>
      </w:r>
      <w:r w:rsidRPr="00640D24">
        <w:rPr>
          <w:rFonts w:cs="Times New Roman"/>
          <w:sz w:val="22"/>
          <w:szCs w:val="22"/>
        </w:rPr>
        <w:t xml:space="preserve">įmonės bus orientuotos ne tik į </w:t>
      </w:r>
      <w:r w:rsidR="00184A61" w:rsidRPr="00640D24">
        <w:rPr>
          <w:rFonts w:cs="Times New Roman"/>
          <w:sz w:val="22"/>
          <w:szCs w:val="22"/>
        </w:rPr>
        <w:t>dotacijos</w:t>
      </w:r>
      <w:r w:rsidRPr="00640D24">
        <w:rPr>
          <w:rFonts w:cs="Times New Roman"/>
          <w:sz w:val="22"/>
          <w:szCs w:val="22"/>
        </w:rPr>
        <w:t xml:space="preserve"> gavimą, bet ir į kome</w:t>
      </w:r>
      <w:r w:rsidR="00BB0516" w:rsidRPr="00640D24">
        <w:rPr>
          <w:rFonts w:cs="Times New Roman"/>
          <w:sz w:val="22"/>
          <w:szCs w:val="22"/>
        </w:rPr>
        <w:t>r</w:t>
      </w:r>
      <w:r w:rsidRPr="00640D24">
        <w:rPr>
          <w:rFonts w:cs="Times New Roman"/>
          <w:sz w:val="22"/>
          <w:szCs w:val="22"/>
        </w:rPr>
        <w:t xml:space="preserve">ciškai sėkmingo, t. y. pajamas generuojančio, produkto/paslaugos/proceso sukūrimą. </w:t>
      </w:r>
    </w:p>
    <w:p w14:paraId="285E564B" w14:textId="79998B54" w:rsidR="003367B3" w:rsidRPr="00640D24" w:rsidRDefault="003367B3" w:rsidP="003367B3">
      <w:pPr>
        <w:spacing w:before="60" w:after="60" w:line="240" w:lineRule="auto"/>
        <w:rPr>
          <w:rFonts w:cs="Times New Roman"/>
          <w:i/>
          <w:iCs/>
          <w:sz w:val="22"/>
          <w:szCs w:val="22"/>
        </w:rPr>
      </w:pPr>
      <w:r w:rsidRPr="00640D24">
        <w:rPr>
          <w:rFonts w:cs="Times New Roman"/>
          <w:i/>
          <w:iCs/>
          <w:sz w:val="22"/>
          <w:szCs w:val="22"/>
        </w:rPr>
        <w:t xml:space="preserve">Trumpų vertės kūrimo grandinių formavimas ir plėtra tarp MVĮ </w:t>
      </w:r>
    </w:p>
    <w:p w14:paraId="462134B7" w14:textId="77777777" w:rsidR="003367B3" w:rsidRPr="00640D24" w:rsidRDefault="003367B3" w:rsidP="003367B3">
      <w:pPr>
        <w:autoSpaceDE w:val="0"/>
        <w:autoSpaceDN w:val="0"/>
        <w:adjustRightInd w:val="0"/>
        <w:spacing w:before="60" w:after="60" w:line="240" w:lineRule="auto"/>
        <w:ind w:firstLine="567"/>
        <w:jc w:val="both"/>
        <w:rPr>
          <w:rFonts w:cs="Times New Roman"/>
        </w:rPr>
      </w:pPr>
      <w:r w:rsidRPr="00640D24">
        <w:rPr>
          <w:rFonts w:cs="Times New Roman"/>
          <w:sz w:val="22"/>
          <w:szCs w:val="22"/>
        </w:rPr>
        <w:t xml:space="preserve">Trumpų vertės kūrimo grandinių finansavimas nebuvo finansuojamas anksčiau (nei ES SF, nei biudžeto lėšomis), tačiau atsižvelgiant susidariusią konkurencingumo atskirtį tarp Sostinės ir Vidurio ir Vakarų Lietuvos regionų bei MVĮ svarbą bendrame regionų vystymosi kontekste tai yra viena iš 2021–2027 m. programoje numatytų skatinti krypčių. Ši kryptis yra orientuota į viename regione veikiančių ir į trumpas vertės grandines ketinančių jungtis MVĮ plėtrą, skatinant investicijas į gamybos/paslaugų teikimo infrastruktūrą ir naujų darbo vietų sukūrimą. </w:t>
      </w:r>
    </w:p>
    <w:p w14:paraId="276EBBA5" w14:textId="3061EF05" w:rsidR="003367B3" w:rsidRPr="00640D24" w:rsidRDefault="003367B3" w:rsidP="001E5C0D">
      <w:pPr>
        <w:spacing w:before="60" w:after="60" w:line="240" w:lineRule="auto"/>
        <w:ind w:firstLine="567"/>
        <w:jc w:val="both"/>
        <w:rPr>
          <w:rFonts w:cs="Times New Roman"/>
          <w:sz w:val="22"/>
          <w:szCs w:val="22"/>
        </w:rPr>
      </w:pPr>
      <w:r w:rsidRPr="00640D24">
        <w:rPr>
          <w:rFonts w:cs="Times New Roman"/>
          <w:sz w:val="22"/>
          <w:szCs w:val="22"/>
        </w:rPr>
        <w:t xml:space="preserve">Atsižvelgiant į pateiktas prielaidas numatoma, kad finansavimo poreikis trumpų vertės grandinių plėtrai galėtų siekti </w:t>
      </w:r>
      <w:r w:rsidRPr="00640D24">
        <w:rPr>
          <w:rFonts w:cs="Times New Roman"/>
          <w:b/>
          <w:sz w:val="22"/>
          <w:szCs w:val="22"/>
        </w:rPr>
        <w:t xml:space="preserve">145,66 mln. </w:t>
      </w:r>
      <w:proofErr w:type="spellStart"/>
      <w:r w:rsidRPr="00640D24">
        <w:rPr>
          <w:rFonts w:cs="Times New Roman"/>
          <w:b/>
          <w:sz w:val="22"/>
          <w:szCs w:val="22"/>
        </w:rPr>
        <w:t>Eur</w:t>
      </w:r>
      <w:proofErr w:type="spellEnd"/>
      <w:r w:rsidRPr="00640D24">
        <w:rPr>
          <w:rFonts w:cs="Times New Roman"/>
          <w:sz w:val="22"/>
          <w:szCs w:val="22"/>
        </w:rPr>
        <w:t xml:space="preserve"> </w:t>
      </w:r>
      <w:r w:rsidR="00645085" w:rsidRPr="00640D24">
        <w:rPr>
          <w:rFonts w:cs="Times New Roman"/>
          <w:sz w:val="22"/>
          <w:szCs w:val="22"/>
        </w:rPr>
        <w:t>–</w:t>
      </w:r>
      <w:r w:rsidRPr="00640D24">
        <w:rPr>
          <w:rFonts w:cs="Times New Roman"/>
          <w:sz w:val="22"/>
          <w:szCs w:val="22"/>
        </w:rPr>
        <w:t xml:space="preserve"> (iš jų Vidurio ir Vakarų Lietuvoje </w:t>
      </w:r>
      <w:r w:rsidR="00645085" w:rsidRPr="00640D24">
        <w:rPr>
          <w:rFonts w:cs="Times New Roman"/>
          <w:sz w:val="22"/>
          <w:szCs w:val="22"/>
        </w:rPr>
        <w:t>–</w:t>
      </w:r>
      <w:r w:rsidRPr="00640D24">
        <w:rPr>
          <w:rFonts w:cs="Times New Roman"/>
          <w:sz w:val="22"/>
          <w:szCs w:val="22"/>
        </w:rPr>
        <w:t xml:space="preserve"> </w:t>
      </w:r>
      <w:r w:rsidRPr="00640D24">
        <w:rPr>
          <w:rFonts w:cs="Times New Roman"/>
          <w:b/>
          <w:bCs/>
          <w:sz w:val="22"/>
          <w:szCs w:val="22"/>
        </w:rPr>
        <w:t xml:space="preserve">95,61 mln. </w:t>
      </w:r>
      <w:proofErr w:type="spellStart"/>
      <w:r w:rsidRPr="00640D24">
        <w:rPr>
          <w:rFonts w:cs="Times New Roman"/>
          <w:b/>
          <w:bCs/>
          <w:sz w:val="22"/>
          <w:szCs w:val="22"/>
        </w:rPr>
        <w:t>Eur</w:t>
      </w:r>
      <w:proofErr w:type="spellEnd"/>
      <w:r w:rsidRPr="00640D24">
        <w:rPr>
          <w:rFonts w:cs="Times New Roman"/>
          <w:sz w:val="22"/>
          <w:szCs w:val="22"/>
        </w:rPr>
        <w:t xml:space="preserve">.). Šios verslo finansavimo krypties finansavimas galėtų būti įgyvendinamas per tiesioginį INVEGOS skolinį finansavimą įrangos įsigijimui, verslo procesų modernizavimui ir iš dalies subsidijuoti darbo užmokestį arba derinant FP ir </w:t>
      </w:r>
      <w:r w:rsidR="00184A61" w:rsidRPr="00640D24">
        <w:rPr>
          <w:rFonts w:cs="Times New Roman"/>
          <w:sz w:val="22"/>
          <w:szCs w:val="22"/>
        </w:rPr>
        <w:t>dotacijas</w:t>
      </w:r>
      <w:r w:rsidRPr="00640D24">
        <w:rPr>
          <w:rFonts w:cs="Times New Roman"/>
          <w:sz w:val="22"/>
          <w:szCs w:val="22"/>
        </w:rPr>
        <w:t xml:space="preserve">, kuomet įgyvendinus finansuojamą projektą yra galimybė nebegrąžinti dalies suteikto finansavimo (angl. </w:t>
      </w:r>
      <w:proofErr w:type="spellStart"/>
      <w:r w:rsidRPr="00640D24">
        <w:rPr>
          <w:rFonts w:cs="Times New Roman"/>
          <w:i/>
          <w:sz w:val="22"/>
          <w:szCs w:val="22"/>
        </w:rPr>
        <w:t>capital</w:t>
      </w:r>
      <w:proofErr w:type="spellEnd"/>
      <w:r w:rsidRPr="00640D24">
        <w:rPr>
          <w:rFonts w:cs="Times New Roman"/>
          <w:i/>
          <w:sz w:val="22"/>
          <w:szCs w:val="22"/>
        </w:rPr>
        <w:t xml:space="preserve"> </w:t>
      </w:r>
      <w:proofErr w:type="spellStart"/>
      <w:r w:rsidRPr="00640D24">
        <w:rPr>
          <w:rFonts w:cs="Times New Roman"/>
          <w:i/>
          <w:sz w:val="22"/>
          <w:szCs w:val="22"/>
        </w:rPr>
        <w:t>rebate</w:t>
      </w:r>
      <w:proofErr w:type="spellEnd"/>
      <w:r w:rsidRPr="00640D24">
        <w:rPr>
          <w:rFonts w:cs="Times New Roman"/>
          <w:sz w:val="22"/>
          <w:szCs w:val="22"/>
        </w:rPr>
        <w:t xml:space="preserve">). </w:t>
      </w:r>
    </w:p>
    <w:p w14:paraId="3CED732E" w14:textId="381B50DC" w:rsidR="00F35E1E" w:rsidRPr="00640D24" w:rsidRDefault="00F35E1E" w:rsidP="00D12B54">
      <w:pPr>
        <w:spacing w:before="60" w:after="60" w:line="240" w:lineRule="auto"/>
        <w:rPr>
          <w:rFonts w:cs="Times New Roman"/>
          <w:i/>
          <w:iCs/>
          <w:sz w:val="22"/>
          <w:szCs w:val="22"/>
        </w:rPr>
      </w:pPr>
      <w:r w:rsidRPr="00640D24">
        <w:rPr>
          <w:rFonts w:cs="Times New Roman"/>
          <w:i/>
          <w:iCs/>
          <w:sz w:val="22"/>
          <w:szCs w:val="22"/>
        </w:rPr>
        <w:t xml:space="preserve">TUI pritraukimas MTEPI veiklų skatinimui </w:t>
      </w:r>
    </w:p>
    <w:p w14:paraId="5982484D" w14:textId="0C0CD185" w:rsidR="00476F27" w:rsidRPr="00640D24" w:rsidRDefault="000D6C24" w:rsidP="00B26122">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Dalyvavimas konkrečiuose kvietimuose TUI skatinimui rodo užsienio investuotojų susidomėjimą MTEP</w:t>
      </w:r>
      <w:r w:rsidR="00D02D81" w:rsidRPr="00640D24">
        <w:rPr>
          <w:rFonts w:cs="Times New Roman"/>
          <w:sz w:val="22"/>
          <w:szCs w:val="22"/>
        </w:rPr>
        <w:t>I</w:t>
      </w:r>
      <w:r w:rsidRPr="00640D24">
        <w:rPr>
          <w:rFonts w:cs="Times New Roman"/>
          <w:sz w:val="22"/>
          <w:szCs w:val="22"/>
        </w:rPr>
        <w:t xml:space="preserve"> veiklų vykdymu Lietuvoje. Atliktų interviu metu buvo nustatytas didelis TUI finansavimo poreikis – tai patvirtina trečiasis „</w:t>
      </w:r>
      <w:proofErr w:type="spellStart"/>
      <w:r w:rsidRPr="00640D24">
        <w:rPr>
          <w:rFonts w:cs="Times New Roman"/>
          <w:sz w:val="22"/>
          <w:szCs w:val="22"/>
        </w:rPr>
        <w:t>Smart</w:t>
      </w:r>
      <w:proofErr w:type="spellEnd"/>
      <w:r w:rsidRPr="00640D24">
        <w:rPr>
          <w:rFonts w:cs="Times New Roman"/>
          <w:sz w:val="22"/>
          <w:szCs w:val="22"/>
        </w:rPr>
        <w:t xml:space="preserve"> FDI“ kvietimas, kuris per 80 minučių po paskelbimo dvigubai viršijo kvietimo biudžetą. </w:t>
      </w:r>
      <w:r w:rsidR="00B26122" w:rsidRPr="00640D24">
        <w:rPr>
          <w:rFonts w:cs="Times New Roman"/>
          <w:sz w:val="22"/>
          <w:szCs w:val="22"/>
        </w:rPr>
        <w:t>R</w:t>
      </w:r>
      <w:r w:rsidR="00476F27" w:rsidRPr="00640D24">
        <w:rPr>
          <w:rFonts w:cs="Times New Roman"/>
          <w:sz w:val="22"/>
          <w:szCs w:val="22"/>
        </w:rPr>
        <w:t>emiantis kokybinio tyrimo duomenimis daroma išvada, kad šiuo metu yra matomas didelis poreikis investicijoms į MTEP</w:t>
      </w:r>
      <w:r w:rsidR="00D02D81" w:rsidRPr="00640D24">
        <w:rPr>
          <w:rFonts w:cs="Times New Roman"/>
          <w:sz w:val="22"/>
          <w:szCs w:val="22"/>
        </w:rPr>
        <w:t>I</w:t>
      </w:r>
      <w:r w:rsidR="00476F27" w:rsidRPr="00640D24">
        <w:rPr>
          <w:rFonts w:cs="Times New Roman"/>
          <w:sz w:val="22"/>
          <w:szCs w:val="22"/>
        </w:rPr>
        <w:t xml:space="preserve"> veiklas ir atsižvelgiant į tai, kad finansavimo poreikis yra skaičiuojamas septyn</w:t>
      </w:r>
      <w:r w:rsidR="00B26122" w:rsidRPr="00640D24">
        <w:rPr>
          <w:rFonts w:cs="Times New Roman"/>
          <w:sz w:val="22"/>
          <w:szCs w:val="22"/>
        </w:rPr>
        <w:t>eri</w:t>
      </w:r>
      <w:r w:rsidR="00476F27" w:rsidRPr="00640D24">
        <w:rPr>
          <w:rFonts w:cs="Times New Roman"/>
          <w:sz w:val="22"/>
          <w:szCs w:val="22"/>
        </w:rPr>
        <w:t>ems metams, reikalingas tam tikras rezervas. Finansavimo poreikis 2021</w:t>
      </w:r>
      <w:r w:rsidR="00893EAA" w:rsidRPr="00640D24">
        <w:rPr>
          <w:rFonts w:cs="Times New Roman"/>
          <w:sz w:val="22"/>
          <w:szCs w:val="22"/>
        </w:rPr>
        <w:t>–</w:t>
      </w:r>
      <w:r w:rsidR="00476F27" w:rsidRPr="00640D24">
        <w:rPr>
          <w:rFonts w:cs="Times New Roman"/>
          <w:sz w:val="22"/>
          <w:szCs w:val="22"/>
        </w:rPr>
        <w:t xml:space="preserve">2027 m. galėtų siekti </w:t>
      </w:r>
      <w:r w:rsidR="000F6F71" w:rsidRPr="00640D24">
        <w:rPr>
          <w:rFonts w:cs="Times New Roman"/>
          <w:b/>
          <w:bCs/>
          <w:sz w:val="22"/>
          <w:szCs w:val="22"/>
        </w:rPr>
        <w:t xml:space="preserve">76,45 </w:t>
      </w:r>
      <w:r w:rsidR="00476F27" w:rsidRPr="00640D24">
        <w:rPr>
          <w:rFonts w:cs="Times New Roman"/>
          <w:b/>
          <w:bCs/>
          <w:sz w:val="22"/>
          <w:szCs w:val="22"/>
        </w:rPr>
        <w:t xml:space="preserve">mln. </w:t>
      </w:r>
      <w:proofErr w:type="spellStart"/>
      <w:r w:rsidR="00476F27" w:rsidRPr="00640D24">
        <w:rPr>
          <w:rFonts w:cs="Times New Roman"/>
          <w:b/>
          <w:bCs/>
          <w:sz w:val="22"/>
          <w:szCs w:val="22"/>
        </w:rPr>
        <w:t>Eur</w:t>
      </w:r>
      <w:proofErr w:type="spellEnd"/>
      <w:r w:rsidR="00476F27" w:rsidRPr="00640D24">
        <w:rPr>
          <w:rFonts w:cs="Times New Roman"/>
          <w:b/>
          <w:bCs/>
          <w:sz w:val="22"/>
          <w:szCs w:val="22"/>
        </w:rPr>
        <w:t xml:space="preserve"> + 20 proc. rezervas.</w:t>
      </w:r>
    </w:p>
    <w:p w14:paraId="1B4FB4EF" w14:textId="0AF9CAB0" w:rsidR="00B26122" w:rsidRPr="00640D24" w:rsidRDefault="00B26122" w:rsidP="00B26122">
      <w:pPr>
        <w:spacing w:after="120" w:line="240" w:lineRule="auto"/>
        <w:ind w:firstLine="567"/>
        <w:jc w:val="both"/>
        <w:rPr>
          <w:rFonts w:cs="Times New Roman"/>
          <w:sz w:val="22"/>
          <w:szCs w:val="22"/>
        </w:rPr>
      </w:pPr>
      <w:r w:rsidRPr="00640D24">
        <w:rPr>
          <w:rFonts w:cs="Times New Roman"/>
          <w:sz w:val="22"/>
          <w:szCs w:val="22"/>
        </w:rPr>
        <w:t>2021–2027 m. programoje pažymima, kad TUI pritraukimo į MTEP</w:t>
      </w:r>
      <w:r w:rsidR="00D02D81" w:rsidRPr="00640D24">
        <w:rPr>
          <w:rFonts w:cs="Times New Roman"/>
          <w:sz w:val="22"/>
          <w:szCs w:val="22"/>
        </w:rPr>
        <w:t>I</w:t>
      </w:r>
      <w:r w:rsidRPr="00640D24">
        <w:rPr>
          <w:rFonts w:cs="Times New Roman"/>
          <w:sz w:val="22"/>
          <w:szCs w:val="22"/>
        </w:rPr>
        <w:t xml:space="preserve"> skatinimą Vidurio ir Vakarų Lietuvos regione galima finansuoti pritaikant FP, tačiau tai gali būti nepatrauklu užsienio investuotojams dėl (1) ilgo atsiperkamumo laikotarpio ir (2) didelės talentų trūkumo rizikos. Atsižvelgiant į užsienio investuotojų įžvelgiamas rizikas bei įtemptą konkurenciją regione dėl TUI vertinimo metu nustatyta, kad finansavimas turėtų būti ir toliau skiriamas </w:t>
      </w:r>
      <w:r w:rsidR="00184A61" w:rsidRPr="00640D24">
        <w:rPr>
          <w:rFonts w:cs="Times New Roman"/>
          <w:sz w:val="22"/>
          <w:szCs w:val="22"/>
        </w:rPr>
        <w:t>dotacijų</w:t>
      </w:r>
      <w:r w:rsidRPr="00640D24">
        <w:rPr>
          <w:rFonts w:cs="Times New Roman"/>
          <w:sz w:val="22"/>
          <w:szCs w:val="22"/>
        </w:rPr>
        <w:t xml:space="preserve"> forma. Nors </w:t>
      </w:r>
      <w:r w:rsidR="00184A61" w:rsidRPr="00640D24">
        <w:rPr>
          <w:rFonts w:cs="Times New Roman"/>
          <w:sz w:val="22"/>
          <w:szCs w:val="22"/>
        </w:rPr>
        <w:t>dotacijos</w:t>
      </w:r>
      <w:r w:rsidRPr="00640D24">
        <w:rPr>
          <w:rFonts w:cs="Times New Roman"/>
          <w:sz w:val="22"/>
          <w:szCs w:val="22"/>
        </w:rPr>
        <w:t xml:space="preserve"> negeneruoja tiesioginės grąžos, investuotojų patirtis, žinios, technologinė pažanga, </w:t>
      </w:r>
      <w:proofErr w:type="spellStart"/>
      <w:r w:rsidRPr="00640D24">
        <w:rPr>
          <w:rFonts w:cs="Times New Roman"/>
          <w:sz w:val="22"/>
          <w:szCs w:val="22"/>
        </w:rPr>
        <w:t>tarptautiškumas</w:t>
      </w:r>
      <w:proofErr w:type="spellEnd"/>
      <w:r w:rsidRPr="00640D24">
        <w:rPr>
          <w:rFonts w:cs="Times New Roman"/>
          <w:sz w:val="22"/>
          <w:szCs w:val="22"/>
        </w:rPr>
        <w:t xml:space="preserve"> ilgalaikėje perspektyvoje kuria pridėtinę vertę šalies ekonomikai. 2021–2027 m. </w:t>
      </w:r>
      <w:r w:rsidR="003E1154" w:rsidRPr="00640D24">
        <w:rPr>
          <w:rFonts w:cs="Times New Roman"/>
          <w:sz w:val="22"/>
          <w:szCs w:val="22"/>
        </w:rPr>
        <w:t xml:space="preserve">ES SF </w:t>
      </w:r>
      <w:r w:rsidRPr="00640D24">
        <w:rPr>
          <w:rFonts w:cs="Times New Roman"/>
          <w:sz w:val="22"/>
          <w:szCs w:val="22"/>
        </w:rPr>
        <w:t xml:space="preserve">programavimo laikotarpiu galėtų būti investicijos į TUI </w:t>
      </w:r>
      <w:r w:rsidR="00CD129B" w:rsidRPr="00640D24">
        <w:rPr>
          <w:rFonts w:cs="Times New Roman"/>
          <w:sz w:val="22"/>
          <w:szCs w:val="22"/>
        </w:rPr>
        <w:t>pritraukimą</w:t>
      </w:r>
      <w:r w:rsidRPr="00640D24">
        <w:rPr>
          <w:rFonts w:cs="Times New Roman"/>
          <w:sz w:val="22"/>
          <w:szCs w:val="22"/>
        </w:rPr>
        <w:t xml:space="preserve"> MTEP</w:t>
      </w:r>
      <w:r w:rsidR="00D02D81" w:rsidRPr="00640D24">
        <w:rPr>
          <w:rFonts w:cs="Times New Roman"/>
          <w:sz w:val="22"/>
          <w:szCs w:val="22"/>
        </w:rPr>
        <w:t>I</w:t>
      </w:r>
      <w:r w:rsidRPr="00640D24">
        <w:rPr>
          <w:rFonts w:cs="Times New Roman"/>
          <w:sz w:val="22"/>
          <w:szCs w:val="22"/>
        </w:rPr>
        <w:t xml:space="preserve"> veiklų skatinimui galėtų būti atliekamos grąžinamųjų </w:t>
      </w:r>
      <w:r w:rsidR="00184A61" w:rsidRPr="00640D24">
        <w:rPr>
          <w:rFonts w:cs="Times New Roman"/>
          <w:sz w:val="22"/>
          <w:szCs w:val="22"/>
        </w:rPr>
        <w:t>dotacijų</w:t>
      </w:r>
      <w:r w:rsidRPr="00640D24">
        <w:rPr>
          <w:rFonts w:cs="Times New Roman"/>
          <w:sz w:val="22"/>
          <w:szCs w:val="22"/>
        </w:rPr>
        <w:t xml:space="preserve"> forma, taip įgyvendinant nuoseklų perėjimą prie FP.</w:t>
      </w:r>
    </w:p>
    <w:p w14:paraId="37F8F40E" w14:textId="51B0C2AD" w:rsidR="003367B3" w:rsidRPr="00640D24" w:rsidRDefault="00701B2A" w:rsidP="00D12B54">
      <w:pPr>
        <w:spacing w:before="60" w:after="60" w:line="240" w:lineRule="auto"/>
        <w:rPr>
          <w:rFonts w:cs="Times New Roman"/>
          <w:i/>
          <w:iCs/>
          <w:sz w:val="22"/>
          <w:szCs w:val="22"/>
        </w:rPr>
      </w:pPr>
      <w:r w:rsidRPr="00640D24">
        <w:rPr>
          <w:rFonts w:eastAsiaTheme="majorEastAsia" w:cstheme="majorBidi"/>
          <w:b/>
          <w:i/>
          <w:iCs/>
        </w:rPr>
        <w:t>Pramonės įmonių skatinimas ir konkurencingumo didinimas</w:t>
      </w:r>
    </w:p>
    <w:p w14:paraId="646853CA" w14:textId="2BB11528" w:rsidR="00701B2A" w:rsidRPr="00640D24" w:rsidRDefault="00701B2A" w:rsidP="00D12B54">
      <w:pPr>
        <w:spacing w:before="60" w:after="60" w:line="240" w:lineRule="auto"/>
        <w:rPr>
          <w:rFonts w:cs="Times New Roman"/>
          <w:i/>
          <w:iCs/>
          <w:sz w:val="22"/>
          <w:szCs w:val="22"/>
        </w:rPr>
      </w:pPr>
      <w:r w:rsidRPr="00640D24">
        <w:rPr>
          <w:rFonts w:cs="Times New Roman"/>
          <w:i/>
          <w:iCs/>
          <w:sz w:val="22"/>
          <w:szCs w:val="22"/>
        </w:rPr>
        <w:t>Pramonės įmonių transformacijos skatinimas</w:t>
      </w:r>
    </w:p>
    <w:p w14:paraId="3E06DB2E" w14:textId="02795FA9" w:rsidR="00701B2A" w:rsidRPr="00640D24" w:rsidRDefault="00701B2A" w:rsidP="001E5C0D">
      <w:pPr>
        <w:spacing w:before="60" w:after="60" w:line="240" w:lineRule="auto"/>
        <w:jc w:val="both"/>
        <w:rPr>
          <w:rFonts w:cs="Times New Roman"/>
          <w:i/>
          <w:iCs/>
          <w:sz w:val="22"/>
          <w:szCs w:val="22"/>
        </w:rPr>
      </w:pPr>
      <w:r w:rsidRPr="00640D24">
        <w:rPr>
          <w:rFonts w:cs="Times New Roman"/>
          <w:sz w:val="22"/>
          <w:szCs w:val="22"/>
        </w:rPr>
        <w:t xml:space="preserve">Aktyvi ES iniciuota Žaliojo kurso politika, strateginiai Lietuvos dokumentai bei didėjantis vartotojų sąmoningumas rinktis mažesnį poveikį aplinkai darančias prekes/paslaugas, skatins įmones investuoti į prekių/paslaugų ir/ar gamybos proceso tobulinimą. Šios veiklos finansavimas yra nukreiptas </w:t>
      </w:r>
      <w:proofErr w:type="spellStart"/>
      <w:r w:rsidRPr="00640D24">
        <w:rPr>
          <w:rFonts w:cs="Times New Roman"/>
          <w:sz w:val="22"/>
          <w:szCs w:val="22"/>
        </w:rPr>
        <w:t>inovatyvių</w:t>
      </w:r>
      <w:proofErr w:type="spellEnd"/>
      <w:r w:rsidRPr="00640D24">
        <w:rPr>
          <w:rFonts w:cs="Times New Roman"/>
          <w:sz w:val="22"/>
          <w:szCs w:val="22"/>
        </w:rPr>
        <w:t xml:space="preserve"> skaitmeninių ir aplinkai draugiškų technologijų kūrimo ir sukurtų technologijų diegimas pramonės įmonėse. ES SF </w:t>
      </w:r>
      <w:r w:rsidR="00362630" w:rsidRPr="00640D24">
        <w:rPr>
          <w:rFonts w:cs="Times New Roman"/>
          <w:sz w:val="22"/>
          <w:szCs w:val="22"/>
        </w:rPr>
        <w:t xml:space="preserve">lėšomis teikiamą </w:t>
      </w:r>
      <w:r w:rsidRPr="00640D24">
        <w:rPr>
          <w:rFonts w:cs="Times New Roman"/>
          <w:sz w:val="22"/>
          <w:szCs w:val="22"/>
        </w:rPr>
        <w:t xml:space="preserve">finansavimą paskolų </w:t>
      </w:r>
      <w:r w:rsidR="00362630" w:rsidRPr="00640D24">
        <w:rPr>
          <w:rFonts w:cs="Times New Roman"/>
          <w:sz w:val="22"/>
          <w:szCs w:val="22"/>
        </w:rPr>
        <w:t xml:space="preserve">forma siūloma </w:t>
      </w:r>
      <w:r w:rsidRPr="00640D24">
        <w:rPr>
          <w:rFonts w:cs="Times New Roman"/>
          <w:sz w:val="22"/>
          <w:szCs w:val="22"/>
        </w:rPr>
        <w:t>derin</w:t>
      </w:r>
      <w:r w:rsidR="006F7815" w:rsidRPr="00640D24">
        <w:rPr>
          <w:rFonts w:cs="Times New Roman"/>
          <w:sz w:val="22"/>
          <w:szCs w:val="22"/>
        </w:rPr>
        <w:t>ti</w:t>
      </w:r>
      <w:r w:rsidR="005811B7" w:rsidRPr="00640D24">
        <w:rPr>
          <w:rFonts w:cs="Times New Roman"/>
          <w:sz w:val="22"/>
          <w:szCs w:val="22"/>
        </w:rPr>
        <w:t xml:space="preserve"> </w:t>
      </w:r>
      <w:r w:rsidRPr="00640D24">
        <w:rPr>
          <w:rFonts w:cs="Times New Roman"/>
          <w:sz w:val="22"/>
          <w:szCs w:val="22"/>
        </w:rPr>
        <w:t xml:space="preserve">su </w:t>
      </w:r>
      <w:r w:rsidR="00184A61" w:rsidRPr="00640D24">
        <w:rPr>
          <w:rFonts w:cs="Times New Roman"/>
          <w:sz w:val="22"/>
          <w:szCs w:val="22"/>
        </w:rPr>
        <w:t>dotacija</w:t>
      </w:r>
      <w:r w:rsidR="007927F9" w:rsidRPr="00640D24">
        <w:rPr>
          <w:rFonts w:cs="Times New Roman"/>
          <w:sz w:val="22"/>
          <w:szCs w:val="22"/>
        </w:rPr>
        <w:t>.</w:t>
      </w:r>
    </w:p>
    <w:p w14:paraId="4C901FF9" w14:textId="05577DF6" w:rsidR="00F35E1E" w:rsidRPr="00640D24" w:rsidRDefault="00F35E1E" w:rsidP="00D12B54">
      <w:pPr>
        <w:spacing w:before="60" w:after="60" w:line="240" w:lineRule="auto"/>
        <w:rPr>
          <w:rFonts w:cs="Times New Roman"/>
          <w:i/>
          <w:iCs/>
          <w:sz w:val="22"/>
          <w:szCs w:val="22"/>
        </w:rPr>
      </w:pPr>
      <w:r w:rsidRPr="00640D24">
        <w:rPr>
          <w:rFonts w:cs="Times New Roman"/>
          <w:i/>
          <w:iCs/>
          <w:sz w:val="22"/>
          <w:szCs w:val="22"/>
        </w:rPr>
        <w:t xml:space="preserve">Pramonės </w:t>
      </w:r>
      <w:r w:rsidR="0036401A" w:rsidRPr="00640D24">
        <w:rPr>
          <w:rFonts w:cs="Times New Roman"/>
          <w:i/>
          <w:iCs/>
          <w:sz w:val="22"/>
          <w:szCs w:val="22"/>
        </w:rPr>
        <w:t xml:space="preserve">įmonių </w:t>
      </w:r>
      <w:r w:rsidRPr="00640D24">
        <w:rPr>
          <w:rFonts w:cs="Times New Roman"/>
          <w:i/>
          <w:iCs/>
          <w:sz w:val="22"/>
          <w:szCs w:val="22"/>
        </w:rPr>
        <w:t xml:space="preserve">gamybos procesų automatizavimo ir </w:t>
      </w:r>
      <w:proofErr w:type="spellStart"/>
      <w:r w:rsidRPr="00640D24">
        <w:rPr>
          <w:rFonts w:cs="Times New Roman"/>
          <w:i/>
          <w:iCs/>
          <w:sz w:val="22"/>
          <w:szCs w:val="22"/>
        </w:rPr>
        <w:t>skaitmeninimo</w:t>
      </w:r>
      <w:proofErr w:type="spellEnd"/>
      <w:r w:rsidRPr="00640D24">
        <w:rPr>
          <w:rFonts w:cs="Times New Roman"/>
          <w:i/>
          <w:iCs/>
          <w:sz w:val="22"/>
          <w:szCs w:val="22"/>
        </w:rPr>
        <w:t xml:space="preserve"> technologijų diegimas (pramonės </w:t>
      </w:r>
      <w:proofErr w:type="spellStart"/>
      <w:r w:rsidRPr="00640D24">
        <w:rPr>
          <w:rFonts w:cs="Times New Roman"/>
          <w:i/>
          <w:iCs/>
          <w:sz w:val="22"/>
          <w:szCs w:val="22"/>
        </w:rPr>
        <w:t>skaitmeninimas</w:t>
      </w:r>
      <w:proofErr w:type="spellEnd"/>
      <w:r w:rsidRPr="00640D24">
        <w:rPr>
          <w:rFonts w:cs="Times New Roman"/>
          <w:i/>
          <w:iCs/>
          <w:sz w:val="22"/>
          <w:szCs w:val="22"/>
        </w:rPr>
        <w:t xml:space="preserve">) </w:t>
      </w:r>
    </w:p>
    <w:p w14:paraId="51A4AB8C" w14:textId="5163635E" w:rsidR="0002090D" w:rsidRPr="00640D24" w:rsidRDefault="003B5DFF" w:rsidP="00255C48">
      <w:pPr>
        <w:spacing w:before="60" w:after="60" w:line="240" w:lineRule="auto"/>
        <w:jc w:val="both"/>
        <w:rPr>
          <w:rFonts w:cs="Times New Roman"/>
          <w:sz w:val="22"/>
          <w:szCs w:val="22"/>
        </w:rPr>
      </w:pPr>
      <w:r w:rsidRPr="00640D24">
        <w:rPr>
          <w:rFonts w:cs="Times New Roman"/>
          <w:sz w:val="22"/>
          <w:szCs w:val="22"/>
        </w:rPr>
        <w:t>Lietuvos konkurencingumo stiprinimas yra neatsiejamas nuo investicijų pritraukimo į regionus ir jų plėtros strategijų „perkrovimo“.</w:t>
      </w:r>
      <w:r w:rsidR="00362630" w:rsidRPr="00640D24">
        <w:rPr>
          <w:rFonts w:cs="Times New Roman"/>
          <w:sz w:val="22"/>
          <w:szCs w:val="22"/>
        </w:rPr>
        <w:t xml:space="preserve"> ES SF lėšomis teikiamą finansavimą paskolų forma siūloma derin</w:t>
      </w:r>
      <w:r w:rsidR="006F7815" w:rsidRPr="00640D24">
        <w:rPr>
          <w:rFonts w:cs="Times New Roman"/>
          <w:sz w:val="22"/>
          <w:szCs w:val="22"/>
        </w:rPr>
        <w:t>ti</w:t>
      </w:r>
      <w:r w:rsidR="00362630" w:rsidRPr="00640D24">
        <w:rPr>
          <w:rFonts w:cs="Times New Roman"/>
          <w:sz w:val="22"/>
          <w:szCs w:val="22"/>
        </w:rPr>
        <w:t xml:space="preserve"> su </w:t>
      </w:r>
      <w:r w:rsidR="0002090D" w:rsidRPr="00640D24">
        <w:rPr>
          <w:rFonts w:cs="Times New Roman"/>
          <w:sz w:val="22"/>
          <w:szCs w:val="22"/>
        </w:rPr>
        <w:t>dotacija</w:t>
      </w:r>
      <w:r w:rsidR="00476DC8" w:rsidRPr="00640D24">
        <w:rPr>
          <w:rFonts w:cs="Times New Roman"/>
          <w:sz w:val="22"/>
          <w:szCs w:val="22"/>
        </w:rPr>
        <w:t>.</w:t>
      </w:r>
    </w:p>
    <w:p w14:paraId="3B3F58D2" w14:textId="5EDCA4A1" w:rsidR="00F35E1E" w:rsidRPr="00640D24" w:rsidRDefault="00F35E1E" w:rsidP="00255C48">
      <w:pPr>
        <w:spacing w:before="60" w:after="60" w:line="240" w:lineRule="auto"/>
        <w:jc w:val="both"/>
        <w:rPr>
          <w:rFonts w:cs="Times New Roman"/>
          <w:i/>
          <w:iCs/>
          <w:sz w:val="22"/>
          <w:szCs w:val="22"/>
        </w:rPr>
      </w:pPr>
      <w:r w:rsidRPr="00640D24">
        <w:rPr>
          <w:rFonts w:cs="Times New Roman"/>
          <w:i/>
          <w:iCs/>
          <w:sz w:val="22"/>
          <w:szCs w:val="22"/>
        </w:rPr>
        <w:t>Aukštą pridėtinę vertę kuriančių</w:t>
      </w:r>
      <w:r w:rsidR="00870132" w:rsidRPr="00640D24">
        <w:rPr>
          <w:rFonts w:cs="Times New Roman"/>
          <w:i/>
          <w:iCs/>
          <w:sz w:val="22"/>
          <w:szCs w:val="22"/>
        </w:rPr>
        <w:t xml:space="preserve"> pramonės</w:t>
      </w:r>
      <w:r w:rsidRPr="00640D24">
        <w:rPr>
          <w:rFonts w:cs="Times New Roman"/>
          <w:i/>
          <w:iCs/>
          <w:sz w:val="22"/>
          <w:szCs w:val="22"/>
        </w:rPr>
        <w:t xml:space="preserve"> </w:t>
      </w:r>
      <w:r w:rsidR="00ED58B3" w:rsidRPr="00640D24">
        <w:rPr>
          <w:rFonts w:cs="Times New Roman"/>
          <w:i/>
          <w:iCs/>
          <w:sz w:val="22"/>
          <w:szCs w:val="22"/>
        </w:rPr>
        <w:t xml:space="preserve">įmonių  </w:t>
      </w:r>
      <w:r w:rsidR="007C2090" w:rsidRPr="00640D24">
        <w:rPr>
          <w:rFonts w:cs="Times New Roman"/>
          <w:i/>
          <w:iCs/>
          <w:sz w:val="22"/>
          <w:szCs w:val="22"/>
        </w:rPr>
        <w:t xml:space="preserve">gamybos </w:t>
      </w:r>
      <w:r w:rsidRPr="00640D24">
        <w:rPr>
          <w:rFonts w:cs="Times New Roman"/>
          <w:i/>
          <w:iCs/>
          <w:sz w:val="22"/>
          <w:szCs w:val="22"/>
        </w:rPr>
        <w:t xml:space="preserve"> procesų </w:t>
      </w:r>
      <w:proofErr w:type="spellStart"/>
      <w:r w:rsidRPr="00640D24">
        <w:rPr>
          <w:rFonts w:cs="Times New Roman"/>
          <w:i/>
          <w:iCs/>
          <w:sz w:val="22"/>
          <w:szCs w:val="22"/>
        </w:rPr>
        <w:t>skaitmeninimas</w:t>
      </w:r>
      <w:proofErr w:type="spellEnd"/>
      <w:r w:rsidRPr="00640D24">
        <w:rPr>
          <w:rFonts w:cs="Times New Roman"/>
          <w:i/>
          <w:iCs/>
          <w:sz w:val="22"/>
          <w:szCs w:val="22"/>
        </w:rPr>
        <w:t xml:space="preserve"> </w:t>
      </w:r>
    </w:p>
    <w:p w14:paraId="083F4928" w14:textId="5E3B5414" w:rsidR="00F35E1E" w:rsidRPr="00640D24" w:rsidRDefault="00F35E1E" w:rsidP="00D12B54">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 xml:space="preserve">Vis dėlto, siekiant išvengti „vidutinių pajamų spąstų“ ir Lietuvos kaip žemą pridėtinę vertę kuriančios valstybės sampratos, reikalingos investicijos į aukštą pridėtinę vertę kuriančius sektorius. Veiklos efektyvumo didinimas pagal NP </w:t>
      </w:r>
      <w:r w:rsidR="00193AF4" w:rsidRPr="00640D24">
        <w:rPr>
          <w:rFonts w:cs="Times New Roman"/>
          <w:sz w:val="22"/>
          <w:szCs w:val="22"/>
        </w:rPr>
        <w:t>p</w:t>
      </w:r>
      <w:r w:rsidRPr="00640D24">
        <w:rPr>
          <w:rFonts w:cs="Times New Roman"/>
          <w:sz w:val="22"/>
          <w:szCs w:val="22"/>
        </w:rPr>
        <w:t xml:space="preserve">laną yra viena iš kertinių sąlygų, būtina aukštesnei pridėtinei vertei kurti. Atsižvelgiant į tai, siūloma aiškiai apibrėžti aukštą pridėtinę vertę kuriančius sektorius ir </w:t>
      </w:r>
      <w:r w:rsidR="009B19BC" w:rsidRPr="00640D24">
        <w:rPr>
          <w:rFonts w:cs="Times New Roman"/>
          <w:sz w:val="22"/>
          <w:szCs w:val="22"/>
        </w:rPr>
        <w:t>G</w:t>
      </w:r>
      <w:r w:rsidR="00E50BA4" w:rsidRPr="00640D24">
        <w:rPr>
          <w:rFonts w:cs="Times New Roman"/>
          <w:sz w:val="22"/>
          <w:szCs w:val="22"/>
        </w:rPr>
        <w:t>G</w:t>
      </w:r>
      <w:r w:rsidRPr="00640D24">
        <w:rPr>
          <w:rFonts w:cs="Times New Roman"/>
          <w:sz w:val="22"/>
          <w:szCs w:val="22"/>
        </w:rPr>
        <w:t>.</w:t>
      </w:r>
    </w:p>
    <w:p w14:paraId="1EE5AF92" w14:textId="077D0E9C" w:rsidR="00AA14C5" w:rsidRPr="00640D24" w:rsidRDefault="00F35E1E" w:rsidP="00D12B54">
      <w:pPr>
        <w:spacing w:before="60" w:after="60" w:line="240" w:lineRule="auto"/>
        <w:ind w:firstLine="567"/>
        <w:jc w:val="both"/>
        <w:rPr>
          <w:rFonts w:cs="Times New Roman"/>
          <w:sz w:val="22"/>
          <w:szCs w:val="22"/>
        </w:rPr>
      </w:pPr>
      <w:r w:rsidRPr="00640D24">
        <w:rPr>
          <w:rFonts w:cs="Times New Roman"/>
          <w:sz w:val="22"/>
          <w:szCs w:val="22"/>
        </w:rPr>
        <w:lastRenderedPageBreak/>
        <w:t xml:space="preserve">Verslo procesų </w:t>
      </w:r>
      <w:proofErr w:type="spellStart"/>
      <w:r w:rsidRPr="00640D24">
        <w:rPr>
          <w:rFonts w:cs="Times New Roman"/>
          <w:sz w:val="22"/>
          <w:szCs w:val="22"/>
        </w:rPr>
        <w:t>skaitmenizavimas</w:t>
      </w:r>
      <w:proofErr w:type="spellEnd"/>
      <w:r w:rsidRPr="00640D24">
        <w:rPr>
          <w:rFonts w:cs="Times New Roman"/>
          <w:sz w:val="22"/>
          <w:szCs w:val="22"/>
        </w:rPr>
        <w:t xml:space="preserve"> aukštą pridėtinę vertę kuriančiose įmonėse jau dabar yra suprantamas kaip būtinas procesas, siekiant padidinti darbo našumą. </w:t>
      </w:r>
      <w:r w:rsidR="00870132" w:rsidRPr="00640D24">
        <w:rPr>
          <w:rFonts w:cs="Times New Roman"/>
          <w:sz w:val="22"/>
          <w:szCs w:val="22"/>
        </w:rPr>
        <w:t>Vertinimo metu nustatyta, kad šiai veiklai</w:t>
      </w:r>
      <w:r w:rsidR="00C9376D" w:rsidRPr="00640D24">
        <w:rPr>
          <w:rFonts w:cs="Times New Roman"/>
          <w:sz w:val="22"/>
          <w:szCs w:val="22"/>
        </w:rPr>
        <w:t>, finansuojamai ES SF lėšomis</w:t>
      </w:r>
      <w:r w:rsidR="00870132" w:rsidRPr="00640D24">
        <w:rPr>
          <w:rFonts w:cs="Times New Roman"/>
          <w:sz w:val="22"/>
          <w:szCs w:val="22"/>
        </w:rPr>
        <w:t xml:space="preserve"> galėtų būti pritaikomos </w:t>
      </w:r>
      <w:r w:rsidR="00ED58B3" w:rsidRPr="00640D24">
        <w:rPr>
          <w:rFonts w:cs="Times New Roman"/>
          <w:sz w:val="22"/>
          <w:szCs w:val="22"/>
        </w:rPr>
        <w:t xml:space="preserve">skolinio finansavimo </w:t>
      </w:r>
      <w:r w:rsidR="00870132" w:rsidRPr="00640D24">
        <w:rPr>
          <w:rFonts w:cs="Times New Roman"/>
          <w:sz w:val="22"/>
          <w:szCs w:val="22"/>
        </w:rPr>
        <w:t>derin</w:t>
      </w:r>
      <w:r w:rsidR="00C9376D" w:rsidRPr="00640D24">
        <w:rPr>
          <w:rFonts w:cs="Times New Roman"/>
          <w:sz w:val="22"/>
          <w:szCs w:val="22"/>
        </w:rPr>
        <w:t>imas</w:t>
      </w:r>
      <w:r w:rsidR="00870132" w:rsidRPr="00640D24">
        <w:rPr>
          <w:rFonts w:cs="Times New Roman"/>
          <w:sz w:val="22"/>
          <w:szCs w:val="22"/>
        </w:rPr>
        <w:t xml:space="preserve"> su </w:t>
      </w:r>
      <w:r w:rsidR="00184A61" w:rsidRPr="00640D24">
        <w:rPr>
          <w:rFonts w:cs="Times New Roman"/>
          <w:sz w:val="22"/>
          <w:szCs w:val="22"/>
        </w:rPr>
        <w:t>dotacija</w:t>
      </w:r>
      <w:r w:rsidR="00870132" w:rsidRPr="00640D24">
        <w:rPr>
          <w:rFonts w:cs="Times New Roman"/>
          <w:sz w:val="22"/>
          <w:szCs w:val="22"/>
        </w:rPr>
        <w:t>.</w:t>
      </w:r>
    </w:p>
    <w:p w14:paraId="00F7B22C" w14:textId="1A1EFE7A" w:rsidR="005811B7" w:rsidRPr="00640D24" w:rsidRDefault="003F5A86">
      <w:pPr>
        <w:spacing w:before="60" w:after="60" w:line="240" w:lineRule="auto"/>
        <w:jc w:val="both"/>
        <w:rPr>
          <w:rFonts w:eastAsia="Calibri" w:cs="Times New Roman"/>
          <w:i/>
          <w:iCs/>
          <w:sz w:val="22"/>
          <w:szCs w:val="22"/>
          <w:lang w:bidi="lt-LT"/>
        </w:rPr>
      </w:pPr>
      <w:r w:rsidRPr="00640D24">
        <w:rPr>
          <w:rFonts w:eastAsia="Calibri" w:cs="Times New Roman"/>
          <w:i/>
          <w:iCs/>
          <w:sz w:val="22"/>
          <w:szCs w:val="22"/>
          <w:lang w:bidi="lt-LT"/>
        </w:rPr>
        <w:t>G</w:t>
      </w:r>
      <w:r w:rsidR="007927F9" w:rsidRPr="00640D24">
        <w:rPr>
          <w:rFonts w:eastAsia="Calibri" w:cs="Times New Roman"/>
          <w:i/>
          <w:iCs/>
          <w:sz w:val="22"/>
          <w:szCs w:val="22"/>
          <w:lang w:bidi="lt-LT"/>
        </w:rPr>
        <w:t>ynybos ir saugumo pramonės konkurencingumo didinimas</w:t>
      </w:r>
    </w:p>
    <w:p w14:paraId="6235D57F" w14:textId="32154B50" w:rsidR="007927F9" w:rsidRPr="00640D24" w:rsidRDefault="07C5CA5E" w:rsidP="641B94F2">
      <w:pPr>
        <w:spacing w:before="60" w:after="60" w:line="240" w:lineRule="auto"/>
        <w:ind w:firstLine="562"/>
        <w:jc w:val="both"/>
        <w:rPr>
          <w:rFonts w:cs="Times New Roman"/>
          <w:i/>
          <w:iCs/>
          <w:sz w:val="22"/>
          <w:szCs w:val="22"/>
        </w:rPr>
      </w:pPr>
      <w:r w:rsidRPr="00640D24">
        <w:rPr>
          <w:rFonts w:cs="Times New Roman"/>
          <w:sz w:val="22"/>
          <w:szCs w:val="22"/>
        </w:rPr>
        <w:t>Remiantis</w:t>
      </w:r>
      <w:r w:rsidR="4B428EF3" w:rsidRPr="00640D24">
        <w:rPr>
          <w:rFonts w:cs="Times New Roman"/>
          <w:sz w:val="22"/>
          <w:szCs w:val="22"/>
        </w:rPr>
        <w:t xml:space="preserve"> atliktu vertinimu, gynybos ir saugumo sektoriaus įmonės susiduria problema, kad didžiausios finansų įstaigos šalyje nesutinka finansuoti arba labai ribota apimtimi finansuoja gynybos ir saugumo sektoriaus produkcijos.</w:t>
      </w:r>
      <w:r w:rsidR="4B428EF3" w:rsidRPr="00640D24">
        <w:rPr>
          <w:sz w:val="22"/>
          <w:szCs w:val="22"/>
        </w:rPr>
        <w:t xml:space="preserve"> Remiantis interviu su finansų įstaigomis informacija, visų apklaustų kredito įstaigų atstovai teigė, kad gynybos ir saugumo sektoriaus finansavimas prieštarauja jų vidaus taisyklėms. Net ir tais atvejais, kai yra gaminama dvigubos paskirties produkcija, į tokią įmonę taip pat yra žiūrima kaip į įmonę su padidinta rizika ir dažnu atveju taip pat nesutinkama finansuoti veiklos ar siūlomos finansavimo sąlygos nėra patrauklios. Tuo tarpu alternatyvių finansuotojų siūlomos finansavimo sąlygos dažnu atveju yra labai nepatrauklios dėl aukštų siūlomų palūkanų normų, trumpo finansavimo laikotarpio ir siūlomos finansuoti sumos. Tai leidžia prieiti prie išvados, kad gynybos ir saugumo sektorius dėl savo specifikos ir išskirtinumo susiduria su finansavimo trūkumu. </w:t>
      </w:r>
      <w:r w:rsidR="3F555129" w:rsidRPr="00640D24">
        <w:rPr>
          <w:sz w:val="22"/>
          <w:szCs w:val="22"/>
        </w:rPr>
        <w:t xml:space="preserve">Vertinimo metu nustatyta, kad siekiant atliepti identifikuotą rinkos finansavimo trūkumą ir dėl </w:t>
      </w:r>
      <w:r w:rsidR="4B428EF3" w:rsidRPr="00640D24">
        <w:rPr>
          <w:sz w:val="22"/>
          <w:szCs w:val="22"/>
        </w:rPr>
        <w:t>padidėjusios geopolitinės rizikos</w:t>
      </w:r>
      <w:r w:rsidR="3F555129" w:rsidRPr="00640D24">
        <w:rPr>
          <w:sz w:val="22"/>
          <w:szCs w:val="22"/>
        </w:rPr>
        <w:t xml:space="preserve"> išaugusį</w:t>
      </w:r>
      <w:r w:rsidR="4B428EF3" w:rsidRPr="00640D24">
        <w:rPr>
          <w:sz w:val="22"/>
          <w:szCs w:val="22"/>
        </w:rPr>
        <w:t xml:space="preserve"> </w:t>
      </w:r>
      <w:r w:rsidR="3F555129" w:rsidRPr="00640D24">
        <w:rPr>
          <w:sz w:val="22"/>
          <w:szCs w:val="22"/>
        </w:rPr>
        <w:t>poreikį</w:t>
      </w:r>
      <w:r w:rsidR="4B428EF3" w:rsidRPr="00640D24">
        <w:rPr>
          <w:sz w:val="22"/>
          <w:szCs w:val="22"/>
        </w:rPr>
        <w:t xml:space="preserve"> amunicijai, ginklams ir dvigubos paskirties projektams</w:t>
      </w:r>
      <w:r w:rsidR="3F555129" w:rsidRPr="00640D24">
        <w:rPr>
          <w:sz w:val="22"/>
          <w:szCs w:val="22"/>
        </w:rPr>
        <w:t xml:space="preserve">, gynybos ir saugumo sektoriaus įmonėms yra tikslinga teikti tiesiogines paskolas. </w:t>
      </w:r>
    </w:p>
    <w:p w14:paraId="7EED94B0" w14:textId="30A3C0ED" w:rsidR="00C9376D" w:rsidRPr="00640D24" w:rsidRDefault="3576D20D">
      <w:pPr>
        <w:spacing w:before="60" w:after="60" w:line="240" w:lineRule="auto"/>
        <w:ind w:firstLine="567"/>
        <w:jc w:val="both"/>
        <w:rPr>
          <w:rFonts w:cs="Times New Roman"/>
          <w:sz w:val="22"/>
          <w:szCs w:val="22"/>
        </w:rPr>
      </w:pPr>
      <w:r w:rsidRPr="00640D24">
        <w:rPr>
          <w:rFonts w:cs="Times New Roman"/>
          <w:sz w:val="22"/>
          <w:szCs w:val="22"/>
        </w:rPr>
        <w:t xml:space="preserve">Atsižvelgiant į pateiktas prielaidas, daroma išvada, kad investicijų poreikis pramones įmonių skatinimui ir konkurencingumo didinimui sudarys </w:t>
      </w:r>
      <w:r w:rsidR="00AB3C81" w:rsidRPr="00640D24">
        <w:rPr>
          <w:rFonts w:cs="Times New Roman"/>
          <w:b/>
          <w:bCs/>
          <w:sz w:val="22"/>
          <w:szCs w:val="22"/>
        </w:rPr>
        <w:t>3,12</w:t>
      </w:r>
      <w:r w:rsidRPr="00640D24">
        <w:rPr>
          <w:rFonts w:cs="Times New Roman"/>
          <w:b/>
          <w:bCs/>
          <w:sz w:val="22"/>
          <w:szCs w:val="22"/>
        </w:rPr>
        <w:t xml:space="preserve"> mlrd. </w:t>
      </w:r>
      <w:proofErr w:type="spellStart"/>
      <w:r w:rsidRPr="00640D24">
        <w:rPr>
          <w:rFonts w:cs="Times New Roman"/>
          <w:b/>
          <w:bCs/>
          <w:sz w:val="22"/>
          <w:szCs w:val="22"/>
        </w:rPr>
        <w:t>Eur</w:t>
      </w:r>
      <w:proofErr w:type="spellEnd"/>
      <w:r w:rsidRPr="00640D24">
        <w:rPr>
          <w:rFonts w:cs="Times New Roman"/>
          <w:sz w:val="22"/>
          <w:szCs w:val="22"/>
        </w:rPr>
        <w:t xml:space="preserve">, iš kurių apie </w:t>
      </w:r>
      <w:r w:rsidRPr="00640D24">
        <w:rPr>
          <w:rFonts w:cs="Times New Roman"/>
          <w:b/>
          <w:bCs/>
          <w:sz w:val="22"/>
          <w:szCs w:val="22"/>
        </w:rPr>
        <w:t xml:space="preserve">1,8 mlrd. </w:t>
      </w:r>
      <w:proofErr w:type="spellStart"/>
      <w:r w:rsidRPr="00640D24">
        <w:rPr>
          <w:rFonts w:cs="Times New Roman"/>
          <w:b/>
          <w:bCs/>
          <w:sz w:val="22"/>
          <w:szCs w:val="22"/>
        </w:rPr>
        <w:t>Eur</w:t>
      </w:r>
      <w:proofErr w:type="spellEnd"/>
      <w:r w:rsidRPr="00640D24">
        <w:rPr>
          <w:rFonts w:cs="Times New Roman"/>
          <w:sz w:val="22"/>
          <w:szCs w:val="22"/>
        </w:rPr>
        <w:t xml:space="preserve"> sudarys poreikis veikloms, kurias planuojama finansuoti </w:t>
      </w:r>
      <w:r w:rsidRPr="00640D24">
        <w:rPr>
          <w:rFonts w:cs="Times New Roman"/>
          <w:sz w:val="21"/>
          <w:szCs w:val="21"/>
        </w:rPr>
        <w:t>2021–2027 m. programos</w:t>
      </w:r>
      <w:r w:rsidRPr="00640D24">
        <w:rPr>
          <w:rFonts w:cs="Times New Roman"/>
          <w:sz w:val="22"/>
          <w:szCs w:val="22"/>
        </w:rPr>
        <w:t xml:space="preserve"> ir EGADP lėšomis</w:t>
      </w:r>
      <w:r w:rsidR="205BCC72" w:rsidRPr="00640D24">
        <w:rPr>
          <w:rFonts w:cs="Times New Roman"/>
          <w:sz w:val="22"/>
          <w:szCs w:val="22"/>
        </w:rPr>
        <w:t xml:space="preserve">. </w:t>
      </w:r>
    </w:p>
    <w:p w14:paraId="54A9E4AB" w14:textId="06EF460D" w:rsidR="00E51AFE" w:rsidRPr="00640D24" w:rsidRDefault="00E51AFE" w:rsidP="00E51AFE">
      <w:pPr>
        <w:spacing w:before="60" w:after="60" w:line="240" w:lineRule="auto"/>
        <w:ind w:firstLine="567"/>
        <w:jc w:val="both"/>
        <w:rPr>
          <w:rFonts w:cs="Times New Roman"/>
          <w:sz w:val="22"/>
          <w:szCs w:val="22"/>
        </w:rPr>
      </w:pPr>
      <w:r w:rsidRPr="00640D24">
        <w:rPr>
          <w:rFonts w:cs="Times New Roman"/>
          <w:sz w:val="22"/>
          <w:szCs w:val="22"/>
        </w:rPr>
        <w:t>Remiantis atliktos investicijų paklausos analize nustatyta, kad įmonėms dažniausiai kylantys sunkumai, susiję su išorinio finansavimo gavimu, yra užstato trūkumas, per didelė finansavimo kaina (palūkanos, garantijos mokesčiai, administravimo mokesčiai) ir per trumpa įmonių veik</w:t>
      </w:r>
      <w:r w:rsidR="009B19BC" w:rsidRPr="00640D24">
        <w:rPr>
          <w:rFonts w:cs="Times New Roman"/>
          <w:sz w:val="22"/>
          <w:szCs w:val="22"/>
        </w:rPr>
        <w:t>los istorija. Atsižvelgiant į G</w:t>
      </w:r>
      <w:r w:rsidRPr="00640D24">
        <w:rPr>
          <w:rFonts w:cs="Times New Roman"/>
          <w:sz w:val="22"/>
          <w:szCs w:val="22"/>
        </w:rPr>
        <w:t>G kylančius iššūkius, 2021–2027 m.</w:t>
      </w:r>
      <w:r w:rsidR="003E1154" w:rsidRPr="00640D24">
        <w:rPr>
          <w:rFonts w:cs="Times New Roman"/>
          <w:sz w:val="22"/>
          <w:szCs w:val="22"/>
        </w:rPr>
        <w:t xml:space="preserve"> ES SF programavimo laikotarpiu</w:t>
      </w:r>
      <w:r w:rsidRPr="00640D24">
        <w:rPr>
          <w:rFonts w:cs="Times New Roman"/>
          <w:sz w:val="22"/>
          <w:szCs w:val="22"/>
        </w:rPr>
        <w:t xml:space="preserve"> rekomenduojama taikyti rizikos kapitalo investicijų, paskolų ir garantijų FP. Visgi, </w:t>
      </w:r>
      <w:r w:rsidR="00184A61" w:rsidRPr="00640D24">
        <w:rPr>
          <w:rFonts w:cs="Times New Roman"/>
          <w:sz w:val="22"/>
          <w:szCs w:val="22"/>
        </w:rPr>
        <w:t>dotacijų</w:t>
      </w:r>
      <w:r w:rsidRPr="00640D24">
        <w:rPr>
          <w:rFonts w:cs="Times New Roman"/>
          <w:sz w:val="22"/>
          <w:szCs w:val="22"/>
        </w:rPr>
        <w:t xml:space="preserve"> daroma žala konkurencijos iškreipimo atžvilgiu ir dėl kitų priežasčių turėtų būti nuosekliai pakeičiama pereinant prie FP, t. y. FP derinant su </w:t>
      </w:r>
      <w:proofErr w:type="spellStart"/>
      <w:r w:rsidR="00A1707D" w:rsidRPr="00640D24">
        <w:rPr>
          <w:rFonts w:cs="Times New Roman"/>
          <w:sz w:val="22"/>
          <w:szCs w:val="22"/>
        </w:rPr>
        <w:t>dotaciniais</w:t>
      </w:r>
      <w:proofErr w:type="spellEnd"/>
      <w:r w:rsidRPr="00640D24">
        <w:rPr>
          <w:rFonts w:cs="Times New Roman"/>
          <w:sz w:val="22"/>
          <w:szCs w:val="22"/>
        </w:rPr>
        <w:t xml:space="preserve"> elementais (angl. </w:t>
      </w:r>
      <w:proofErr w:type="spellStart"/>
      <w:r w:rsidRPr="00640D24">
        <w:rPr>
          <w:rFonts w:cs="Times New Roman"/>
          <w:i/>
          <w:iCs/>
          <w:sz w:val="22"/>
          <w:szCs w:val="22"/>
        </w:rPr>
        <w:t>blended</w:t>
      </w:r>
      <w:proofErr w:type="spellEnd"/>
      <w:r w:rsidRPr="00640D24">
        <w:rPr>
          <w:rFonts w:cs="Times New Roman"/>
          <w:i/>
          <w:iCs/>
          <w:sz w:val="22"/>
          <w:szCs w:val="22"/>
        </w:rPr>
        <w:t xml:space="preserve"> </w:t>
      </w:r>
      <w:proofErr w:type="spellStart"/>
      <w:r w:rsidRPr="00640D24">
        <w:rPr>
          <w:rFonts w:cs="Times New Roman"/>
          <w:i/>
          <w:iCs/>
          <w:sz w:val="22"/>
          <w:szCs w:val="22"/>
        </w:rPr>
        <w:t>finance</w:t>
      </w:r>
      <w:proofErr w:type="spellEnd"/>
      <w:r w:rsidRPr="00640D24">
        <w:rPr>
          <w:rFonts w:cs="Times New Roman"/>
          <w:sz w:val="22"/>
          <w:szCs w:val="22"/>
        </w:rPr>
        <w:t>).</w:t>
      </w:r>
    </w:p>
    <w:p w14:paraId="6051E66F" w14:textId="115716F9" w:rsidR="0057510E" w:rsidRPr="00640D24" w:rsidRDefault="0057510E" w:rsidP="0057510E">
      <w:pPr>
        <w:spacing w:before="60" w:after="60" w:line="240" w:lineRule="auto"/>
        <w:ind w:firstLine="567"/>
        <w:jc w:val="both"/>
        <w:rPr>
          <w:rFonts w:cs="Times New Roman"/>
          <w:sz w:val="22"/>
          <w:szCs w:val="22"/>
        </w:rPr>
      </w:pPr>
      <w:r w:rsidRPr="00640D24">
        <w:rPr>
          <w:rFonts w:cs="Times New Roman"/>
          <w:sz w:val="22"/>
          <w:szCs w:val="22"/>
        </w:rPr>
        <w:t xml:space="preserve">Vertinime nustatyta, kad verslo finansavimo poreikis iš dalies gali būti patenkintas pritaikant </w:t>
      </w:r>
      <w:r w:rsidR="00E51AFE" w:rsidRPr="00640D24">
        <w:rPr>
          <w:rFonts w:cs="Times New Roman"/>
          <w:sz w:val="22"/>
          <w:szCs w:val="22"/>
        </w:rPr>
        <w:t>rizikos kapitalo, paskolų ir garantijų</w:t>
      </w:r>
      <w:r w:rsidRPr="00640D24">
        <w:rPr>
          <w:rFonts w:cs="Times New Roman"/>
          <w:sz w:val="22"/>
          <w:szCs w:val="22"/>
        </w:rPr>
        <w:t xml:space="preserve"> FP. Visgi, finansavimo poreikis verslo subjektams yra didesnis nei numatyta bendra FP suma.</w:t>
      </w:r>
    </w:p>
    <w:p w14:paraId="6BA6639B" w14:textId="394F9122" w:rsidR="00F35E1E" w:rsidRPr="00640D24" w:rsidRDefault="00F35E1E" w:rsidP="00D12B54">
      <w:pPr>
        <w:spacing w:before="60" w:after="60" w:line="240" w:lineRule="auto"/>
        <w:ind w:firstLine="567"/>
        <w:jc w:val="both"/>
        <w:rPr>
          <w:rFonts w:cs="Times New Roman"/>
          <w:sz w:val="22"/>
          <w:szCs w:val="22"/>
        </w:rPr>
      </w:pPr>
      <w:r w:rsidRPr="00640D24">
        <w:rPr>
          <w:rFonts w:cs="Times New Roman"/>
          <w:sz w:val="22"/>
          <w:szCs w:val="22"/>
        </w:rPr>
        <w:t xml:space="preserve">Siekiant įvertinti investicijų efektyvumą buvo apskaičiuotas ir palygintas FP sverto efektas ir preliminarus kiekybinis kaštų naudos principu pagrįstas rodiklis. Atsižvelgiant į pateiktus duomenis, galima daryti šias išvadas: </w:t>
      </w:r>
    </w:p>
    <w:p w14:paraId="22A15909" w14:textId="3DB8D572" w:rsidR="00436497" w:rsidRPr="00640D24" w:rsidRDefault="00ED58B3" w:rsidP="00160B10">
      <w:pPr>
        <w:pStyle w:val="Sraopastraipa"/>
        <w:numPr>
          <w:ilvl w:val="0"/>
          <w:numId w:val="29"/>
        </w:numPr>
        <w:spacing w:before="60" w:after="60" w:line="240" w:lineRule="auto"/>
        <w:jc w:val="both"/>
        <w:rPr>
          <w:rFonts w:cs="Times New Roman"/>
          <w:sz w:val="22"/>
          <w:szCs w:val="22"/>
        </w:rPr>
      </w:pPr>
      <w:r w:rsidRPr="00640D24">
        <w:rPr>
          <w:rFonts w:cs="Times New Roman"/>
          <w:sz w:val="22"/>
          <w:szCs w:val="22"/>
        </w:rPr>
        <w:t xml:space="preserve">Skolinio finansavimo </w:t>
      </w:r>
      <w:r w:rsidR="00436497" w:rsidRPr="00640D24">
        <w:rPr>
          <w:rFonts w:cs="Times New Roman"/>
          <w:sz w:val="22"/>
          <w:szCs w:val="22"/>
        </w:rPr>
        <w:t>ir garantijų FP turi didžiausią finansinio sverto efektą.</w:t>
      </w:r>
    </w:p>
    <w:p w14:paraId="22E18411" w14:textId="43E41F38" w:rsidR="00436497" w:rsidRPr="00640D24" w:rsidRDefault="00436497" w:rsidP="00160B10">
      <w:pPr>
        <w:pStyle w:val="Sraopastraipa"/>
        <w:numPr>
          <w:ilvl w:val="0"/>
          <w:numId w:val="29"/>
        </w:numPr>
        <w:spacing w:before="60" w:after="60" w:line="240" w:lineRule="auto"/>
        <w:jc w:val="both"/>
        <w:rPr>
          <w:rFonts w:cs="Times New Roman"/>
          <w:sz w:val="22"/>
          <w:szCs w:val="22"/>
        </w:rPr>
      </w:pPr>
      <w:r w:rsidRPr="00640D24">
        <w:rPr>
          <w:rFonts w:cs="Times New Roman"/>
          <w:sz w:val="22"/>
          <w:szCs w:val="22"/>
        </w:rPr>
        <w:t xml:space="preserve">Pirminė </w:t>
      </w:r>
      <w:r w:rsidR="006172D2" w:rsidRPr="00640D24">
        <w:rPr>
          <w:rFonts w:cs="Times New Roman"/>
          <w:sz w:val="22"/>
          <w:szCs w:val="22"/>
        </w:rPr>
        <w:t xml:space="preserve">dotacijų </w:t>
      </w:r>
      <w:r w:rsidRPr="00640D24">
        <w:rPr>
          <w:rFonts w:cs="Times New Roman"/>
          <w:sz w:val="22"/>
          <w:szCs w:val="22"/>
        </w:rPr>
        <w:t xml:space="preserve">kaštų naudos analizė parodė, kad </w:t>
      </w:r>
      <w:r w:rsidR="006172D2" w:rsidRPr="00640D24">
        <w:rPr>
          <w:rFonts w:cs="Times New Roman"/>
          <w:sz w:val="22"/>
          <w:szCs w:val="22"/>
        </w:rPr>
        <w:t xml:space="preserve">dotacijos </w:t>
      </w:r>
      <w:r w:rsidRPr="00640D24">
        <w:rPr>
          <w:rFonts w:cs="Times New Roman"/>
          <w:sz w:val="22"/>
          <w:szCs w:val="22"/>
        </w:rPr>
        <w:t>gali turėti sąlyginai aukštą kokybinį efektą, tačiau ilgalaikėje perspektyvoje nėra tokios efektyvios kaip FP.</w:t>
      </w:r>
    </w:p>
    <w:p w14:paraId="59123A30" w14:textId="3C59AF20" w:rsidR="0057510E" w:rsidRPr="00640D24" w:rsidRDefault="00F35E1E" w:rsidP="00D12B54">
      <w:pPr>
        <w:spacing w:before="60" w:after="60" w:line="240" w:lineRule="auto"/>
        <w:ind w:firstLine="567"/>
        <w:jc w:val="both"/>
        <w:rPr>
          <w:rFonts w:cs="Times New Roman"/>
          <w:sz w:val="22"/>
          <w:szCs w:val="22"/>
        </w:rPr>
      </w:pPr>
      <w:r w:rsidRPr="00640D24">
        <w:rPr>
          <w:rFonts w:cs="Times New Roman"/>
          <w:sz w:val="22"/>
          <w:szCs w:val="22"/>
        </w:rPr>
        <w:t xml:space="preserve">Šiame Vertinime siūloma atsižvelgti ne tik į verslo sritis, tačiau aiškiai identifikuoti </w:t>
      </w:r>
      <w:r w:rsidR="009B19BC" w:rsidRPr="00640D24">
        <w:rPr>
          <w:rFonts w:cs="Times New Roman"/>
          <w:sz w:val="22"/>
          <w:szCs w:val="22"/>
        </w:rPr>
        <w:t>G</w:t>
      </w:r>
      <w:r w:rsidR="00E50BA4" w:rsidRPr="00640D24">
        <w:rPr>
          <w:rFonts w:cs="Times New Roman"/>
          <w:sz w:val="22"/>
          <w:szCs w:val="22"/>
        </w:rPr>
        <w:t>G</w:t>
      </w:r>
      <w:r w:rsidR="00B26122" w:rsidRPr="00640D24">
        <w:rPr>
          <w:rFonts w:cs="Times New Roman"/>
          <w:sz w:val="22"/>
          <w:szCs w:val="22"/>
        </w:rPr>
        <w:t xml:space="preserve">. </w:t>
      </w:r>
      <w:r w:rsidRPr="00640D24">
        <w:rPr>
          <w:rFonts w:cs="Times New Roman"/>
          <w:sz w:val="22"/>
          <w:szCs w:val="22"/>
        </w:rPr>
        <w:t>Atsižvelgiant į tai, investicijų matavimo rodiklius nukreipti į priemonių kokybę atspindinčius rodiklius</w:t>
      </w:r>
      <w:r w:rsidR="00436497" w:rsidRPr="00640D24">
        <w:rPr>
          <w:rFonts w:cs="Times New Roman"/>
          <w:sz w:val="22"/>
          <w:szCs w:val="22"/>
        </w:rPr>
        <w:t>.</w:t>
      </w:r>
    </w:p>
    <w:p w14:paraId="1E04F147" w14:textId="3318CD70" w:rsidR="00E43C42" w:rsidRPr="00640D24" w:rsidRDefault="00436497" w:rsidP="0057510E">
      <w:pPr>
        <w:spacing w:before="60" w:after="60" w:line="240" w:lineRule="auto"/>
        <w:jc w:val="both"/>
        <w:rPr>
          <w:rFonts w:cs="Times New Roman"/>
          <w:sz w:val="22"/>
          <w:szCs w:val="22"/>
        </w:rPr>
      </w:pPr>
      <w:r w:rsidRPr="00640D24">
        <w:rPr>
          <w:rFonts w:cs="Times New Roman"/>
          <w:sz w:val="22"/>
          <w:szCs w:val="22"/>
        </w:rPr>
        <w:br w:type="page"/>
      </w:r>
    </w:p>
    <w:p w14:paraId="07B23910" w14:textId="29F4ACE1" w:rsidR="00E43C42" w:rsidRPr="00640D24" w:rsidRDefault="42AE0885" w:rsidP="00D12B54">
      <w:pPr>
        <w:pStyle w:val="Antrat1"/>
        <w:spacing w:before="60" w:after="60" w:line="240" w:lineRule="auto"/>
        <w:rPr>
          <w:rFonts w:ascii="Times New Roman" w:hAnsi="Times New Roman" w:cs="Times New Roman"/>
          <w:b/>
          <w:bCs/>
          <w:color w:val="auto"/>
          <w:sz w:val="28"/>
          <w:szCs w:val="28"/>
        </w:rPr>
      </w:pPr>
      <w:bookmarkStart w:id="117" w:name="_Toc57225225"/>
      <w:bookmarkStart w:id="118" w:name="_Toc146812407"/>
      <w:r w:rsidRPr="00640D24">
        <w:rPr>
          <w:rFonts w:ascii="Times New Roman" w:hAnsi="Times New Roman" w:cs="Times New Roman"/>
          <w:b/>
          <w:bCs/>
          <w:color w:val="auto"/>
          <w:sz w:val="28"/>
          <w:szCs w:val="28"/>
        </w:rPr>
        <w:lastRenderedPageBreak/>
        <w:t>1 priedas. Interviu dalyvių sąrašas</w:t>
      </w:r>
      <w:bookmarkEnd w:id="117"/>
      <w:bookmarkEnd w:id="118"/>
    </w:p>
    <w:tbl>
      <w:tblPr>
        <w:tblpPr w:leftFromText="180" w:rightFromText="180" w:vertAnchor="text" w:horzAnchor="margin" w:tblpY="762"/>
        <w:tblW w:w="4635" w:type="pct"/>
        <w:tblLayout w:type="fixed"/>
        <w:tblLook w:val="04A0" w:firstRow="1" w:lastRow="0" w:firstColumn="1" w:lastColumn="0" w:noHBand="0" w:noVBand="1"/>
      </w:tblPr>
      <w:tblGrid>
        <w:gridCol w:w="2972"/>
        <w:gridCol w:w="3115"/>
        <w:gridCol w:w="2838"/>
      </w:tblGrid>
      <w:tr w:rsidR="00587B6B" w:rsidRPr="00640D24" w14:paraId="0528763D" w14:textId="77777777" w:rsidTr="00587B6B">
        <w:trPr>
          <w:trHeight w:val="280"/>
        </w:trPr>
        <w:tc>
          <w:tcPr>
            <w:tcW w:w="1665" w:type="pct"/>
            <w:tcBorders>
              <w:top w:val="single" w:sz="4" w:space="0" w:color="000000"/>
              <w:left w:val="single" w:sz="4" w:space="0" w:color="000000"/>
              <w:bottom w:val="single" w:sz="4" w:space="0" w:color="000000"/>
              <w:right w:val="single" w:sz="4" w:space="0" w:color="000000"/>
            </w:tcBorders>
            <w:shd w:val="clear" w:color="auto" w:fill="E7E6E6" w:themeFill="background2"/>
            <w:noWrap/>
            <w:vAlign w:val="center"/>
            <w:hideMark/>
          </w:tcPr>
          <w:p w14:paraId="22ABE2B9" w14:textId="77777777" w:rsidR="00587B6B" w:rsidRPr="00640D24" w:rsidRDefault="00587B6B" w:rsidP="000D6C24">
            <w:pPr>
              <w:spacing w:after="0" w:line="240" w:lineRule="auto"/>
              <w:jc w:val="center"/>
              <w:rPr>
                <w:rFonts w:eastAsia="Times New Roman" w:cs="Times New Roman"/>
                <w:b/>
                <w:bCs/>
                <w:color w:val="000000"/>
                <w:sz w:val="22"/>
                <w:szCs w:val="22"/>
                <w:lang w:eastAsia="lt-LT"/>
              </w:rPr>
            </w:pPr>
            <w:r w:rsidRPr="00640D24">
              <w:rPr>
                <w:rFonts w:eastAsia="Times New Roman" w:cs="Times New Roman"/>
                <w:b/>
                <w:bCs/>
                <w:color w:val="000000"/>
                <w:sz w:val="22"/>
                <w:szCs w:val="22"/>
                <w:lang w:eastAsia="lt-LT"/>
              </w:rPr>
              <w:t>Interviu data</w:t>
            </w:r>
          </w:p>
        </w:tc>
        <w:tc>
          <w:tcPr>
            <w:tcW w:w="1745"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5BDF879" w14:textId="77777777" w:rsidR="00587B6B" w:rsidRPr="00640D24" w:rsidRDefault="00587B6B" w:rsidP="00355961">
            <w:pPr>
              <w:spacing w:after="0" w:line="240" w:lineRule="auto"/>
              <w:jc w:val="center"/>
              <w:rPr>
                <w:rFonts w:eastAsia="Times New Roman" w:cs="Times New Roman"/>
                <w:b/>
                <w:bCs/>
                <w:color w:val="000000"/>
                <w:sz w:val="22"/>
                <w:szCs w:val="22"/>
                <w:lang w:eastAsia="lt-LT"/>
              </w:rPr>
            </w:pPr>
            <w:r w:rsidRPr="00640D24">
              <w:rPr>
                <w:rFonts w:eastAsia="Times New Roman" w:cs="Times New Roman"/>
                <w:b/>
                <w:bCs/>
                <w:color w:val="000000"/>
                <w:sz w:val="22"/>
                <w:szCs w:val="22"/>
                <w:lang w:eastAsia="lt-LT"/>
              </w:rPr>
              <w:t>Organizacija</w:t>
            </w:r>
          </w:p>
        </w:tc>
        <w:tc>
          <w:tcPr>
            <w:tcW w:w="1590" w:type="pct"/>
            <w:tcBorders>
              <w:top w:val="single" w:sz="4" w:space="0" w:color="000000"/>
              <w:left w:val="nil"/>
              <w:bottom w:val="single" w:sz="4" w:space="0" w:color="000000"/>
              <w:right w:val="single" w:sz="4" w:space="0" w:color="000000"/>
            </w:tcBorders>
            <w:shd w:val="clear" w:color="auto" w:fill="E7E6E6" w:themeFill="background2"/>
            <w:noWrap/>
            <w:vAlign w:val="center"/>
            <w:hideMark/>
          </w:tcPr>
          <w:p w14:paraId="53F1FA9F" w14:textId="77777777" w:rsidR="00587B6B" w:rsidRPr="00640D24" w:rsidRDefault="00587B6B" w:rsidP="00355961">
            <w:pPr>
              <w:spacing w:after="0" w:line="240" w:lineRule="auto"/>
              <w:jc w:val="center"/>
              <w:rPr>
                <w:rFonts w:eastAsia="Times New Roman" w:cs="Times New Roman"/>
                <w:b/>
                <w:bCs/>
                <w:color w:val="000000"/>
                <w:sz w:val="22"/>
                <w:szCs w:val="22"/>
                <w:lang w:eastAsia="lt-LT"/>
              </w:rPr>
            </w:pPr>
            <w:r w:rsidRPr="00640D24">
              <w:rPr>
                <w:rFonts w:eastAsia="Times New Roman" w:cs="Times New Roman"/>
                <w:b/>
                <w:bCs/>
                <w:color w:val="000000"/>
                <w:sz w:val="22"/>
                <w:szCs w:val="22"/>
                <w:lang w:eastAsia="lt-LT"/>
              </w:rPr>
              <w:t>Interviu dalyvio atstovaujamos organizacijos tipas</w:t>
            </w:r>
          </w:p>
        </w:tc>
      </w:tr>
      <w:tr w:rsidR="00587B6B" w:rsidRPr="00640D24" w14:paraId="78689338" w14:textId="77777777" w:rsidTr="00587B6B">
        <w:trPr>
          <w:trHeight w:val="280"/>
        </w:trPr>
        <w:tc>
          <w:tcPr>
            <w:tcW w:w="166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BC8835C" w14:textId="05C8B6FE" w:rsidR="00587B6B" w:rsidRPr="00640D24" w:rsidRDefault="00587B6B" w:rsidP="0075738F">
            <w:pPr>
              <w:spacing w:after="0" w:line="240" w:lineRule="auto"/>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2020.09.22</w:t>
            </w:r>
          </w:p>
        </w:tc>
        <w:tc>
          <w:tcPr>
            <w:tcW w:w="17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2204C7" w14:textId="071724B8" w:rsidR="00587B6B" w:rsidRPr="00640D24" w:rsidRDefault="00587B6B" w:rsidP="0075738F">
            <w:pPr>
              <w:spacing w:after="0" w:line="240" w:lineRule="auto"/>
              <w:jc w:val="center"/>
              <w:rPr>
                <w:rFonts w:eastAsia="Times New Roman" w:cs="Times New Roman"/>
                <w:b/>
                <w:bCs/>
                <w:color w:val="000000"/>
                <w:sz w:val="22"/>
                <w:szCs w:val="22"/>
                <w:lang w:eastAsia="lt-LT"/>
              </w:rPr>
            </w:pPr>
            <w:proofErr w:type="spellStart"/>
            <w:r w:rsidRPr="00640D24">
              <w:rPr>
                <w:rFonts w:eastAsia="Times New Roman" w:cs="Times New Roman"/>
                <w:color w:val="000000"/>
                <w:sz w:val="22"/>
                <w:szCs w:val="22"/>
                <w:lang w:eastAsia="lt-LT"/>
              </w:rPr>
              <w:t>Practica</w:t>
            </w:r>
            <w:proofErr w:type="spellEnd"/>
            <w:r w:rsidRPr="00640D24">
              <w:rPr>
                <w:rFonts w:eastAsia="Times New Roman" w:cs="Times New Roman"/>
                <w:color w:val="000000"/>
                <w:sz w:val="22"/>
                <w:szCs w:val="22"/>
                <w:lang w:eastAsia="lt-LT"/>
              </w:rPr>
              <w:t xml:space="preserve"> </w:t>
            </w:r>
            <w:proofErr w:type="spellStart"/>
            <w:r w:rsidRPr="00640D24">
              <w:rPr>
                <w:rFonts w:eastAsia="Times New Roman" w:cs="Times New Roman"/>
                <w:color w:val="000000"/>
                <w:sz w:val="22"/>
                <w:szCs w:val="22"/>
                <w:lang w:eastAsia="lt-LT"/>
              </w:rPr>
              <w:t>Capital</w:t>
            </w:r>
            <w:proofErr w:type="spellEnd"/>
          </w:p>
        </w:tc>
        <w:tc>
          <w:tcPr>
            <w:tcW w:w="1590" w:type="pct"/>
            <w:tcBorders>
              <w:top w:val="single" w:sz="4" w:space="0" w:color="000000"/>
              <w:left w:val="nil"/>
              <w:bottom w:val="single" w:sz="4" w:space="0" w:color="000000"/>
              <w:right w:val="single" w:sz="4" w:space="0" w:color="000000"/>
            </w:tcBorders>
            <w:shd w:val="clear" w:color="auto" w:fill="FFFFFF" w:themeFill="background1"/>
            <w:noWrap/>
            <w:vAlign w:val="center"/>
          </w:tcPr>
          <w:p w14:paraId="601DF5B9" w14:textId="1DE86E67"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FT</w:t>
            </w:r>
          </w:p>
        </w:tc>
      </w:tr>
      <w:tr w:rsidR="00587B6B" w:rsidRPr="00640D24" w14:paraId="3493F92D" w14:textId="77777777" w:rsidTr="00587B6B">
        <w:trPr>
          <w:trHeight w:val="280"/>
        </w:trPr>
        <w:tc>
          <w:tcPr>
            <w:tcW w:w="166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8371E14" w14:textId="78E0392D" w:rsidR="00587B6B" w:rsidRPr="00640D24" w:rsidRDefault="00587B6B" w:rsidP="0075738F">
            <w:pPr>
              <w:spacing w:after="0" w:line="240" w:lineRule="auto"/>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2020.09.23</w:t>
            </w:r>
          </w:p>
        </w:tc>
        <w:tc>
          <w:tcPr>
            <w:tcW w:w="17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958D19" w14:textId="6A24A06C" w:rsidR="00587B6B" w:rsidRPr="00640D24" w:rsidRDefault="00587B6B" w:rsidP="0075738F">
            <w:pPr>
              <w:spacing w:after="0" w:line="240" w:lineRule="auto"/>
              <w:jc w:val="center"/>
              <w:rPr>
                <w:rFonts w:eastAsia="Times New Roman" w:cs="Times New Roman"/>
                <w:b/>
                <w:bCs/>
                <w:color w:val="000000"/>
                <w:sz w:val="22"/>
                <w:szCs w:val="22"/>
                <w:lang w:eastAsia="lt-LT"/>
              </w:rPr>
            </w:pPr>
            <w:proofErr w:type="spellStart"/>
            <w:r w:rsidRPr="00640D24">
              <w:rPr>
                <w:rFonts w:eastAsia="Times New Roman" w:cs="Times New Roman"/>
                <w:color w:val="000000"/>
                <w:sz w:val="22"/>
                <w:szCs w:val="22"/>
                <w:lang w:eastAsia="lt-LT"/>
              </w:rPr>
              <w:t>Swedbank</w:t>
            </w:r>
            <w:proofErr w:type="spellEnd"/>
          </w:p>
        </w:tc>
        <w:tc>
          <w:tcPr>
            <w:tcW w:w="1590" w:type="pct"/>
            <w:tcBorders>
              <w:top w:val="single" w:sz="4" w:space="0" w:color="000000"/>
              <w:left w:val="nil"/>
              <w:bottom w:val="single" w:sz="4" w:space="0" w:color="000000"/>
              <w:right w:val="single" w:sz="4" w:space="0" w:color="000000"/>
            </w:tcBorders>
            <w:shd w:val="clear" w:color="auto" w:fill="FFFFFF" w:themeFill="background1"/>
            <w:noWrap/>
          </w:tcPr>
          <w:p w14:paraId="7052D3CB" w14:textId="519B5A9C"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FT</w:t>
            </w:r>
          </w:p>
        </w:tc>
      </w:tr>
      <w:tr w:rsidR="00587B6B" w:rsidRPr="00640D24" w14:paraId="39CE640E" w14:textId="77777777" w:rsidTr="00587B6B">
        <w:trPr>
          <w:trHeight w:val="280"/>
        </w:trPr>
        <w:tc>
          <w:tcPr>
            <w:tcW w:w="166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70065D1" w14:textId="4FF000BE" w:rsidR="00587B6B" w:rsidRPr="00640D24" w:rsidRDefault="00587B6B" w:rsidP="0075738F">
            <w:pPr>
              <w:spacing w:after="0" w:line="240" w:lineRule="auto"/>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2020.09.23</w:t>
            </w:r>
          </w:p>
        </w:tc>
        <w:tc>
          <w:tcPr>
            <w:tcW w:w="17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844A66" w14:textId="0DD2A536"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Citadele</w:t>
            </w:r>
          </w:p>
        </w:tc>
        <w:tc>
          <w:tcPr>
            <w:tcW w:w="1590" w:type="pct"/>
            <w:tcBorders>
              <w:top w:val="single" w:sz="4" w:space="0" w:color="000000"/>
              <w:left w:val="nil"/>
              <w:bottom w:val="single" w:sz="4" w:space="0" w:color="000000"/>
              <w:right w:val="single" w:sz="4" w:space="0" w:color="000000"/>
            </w:tcBorders>
            <w:shd w:val="clear" w:color="auto" w:fill="FFFFFF" w:themeFill="background1"/>
            <w:noWrap/>
          </w:tcPr>
          <w:p w14:paraId="7326FD40" w14:textId="6518C8E7"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FT</w:t>
            </w:r>
          </w:p>
        </w:tc>
      </w:tr>
      <w:tr w:rsidR="00587B6B" w:rsidRPr="00640D24" w14:paraId="2B39000A" w14:textId="77777777" w:rsidTr="00587B6B">
        <w:trPr>
          <w:trHeight w:val="280"/>
        </w:trPr>
        <w:tc>
          <w:tcPr>
            <w:tcW w:w="166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0CA6296" w14:textId="02E04048" w:rsidR="00587B6B" w:rsidRPr="00640D24" w:rsidRDefault="00587B6B" w:rsidP="0075738F">
            <w:pPr>
              <w:spacing w:after="0" w:line="240" w:lineRule="auto"/>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2020.09.23</w:t>
            </w:r>
          </w:p>
        </w:tc>
        <w:tc>
          <w:tcPr>
            <w:tcW w:w="17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23F602" w14:textId="7E5D3ABE"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Kultūros ministerija</w:t>
            </w:r>
          </w:p>
        </w:tc>
        <w:tc>
          <w:tcPr>
            <w:tcW w:w="1590" w:type="pct"/>
            <w:tcBorders>
              <w:top w:val="single" w:sz="4" w:space="0" w:color="000000"/>
              <w:left w:val="nil"/>
              <w:bottom w:val="single" w:sz="4" w:space="0" w:color="000000"/>
              <w:right w:val="single" w:sz="4" w:space="0" w:color="000000"/>
            </w:tcBorders>
            <w:shd w:val="clear" w:color="auto" w:fill="FFFFFF" w:themeFill="background1"/>
            <w:noWrap/>
            <w:vAlign w:val="center"/>
          </w:tcPr>
          <w:p w14:paraId="2DA19760" w14:textId="59A37964"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Ministerija</w:t>
            </w:r>
          </w:p>
        </w:tc>
      </w:tr>
      <w:tr w:rsidR="00587B6B" w:rsidRPr="00640D24" w14:paraId="33E1E676" w14:textId="77777777" w:rsidTr="00587B6B">
        <w:trPr>
          <w:trHeight w:val="280"/>
        </w:trPr>
        <w:tc>
          <w:tcPr>
            <w:tcW w:w="166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2C6707E" w14:textId="6F74E098" w:rsidR="00587B6B" w:rsidRPr="00640D24" w:rsidRDefault="00587B6B" w:rsidP="0075738F">
            <w:pPr>
              <w:spacing w:after="0" w:line="240" w:lineRule="auto"/>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2020.09.24</w:t>
            </w:r>
          </w:p>
        </w:tc>
        <w:tc>
          <w:tcPr>
            <w:tcW w:w="17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A1549F" w14:textId="31461D5E" w:rsidR="00587B6B" w:rsidRPr="00640D24" w:rsidRDefault="00587B6B" w:rsidP="0075738F">
            <w:pPr>
              <w:spacing w:after="0" w:line="240" w:lineRule="auto"/>
              <w:jc w:val="center"/>
              <w:rPr>
                <w:rFonts w:eastAsia="Times New Roman" w:cs="Times New Roman"/>
                <w:b/>
                <w:bCs/>
                <w:color w:val="000000"/>
                <w:sz w:val="22"/>
                <w:szCs w:val="22"/>
                <w:lang w:eastAsia="lt-LT"/>
              </w:rPr>
            </w:pPr>
            <w:proofErr w:type="spellStart"/>
            <w:r w:rsidRPr="00640D24">
              <w:rPr>
                <w:rFonts w:eastAsia="Times New Roman" w:cs="Times New Roman"/>
                <w:color w:val="000000"/>
                <w:sz w:val="22"/>
                <w:szCs w:val="22"/>
                <w:lang w:eastAsia="lt-LT"/>
              </w:rPr>
              <w:t>Orion</w:t>
            </w:r>
            <w:proofErr w:type="spellEnd"/>
            <w:r w:rsidRPr="00640D24">
              <w:rPr>
                <w:rFonts w:eastAsia="Times New Roman" w:cs="Times New Roman"/>
                <w:color w:val="000000"/>
                <w:sz w:val="22"/>
                <w:szCs w:val="22"/>
                <w:lang w:eastAsia="lt-LT"/>
              </w:rPr>
              <w:t xml:space="preserve"> </w:t>
            </w:r>
            <w:proofErr w:type="spellStart"/>
            <w:r w:rsidRPr="00640D24">
              <w:rPr>
                <w:rFonts w:eastAsia="Times New Roman" w:cs="Times New Roman"/>
                <w:color w:val="000000"/>
                <w:sz w:val="22"/>
                <w:szCs w:val="22"/>
                <w:lang w:eastAsia="lt-LT"/>
              </w:rPr>
              <w:t>Securities</w:t>
            </w:r>
            <w:proofErr w:type="spellEnd"/>
          </w:p>
        </w:tc>
        <w:tc>
          <w:tcPr>
            <w:tcW w:w="1590" w:type="pct"/>
            <w:tcBorders>
              <w:top w:val="single" w:sz="4" w:space="0" w:color="000000"/>
              <w:left w:val="nil"/>
              <w:bottom w:val="single" w:sz="4" w:space="0" w:color="000000"/>
              <w:right w:val="single" w:sz="4" w:space="0" w:color="000000"/>
            </w:tcBorders>
            <w:shd w:val="clear" w:color="auto" w:fill="FFFFFF" w:themeFill="background1"/>
            <w:noWrap/>
          </w:tcPr>
          <w:p w14:paraId="1C3838A6" w14:textId="69E16581"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FT</w:t>
            </w:r>
          </w:p>
        </w:tc>
      </w:tr>
      <w:tr w:rsidR="00587B6B" w:rsidRPr="00640D24" w14:paraId="296306CA" w14:textId="77777777" w:rsidTr="00587B6B">
        <w:trPr>
          <w:trHeight w:val="280"/>
        </w:trPr>
        <w:tc>
          <w:tcPr>
            <w:tcW w:w="166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8E96A99" w14:textId="06FFF536" w:rsidR="00587B6B" w:rsidRPr="00640D24" w:rsidRDefault="00587B6B" w:rsidP="0075738F">
            <w:pPr>
              <w:spacing w:after="0" w:line="240" w:lineRule="auto"/>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2020.09.24</w:t>
            </w:r>
          </w:p>
        </w:tc>
        <w:tc>
          <w:tcPr>
            <w:tcW w:w="17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0FF2B5" w14:textId="491FCBD2"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AB Šiaulių bankas</w:t>
            </w:r>
          </w:p>
        </w:tc>
        <w:tc>
          <w:tcPr>
            <w:tcW w:w="1590" w:type="pct"/>
            <w:tcBorders>
              <w:top w:val="single" w:sz="4" w:space="0" w:color="000000"/>
              <w:left w:val="nil"/>
              <w:bottom w:val="single" w:sz="4" w:space="0" w:color="000000"/>
              <w:right w:val="single" w:sz="4" w:space="0" w:color="000000"/>
            </w:tcBorders>
            <w:shd w:val="clear" w:color="auto" w:fill="FFFFFF" w:themeFill="background1"/>
            <w:noWrap/>
          </w:tcPr>
          <w:p w14:paraId="74DEFB7E" w14:textId="63DB244F"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FT</w:t>
            </w:r>
          </w:p>
        </w:tc>
      </w:tr>
      <w:tr w:rsidR="00587B6B" w:rsidRPr="00640D24" w14:paraId="20D82622" w14:textId="77777777" w:rsidTr="00587B6B">
        <w:trPr>
          <w:trHeight w:val="280"/>
        </w:trPr>
        <w:tc>
          <w:tcPr>
            <w:tcW w:w="166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C3F2CB5" w14:textId="690CCF8D" w:rsidR="00587B6B" w:rsidRPr="00640D24" w:rsidRDefault="00587B6B" w:rsidP="0075738F">
            <w:pPr>
              <w:spacing w:after="0" w:line="240" w:lineRule="auto"/>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2020.09.24</w:t>
            </w:r>
          </w:p>
        </w:tc>
        <w:tc>
          <w:tcPr>
            <w:tcW w:w="17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69863C" w14:textId="65598D27"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Ekonomikos ir inovacijų ministerija</w:t>
            </w:r>
          </w:p>
        </w:tc>
        <w:tc>
          <w:tcPr>
            <w:tcW w:w="1590" w:type="pct"/>
            <w:tcBorders>
              <w:top w:val="single" w:sz="4" w:space="0" w:color="000000"/>
              <w:left w:val="nil"/>
              <w:bottom w:val="single" w:sz="4" w:space="0" w:color="000000"/>
              <w:right w:val="single" w:sz="4" w:space="0" w:color="000000"/>
            </w:tcBorders>
            <w:shd w:val="clear" w:color="auto" w:fill="FFFFFF" w:themeFill="background1"/>
            <w:noWrap/>
            <w:vAlign w:val="center"/>
          </w:tcPr>
          <w:p w14:paraId="414F78C0" w14:textId="3788F01A"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Ministerija</w:t>
            </w:r>
          </w:p>
        </w:tc>
      </w:tr>
      <w:tr w:rsidR="00587B6B" w:rsidRPr="00640D24" w14:paraId="1F52751E" w14:textId="77777777" w:rsidTr="00587B6B">
        <w:trPr>
          <w:trHeight w:val="280"/>
        </w:trPr>
        <w:tc>
          <w:tcPr>
            <w:tcW w:w="166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83760E4" w14:textId="1B6FF49B" w:rsidR="00587B6B" w:rsidRPr="00640D24" w:rsidRDefault="00587B6B" w:rsidP="0075738F">
            <w:pPr>
              <w:spacing w:after="0" w:line="240" w:lineRule="auto"/>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2020.09.28</w:t>
            </w:r>
          </w:p>
        </w:tc>
        <w:tc>
          <w:tcPr>
            <w:tcW w:w="17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F6D3C2" w14:textId="0E5EB06E" w:rsidR="00587B6B" w:rsidRPr="00640D24" w:rsidRDefault="00587B6B" w:rsidP="0075738F">
            <w:pPr>
              <w:spacing w:after="0" w:line="240" w:lineRule="auto"/>
              <w:jc w:val="center"/>
              <w:rPr>
                <w:rFonts w:eastAsia="Times New Roman" w:cs="Times New Roman"/>
                <w:b/>
                <w:bCs/>
                <w:color w:val="000000"/>
                <w:sz w:val="22"/>
                <w:szCs w:val="22"/>
                <w:lang w:eastAsia="lt-LT"/>
              </w:rPr>
            </w:pPr>
            <w:proofErr w:type="spellStart"/>
            <w:r w:rsidRPr="00640D24">
              <w:rPr>
                <w:rFonts w:eastAsia="Times New Roman" w:cs="Times New Roman"/>
                <w:color w:val="000000"/>
                <w:sz w:val="22"/>
                <w:szCs w:val="22"/>
                <w:lang w:eastAsia="lt-LT"/>
              </w:rPr>
              <w:t>Startupwiseguys</w:t>
            </w:r>
            <w:proofErr w:type="spellEnd"/>
          </w:p>
        </w:tc>
        <w:tc>
          <w:tcPr>
            <w:tcW w:w="1590" w:type="pct"/>
            <w:tcBorders>
              <w:top w:val="single" w:sz="4" w:space="0" w:color="000000"/>
              <w:left w:val="nil"/>
              <w:bottom w:val="single" w:sz="4" w:space="0" w:color="000000"/>
              <w:right w:val="single" w:sz="4" w:space="0" w:color="000000"/>
            </w:tcBorders>
            <w:shd w:val="clear" w:color="auto" w:fill="FFFFFF" w:themeFill="background1"/>
            <w:noWrap/>
            <w:vAlign w:val="center"/>
          </w:tcPr>
          <w:p w14:paraId="0D26A9F3" w14:textId="61A32E6C"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FT</w:t>
            </w:r>
          </w:p>
        </w:tc>
      </w:tr>
      <w:tr w:rsidR="00587B6B" w:rsidRPr="00640D24" w14:paraId="59B2D7D2" w14:textId="77777777" w:rsidTr="00587B6B">
        <w:trPr>
          <w:trHeight w:val="280"/>
        </w:trPr>
        <w:tc>
          <w:tcPr>
            <w:tcW w:w="166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EEDB1EF" w14:textId="4C38C37E" w:rsidR="00587B6B" w:rsidRPr="00640D24" w:rsidRDefault="00587B6B" w:rsidP="0075738F">
            <w:pPr>
              <w:spacing w:after="0" w:line="240" w:lineRule="auto"/>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2020.09.28</w:t>
            </w:r>
          </w:p>
        </w:tc>
        <w:tc>
          <w:tcPr>
            <w:tcW w:w="17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3CB9CF" w14:textId="6BDB0157" w:rsidR="00587B6B" w:rsidRPr="00640D24" w:rsidRDefault="00587B6B" w:rsidP="0075738F">
            <w:pPr>
              <w:spacing w:after="0" w:line="240" w:lineRule="auto"/>
              <w:jc w:val="center"/>
              <w:rPr>
                <w:rFonts w:eastAsia="Times New Roman" w:cs="Times New Roman"/>
                <w:b/>
                <w:bCs/>
                <w:color w:val="000000"/>
                <w:sz w:val="22"/>
                <w:szCs w:val="22"/>
                <w:lang w:eastAsia="lt-LT"/>
              </w:rPr>
            </w:pPr>
            <w:proofErr w:type="spellStart"/>
            <w:r w:rsidRPr="00640D24">
              <w:rPr>
                <w:rFonts w:eastAsia="Times New Roman" w:cs="Times New Roman"/>
                <w:color w:val="000000"/>
                <w:sz w:val="22"/>
                <w:szCs w:val="22"/>
                <w:lang w:eastAsia="lt-LT"/>
              </w:rPr>
              <w:t>Contrarian</w:t>
            </w:r>
            <w:proofErr w:type="spellEnd"/>
            <w:r w:rsidRPr="00640D24">
              <w:rPr>
                <w:rFonts w:eastAsia="Times New Roman" w:cs="Times New Roman"/>
                <w:color w:val="000000"/>
                <w:sz w:val="22"/>
                <w:szCs w:val="22"/>
                <w:lang w:eastAsia="lt-LT"/>
              </w:rPr>
              <w:t xml:space="preserve"> </w:t>
            </w:r>
            <w:proofErr w:type="spellStart"/>
            <w:r w:rsidRPr="00640D24">
              <w:rPr>
                <w:rFonts w:eastAsia="Times New Roman" w:cs="Times New Roman"/>
                <w:color w:val="000000"/>
                <w:sz w:val="22"/>
                <w:szCs w:val="22"/>
                <w:lang w:eastAsia="lt-LT"/>
              </w:rPr>
              <w:t>Ventures</w:t>
            </w:r>
            <w:proofErr w:type="spellEnd"/>
          </w:p>
        </w:tc>
        <w:tc>
          <w:tcPr>
            <w:tcW w:w="1590" w:type="pct"/>
            <w:tcBorders>
              <w:top w:val="single" w:sz="4" w:space="0" w:color="000000"/>
              <w:left w:val="nil"/>
              <w:bottom w:val="single" w:sz="4" w:space="0" w:color="000000"/>
              <w:right w:val="single" w:sz="4" w:space="0" w:color="000000"/>
            </w:tcBorders>
            <w:shd w:val="clear" w:color="auto" w:fill="FFFFFF" w:themeFill="background1"/>
            <w:noWrap/>
            <w:vAlign w:val="center"/>
          </w:tcPr>
          <w:p w14:paraId="70B137B4" w14:textId="4BCF4AEF"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FT</w:t>
            </w:r>
          </w:p>
        </w:tc>
      </w:tr>
      <w:tr w:rsidR="00587B6B" w:rsidRPr="00640D24" w14:paraId="69DBACD5" w14:textId="77777777" w:rsidTr="00587B6B">
        <w:trPr>
          <w:trHeight w:val="280"/>
        </w:trPr>
        <w:tc>
          <w:tcPr>
            <w:tcW w:w="166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6857400" w14:textId="6A7A950E" w:rsidR="00587B6B" w:rsidRPr="00640D24" w:rsidRDefault="00587B6B" w:rsidP="0075738F">
            <w:pPr>
              <w:spacing w:after="0" w:line="240" w:lineRule="auto"/>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2020.11.18</w:t>
            </w:r>
          </w:p>
        </w:tc>
        <w:tc>
          <w:tcPr>
            <w:tcW w:w="17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D05A69" w14:textId="1D9AA4C3" w:rsidR="00587B6B" w:rsidRPr="00640D24" w:rsidRDefault="00587B6B" w:rsidP="0075738F">
            <w:pPr>
              <w:spacing w:after="0" w:line="240" w:lineRule="auto"/>
              <w:jc w:val="center"/>
              <w:rPr>
                <w:rFonts w:eastAsia="Times New Roman" w:cs="Times New Roman"/>
                <w:b/>
                <w:bCs/>
                <w:color w:val="000000"/>
                <w:sz w:val="22"/>
                <w:szCs w:val="22"/>
                <w:lang w:eastAsia="lt-LT"/>
              </w:rPr>
            </w:pPr>
            <w:proofErr w:type="spellStart"/>
            <w:r w:rsidRPr="00640D24">
              <w:rPr>
                <w:rFonts w:eastAsia="Times New Roman" w:cs="Times New Roman"/>
                <w:color w:val="000000"/>
                <w:sz w:val="22"/>
                <w:szCs w:val="22"/>
                <w:lang w:eastAsia="lt-LT"/>
              </w:rPr>
              <w:t>VšĮ</w:t>
            </w:r>
            <w:proofErr w:type="spellEnd"/>
            <w:r w:rsidRPr="00640D24">
              <w:rPr>
                <w:rFonts w:eastAsia="Times New Roman" w:cs="Times New Roman"/>
                <w:color w:val="000000"/>
                <w:sz w:val="22"/>
                <w:szCs w:val="22"/>
                <w:lang w:eastAsia="lt-LT"/>
              </w:rPr>
              <w:t xml:space="preserve"> „Investuok Lietuvoje“</w:t>
            </w:r>
          </w:p>
        </w:tc>
        <w:tc>
          <w:tcPr>
            <w:tcW w:w="1590" w:type="pct"/>
            <w:tcBorders>
              <w:top w:val="single" w:sz="4" w:space="0" w:color="000000"/>
              <w:left w:val="nil"/>
              <w:bottom w:val="single" w:sz="4" w:space="0" w:color="000000"/>
              <w:right w:val="single" w:sz="4" w:space="0" w:color="000000"/>
            </w:tcBorders>
            <w:shd w:val="clear" w:color="auto" w:fill="FFFFFF" w:themeFill="background1"/>
            <w:noWrap/>
            <w:vAlign w:val="center"/>
          </w:tcPr>
          <w:p w14:paraId="7F292E21" w14:textId="50AF95AC"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Viešoji įstaiga</w:t>
            </w:r>
          </w:p>
        </w:tc>
      </w:tr>
      <w:tr w:rsidR="00587B6B" w:rsidRPr="00640D24" w14:paraId="5061DF74" w14:textId="77777777" w:rsidTr="00587B6B">
        <w:trPr>
          <w:trHeight w:val="280"/>
        </w:trPr>
        <w:tc>
          <w:tcPr>
            <w:tcW w:w="166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9BCE387" w14:textId="7B0DC73D" w:rsidR="00587B6B" w:rsidRPr="00640D24" w:rsidRDefault="00587B6B" w:rsidP="0075738F">
            <w:pPr>
              <w:spacing w:after="0" w:line="240" w:lineRule="auto"/>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2021.07.02</w:t>
            </w:r>
          </w:p>
        </w:tc>
        <w:tc>
          <w:tcPr>
            <w:tcW w:w="17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731AF2" w14:textId="7F034B7A"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Lietuvos bankų asociacija</w:t>
            </w:r>
          </w:p>
        </w:tc>
        <w:tc>
          <w:tcPr>
            <w:tcW w:w="1590" w:type="pct"/>
            <w:tcBorders>
              <w:top w:val="single" w:sz="4" w:space="0" w:color="000000"/>
              <w:left w:val="nil"/>
              <w:bottom w:val="single" w:sz="4" w:space="0" w:color="000000"/>
              <w:right w:val="single" w:sz="4" w:space="0" w:color="000000"/>
            </w:tcBorders>
            <w:shd w:val="clear" w:color="auto" w:fill="FFFFFF" w:themeFill="background1"/>
            <w:noWrap/>
            <w:vAlign w:val="center"/>
          </w:tcPr>
          <w:p w14:paraId="00DD99CC" w14:textId="3C737A1C"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Asociacija</w:t>
            </w:r>
          </w:p>
        </w:tc>
      </w:tr>
      <w:tr w:rsidR="00587B6B" w:rsidRPr="00640D24" w14:paraId="3FC42567" w14:textId="77777777" w:rsidTr="00587B6B">
        <w:trPr>
          <w:trHeight w:val="280"/>
        </w:trPr>
        <w:tc>
          <w:tcPr>
            <w:tcW w:w="166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C7B5871" w14:textId="227CA80A" w:rsidR="00587B6B" w:rsidRPr="00640D24" w:rsidRDefault="00587B6B" w:rsidP="0075738F">
            <w:pPr>
              <w:spacing w:after="0" w:line="240" w:lineRule="auto"/>
              <w:rPr>
                <w:rFonts w:eastAsia="Times New Roman" w:cs="Times New Roman"/>
                <w:color w:val="000000"/>
                <w:sz w:val="22"/>
                <w:szCs w:val="22"/>
                <w:lang w:eastAsia="lt-LT"/>
              </w:rPr>
            </w:pPr>
            <w:r w:rsidRPr="00640D24">
              <w:rPr>
                <w:rFonts w:eastAsia="Times New Roman" w:cs="Times New Roman"/>
                <w:color w:val="000000"/>
                <w:sz w:val="22"/>
                <w:szCs w:val="22"/>
                <w:lang w:eastAsia="lt-LT"/>
              </w:rPr>
              <w:t>2023.07.14</w:t>
            </w:r>
          </w:p>
        </w:tc>
        <w:tc>
          <w:tcPr>
            <w:tcW w:w="17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AD8A02" w14:textId="327D0154" w:rsidR="00587B6B" w:rsidRPr="00640D24" w:rsidRDefault="00587B6B" w:rsidP="005E3796">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 xml:space="preserve">NGPA </w:t>
            </w:r>
          </w:p>
        </w:tc>
        <w:tc>
          <w:tcPr>
            <w:tcW w:w="1590" w:type="pct"/>
            <w:tcBorders>
              <w:top w:val="single" w:sz="4" w:space="0" w:color="000000"/>
              <w:left w:val="nil"/>
              <w:bottom w:val="single" w:sz="4" w:space="0" w:color="000000"/>
              <w:right w:val="single" w:sz="4" w:space="0" w:color="000000"/>
            </w:tcBorders>
            <w:shd w:val="clear" w:color="auto" w:fill="FFFFFF" w:themeFill="background1"/>
            <w:noWrap/>
            <w:vAlign w:val="center"/>
          </w:tcPr>
          <w:p w14:paraId="089463C5" w14:textId="1B2FCB3C"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Asociacija</w:t>
            </w:r>
          </w:p>
        </w:tc>
      </w:tr>
      <w:tr w:rsidR="00587B6B" w:rsidRPr="00640D24" w14:paraId="7A273AA7"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838D6F" w14:textId="5F08E8AC" w:rsidR="00587B6B" w:rsidRPr="00640D24" w:rsidRDefault="00587B6B" w:rsidP="0075738F">
            <w:pPr>
              <w:spacing w:after="0" w:line="240" w:lineRule="auto"/>
              <w:rPr>
                <w:rFonts w:eastAsia="Times New Roman" w:cs="Times New Roman"/>
                <w:color w:val="000000"/>
                <w:sz w:val="22"/>
                <w:szCs w:val="22"/>
                <w:lang w:eastAsia="lt-LT"/>
              </w:rPr>
            </w:pPr>
            <w:r w:rsidRPr="00640D24">
              <w:rPr>
                <w:sz w:val="22"/>
                <w:szCs w:val="22"/>
              </w:rPr>
              <w:t>2023.07.18</w:t>
            </w:r>
          </w:p>
        </w:tc>
        <w:tc>
          <w:tcPr>
            <w:tcW w:w="1745" w:type="pct"/>
            <w:tcBorders>
              <w:top w:val="single" w:sz="4" w:space="0" w:color="auto"/>
              <w:left w:val="single" w:sz="4" w:space="0" w:color="auto"/>
              <w:bottom w:val="single" w:sz="4" w:space="0" w:color="auto"/>
              <w:right w:val="single" w:sz="4" w:space="0" w:color="auto"/>
            </w:tcBorders>
            <w:shd w:val="clear" w:color="auto" w:fill="auto"/>
            <w:vAlign w:val="center"/>
          </w:tcPr>
          <w:p w14:paraId="14186F01" w14:textId="6682879F"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sz w:val="22"/>
                <w:szCs w:val="22"/>
              </w:rPr>
              <w:t>Elsis TS</w:t>
            </w:r>
          </w:p>
        </w:tc>
        <w:tc>
          <w:tcPr>
            <w:tcW w:w="1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673349" w14:textId="20459C71"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Pramonės įmonė</w:t>
            </w:r>
          </w:p>
        </w:tc>
      </w:tr>
      <w:tr w:rsidR="00587B6B" w:rsidRPr="00640D24" w14:paraId="595EAF1E"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6EB0F8" w14:textId="590E75D7" w:rsidR="00587B6B" w:rsidRPr="00640D24" w:rsidRDefault="00587B6B" w:rsidP="0075738F">
            <w:pPr>
              <w:spacing w:after="0" w:line="240" w:lineRule="auto"/>
              <w:rPr>
                <w:rFonts w:eastAsia="Times New Roman" w:cs="Times New Roman"/>
                <w:color w:val="000000"/>
                <w:sz w:val="22"/>
                <w:szCs w:val="22"/>
                <w:lang w:eastAsia="lt-LT"/>
              </w:rPr>
            </w:pPr>
            <w:r w:rsidRPr="00640D24">
              <w:rPr>
                <w:sz w:val="22"/>
                <w:szCs w:val="22"/>
              </w:rPr>
              <w:t>2023.07.20</w:t>
            </w:r>
          </w:p>
        </w:tc>
        <w:tc>
          <w:tcPr>
            <w:tcW w:w="1745" w:type="pct"/>
            <w:tcBorders>
              <w:top w:val="single" w:sz="4" w:space="0" w:color="auto"/>
              <w:left w:val="single" w:sz="4" w:space="0" w:color="auto"/>
              <w:bottom w:val="single" w:sz="4" w:space="0" w:color="auto"/>
              <w:right w:val="single" w:sz="4" w:space="0" w:color="auto"/>
            </w:tcBorders>
            <w:shd w:val="clear" w:color="auto" w:fill="auto"/>
            <w:vAlign w:val="center"/>
          </w:tcPr>
          <w:p w14:paraId="656CC31A" w14:textId="17F33BFA" w:rsidR="00587B6B" w:rsidRPr="00640D24" w:rsidRDefault="00587B6B" w:rsidP="0075738F">
            <w:pPr>
              <w:spacing w:after="0" w:line="240" w:lineRule="auto"/>
              <w:jc w:val="center"/>
              <w:rPr>
                <w:rFonts w:eastAsia="Times New Roman" w:cs="Times New Roman"/>
                <w:color w:val="000000"/>
                <w:sz w:val="22"/>
                <w:szCs w:val="22"/>
                <w:lang w:eastAsia="lt-LT"/>
              </w:rPr>
            </w:pPr>
            <w:proofErr w:type="spellStart"/>
            <w:r w:rsidRPr="00640D24">
              <w:rPr>
                <w:sz w:val="22"/>
                <w:szCs w:val="22"/>
              </w:rPr>
              <w:t>Teltonika</w:t>
            </w:r>
            <w:proofErr w:type="spellEnd"/>
            <w:r w:rsidRPr="00640D24">
              <w:rPr>
                <w:sz w:val="22"/>
                <w:szCs w:val="22"/>
              </w:rPr>
              <w:t xml:space="preserve"> </w:t>
            </w:r>
            <w:proofErr w:type="spellStart"/>
            <w:r w:rsidRPr="00640D24">
              <w:rPr>
                <w:sz w:val="22"/>
                <w:szCs w:val="22"/>
              </w:rPr>
              <w:t>IoT</w:t>
            </w:r>
            <w:proofErr w:type="spellEnd"/>
            <w:r w:rsidRPr="00640D24">
              <w:rPr>
                <w:sz w:val="22"/>
                <w:szCs w:val="22"/>
              </w:rPr>
              <w:t xml:space="preserve"> </w:t>
            </w:r>
            <w:proofErr w:type="spellStart"/>
            <w:r w:rsidRPr="00640D24">
              <w:rPr>
                <w:sz w:val="22"/>
                <w:szCs w:val="22"/>
              </w:rPr>
              <w:t>Group</w:t>
            </w:r>
            <w:proofErr w:type="spellEnd"/>
          </w:p>
        </w:tc>
        <w:tc>
          <w:tcPr>
            <w:tcW w:w="1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85A02D" w14:textId="74E87038"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Pramonės įmonė</w:t>
            </w:r>
          </w:p>
        </w:tc>
      </w:tr>
      <w:tr w:rsidR="00587B6B" w:rsidRPr="00640D24" w14:paraId="52C38F18"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826EFB" w14:textId="11CF657B" w:rsidR="00587B6B" w:rsidRPr="00640D24" w:rsidRDefault="00587B6B" w:rsidP="0075738F">
            <w:pPr>
              <w:spacing w:after="0" w:line="240" w:lineRule="auto"/>
              <w:rPr>
                <w:rFonts w:eastAsia="Times New Roman" w:cs="Times New Roman"/>
                <w:color w:val="000000"/>
                <w:sz w:val="22"/>
                <w:szCs w:val="22"/>
                <w:lang w:eastAsia="lt-LT"/>
              </w:rPr>
            </w:pPr>
            <w:r w:rsidRPr="00640D24">
              <w:rPr>
                <w:sz w:val="22"/>
                <w:szCs w:val="22"/>
              </w:rPr>
              <w:t>2023.07.21</w:t>
            </w:r>
          </w:p>
        </w:tc>
        <w:tc>
          <w:tcPr>
            <w:tcW w:w="1745" w:type="pct"/>
            <w:tcBorders>
              <w:top w:val="single" w:sz="4" w:space="0" w:color="auto"/>
              <w:left w:val="single" w:sz="4" w:space="0" w:color="auto"/>
              <w:bottom w:val="single" w:sz="4" w:space="0" w:color="auto"/>
              <w:right w:val="single" w:sz="4" w:space="0" w:color="auto"/>
            </w:tcBorders>
            <w:shd w:val="clear" w:color="auto" w:fill="auto"/>
            <w:vAlign w:val="center"/>
          </w:tcPr>
          <w:p w14:paraId="6A248DF3" w14:textId="7F9317DA"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sz w:val="22"/>
                <w:szCs w:val="22"/>
              </w:rPr>
              <w:t xml:space="preserve">Gamybos inovacijų slėnis/ </w:t>
            </w:r>
            <w:proofErr w:type="spellStart"/>
            <w:r w:rsidRPr="00640D24">
              <w:rPr>
                <w:sz w:val="22"/>
                <w:szCs w:val="22"/>
              </w:rPr>
              <w:t>Inovatyvios</w:t>
            </w:r>
            <w:proofErr w:type="spellEnd"/>
            <w:r w:rsidRPr="00640D24">
              <w:rPr>
                <w:sz w:val="22"/>
                <w:szCs w:val="22"/>
              </w:rPr>
              <w:t xml:space="preserve"> gamybos klasteris</w:t>
            </w:r>
          </w:p>
        </w:tc>
        <w:tc>
          <w:tcPr>
            <w:tcW w:w="1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668330" w14:textId="1425FA40"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Pramonės įmonė</w:t>
            </w:r>
          </w:p>
        </w:tc>
      </w:tr>
      <w:tr w:rsidR="00587B6B" w:rsidRPr="00640D24" w14:paraId="52F7F3DF"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F5F090" w14:textId="3A5A1007" w:rsidR="00587B6B" w:rsidRPr="00640D24" w:rsidRDefault="00587B6B" w:rsidP="0075738F">
            <w:pPr>
              <w:spacing w:after="0" w:line="240" w:lineRule="auto"/>
              <w:rPr>
                <w:rFonts w:eastAsia="Times New Roman" w:cs="Times New Roman"/>
                <w:color w:val="000000"/>
                <w:sz w:val="22"/>
                <w:szCs w:val="22"/>
                <w:lang w:eastAsia="lt-LT"/>
              </w:rPr>
            </w:pPr>
            <w:r w:rsidRPr="00640D24">
              <w:rPr>
                <w:sz w:val="22"/>
                <w:szCs w:val="22"/>
              </w:rPr>
              <w:t>2023.07.25</w:t>
            </w:r>
          </w:p>
        </w:tc>
        <w:tc>
          <w:tcPr>
            <w:tcW w:w="1745" w:type="pct"/>
            <w:tcBorders>
              <w:top w:val="single" w:sz="4" w:space="0" w:color="auto"/>
              <w:left w:val="single" w:sz="4" w:space="0" w:color="auto"/>
              <w:bottom w:val="single" w:sz="4" w:space="0" w:color="auto"/>
              <w:right w:val="single" w:sz="4" w:space="0" w:color="auto"/>
            </w:tcBorders>
            <w:shd w:val="clear" w:color="auto" w:fill="auto"/>
            <w:vAlign w:val="center"/>
          </w:tcPr>
          <w:p w14:paraId="374C9CB7" w14:textId="4906F7DC"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sz w:val="22"/>
                <w:szCs w:val="22"/>
              </w:rPr>
              <w:t xml:space="preserve">VMG </w:t>
            </w:r>
            <w:proofErr w:type="spellStart"/>
            <w:r w:rsidRPr="00640D24">
              <w:rPr>
                <w:sz w:val="22"/>
                <w:szCs w:val="22"/>
              </w:rPr>
              <w:t>Energy</w:t>
            </w:r>
            <w:proofErr w:type="spellEnd"/>
          </w:p>
        </w:tc>
        <w:tc>
          <w:tcPr>
            <w:tcW w:w="1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24FC83" w14:textId="0FFE1DEE"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Pramonės įmonė</w:t>
            </w:r>
          </w:p>
        </w:tc>
      </w:tr>
      <w:tr w:rsidR="00587B6B" w:rsidRPr="00640D24" w14:paraId="393B092F"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FE258C" w14:textId="4D7E1EC7" w:rsidR="00587B6B" w:rsidRPr="00640D24" w:rsidRDefault="00587B6B" w:rsidP="0075738F">
            <w:pPr>
              <w:spacing w:after="0" w:line="240" w:lineRule="auto"/>
              <w:rPr>
                <w:rFonts w:eastAsia="Times New Roman" w:cs="Times New Roman"/>
                <w:color w:val="000000"/>
                <w:sz w:val="22"/>
                <w:szCs w:val="22"/>
                <w:lang w:eastAsia="lt-LT"/>
              </w:rPr>
            </w:pPr>
            <w:r w:rsidRPr="00640D24">
              <w:rPr>
                <w:sz w:val="22"/>
                <w:szCs w:val="22"/>
              </w:rPr>
              <w:t>2023.07.24</w:t>
            </w:r>
          </w:p>
        </w:tc>
        <w:tc>
          <w:tcPr>
            <w:tcW w:w="1745" w:type="pct"/>
            <w:tcBorders>
              <w:top w:val="single" w:sz="4" w:space="0" w:color="auto"/>
              <w:left w:val="single" w:sz="4" w:space="0" w:color="auto"/>
              <w:bottom w:val="single" w:sz="4" w:space="0" w:color="auto"/>
              <w:right w:val="single" w:sz="4" w:space="0" w:color="auto"/>
            </w:tcBorders>
            <w:shd w:val="clear" w:color="auto" w:fill="auto"/>
            <w:vAlign w:val="center"/>
          </w:tcPr>
          <w:p w14:paraId="0C80E451" w14:textId="1AF8C7E3" w:rsidR="00587B6B" w:rsidRPr="00640D24" w:rsidRDefault="00587B6B" w:rsidP="0075738F">
            <w:pPr>
              <w:spacing w:after="0" w:line="240" w:lineRule="auto"/>
              <w:jc w:val="center"/>
              <w:rPr>
                <w:rFonts w:eastAsia="Times New Roman" w:cs="Times New Roman"/>
                <w:color w:val="000000"/>
                <w:sz w:val="22"/>
                <w:szCs w:val="22"/>
                <w:lang w:eastAsia="lt-LT"/>
              </w:rPr>
            </w:pPr>
            <w:proofErr w:type="spellStart"/>
            <w:r w:rsidRPr="00640D24">
              <w:rPr>
                <w:sz w:val="22"/>
                <w:szCs w:val="22"/>
              </w:rPr>
              <w:t>LithuaniaBIO</w:t>
            </w:r>
            <w:proofErr w:type="spellEnd"/>
            <w:r w:rsidRPr="00640D24">
              <w:rPr>
                <w:rStyle w:val="Puslapioinaosnuoroda"/>
                <w:sz w:val="22"/>
                <w:szCs w:val="22"/>
              </w:rPr>
              <w:footnoteReference w:id="112"/>
            </w:r>
          </w:p>
        </w:tc>
        <w:tc>
          <w:tcPr>
            <w:tcW w:w="1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C3AFC6" w14:textId="58FBE44A"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Asociacija</w:t>
            </w:r>
          </w:p>
        </w:tc>
      </w:tr>
      <w:tr w:rsidR="00587B6B" w:rsidRPr="00640D24" w14:paraId="3769E269"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13E68" w14:textId="5A246D02" w:rsidR="00587B6B" w:rsidRPr="00640D24" w:rsidRDefault="00587B6B" w:rsidP="0075738F">
            <w:pPr>
              <w:spacing w:after="0" w:line="240" w:lineRule="auto"/>
              <w:rPr>
                <w:rFonts w:eastAsia="Times New Roman" w:cs="Times New Roman"/>
                <w:color w:val="000000"/>
                <w:sz w:val="22"/>
                <w:szCs w:val="22"/>
                <w:lang w:eastAsia="lt-LT"/>
              </w:rPr>
            </w:pPr>
            <w:r w:rsidRPr="00640D24">
              <w:rPr>
                <w:sz w:val="22"/>
                <w:szCs w:val="22"/>
              </w:rPr>
              <w:t>2023.07.26</w:t>
            </w:r>
          </w:p>
        </w:tc>
        <w:tc>
          <w:tcPr>
            <w:tcW w:w="1745" w:type="pct"/>
            <w:tcBorders>
              <w:top w:val="single" w:sz="4" w:space="0" w:color="auto"/>
              <w:left w:val="single" w:sz="4" w:space="0" w:color="auto"/>
              <w:bottom w:val="single" w:sz="4" w:space="0" w:color="auto"/>
              <w:right w:val="single" w:sz="4" w:space="0" w:color="auto"/>
            </w:tcBorders>
            <w:shd w:val="clear" w:color="auto" w:fill="auto"/>
            <w:vAlign w:val="center"/>
          </w:tcPr>
          <w:p w14:paraId="353DADDD" w14:textId="0ED2820C"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sz w:val="22"/>
                <w:szCs w:val="22"/>
              </w:rPr>
              <w:t xml:space="preserve">Achema </w:t>
            </w:r>
            <w:proofErr w:type="spellStart"/>
            <w:r w:rsidRPr="00640D24">
              <w:rPr>
                <w:sz w:val="22"/>
                <w:szCs w:val="22"/>
              </w:rPr>
              <w:t>Group</w:t>
            </w:r>
            <w:proofErr w:type="spellEnd"/>
            <w:r w:rsidRPr="00640D24">
              <w:rPr>
                <w:sz w:val="22"/>
                <w:szCs w:val="22"/>
              </w:rPr>
              <w:t>/ Achema</w:t>
            </w:r>
          </w:p>
        </w:tc>
        <w:tc>
          <w:tcPr>
            <w:tcW w:w="1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43D5B3" w14:textId="46A81E7A"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Pramonės įmonė</w:t>
            </w:r>
          </w:p>
        </w:tc>
      </w:tr>
      <w:tr w:rsidR="00587B6B" w:rsidRPr="00640D24" w14:paraId="0A004C4B"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830A90" w14:textId="24B1933A" w:rsidR="00587B6B" w:rsidRPr="00640D24" w:rsidRDefault="00587B6B" w:rsidP="0075738F">
            <w:pPr>
              <w:spacing w:after="0" w:line="240" w:lineRule="auto"/>
              <w:rPr>
                <w:rFonts w:eastAsia="Times New Roman" w:cs="Times New Roman"/>
                <w:color w:val="000000"/>
                <w:sz w:val="22"/>
                <w:szCs w:val="22"/>
                <w:lang w:eastAsia="lt-LT"/>
              </w:rPr>
            </w:pPr>
            <w:r w:rsidRPr="00640D24">
              <w:rPr>
                <w:sz w:val="22"/>
                <w:szCs w:val="22"/>
              </w:rPr>
              <w:t>2023.07.26</w:t>
            </w:r>
          </w:p>
        </w:tc>
        <w:tc>
          <w:tcPr>
            <w:tcW w:w="1745" w:type="pct"/>
            <w:tcBorders>
              <w:top w:val="single" w:sz="4" w:space="0" w:color="auto"/>
              <w:left w:val="single" w:sz="4" w:space="0" w:color="auto"/>
              <w:bottom w:val="single" w:sz="4" w:space="0" w:color="auto"/>
              <w:right w:val="single" w:sz="4" w:space="0" w:color="auto"/>
            </w:tcBorders>
            <w:shd w:val="clear" w:color="auto" w:fill="auto"/>
            <w:vAlign w:val="center"/>
          </w:tcPr>
          <w:p w14:paraId="6EA074AA" w14:textId="5271C911"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sz w:val="22"/>
                <w:szCs w:val="22"/>
              </w:rPr>
              <w:t>VMG</w:t>
            </w:r>
          </w:p>
        </w:tc>
        <w:tc>
          <w:tcPr>
            <w:tcW w:w="1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89246" w14:textId="3AA60E74"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Pramonės įmonė</w:t>
            </w:r>
          </w:p>
        </w:tc>
      </w:tr>
      <w:tr w:rsidR="00587B6B" w:rsidRPr="00640D24" w14:paraId="18B7D317"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5811FF" w14:textId="6725035A" w:rsidR="00587B6B" w:rsidRPr="00640D24" w:rsidRDefault="00587B6B" w:rsidP="0075738F">
            <w:pPr>
              <w:spacing w:after="0" w:line="240" w:lineRule="auto"/>
              <w:rPr>
                <w:sz w:val="22"/>
                <w:szCs w:val="22"/>
              </w:rPr>
            </w:pPr>
            <w:r w:rsidRPr="00640D24">
              <w:rPr>
                <w:sz w:val="22"/>
                <w:szCs w:val="22"/>
              </w:rPr>
              <w:t>2023.08.16</w:t>
            </w:r>
          </w:p>
        </w:tc>
        <w:tc>
          <w:tcPr>
            <w:tcW w:w="1745" w:type="pct"/>
            <w:tcBorders>
              <w:top w:val="single" w:sz="4" w:space="0" w:color="auto"/>
              <w:left w:val="single" w:sz="4" w:space="0" w:color="auto"/>
              <w:bottom w:val="single" w:sz="4" w:space="0" w:color="auto"/>
              <w:right w:val="single" w:sz="4" w:space="0" w:color="auto"/>
            </w:tcBorders>
            <w:shd w:val="clear" w:color="auto" w:fill="auto"/>
            <w:vAlign w:val="center"/>
          </w:tcPr>
          <w:p w14:paraId="32DA53BC" w14:textId="1FCCAC97"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sz w:val="22"/>
                <w:szCs w:val="22"/>
              </w:rPr>
              <w:t>Šiaulių bankas</w:t>
            </w:r>
          </w:p>
        </w:tc>
        <w:tc>
          <w:tcPr>
            <w:tcW w:w="1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CB2783" w14:textId="3755D8A8"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FT</w:t>
            </w:r>
          </w:p>
        </w:tc>
      </w:tr>
      <w:tr w:rsidR="00587B6B" w:rsidRPr="00640D24" w14:paraId="3448D376"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D74807" w14:textId="5598B137" w:rsidR="00587B6B" w:rsidRPr="00640D24" w:rsidRDefault="00587B6B" w:rsidP="0075738F">
            <w:pPr>
              <w:spacing w:after="0" w:line="240" w:lineRule="auto"/>
              <w:rPr>
                <w:sz w:val="22"/>
                <w:szCs w:val="22"/>
              </w:rPr>
            </w:pPr>
            <w:r w:rsidRPr="00640D24">
              <w:rPr>
                <w:sz w:val="22"/>
                <w:szCs w:val="22"/>
              </w:rPr>
              <w:t>2023.08.17</w:t>
            </w:r>
          </w:p>
        </w:tc>
        <w:tc>
          <w:tcPr>
            <w:tcW w:w="1745" w:type="pct"/>
            <w:tcBorders>
              <w:top w:val="single" w:sz="4" w:space="0" w:color="auto"/>
              <w:left w:val="single" w:sz="4" w:space="0" w:color="auto"/>
              <w:bottom w:val="single" w:sz="4" w:space="0" w:color="auto"/>
              <w:right w:val="single" w:sz="4" w:space="0" w:color="auto"/>
            </w:tcBorders>
            <w:shd w:val="clear" w:color="auto" w:fill="auto"/>
            <w:vAlign w:val="center"/>
          </w:tcPr>
          <w:p w14:paraId="0DD255ED" w14:textId="0A05ECF5"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sz w:val="22"/>
                <w:szCs w:val="22"/>
              </w:rPr>
              <w:t>SEB</w:t>
            </w:r>
          </w:p>
        </w:tc>
        <w:tc>
          <w:tcPr>
            <w:tcW w:w="1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3729BB" w14:textId="1253C8B0"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FT</w:t>
            </w:r>
          </w:p>
        </w:tc>
      </w:tr>
      <w:tr w:rsidR="00587B6B" w:rsidRPr="00640D24" w14:paraId="44241740"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903DDB" w14:textId="702F7761" w:rsidR="00587B6B" w:rsidRPr="00640D24" w:rsidRDefault="00587B6B" w:rsidP="0075738F">
            <w:pPr>
              <w:spacing w:after="0" w:line="240" w:lineRule="auto"/>
              <w:rPr>
                <w:sz w:val="22"/>
                <w:szCs w:val="22"/>
              </w:rPr>
            </w:pPr>
            <w:r w:rsidRPr="00640D24">
              <w:rPr>
                <w:sz w:val="22"/>
                <w:szCs w:val="22"/>
              </w:rPr>
              <w:t>2023.08.18</w:t>
            </w:r>
          </w:p>
        </w:tc>
        <w:tc>
          <w:tcPr>
            <w:tcW w:w="1745" w:type="pct"/>
            <w:tcBorders>
              <w:top w:val="single" w:sz="4" w:space="0" w:color="auto"/>
              <w:left w:val="single" w:sz="4" w:space="0" w:color="auto"/>
              <w:bottom w:val="single" w:sz="4" w:space="0" w:color="auto"/>
              <w:right w:val="single" w:sz="4" w:space="0" w:color="auto"/>
            </w:tcBorders>
            <w:shd w:val="clear" w:color="auto" w:fill="auto"/>
            <w:vAlign w:val="center"/>
          </w:tcPr>
          <w:p w14:paraId="3FCB8553" w14:textId="20602D27" w:rsidR="00587B6B" w:rsidRPr="00640D24" w:rsidRDefault="00587B6B" w:rsidP="0075738F">
            <w:pPr>
              <w:spacing w:after="0" w:line="240" w:lineRule="auto"/>
              <w:jc w:val="center"/>
              <w:rPr>
                <w:rFonts w:eastAsia="Times New Roman" w:cs="Times New Roman"/>
                <w:color w:val="000000"/>
                <w:sz w:val="22"/>
                <w:szCs w:val="22"/>
                <w:lang w:eastAsia="lt-LT"/>
              </w:rPr>
            </w:pPr>
            <w:proofErr w:type="spellStart"/>
            <w:r w:rsidRPr="00640D24">
              <w:rPr>
                <w:sz w:val="22"/>
                <w:szCs w:val="22"/>
              </w:rPr>
              <w:t>Swedbank</w:t>
            </w:r>
            <w:proofErr w:type="spellEnd"/>
          </w:p>
        </w:tc>
        <w:tc>
          <w:tcPr>
            <w:tcW w:w="1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C68688" w14:textId="3BAD61E3"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FT</w:t>
            </w:r>
          </w:p>
        </w:tc>
      </w:tr>
      <w:tr w:rsidR="00587B6B" w:rsidRPr="00640D24" w14:paraId="7C2C0C1E"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7D6A5B" w14:textId="1EE62966" w:rsidR="00587B6B" w:rsidRPr="00640D24" w:rsidRDefault="00587B6B" w:rsidP="0075738F">
            <w:pPr>
              <w:spacing w:after="0" w:line="240" w:lineRule="auto"/>
              <w:rPr>
                <w:sz w:val="22"/>
                <w:szCs w:val="22"/>
              </w:rPr>
            </w:pPr>
            <w:r w:rsidRPr="00640D24">
              <w:rPr>
                <w:sz w:val="22"/>
                <w:szCs w:val="22"/>
              </w:rPr>
              <w:t>2023.09.11</w:t>
            </w:r>
          </w:p>
        </w:tc>
        <w:tc>
          <w:tcPr>
            <w:tcW w:w="1745" w:type="pct"/>
            <w:tcBorders>
              <w:top w:val="single" w:sz="4" w:space="0" w:color="auto"/>
              <w:left w:val="single" w:sz="4" w:space="0" w:color="auto"/>
              <w:bottom w:val="single" w:sz="4" w:space="0" w:color="auto"/>
              <w:right w:val="single" w:sz="4" w:space="0" w:color="auto"/>
            </w:tcBorders>
            <w:shd w:val="clear" w:color="auto" w:fill="auto"/>
            <w:vAlign w:val="center"/>
          </w:tcPr>
          <w:p w14:paraId="219D8A00" w14:textId="6FE1BDB6" w:rsidR="00587B6B" w:rsidRPr="00640D24" w:rsidRDefault="00587B6B" w:rsidP="0075738F">
            <w:pPr>
              <w:spacing w:after="0" w:line="240" w:lineRule="auto"/>
              <w:jc w:val="center"/>
              <w:rPr>
                <w:sz w:val="22"/>
                <w:szCs w:val="22"/>
              </w:rPr>
            </w:pPr>
            <w:r w:rsidRPr="00640D24">
              <w:rPr>
                <w:sz w:val="22"/>
                <w:szCs w:val="22"/>
              </w:rPr>
              <w:t>Investuok Lietuvoje</w:t>
            </w:r>
          </w:p>
        </w:tc>
        <w:tc>
          <w:tcPr>
            <w:tcW w:w="1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C3DE18" w14:textId="06218291"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Įmonė</w:t>
            </w:r>
          </w:p>
        </w:tc>
      </w:tr>
      <w:tr w:rsidR="00587B6B" w:rsidRPr="00640D24" w14:paraId="04BCF2B9"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C42E28" w14:textId="66EDFF66" w:rsidR="00587B6B" w:rsidRPr="00640D24" w:rsidRDefault="00587B6B" w:rsidP="0075738F">
            <w:pPr>
              <w:spacing w:after="0" w:line="240" w:lineRule="auto"/>
              <w:rPr>
                <w:sz w:val="22"/>
                <w:szCs w:val="22"/>
              </w:rPr>
            </w:pPr>
            <w:r w:rsidRPr="00640D24">
              <w:rPr>
                <w:sz w:val="22"/>
                <w:szCs w:val="22"/>
              </w:rPr>
              <w:lastRenderedPageBreak/>
              <w:t>2023.09.14</w:t>
            </w:r>
          </w:p>
        </w:tc>
        <w:tc>
          <w:tcPr>
            <w:tcW w:w="1745" w:type="pct"/>
            <w:tcBorders>
              <w:top w:val="single" w:sz="4" w:space="0" w:color="auto"/>
              <w:left w:val="single" w:sz="4" w:space="0" w:color="auto"/>
              <w:bottom w:val="single" w:sz="4" w:space="0" w:color="auto"/>
              <w:right w:val="single" w:sz="4" w:space="0" w:color="auto"/>
            </w:tcBorders>
            <w:shd w:val="clear" w:color="auto" w:fill="auto"/>
            <w:vAlign w:val="center"/>
          </w:tcPr>
          <w:p w14:paraId="76D5AC92" w14:textId="14AB95DA" w:rsidR="00587B6B" w:rsidRPr="00640D24" w:rsidRDefault="00587B6B" w:rsidP="0075738F">
            <w:pPr>
              <w:spacing w:after="0" w:line="240" w:lineRule="auto"/>
              <w:jc w:val="center"/>
              <w:rPr>
                <w:sz w:val="22"/>
                <w:szCs w:val="22"/>
              </w:rPr>
            </w:pPr>
            <w:r w:rsidRPr="00640D24">
              <w:rPr>
                <w:sz w:val="22"/>
                <w:szCs w:val="22"/>
              </w:rPr>
              <w:t>LGSPA</w:t>
            </w:r>
            <w:r w:rsidRPr="00640D24">
              <w:rPr>
                <w:rStyle w:val="Puslapioinaosnuoroda"/>
                <w:sz w:val="22"/>
                <w:szCs w:val="22"/>
              </w:rPr>
              <w:footnoteReference w:id="113"/>
            </w:r>
          </w:p>
        </w:tc>
        <w:tc>
          <w:tcPr>
            <w:tcW w:w="1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4A5572" w14:textId="5CC626DA"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Asociacija</w:t>
            </w:r>
          </w:p>
        </w:tc>
      </w:tr>
      <w:tr w:rsidR="00587B6B" w:rsidRPr="00640D24" w14:paraId="12DA6E11"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6D726" w14:textId="77777777" w:rsidR="00587B6B" w:rsidRPr="00640D24" w:rsidRDefault="00587B6B" w:rsidP="0075738F">
            <w:pPr>
              <w:spacing w:after="0" w:line="240" w:lineRule="auto"/>
              <w:rPr>
                <w:sz w:val="22"/>
                <w:szCs w:val="22"/>
              </w:rPr>
            </w:pPr>
            <w:r w:rsidRPr="00640D24">
              <w:rPr>
                <w:sz w:val="22"/>
                <w:szCs w:val="22"/>
              </w:rPr>
              <w:t>2024.05.17</w:t>
            </w:r>
          </w:p>
          <w:p w14:paraId="6B358726" w14:textId="77777777" w:rsidR="00587B6B" w:rsidRPr="00640D24" w:rsidRDefault="00587B6B" w:rsidP="0075738F">
            <w:pPr>
              <w:spacing w:after="0" w:line="240" w:lineRule="auto"/>
              <w:rPr>
                <w:sz w:val="22"/>
                <w:szCs w:val="22"/>
              </w:rPr>
            </w:pPr>
            <w:r w:rsidRPr="00640D24">
              <w:rPr>
                <w:sz w:val="22"/>
                <w:szCs w:val="22"/>
              </w:rPr>
              <w:t>2024.05.23</w:t>
            </w:r>
          </w:p>
          <w:p w14:paraId="5319EDB8" w14:textId="5BEDC667" w:rsidR="00587B6B" w:rsidRPr="00640D24" w:rsidRDefault="00587B6B" w:rsidP="0075738F">
            <w:pPr>
              <w:spacing w:after="0" w:line="240" w:lineRule="auto"/>
              <w:rPr>
                <w:sz w:val="22"/>
                <w:szCs w:val="22"/>
              </w:rPr>
            </w:pPr>
            <w:r w:rsidRPr="00640D24">
              <w:rPr>
                <w:sz w:val="22"/>
                <w:szCs w:val="22"/>
              </w:rPr>
              <w:t>2024.05.27</w:t>
            </w:r>
          </w:p>
        </w:tc>
        <w:tc>
          <w:tcPr>
            <w:tcW w:w="1745" w:type="pct"/>
            <w:tcBorders>
              <w:top w:val="single" w:sz="4" w:space="0" w:color="auto"/>
              <w:left w:val="single" w:sz="4" w:space="0" w:color="auto"/>
              <w:bottom w:val="single" w:sz="4" w:space="0" w:color="auto"/>
              <w:right w:val="single" w:sz="4" w:space="0" w:color="auto"/>
            </w:tcBorders>
            <w:shd w:val="clear" w:color="auto" w:fill="auto"/>
            <w:vAlign w:val="center"/>
          </w:tcPr>
          <w:p w14:paraId="32A1F4AC" w14:textId="3F762290" w:rsidR="00587B6B" w:rsidRPr="00640D24" w:rsidRDefault="00587B6B" w:rsidP="0075738F">
            <w:pPr>
              <w:spacing w:after="0" w:line="240" w:lineRule="auto"/>
              <w:jc w:val="center"/>
              <w:rPr>
                <w:sz w:val="22"/>
                <w:szCs w:val="22"/>
              </w:rPr>
            </w:pPr>
            <w:r w:rsidRPr="00640D24">
              <w:rPr>
                <w:sz w:val="22"/>
                <w:szCs w:val="22"/>
                <w:lang w:val="en-GB"/>
              </w:rPr>
              <w:t>V</w:t>
            </w:r>
            <w:proofErr w:type="spellStart"/>
            <w:r w:rsidRPr="00640D24">
              <w:rPr>
                <w:sz w:val="22"/>
                <w:szCs w:val="22"/>
              </w:rPr>
              <w:t>šĮ</w:t>
            </w:r>
            <w:proofErr w:type="spellEnd"/>
            <w:r w:rsidRPr="00640D24">
              <w:rPr>
                <w:sz w:val="22"/>
                <w:szCs w:val="22"/>
              </w:rPr>
              <w:t xml:space="preserve"> Inovacijų agentūra</w:t>
            </w:r>
          </w:p>
        </w:tc>
        <w:tc>
          <w:tcPr>
            <w:tcW w:w="1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448D3" w14:textId="46AE3C19"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Viešoji įstaiga</w:t>
            </w:r>
          </w:p>
        </w:tc>
      </w:tr>
      <w:tr w:rsidR="00587B6B" w:rsidRPr="00640D24" w14:paraId="67A326CF"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146C1D" w14:textId="3986E4F9" w:rsidR="00587B6B" w:rsidRPr="00640D24" w:rsidRDefault="00587B6B" w:rsidP="0075738F">
            <w:pPr>
              <w:spacing w:after="0" w:line="240" w:lineRule="auto"/>
              <w:rPr>
                <w:sz w:val="22"/>
                <w:szCs w:val="22"/>
              </w:rPr>
            </w:pPr>
            <w:r w:rsidRPr="00640D24">
              <w:rPr>
                <w:sz w:val="22"/>
                <w:szCs w:val="22"/>
              </w:rPr>
              <w:t>2024.05.22</w:t>
            </w:r>
          </w:p>
        </w:tc>
        <w:tc>
          <w:tcPr>
            <w:tcW w:w="1745" w:type="pct"/>
            <w:tcBorders>
              <w:top w:val="single" w:sz="4" w:space="0" w:color="auto"/>
              <w:left w:val="single" w:sz="4" w:space="0" w:color="auto"/>
              <w:bottom w:val="single" w:sz="4" w:space="0" w:color="auto"/>
              <w:right w:val="single" w:sz="4" w:space="0" w:color="auto"/>
            </w:tcBorders>
            <w:shd w:val="clear" w:color="auto" w:fill="auto"/>
            <w:vAlign w:val="center"/>
          </w:tcPr>
          <w:p w14:paraId="2C289565" w14:textId="024248F4" w:rsidR="00587B6B" w:rsidRPr="00640D24" w:rsidRDefault="00587B6B" w:rsidP="0075738F">
            <w:pPr>
              <w:spacing w:after="0" w:line="240" w:lineRule="auto"/>
              <w:jc w:val="center"/>
              <w:rPr>
                <w:sz w:val="22"/>
                <w:szCs w:val="22"/>
                <w:lang w:val="en-GB"/>
              </w:rPr>
            </w:pPr>
            <w:proofErr w:type="spellStart"/>
            <w:r w:rsidRPr="00640D24">
              <w:rPr>
                <w:sz w:val="22"/>
                <w:szCs w:val="22"/>
                <w:lang w:val="en-GB"/>
              </w:rPr>
              <w:t>VšĮ</w:t>
            </w:r>
            <w:proofErr w:type="spellEnd"/>
            <w:r w:rsidRPr="00640D24">
              <w:rPr>
                <w:sz w:val="22"/>
                <w:szCs w:val="22"/>
                <w:lang w:val="en-GB"/>
              </w:rPr>
              <w:t xml:space="preserve"> </w:t>
            </w:r>
            <w:proofErr w:type="spellStart"/>
            <w:r w:rsidRPr="00640D24">
              <w:rPr>
                <w:sz w:val="22"/>
                <w:szCs w:val="22"/>
                <w:lang w:val="en-GB"/>
              </w:rPr>
              <w:t>Investuok</w:t>
            </w:r>
            <w:proofErr w:type="spellEnd"/>
            <w:r w:rsidRPr="00640D24">
              <w:rPr>
                <w:sz w:val="22"/>
                <w:szCs w:val="22"/>
                <w:lang w:val="en-GB"/>
              </w:rPr>
              <w:t xml:space="preserve"> </w:t>
            </w:r>
            <w:proofErr w:type="spellStart"/>
            <w:r w:rsidRPr="00640D24">
              <w:rPr>
                <w:sz w:val="22"/>
                <w:szCs w:val="22"/>
                <w:lang w:val="en-GB"/>
              </w:rPr>
              <w:t>Lietuvoje</w:t>
            </w:r>
            <w:proofErr w:type="spellEnd"/>
          </w:p>
        </w:tc>
        <w:tc>
          <w:tcPr>
            <w:tcW w:w="1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F81750" w14:textId="582BD0D8"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Viešoji įstaiga</w:t>
            </w:r>
          </w:p>
        </w:tc>
      </w:tr>
      <w:tr w:rsidR="00587B6B" w:rsidRPr="00640D24" w14:paraId="2189B8E1"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8C5C69" w14:textId="7712747B" w:rsidR="00587B6B" w:rsidRPr="00640D24" w:rsidRDefault="00587B6B" w:rsidP="0075738F">
            <w:pPr>
              <w:spacing w:after="0" w:line="240" w:lineRule="auto"/>
              <w:rPr>
                <w:sz w:val="22"/>
                <w:szCs w:val="22"/>
              </w:rPr>
            </w:pPr>
            <w:r w:rsidRPr="00640D24">
              <w:rPr>
                <w:sz w:val="22"/>
                <w:szCs w:val="22"/>
              </w:rPr>
              <w:t>2024.05.23</w:t>
            </w:r>
          </w:p>
        </w:tc>
        <w:tc>
          <w:tcPr>
            <w:tcW w:w="1745" w:type="pct"/>
            <w:tcBorders>
              <w:top w:val="single" w:sz="4" w:space="0" w:color="auto"/>
              <w:left w:val="single" w:sz="4" w:space="0" w:color="auto"/>
              <w:bottom w:val="single" w:sz="4" w:space="0" w:color="auto"/>
              <w:right w:val="single" w:sz="4" w:space="0" w:color="auto"/>
            </w:tcBorders>
            <w:shd w:val="clear" w:color="auto" w:fill="auto"/>
            <w:vAlign w:val="center"/>
          </w:tcPr>
          <w:p w14:paraId="3B94631B" w14:textId="50C0725C" w:rsidR="00587B6B" w:rsidRPr="00640D24" w:rsidRDefault="00587B6B" w:rsidP="0075738F">
            <w:pPr>
              <w:spacing w:after="0" w:line="240" w:lineRule="auto"/>
              <w:jc w:val="center"/>
              <w:rPr>
                <w:sz w:val="22"/>
                <w:szCs w:val="22"/>
                <w:lang w:val="en-GB"/>
              </w:rPr>
            </w:pPr>
            <w:proofErr w:type="spellStart"/>
            <w:r w:rsidRPr="00640D24">
              <w:rPr>
                <w:sz w:val="22"/>
                <w:szCs w:val="22"/>
                <w:lang w:val="en-GB"/>
              </w:rPr>
              <w:t>Lietuvos</w:t>
            </w:r>
            <w:proofErr w:type="spellEnd"/>
            <w:r w:rsidRPr="00640D24">
              <w:rPr>
                <w:sz w:val="22"/>
                <w:szCs w:val="22"/>
                <w:lang w:val="en-GB"/>
              </w:rPr>
              <w:t xml:space="preserve"> </w:t>
            </w:r>
            <w:proofErr w:type="spellStart"/>
            <w:r w:rsidRPr="00640D24">
              <w:rPr>
                <w:sz w:val="22"/>
                <w:szCs w:val="22"/>
                <w:lang w:val="en-GB"/>
              </w:rPr>
              <w:t>kariuomenė</w:t>
            </w:r>
            <w:proofErr w:type="spellEnd"/>
          </w:p>
        </w:tc>
        <w:tc>
          <w:tcPr>
            <w:tcW w:w="1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ACD10" w14:textId="77777777" w:rsidR="00587B6B" w:rsidRPr="00640D24" w:rsidRDefault="00587B6B" w:rsidP="0075738F">
            <w:pPr>
              <w:spacing w:after="0" w:line="240" w:lineRule="auto"/>
              <w:jc w:val="center"/>
              <w:rPr>
                <w:rFonts w:eastAsia="Times New Roman" w:cs="Times New Roman"/>
                <w:color w:val="000000"/>
                <w:sz w:val="22"/>
                <w:szCs w:val="22"/>
                <w:lang w:eastAsia="lt-LT"/>
              </w:rPr>
            </w:pPr>
          </w:p>
        </w:tc>
      </w:tr>
      <w:tr w:rsidR="00587B6B" w:rsidRPr="00640D24" w14:paraId="77EE2378"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1C07CE" w14:textId="16D6EB85" w:rsidR="00587B6B" w:rsidRPr="00640D24" w:rsidRDefault="00587B6B" w:rsidP="0075738F">
            <w:pPr>
              <w:spacing w:after="0" w:line="240" w:lineRule="auto"/>
              <w:rPr>
                <w:sz w:val="22"/>
                <w:szCs w:val="22"/>
              </w:rPr>
            </w:pPr>
            <w:r w:rsidRPr="00640D24">
              <w:rPr>
                <w:sz w:val="22"/>
                <w:szCs w:val="22"/>
              </w:rPr>
              <w:t>2024.06.11</w:t>
            </w:r>
          </w:p>
        </w:tc>
        <w:tc>
          <w:tcPr>
            <w:tcW w:w="1745" w:type="pct"/>
            <w:tcBorders>
              <w:top w:val="single" w:sz="4" w:space="0" w:color="auto"/>
              <w:left w:val="single" w:sz="4" w:space="0" w:color="auto"/>
              <w:bottom w:val="single" w:sz="4" w:space="0" w:color="auto"/>
              <w:right w:val="single" w:sz="4" w:space="0" w:color="auto"/>
            </w:tcBorders>
            <w:shd w:val="clear" w:color="auto" w:fill="auto"/>
            <w:vAlign w:val="center"/>
          </w:tcPr>
          <w:p w14:paraId="4A4CC8AD" w14:textId="586C3A5E" w:rsidR="00587B6B" w:rsidRPr="00640D24" w:rsidRDefault="00587B6B" w:rsidP="0075738F">
            <w:pPr>
              <w:spacing w:after="0" w:line="240" w:lineRule="auto"/>
              <w:jc w:val="center"/>
              <w:rPr>
                <w:sz w:val="22"/>
                <w:szCs w:val="22"/>
                <w:lang w:val="en-GB"/>
              </w:rPr>
            </w:pPr>
            <w:r w:rsidRPr="00640D24">
              <w:rPr>
                <w:sz w:val="22"/>
                <w:szCs w:val="22"/>
                <w:lang w:val="en-GB"/>
              </w:rPr>
              <w:t>Lithuanian Private Equity and Venture Capital Association</w:t>
            </w:r>
          </w:p>
        </w:tc>
        <w:tc>
          <w:tcPr>
            <w:tcW w:w="1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BB7115" w14:textId="77672BB0"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Asociacija</w:t>
            </w:r>
          </w:p>
        </w:tc>
      </w:tr>
      <w:tr w:rsidR="00587B6B" w:rsidRPr="00640D24" w14:paraId="70E1E097"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D2A1BA" w14:textId="7B8B820B" w:rsidR="00587B6B" w:rsidRPr="00640D24" w:rsidRDefault="00587B6B" w:rsidP="0075738F">
            <w:pPr>
              <w:spacing w:after="0" w:line="240" w:lineRule="auto"/>
              <w:rPr>
                <w:sz w:val="22"/>
                <w:szCs w:val="22"/>
              </w:rPr>
            </w:pPr>
            <w:r w:rsidRPr="00640D24">
              <w:rPr>
                <w:sz w:val="22"/>
                <w:szCs w:val="22"/>
              </w:rPr>
              <w:t>2024.06.12</w:t>
            </w:r>
          </w:p>
        </w:tc>
        <w:tc>
          <w:tcPr>
            <w:tcW w:w="1745" w:type="pct"/>
            <w:tcBorders>
              <w:top w:val="single" w:sz="4" w:space="0" w:color="auto"/>
              <w:left w:val="single" w:sz="4" w:space="0" w:color="auto"/>
              <w:bottom w:val="single" w:sz="4" w:space="0" w:color="auto"/>
              <w:right w:val="single" w:sz="4" w:space="0" w:color="auto"/>
            </w:tcBorders>
            <w:shd w:val="clear" w:color="auto" w:fill="auto"/>
            <w:vAlign w:val="center"/>
          </w:tcPr>
          <w:p w14:paraId="7700A0D6" w14:textId="79E27C71" w:rsidR="00587B6B" w:rsidRPr="00640D24" w:rsidRDefault="00587B6B" w:rsidP="0075738F">
            <w:pPr>
              <w:spacing w:after="0" w:line="240" w:lineRule="auto"/>
              <w:jc w:val="center"/>
              <w:rPr>
                <w:sz w:val="22"/>
                <w:szCs w:val="22"/>
                <w:lang w:val="en-GB"/>
              </w:rPr>
            </w:pPr>
            <w:r w:rsidRPr="00640D24">
              <w:rPr>
                <w:sz w:val="22"/>
                <w:szCs w:val="22"/>
                <w:lang w:val="en-GB"/>
              </w:rPr>
              <w:t>Scale Wolf</w:t>
            </w:r>
          </w:p>
        </w:tc>
        <w:tc>
          <w:tcPr>
            <w:tcW w:w="1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73324" w14:textId="2D62F1F3"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FT</w:t>
            </w:r>
          </w:p>
        </w:tc>
      </w:tr>
      <w:tr w:rsidR="00587B6B" w:rsidRPr="00640D24" w14:paraId="7DA90AD4"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628EDB" w14:textId="776F4C1D" w:rsidR="00587B6B" w:rsidRPr="00640D24" w:rsidRDefault="00587B6B" w:rsidP="0075738F">
            <w:pPr>
              <w:spacing w:after="0" w:line="240" w:lineRule="auto"/>
              <w:rPr>
                <w:sz w:val="22"/>
                <w:szCs w:val="22"/>
              </w:rPr>
            </w:pPr>
            <w:r w:rsidRPr="00640D24">
              <w:rPr>
                <w:sz w:val="22"/>
                <w:szCs w:val="22"/>
              </w:rPr>
              <w:t>2024.06.18</w:t>
            </w:r>
          </w:p>
        </w:tc>
        <w:tc>
          <w:tcPr>
            <w:tcW w:w="1745" w:type="pct"/>
            <w:tcBorders>
              <w:top w:val="single" w:sz="4" w:space="0" w:color="auto"/>
              <w:left w:val="single" w:sz="4" w:space="0" w:color="auto"/>
              <w:bottom w:val="single" w:sz="4" w:space="0" w:color="auto"/>
              <w:right w:val="single" w:sz="4" w:space="0" w:color="auto"/>
            </w:tcBorders>
            <w:shd w:val="clear" w:color="auto" w:fill="auto"/>
            <w:vAlign w:val="center"/>
          </w:tcPr>
          <w:p w14:paraId="39363B4B" w14:textId="2CC1BE58" w:rsidR="00587B6B" w:rsidRPr="00640D24" w:rsidRDefault="00587B6B" w:rsidP="0075738F">
            <w:pPr>
              <w:spacing w:after="0" w:line="240" w:lineRule="auto"/>
              <w:jc w:val="center"/>
              <w:rPr>
                <w:sz w:val="22"/>
                <w:szCs w:val="22"/>
                <w:lang w:val="en-GB"/>
              </w:rPr>
            </w:pPr>
            <w:r w:rsidRPr="00640D24">
              <w:rPr>
                <w:sz w:val="22"/>
                <w:szCs w:val="22"/>
                <w:lang w:val="en-GB"/>
              </w:rPr>
              <w:t>Coinvest Capital</w:t>
            </w:r>
          </w:p>
        </w:tc>
        <w:tc>
          <w:tcPr>
            <w:tcW w:w="1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8D7406" w14:textId="70668CBE"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FT</w:t>
            </w:r>
          </w:p>
        </w:tc>
      </w:tr>
      <w:tr w:rsidR="00587B6B" w:rsidRPr="00640D24" w14:paraId="34F20D4E"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88660" w14:textId="6E47F25B" w:rsidR="00587B6B" w:rsidRPr="00640D24" w:rsidRDefault="00587B6B" w:rsidP="0075738F">
            <w:pPr>
              <w:spacing w:after="0" w:line="240" w:lineRule="auto"/>
              <w:rPr>
                <w:sz w:val="22"/>
                <w:szCs w:val="22"/>
              </w:rPr>
            </w:pPr>
            <w:r w:rsidRPr="00640D24">
              <w:rPr>
                <w:sz w:val="22"/>
                <w:szCs w:val="22"/>
              </w:rPr>
              <w:t>2024.06.25</w:t>
            </w:r>
          </w:p>
        </w:tc>
        <w:tc>
          <w:tcPr>
            <w:tcW w:w="1745" w:type="pct"/>
            <w:tcBorders>
              <w:top w:val="single" w:sz="4" w:space="0" w:color="auto"/>
              <w:left w:val="single" w:sz="4" w:space="0" w:color="auto"/>
              <w:bottom w:val="single" w:sz="4" w:space="0" w:color="auto"/>
              <w:right w:val="single" w:sz="4" w:space="0" w:color="auto"/>
            </w:tcBorders>
            <w:shd w:val="clear" w:color="auto" w:fill="auto"/>
            <w:vAlign w:val="center"/>
          </w:tcPr>
          <w:p w14:paraId="2ECA14B3" w14:textId="526CAA03" w:rsidR="00587B6B" w:rsidRPr="00640D24" w:rsidRDefault="00587B6B" w:rsidP="0075738F">
            <w:pPr>
              <w:spacing w:after="0" w:line="240" w:lineRule="auto"/>
              <w:jc w:val="center"/>
              <w:rPr>
                <w:sz w:val="22"/>
                <w:szCs w:val="22"/>
                <w:lang w:val="en-GB"/>
              </w:rPr>
            </w:pPr>
            <w:r w:rsidRPr="00640D24">
              <w:rPr>
                <w:sz w:val="22"/>
                <w:szCs w:val="22"/>
                <w:lang w:val="en-GB"/>
              </w:rPr>
              <w:t>NGPA</w:t>
            </w:r>
          </w:p>
        </w:tc>
        <w:tc>
          <w:tcPr>
            <w:tcW w:w="1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88ECD3" w14:textId="0B0CDE78" w:rsidR="00587B6B" w:rsidRPr="00640D24" w:rsidRDefault="00587B6B" w:rsidP="0075738F">
            <w:pPr>
              <w:spacing w:after="0" w:line="240" w:lineRule="auto"/>
              <w:jc w:val="center"/>
              <w:rPr>
                <w:rFonts w:eastAsia="Times New Roman" w:cs="Times New Roman"/>
                <w:color w:val="000000"/>
                <w:sz w:val="22"/>
                <w:szCs w:val="22"/>
                <w:lang w:eastAsia="lt-LT"/>
              </w:rPr>
            </w:pPr>
            <w:proofErr w:type="spellStart"/>
            <w:r w:rsidRPr="00640D24">
              <w:rPr>
                <w:rFonts w:eastAsia="Times New Roman" w:cs="Times New Roman"/>
                <w:color w:val="000000"/>
                <w:sz w:val="22"/>
                <w:szCs w:val="22"/>
                <w:lang w:eastAsia="lt-LT"/>
              </w:rPr>
              <w:t>Acociacija</w:t>
            </w:r>
            <w:proofErr w:type="spellEnd"/>
          </w:p>
        </w:tc>
      </w:tr>
      <w:tr w:rsidR="00587B6B" w:rsidRPr="00640D24" w14:paraId="0990BA3F"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0D2596" w14:textId="28A96CAB" w:rsidR="00587B6B" w:rsidRPr="00640D24" w:rsidRDefault="00587B6B" w:rsidP="0075738F">
            <w:pPr>
              <w:spacing w:after="0" w:line="240" w:lineRule="auto"/>
              <w:rPr>
                <w:sz w:val="22"/>
                <w:szCs w:val="22"/>
              </w:rPr>
            </w:pPr>
            <w:r w:rsidRPr="00640D24">
              <w:rPr>
                <w:sz w:val="22"/>
                <w:szCs w:val="22"/>
              </w:rPr>
              <w:t>2024.06.26</w:t>
            </w:r>
          </w:p>
        </w:tc>
        <w:tc>
          <w:tcPr>
            <w:tcW w:w="1745" w:type="pct"/>
            <w:tcBorders>
              <w:top w:val="single" w:sz="4" w:space="0" w:color="auto"/>
              <w:left w:val="single" w:sz="4" w:space="0" w:color="auto"/>
              <w:bottom w:val="single" w:sz="4" w:space="0" w:color="auto"/>
              <w:right w:val="single" w:sz="4" w:space="0" w:color="auto"/>
            </w:tcBorders>
            <w:shd w:val="clear" w:color="auto" w:fill="auto"/>
            <w:vAlign w:val="center"/>
          </w:tcPr>
          <w:p w14:paraId="2896CDB5" w14:textId="076BE1F2" w:rsidR="00587B6B" w:rsidRPr="00640D24" w:rsidRDefault="00587B6B" w:rsidP="0075738F">
            <w:pPr>
              <w:spacing w:after="0" w:line="240" w:lineRule="auto"/>
              <w:jc w:val="center"/>
              <w:rPr>
                <w:sz w:val="22"/>
                <w:szCs w:val="22"/>
                <w:lang w:val="en-GB"/>
              </w:rPr>
            </w:pPr>
            <w:r w:rsidRPr="00640D24">
              <w:rPr>
                <w:sz w:val="22"/>
                <w:szCs w:val="22"/>
                <w:lang w:val="en-GB"/>
              </w:rPr>
              <w:t>EIM</w:t>
            </w:r>
          </w:p>
        </w:tc>
        <w:tc>
          <w:tcPr>
            <w:tcW w:w="1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5E5286" w14:textId="5DB22C1F"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Ministerija</w:t>
            </w:r>
          </w:p>
        </w:tc>
      </w:tr>
      <w:tr w:rsidR="00587B6B" w:rsidRPr="00640D24" w14:paraId="20A4307A"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C138DE" w14:textId="32C693FB" w:rsidR="00587B6B" w:rsidRPr="00640D24" w:rsidRDefault="00587B6B" w:rsidP="0075738F">
            <w:pPr>
              <w:spacing w:after="0" w:line="240" w:lineRule="auto"/>
              <w:rPr>
                <w:sz w:val="22"/>
                <w:szCs w:val="22"/>
              </w:rPr>
            </w:pPr>
            <w:r w:rsidRPr="00640D24">
              <w:rPr>
                <w:sz w:val="22"/>
                <w:szCs w:val="22"/>
              </w:rPr>
              <w:t>2024.07.08</w:t>
            </w:r>
          </w:p>
        </w:tc>
        <w:tc>
          <w:tcPr>
            <w:tcW w:w="1745" w:type="pct"/>
            <w:tcBorders>
              <w:top w:val="single" w:sz="4" w:space="0" w:color="auto"/>
              <w:left w:val="single" w:sz="4" w:space="0" w:color="auto"/>
              <w:bottom w:val="single" w:sz="4" w:space="0" w:color="auto"/>
              <w:right w:val="single" w:sz="4" w:space="0" w:color="auto"/>
            </w:tcBorders>
            <w:shd w:val="clear" w:color="auto" w:fill="auto"/>
            <w:vAlign w:val="center"/>
          </w:tcPr>
          <w:p w14:paraId="5D618215" w14:textId="1B61FDC9" w:rsidR="00587B6B" w:rsidRPr="00640D24" w:rsidRDefault="00587B6B" w:rsidP="0075738F">
            <w:pPr>
              <w:spacing w:after="0" w:line="240" w:lineRule="auto"/>
              <w:jc w:val="center"/>
              <w:rPr>
                <w:sz w:val="22"/>
                <w:szCs w:val="22"/>
                <w:lang w:val="en-GB"/>
              </w:rPr>
            </w:pPr>
            <w:proofErr w:type="spellStart"/>
            <w:r w:rsidRPr="00640D24">
              <w:rPr>
                <w:sz w:val="22"/>
                <w:szCs w:val="22"/>
                <w:lang w:val="en-GB"/>
              </w:rPr>
              <w:t>Gynybos</w:t>
            </w:r>
            <w:proofErr w:type="spellEnd"/>
            <w:r w:rsidRPr="00640D24">
              <w:rPr>
                <w:sz w:val="22"/>
                <w:szCs w:val="22"/>
                <w:lang w:val="en-GB"/>
              </w:rPr>
              <w:t xml:space="preserve"> </w:t>
            </w:r>
            <w:proofErr w:type="spellStart"/>
            <w:r w:rsidRPr="00640D24">
              <w:rPr>
                <w:sz w:val="22"/>
                <w:szCs w:val="22"/>
                <w:lang w:val="en-GB"/>
              </w:rPr>
              <w:t>resursų</w:t>
            </w:r>
            <w:proofErr w:type="spellEnd"/>
            <w:r w:rsidRPr="00640D24">
              <w:rPr>
                <w:sz w:val="22"/>
                <w:szCs w:val="22"/>
                <w:lang w:val="en-GB"/>
              </w:rPr>
              <w:t xml:space="preserve"> </w:t>
            </w:r>
            <w:proofErr w:type="spellStart"/>
            <w:r w:rsidRPr="00640D24">
              <w:rPr>
                <w:sz w:val="22"/>
                <w:szCs w:val="22"/>
                <w:lang w:val="en-GB"/>
              </w:rPr>
              <w:t>agentūra</w:t>
            </w:r>
            <w:proofErr w:type="spellEnd"/>
            <w:r w:rsidRPr="00640D24">
              <w:rPr>
                <w:sz w:val="22"/>
                <w:szCs w:val="22"/>
                <w:lang w:val="en-GB"/>
              </w:rPr>
              <w:t xml:space="preserve"> </w:t>
            </w:r>
            <w:proofErr w:type="spellStart"/>
            <w:r w:rsidRPr="00640D24">
              <w:rPr>
                <w:sz w:val="22"/>
                <w:szCs w:val="22"/>
                <w:lang w:val="en-GB"/>
              </w:rPr>
              <w:t>prie</w:t>
            </w:r>
            <w:proofErr w:type="spellEnd"/>
            <w:r w:rsidRPr="00640D24">
              <w:rPr>
                <w:sz w:val="22"/>
                <w:szCs w:val="22"/>
                <w:lang w:val="en-GB"/>
              </w:rPr>
              <w:t xml:space="preserve"> </w:t>
            </w:r>
            <w:proofErr w:type="spellStart"/>
            <w:r w:rsidRPr="00640D24">
              <w:rPr>
                <w:sz w:val="22"/>
                <w:szCs w:val="22"/>
                <w:lang w:val="en-GB"/>
              </w:rPr>
              <w:t>Krašto</w:t>
            </w:r>
            <w:proofErr w:type="spellEnd"/>
            <w:r w:rsidRPr="00640D24">
              <w:rPr>
                <w:sz w:val="22"/>
                <w:szCs w:val="22"/>
                <w:lang w:val="en-GB"/>
              </w:rPr>
              <w:t xml:space="preserve"> </w:t>
            </w:r>
            <w:proofErr w:type="spellStart"/>
            <w:r w:rsidRPr="00640D24">
              <w:rPr>
                <w:sz w:val="22"/>
                <w:szCs w:val="22"/>
                <w:lang w:val="en-GB"/>
              </w:rPr>
              <w:t>apsaugos</w:t>
            </w:r>
            <w:proofErr w:type="spellEnd"/>
            <w:r w:rsidRPr="00640D24">
              <w:rPr>
                <w:sz w:val="22"/>
                <w:szCs w:val="22"/>
                <w:lang w:val="en-GB"/>
              </w:rPr>
              <w:t xml:space="preserve"> </w:t>
            </w:r>
            <w:proofErr w:type="spellStart"/>
            <w:r w:rsidRPr="00640D24">
              <w:rPr>
                <w:sz w:val="22"/>
                <w:szCs w:val="22"/>
                <w:lang w:val="en-GB"/>
              </w:rPr>
              <w:t>ministerijos</w:t>
            </w:r>
            <w:proofErr w:type="spellEnd"/>
          </w:p>
        </w:tc>
        <w:tc>
          <w:tcPr>
            <w:tcW w:w="1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C85652" w14:textId="767F2C3E"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Biudžetinė įstaiga</w:t>
            </w:r>
          </w:p>
        </w:tc>
      </w:tr>
    </w:tbl>
    <w:p w14:paraId="59008F30" w14:textId="30DFF6D6" w:rsidR="00635446" w:rsidRPr="00640D24" w:rsidRDefault="00635446" w:rsidP="00D12B54">
      <w:pPr>
        <w:pStyle w:val="Antrat1"/>
        <w:spacing w:before="60" w:after="60" w:line="240" w:lineRule="auto"/>
        <w:rPr>
          <w:rFonts w:ascii="Times New Roman" w:hAnsi="Times New Roman" w:cs="Times New Roman"/>
          <w:b/>
          <w:bCs/>
          <w:color w:val="auto"/>
          <w:sz w:val="28"/>
          <w:szCs w:val="28"/>
        </w:rPr>
      </w:pPr>
      <w:r w:rsidRPr="00640D24">
        <w:rPr>
          <w:rFonts w:ascii="Times New Roman" w:hAnsi="Times New Roman" w:cs="Times New Roman"/>
          <w:b/>
          <w:bCs/>
          <w:color w:val="auto"/>
          <w:sz w:val="28"/>
          <w:szCs w:val="28"/>
        </w:rPr>
        <w:br w:type="page"/>
      </w:r>
      <w:bookmarkStart w:id="119" w:name="_Toc57225226"/>
      <w:bookmarkStart w:id="120" w:name="_Toc146812408"/>
      <w:r w:rsidRPr="00640D24">
        <w:rPr>
          <w:rFonts w:ascii="Times New Roman" w:hAnsi="Times New Roman" w:cs="Times New Roman"/>
          <w:b/>
          <w:bCs/>
          <w:color w:val="auto"/>
          <w:sz w:val="28"/>
          <w:szCs w:val="28"/>
        </w:rPr>
        <w:lastRenderedPageBreak/>
        <w:t>2 priedas. Fokusuotų</w:t>
      </w:r>
      <w:r w:rsidR="00690132" w:rsidRPr="00640D24">
        <w:rPr>
          <w:rFonts w:ascii="Times New Roman" w:hAnsi="Times New Roman" w:cs="Times New Roman"/>
          <w:b/>
          <w:bCs/>
          <w:color w:val="auto"/>
          <w:sz w:val="28"/>
          <w:szCs w:val="28"/>
        </w:rPr>
        <w:t xml:space="preserve"> grupės</w:t>
      </w:r>
      <w:r w:rsidRPr="00640D24">
        <w:rPr>
          <w:rFonts w:ascii="Times New Roman" w:hAnsi="Times New Roman" w:cs="Times New Roman"/>
          <w:b/>
          <w:bCs/>
          <w:color w:val="auto"/>
          <w:sz w:val="28"/>
          <w:szCs w:val="28"/>
        </w:rPr>
        <w:t xml:space="preserve"> diskusijų sąrašas</w:t>
      </w:r>
      <w:bookmarkEnd w:id="119"/>
      <w:bookmarkEnd w:id="120"/>
    </w:p>
    <w:tbl>
      <w:tblPr>
        <w:tblpPr w:leftFromText="180" w:rightFromText="180" w:vertAnchor="text" w:horzAnchor="margin" w:tblpY="762"/>
        <w:tblW w:w="46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4208"/>
        <w:gridCol w:w="2407"/>
      </w:tblGrid>
      <w:tr w:rsidR="00690132" w:rsidRPr="00640D24" w14:paraId="782A52E2" w14:textId="77777777" w:rsidTr="001B2ECC">
        <w:trPr>
          <w:trHeight w:val="280"/>
        </w:trPr>
        <w:tc>
          <w:tcPr>
            <w:tcW w:w="1334" w:type="pct"/>
            <w:shd w:val="clear" w:color="auto" w:fill="E7E6E6" w:themeFill="background2"/>
            <w:noWrap/>
            <w:vAlign w:val="center"/>
            <w:hideMark/>
          </w:tcPr>
          <w:p w14:paraId="07569533" w14:textId="1877B88C" w:rsidR="00690132" w:rsidRPr="00640D24" w:rsidRDefault="002A24FE" w:rsidP="000D6C24">
            <w:pPr>
              <w:spacing w:after="0" w:line="240" w:lineRule="auto"/>
              <w:jc w:val="center"/>
              <w:rPr>
                <w:rFonts w:eastAsia="Times New Roman" w:cs="Times New Roman"/>
                <w:b/>
                <w:bCs/>
                <w:color w:val="000000"/>
                <w:sz w:val="22"/>
                <w:szCs w:val="22"/>
                <w:lang w:eastAsia="lt-LT"/>
              </w:rPr>
            </w:pPr>
            <w:r w:rsidRPr="00640D24">
              <w:rPr>
                <w:rFonts w:eastAsia="Times New Roman" w:cs="Times New Roman"/>
                <w:b/>
                <w:bCs/>
                <w:color w:val="000000"/>
                <w:sz w:val="22"/>
                <w:szCs w:val="22"/>
                <w:lang w:eastAsia="lt-LT"/>
              </w:rPr>
              <w:t>D</w:t>
            </w:r>
            <w:r w:rsidR="00690132" w:rsidRPr="00640D24">
              <w:rPr>
                <w:rFonts w:eastAsia="Times New Roman" w:cs="Times New Roman"/>
                <w:b/>
                <w:bCs/>
                <w:color w:val="000000"/>
                <w:sz w:val="22"/>
                <w:szCs w:val="22"/>
                <w:lang w:eastAsia="lt-LT"/>
              </w:rPr>
              <w:t>ata</w:t>
            </w:r>
          </w:p>
        </w:tc>
        <w:tc>
          <w:tcPr>
            <w:tcW w:w="2332" w:type="pct"/>
            <w:shd w:val="clear" w:color="auto" w:fill="E7E6E6" w:themeFill="background2"/>
            <w:noWrap/>
            <w:vAlign w:val="center"/>
            <w:hideMark/>
          </w:tcPr>
          <w:p w14:paraId="1FA685AB" w14:textId="2B9184D3" w:rsidR="00690132" w:rsidRPr="00640D24" w:rsidRDefault="00690132" w:rsidP="00355961">
            <w:pPr>
              <w:spacing w:after="0" w:line="240" w:lineRule="auto"/>
              <w:jc w:val="center"/>
              <w:rPr>
                <w:rFonts w:eastAsia="Times New Roman" w:cs="Times New Roman"/>
                <w:b/>
                <w:bCs/>
                <w:color w:val="000000"/>
                <w:sz w:val="22"/>
                <w:szCs w:val="22"/>
                <w:lang w:eastAsia="lt-LT"/>
              </w:rPr>
            </w:pPr>
            <w:r w:rsidRPr="00640D24">
              <w:rPr>
                <w:rFonts w:eastAsia="Times New Roman" w:cs="Times New Roman"/>
                <w:b/>
                <w:bCs/>
                <w:color w:val="000000"/>
                <w:sz w:val="22"/>
                <w:szCs w:val="22"/>
                <w:lang w:eastAsia="lt-LT"/>
              </w:rPr>
              <w:t xml:space="preserve">Fokusuotos </w:t>
            </w:r>
            <w:r w:rsidR="002A24FE" w:rsidRPr="00640D24">
              <w:rPr>
                <w:rFonts w:eastAsia="Times New Roman" w:cs="Times New Roman"/>
                <w:b/>
                <w:bCs/>
                <w:color w:val="000000"/>
                <w:sz w:val="22"/>
                <w:szCs w:val="22"/>
                <w:lang w:eastAsia="lt-LT"/>
              </w:rPr>
              <w:t xml:space="preserve">grupės </w:t>
            </w:r>
            <w:r w:rsidRPr="00640D24">
              <w:rPr>
                <w:rFonts w:eastAsia="Times New Roman" w:cs="Times New Roman"/>
                <w:b/>
                <w:bCs/>
                <w:color w:val="000000"/>
                <w:sz w:val="22"/>
                <w:szCs w:val="22"/>
                <w:lang w:eastAsia="lt-LT"/>
              </w:rPr>
              <w:t>diskusijos dalyviai</w:t>
            </w:r>
          </w:p>
        </w:tc>
        <w:tc>
          <w:tcPr>
            <w:tcW w:w="1334" w:type="pct"/>
            <w:shd w:val="clear" w:color="auto" w:fill="E7E6E6" w:themeFill="background2"/>
            <w:noWrap/>
            <w:vAlign w:val="center"/>
            <w:hideMark/>
          </w:tcPr>
          <w:p w14:paraId="5262B72E" w14:textId="77777777" w:rsidR="00690132" w:rsidRPr="00640D24" w:rsidRDefault="00690132" w:rsidP="00355961">
            <w:pPr>
              <w:spacing w:after="0" w:line="240" w:lineRule="auto"/>
              <w:jc w:val="center"/>
              <w:rPr>
                <w:rFonts w:eastAsia="Times New Roman" w:cs="Times New Roman"/>
                <w:b/>
                <w:bCs/>
                <w:color w:val="000000"/>
                <w:sz w:val="22"/>
                <w:szCs w:val="22"/>
                <w:lang w:eastAsia="lt-LT"/>
              </w:rPr>
            </w:pPr>
            <w:r w:rsidRPr="00640D24">
              <w:rPr>
                <w:rFonts w:eastAsia="Times New Roman" w:cs="Times New Roman"/>
                <w:b/>
                <w:bCs/>
                <w:color w:val="000000"/>
                <w:sz w:val="22"/>
                <w:szCs w:val="22"/>
                <w:lang w:eastAsia="lt-LT"/>
              </w:rPr>
              <w:t>Organizacija</w:t>
            </w:r>
          </w:p>
        </w:tc>
      </w:tr>
      <w:tr w:rsidR="00690132" w:rsidRPr="00640D24" w14:paraId="48C7063B" w14:textId="77777777" w:rsidTr="001B2ECC">
        <w:trPr>
          <w:trHeight w:val="280"/>
        </w:trPr>
        <w:tc>
          <w:tcPr>
            <w:tcW w:w="1334" w:type="pct"/>
            <w:shd w:val="clear" w:color="auto" w:fill="auto"/>
            <w:noWrap/>
            <w:vAlign w:val="center"/>
          </w:tcPr>
          <w:p w14:paraId="618A2A9C" w14:textId="64FBCD92" w:rsidR="00690132" w:rsidRPr="00640D24" w:rsidRDefault="00690132" w:rsidP="00D12B54">
            <w:pPr>
              <w:spacing w:after="0" w:line="240" w:lineRule="auto"/>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2020.11.05</w:t>
            </w:r>
          </w:p>
        </w:tc>
        <w:tc>
          <w:tcPr>
            <w:tcW w:w="2332" w:type="pct"/>
            <w:shd w:val="clear" w:color="auto" w:fill="auto"/>
            <w:noWrap/>
            <w:vAlign w:val="center"/>
          </w:tcPr>
          <w:p w14:paraId="20498A7D" w14:textId="77777777" w:rsidR="00690132" w:rsidRPr="00640D24" w:rsidRDefault="00690132" w:rsidP="000D6C24">
            <w:pPr>
              <w:spacing w:after="0" w:line="240" w:lineRule="auto"/>
              <w:rPr>
                <w:rFonts w:eastAsia="Times New Roman" w:cs="Times New Roman"/>
                <w:color w:val="000000"/>
                <w:sz w:val="22"/>
                <w:szCs w:val="22"/>
                <w:lang w:eastAsia="lt-LT"/>
              </w:rPr>
            </w:pPr>
            <w:r w:rsidRPr="00640D24">
              <w:rPr>
                <w:rFonts w:eastAsia="Times New Roman" w:cs="Times New Roman"/>
                <w:color w:val="000000"/>
                <w:sz w:val="22"/>
                <w:szCs w:val="22"/>
                <w:lang w:eastAsia="lt-LT"/>
              </w:rPr>
              <w:t>Inga Beiliūnienė</w:t>
            </w:r>
          </w:p>
          <w:p w14:paraId="0C9183EF" w14:textId="3EEB53D4" w:rsidR="00690132" w:rsidRPr="00640D24" w:rsidRDefault="00690132" w:rsidP="00D12B54">
            <w:pPr>
              <w:spacing w:after="0" w:line="240" w:lineRule="auto"/>
              <w:rPr>
                <w:rFonts w:eastAsia="Times New Roman" w:cs="Times New Roman"/>
                <w:color w:val="000000"/>
                <w:sz w:val="22"/>
                <w:szCs w:val="22"/>
                <w:lang w:eastAsia="lt-LT"/>
              </w:rPr>
            </w:pPr>
            <w:r w:rsidRPr="00640D24">
              <w:rPr>
                <w:rFonts w:eastAsia="Times New Roman" w:cs="Times New Roman"/>
                <w:color w:val="000000"/>
                <w:sz w:val="22"/>
                <w:szCs w:val="22"/>
                <w:lang w:eastAsia="lt-LT"/>
              </w:rPr>
              <w:t>Ausma Bartkutė</w:t>
            </w:r>
          </w:p>
        </w:tc>
        <w:tc>
          <w:tcPr>
            <w:tcW w:w="1334" w:type="pct"/>
            <w:shd w:val="clear" w:color="auto" w:fill="auto"/>
            <w:noWrap/>
            <w:vAlign w:val="center"/>
          </w:tcPr>
          <w:p w14:paraId="457F1275" w14:textId="061F385E" w:rsidR="00690132" w:rsidRPr="00640D24" w:rsidRDefault="00690132" w:rsidP="00D12B54">
            <w:pPr>
              <w:spacing w:after="0" w:line="240" w:lineRule="auto"/>
              <w:rPr>
                <w:rFonts w:eastAsia="Times New Roman" w:cs="Times New Roman"/>
                <w:color w:val="000000"/>
                <w:sz w:val="22"/>
                <w:szCs w:val="22"/>
                <w:lang w:eastAsia="lt-LT"/>
              </w:rPr>
            </w:pPr>
            <w:r w:rsidRPr="00640D24">
              <w:rPr>
                <w:rFonts w:eastAsia="Times New Roman" w:cs="Times New Roman"/>
                <w:color w:val="000000"/>
                <w:sz w:val="22"/>
                <w:szCs w:val="22"/>
                <w:lang w:eastAsia="lt-LT"/>
              </w:rPr>
              <w:t>INVEGA</w:t>
            </w:r>
          </w:p>
        </w:tc>
      </w:tr>
      <w:tr w:rsidR="00690132" w:rsidRPr="00640D24" w14:paraId="118269F7" w14:textId="77777777" w:rsidTr="001B2ECC">
        <w:trPr>
          <w:trHeight w:val="518"/>
        </w:trPr>
        <w:tc>
          <w:tcPr>
            <w:tcW w:w="1334" w:type="pct"/>
            <w:vMerge w:val="restart"/>
            <w:shd w:val="clear" w:color="auto" w:fill="auto"/>
            <w:noWrap/>
            <w:vAlign w:val="center"/>
          </w:tcPr>
          <w:p w14:paraId="0ABAACE1" w14:textId="24FE824E" w:rsidR="00690132" w:rsidRPr="00640D24" w:rsidRDefault="00690132" w:rsidP="000D6C24">
            <w:pPr>
              <w:spacing w:after="0" w:line="240" w:lineRule="auto"/>
              <w:rPr>
                <w:rFonts w:eastAsia="Times New Roman" w:cs="Times New Roman"/>
                <w:color w:val="000000"/>
                <w:sz w:val="22"/>
                <w:szCs w:val="22"/>
                <w:lang w:eastAsia="lt-LT"/>
              </w:rPr>
            </w:pPr>
            <w:r w:rsidRPr="00640D24">
              <w:rPr>
                <w:rFonts w:eastAsia="Times New Roman" w:cs="Times New Roman"/>
                <w:color w:val="000000"/>
                <w:sz w:val="22"/>
                <w:szCs w:val="22"/>
                <w:lang w:eastAsia="lt-LT"/>
              </w:rPr>
              <w:t>2020.11.13</w:t>
            </w:r>
          </w:p>
        </w:tc>
        <w:tc>
          <w:tcPr>
            <w:tcW w:w="2332" w:type="pct"/>
            <w:shd w:val="clear" w:color="auto" w:fill="auto"/>
            <w:vAlign w:val="center"/>
          </w:tcPr>
          <w:p w14:paraId="7E500F63" w14:textId="77777777" w:rsidR="00690132" w:rsidRPr="00640D24" w:rsidRDefault="00690132" w:rsidP="00355961">
            <w:pPr>
              <w:spacing w:after="0" w:line="240" w:lineRule="auto"/>
              <w:rPr>
                <w:rFonts w:eastAsia="Times New Roman" w:cs="Times New Roman"/>
                <w:color w:val="000000"/>
                <w:sz w:val="22"/>
                <w:szCs w:val="22"/>
                <w:lang w:eastAsia="lt-LT"/>
              </w:rPr>
            </w:pPr>
            <w:r w:rsidRPr="00640D24">
              <w:rPr>
                <w:rFonts w:eastAsia="Times New Roman" w:cs="Times New Roman"/>
                <w:color w:val="000000"/>
                <w:sz w:val="22"/>
                <w:szCs w:val="22"/>
                <w:lang w:eastAsia="lt-LT"/>
              </w:rPr>
              <w:t>Inga Beiliūnienė</w:t>
            </w:r>
          </w:p>
          <w:p w14:paraId="3686E21F" w14:textId="379A6E9D" w:rsidR="00690132" w:rsidRPr="00640D24" w:rsidRDefault="00690132" w:rsidP="00355961">
            <w:pPr>
              <w:spacing w:after="0" w:line="240" w:lineRule="auto"/>
              <w:rPr>
                <w:rFonts w:eastAsia="Times New Roman" w:cs="Times New Roman"/>
                <w:color w:val="000000"/>
                <w:sz w:val="22"/>
                <w:szCs w:val="22"/>
                <w:lang w:eastAsia="lt-LT"/>
              </w:rPr>
            </w:pPr>
            <w:r w:rsidRPr="00640D24">
              <w:rPr>
                <w:rFonts w:eastAsia="Times New Roman" w:cs="Times New Roman"/>
                <w:color w:val="000000"/>
                <w:sz w:val="22"/>
                <w:szCs w:val="22"/>
                <w:lang w:eastAsia="lt-LT"/>
              </w:rPr>
              <w:t>Ausma Bartkutė</w:t>
            </w:r>
          </w:p>
        </w:tc>
        <w:tc>
          <w:tcPr>
            <w:tcW w:w="1334" w:type="pct"/>
            <w:shd w:val="clear" w:color="auto" w:fill="auto"/>
            <w:vAlign w:val="center"/>
          </w:tcPr>
          <w:p w14:paraId="6F9D8372" w14:textId="4B9CB748" w:rsidR="00690132" w:rsidRPr="00640D24" w:rsidRDefault="00690132" w:rsidP="00355961">
            <w:pPr>
              <w:spacing w:after="0" w:line="240" w:lineRule="auto"/>
              <w:rPr>
                <w:rFonts w:eastAsia="Times New Roman" w:cs="Times New Roman"/>
                <w:color w:val="000000"/>
                <w:sz w:val="22"/>
                <w:szCs w:val="22"/>
                <w:lang w:eastAsia="lt-LT"/>
              </w:rPr>
            </w:pPr>
            <w:r w:rsidRPr="00640D24">
              <w:rPr>
                <w:rFonts w:eastAsia="Times New Roman" w:cs="Times New Roman"/>
                <w:color w:val="000000"/>
                <w:sz w:val="22"/>
                <w:szCs w:val="22"/>
                <w:lang w:eastAsia="lt-LT"/>
              </w:rPr>
              <w:t>INVEGA</w:t>
            </w:r>
          </w:p>
        </w:tc>
      </w:tr>
      <w:tr w:rsidR="00690132" w:rsidRPr="00640D24" w14:paraId="2B3E6B19" w14:textId="77777777" w:rsidTr="00690132">
        <w:trPr>
          <w:trHeight w:val="634"/>
        </w:trPr>
        <w:tc>
          <w:tcPr>
            <w:tcW w:w="1334" w:type="pct"/>
            <w:vMerge/>
            <w:shd w:val="clear" w:color="auto" w:fill="auto"/>
            <w:noWrap/>
            <w:vAlign w:val="center"/>
          </w:tcPr>
          <w:p w14:paraId="73DB7E36" w14:textId="77777777" w:rsidR="00690132" w:rsidRPr="00640D24" w:rsidRDefault="00690132" w:rsidP="000D6C24">
            <w:pPr>
              <w:spacing w:after="0" w:line="240" w:lineRule="auto"/>
              <w:rPr>
                <w:rFonts w:eastAsia="Times New Roman" w:cs="Times New Roman"/>
                <w:color w:val="000000"/>
                <w:sz w:val="22"/>
                <w:szCs w:val="22"/>
                <w:lang w:eastAsia="lt-LT"/>
              </w:rPr>
            </w:pPr>
          </w:p>
        </w:tc>
        <w:tc>
          <w:tcPr>
            <w:tcW w:w="2332" w:type="pct"/>
            <w:shd w:val="clear" w:color="auto" w:fill="auto"/>
            <w:vAlign w:val="center"/>
          </w:tcPr>
          <w:p w14:paraId="4685DEDE" w14:textId="2D9CB593" w:rsidR="00690132" w:rsidRPr="00640D24" w:rsidRDefault="00690132" w:rsidP="001B2ECC">
            <w:pPr>
              <w:spacing w:after="0" w:line="240" w:lineRule="auto"/>
              <w:rPr>
                <w:rFonts w:eastAsia="Times New Roman" w:cs="Times New Roman"/>
                <w:color w:val="000000"/>
                <w:sz w:val="22"/>
                <w:szCs w:val="22"/>
                <w:lang w:eastAsia="lt-LT"/>
              </w:rPr>
            </w:pPr>
            <w:r w:rsidRPr="00640D24">
              <w:rPr>
                <w:rFonts w:eastAsia="Times New Roman" w:cs="Times New Roman"/>
                <w:color w:val="000000"/>
                <w:sz w:val="22"/>
                <w:szCs w:val="22"/>
                <w:lang w:eastAsia="lt-LT"/>
              </w:rPr>
              <w:t>Laurita Kazickienė</w:t>
            </w:r>
          </w:p>
        </w:tc>
        <w:tc>
          <w:tcPr>
            <w:tcW w:w="1334" w:type="pct"/>
            <w:shd w:val="clear" w:color="auto" w:fill="auto"/>
            <w:vAlign w:val="center"/>
          </w:tcPr>
          <w:p w14:paraId="18C3D13A" w14:textId="37DAC166" w:rsidR="00690132" w:rsidRPr="00640D24" w:rsidRDefault="00690132" w:rsidP="00355961">
            <w:pPr>
              <w:spacing w:after="0" w:line="240" w:lineRule="auto"/>
              <w:rPr>
                <w:rFonts w:eastAsia="Times New Roman" w:cs="Times New Roman"/>
                <w:color w:val="000000"/>
                <w:sz w:val="22"/>
                <w:szCs w:val="22"/>
                <w:lang w:eastAsia="lt-LT"/>
              </w:rPr>
            </w:pPr>
            <w:r w:rsidRPr="00640D24">
              <w:rPr>
                <w:rFonts w:eastAsia="Times New Roman" w:cs="Times New Roman"/>
                <w:color w:val="000000"/>
                <w:sz w:val="22"/>
                <w:szCs w:val="22"/>
                <w:lang w:eastAsia="lt-LT"/>
              </w:rPr>
              <w:t>FM</w:t>
            </w:r>
          </w:p>
        </w:tc>
      </w:tr>
      <w:tr w:rsidR="00690132" w:rsidRPr="00640D24" w14:paraId="6CC316D2" w14:textId="77777777" w:rsidTr="00690132">
        <w:trPr>
          <w:trHeight w:val="634"/>
        </w:trPr>
        <w:tc>
          <w:tcPr>
            <w:tcW w:w="1334" w:type="pct"/>
            <w:vMerge/>
            <w:shd w:val="clear" w:color="auto" w:fill="auto"/>
            <w:noWrap/>
            <w:vAlign w:val="center"/>
          </w:tcPr>
          <w:p w14:paraId="149F6D6F" w14:textId="77777777" w:rsidR="00690132" w:rsidRPr="00640D24" w:rsidRDefault="00690132" w:rsidP="000D6C24">
            <w:pPr>
              <w:spacing w:after="0" w:line="240" w:lineRule="auto"/>
              <w:rPr>
                <w:rFonts w:eastAsia="Times New Roman" w:cs="Times New Roman"/>
                <w:color w:val="000000"/>
                <w:sz w:val="22"/>
                <w:szCs w:val="22"/>
                <w:lang w:eastAsia="lt-LT"/>
              </w:rPr>
            </w:pPr>
          </w:p>
        </w:tc>
        <w:tc>
          <w:tcPr>
            <w:tcW w:w="2332" w:type="pct"/>
            <w:shd w:val="clear" w:color="auto" w:fill="auto"/>
            <w:vAlign w:val="center"/>
          </w:tcPr>
          <w:p w14:paraId="0BE3619B" w14:textId="77777777" w:rsidR="00690132" w:rsidRPr="00640D24" w:rsidRDefault="00690132" w:rsidP="00690132">
            <w:pPr>
              <w:spacing w:after="0" w:line="240" w:lineRule="auto"/>
              <w:rPr>
                <w:rFonts w:eastAsia="Times New Roman" w:cs="Times New Roman"/>
                <w:color w:val="000000"/>
                <w:sz w:val="22"/>
                <w:szCs w:val="22"/>
                <w:lang w:eastAsia="lt-LT"/>
              </w:rPr>
            </w:pPr>
            <w:r w:rsidRPr="00640D24">
              <w:rPr>
                <w:rFonts w:eastAsia="Times New Roman" w:cs="Times New Roman"/>
                <w:color w:val="000000"/>
                <w:sz w:val="22"/>
                <w:szCs w:val="22"/>
                <w:lang w:eastAsia="lt-LT"/>
              </w:rPr>
              <w:t xml:space="preserve">Olga </w:t>
            </w:r>
            <w:proofErr w:type="spellStart"/>
            <w:r w:rsidRPr="00640D24">
              <w:rPr>
                <w:rFonts w:eastAsia="Times New Roman" w:cs="Times New Roman"/>
                <w:color w:val="000000"/>
                <w:sz w:val="22"/>
                <w:szCs w:val="22"/>
                <w:lang w:eastAsia="lt-LT"/>
              </w:rPr>
              <w:t>Celova</w:t>
            </w:r>
            <w:proofErr w:type="spellEnd"/>
          </w:p>
          <w:p w14:paraId="77D015B0" w14:textId="77777777" w:rsidR="00690132" w:rsidRPr="00640D24" w:rsidRDefault="00690132" w:rsidP="00690132">
            <w:pPr>
              <w:spacing w:after="0" w:line="240" w:lineRule="auto"/>
              <w:rPr>
                <w:rFonts w:eastAsia="Times New Roman" w:cs="Times New Roman"/>
                <w:color w:val="000000"/>
                <w:sz w:val="22"/>
                <w:szCs w:val="22"/>
                <w:lang w:eastAsia="lt-LT"/>
              </w:rPr>
            </w:pPr>
            <w:r w:rsidRPr="00640D24">
              <w:rPr>
                <w:rFonts w:eastAsia="Times New Roman" w:cs="Times New Roman"/>
                <w:color w:val="000000"/>
                <w:sz w:val="22"/>
                <w:szCs w:val="22"/>
                <w:lang w:eastAsia="lt-LT"/>
              </w:rPr>
              <w:t>Rita Armonienė</w:t>
            </w:r>
          </w:p>
          <w:p w14:paraId="4335FC83" w14:textId="04DD0963" w:rsidR="00690132" w:rsidRPr="00640D24" w:rsidRDefault="00690132" w:rsidP="00690132">
            <w:pPr>
              <w:spacing w:after="0" w:line="240" w:lineRule="auto"/>
              <w:rPr>
                <w:rFonts w:eastAsia="Times New Roman" w:cs="Times New Roman"/>
                <w:color w:val="000000"/>
                <w:sz w:val="22"/>
                <w:szCs w:val="22"/>
                <w:lang w:eastAsia="lt-LT"/>
              </w:rPr>
            </w:pPr>
            <w:r w:rsidRPr="00640D24">
              <w:rPr>
                <w:rFonts w:eastAsia="Times New Roman" w:cs="Times New Roman"/>
                <w:color w:val="000000"/>
                <w:sz w:val="22"/>
                <w:szCs w:val="22"/>
                <w:lang w:eastAsia="lt-LT"/>
              </w:rPr>
              <w:t>Laura Sosunovičienė</w:t>
            </w:r>
          </w:p>
        </w:tc>
        <w:tc>
          <w:tcPr>
            <w:tcW w:w="1334" w:type="pct"/>
            <w:shd w:val="clear" w:color="auto" w:fill="auto"/>
            <w:vAlign w:val="center"/>
          </w:tcPr>
          <w:p w14:paraId="0925087B" w14:textId="3C8FEC59" w:rsidR="00690132" w:rsidRPr="00640D24" w:rsidRDefault="00690132" w:rsidP="00355961">
            <w:pPr>
              <w:spacing w:after="0" w:line="240" w:lineRule="auto"/>
              <w:rPr>
                <w:rFonts w:eastAsia="Times New Roman" w:cs="Times New Roman"/>
                <w:color w:val="000000"/>
                <w:sz w:val="22"/>
                <w:szCs w:val="22"/>
                <w:lang w:eastAsia="lt-LT"/>
              </w:rPr>
            </w:pPr>
            <w:r w:rsidRPr="00640D24">
              <w:rPr>
                <w:rFonts w:eastAsia="Times New Roman" w:cs="Times New Roman"/>
                <w:color w:val="000000"/>
                <w:sz w:val="22"/>
                <w:szCs w:val="22"/>
                <w:lang w:eastAsia="lt-LT"/>
              </w:rPr>
              <w:t>EIM</w:t>
            </w:r>
          </w:p>
        </w:tc>
      </w:tr>
    </w:tbl>
    <w:p w14:paraId="2B733F51" w14:textId="77777777" w:rsidR="00635446" w:rsidRPr="00640D24" w:rsidRDefault="00635446" w:rsidP="001B2ECC">
      <w:pPr>
        <w:spacing w:before="60" w:after="60" w:line="240" w:lineRule="auto"/>
        <w:rPr>
          <w:rFonts w:eastAsiaTheme="majorEastAsia" w:cs="Times New Roman"/>
          <w:b/>
          <w:bCs/>
          <w:sz w:val="28"/>
          <w:szCs w:val="28"/>
        </w:rPr>
      </w:pPr>
      <w:r w:rsidRPr="00640D24">
        <w:rPr>
          <w:rFonts w:cs="Times New Roman"/>
          <w:b/>
          <w:bCs/>
          <w:sz w:val="28"/>
          <w:szCs w:val="28"/>
        </w:rPr>
        <w:br w:type="page"/>
      </w:r>
    </w:p>
    <w:p w14:paraId="33B16580" w14:textId="0D862906" w:rsidR="00E43C42" w:rsidRPr="00640D24" w:rsidRDefault="00635446" w:rsidP="001B2ECC">
      <w:pPr>
        <w:pStyle w:val="Antrat1"/>
        <w:spacing w:before="60" w:after="60" w:line="240" w:lineRule="auto"/>
        <w:rPr>
          <w:rFonts w:ascii="Times New Roman" w:hAnsi="Times New Roman" w:cs="Times New Roman"/>
          <w:b/>
          <w:bCs/>
          <w:color w:val="auto"/>
          <w:sz w:val="28"/>
          <w:szCs w:val="28"/>
        </w:rPr>
      </w:pPr>
      <w:bookmarkStart w:id="121" w:name="_Toc57225227"/>
      <w:bookmarkStart w:id="122" w:name="_Toc146812409"/>
      <w:r w:rsidRPr="00640D24">
        <w:rPr>
          <w:rFonts w:ascii="Times New Roman" w:hAnsi="Times New Roman" w:cs="Times New Roman"/>
          <w:b/>
          <w:bCs/>
          <w:color w:val="auto"/>
          <w:sz w:val="28"/>
          <w:szCs w:val="28"/>
        </w:rPr>
        <w:lastRenderedPageBreak/>
        <w:t>3</w:t>
      </w:r>
      <w:r w:rsidR="00E43C42" w:rsidRPr="00640D24">
        <w:rPr>
          <w:rFonts w:ascii="Times New Roman" w:hAnsi="Times New Roman" w:cs="Times New Roman"/>
          <w:b/>
          <w:bCs/>
          <w:color w:val="auto"/>
          <w:sz w:val="28"/>
          <w:szCs w:val="28"/>
        </w:rPr>
        <w:t xml:space="preserve"> priedas. </w:t>
      </w:r>
      <w:r w:rsidR="00DA632E" w:rsidRPr="00640D24">
        <w:rPr>
          <w:rFonts w:ascii="Times New Roman" w:hAnsi="Times New Roman" w:cs="Times New Roman"/>
          <w:b/>
          <w:bCs/>
          <w:color w:val="auto"/>
          <w:sz w:val="28"/>
          <w:szCs w:val="28"/>
        </w:rPr>
        <w:t xml:space="preserve">Vertinime nagrinėjamos </w:t>
      </w:r>
      <w:proofErr w:type="spellStart"/>
      <w:r w:rsidR="00E43C42" w:rsidRPr="00640D24">
        <w:rPr>
          <w:rFonts w:ascii="Times New Roman" w:hAnsi="Times New Roman" w:cs="Times New Roman"/>
          <w:b/>
          <w:bCs/>
          <w:color w:val="auto"/>
          <w:sz w:val="28"/>
          <w:szCs w:val="28"/>
        </w:rPr>
        <w:t>subsidinės</w:t>
      </w:r>
      <w:proofErr w:type="spellEnd"/>
      <w:r w:rsidR="00E43C42" w:rsidRPr="00640D24">
        <w:rPr>
          <w:rFonts w:ascii="Times New Roman" w:hAnsi="Times New Roman" w:cs="Times New Roman"/>
          <w:b/>
          <w:bCs/>
          <w:color w:val="auto"/>
          <w:sz w:val="28"/>
          <w:szCs w:val="28"/>
        </w:rPr>
        <w:t xml:space="preserve"> priemonės</w:t>
      </w:r>
      <w:bookmarkEnd w:id="121"/>
      <w:bookmarkEnd w:id="122"/>
    </w:p>
    <w:p w14:paraId="3DCBD6CD" w14:textId="77777777" w:rsidR="005C1F5E" w:rsidRPr="00640D24" w:rsidRDefault="005C1F5E" w:rsidP="001B2ECC">
      <w:pPr>
        <w:spacing w:before="60" w:after="60" w:line="240" w:lineRule="auto"/>
        <w:rPr>
          <w:rFonts w:cs="Times New Roman"/>
        </w:rPr>
      </w:pPr>
    </w:p>
    <w:tbl>
      <w:tblPr>
        <w:tblStyle w:val="Lentelstinklelis"/>
        <w:tblW w:w="5000" w:type="pct"/>
        <w:tblLook w:val="04A0" w:firstRow="1" w:lastRow="0" w:firstColumn="1" w:lastColumn="0" w:noHBand="0" w:noVBand="1"/>
      </w:tblPr>
      <w:tblGrid>
        <w:gridCol w:w="1459"/>
        <w:gridCol w:w="1818"/>
        <w:gridCol w:w="4458"/>
        <w:gridCol w:w="1893"/>
      </w:tblGrid>
      <w:tr w:rsidR="00E43C42" w:rsidRPr="00640D24" w14:paraId="1D45215A" w14:textId="77777777" w:rsidTr="00817C19">
        <w:tc>
          <w:tcPr>
            <w:tcW w:w="758" w:type="pct"/>
          </w:tcPr>
          <w:p w14:paraId="378FB18C" w14:textId="77777777" w:rsidR="00E43C42" w:rsidRPr="00640D24" w:rsidRDefault="00E43C42" w:rsidP="00D12B54">
            <w:pPr>
              <w:spacing w:after="0" w:line="240" w:lineRule="auto"/>
              <w:jc w:val="both"/>
              <w:rPr>
                <w:rFonts w:cs="Times New Roman"/>
                <w:b/>
                <w:bCs/>
                <w:sz w:val="22"/>
                <w:szCs w:val="22"/>
                <w:lang w:val="lt-LT"/>
              </w:rPr>
            </w:pPr>
            <w:r w:rsidRPr="00640D24">
              <w:rPr>
                <w:rFonts w:cs="Times New Roman"/>
                <w:b/>
                <w:bCs/>
                <w:sz w:val="22"/>
                <w:szCs w:val="22"/>
                <w:lang w:val="lt-LT"/>
              </w:rPr>
              <w:t>Priemonės Nr.</w:t>
            </w:r>
          </w:p>
        </w:tc>
        <w:tc>
          <w:tcPr>
            <w:tcW w:w="944" w:type="pct"/>
          </w:tcPr>
          <w:p w14:paraId="1E9B1DBB" w14:textId="77777777" w:rsidR="00E43C42" w:rsidRPr="00640D24" w:rsidRDefault="00E43C42" w:rsidP="00D12B54">
            <w:pPr>
              <w:spacing w:after="0" w:line="240" w:lineRule="auto"/>
              <w:jc w:val="both"/>
              <w:rPr>
                <w:rFonts w:cs="Times New Roman"/>
                <w:b/>
                <w:bCs/>
                <w:sz w:val="22"/>
                <w:szCs w:val="22"/>
                <w:lang w:val="lt-LT"/>
              </w:rPr>
            </w:pPr>
            <w:r w:rsidRPr="00640D24">
              <w:rPr>
                <w:rFonts w:cs="Times New Roman"/>
                <w:b/>
                <w:bCs/>
                <w:sz w:val="22"/>
                <w:szCs w:val="22"/>
                <w:lang w:val="lt-LT"/>
              </w:rPr>
              <w:t>Pavadinimas</w:t>
            </w:r>
          </w:p>
        </w:tc>
        <w:tc>
          <w:tcPr>
            <w:tcW w:w="2315" w:type="pct"/>
          </w:tcPr>
          <w:p w14:paraId="3FD0488E" w14:textId="77777777" w:rsidR="00E43C42" w:rsidRPr="00640D24" w:rsidRDefault="00E43C42" w:rsidP="00D12B54">
            <w:pPr>
              <w:spacing w:after="0" w:line="240" w:lineRule="auto"/>
              <w:jc w:val="both"/>
              <w:rPr>
                <w:rFonts w:cs="Times New Roman"/>
                <w:b/>
                <w:bCs/>
                <w:sz w:val="22"/>
                <w:szCs w:val="22"/>
                <w:lang w:val="lt-LT"/>
              </w:rPr>
            </w:pPr>
            <w:r w:rsidRPr="00640D24">
              <w:rPr>
                <w:rFonts w:cs="Times New Roman"/>
                <w:b/>
                <w:bCs/>
                <w:sz w:val="22"/>
                <w:szCs w:val="22"/>
                <w:lang w:val="lt-LT"/>
              </w:rPr>
              <w:t>Remiama veikla</w:t>
            </w:r>
          </w:p>
        </w:tc>
        <w:tc>
          <w:tcPr>
            <w:tcW w:w="983" w:type="pct"/>
          </w:tcPr>
          <w:p w14:paraId="347C3D36" w14:textId="77777777" w:rsidR="00E43C42" w:rsidRPr="00640D24" w:rsidRDefault="00E43C42" w:rsidP="00D12B54">
            <w:pPr>
              <w:spacing w:after="0" w:line="240" w:lineRule="auto"/>
              <w:jc w:val="both"/>
              <w:rPr>
                <w:rFonts w:cs="Times New Roman"/>
                <w:b/>
                <w:bCs/>
                <w:sz w:val="22"/>
                <w:szCs w:val="22"/>
                <w:lang w:val="lt-LT"/>
              </w:rPr>
            </w:pPr>
            <w:r w:rsidRPr="00640D24">
              <w:rPr>
                <w:rFonts w:cs="Times New Roman"/>
                <w:b/>
                <w:bCs/>
                <w:sz w:val="22"/>
                <w:szCs w:val="22"/>
                <w:lang w:val="lt-LT"/>
              </w:rPr>
              <w:t>ES investicijų lėšos</w:t>
            </w:r>
          </w:p>
        </w:tc>
      </w:tr>
      <w:tr w:rsidR="00E43C42" w:rsidRPr="00640D24" w14:paraId="7D37C1AD" w14:textId="77777777" w:rsidTr="00817C19">
        <w:tc>
          <w:tcPr>
            <w:tcW w:w="5000" w:type="pct"/>
            <w:gridSpan w:val="4"/>
          </w:tcPr>
          <w:p w14:paraId="001D4048" w14:textId="77777777" w:rsidR="00E43C42" w:rsidRPr="00640D24" w:rsidRDefault="00E43C42" w:rsidP="00D12B54">
            <w:pPr>
              <w:spacing w:after="0" w:line="240" w:lineRule="auto"/>
              <w:jc w:val="both"/>
              <w:rPr>
                <w:rFonts w:cs="Times New Roman"/>
                <w:sz w:val="22"/>
                <w:lang w:val="lt-LT"/>
              </w:rPr>
            </w:pPr>
            <w:r w:rsidRPr="00640D24">
              <w:rPr>
                <w:rFonts w:cs="Times New Roman"/>
                <w:b/>
                <w:sz w:val="22"/>
                <w:lang w:val="lt-LT"/>
              </w:rPr>
              <w:t>1 Prioritetas. Mokslinių tyrimų, eksperimentinės plėtros ir inovacijų skatinimas</w:t>
            </w:r>
          </w:p>
        </w:tc>
      </w:tr>
      <w:tr w:rsidR="00E43C42" w:rsidRPr="00640D24" w14:paraId="264ECB79" w14:textId="77777777" w:rsidTr="00817C19">
        <w:tc>
          <w:tcPr>
            <w:tcW w:w="758" w:type="pct"/>
          </w:tcPr>
          <w:p w14:paraId="5F0DFA8A" w14:textId="1615D122"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01.2.1</w:t>
            </w:r>
            <w:r w:rsidR="00645085" w:rsidRPr="00640D24">
              <w:rPr>
                <w:rFonts w:cs="Times New Roman"/>
                <w:sz w:val="22"/>
                <w:szCs w:val="22"/>
                <w:lang w:val="lt-LT"/>
              </w:rPr>
              <w:t>–</w:t>
            </w:r>
            <w:r w:rsidRPr="00640D24">
              <w:rPr>
                <w:rFonts w:cs="Times New Roman"/>
                <w:sz w:val="22"/>
                <w:szCs w:val="22"/>
                <w:lang w:val="lt-LT"/>
              </w:rPr>
              <w:t>LVPA</w:t>
            </w:r>
            <w:r w:rsidR="00645085" w:rsidRPr="00640D24">
              <w:rPr>
                <w:rFonts w:cs="Times New Roman"/>
                <w:sz w:val="22"/>
                <w:szCs w:val="22"/>
                <w:lang w:val="lt-LT"/>
              </w:rPr>
              <w:t>–</w:t>
            </w:r>
            <w:r w:rsidRPr="00640D24">
              <w:rPr>
                <w:rFonts w:cs="Times New Roman"/>
                <w:sz w:val="22"/>
                <w:szCs w:val="22"/>
                <w:lang w:val="lt-LT"/>
              </w:rPr>
              <w:t>K</w:t>
            </w:r>
            <w:r w:rsidR="00645085" w:rsidRPr="00640D24">
              <w:rPr>
                <w:rFonts w:cs="Times New Roman"/>
                <w:sz w:val="22"/>
                <w:szCs w:val="22"/>
                <w:lang w:val="lt-LT"/>
              </w:rPr>
              <w:t>–</w:t>
            </w:r>
            <w:r w:rsidRPr="00640D24">
              <w:rPr>
                <w:rFonts w:cs="Times New Roman"/>
                <w:sz w:val="22"/>
                <w:szCs w:val="22"/>
                <w:lang w:val="lt-LT"/>
              </w:rPr>
              <w:t>823</w:t>
            </w:r>
          </w:p>
        </w:tc>
        <w:tc>
          <w:tcPr>
            <w:tcW w:w="944" w:type="pct"/>
          </w:tcPr>
          <w:p w14:paraId="36516F8D" w14:textId="77777777" w:rsidR="00E43C42" w:rsidRPr="00640D24" w:rsidRDefault="00E43C42" w:rsidP="00D12B54">
            <w:pPr>
              <w:spacing w:after="0" w:line="240" w:lineRule="auto"/>
              <w:jc w:val="both"/>
              <w:rPr>
                <w:rFonts w:cs="Times New Roman"/>
                <w:sz w:val="22"/>
                <w:szCs w:val="22"/>
                <w:lang w:val="lt-LT"/>
              </w:rPr>
            </w:pPr>
            <w:proofErr w:type="spellStart"/>
            <w:r w:rsidRPr="00640D24">
              <w:rPr>
                <w:rFonts w:cs="Times New Roman"/>
                <w:sz w:val="22"/>
                <w:szCs w:val="22"/>
                <w:lang w:val="lt-LT"/>
              </w:rPr>
              <w:t>Smartinvest</w:t>
            </w:r>
            <w:proofErr w:type="spellEnd"/>
            <w:r w:rsidRPr="00640D24">
              <w:rPr>
                <w:rFonts w:cs="Times New Roman"/>
                <w:sz w:val="22"/>
                <w:szCs w:val="22"/>
                <w:lang w:val="lt-LT"/>
              </w:rPr>
              <w:t xml:space="preserve"> LT+</w:t>
            </w:r>
          </w:p>
        </w:tc>
        <w:tc>
          <w:tcPr>
            <w:tcW w:w="2315" w:type="pct"/>
          </w:tcPr>
          <w:p w14:paraId="6D3151E1"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Tiesioginės užsienio investicijos į mokslinių tyrimų ir (ar) eksperimentinės plėtros (toliau – MTEP) veiklas;</w:t>
            </w:r>
          </w:p>
          <w:p w14:paraId="181F26E4"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Tiesioginės užsienio investicijos, kuriomis kuriama naujos arba plečiama esamos įmonės MTEPI infrastruktūra;</w:t>
            </w:r>
          </w:p>
          <w:p w14:paraId="7E23BFEE"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Tiesioginės užsienio investicijos į veiklas, susijusias su procesų ir organizacinių inovacijų diegimu.</w:t>
            </w:r>
          </w:p>
        </w:tc>
        <w:tc>
          <w:tcPr>
            <w:tcW w:w="983" w:type="pct"/>
          </w:tcPr>
          <w:p w14:paraId="3C871C20"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 xml:space="preserve">4.146.081 € </w:t>
            </w:r>
          </w:p>
        </w:tc>
      </w:tr>
      <w:tr w:rsidR="00E43C42" w:rsidRPr="00640D24" w14:paraId="26A50B52" w14:textId="77777777" w:rsidTr="00817C19">
        <w:tc>
          <w:tcPr>
            <w:tcW w:w="758" w:type="pct"/>
          </w:tcPr>
          <w:p w14:paraId="37E09E40" w14:textId="1AA8D243"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01.2.1</w:t>
            </w:r>
            <w:r w:rsidR="00645085" w:rsidRPr="00640D24">
              <w:rPr>
                <w:rFonts w:cs="Times New Roman"/>
                <w:sz w:val="22"/>
                <w:szCs w:val="22"/>
                <w:lang w:val="lt-LT"/>
              </w:rPr>
              <w:t>–</w:t>
            </w:r>
            <w:r w:rsidRPr="00640D24">
              <w:rPr>
                <w:rFonts w:cs="Times New Roman"/>
                <w:sz w:val="22"/>
                <w:szCs w:val="22"/>
                <w:lang w:val="lt-LT"/>
              </w:rPr>
              <w:t>LVPA</w:t>
            </w:r>
            <w:r w:rsidR="00645085" w:rsidRPr="00640D24">
              <w:rPr>
                <w:rFonts w:cs="Times New Roman"/>
                <w:sz w:val="22"/>
                <w:szCs w:val="22"/>
                <w:lang w:val="lt-LT"/>
              </w:rPr>
              <w:t>–</w:t>
            </w:r>
            <w:r w:rsidRPr="00640D24">
              <w:rPr>
                <w:rFonts w:cs="Times New Roman"/>
                <w:sz w:val="22"/>
                <w:szCs w:val="22"/>
                <w:lang w:val="lt-LT"/>
              </w:rPr>
              <w:t>T</w:t>
            </w:r>
            <w:r w:rsidR="00645085" w:rsidRPr="00640D24">
              <w:rPr>
                <w:rFonts w:cs="Times New Roman"/>
                <w:sz w:val="22"/>
                <w:szCs w:val="22"/>
                <w:lang w:val="lt-LT"/>
              </w:rPr>
              <w:t>–</w:t>
            </w:r>
            <w:r w:rsidRPr="00640D24">
              <w:rPr>
                <w:rFonts w:cs="Times New Roman"/>
                <w:sz w:val="22"/>
                <w:szCs w:val="22"/>
                <w:lang w:val="lt-LT"/>
              </w:rPr>
              <w:t>848</w:t>
            </w:r>
          </w:p>
        </w:tc>
        <w:tc>
          <w:tcPr>
            <w:tcW w:w="944" w:type="pct"/>
          </w:tcPr>
          <w:p w14:paraId="3F23C70E" w14:textId="77777777" w:rsidR="00E43C42" w:rsidRPr="00640D24" w:rsidRDefault="00E43C42" w:rsidP="00D12B54">
            <w:pPr>
              <w:spacing w:after="0" w:line="240" w:lineRule="auto"/>
              <w:jc w:val="both"/>
              <w:rPr>
                <w:rFonts w:cs="Times New Roman"/>
                <w:sz w:val="22"/>
                <w:szCs w:val="22"/>
                <w:lang w:val="lt-LT"/>
              </w:rPr>
            </w:pPr>
            <w:proofErr w:type="spellStart"/>
            <w:r w:rsidRPr="00640D24">
              <w:rPr>
                <w:rFonts w:cs="Times New Roman"/>
                <w:sz w:val="22"/>
                <w:szCs w:val="22"/>
                <w:lang w:val="lt-LT"/>
              </w:rPr>
              <w:t>Smart</w:t>
            </w:r>
            <w:proofErr w:type="spellEnd"/>
            <w:r w:rsidRPr="00640D24">
              <w:rPr>
                <w:rFonts w:cs="Times New Roman"/>
                <w:sz w:val="22"/>
                <w:szCs w:val="22"/>
                <w:lang w:val="lt-LT"/>
              </w:rPr>
              <w:t xml:space="preserve"> FDI</w:t>
            </w:r>
          </w:p>
        </w:tc>
        <w:tc>
          <w:tcPr>
            <w:tcW w:w="2315" w:type="pct"/>
          </w:tcPr>
          <w:p w14:paraId="5A983AB4"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Tiesioginės užsienio investicijos į MTEP veiklas.</w:t>
            </w:r>
          </w:p>
          <w:p w14:paraId="1D10E455"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Tiesioginės užsienio investicijos, kuriomis kuriama naujos arba plečiama esamos įmonės MTEPI infrastruktūra.</w:t>
            </w:r>
          </w:p>
          <w:p w14:paraId="2C145BA9"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Tiesioginės užsienio investicijos į veiklas, susijusias su procesų ir organizacinių inovacijų diegimu.</w:t>
            </w:r>
          </w:p>
        </w:tc>
        <w:tc>
          <w:tcPr>
            <w:tcW w:w="983" w:type="pct"/>
          </w:tcPr>
          <w:p w14:paraId="240D2083"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 xml:space="preserve">46.840.579 € </w:t>
            </w:r>
          </w:p>
        </w:tc>
      </w:tr>
      <w:tr w:rsidR="00E43C42" w:rsidRPr="00640D24" w14:paraId="43CB04D5" w14:textId="77777777" w:rsidTr="00817C19">
        <w:tc>
          <w:tcPr>
            <w:tcW w:w="758" w:type="pct"/>
          </w:tcPr>
          <w:p w14:paraId="24B01871" w14:textId="163B3EC0"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J05</w:t>
            </w:r>
            <w:r w:rsidR="00645085" w:rsidRPr="00640D24">
              <w:rPr>
                <w:rFonts w:cs="Times New Roman"/>
                <w:sz w:val="22"/>
                <w:szCs w:val="22"/>
                <w:lang w:val="lt-LT"/>
              </w:rPr>
              <w:t>–</w:t>
            </w:r>
            <w:r w:rsidRPr="00640D24">
              <w:rPr>
                <w:rFonts w:cs="Times New Roman"/>
                <w:sz w:val="22"/>
                <w:szCs w:val="22"/>
                <w:lang w:val="lt-LT"/>
              </w:rPr>
              <w:t>LVPA</w:t>
            </w:r>
            <w:r w:rsidR="00645085" w:rsidRPr="00640D24">
              <w:rPr>
                <w:rFonts w:cs="Times New Roman"/>
                <w:sz w:val="22"/>
                <w:szCs w:val="22"/>
                <w:lang w:val="lt-LT"/>
              </w:rPr>
              <w:t>–</w:t>
            </w:r>
            <w:r w:rsidRPr="00640D24">
              <w:rPr>
                <w:rFonts w:cs="Times New Roman"/>
                <w:sz w:val="22"/>
                <w:szCs w:val="22"/>
                <w:lang w:val="lt-LT"/>
              </w:rPr>
              <w:t>K</w:t>
            </w:r>
          </w:p>
        </w:tc>
        <w:tc>
          <w:tcPr>
            <w:tcW w:w="944" w:type="pct"/>
          </w:tcPr>
          <w:p w14:paraId="12A65DC0"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lang w:val="lt-LT"/>
              </w:rPr>
              <w:t>Intelektas. Bendri mokslo–verslo projektai</w:t>
            </w:r>
          </w:p>
        </w:tc>
        <w:tc>
          <w:tcPr>
            <w:tcW w:w="2315" w:type="pct"/>
          </w:tcPr>
          <w:p w14:paraId="13675928" w14:textId="497B1325"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 xml:space="preserve">Moksliniai tyrimai ir (ar) eksperimentinė plėtra (toliau – </w:t>
            </w:r>
            <w:r w:rsidR="009152C4" w:rsidRPr="00640D24">
              <w:rPr>
                <w:rFonts w:cs="Times New Roman"/>
                <w:sz w:val="22"/>
                <w:szCs w:val="22"/>
                <w:lang w:val="lt-LT"/>
              </w:rPr>
              <w:t>MTEP)</w:t>
            </w:r>
          </w:p>
          <w:p w14:paraId="7ED4152A"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Įmonių pradinės investicijos, kuriomis kuriama naujos ar plečiama esamos įmonės MTEP ir inovacijų infrastruktūra bei kuri nėra prieinama viešai arba klasteriuose;</w:t>
            </w:r>
          </w:p>
          <w:p w14:paraId="293CF0F5"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Naujų produktų ir technologijų sertifikavimas ir su tuo susijusios veiklos.</w:t>
            </w:r>
          </w:p>
        </w:tc>
        <w:tc>
          <w:tcPr>
            <w:tcW w:w="983" w:type="pct"/>
          </w:tcPr>
          <w:p w14:paraId="21F4B4DB"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 xml:space="preserve">147.326.312 € </w:t>
            </w:r>
          </w:p>
        </w:tc>
      </w:tr>
      <w:tr w:rsidR="00E43C42" w:rsidRPr="00640D24" w14:paraId="21438066" w14:textId="77777777" w:rsidTr="00817C19">
        <w:tc>
          <w:tcPr>
            <w:tcW w:w="758" w:type="pct"/>
          </w:tcPr>
          <w:p w14:paraId="5E853FF6" w14:textId="17DE0E02"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01.2.1</w:t>
            </w:r>
            <w:r w:rsidR="00645085" w:rsidRPr="00640D24">
              <w:rPr>
                <w:rFonts w:cs="Times New Roman"/>
                <w:sz w:val="22"/>
                <w:szCs w:val="22"/>
                <w:lang w:val="lt-LT"/>
              </w:rPr>
              <w:t>–</w:t>
            </w:r>
            <w:r w:rsidRPr="00640D24">
              <w:rPr>
                <w:rFonts w:cs="Times New Roman"/>
                <w:sz w:val="22"/>
                <w:szCs w:val="22"/>
                <w:lang w:val="lt-LT"/>
              </w:rPr>
              <w:t>MITA</w:t>
            </w:r>
            <w:r w:rsidR="00645085" w:rsidRPr="00640D24">
              <w:rPr>
                <w:rFonts w:cs="Times New Roman"/>
                <w:sz w:val="22"/>
                <w:szCs w:val="22"/>
                <w:lang w:val="lt-LT"/>
              </w:rPr>
              <w:t>–</w:t>
            </w:r>
            <w:r w:rsidRPr="00640D24">
              <w:rPr>
                <w:rFonts w:cs="Times New Roman"/>
                <w:sz w:val="22"/>
                <w:szCs w:val="22"/>
                <w:lang w:val="lt-LT"/>
              </w:rPr>
              <w:t>T</w:t>
            </w:r>
            <w:r w:rsidR="00645085" w:rsidRPr="00640D24">
              <w:rPr>
                <w:rFonts w:cs="Times New Roman"/>
                <w:sz w:val="22"/>
                <w:szCs w:val="22"/>
                <w:lang w:val="lt-LT"/>
              </w:rPr>
              <w:t>–</w:t>
            </w:r>
            <w:r w:rsidRPr="00640D24">
              <w:rPr>
                <w:rFonts w:cs="Times New Roman"/>
                <w:sz w:val="22"/>
                <w:szCs w:val="22"/>
                <w:lang w:val="lt-LT"/>
              </w:rPr>
              <w:t>852</w:t>
            </w:r>
          </w:p>
        </w:tc>
        <w:tc>
          <w:tcPr>
            <w:tcW w:w="944" w:type="pct"/>
            <w:shd w:val="clear" w:color="auto" w:fill="auto"/>
          </w:tcPr>
          <w:p w14:paraId="38F39F61" w14:textId="77777777" w:rsidR="00E43C42" w:rsidRPr="00640D24" w:rsidRDefault="00E43C42" w:rsidP="00D12B54">
            <w:pPr>
              <w:spacing w:after="0" w:line="240" w:lineRule="auto"/>
              <w:jc w:val="both"/>
              <w:rPr>
                <w:rFonts w:cs="Times New Roman"/>
                <w:sz w:val="22"/>
                <w:szCs w:val="22"/>
                <w:lang w:val="lt-LT"/>
              </w:rPr>
            </w:pPr>
            <w:proofErr w:type="spellStart"/>
            <w:r w:rsidRPr="00640D24">
              <w:rPr>
                <w:rFonts w:cs="Times New Roman"/>
                <w:sz w:val="22"/>
                <w:szCs w:val="22"/>
                <w:lang w:val="lt-LT"/>
              </w:rPr>
              <w:t>Inostartas</w:t>
            </w:r>
            <w:proofErr w:type="spellEnd"/>
          </w:p>
        </w:tc>
        <w:tc>
          <w:tcPr>
            <w:tcW w:w="2315" w:type="pct"/>
          </w:tcPr>
          <w:p w14:paraId="75360C00"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proofErr w:type="spellStart"/>
            <w:r w:rsidRPr="00640D24">
              <w:rPr>
                <w:rFonts w:cs="Times New Roman"/>
                <w:sz w:val="22"/>
                <w:szCs w:val="22"/>
                <w:lang w:val="lt-LT"/>
              </w:rPr>
              <w:t>Inovatyvių</w:t>
            </w:r>
            <w:proofErr w:type="spellEnd"/>
            <w:r w:rsidRPr="00640D24">
              <w:rPr>
                <w:rFonts w:cs="Times New Roman"/>
                <w:sz w:val="22"/>
                <w:szCs w:val="22"/>
                <w:lang w:val="lt-LT"/>
              </w:rPr>
              <w:t xml:space="preserve"> smulkiojo ir vidutinio verslo subjektų kūrimosi skatinimas, vykdant MTEP veiklų 2–6 etapus, nurodytus Rekomenduojamos mokslinių tyrimų ir eksperimentinės plėtros etapų klasifikacijos aprašo, patvirtinto Lietuvos Respublikos Vyriausybės 2012 m. birželio 6 d. nutarimu Nr. 650 „Dėl Rekomenduojamos mokslinių tyrimų ir eksperimentinės plėtros etapų klasifikacijos aprašo patvirtinimo“ 4 punkte (toliau – MTEP etapų klasifikacijos aprašas);</w:t>
            </w:r>
          </w:p>
          <w:p w14:paraId="35774BF2"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Tyrėjų ir (ar) mokslininkų įdarbinimas žinioms imliose MVĮ ir kartu vystomi MVĮ produktai, siekiant jų komercinio realizavimo;</w:t>
            </w:r>
          </w:p>
          <w:p w14:paraId="3CA944C7"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proofErr w:type="spellStart"/>
            <w:r w:rsidRPr="00640D24">
              <w:rPr>
                <w:rFonts w:cs="Times New Roman"/>
                <w:sz w:val="22"/>
                <w:szCs w:val="22"/>
                <w:lang w:val="lt-LT"/>
              </w:rPr>
              <w:t>Inovatyvių</w:t>
            </w:r>
            <w:proofErr w:type="spellEnd"/>
            <w:r w:rsidRPr="00640D24">
              <w:rPr>
                <w:rFonts w:cs="Times New Roman"/>
                <w:sz w:val="22"/>
                <w:szCs w:val="22"/>
                <w:lang w:val="lt-LT"/>
              </w:rPr>
              <w:t xml:space="preserve"> smulkiojo ir vidutinio verslo subjektų plėtros skatinimas, vykdant MTEP veiklų 7–9 etapus, nurodytus MTEP etapų klasifikacijos apraše.</w:t>
            </w:r>
          </w:p>
        </w:tc>
        <w:tc>
          <w:tcPr>
            <w:tcW w:w="983" w:type="pct"/>
          </w:tcPr>
          <w:p w14:paraId="44C0532B"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8.402.521 €</w:t>
            </w:r>
          </w:p>
        </w:tc>
      </w:tr>
      <w:tr w:rsidR="00E43C42" w:rsidRPr="00640D24" w14:paraId="7D7508AC" w14:textId="77777777" w:rsidTr="00817C19">
        <w:tc>
          <w:tcPr>
            <w:tcW w:w="758" w:type="pct"/>
          </w:tcPr>
          <w:p w14:paraId="35A1927C" w14:textId="337DDE81"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lastRenderedPageBreak/>
              <w:t>01.2.1</w:t>
            </w:r>
            <w:r w:rsidR="00645085" w:rsidRPr="00640D24">
              <w:rPr>
                <w:rFonts w:cs="Times New Roman"/>
                <w:sz w:val="22"/>
                <w:szCs w:val="22"/>
                <w:lang w:val="lt-LT"/>
              </w:rPr>
              <w:t>–</w:t>
            </w:r>
            <w:r w:rsidRPr="00640D24">
              <w:rPr>
                <w:rFonts w:cs="Times New Roman"/>
                <w:sz w:val="22"/>
                <w:szCs w:val="22"/>
                <w:lang w:val="lt-LT"/>
              </w:rPr>
              <w:t>LVPA</w:t>
            </w:r>
            <w:r w:rsidR="00645085" w:rsidRPr="00640D24">
              <w:rPr>
                <w:rFonts w:cs="Times New Roman"/>
                <w:sz w:val="22"/>
                <w:szCs w:val="22"/>
                <w:lang w:val="lt-LT"/>
              </w:rPr>
              <w:t>–</w:t>
            </w:r>
            <w:r w:rsidRPr="00640D24">
              <w:rPr>
                <w:rFonts w:cs="Times New Roman"/>
                <w:sz w:val="22"/>
                <w:szCs w:val="22"/>
                <w:lang w:val="lt-LT"/>
              </w:rPr>
              <w:t>K</w:t>
            </w:r>
            <w:r w:rsidR="00645085" w:rsidRPr="00640D24">
              <w:rPr>
                <w:rFonts w:cs="Times New Roman"/>
                <w:sz w:val="22"/>
                <w:szCs w:val="22"/>
                <w:lang w:val="lt-LT"/>
              </w:rPr>
              <w:t>–</w:t>
            </w:r>
            <w:r w:rsidRPr="00640D24">
              <w:rPr>
                <w:rFonts w:cs="Times New Roman"/>
                <w:sz w:val="22"/>
                <w:szCs w:val="22"/>
                <w:lang w:val="lt-LT"/>
              </w:rPr>
              <w:t>855</w:t>
            </w:r>
          </w:p>
        </w:tc>
        <w:tc>
          <w:tcPr>
            <w:tcW w:w="944" w:type="pct"/>
          </w:tcPr>
          <w:p w14:paraId="127D7930" w14:textId="7ECDD6CC"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Intelektas LT</w:t>
            </w:r>
            <w:r w:rsidR="00645085" w:rsidRPr="00640D24">
              <w:rPr>
                <w:rFonts w:cs="Times New Roman"/>
                <w:sz w:val="22"/>
                <w:szCs w:val="22"/>
                <w:lang w:val="lt-LT"/>
              </w:rPr>
              <w:t>–</w:t>
            </w:r>
            <w:r w:rsidRPr="00640D24">
              <w:rPr>
                <w:rFonts w:cs="Times New Roman"/>
                <w:sz w:val="22"/>
                <w:szCs w:val="22"/>
                <w:lang w:val="lt-LT"/>
              </w:rPr>
              <w:t>2</w:t>
            </w:r>
          </w:p>
        </w:tc>
        <w:tc>
          <w:tcPr>
            <w:tcW w:w="2315" w:type="pct"/>
          </w:tcPr>
          <w:p w14:paraId="729EED9E"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Fundamentiniai tyrimai;</w:t>
            </w:r>
          </w:p>
          <w:p w14:paraId="560EB5AA"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MTEP;</w:t>
            </w:r>
          </w:p>
          <w:p w14:paraId="0D5C30EC"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Įmonių pradinės investicijos, kuriomis kuriama naujos ar plečiama esamos įmonės MTEP ir inovacijų infrastruktūra bei kuri nėra prieinama viešai arba klasteriuose.</w:t>
            </w:r>
          </w:p>
        </w:tc>
        <w:tc>
          <w:tcPr>
            <w:tcW w:w="983" w:type="pct"/>
          </w:tcPr>
          <w:p w14:paraId="24CD925F"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 xml:space="preserve">12.457.447 € </w:t>
            </w:r>
          </w:p>
        </w:tc>
      </w:tr>
      <w:tr w:rsidR="00E43C42" w:rsidRPr="00640D24" w14:paraId="49FAC3E5" w14:textId="77777777" w:rsidTr="00817C19">
        <w:tc>
          <w:tcPr>
            <w:tcW w:w="758" w:type="pct"/>
          </w:tcPr>
          <w:p w14:paraId="0DDA973D" w14:textId="3B198889"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01.2.1</w:t>
            </w:r>
            <w:r w:rsidR="00645085" w:rsidRPr="00640D24">
              <w:rPr>
                <w:rFonts w:cs="Times New Roman"/>
                <w:sz w:val="22"/>
                <w:szCs w:val="22"/>
                <w:lang w:val="lt-LT"/>
              </w:rPr>
              <w:t>–</w:t>
            </w:r>
            <w:r w:rsidRPr="00640D24">
              <w:rPr>
                <w:rFonts w:cs="Times New Roman"/>
                <w:sz w:val="22"/>
                <w:szCs w:val="22"/>
                <w:lang w:val="lt-LT"/>
              </w:rPr>
              <w:t>LVPA</w:t>
            </w:r>
            <w:r w:rsidR="00645085" w:rsidRPr="00640D24">
              <w:rPr>
                <w:rFonts w:cs="Times New Roman"/>
                <w:sz w:val="22"/>
                <w:szCs w:val="22"/>
                <w:lang w:val="lt-LT"/>
              </w:rPr>
              <w:t>–</w:t>
            </w:r>
            <w:r w:rsidRPr="00640D24">
              <w:rPr>
                <w:rFonts w:cs="Times New Roman"/>
                <w:sz w:val="22"/>
                <w:szCs w:val="22"/>
                <w:lang w:val="lt-LT"/>
              </w:rPr>
              <w:t>K</w:t>
            </w:r>
            <w:r w:rsidR="00645085" w:rsidRPr="00640D24">
              <w:rPr>
                <w:rFonts w:cs="Times New Roman"/>
                <w:sz w:val="22"/>
                <w:szCs w:val="22"/>
                <w:lang w:val="lt-LT"/>
              </w:rPr>
              <w:t>–</w:t>
            </w:r>
            <w:r w:rsidRPr="00640D24">
              <w:rPr>
                <w:rFonts w:cs="Times New Roman"/>
                <w:sz w:val="22"/>
                <w:szCs w:val="22"/>
                <w:lang w:val="lt-LT"/>
              </w:rPr>
              <w:t>856</w:t>
            </w:r>
          </w:p>
        </w:tc>
        <w:tc>
          <w:tcPr>
            <w:tcW w:w="944" w:type="pct"/>
          </w:tcPr>
          <w:p w14:paraId="15E8B03E"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Eksperimentas</w:t>
            </w:r>
          </w:p>
        </w:tc>
        <w:tc>
          <w:tcPr>
            <w:tcW w:w="2315" w:type="pct"/>
          </w:tcPr>
          <w:p w14:paraId="1ABDED07"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MTEP;</w:t>
            </w:r>
          </w:p>
          <w:p w14:paraId="033AE95B"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Įmonių pradinės investicijos, kuriomis kuriama naujos ar plečiama esamos įmonės MTEP ir inovacijų infrastruktūra ir kuri nėra prieinama viešai arba klasteriuose;</w:t>
            </w:r>
          </w:p>
          <w:p w14:paraId="06170A4D"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Naujų produktų ir technologijų sertifikavimas ir su tuo susijusios veiklos.</w:t>
            </w:r>
          </w:p>
        </w:tc>
        <w:tc>
          <w:tcPr>
            <w:tcW w:w="983" w:type="pct"/>
          </w:tcPr>
          <w:p w14:paraId="3CF2CEF8"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 xml:space="preserve">153.704.007 € </w:t>
            </w:r>
          </w:p>
        </w:tc>
      </w:tr>
      <w:tr w:rsidR="00E43C42" w:rsidRPr="00640D24" w14:paraId="30589F7C" w14:textId="77777777" w:rsidTr="00817C19">
        <w:tc>
          <w:tcPr>
            <w:tcW w:w="5000" w:type="pct"/>
            <w:gridSpan w:val="4"/>
          </w:tcPr>
          <w:p w14:paraId="343A0182" w14:textId="77777777" w:rsidR="00E43C42" w:rsidRPr="00640D24" w:rsidRDefault="00E43C42" w:rsidP="00D12B54">
            <w:pPr>
              <w:spacing w:after="0" w:line="240" w:lineRule="auto"/>
              <w:jc w:val="both"/>
              <w:rPr>
                <w:rFonts w:cs="Times New Roman"/>
                <w:b/>
                <w:bCs/>
                <w:sz w:val="22"/>
                <w:szCs w:val="22"/>
                <w:lang w:val="lt-LT"/>
              </w:rPr>
            </w:pPr>
            <w:r w:rsidRPr="00640D24">
              <w:rPr>
                <w:rFonts w:cs="Times New Roman"/>
                <w:b/>
                <w:bCs/>
                <w:sz w:val="22"/>
                <w:szCs w:val="22"/>
                <w:lang w:val="lt-LT"/>
              </w:rPr>
              <w:t>3 prioritetas. Smulkiojo ir vidutinio verslo konkurencingumo skatinimas</w:t>
            </w:r>
          </w:p>
        </w:tc>
      </w:tr>
      <w:tr w:rsidR="00E43C42" w:rsidRPr="00640D24" w14:paraId="77BA7A04" w14:textId="77777777" w:rsidTr="00817C19">
        <w:tc>
          <w:tcPr>
            <w:tcW w:w="758" w:type="pct"/>
          </w:tcPr>
          <w:p w14:paraId="52EB27EB" w14:textId="3FC9C0E3"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03.3.1</w:t>
            </w:r>
            <w:r w:rsidR="00645085" w:rsidRPr="00640D24">
              <w:rPr>
                <w:rFonts w:cs="Times New Roman"/>
                <w:sz w:val="22"/>
                <w:szCs w:val="22"/>
                <w:lang w:val="lt-LT"/>
              </w:rPr>
              <w:t>–</w:t>
            </w:r>
            <w:r w:rsidRPr="00640D24">
              <w:rPr>
                <w:rFonts w:cs="Times New Roman"/>
                <w:sz w:val="22"/>
                <w:szCs w:val="22"/>
                <w:lang w:val="lt-LT"/>
              </w:rPr>
              <w:t>LVPA</w:t>
            </w:r>
            <w:r w:rsidR="00645085" w:rsidRPr="00640D24">
              <w:rPr>
                <w:rFonts w:cs="Times New Roman"/>
                <w:sz w:val="22"/>
                <w:szCs w:val="22"/>
                <w:lang w:val="lt-LT"/>
              </w:rPr>
              <w:t>–</w:t>
            </w:r>
            <w:r w:rsidRPr="00640D24">
              <w:rPr>
                <w:rFonts w:cs="Times New Roman"/>
                <w:sz w:val="22"/>
                <w:szCs w:val="22"/>
                <w:lang w:val="lt-LT"/>
              </w:rPr>
              <w:t>K</w:t>
            </w:r>
            <w:r w:rsidR="00645085" w:rsidRPr="00640D24">
              <w:rPr>
                <w:rFonts w:cs="Times New Roman"/>
                <w:sz w:val="22"/>
                <w:szCs w:val="22"/>
                <w:lang w:val="lt-LT"/>
              </w:rPr>
              <w:t>–</w:t>
            </w:r>
            <w:r w:rsidRPr="00640D24">
              <w:rPr>
                <w:rFonts w:cs="Times New Roman"/>
                <w:sz w:val="22"/>
                <w:szCs w:val="22"/>
                <w:lang w:val="lt-LT"/>
              </w:rPr>
              <w:t>803</w:t>
            </w:r>
          </w:p>
        </w:tc>
        <w:tc>
          <w:tcPr>
            <w:tcW w:w="944" w:type="pct"/>
          </w:tcPr>
          <w:p w14:paraId="22675457" w14:textId="77777777" w:rsidR="00E43C42" w:rsidRPr="00640D24" w:rsidRDefault="00E43C42" w:rsidP="00D12B54">
            <w:pPr>
              <w:spacing w:after="0" w:line="240" w:lineRule="auto"/>
              <w:jc w:val="both"/>
              <w:rPr>
                <w:rFonts w:cs="Times New Roman"/>
                <w:sz w:val="22"/>
                <w:szCs w:val="22"/>
                <w:lang w:val="lt-LT"/>
              </w:rPr>
            </w:pPr>
            <w:proofErr w:type="spellStart"/>
            <w:r w:rsidRPr="00640D24">
              <w:rPr>
                <w:rFonts w:cs="Times New Roman"/>
                <w:sz w:val="22"/>
                <w:szCs w:val="22"/>
                <w:lang w:val="lt-LT"/>
              </w:rPr>
              <w:t>Regio</w:t>
            </w:r>
            <w:proofErr w:type="spellEnd"/>
            <w:r w:rsidRPr="00640D24">
              <w:rPr>
                <w:rFonts w:cs="Times New Roman"/>
                <w:sz w:val="22"/>
                <w:szCs w:val="22"/>
                <w:lang w:val="lt-LT"/>
              </w:rPr>
              <w:t xml:space="preserve"> </w:t>
            </w:r>
            <w:proofErr w:type="spellStart"/>
            <w:r w:rsidRPr="00640D24">
              <w:rPr>
                <w:rFonts w:cs="Times New Roman"/>
                <w:sz w:val="22"/>
                <w:szCs w:val="22"/>
                <w:lang w:val="lt-LT"/>
              </w:rPr>
              <w:t>Invest</w:t>
            </w:r>
            <w:proofErr w:type="spellEnd"/>
            <w:r w:rsidRPr="00640D24">
              <w:rPr>
                <w:rFonts w:cs="Times New Roman"/>
                <w:sz w:val="22"/>
                <w:szCs w:val="22"/>
                <w:lang w:val="lt-LT"/>
              </w:rPr>
              <w:t xml:space="preserve"> LT+</w:t>
            </w:r>
          </w:p>
        </w:tc>
        <w:tc>
          <w:tcPr>
            <w:tcW w:w="2315" w:type="pct"/>
          </w:tcPr>
          <w:p w14:paraId="711B4BA5"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Moderniųjų technologijų diegimas, pritaikant esamus ir kuriant naujus gamybos ir paslaugų teikimo pajėgumus naujiems ir esamiems gaminiams gaminti ir paslaugoms teikti.</w:t>
            </w:r>
          </w:p>
        </w:tc>
        <w:tc>
          <w:tcPr>
            <w:tcW w:w="983" w:type="pct"/>
          </w:tcPr>
          <w:p w14:paraId="3F31E211"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 xml:space="preserve">70.092.771 € </w:t>
            </w:r>
          </w:p>
        </w:tc>
      </w:tr>
      <w:tr w:rsidR="00E43C42" w:rsidRPr="00640D24" w14:paraId="1863209A" w14:textId="77777777" w:rsidTr="00817C19">
        <w:tc>
          <w:tcPr>
            <w:tcW w:w="758" w:type="pct"/>
          </w:tcPr>
          <w:p w14:paraId="47E7F579" w14:textId="0FCFC7BA"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03.3.2</w:t>
            </w:r>
            <w:r w:rsidR="00645085" w:rsidRPr="00640D24">
              <w:rPr>
                <w:rFonts w:cs="Times New Roman"/>
                <w:sz w:val="22"/>
                <w:szCs w:val="22"/>
                <w:lang w:val="lt-LT"/>
              </w:rPr>
              <w:t>–</w:t>
            </w:r>
            <w:r w:rsidRPr="00640D24">
              <w:rPr>
                <w:rFonts w:cs="Times New Roman"/>
                <w:sz w:val="22"/>
                <w:szCs w:val="22"/>
                <w:lang w:val="lt-LT"/>
              </w:rPr>
              <w:t>LVPA</w:t>
            </w:r>
            <w:r w:rsidR="00645085" w:rsidRPr="00640D24">
              <w:rPr>
                <w:rFonts w:cs="Times New Roman"/>
                <w:sz w:val="22"/>
                <w:szCs w:val="22"/>
                <w:lang w:val="lt-LT"/>
              </w:rPr>
              <w:t>–</w:t>
            </w:r>
            <w:r w:rsidRPr="00640D24">
              <w:rPr>
                <w:rFonts w:cs="Times New Roman"/>
                <w:sz w:val="22"/>
                <w:szCs w:val="22"/>
                <w:lang w:val="lt-LT"/>
              </w:rPr>
              <w:t>K</w:t>
            </w:r>
            <w:r w:rsidR="00645085" w:rsidRPr="00640D24">
              <w:rPr>
                <w:rFonts w:cs="Times New Roman"/>
                <w:sz w:val="22"/>
                <w:szCs w:val="22"/>
                <w:lang w:val="lt-LT"/>
              </w:rPr>
              <w:t>–</w:t>
            </w:r>
            <w:r w:rsidRPr="00640D24">
              <w:rPr>
                <w:rFonts w:cs="Times New Roman"/>
                <w:sz w:val="22"/>
                <w:szCs w:val="22"/>
                <w:lang w:val="lt-LT"/>
              </w:rPr>
              <w:t>837</w:t>
            </w:r>
          </w:p>
        </w:tc>
        <w:tc>
          <w:tcPr>
            <w:tcW w:w="944" w:type="pct"/>
          </w:tcPr>
          <w:p w14:paraId="28C0ECEA" w14:textId="312DEC6F" w:rsidR="00E43C42" w:rsidRPr="00640D24" w:rsidRDefault="00E43C42" w:rsidP="00D12B54">
            <w:pPr>
              <w:spacing w:after="0" w:line="240" w:lineRule="auto"/>
              <w:jc w:val="both"/>
              <w:rPr>
                <w:rFonts w:cs="Times New Roman"/>
                <w:sz w:val="22"/>
                <w:szCs w:val="22"/>
                <w:lang w:val="lt-LT"/>
              </w:rPr>
            </w:pPr>
            <w:proofErr w:type="spellStart"/>
            <w:r w:rsidRPr="00640D24">
              <w:rPr>
                <w:rFonts w:cs="Times New Roman"/>
                <w:sz w:val="22"/>
                <w:szCs w:val="22"/>
                <w:lang w:val="lt-LT"/>
              </w:rPr>
              <w:t>Eco</w:t>
            </w:r>
            <w:proofErr w:type="spellEnd"/>
            <w:r w:rsidR="00645085" w:rsidRPr="00640D24">
              <w:rPr>
                <w:rFonts w:cs="Times New Roman"/>
                <w:sz w:val="22"/>
                <w:szCs w:val="22"/>
                <w:lang w:val="lt-LT"/>
              </w:rPr>
              <w:t>–</w:t>
            </w:r>
            <w:r w:rsidRPr="00640D24">
              <w:rPr>
                <w:rFonts w:cs="Times New Roman"/>
                <w:sz w:val="22"/>
                <w:szCs w:val="22"/>
                <w:lang w:val="lt-LT"/>
              </w:rPr>
              <w:t>inovacijos LT+</w:t>
            </w:r>
          </w:p>
        </w:tc>
        <w:tc>
          <w:tcPr>
            <w:tcW w:w="2315" w:type="pct"/>
          </w:tcPr>
          <w:p w14:paraId="0C4D8B34"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 xml:space="preserve">MVĮ technologinių </w:t>
            </w:r>
            <w:proofErr w:type="spellStart"/>
            <w:r w:rsidRPr="00640D24">
              <w:rPr>
                <w:rFonts w:cs="Times New Roman"/>
                <w:sz w:val="22"/>
                <w:szCs w:val="22"/>
                <w:lang w:val="lt-LT"/>
              </w:rPr>
              <w:t>ekoinovacijų</w:t>
            </w:r>
            <w:proofErr w:type="spellEnd"/>
            <w:r w:rsidRPr="00640D24">
              <w:rPr>
                <w:rFonts w:cs="Times New Roman"/>
                <w:sz w:val="22"/>
                <w:szCs w:val="22"/>
                <w:lang w:val="lt-LT"/>
              </w:rPr>
              <w:t xml:space="preserve"> diegimas ir skatinimas. Siekiant sumažinti neigiamas klimato kaitos ir šiltnamio efekto pasekmes, numatomos investicijos į materialųjį turtą (įrenginius, technologijas), kurį įdiegus mažėja neigiamas ūkinės veiklos poveikis aplinkai, skatinama pramoninė simbiozė ir užtikrinamas tęstinis aplinkos apsaugos efektas t. y. investicijos į švaresnės gamybos inovacijas (jų įdiegimą), kuriose taikomi racionalių išteklių naudojimo ir taršos prevencijos metodai (pavyzdžiui, proceso modernizavimas (optimizavimas) tikslu sumažinti neigiamą poveikį aplinkai ir (ar) tausoti gamtos išteklius, </w:t>
            </w:r>
            <w:proofErr w:type="spellStart"/>
            <w:r w:rsidRPr="00640D24">
              <w:rPr>
                <w:rFonts w:cs="Times New Roman"/>
                <w:sz w:val="22"/>
                <w:szCs w:val="22"/>
                <w:lang w:val="lt-LT"/>
              </w:rPr>
              <w:t>beatliekinė</w:t>
            </w:r>
            <w:proofErr w:type="spellEnd"/>
            <w:r w:rsidRPr="00640D24">
              <w:rPr>
                <w:rFonts w:cs="Times New Roman"/>
                <w:sz w:val="22"/>
                <w:szCs w:val="22"/>
                <w:lang w:val="lt-LT"/>
              </w:rPr>
              <w:t xml:space="preserve"> gamyba, atliekų pakartotinis naudojimas ir (ar) perdirbimas, atliekamos šilumos panaudojimas (</w:t>
            </w:r>
            <w:proofErr w:type="spellStart"/>
            <w:r w:rsidRPr="00640D24">
              <w:rPr>
                <w:rFonts w:cs="Times New Roman"/>
                <w:sz w:val="22"/>
                <w:szCs w:val="22"/>
                <w:lang w:val="lt-LT"/>
              </w:rPr>
              <w:t>rekuperavimas</w:t>
            </w:r>
            <w:proofErr w:type="spellEnd"/>
            <w:r w:rsidRPr="00640D24">
              <w:rPr>
                <w:rFonts w:cs="Times New Roman"/>
                <w:sz w:val="22"/>
                <w:szCs w:val="22"/>
                <w:lang w:val="lt-LT"/>
              </w:rPr>
              <w:t>, regeneravimas), srautų atskyrimas kt.).</w:t>
            </w:r>
          </w:p>
        </w:tc>
        <w:tc>
          <w:tcPr>
            <w:tcW w:w="983" w:type="pct"/>
          </w:tcPr>
          <w:p w14:paraId="15E1F43A"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 xml:space="preserve"> 86.886.005 € </w:t>
            </w:r>
          </w:p>
        </w:tc>
      </w:tr>
      <w:tr w:rsidR="00E43C42" w:rsidRPr="00640D24" w14:paraId="4EB67387" w14:textId="77777777" w:rsidTr="00817C19">
        <w:tc>
          <w:tcPr>
            <w:tcW w:w="758" w:type="pct"/>
          </w:tcPr>
          <w:p w14:paraId="2DE66B05" w14:textId="2EAC18C4"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03.3.1</w:t>
            </w:r>
            <w:r w:rsidR="00645085" w:rsidRPr="00640D24">
              <w:rPr>
                <w:rFonts w:cs="Times New Roman"/>
                <w:sz w:val="22"/>
                <w:szCs w:val="22"/>
                <w:lang w:val="lt-LT"/>
              </w:rPr>
              <w:t>–</w:t>
            </w:r>
            <w:r w:rsidRPr="00640D24">
              <w:rPr>
                <w:rFonts w:cs="Times New Roman"/>
                <w:sz w:val="22"/>
                <w:szCs w:val="22"/>
                <w:lang w:val="lt-LT"/>
              </w:rPr>
              <w:t>LVPA</w:t>
            </w:r>
            <w:r w:rsidR="00645085" w:rsidRPr="00640D24">
              <w:rPr>
                <w:rFonts w:cs="Times New Roman"/>
                <w:sz w:val="22"/>
                <w:szCs w:val="22"/>
                <w:lang w:val="lt-LT"/>
              </w:rPr>
              <w:t>–</w:t>
            </w:r>
            <w:r w:rsidRPr="00640D24">
              <w:rPr>
                <w:rFonts w:cs="Times New Roman"/>
                <w:sz w:val="22"/>
                <w:szCs w:val="22"/>
                <w:lang w:val="lt-LT"/>
              </w:rPr>
              <w:t>K</w:t>
            </w:r>
            <w:r w:rsidR="00645085" w:rsidRPr="00640D24">
              <w:rPr>
                <w:rFonts w:cs="Times New Roman"/>
                <w:sz w:val="22"/>
                <w:szCs w:val="22"/>
                <w:lang w:val="lt-LT"/>
              </w:rPr>
              <w:t>–</w:t>
            </w:r>
            <w:r w:rsidRPr="00640D24">
              <w:rPr>
                <w:rFonts w:cs="Times New Roman"/>
                <w:sz w:val="22"/>
                <w:szCs w:val="22"/>
                <w:lang w:val="lt-LT"/>
              </w:rPr>
              <w:t>854</w:t>
            </w:r>
          </w:p>
        </w:tc>
        <w:tc>
          <w:tcPr>
            <w:tcW w:w="944" w:type="pct"/>
          </w:tcPr>
          <w:p w14:paraId="7BA465B2"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 xml:space="preserve">Pramonės </w:t>
            </w:r>
            <w:proofErr w:type="spellStart"/>
            <w:r w:rsidRPr="00640D24">
              <w:rPr>
                <w:rFonts w:cs="Times New Roman"/>
                <w:sz w:val="22"/>
                <w:szCs w:val="22"/>
                <w:lang w:val="lt-LT"/>
              </w:rPr>
              <w:t>skaitmeninimas</w:t>
            </w:r>
            <w:proofErr w:type="spellEnd"/>
            <w:r w:rsidRPr="00640D24">
              <w:rPr>
                <w:rFonts w:cs="Times New Roman"/>
                <w:sz w:val="22"/>
                <w:szCs w:val="22"/>
                <w:lang w:val="lt-LT"/>
              </w:rPr>
              <w:t xml:space="preserve"> LT</w:t>
            </w:r>
          </w:p>
        </w:tc>
        <w:tc>
          <w:tcPr>
            <w:tcW w:w="2315" w:type="pct"/>
          </w:tcPr>
          <w:p w14:paraId="6CDE576C"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 xml:space="preserve">Pramonės MVĮ technologinio audito, kuris yra skirtas pramonės MVĮ gamybos procesų </w:t>
            </w:r>
            <w:proofErr w:type="spellStart"/>
            <w:r w:rsidRPr="00640D24">
              <w:rPr>
                <w:rFonts w:cs="Times New Roman"/>
                <w:sz w:val="22"/>
                <w:szCs w:val="22"/>
                <w:lang w:val="lt-LT"/>
              </w:rPr>
              <w:t>skaitmeninimo</w:t>
            </w:r>
            <w:proofErr w:type="spellEnd"/>
            <w:r w:rsidRPr="00640D24">
              <w:rPr>
                <w:rFonts w:cs="Times New Roman"/>
                <w:sz w:val="22"/>
                <w:szCs w:val="22"/>
                <w:lang w:val="lt-LT"/>
              </w:rPr>
              <w:t xml:space="preserve"> galimybėms ir perspektyvoms įvertinti, atlikimas ir (arba) technologinio audito nuostatų įgyvendinimo technologinė priežiūra (technologinio konsultavimo paslaugos). Taip pat, pramonės MVĮ gamybos procesų įrangos su integruotomis </w:t>
            </w:r>
            <w:proofErr w:type="spellStart"/>
            <w:r w:rsidRPr="00640D24">
              <w:rPr>
                <w:rFonts w:cs="Times New Roman"/>
                <w:sz w:val="22"/>
                <w:szCs w:val="22"/>
                <w:lang w:val="lt-LT"/>
              </w:rPr>
              <w:t>skaitmeninimo</w:t>
            </w:r>
            <w:proofErr w:type="spellEnd"/>
            <w:r w:rsidRPr="00640D24">
              <w:rPr>
                <w:rFonts w:cs="Times New Roman"/>
                <w:sz w:val="22"/>
                <w:szCs w:val="22"/>
                <w:lang w:val="lt-LT"/>
              </w:rPr>
              <w:t xml:space="preserve"> technologijomis diegimas, remiantis atlikto technologinio audito rekomendacijomis</w:t>
            </w:r>
          </w:p>
        </w:tc>
        <w:tc>
          <w:tcPr>
            <w:tcW w:w="983" w:type="pct"/>
          </w:tcPr>
          <w:p w14:paraId="28CCAA85"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 xml:space="preserve">91.184.720 € </w:t>
            </w:r>
          </w:p>
        </w:tc>
      </w:tr>
      <w:tr w:rsidR="00E43C42" w:rsidRPr="00640D24" w14:paraId="705C4E4A" w14:textId="77777777" w:rsidTr="00817C19">
        <w:tc>
          <w:tcPr>
            <w:tcW w:w="758" w:type="pct"/>
          </w:tcPr>
          <w:p w14:paraId="487AD942" w14:textId="79839512"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03.3.1</w:t>
            </w:r>
            <w:r w:rsidR="00645085" w:rsidRPr="00640D24">
              <w:rPr>
                <w:rFonts w:cs="Times New Roman"/>
                <w:sz w:val="22"/>
                <w:szCs w:val="22"/>
                <w:lang w:val="lt-LT"/>
              </w:rPr>
              <w:t>–</w:t>
            </w:r>
            <w:r w:rsidRPr="00640D24">
              <w:rPr>
                <w:rFonts w:cs="Times New Roman"/>
                <w:sz w:val="22"/>
                <w:szCs w:val="22"/>
                <w:lang w:val="lt-LT"/>
              </w:rPr>
              <w:t>LVPA</w:t>
            </w:r>
            <w:r w:rsidR="00645085" w:rsidRPr="00640D24">
              <w:rPr>
                <w:rFonts w:cs="Times New Roman"/>
                <w:sz w:val="22"/>
                <w:szCs w:val="22"/>
                <w:lang w:val="lt-LT"/>
              </w:rPr>
              <w:t>–</w:t>
            </w:r>
            <w:r w:rsidRPr="00640D24">
              <w:rPr>
                <w:rFonts w:cs="Times New Roman"/>
                <w:sz w:val="22"/>
                <w:szCs w:val="22"/>
                <w:lang w:val="lt-LT"/>
              </w:rPr>
              <w:t>K</w:t>
            </w:r>
            <w:r w:rsidR="00645085" w:rsidRPr="00640D24">
              <w:rPr>
                <w:rFonts w:cs="Times New Roman"/>
                <w:sz w:val="22"/>
                <w:szCs w:val="22"/>
                <w:lang w:val="lt-LT"/>
              </w:rPr>
              <w:t>–</w:t>
            </w:r>
            <w:r w:rsidRPr="00640D24">
              <w:rPr>
                <w:rFonts w:cs="Times New Roman"/>
                <w:sz w:val="22"/>
                <w:szCs w:val="22"/>
                <w:lang w:val="lt-LT"/>
              </w:rPr>
              <w:t>803</w:t>
            </w:r>
          </w:p>
        </w:tc>
        <w:tc>
          <w:tcPr>
            <w:tcW w:w="944" w:type="pct"/>
          </w:tcPr>
          <w:p w14:paraId="2BEDA34D" w14:textId="77777777" w:rsidR="00E43C42" w:rsidRPr="00640D24" w:rsidRDefault="00E43C42" w:rsidP="00D12B54">
            <w:pPr>
              <w:spacing w:after="0" w:line="240" w:lineRule="auto"/>
              <w:jc w:val="both"/>
              <w:rPr>
                <w:rFonts w:cs="Times New Roman"/>
                <w:sz w:val="22"/>
                <w:szCs w:val="22"/>
                <w:lang w:val="lt-LT"/>
              </w:rPr>
            </w:pPr>
            <w:proofErr w:type="spellStart"/>
            <w:r w:rsidRPr="00640D24">
              <w:rPr>
                <w:rFonts w:cs="Times New Roman"/>
                <w:sz w:val="22"/>
                <w:szCs w:val="22"/>
                <w:lang w:val="lt-LT"/>
              </w:rPr>
              <w:t>Regio</w:t>
            </w:r>
            <w:proofErr w:type="spellEnd"/>
            <w:r w:rsidRPr="00640D24">
              <w:rPr>
                <w:rFonts w:cs="Times New Roman"/>
                <w:sz w:val="22"/>
                <w:szCs w:val="22"/>
                <w:lang w:val="lt-LT"/>
              </w:rPr>
              <w:t xml:space="preserve"> potencialas LT</w:t>
            </w:r>
          </w:p>
        </w:tc>
        <w:tc>
          <w:tcPr>
            <w:tcW w:w="2315" w:type="pct"/>
          </w:tcPr>
          <w:p w14:paraId="569E9125"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Moderniųjų technologijų diegimas MVĮ, pritaikant esamus ir kuriant naujus gamybos ir paslaugų teikimo pajėgumus naujiems ir esamiems gaminiams gaminti ir paslaugoms teikti.</w:t>
            </w:r>
          </w:p>
        </w:tc>
        <w:tc>
          <w:tcPr>
            <w:tcW w:w="983" w:type="pct"/>
          </w:tcPr>
          <w:p w14:paraId="1C331FEB" w14:textId="77777777" w:rsidR="00E43C42" w:rsidRPr="00640D24" w:rsidRDefault="00E43C42" w:rsidP="00D12B54">
            <w:pPr>
              <w:spacing w:after="0" w:line="240" w:lineRule="auto"/>
              <w:jc w:val="both"/>
              <w:rPr>
                <w:rFonts w:cs="Times New Roman"/>
                <w:sz w:val="22"/>
                <w:szCs w:val="22"/>
                <w:lang w:val="lt-LT"/>
              </w:rPr>
            </w:pPr>
          </w:p>
        </w:tc>
      </w:tr>
      <w:tr w:rsidR="00E43C42" w:rsidRPr="00640D24" w14:paraId="4F1F3D97" w14:textId="77777777" w:rsidTr="00817C19">
        <w:tc>
          <w:tcPr>
            <w:tcW w:w="758" w:type="pct"/>
          </w:tcPr>
          <w:p w14:paraId="20345782" w14:textId="11B83BD1"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03.1.1</w:t>
            </w:r>
            <w:r w:rsidR="00645085" w:rsidRPr="00640D24">
              <w:rPr>
                <w:rFonts w:cs="Times New Roman"/>
                <w:sz w:val="22"/>
                <w:szCs w:val="22"/>
                <w:lang w:val="lt-LT"/>
              </w:rPr>
              <w:t>–</w:t>
            </w:r>
            <w:r w:rsidRPr="00640D24">
              <w:rPr>
                <w:rFonts w:cs="Times New Roman"/>
                <w:sz w:val="22"/>
                <w:szCs w:val="22"/>
                <w:lang w:val="lt-LT"/>
              </w:rPr>
              <w:t>IVG</w:t>
            </w:r>
            <w:r w:rsidR="00645085" w:rsidRPr="00640D24">
              <w:rPr>
                <w:rFonts w:cs="Times New Roman"/>
                <w:sz w:val="22"/>
                <w:szCs w:val="22"/>
                <w:lang w:val="lt-LT"/>
              </w:rPr>
              <w:t>–</w:t>
            </w:r>
            <w:r w:rsidRPr="00640D24">
              <w:rPr>
                <w:rFonts w:cs="Times New Roman"/>
                <w:sz w:val="22"/>
                <w:szCs w:val="22"/>
                <w:lang w:val="lt-LT"/>
              </w:rPr>
              <w:t>T</w:t>
            </w:r>
            <w:r w:rsidR="00645085" w:rsidRPr="00640D24">
              <w:rPr>
                <w:rFonts w:cs="Times New Roman"/>
                <w:sz w:val="22"/>
                <w:szCs w:val="22"/>
                <w:lang w:val="lt-LT"/>
              </w:rPr>
              <w:t>–</w:t>
            </w:r>
            <w:r w:rsidRPr="00640D24">
              <w:rPr>
                <w:rFonts w:cs="Times New Roman"/>
                <w:sz w:val="22"/>
                <w:szCs w:val="22"/>
                <w:lang w:val="lt-LT"/>
              </w:rPr>
              <w:t>809</w:t>
            </w:r>
          </w:p>
        </w:tc>
        <w:tc>
          <w:tcPr>
            <w:tcW w:w="944" w:type="pct"/>
          </w:tcPr>
          <w:p w14:paraId="130DDBFD"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Dalinis palūkanų kompensavimas</w:t>
            </w:r>
          </w:p>
        </w:tc>
        <w:tc>
          <w:tcPr>
            <w:tcW w:w="2315" w:type="pct"/>
          </w:tcPr>
          <w:p w14:paraId="15BD3083"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Dalinis palūkanų kompensavimas SVV subjektams</w:t>
            </w:r>
          </w:p>
        </w:tc>
        <w:tc>
          <w:tcPr>
            <w:tcW w:w="983" w:type="pct"/>
          </w:tcPr>
          <w:p w14:paraId="15FABC87"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 xml:space="preserve">26.401.990 € </w:t>
            </w:r>
          </w:p>
        </w:tc>
      </w:tr>
      <w:tr w:rsidR="00E43C42" w:rsidRPr="00640D24" w14:paraId="0C9538F4" w14:textId="77777777" w:rsidTr="00817C19">
        <w:tc>
          <w:tcPr>
            <w:tcW w:w="758" w:type="pct"/>
          </w:tcPr>
          <w:p w14:paraId="7C8AACAF" w14:textId="0BD50F52"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lastRenderedPageBreak/>
              <w:t>03.3.1</w:t>
            </w:r>
            <w:r w:rsidR="00645085" w:rsidRPr="00640D24">
              <w:rPr>
                <w:rFonts w:cs="Times New Roman"/>
                <w:sz w:val="22"/>
                <w:szCs w:val="22"/>
                <w:lang w:val="lt-LT"/>
              </w:rPr>
              <w:t>–</w:t>
            </w:r>
            <w:r w:rsidRPr="00640D24">
              <w:rPr>
                <w:rFonts w:cs="Times New Roman"/>
                <w:sz w:val="22"/>
                <w:szCs w:val="22"/>
                <w:lang w:val="lt-LT"/>
              </w:rPr>
              <w:t>IVG</w:t>
            </w:r>
            <w:r w:rsidR="00645085" w:rsidRPr="00640D24">
              <w:rPr>
                <w:rFonts w:cs="Times New Roman"/>
                <w:sz w:val="22"/>
                <w:szCs w:val="22"/>
                <w:lang w:val="lt-LT"/>
              </w:rPr>
              <w:t>–</w:t>
            </w:r>
            <w:r w:rsidRPr="00640D24">
              <w:rPr>
                <w:rFonts w:cs="Times New Roman"/>
                <w:sz w:val="22"/>
                <w:szCs w:val="22"/>
                <w:lang w:val="lt-LT"/>
              </w:rPr>
              <w:t>T</w:t>
            </w:r>
            <w:r w:rsidR="00645085" w:rsidRPr="00640D24">
              <w:rPr>
                <w:rFonts w:cs="Times New Roman"/>
                <w:sz w:val="22"/>
                <w:szCs w:val="22"/>
                <w:lang w:val="lt-LT"/>
              </w:rPr>
              <w:t>–</w:t>
            </w:r>
            <w:r w:rsidRPr="00640D24">
              <w:rPr>
                <w:rFonts w:cs="Times New Roman"/>
                <w:sz w:val="22"/>
                <w:szCs w:val="22"/>
                <w:lang w:val="lt-LT"/>
              </w:rPr>
              <w:t>810</w:t>
            </w:r>
          </w:p>
        </w:tc>
        <w:tc>
          <w:tcPr>
            <w:tcW w:w="944" w:type="pct"/>
          </w:tcPr>
          <w:p w14:paraId="6F0FA5D0"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Dalinis palūkanų kompensavimas</w:t>
            </w:r>
          </w:p>
        </w:tc>
        <w:tc>
          <w:tcPr>
            <w:tcW w:w="2315" w:type="pct"/>
          </w:tcPr>
          <w:p w14:paraId="465920A9"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Dalinis palūkanų kompensavimas MVĮ</w:t>
            </w:r>
          </w:p>
        </w:tc>
        <w:tc>
          <w:tcPr>
            <w:tcW w:w="983" w:type="pct"/>
          </w:tcPr>
          <w:p w14:paraId="6446D639"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 xml:space="preserve">3.200.220 € </w:t>
            </w:r>
          </w:p>
        </w:tc>
      </w:tr>
      <w:tr w:rsidR="00E43C42" w:rsidRPr="00640D24" w14:paraId="201FB61B" w14:textId="77777777" w:rsidTr="00817C19">
        <w:tc>
          <w:tcPr>
            <w:tcW w:w="5000" w:type="pct"/>
            <w:gridSpan w:val="4"/>
          </w:tcPr>
          <w:p w14:paraId="53B69FDD" w14:textId="77777777" w:rsidR="00E43C42" w:rsidRPr="00640D24" w:rsidRDefault="00E43C42" w:rsidP="00D12B54">
            <w:pPr>
              <w:spacing w:after="0" w:line="240" w:lineRule="auto"/>
              <w:jc w:val="both"/>
              <w:rPr>
                <w:rFonts w:cs="Times New Roman"/>
                <w:b/>
                <w:bCs/>
                <w:sz w:val="22"/>
                <w:szCs w:val="22"/>
                <w:lang w:val="lt-LT"/>
              </w:rPr>
            </w:pPr>
            <w:r w:rsidRPr="00640D24">
              <w:rPr>
                <w:rFonts w:cs="Times New Roman"/>
                <w:b/>
                <w:bCs/>
                <w:sz w:val="22"/>
                <w:szCs w:val="22"/>
                <w:lang w:val="lt-LT"/>
              </w:rPr>
              <w:t>4 prioritetas. Energijos efektyvumo ir atsinaujinančių išteklių energijos gamybos ir naudojimo skatinimas</w:t>
            </w:r>
          </w:p>
        </w:tc>
      </w:tr>
      <w:tr w:rsidR="00E43C42" w:rsidRPr="00640D24" w14:paraId="21B102AE" w14:textId="77777777" w:rsidTr="00817C19">
        <w:tc>
          <w:tcPr>
            <w:tcW w:w="758" w:type="pct"/>
          </w:tcPr>
          <w:p w14:paraId="7B99F4F5" w14:textId="1A95FFEA"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04.2.1</w:t>
            </w:r>
            <w:r w:rsidR="00645085" w:rsidRPr="00640D24">
              <w:rPr>
                <w:rFonts w:cs="Times New Roman"/>
                <w:sz w:val="22"/>
                <w:szCs w:val="22"/>
                <w:lang w:val="lt-LT"/>
              </w:rPr>
              <w:t>–</w:t>
            </w:r>
            <w:r w:rsidRPr="00640D24">
              <w:rPr>
                <w:rFonts w:cs="Times New Roman"/>
                <w:sz w:val="22"/>
                <w:szCs w:val="22"/>
                <w:lang w:val="lt-LT"/>
              </w:rPr>
              <w:t>IVG</w:t>
            </w:r>
            <w:r w:rsidR="00645085" w:rsidRPr="00640D24">
              <w:rPr>
                <w:rFonts w:cs="Times New Roman"/>
                <w:sz w:val="22"/>
                <w:szCs w:val="22"/>
                <w:lang w:val="lt-LT"/>
              </w:rPr>
              <w:t>–</w:t>
            </w:r>
            <w:r w:rsidRPr="00640D24">
              <w:rPr>
                <w:rFonts w:cs="Times New Roman"/>
                <w:sz w:val="22"/>
                <w:szCs w:val="22"/>
                <w:lang w:val="lt-LT"/>
              </w:rPr>
              <w:t>T</w:t>
            </w:r>
            <w:r w:rsidR="00645085" w:rsidRPr="00640D24">
              <w:rPr>
                <w:rFonts w:cs="Times New Roman"/>
                <w:sz w:val="22"/>
                <w:szCs w:val="22"/>
                <w:lang w:val="lt-LT"/>
              </w:rPr>
              <w:t>–</w:t>
            </w:r>
            <w:r w:rsidRPr="00640D24">
              <w:rPr>
                <w:rFonts w:cs="Times New Roman"/>
                <w:sz w:val="22"/>
                <w:szCs w:val="22"/>
                <w:lang w:val="lt-LT"/>
              </w:rPr>
              <w:t>811</w:t>
            </w:r>
          </w:p>
        </w:tc>
        <w:tc>
          <w:tcPr>
            <w:tcW w:w="944" w:type="pct"/>
          </w:tcPr>
          <w:p w14:paraId="5C576253"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Dalinis palūkanų kompensavimas</w:t>
            </w:r>
          </w:p>
        </w:tc>
        <w:tc>
          <w:tcPr>
            <w:tcW w:w="2315" w:type="pct"/>
          </w:tcPr>
          <w:p w14:paraId="1F63E5CB"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Paskolų ir finansinės nuomos (lizingo) sandorių, skirtų įrangai ir technologijoms (technologiniams sprendimams), įgalinantiems didinti įmonių energijos vartojimo efektyvumą, diegti, dalinis palūkanų kompensavimas pramonės įmonėms.</w:t>
            </w:r>
          </w:p>
        </w:tc>
        <w:tc>
          <w:tcPr>
            <w:tcW w:w="983" w:type="pct"/>
          </w:tcPr>
          <w:p w14:paraId="567355D7"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700.000 €</w:t>
            </w:r>
          </w:p>
        </w:tc>
      </w:tr>
      <w:tr w:rsidR="00E43C42" w:rsidRPr="00640D24" w14:paraId="5F70D3EB" w14:textId="77777777" w:rsidTr="00817C19">
        <w:tc>
          <w:tcPr>
            <w:tcW w:w="5000" w:type="pct"/>
            <w:gridSpan w:val="4"/>
          </w:tcPr>
          <w:p w14:paraId="1EC0A46E" w14:textId="77777777" w:rsidR="00E43C42" w:rsidRPr="00640D24" w:rsidRDefault="00E43C42" w:rsidP="00D12B54">
            <w:pPr>
              <w:spacing w:after="0" w:line="240" w:lineRule="auto"/>
              <w:jc w:val="both"/>
              <w:rPr>
                <w:rFonts w:cs="Times New Roman"/>
                <w:b/>
                <w:bCs/>
                <w:sz w:val="22"/>
                <w:szCs w:val="22"/>
                <w:lang w:val="lt-LT"/>
              </w:rPr>
            </w:pPr>
            <w:r w:rsidRPr="00640D24">
              <w:rPr>
                <w:rFonts w:cs="Times New Roman"/>
                <w:b/>
                <w:bCs/>
                <w:sz w:val="22"/>
                <w:szCs w:val="22"/>
                <w:lang w:val="lt-LT"/>
              </w:rPr>
              <w:t>7 prioritetas. Kokybiško užimtumo ir dalyvavimo darbo rinkoje skatinimas</w:t>
            </w:r>
          </w:p>
        </w:tc>
      </w:tr>
      <w:tr w:rsidR="00E43C42" w:rsidRPr="00640D24" w14:paraId="0648A330" w14:textId="77777777" w:rsidTr="00817C19">
        <w:tc>
          <w:tcPr>
            <w:tcW w:w="758" w:type="pct"/>
          </w:tcPr>
          <w:p w14:paraId="067ED4E9" w14:textId="33E17E60"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07.3.3</w:t>
            </w:r>
            <w:r w:rsidR="00645085" w:rsidRPr="00640D24">
              <w:rPr>
                <w:rFonts w:cs="Times New Roman"/>
                <w:sz w:val="22"/>
                <w:szCs w:val="22"/>
                <w:lang w:val="lt-LT"/>
              </w:rPr>
              <w:t>–</w:t>
            </w:r>
            <w:r w:rsidRPr="00640D24">
              <w:rPr>
                <w:rFonts w:cs="Times New Roman"/>
                <w:sz w:val="22"/>
                <w:szCs w:val="22"/>
                <w:lang w:val="lt-LT"/>
              </w:rPr>
              <w:t>IVG</w:t>
            </w:r>
            <w:r w:rsidR="00645085" w:rsidRPr="00640D24">
              <w:rPr>
                <w:rFonts w:cs="Times New Roman"/>
                <w:sz w:val="22"/>
                <w:szCs w:val="22"/>
                <w:lang w:val="lt-LT"/>
              </w:rPr>
              <w:t>–</w:t>
            </w:r>
            <w:r w:rsidRPr="00640D24">
              <w:rPr>
                <w:rFonts w:cs="Times New Roman"/>
                <w:sz w:val="22"/>
                <w:szCs w:val="22"/>
                <w:lang w:val="lt-LT"/>
              </w:rPr>
              <w:t>T</w:t>
            </w:r>
            <w:r w:rsidR="00645085" w:rsidRPr="00640D24">
              <w:rPr>
                <w:rFonts w:cs="Times New Roman"/>
                <w:sz w:val="22"/>
                <w:szCs w:val="22"/>
                <w:lang w:val="lt-LT"/>
              </w:rPr>
              <w:t>–</w:t>
            </w:r>
            <w:r w:rsidRPr="00640D24">
              <w:rPr>
                <w:rFonts w:cs="Times New Roman"/>
                <w:sz w:val="22"/>
                <w:szCs w:val="22"/>
                <w:lang w:val="lt-LT"/>
              </w:rPr>
              <w:t>428</w:t>
            </w:r>
          </w:p>
        </w:tc>
        <w:tc>
          <w:tcPr>
            <w:tcW w:w="944" w:type="pct"/>
          </w:tcPr>
          <w:p w14:paraId="4ABAAFC2"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Subsidijos verslo pradžiai</w:t>
            </w:r>
          </w:p>
        </w:tc>
        <w:tc>
          <w:tcPr>
            <w:tcW w:w="2315" w:type="pct"/>
          </w:tcPr>
          <w:p w14:paraId="76F57965" w14:textId="6CB9F094" w:rsidR="00E43C42" w:rsidRPr="00640D24" w:rsidRDefault="00E43C42" w:rsidP="00D12B54">
            <w:pPr>
              <w:spacing w:after="0" w:line="240" w:lineRule="auto"/>
              <w:rPr>
                <w:rFonts w:cs="Times New Roman"/>
                <w:sz w:val="22"/>
                <w:szCs w:val="22"/>
                <w:lang w:val="lt-LT"/>
              </w:rPr>
            </w:pPr>
            <w:r w:rsidRPr="00640D24">
              <w:rPr>
                <w:rFonts w:cs="Times New Roman"/>
                <w:sz w:val="22"/>
                <w:szCs w:val="22"/>
                <w:lang w:val="lt-LT"/>
              </w:rPr>
              <w:t>Dalinis darbuotojo (</w:t>
            </w:r>
            <w:r w:rsidR="00645085" w:rsidRPr="00640D24">
              <w:rPr>
                <w:rFonts w:cs="Times New Roman"/>
                <w:sz w:val="22"/>
                <w:szCs w:val="22"/>
                <w:lang w:val="lt-LT"/>
              </w:rPr>
              <w:t>–</w:t>
            </w:r>
            <w:r w:rsidRPr="00640D24">
              <w:rPr>
                <w:rFonts w:cs="Times New Roman"/>
                <w:sz w:val="22"/>
                <w:szCs w:val="22"/>
                <w:lang w:val="lt-LT"/>
              </w:rPr>
              <w:t xml:space="preserve">ų) darbo užmokesčio išlaidų kompensavimas tiems verslo subjektams, kurie yra gavę finansavimą (paskolą) pagal </w:t>
            </w:r>
            <w:r w:rsidR="00194E80" w:rsidRPr="00640D24">
              <w:rPr>
                <w:rFonts w:cs="Times New Roman"/>
                <w:sz w:val="22"/>
                <w:szCs w:val="22"/>
                <w:lang w:val="lt-LT"/>
              </w:rPr>
              <w:t>FP</w:t>
            </w:r>
            <w:r w:rsidRPr="00640D24">
              <w:rPr>
                <w:rFonts w:cs="Times New Roman"/>
                <w:sz w:val="22"/>
                <w:szCs w:val="22"/>
                <w:lang w:val="lt-LT"/>
              </w:rPr>
              <w:t xml:space="preserve"> „Verslumo skatinimas 2014–2020“ (toliau – paskolos gavėjai pagal </w:t>
            </w:r>
            <w:r w:rsidR="00194E80" w:rsidRPr="00640D24">
              <w:rPr>
                <w:rFonts w:cs="Times New Roman"/>
                <w:sz w:val="22"/>
                <w:szCs w:val="22"/>
                <w:lang w:val="lt-LT"/>
              </w:rPr>
              <w:t>FP</w:t>
            </w:r>
            <w:r w:rsidRPr="00640D24">
              <w:rPr>
                <w:rFonts w:cs="Times New Roman"/>
                <w:sz w:val="22"/>
                <w:szCs w:val="22"/>
                <w:lang w:val="lt-LT"/>
              </w:rPr>
              <w:t xml:space="preserve"> „Verslumo skatinimas 2014–2020“).</w:t>
            </w:r>
          </w:p>
        </w:tc>
        <w:tc>
          <w:tcPr>
            <w:tcW w:w="983" w:type="pct"/>
          </w:tcPr>
          <w:p w14:paraId="423F0251" w14:textId="77777777" w:rsidR="00E43C42" w:rsidRPr="00640D24" w:rsidRDefault="00E43C42" w:rsidP="00D12B54">
            <w:pPr>
              <w:spacing w:after="0" w:line="240" w:lineRule="auto"/>
              <w:jc w:val="both"/>
              <w:rPr>
                <w:rFonts w:eastAsia="Times New Roman" w:cs="Times New Roman"/>
                <w:sz w:val="22"/>
                <w:szCs w:val="22"/>
                <w:lang w:val="lt-LT"/>
              </w:rPr>
            </w:pPr>
            <w:r w:rsidRPr="00640D24">
              <w:rPr>
                <w:rFonts w:cs="Times New Roman"/>
                <w:sz w:val="22"/>
                <w:szCs w:val="22"/>
                <w:lang w:val="lt-LT"/>
              </w:rPr>
              <w:t xml:space="preserve">8.000.000 € </w:t>
            </w:r>
          </w:p>
        </w:tc>
      </w:tr>
    </w:tbl>
    <w:p w14:paraId="5A99FF66" w14:textId="35E9DCEB" w:rsidR="00677AA6" w:rsidRPr="00640D24" w:rsidRDefault="00E43C42" w:rsidP="00D12B54">
      <w:pPr>
        <w:spacing w:before="60" w:after="60" w:line="240" w:lineRule="auto"/>
        <w:rPr>
          <w:rFonts w:cs="Times New Roman"/>
          <w:sz w:val="18"/>
          <w:szCs w:val="18"/>
        </w:rPr>
        <w:sectPr w:rsidR="00677AA6" w:rsidRPr="00640D24" w:rsidSect="001900B4">
          <w:pgSz w:w="11906" w:h="16838"/>
          <w:pgMar w:top="1701" w:right="567" w:bottom="1134" w:left="1701" w:header="567" w:footer="567" w:gutter="0"/>
          <w:cols w:space="1296"/>
          <w:docGrid w:linePitch="360"/>
        </w:sectPr>
      </w:pPr>
      <w:r w:rsidRPr="00640D24">
        <w:rPr>
          <w:rFonts w:cs="Times New Roman"/>
          <w:sz w:val="18"/>
          <w:szCs w:val="18"/>
        </w:rPr>
        <w:t xml:space="preserve">*Sudaryta Vertintojų (parengta pagal 2020 m. lapkričio 16 d. </w:t>
      </w:r>
      <w:proofErr w:type="spellStart"/>
      <w:r w:rsidRPr="00640D24">
        <w:rPr>
          <w:rFonts w:cs="Times New Roman"/>
          <w:i/>
          <w:iCs/>
          <w:sz w:val="18"/>
          <w:szCs w:val="18"/>
        </w:rPr>
        <w:t>esinvesticijos.lt</w:t>
      </w:r>
      <w:proofErr w:type="spellEnd"/>
      <w:r w:rsidRPr="00640D24">
        <w:rPr>
          <w:rFonts w:cs="Times New Roman"/>
          <w:sz w:val="18"/>
          <w:szCs w:val="18"/>
        </w:rPr>
        <w:t xml:space="preserve"> duomen</w:t>
      </w:r>
      <w:r w:rsidR="00677D24" w:rsidRPr="00640D24">
        <w:rPr>
          <w:rFonts w:cs="Times New Roman"/>
          <w:sz w:val="18"/>
          <w:szCs w:val="18"/>
        </w:rPr>
        <w:t>is</w:t>
      </w:r>
      <w:r w:rsidR="00CF6FAB" w:rsidRPr="00640D24">
        <w:rPr>
          <w:rFonts w:cs="Times New Roman"/>
          <w:sz w:val="18"/>
          <w:szCs w:val="18"/>
        </w:rPr>
        <w:t>)</w:t>
      </w:r>
    </w:p>
    <w:p w14:paraId="291DFF46" w14:textId="6BFFF178" w:rsidR="0085262D" w:rsidRPr="00640D24" w:rsidRDefault="007223C0" w:rsidP="00131D1C">
      <w:pPr>
        <w:pStyle w:val="Antrat1"/>
        <w:spacing w:before="120" w:after="60" w:line="240" w:lineRule="auto"/>
        <w:rPr>
          <w:rFonts w:ascii="Times New Roman" w:hAnsi="Times New Roman" w:cs="Times New Roman"/>
          <w:b/>
          <w:bCs/>
          <w:color w:val="auto"/>
          <w:sz w:val="28"/>
          <w:szCs w:val="28"/>
        </w:rPr>
      </w:pPr>
      <w:bookmarkStart w:id="123" w:name="_Toc146812410"/>
      <w:r w:rsidRPr="00640D24">
        <w:rPr>
          <w:rFonts w:ascii="Times New Roman" w:hAnsi="Times New Roman" w:cs="Times New Roman"/>
          <w:b/>
          <w:bCs/>
          <w:color w:val="auto"/>
          <w:sz w:val="28"/>
          <w:szCs w:val="28"/>
        </w:rPr>
        <w:lastRenderedPageBreak/>
        <w:t>4</w:t>
      </w:r>
      <w:r w:rsidR="0085262D" w:rsidRPr="00640D24">
        <w:rPr>
          <w:rFonts w:ascii="Times New Roman" w:hAnsi="Times New Roman" w:cs="Times New Roman"/>
          <w:b/>
          <w:bCs/>
          <w:color w:val="auto"/>
          <w:sz w:val="28"/>
          <w:szCs w:val="28"/>
        </w:rPr>
        <w:t xml:space="preserve"> priedas. SVV subjektų apklausos rezultatai</w:t>
      </w:r>
      <w:bookmarkEnd w:id="123"/>
    </w:p>
    <w:p w14:paraId="7ED6DE2B" w14:textId="77777777" w:rsidR="0085262D" w:rsidRPr="00640D24" w:rsidRDefault="0085262D" w:rsidP="0085262D">
      <w:pPr>
        <w:spacing w:before="60" w:after="60" w:line="240" w:lineRule="auto"/>
        <w:ind w:firstLine="567"/>
        <w:jc w:val="both"/>
        <w:rPr>
          <w:rFonts w:cs="Times New Roman"/>
          <w:sz w:val="22"/>
          <w:szCs w:val="22"/>
        </w:rPr>
      </w:pPr>
      <w:r w:rsidRPr="00640D24">
        <w:rPr>
          <w:rFonts w:cs="Times New Roman"/>
          <w:sz w:val="22"/>
          <w:szCs w:val="22"/>
        </w:rPr>
        <w:t xml:space="preserve">2019 m. rudenį </w:t>
      </w:r>
      <w:proofErr w:type="spellStart"/>
      <w:r w:rsidRPr="00640D24">
        <w:rPr>
          <w:rFonts w:cs="Times New Roman"/>
          <w:sz w:val="22"/>
          <w:szCs w:val="22"/>
        </w:rPr>
        <w:t>PwC</w:t>
      </w:r>
      <w:proofErr w:type="spellEnd"/>
      <w:r w:rsidRPr="00640D24">
        <w:rPr>
          <w:rFonts w:cs="Times New Roman"/>
          <w:sz w:val="22"/>
          <w:szCs w:val="22"/>
        </w:rPr>
        <w:t xml:space="preserve"> atliko SVV subjektų apklausą, kurioje iš 10,6 tūkst. pakviestų SVV subjektų dalyvavo 430. Pagrindinis SVV subjektų apklausos tikslas – išsiaiškinti kaip rinkos dalyviai vertina išorinio verslo finansavimo prieinamumą Lietuvoje. </w:t>
      </w:r>
    </w:p>
    <w:p w14:paraId="14160B3D" w14:textId="4E8C8980" w:rsidR="0085262D" w:rsidRPr="00640D24" w:rsidRDefault="00E5629E" w:rsidP="0085262D">
      <w:pPr>
        <w:spacing w:before="60" w:after="60" w:line="240" w:lineRule="auto"/>
        <w:ind w:firstLine="567"/>
        <w:jc w:val="both"/>
        <w:rPr>
          <w:rFonts w:cs="Times New Roman"/>
          <w:sz w:val="22"/>
          <w:szCs w:val="22"/>
        </w:rPr>
      </w:pPr>
      <w:r w:rsidRPr="00640D24">
        <w:rPr>
          <w:rFonts w:cs="Times New Roman"/>
          <w:noProof/>
          <w:sz w:val="20"/>
          <w:lang w:eastAsia="lt-LT"/>
        </w:rPr>
        <w:drawing>
          <wp:anchor distT="0" distB="0" distL="114300" distR="114300" simplePos="0" relativeHeight="251658249" behindDoc="0" locked="0" layoutInCell="1" allowOverlap="1" wp14:anchorId="0B045EB4" wp14:editId="4FA0E976">
            <wp:simplePos x="0" y="0"/>
            <wp:positionH relativeFrom="margin">
              <wp:posOffset>-6985</wp:posOffset>
            </wp:positionH>
            <wp:positionV relativeFrom="paragraph">
              <wp:posOffset>748665</wp:posOffset>
            </wp:positionV>
            <wp:extent cx="6130925" cy="2006600"/>
            <wp:effectExtent l="0" t="0" r="3175" b="0"/>
            <wp:wrapSquare wrapText="bothSides"/>
            <wp:docPr id="6" name="Chart 6">
              <a:extLst xmlns:a="http://schemas.openxmlformats.org/drawingml/2006/main">
                <a:ext uri="{FF2B5EF4-FFF2-40B4-BE49-F238E27FC236}">
                  <a16:creationId xmlns:a16="http://schemas.microsoft.com/office/drawing/2014/main" id="{66408161-ADB2-4A06-B340-0B80558F26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85262D" w:rsidRPr="00640D24">
        <w:rPr>
          <w:rFonts w:cs="Times New Roman"/>
          <w:noProof/>
          <w:lang w:eastAsia="lt-LT"/>
        </w:rPr>
        <mc:AlternateContent>
          <mc:Choice Requires="wps">
            <w:drawing>
              <wp:anchor distT="0" distB="0" distL="114300" distR="114300" simplePos="0" relativeHeight="251658251" behindDoc="1" locked="0" layoutInCell="1" allowOverlap="1" wp14:anchorId="3F92A13F" wp14:editId="6B292709">
                <wp:simplePos x="0" y="0"/>
                <wp:positionH relativeFrom="margin">
                  <wp:posOffset>4445</wp:posOffset>
                </wp:positionH>
                <wp:positionV relativeFrom="paragraph">
                  <wp:posOffset>2815037</wp:posOffset>
                </wp:positionV>
                <wp:extent cx="6115685" cy="225425"/>
                <wp:effectExtent l="0" t="0" r="0" b="3175"/>
                <wp:wrapTight wrapText="bothSides">
                  <wp:wrapPolygon edited="0">
                    <wp:start x="0" y="0"/>
                    <wp:lineTo x="0" y="20079"/>
                    <wp:lineTo x="21530" y="20079"/>
                    <wp:lineTo x="21530"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6115685" cy="225425"/>
                        </a:xfrm>
                        <a:prstGeom prst="rect">
                          <a:avLst/>
                        </a:prstGeom>
                        <a:solidFill>
                          <a:prstClr val="white"/>
                        </a:solidFill>
                        <a:ln>
                          <a:noFill/>
                        </a:ln>
                      </wps:spPr>
                      <wps:txbx>
                        <w:txbxContent>
                          <w:p w14:paraId="05FB889B" w14:textId="7FDAD0CE" w:rsidR="00EC688C" w:rsidRPr="00C544DD" w:rsidRDefault="00EC688C" w:rsidP="0085262D">
                            <w:pPr>
                              <w:pStyle w:val="Antrat"/>
                              <w:ind w:firstLine="0"/>
                              <w:jc w:val="both"/>
                              <w:rPr>
                                <w:b w:val="0"/>
                                <w:bCs w:val="0"/>
                                <w:i/>
                                <w:iCs/>
                                <w:color w:val="auto"/>
                                <w:sz w:val="18"/>
                                <w:szCs w:val="22"/>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9</w:t>
                            </w:r>
                            <w:r w:rsidRPr="00C544DD">
                              <w:rPr>
                                <w:b w:val="0"/>
                                <w:bCs w:val="0"/>
                                <w:i/>
                                <w:iCs/>
                                <w:color w:val="auto"/>
                                <w:sz w:val="22"/>
                                <w:szCs w:val="16"/>
                              </w:rPr>
                              <w:t>. Dėl kokio dydžio išorinio verslo finansavimo esate kreipęsi</w:t>
                            </w:r>
                            <w:r>
                              <w:rPr>
                                <w:b w:val="0"/>
                                <w:bCs w:val="0"/>
                                <w:i/>
                                <w:iCs/>
                                <w:color w:val="auto"/>
                                <w:sz w:val="22"/>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2A13F" id="Text Box 5" o:spid="_x0000_s1033" type="#_x0000_t202" style="position:absolute;left:0;text-align:left;margin-left:.35pt;margin-top:221.65pt;width:481.55pt;height:17.75pt;z-index:-2516582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" stroked="f">
                <v:textbox inset="0,0,0,0">
                  <w:txbxContent>
                    <w:p w14:paraId="05FB889B" w14:textId="7FDAD0CE" w:rsidR="00EC688C" w:rsidRPr="00C544DD" w:rsidRDefault="00EC688C" w:rsidP="0085262D">
                      <w:pPr>
                        <w:pStyle w:val="Antrat"/>
                        <w:ind w:firstLine="0"/>
                        <w:jc w:val="both"/>
                        <w:rPr>
                          <w:b w:val="0"/>
                          <w:bCs w:val="0"/>
                          <w:i/>
                          <w:iCs/>
                          <w:color w:val="auto"/>
                          <w:sz w:val="18"/>
                          <w:szCs w:val="22"/>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9</w:t>
                      </w:r>
                      <w:r w:rsidRPr="00C544DD">
                        <w:rPr>
                          <w:b w:val="0"/>
                          <w:bCs w:val="0"/>
                          <w:i/>
                          <w:iCs/>
                          <w:color w:val="auto"/>
                          <w:sz w:val="22"/>
                          <w:szCs w:val="16"/>
                        </w:rPr>
                        <w:t>. Dėl kokio dydžio išorinio verslo finansavimo esate kreipęsi</w:t>
                      </w:r>
                      <w:r>
                        <w:rPr>
                          <w:b w:val="0"/>
                          <w:bCs w:val="0"/>
                          <w:i/>
                          <w:iCs/>
                          <w:color w:val="auto"/>
                          <w:sz w:val="22"/>
                          <w:szCs w:val="16"/>
                        </w:rPr>
                        <w:t>?</w:t>
                      </w:r>
                    </w:p>
                  </w:txbxContent>
                </v:textbox>
                <w10:wrap type="tight" anchorx="margin"/>
              </v:shape>
            </w:pict>
          </mc:Fallback>
        </mc:AlternateContent>
      </w:r>
      <w:r w:rsidR="0085262D" w:rsidRPr="00640D24">
        <w:rPr>
          <w:rFonts w:cs="Times New Roman"/>
          <w:sz w:val="22"/>
          <w:szCs w:val="22"/>
        </w:rPr>
        <w:t>64 proc. respondentų teigė, kad 2017</w:t>
      </w:r>
      <w:r w:rsidR="004543DE" w:rsidRPr="00640D24">
        <w:rPr>
          <w:rFonts w:cs="Times New Roman"/>
          <w:sz w:val="22"/>
          <w:szCs w:val="22"/>
        </w:rPr>
        <w:t>–</w:t>
      </w:r>
      <w:r w:rsidR="0085262D" w:rsidRPr="00640D24">
        <w:rPr>
          <w:rFonts w:cs="Times New Roman"/>
          <w:sz w:val="22"/>
          <w:szCs w:val="22"/>
        </w:rPr>
        <w:t>2019 m. verslui buvo reikalingas išorinis finansavimas, iš kurių 2017</w:t>
      </w:r>
      <w:r w:rsidR="004543DE" w:rsidRPr="00640D24">
        <w:rPr>
          <w:rFonts w:cs="Times New Roman"/>
          <w:sz w:val="22"/>
          <w:szCs w:val="22"/>
        </w:rPr>
        <w:t>–</w:t>
      </w:r>
      <w:r w:rsidR="0085262D" w:rsidRPr="00640D24">
        <w:rPr>
          <w:rFonts w:cs="Times New Roman"/>
          <w:sz w:val="22"/>
          <w:szCs w:val="22"/>
        </w:rPr>
        <w:t xml:space="preserve">2019 metų laikotarpiu, 56 proc. apklaustųjų kreipėsi į FĮ (bankus, KU ir kt.), 25 proc. – į ES SF paramos į administruojančias įstaigas ir (ar) į valstybės institucijas dėl subsidijų, 7 proc. – į RKF fondus, 6 proc. – į verslo angelus, 5 proc. – į </w:t>
      </w:r>
      <w:proofErr w:type="spellStart"/>
      <w:r w:rsidR="0085262D" w:rsidRPr="00640D24">
        <w:rPr>
          <w:rFonts w:cs="Times New Roman"/>
          <w:sz w:val="22"/>
          <w:szCs w:val="22"/>
        </w:rPr>
        <w:t>akceleravimo</w:t>
      </w:r>
      <w:proofErr w:type="spellEnd"/>
      <w:r w:rsidR="0085262D" w:rsidRPr="00640D24">
        <w:rPr>
          <w:rFonts w:cs="Times New Roman"/>
          <w:sz w:val="22"/>
          <w:szCs w:val="22"/>
        </w:rPr>
        <w:t xml:space="preserve"> fondus, 1 proc. – į mokslo ir studijų institucijas.</w:t>
      </w:r>
    </w:p>
    <w:p w14:paraId="2CB9E121" w14:textId="77777777" w:rsidR="0085262D" w:rsidRPr="00640D24" w:rsidRDefault="0085262D" w:rsidP="0085262D">
      <w:pPr>
        <w:spacing w:before="60" w:after="60" w:line="240" w:lineRule="auto"/>
        <w:ind w:firstLine="567"/>
        <w:jc w:val="both"/>
        <w:rPr>
          <w:rFonts w:cs="Times New Roman"/>
          <w:lang w:eastAsia="lt-LT"/>
        </w:rPr>
      </w:pPr>
      <w:r w:rsidRPr="00640D24">
        <w:rPr>
          <w:rFonts w:cs="Times New Roman"/>
          <w:sz w:val="22"/>
          <w:szCs w:val="22"/>
          <w:lang w:eastAsia="lt-LT"/>
        </w:rPr>
        <w:t xml:space="preserve">51 proc. visų apklausoje dalyvavusių respondentų atsakė, kad išorinį verslo finansavimą naudojo investicijoms, 35 proc. – apyvartai. 14 proc. – prašyto finansavimo negavo arba nenurodė finansavimo panaudojimo tikslo. Remiantis apklausos duomenimis, pastebėtina, kad didesnio nei 1,5 mln. </w:t>
      </w:r>
      <w:proofErr w:type="spellStart"/>
      <w:r w:rsidRPr="00640D24">
        <w:rPr>
          <w:rFonts w:cs="Times New Roman"/>
          <w:sz w:val="22"/>
          <w:szCs w:val="22"/>
          <w:lang w:eastAsia="lt-LT"/>
        </w:rPr>
        <w:t>Eur</w:t>
      </w:r>
      <w:proofErr w:type="spellEnd"/>
      <w:r w:rsidRPr="00640D24">
        <w:rPr>
          <w:rFonts w:cs="Times New Roman"/>
          <w:sz w:val="22"/>
          <w:szCs w:val="22"/>
          <w:lang w:eastAsia="lt-LT"/>
        </w:rPr>
        <w:t xml:space="preserve"> finansavimo prašymai yra labai reti tarp SVV subjektų. Matoma, kad daugiausia respondentų kreipėsi dėl išorinio verslo finansavimo 50–150 tūkst. </w:t>
      </w:r>
      <w:proofErr w:type="spellStart"/>
      <w:r w:rsidRPr="00640D24">
        <w:rPr>
          <w:rFonts w:cs="Times New Roman"/>
          <w:sz w:val="22"/>
          <w:szCs w:val="22"/>
          <w:lang w:eastAsia="lt-LT"/>
        </w:rPr>
        <w:t>Eur</w:t>
      </w:r>
      <w:proofErr w:type="spellEnd"/>
      <w:r w:rsidRPr="00640D24">
        <w:rPr>
          <w:rFonts w:cs="Times New Roman"/>
          <w:sz w:val="22"/>
          <w:szCs w:val="22"/>
          <w:lang w:eastAsia="lt-LT"/>
        </w:rPr>
        <w:t xml:space="preserve"> dydžio apyvartos finansavimo tikslais (žr. Paveikslą Nr. 3)</w:t>
      </w:r>
      <w:r w:rsidRPr="00640D24">
        <w:rPr>
          <w:rFonts w:cs="Times New Roman"/>
          <w:lang w:eastAsia="lt-LT"/>
        </w:rPr>
        <w:t>.</w:t>
      </w:r>
    </w:p>
    <w:p w14:paraId="71FE6AC7" w14:textId="76DFE1D7" w:rsidR="0085262D" w:rsidRPr="00640D24" w:rsidRDefault="0085262D" w:rsidP="0085262D">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 xml:space="preserve">SVV subjektai apklausoje nurodė, kad finansavimas nebuvo suteiktas arba buvo suteiktas mažesnis nei prašytas 44 proc. atvejų dėl užstato trūkumo, o 27 proc. atsakiusiųjų SVV subjektų nurodė tokias finansavimo paraiškų atmetimo priežastis, kaip investuotojo nekompetencija ir žinių trūkumas, rizikingas ir ankstyvos stadijos projektas ir kt. Tuo tarpu FT išskiria tokias pagrindines finansavimo nesuteikimo priežastis: rinkoje įsitvirtinusių įmonių investicijų į plėtrą atveju – nepakankami finansiniai rodikliai ir kapitalo trūkumas; aukštos rizikos, t. y. </w:t>
      </w:r>
      <w:proofErr w:type="spellStart"/>
      <w:r w:rsidRPr="00640D24">
        <w:rPr>
          <w:rFonts w:cs="Times New Roman"/>
          <w:sz w:val="22"/>
          <w:szCs w:val="22"/>
        </w:rPr>
        <w:t>startuolių</w:t>
      </w:r>
      <w:proofErr w:type="spellEnd"/>
      <w:r w:rsidRPr="00640D24">
        <w:rPr>
          <w:rFonts w:cs="Times New Roman"/>
          <w:sz w:val="22"/>
          <w:szCs w:val="22"/>
        </w:rPr>
        <w:t xml:space="preserve"> ir/</w:t>
      </w:r>
      <w:r w:rsidR="00A233E3" w:rsidRPr="00640D24">
        <w:rPr>
          <w:rFonts w:cs="Times New Roman"/>
          <w:sz w:val="22"/>
          <w:szCs w:val="22"/>
        </w:rPr>
        <w:t xml:space="preserve"> </w:t>
      </w:r>
      <w:r w:rsidRPr="00640D24">
        <w:rPr>
          <w:rFonts w:cs="Times New Roman"/>
          <w:sz w:val="22"/>
          <w:szCs w:val="22"/>
        </w:rPr>
        <w:t xml:space="preserve">ar MTEPI veiklų atveju – kompetencijų, aiškios verslo vizijos trūkumas ir per didelė rizika, tenkanti FT. 50 proc. respondentų mano, kad išorinio verslo finansavimo prieinamumas yra vidutiniškas, 47 proc. – kad žemas, ir tik 3 proc. apklaustųjų nuomone, išorinio finansavimo prieinamumas yra pakankamas ir tenkina Lietuvos verslo įmonių poreikius. </w:t>
      </w:r>
    </w:p>
    <w:p w14:paraId="51927935" w14:textId="344F5773" w:rsidR="00131D1C" w:rsidRPr="00640D24" w:rsidRDefault="0085262D" w:rsidP="00131D1C">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Daugiau nei pusė apklaustų SVV subjektų siekia plėsti savo veiklą, gerinti egzistuojančią įrangą (tame tarpe ir programinę įrangą) ar kitą naudojamą infrastruktūrą ir veiklos sąlygas, didinti produktyvumą, ieškoti naujų pardavimo kanalų ir klientų. COVID</w:t>
      </w:r>
      <w:r w:rsidR="00645085" w:rsidRPr="00640D24">
        <w:rPr>
          <w:rFonts w:cs="Times New Roman"/>
          <w:sz w:val="22"/>
          <w:szCs w:val="22"/>
        </w:rPr>
        <w:t>–</w:t>
      </w:r>
      <w:r w:rsidRPr="00640D24">
        <w:rPr>
          <w:rFonts w:cs="Times New Roman"/>
          <w:sz w:val="22"/>
          <w:szCs w:val="22"/>
        </w:rPr>
        <w:t>19 pandemija sustabdė daugelio įmonių plėtros ir investicijų planus, taigi galima daryti prielaidą, kad planuojamoms SVV subjektų investicijoms bus reikalingas išorinis finansavimas. Apklausos metu gauti rezultatai rodo, kad investicijų paklausa yra didelė ir ateityje yra rekomenduojama didinti išorinio finansavimo prieinamumą. 2019 m. atliktos SVV subjektų apklausos analizė padėjo įvertinti kokia dalis SVV subjektų planuoja įgyvendinti investicijas, į kokius FT įmonės planuoja kreiptis dėl išorinio finansavimo suteikimo, kokio dydžio investicijos yra reikalingos, ar planuoja įgyvendinti investicijas tam tikrose srityje (šiuo atveju MTEP) ir kaip vertina išorinio finansavimo prieinamumą Lietuvoje. Gauti duomenys, analizuojami skirtingais pjūviais (pagal įmonės veiklos sritį; pagal įmonės veiklos geografiją; pagal įmonės veiklos trukmę), yra reikšmingi apskaičiuojant finansavimo trūkumą.</w:t>
      </w:r>
    </w:p>
    <w:p w14:paraId="59CF0DA1" w14:textId="77777777" w:rsidR="00131D1C" w:rsidRPr="00640D24" w:rsidRDefault="00131D1C" w:rsidP="00131D1C">
      <w:pPr>
        <w:autoSpaceDE w:val="0"/>
        <w:autoSpaceDN w:val="0"/>
        <w:adjustRightInd w:val="0"/>
        <w:spacing w:before="60" w:after="60" w:line="240" w:lineRule="auto"/>
        <w:ind w:firstLine="567"/>
        <w:jc w:val="both"/>
        <w:rPr>
          <w:rFonts w:cs="Times New Roman"/>
          <w:sz w:val="22"/>
          <w:szCs w:val="22"/>
        </w:rPr>
      </w:pPr>
    </w:p>
    <w:p w14:paraId="474A5848" w14:textId="7B40C52F" w:rsidR="0058438E" w:rsidRPr="00640D24" w:rsidRDefault="0079110F" w:rsidP="00131D1C">
      <w:pPr>
        <w:pStyle w:val="Antrat1"/>
        <w:spacing w:before="60" w:after="60" w:line="240" w:lineRule="auto"/>
        <w:rPr>
          <w:rFonts w:ascii="Times New Roman" w:hAnsi="Times New Roman" w:cs="Times New Roman"/>
          <w:b/>
          <w:bCs/>
          <w:color w:val="auto"/>
          <w:sz w:val="28"/>
          <w:szCs w:val="28"/>
        </w:rPr>
      </w:pPr>
      <w:bookmarkStart w:id="124" w:name="_Toc146812411"/>
      <w:r w:rsidRPr="00640D24">
        <w:rPr>
          <w:rFonts w:ascii="Times New Roman" w:hAnsi="Times New Roman" w:cs="Times New Roman"/>
          <w:b/>
          <w:bCs/>
          <w:color w:val="auto"/>
          <w:sz w:val="28"/>
          <w:szCs w:val="28"/>
        </w:rPr>
        <w:lastRenderedPageBreak/>
        <w:t>5</w:t>
      </w:r>
      <w:r w:rsidR="00AB57C2" w:rsidRPr="00640D24">
        <w:rPr>
          <w:rFonts w:ascii="Times New Roman" w:hAnsi="Times New Roman" w:cs="Times New Roman"/>
          <w:b/>
          <w:bCs/>
          <w:color w:val="auto"/>
          <w:sz w:val="28"/>
          <w:szCs w:val="28"/>
        </w:rPr>
        <w:t xml:space="preserve"> priedas. MVĮ apklausos rezultatai</w:t>
      </w:r>
      <w:bookmarkEnd w:id="124"/>
    </w:p>
    <w:p w14:paraId="663B5AE8" w14:textId="709DF9BB" w:rsidR="009F5241" w:rsidRPr="00640D24" w:rsidRDefault="009F5241" w:rsidP="00344FB7">
      <w:pPr>
        <w:spacing w:before="60" w:after="60" w:line="240" w:lineRule="auto"/>
        <w:ind w:firstLine="567"/>
        <w:jc w:val="both"/>
        <w:rPr>
          <w:sz w:val="22"/>
        </w:rPr>
      </w:pPr>
      <w:r w:rsidRPr="00640D24">
        <w:rPr>
          <w:sz w:val="22"/>
        </w:rPr>
        <w:t>Verslo subjektų planuojamų investicijų paklausai bei finansavimo poreikiui nustatyti buvo atlikta reprezentatyvi Lietuvos verslo subjektų apklausa, vykdyta 2023 m. liepos 3 d.</w:t>
      </w:r>
      <w:r w:rsidR="00987A20" w:rsidRPr="00640D24">
        <w:rPr>
          <w:sz w:val="22"/>
        </w:rPr>
        <w:t xml:space="preserve"> </w:t>
      </w:r>
      <w:r w:rsidRPr="00640D24">
        <w:rPr>
          <w:sz w:val="22"/>
        </w:rPr>
        <w:t>– 2023 m. liepos 13 d. Apklausos metu buvo apklausti 300 verslo subjektai, veikiantys apdirbamosios gamybos sektoriuje. Apklausą Vertintojų užsakymu įvykdė tyrimų bendrovė „Norstat“.</w:t>
      </w:r>
    </w:p>
    <w:p w14:paraId="0E1B7404" w14:textId="56CF636D" w:rsidR="009F5241" w:rsidRPr="00640D24" w:rsidRDefault="009F5241" w:rsidP="00344FB7">
      <w:pPr>
        <w:spacing w:before="60" w:after="60" w:line="240" w:lineRule="auto"/>
        <w:ind w:firstLine="567"/>
        <w:jc w:val="both"/>
        <w:rPr>
          <w:rFonts w:cs="Times New Roman"/>
          <w:sz w:val="22"/>
        </w:rPr>
      </w:pPr>
      <w:r w:rsidRPr="00640D24">
        <w:rPr>
          <w:rFonts w:cs="Times New Roman"/>
          <w:sz w:val="22"/>
        </w:rPr>
        <w:t xml:space="preserve">Vykdytos apklausos reprezentatyvumas buvo užtikrintas </w:t>
      </w:r>
      <w:r w:rsidRPr="00640D24">
        <w:rPr>
          <w:rFonts w:cs="Times New Roman"/>
          <w:b/>
          <w:sz w:val="22"/>
        </w:rPr>
        <w:t>įmonių pasiskirstymo pagal vidutinį 2022 m. darbuotojų skaičių, taip pat įmonių pasiskirstymu pagal regionus (95 proc. patikimumo lygiu)</w:t>
      </w:r>
      <w:r w:rsidRPr="00640D24">
        <w:rPr>
          <w:rFonts w:cs="Times New Roman"/>
          <w:sz w:val="22"/>
        </w:rPr>
        <w:t>. Pavyzdžiui, kaip matoma lentelėje žemiau, iš viso apklaustos buvo 300 įmonių, nors apklausos reprezentatyvumui užtikrinti Lietuvos mastu apklausti reikėtų 369 įmonių. Kaip galima pastebėti, visų dydžių (pagal darbuotojų skaičių) įmonių atveju buvo viršytas apklausos reprezentatyvumui užtikrinti reikalingas respondentų skaičius (t.</w:t>
      </w:r>
      <w:r w:rsidR="0070784F" w:rsidRPr="00640D24">
        <w:rPr>
          <w:rFonts w:cs="Times New Roman"/>
          <w:sz w:val="22"/>
        </w:rPr>
        <w:t xml:space="preserve"> </w:t>
      </w:r>
      <w:r w:rsidRPr="00640D24">
        <w:rPr>
          <w:rFonts w:cs="Times New Roman"/>
          <w:sz w:val="22"/>
        </w:rPr>
        <w:t>y. reikalaujama kvota reprezentatyvumui užtikrinti): apklausoje dalyvavo 209 labai mažų įmonių, turinčių 1–9 darbuotojus (apklausti reikėjo bent 209), 68 mažų įmonių, turinčių 10–49 darbuotojus (reikalaujama kvota – 68), 23 vidutinio dydžio įmonių, turinčių 50–249 darbuotojų (reikalaujama kvota – 23) ir 0 didelių įmonių, turinčių 250 ir daugiau darbuotojų.</w:t>
      </w:r>
    </w:p>
    <w:p w14:paraId="4E3E68FC" w14:textId="77777777" w:rsidR="009F5241" w:rsidRPr="00640D24" w:rsidRDefault="009F5241" w:rsidP="009F5241">
      <w:pPr>
        <w:spacing w:after="0"/>
        <w:rPr>
          <w:rFonts w:cs="Times New Roman"/>
        </w:rPr>
      </w:pPr>
      <w:r w:rsidRPr="00640D24">
        <w:rPr>
          <w:noProof/>
          <w:lang w:eastAsia="lt-LT"/>
        </w:rPr>
        <w:drawing>
          <wp:inline distT="0" distB="0" distL="0" distR="0" wp14:anchorId="63A5E4A3" wp14:editId="2D48D885">
            <wp:extent cx="6066790" cy="2957885"/>
            <wp:effectExtent l="0" t="0" r="0" b="0"/>
            <wp:docPr id="11" name="Chart 11">
              <a:extLst xmlns:a="http://schemas.openxmlformats.org/drawingml/2006/main">
                <a:ext uri="{FF2B5EF4-FFF2-40B4-BE49-F238E27FC236}">
                  <a16:creationId xmlns:a16="http://schemas.microsoft.com/office/drawing/2014/main" id="{A63D43B4-BBE2-4469-B110-A9A6752334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B4E79D7" w14:textId="1839C9A1" w:rsidR="009F5241" w:rsidRPr="00640D24" w:rsidRDefault="00BF629A">
      <w:pPr>
        <w:pStyle w:val="Lentelespav"/>
      </w:pPr>
      <w:bookmarkStart w:id="125" w:name="_Toc105761655"/>
      <w:r w:rsidRPr="00640D24">
        <w:t xml:space="preserve">Paveikslas Nr. </w:t>
      </w:r>
      <w:r w:rsidR="009F5241" w:rsidRPr="00640D24">
        <w:t>1</w:t>
      </w:r>
      <w:r w:rsidR="004D58EE" w:rsidRPr="00640D24">
        <w:t>1</w:t>
      </w:r>
      <w:r w:rsidR="009F5241" w:rsidRPr="00640D24">
        <w:t>. Nurodykite, kuris iš teiginių apie vidutinį darbuotojų skaičių Jūsų atstovaujamos įmonės grupėje 2022 m. yra teisingas</w:t>
      </w:r>
      <w:bookmarkEnd w:id="125"/>
    </w:p>
    <w:p w14:paraId="5CE5A7EB" w14:textId="4F104B34" w:rsidR="00344FB7" w:rsidRPr="00640D24" w:rsidRDefault="00DD3A2C">
      <w:pPr>
        <w:pStyle w:val="Lentelespav"/>
        <w:rPr>
          <w:sz w:val="18"/>
        </w:rPr>
      </w:pPr>
      <w:r w:rsidRPr="00640D24">
        <w:rPr>
          <w:sz w:val="18"/>
        </w:rPr>
        <w:t>Šaltinis: sudaryta Vertintojų</w:t>
      </w:r>
    </w:p>
    <w:p w14:paraId="5D859542" w14:textId="77777777" w:rsidR="009F5241" w:rsidRPr="00640D24" w:rsidRDefault="009F5241" w:rsidP="00344FB7">
      <w:pPr>
        <w:spacing w:before="60" w:after="60" w:line="240" w:lineRule="auto"/>
        <w:ind w:firstLine="567"/>
        <w:jc w:val="both"/>
        <w:rPr>
          <w:sz w:val="22"/>
          <w:szCs w:val="22"/>
        </w:rPr>
      </w:pPr>
      <w:r w:rsidRPr="00640D24">
        <w:rPr>
          <w:sz w:val="22"/>
          <w:szCs w:val="22"/>
        </w:rPr>
        <w:t xml:space="preserve">Respondentų pasiskirstymas pagal regionus yra pateikiamas žemiau esančiame paveiksle. Kaip galima matyti, apklaustų įmonių proporcingumas iš esmės atitinka Lietuvoje veikiančių įmonių pasiskirstymą pagal regionus. Daugiau nei pusė (69 proc.) apklausoje dalyvavusių respondentų atstovaujamos įmonės yra įsikūrusios Vidurio ir Vakarų Lietuvos regione. Likusi apklausoje dalyvavusių įmonių dalis (31 proc.) įsikūrusi Sostinės regione. </w:t>
      </w:r>
    </w:p>
    <w:p w14:paraId="68BBDF1D" w14:textId="1546664B" w:rsidR="009F5241" w:rsidRPr="00640D24" w:rsidRDefault="00C15608">
      <w:pPr>
        <w:pStyle w:val="Lentelespav"/>
      </w:pPr>
      <w:bookmarkStart w:id="126" w:name="_Hlk141781876"/>
      <w:bookmarkStart w:id="127" w:name="_Hlk141778496"/>
      <w:r w:rsidRPr="00640D24">
        <w:rPr>
          <w:lang w:eastAsia="lt-LT"/>
        </w:rPr>
        <w:lastRenderedPageBreak/>
        <w:drawing>
          <wp:inline distT="0" distB="0" distL="0" distR="0" wp14:anchorId="4AF9F301" wp14:editId="549AC78D">
            <wp:extent cx="6074410" cy="2479852"/>
            <wp:effectExtent l="0" t="0" r="2540" b="0"/>
            <wp:docPr id="23" name="Chart 23">
              <a:extLst xmlns:a="http://schemas.openxmlformats.org/drawingml/2006/main">
                <a:ext uri="{FF2B5EF4-FFF2-40B4-BE49-F238E27FC236}">
                  <a16:creationId xmlns:a16="http://schemas.microsoft.com/office/drawing/2014/main" id="{00000000-0008-0000-06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BF629A" w:rsidRPr="00640D24">
        <w:t xml:space="preserve">Paveikslas Nr. </w:t>
      </w:r>
      <w:r w:rsidR="004D58EE" w:rsidRPr="00640D24">
        <w:t>12</w:t>
      </w:r>
      <w:r w:rsidR="00BF629A" w:rsidRPr="00640D24">
        <w:t xml:space="preserve">. </w:t>
      </w:r>
      <w:r w:rsidR="009F5241" w:rsidRPr="00640D24">
        <w:t xml:space="preserve">Nurodykite, kurioje apskrityje yra Jūsų įmonė </w:t>
      </w:r>
      <w:bookmarkEnd w:id="126"/>
    </w:p>
    <w:bookmarkEnd w:id="127"/>
    <w:p w14:paraId="0A6B4915" w14:textId="573986B4" w:rsidR="009F5241" w:rsidRPr="00640D24" w:rsidRDefault="00590389" w:rsidP="001D790F">
      <w:pPr>
        <w:pStyle w:val="Lentelespav"/>
        <w:rPr>
          <w:sz w:val="18"/>
        </w:rPr>
      </w:pPr>
      <w:r w:rsidRPr="00640D24">
        <w:rPr>
          <w:sz w:val="18"/>
        </w:rPr>
        <w:t>Šaltinis: sudaryta Vertintojų</w:t>
      </w:r>
    </w:p>
    <w:p w14:paraId="50DF7389" w14:textId="77777777" w:rsidR="009F5241" w:rsidRPr="00640D24" w:rsidRDefault="009F5241" w:rsidP="00344FB7">
      <w:pPr>
        <w:spacing w:before="60" w:after="60" w:line="240" w:lineRule="auto"/>
        <w:ind w:firstLine="567"/>
        <w:jc w:val="both"/>
        <w:rPr>
          <w:sz w:val="22"/>
          <w:szCs w:val="22"/>
        </w:rPr>
      </w:pPr>
      <w:r w:rsidRPr="00640D24">
        <w:rPr>
          <w:sz w:val="22"/>
          <w:szCs w:val="22"/>
        </w:rPr>
        <w:t>Respondentų pasiskirstymas pagal veiklos vykdymo laikotarpį yra pateikiamas žemiau esančiame paveiksle. Kaip galima matyti, apklaustų įmonių proporcingumas iš esmės atitinka Lietuvoje veikiančių įmonių pasiskirstymą pagal veiklos vykdymo laiką. Didžioji dalis (63 proc.) apklausoje dalyvavusių respondentų atstovaujančių įmones veiklą vykdo ilgiau nei 5 metus, panašiai yra pasiskirsčiusios veiklą vykdančios nuo 1 iki 3 metų (15 proc.) ir nuo 3 iki 5 (16 proc.) metų įmonės. Mažiausiai (4 proc.) respondentų veiklą vykdo iki 1 metų laikotarpio.</w:t>
      </w:r>
    </w:p>
    <w:p w14:paraId="2D7EABCE" w14:textId="12FD808A" w:rsidR="009F5241" w:rsidRPr="00640D24" w:rsidRDefault="009F5241">
      <w:pPr>
        <w:pStyle w:val="Lentelespav"/>
      </w:pPr>
      <w:r w:rsidRPr="00640D24">
        <w:rPr>
          <w:lang w:eastAsia="lt-LT"/>
        </w:rPr>
        <w:drawing>
          <wp:inline distT="0" distB="0" distL="0" distR="0" wp14:anchorId="170378AD" wp14:editId="5D0A8DC4">
            <wp:extent cx="6074410" cy="2523744"/>
            <wp:effectExtent l="0" t="0" r="2540" b="0"/>
            <wp:docPr id="14" name="Chart 14">
              <a:extLst xmlns:a="http://schemas.openxmlformats.org/drawingml/2006/main">
                <a:ext uri="{FF2B5EF4-FFF2-40B4-BE49-F238E27FC236}">
                  <a16:creationId xmlns:a16="http://schemas.microsoft.com/office/drawing/2014/main" id="{75572C29-850C-4DC6-89EA-2F8C10381B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bookmarkStart w:id="128" w:name="_Hlk141778446"/>
      <w:r w:rsidR="00DE2A44" w:rsidRPr="00640D24">
        <w:t xml:space="preserve">Paveikslas Nr. </w:t>
      </w:r>
      <w:r w:rsidR="004D58EE" w:rsidRPr="00640D24">
        <w:t>13</w:t>
      </w:r>
      <w:r w:rsidRPr="00640D24">
        <w:t>. Kiek laiko Jūsų įmonė vykdo veiklą?</w:t>
      </w:r>
      <w:bookmarkEnd w:id="128"/>
    </w:p>
    <w:p w14:paraId="0F423637" w14:textId="19838AF4" w:rsidR="00DE2A44" w:rsidRPr="00640D24" w:rsidRDefault="008C4BB2">
      <w:pPr>
        <w:pStyle w:val="Lentelespav"/>
        <w:rPr>
          <w:sz w:val="18"/>
        </w:rPr>
      </w:pPr>
      <w:r w:rsidRPr="00640D24">
        <w:rPr>
          <w:sz w:val="18"/>
        </w:rPr>
        <w:t>Šaltinis: sudaryta Vertintojų</w:t>
      </w:r>
    </w:p>
    <w:p w14:paraId="335331D8" w14:textId="19ABECA9" w:rsidR="00F02B69" w:rsidRPr="00640D24" w:rsidRDefault="00F02B69">
      <w:pPr>
        <w:pStyle w:val="Lentelespav"/>
        <w:rPr>
          <w:sz w:val="18"/>
        </w:rPr>
      </w:pPr>
    </w:p>
    <w:p w14:paraId="06BCB032" w14:textId="77777777" w:rsidR="00F02B69" w:rsidRPr="00640D24" w:rsidRDefault="00F02B69" w:rsidP="00F02B69">
      <w:pPr>
        <w:spacing w:before="60" w:after="60" w:line="240" w:lineRule="auto"/>
        <w:ind w:firstLine="567"/>
        <w:jc w:val="both"/>
        <w:rPr>
          <w:sz w:val="22"/>
          <w:szCs w:val="22"/>
        </w:rPr>
      </w:pPr>
      <w:bookmarkStart w:id="129" w:name="_Hlk143550300"/>
      <w:r w:rsidRPr="00640D24">
        <w:rPr>
          <w:sz w:val="22"/>
          <w:szCs w:val="22"/>
        </w:rPr>
        <w:t xml:space="preserve">Žemiau esančiame paveiksle pateikiami MVĮ, veikiančių pramonės sektoriuje, atsakymai apie suplanuotų projektų srautą ateinantiems 1–3 metams. Nors didžioji dalis (60 proc.) pramonės sektoriaus įmonių Lietuvoje nėra suplanavusi projektų, du ketvirtadaliai įmonių per artimiausius metus planuoja atlikti investicijas. Šiek tiek daugiau įmonių (44 proc.) yra pasirengę investicinius projektus Sostinės regione nei Vidurio ir </w:t>
      </w:r>
      <w:bookmarkEnd w:id="129"/>
      <w:r w:rsidRPr="00640D24">
        <w:rPr>
          <w:sz w:val="22"/>
          <w:szCs w:val="22"/>
        </w:rPr>
        <w:t xml:space="preserve">Vakarų Lietuvos regione (35 proc.). </w:t>
      </w:r>
    </w:p>
    <w:p w14:paraId="0FC02C82" w14:textId="7BD2083A" w:rsidR="00F02B69" w:rsidRPr="00640D24" w:rsidRDefault="00F02B69" w:rsidP="00F02B69">
      <w:pPr>
        <w:spacing w:after="0"/>
        <w:jc w:val="both"/>
        <w:rPr>
          <w:rFonts w:cs="Times New Roman"/>
          <w:i/>
          <w:sz w:val="22"/>
          <w:szCs w:val="22"/>
        </w:rPr>
      </w:pPr>
      <w:r w:rsidRPr="00640D24">
        <w:rPr>
          <w:noProof/>
          <w:lang w:eastAsia="lt-LT"/>
        </w:rPr>
        <w:lastRenderedPageBreak/>
        <w:drawing>
          <wp:inline distT="0" distB="0" distL="0" distR="0" wp14:anchorId="16FD0FB3" wp14:editId="0550063F">
            <wp:extent cx="6137910" cy="2512612"/>
            <wp:effectExtent l="0" t="0" r="0" b="254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4D58EE" w:rsidRPr="00640D24">
        <w:rPr>
          <w:rFonts w:cs="Times New Roman"/>
          <w:i/>
          <w:sz w:val="22"/>
          <w:szCs w:val="22"/>
        </w:rPr>
        <w:t>Paveikslas Nr. 14</w:t>
      </w:r>
      <w:r w:rsidRPr="00640D24">
        <w:rPr>
          <w:rFonts w:cs="Times New Roman"/>
          <w:i/>
          <w:sz w:val="22"/>
          <w:szCs w:val="22"/>
        </w:rPr>
        <w:t>. Kalbėdami apie investicijas ir investicinius projektus, nurodykite ar šiems, ar ateinantiems keliems metams esate pasirengę investicinius projektus?</w:t>
      </w:r>
    </w:p>
    <w:p w14:paraId="2097709A" w14:textId="3D11C6D4" w:rsidR="00097341" w:rsidRPr="00640D24" w:rsidRDefault="00F02B69" w:rsidP="00F02B69">
      <w:pPr>
        <w:jc w:val="both"/>
        <w:rPr>
          <w:rFonts w:cs="Times New Roman"/>
          <w:sz w:val="18"/>
          <w:szCs w:val="22"/>
        </w:rPr>
      </w:pPr>
      <w:r w:rsidRPr="00640D24">
        <w:rPr>
          <w:rFonts w:cs="Times New Roman"/>
          <w:sz w:val="18"/>
          <w:szCs w:val="22"/>
        </w:rPr>
        <w:t>Šaltinis: sudaryta Vertintojų</w:t>
      </w:r>
    </w:p>
    <w:p w14:paraId="62FCE1A1" w14:textId="1162F974" w:rsidR="00097341" w:rsidRPr="00640D24" w:rsidRDefault="00097341" w:rsidP="00097341">
      <w:pPr>
        <w:spacing w:before="60" w:after="60" w:line="240" w:lineRule="auto"/>
        <w:ind w:firstLine="561"/>
        <w:jc w:val="both"/>
        <w:rPr>
          <w:sz w:val="22"/>
          <w:szCs w:val="22"/>
        </w:rPr>
      </w:pPr>
      <w:r w:rsidRPr="00640D24">
        <w:rPr>
          <w:sz w:val="22"/>
          <w:szCs w:val="22"/>
        </w:rPr>
        <w:t xml:space="preserve">Siekiant nustatyti parengtų investicinių projektų mastą šalies lygiu, vertintojai </w:t>
      </w:r>
      <w:proofErr w:type="spellStart"/>
      <w:r w:rsidRPr="00640D24">
        <w:rPr>
          <w:sz w:val="22"/>
          <w:szCs w:val="22"/>
        </w:rPr>
        <w:t>ekstrapoliavo</w:t>
      </w:r>
      <w:proofErr w:type="spellEnd"/>
      <w:r w:rsidRPr="00640D24">
        <w:rPr>
          <w:sz w:val="22"/>
          <w:szCs w:val="22"/>
        </w:rPr>
        <w:t xml:space="preserve"> ankstesniame paveiksle pristatytus rezultatus visos Lietuvos MVĮ populiacijai. Remiantis naujausiais Valstybės duomenų agentūros duomenimis, apdirbamosios gamybos, išskyrus kokso ir rafinuotų naftos produktų gamybą, sektoriuje 2023 m. pradžioje veikė 8974 MVĮ, iš kurių 6188 veikė Vidurio ir Vakarų Lietuvos regione, o likusios 2786 įmonės veikė Sostinės regione. Sudauginus ankstesniame paveiksle pasirengusių įmonių dalį iš visų atitinkamų regionų MVĮ populiacijos, atmetus įmones, kuriose yra iki 5 darbuotojų, gaunama, kad </w:t>
      </w:r>
      <w:r w:rsidR="00A91DFB" w:rsidRPr="00640D24">
        <w:rPr>
          <w:sz w:val="22"/>
          <w:szCs w:val="22"/>
        </w:rPr>
        <w:t>1705</w:t>
      </w:r>
      <w:r w:rsidRPr="00640D24">
        <w:rPr>
          <w:sz w:val="22"/>
          <w:szCs w:val="22"/>
        </w:rPr>
        <w:t xml:space="preserve"> pramonės įmon</w:t>
      </w:r>
      <w:r w:rsidR="00A91DFB" w:rsidRPr="00640D24">
        <w:rPr>
          <w:sz w:val="22"/>
          <w:szCs w:val="22"/>
        </w:rPr>
        <w:t>ė</w:t>
      </w:r>
      <w:r w:rsidRPr="00640D24">
        <w:rPr>
          <w:sz w:val="22"/>
          <w:szCs w:val="22"/>
        </w:rPr>
        <w:t xml:space="preserve"> yra pasirengusios investicinius projektus visos Lietuvos mastu. Didžioji dauguma šių įmonių yra Vidurio ir Vakarų Lietuvos regione – </w:t>
      </w:r>
      <w:r w:rsidR="00A91DFB" w:rsidRPr="00640D24">
        <w:rPr>
          <w:sz w:val="22"/>
          <w:szCs w:val="22"/>
        </w:rPr>
        <w:t>1091</w:t>
      </w:r>
      <w:r w:rsidRPr="00640D24">
        <w:rPr>
          <w:sz w:val="22"/>
          <w:szCs w:val="22"/>
        </w:rPr>
        <w:t xml:space="preserve"> įmonės. Sostinės regione tokių įmonių skaičius siekia </w:t>
      </w:r>
      <w:r w:rsidR="00A91DFB" w:rsidRPr="00640D24">
        <w:rPr>
          <w:sz w:val="22"/>
          <w:szCs w:val="22"/>
        </w:rPr>
        <w:t>614</w:t>
      </w:r>
      <w:r w:rsidRPr="00640D24">
        <w:rPr>
          <w:sz w:val="22"/>
          <w:szCs w:val="22"/>
        </w:rPr>
        <w:t xml:space="preserve">. </w:t>
      </w:r>
    </w:p>
    <w:p w14:paraId="1A68CCE9" w14:textId="5598583E" w:rsidR="00097341" w:rsidRPr="00640D24" w:rsidRDefault="00BC3FA8" w:rsidP="00097341">
      <w:pPr>
        <w:pStyle w:val="Lentelespav"/>
      </w:pPr>
      <w:r w:rsidRPr="00640D24">
        <w:t>Lentelė Nr. 14</w:t>
      </w:r>
      <w:r w:rsidR="00097341" w:rsidRPr="00640D24">
        <w:t>. Parengtų investicinių projektų skaičiaus ekstrapoliavimas visai populiacijai</w:t>
      </w:r>
    </w:p>
    <w:tbl>
      <w:tblPr>
        <w:tblStyle w:val="TableGridLight1"/>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985"/>
        <w:gridCol w:w="2693"/>
        <w:gridCol w:w="2663"/>
      </w:tblGrid>
      <w:tr w:rsidR="00097341" w:rsidRPr="00640D24" w14:paraId="1912A2D4" w14:textId="77777777" w:rsidTr="00DF4F09">
        <w:trPr>
          <w:trHeight w:val="20"/>
        </w:trPr>
        <w:tc>
          <w:tcPr>
            <w:tcW w:w="2155" w:type="dxa"/>
            <w:noWrap/>
            <w:hideMark/>
          </w:tcPr>
          <w:p w14:paraId="4189BDF1" w14:textId="77777777" w:rsidR="00097341" w:rsidRPr="00640D24" w:rsidRDefault="00097341" w:rsidP="00280FDF">
            <w:pPr>
              <w:jc w:val="center"/>
              <w:rPr>
                <w:rFonts w:eastAsia="Times New Roman" w:cs="Calibri"/>
                <w:b/>
                <w:bCs/>
                <w:sz w:val="18"/>
                <w:szCs w:val="18"/>
                <w:lang w:eastAsia="lt-LT"/>
              </w:rPr>
            </w:pPr>
            <w:r w:rsidRPr="00640D24">
              <w:rPr>
                <w:rFonts w:eastAsia="Times New Roman" w:cs="Calibri"/>
                <w:b/>
                <w:bCs/>
                <w:sz w:val="18"/>
                <w:szCs w:val="18"/>
                <w:lang w:eastAsia="lt-LT"/>
              </w:rPr>
              <w:t>Kategorija</w:t>
            </w:r>
          </w:p>
        </w:tc>
        <w:tc>
          <w:tcPr>
            <w:tcW w:w="1985" w:type="dxa"/>
            <w:hideMark/>
          </w:tcPr>
          <w:p w14:paraId="5C48A256" w14:textId="77777777" w:rsidR="00097341" w:rsidRPr="00640D24" w:rsidRDefault="00097341" w:rsidP="00280FDF">
            <w:pPr>
              <w:jc w:val="center"/>
              <w:rPr>
                <w:rFonts w:eastAsia="Times New Roman" w:cs="Calibri"/>
                <w:b/>
                <w:bCs/>
                <w:sz w:val="18"/>
                <w:szCs w:val="18"/>
                <w:lang w:eastAsia="lt-LT"/>
              </w:rPr>
            </w:pPr>
            <w:r w:rsidRPr="00640D24">
              <w:rPr>
                <w:rFonts w:eastAsia="Times New Roman" w:cs="Calibri"/>
                <w:b/>
                <w:bCs/>
                <w:sz w:val="18"/>
                <w:szCs w:val="18"/>
                <w:lang w:eastAsia="lt-LT"/>
              </w:rPr>
              <w:t>Sostinės regionas</w:t>
            </w:r>
          </w:p>
        </w:tc>
        <w:tc>
          <w:tcPr>
            <w:tcW w:w="2693" w:type="dxa"/>
            <w:hideMark/>
          </w:tcPr>
          <w:p w14:paraId="6988AAA3" w14:textId="77777777" w:rsidR="00097341" w:rsidRPr="00640D24" w:rsidRDefault="00097341" w:rsidP="00280FDF">
            <w:pPr>
              <w:jc w:val="center"/>
              <w:rPr>
                <w:rFonts w:eastAsia="Times New Roman" w:cs="Calibri"/>
                <w:b/>
                <w:bCs/>
                <w:sz w:val="18"/>
                <w:szCs w:val="18"/>
                <w:lang w:eastAsia="lt-LT"/>
              </w:rPr>
            </w:pPr>
            <w:r w:rsidRPr="00640D24">
              <w:rPr>
                <w:rFonts w:eastAsia="Times New Roman" w:cs="Calibri"/>
                <w:b/>
                <w:bCs/>
                <w:sz w:val="18"/>
                <w:szCs w:val="18"/>
                <w:lang w:eastAsia="lt-LT"/>
              </w:rPr>
              <w:t>Vidurio ir Vakarų Lietuvos regionas</w:t>
            </w:r>
          </w:p>
        </w:tc>
        <w:tc>
          <w:tcPr>
            <w:tcW w:w="2663" w:type="dxa"/>
            <w:hideMark/>
          </w:tcPr>
          <w:p w14:paraId="3B07108C" w14:textId="77777777" w:rsidR="00097341" w:rsidRPr="00640D24" w:rsidRDefault="00097341" w:rsidP="00280FDF">
            <w:pPr>
              <w:jc w:val="center"/>
              <w:rPr>
                <w:rFonts w:eastAsia="Times New Roman" w:cs="Calibri"/>
                <w:b/>
                <w:bCs/>
                <w:sz w:val="18"/>
                <w:szCs w:val="18"/>
                <w:lang w:eastAsia="lt-LT"/>
              </w:rPr>
            </w:pPr>
            <w:r w:rsidRPr="00640D24">
              <w:rPr>
                <w:rFonts w:eastAsia="Times New Roman" w:cs="Calibri"/>
                <w:b/>
                <w:bCs/>
                <w:sz w:val="18"/>
                <w:szCs w:val="18"/>
                <w:lang w:eastAsia="lt-LT"/>
              </w:rPr>
              <w:t>Visa Lietuva</w:t>
            </w:r>
          </w:p>
        </w:tc>
      </w:tr>
      <w:tr w:rsidR="00097341" w:rsidRPr="00640D24" w14:paraId="173F5A10" w14:textId="77777777" w:rsidTr="00BA6A1C">
        <w:trPr>
          <w:trHeight w:val="20"/>
        </w:trPr>
        <w:tc>
          <w:tcPr>
            <w:tcW w:w="2155" w:type="dxa"/>
            <w:hideMark/>
          </w:tcPr>
          <w:p w14:paraId="7AFD5BEE" w14:textId="77777777" w:rsidR="00097341" w:rsidRPr="00640D24" w:rsidRDefault="00097341" w:rsidP="00280FDF">
            <w:pPr>
              <w:spacing w:after="0" w:line="240" w:lineRule="auto"/>
              <w:rPr>
                <w:rFonts w:eastAsia="Times New Roman" w:cs="Calibri"/>
                <w:b/>
                <w:bCs/>
                <w:color w:val="000000"/>
                <w:sz w:val="18"/>
                <w:szCs w:val="18"/>
                <w:lang w:eastAsia="lt-LT"/>
              </w:rPr>
            </w:pPr>
            <w:r w:rsidRPr="00640D24">
              <w:rPr>
                <w:rFonts w:eastAsia="Times New Roman" w:cs="Calibri"/>
                <w:color w:val="000000"/>
                <w:sz w:val="18"/>
                <w:szCs w:val="18"/>
                <w:lang w:eastAsia="lt-LT"/>
              </w:rPr>
              <w:t>Pramonės įmonių skaičius 2023 m. pradžioje</w:t>
            </w:r>
          </w:p>
        </w:tc>
        <w:tc>
          <w:tcPr>
            <w:tcW w:w="1985" w:type="dxa"/>
            <w:noWrap/>
            <w:vAlign w:val="center"/>
            <w:hideMark/>
          </w:tcPr>
          <w:p w14:paraId="64BCAD26" w14:textId="77777777" w:rsidR="00097341" w:rsidRPr="00640D24" w:rsidRDefault="00097341" w:rsidP="00BA6A1C">
            <w:pPr>
              <w:jc w:val="center"/>
              <w:rPr>
                <w:rFonts w:eastAsia="Times New Roman" w:cs="Calibri"/>
                <w:color w:val="000000"/>
                <w:sz w:val="18"/>
                <w:szCs w:val="18"/>
                <w:lang w:eastAsia="lt-LT"/>
              </w:rPr>
            </w:pPr>
            <w:r w:rsidRPr="00640D24">
              <w:rPr>
                <w:rFonts w:eastAsia="Times New Roman" w:cs="Calibri"/>
                <w:color w:val="000000"/>
                <w:sz w:val="18"/>
                <w:szCs w:val="18"/>
                <w:lang w:eastAsia="lt-LT"/>
              </w:rPr>
              <w:t>46</w:t>
            </w:r>
          </w:p>
        </w:tc>
        <w:tc>
          <w:tcPr>
            <w:tcW w:w="2693" w:type="dxa"/>
            <w:noWrap/>
            <w:vAlign w:val="center"/>
            <w:hideMark/>
          </w:tcPr>
          <w:p w14:paraId="354B7607" w14:textId="77777777" w:rsidR="00097341" w:rsidRPr="00640D24" w:rsidRDefault="00097341" w:rsidP="00BA6A1C">
            <w:pPr>
              <w:jc w:val="center"/>
              <w:rPr>
                <w:rFonts w:eastAsia="Times New Roman" w:cs="Calibri"/>
                <w:color w:val="000000"/>
                <w:sz w:val="18"/>
                <w:szCs w:val="18"/>
                <w:lang w:eastAsia="lt-LT"/>
              </w:rPr>
            </w:pPr>
            <w:r w:rsidRPr="00640D24">
              <w:rPr>
                <w:rFonts w:eastAsia="Times New Roman" w:cs="Calibri"/>
                <w:color w:val="000000"/>
                <w:sz w:val="18"/>
                <w:szCs w:val="18"/>
                <w:lang w:eastAsia="lt-LT"/>
              </w:rPr>
              <w:t>101</w:t>
            </w:r>
          </w:p>
        </w:tc>
        <w:tc>
          <w:tcPr>
            <w:tcW w:w="2663" w:type="dxa"/>
            <w:noWrap/>
            <w:vAlign w:val="center"/>
            <w:hideMark/>
          </w:tcPr>
          <w:p w14:paraId="2AFBC19C" w14:textId="77777777" w:rsidR="00097341" w:rsidRPr="00640D24" w:rsidRDefault="00097341" w:rsidP="00BA6A1C">
            <w:pPr>
              <w:jc w:val="center"/>
              <w:rPr>
                <w:rFonts w:eastAsia="Times New Roman" w:cs="Calibri"/>
                <w:color w:val="000000"/>
                <w:sz w:val="18"/>
                <w:szCs w:val="18"/>
                <w:lang w:eastAsia="lt-LT"/>
              </w:rPr>
            </w:pPr>
            <w:r w:rsidRPr="00640D24">
              <w:rPr>
                <w:rFonts w:eastAsia="Times New Roman" w:cs="Calibri"/>
                <w:color w:val="000000"/>
                <w:sz w:val="18"/>
                <w:szCs w:val="18"/>
                <w:lang w:eastAsia="lt-LT"/>
              </w:rPr>
              <w:t>147</w:t>
            </w:r>
          </w:p>
        </w:tc>
      </w:tr>
      <w:tr w:rsidR="00097341" w:rsidRPr="00640D24" w14:paraId="31297A25" w14:textId="77777777" w:rsidTr="00BA6A1C">
        <w:trPr>
          <w:trHeight w:val="804"/>
        </w:trPr>
        <w:tc>
          <w:tcPr>
            <w:tcW w:w="2155" w:type="dxa"/>
            <w:hideMark/>
          </w:tcPr>
          <w:p w14:paraId="746EC9DD" w14:textId="77777777" w:rsidR="00097341" w:rsidRPr="00640D24" w:rsidRDefault="00097341" w:rsidP="00280FDF">
            <w:pPr>
              <w:spacing w:after="0" w:line="240" w:lineRule="auto"/>
              <w:rPr>
                <w:rFonts w:eastAsia="Times New Roman" w:cs="Calibri"/>
                <w:b/>
                <w:bCs/>
                <w:color w:val="000000"/>
                <w:sz w:val="18"/>
                <w:szCs w:val="18"/>
                <w:lang w:eastAsia="lt-LT"/>
              </w:rPr>
            </w:pPr>
            <w:r w:rsidRPr="00640D24">
              <w:rPr>
                <w:rFonts w:eastAsia="Times New Roman" w:cs="Calibri"/>
                <w:color w:val="000000"/>
                <w:sz w:val="18"/>
                <w:szCs w:val="18"/>
                <w:lang w:eastAsia="lt-LT"/>
              </w:rPr>
              <w:t>Įmonės, kurios yra pasirengusios investicinius projektus</w:t>
            </w:r>
          </w:p>
        </w:tc>
        <w:tc>
          <w:tcPr>
            <w:tcW w:w="1985" w:type="dxa"/>
            <w:noWrap/>
            <w:vAlign w:val="center"/>
            <w:hideMark/>
          </w:tcPr>
          <w:p w14:paraId="59430A03" w14:textId="1451E480" w:rsidR="00097341" w:rsidRPr="00640D24" w:rsidRDefault="00097341" w:rsidP="00BA6A1C">
            <w:pPr>
              <w:jc w:val="center"/>
              <w:rPr>
                <w:rFonts w:eastAsia="Times New Roman" w:cs="Calibri"/>
                <w:color w:val="000000"/>
                <w:sz w:val="18"/>
                <w:szCs w:val="18"/>
                <w:lang w:eastAsia="lt-LT"/>
              </w:rPr>
            </w:pPr>
            <w:r w:rsidRPr="00640D24">
              <w:rPr>
                <w:rFonts w:eastAsia="Times New Roman" w:cs="Calibri"/>
                <w:color w:val="000000"/>
                <w:sz w:val="18"/>
                <w:szCs w:val="18"/>
                <w:lang w:eastAsia="lt-LT"/>
              </w:rPr>
              <w:t>614</w:t>
            </w:r>
          </w:p>
        </w:tc>
        <w:tc>
          <w:tcPr>
            <w:tcW w:w="2693" w:type="dxa"/>
            <w:noWrap/>
            <w:vAlign w:val="center"/>
            <w:hideMark/>
          </w:tcPr>
          <w:p w14:paraId="7BE3F020" w14:textId="2EE6342A" w:rsidR="00097341" w:rsidRPr="00640D24" w:rsidRDefault="00097341" w:rsidP="00BA6A1C">
            <w:pPr>
              <w:jc w:val="center"/>
              <w:rPr>
                <w:rFonts w:eastAsia="Times New Roman" w:cs="Calibri"/>
                <w:color w:val="000000"/>
                <w:sz w:val="18"/>
                <w:szCs w:val="18"/>
                <w:lang w:eastAsia="lt-LT"/>
              </w:rPr>
            </w:pPr>
            <w:r w:rsidRPr="00640D24">
              <w:rPr>
                <w:rFonts w:eastAsia="Times New Roman" w:cs="Calibri"/>
                <w:color w:val="000000"/>
                <w:sz w:val="18"/>
                <w:szCs w:val="18"/>
                <w:lang w:eastAsia="lt-LT"/>
              </w:rPr>
              <w:t>1091</w:t>
            </w:r>
          </w:p>
        </w:tc>
        <w:tc>
          <w:tcPr>
            <w:tcW w:w="2663" w:type="dxa"/>
            <w:noWrap/>
            <w:vAlign w:val="center"/>
            <w:hideMark/>
          </w:tcPr>
          <w:p w14:paraId="727FF010" w14:textId="06267D76" w:rsidR="00097341" w:rsidRPr="00640D24" w:rsidRDefault="00097341" w:rsidP="00BA6A1C">
            <w:pPr>
              <w:jc w:val="center"/>
              <w:rPr>
                <w:rFonts w:eastAsia="Times New Roman" w:cs="Calibri"/>
                <w:color w:val="000000"/>
                <w:sz w:val="18"/>
                <w:szCs w:val="18"/>
                <w:lang w:eastAsia="lt-LT"/>
              </w:rPr>
            </w:pPr>
            <w:r w:rsidRPr="00640D24">
              <w:rPr>
                <w:rFonts w:eastAsia="Times New Roman" w:cs="Calibri"/>
                <w:color w:val="000000"/>
                <w:sz w:val="18"/>
                <w:szCs w:val="18"/>
                <w:lang w:eastAsia="lt-LT"/>
              </w:rPr>
              <w:t>1705</w:t>
            </w:r>
          </w:p>
        </w:tc>
      </w:tr>
    </w:tbl>
    <w:p w14:paraId="1F3F9950" w14:textId="77777777" w:rsidR="00097341" w:rsidRPr="00640D24" w:rsidRDefault="00097341" w:rsidP="00097341">
      <w:pPr>
        <w:pStyle w:val="altinis"/>
        <w:spacing w:before="0" w:after="0"/>
        <w:jc w:val="both"/>
        <w:rPr>
          <w:rFonts w:ascii="Times New Roman" w:hAnsi="Times New Roman" w:cs="Times New Roman"/>
          <w:color w:val="auto"/>
          <w:sz w:val="18"/>
          <w:szCs w:val="22"/>
        </w:rPr>
      </w:pPr>
      <w:r w:rsidRPr="00640D24">
        <w:rPr>
          <w:rFonts w:ascii="Times New Roman" w:hAnsi="Times New Roman" w:cs="Times New Roman"/>
          <w:color w:val="auto"/>
          <w:sz w:val="18"/>
          <w:szCs w:val="22"/>
        </w:rPr>
        <w:t>Šaltinis: sudaryta Vertintojų</w:t>
      </w:r>
    </w:p>
    <w:tbl>
      <w:tblPr>
        <w:tblW w:w="9849" w:type="dxa"/>
        <w:tblLook w:val="04A0" w:firstRow="1" w:lastRow="0" w:firstColumn="1" w:lastColumn="0" w:noHBand="0" w:noVBand="1"/>
      </w:tblPr>
      <w:tblGrid>
        <w:gridCol w:w="9849"/>
      </w:tblGrid>
      <w:tr w:rsidR="00097341" w:rsidRPr="00640D24" w14:paraId="41DE2824" w14:textId="77777777" w:rsidTr="00280FDF">
        <w:trPr>
          <w:trHeight w:val="141"/>
        </w:trPr>
        <w:tc>
          <w:tcPr>
            <w:tcW w:w="9849" w:type="dxa"/>
            <w:tcBorders>
              <w:top w:val="nil"/>
              <w:left w:val="nil"/>
              <w:bottom w:val="nil"/>
              <w:right w:val="nil"/>
            </w:tcBorders>
            <w:shd w:val="clear" w:color="auto" w:fill="auto"/>
            <w:noWrap/>
            <w:vAlign w:val="bottom"/>
            <w:hideMark/>
          </w:tcPr>
          <w:p w14:paraId="65E94A8E" w14:textId="77777777" w:rsidR="00097341" w:rsidRPr="00640D24" w:rsidRDefault="00097341" w:rsidP="00280FDF">
            <w:pPr>
              <w:spacing w:after="0" w:line="240" w:lineRule="auto"/>
              <w:jc w:val="center"/>
              <w:rPr>
                <w:rFonts w:ascii="Calibri" w:eastAsia="Times New Roman" w:hAnsi="Calibri" w:cs="Calibri"/>
                <w:b/>
                <w:bCs/>
                <w:color w:val="000000"/>
                <w:lang w:eastAsia="lt-LT"/>
              </w:rPr>
            </w:pPr>
          </w:p>
        </w:tc>
      </w:tr>
    </w:tbl>
    <w:p w14:paraId="4FC304C9" w14:textId="77777777" w:rsidR="00F02B69" w:rsidRPr="00640D24" w:rsidRDefault="00F02B69" w:rsidP="00F02B69">
      <w:pPr>
        <w:spacing w:before="60" w:after="60" w:line="240" w:lineRule="auto"/>
        <w:ind w:firstLine="561"/>
        <w:jc w:val="both"/>
        <w:rPr>
          <w:sz w:val="22"/>
          <w:szCs w:val="22"/>
        </w:rPr>
      </w:pPr>
      <w:r w:rsidRPr="00640D24">
        <w:rPr>
          <w:sz w:val="22"/>
          <w:szCs w:val="22"/>
        </w:rPr>
        <w:t xml:space="preserve">Analizuojant į kokias tikslines sritis bus nukreiptos suplanuotos investicijos, daugiau nei pusė respondentų nurodė, kad jų investicijos bus nukreiptos į gamybinių pajėgumų būklės gerinimą. 28 proc. respondentų nurodė, kad investicijos bus naudojamos nudėvėtų gamybos įrenginių atnaujinimui, 20 proc. nurodė, kad modernizuos gamybos procesus, diegiant pažangias gamybos technologijas. Dar 15 proc. teigė, kad gamybinių pajėgumų būklę gerins didinant efektyvumą per veiklos </w:t>
      </w:r>
      <w:proofErr w:type="spellStart"/>
      <w:r w:rsidRPr="00640D24">
        <w:rPr>
          <w:sz w:val="22"/>
          <w:szCs w:val="22"/>
        </w:rPr>
        <w:t>skaitmenizavimą</w:t>
      </w:r>
      <w:proofErr w:type="spellEnd"/>
      <w:r w:rsidRPr="00640D24">
        <w:rPr>
          <w:sz w:val="22"/>
          <w:szCs w:val="22"/>
        </w:rPr>
        <w:t xml:space="preserve">, diegiant gamybos procesuose IT technologijas ir panašius sprendimus. </w:t>
      </w:r>
    </w:p>
    <w:p w14:paraId="079B7135" w14:textId="77777777" w:rsidR="00F02B69" w:rsidRPr="00640D24" w:rsidRDefault="00F02B69" w:rsidP="00F02B69">
      <w:pPr>
        <w:spacing w:before="60" w:after="60" w:line="240" w:lineRule="auto"/>
        <w:ind w:firstLine="562"/>
        <w:jc w:val="both"/>
        <w:rPr>
          <w:sz w:val="22"/>
          <w:szCs w:val="22"/>
        </w:rPr>
      </w:pPr>
      <w:r w:rsidRPr="00640D24">
        <w:rPr>
          <w:sz w:val="22"/>
          <w:szCs w:val="22"/>
        </w:rPr>
        <w:t>Beveik trečdalis respondentų nurodė, kad jų investicijos bus nukreiptos į žaliąją transformaciją: 15 proc. respondentų nurodė, kad investuos į energetinių sąnaudų mažinimą, investuojant į energijos taupymo sprendimus, o dar 11 proc. investuos į perėjimą link neutralios klimatui ekonomikos, diegiant aplinkosaugines inovacijas ir sprendimus.</w:t>
      </w:r>
    </w:p>
    <w:p w14:paraId="7152BE17" w14:textId="77777777" w:rsidR="00F02B69" w:rsidRPr="00640D24" w:rsidRDefault="00F02B69" w:rsidP="00F02B69">
      <w:pPr>
        <w:spacing w:before="60" w:after="60" w:line="240" w:lineRule="auto"/>
        <w:ind w:firstLine="562"/>
        <w:jc w:val="both"/>
        <w:rPr>
          <w:sz w:val="22"/>
          <w:szCs w:val="22"/>
        </w:rPr>
      </w:pPr>
      <w:r w:rsidRPr="00640D24">
        <w:rPr>
          <w:sz w:val="22"/>
          <w:szCs w:val="22"/>
        </w:rPr>
        <w:t xml:space="preserve">Vertinant atsakymų pasiskirstymą pagal regioninį pjūvį, tendencijos yra panašios, nors pastebima, kad ženkliai didesnė dalis Sostinės regiono įmonių investuos į MTEP veiklų įgyvendinimą, lyginant su Vidurio ir Vakarų Lietuvos regiono įmonėmis. Šias tendencijas galima paaiškinti tuo, kad Sostinės regione yra susitelkę </w:t>
      </w:r>
      <w:r w:rsidRPr="00640D24">
        <w:rPr>
          <w:sz w:val="22"/>
          <w:szCs w:val="22"/>
        </w:rPr>
        <w:lastRenderedPageBreak/>
        <w:t>ženkliai daugiau įmonių, kurios įgyvendina MTEP veiklas, o taip pat regione yra ir daugiau mokslo įstaigų, kurios gali suteikti MTEP paslaugas.</w:t>
      </w:r>
    </w:p>
    <w:p w14:paraId="0E536F45" w14:textId="6A84BECC" w:rsidR="00F02B69" w:rsidRPr="00640D24" w:rsidRDefault="00F02B69" w:rsidP="00F02B69">
      <w:pPr>
        <w:spacing w:after="0"/>
        <w:jc w:val="both"/>
        <w:rPr>
          <w:rStyle w:val="LentelespavDiagrama"/>
          <w:i w:val="0"/>
          <w:sz w:val="22"/>
          <w:szCs w:val="22"/>
        </w:rPr>
      </w:pPr>
      <w:r w:rsidRPr="00640D24">
        <w:rPr>
          <w:noProof/>
          <w:lang w:eastAsia="lt-LT"/>
        </w:rPr>
        <w:drawing>
          <wp:inline distT="0" distB="0" distL="0" distR="0" wp14:anchorId="6A0C458C" wp14:editId="73D50192">
            <wp:extent cx="6090285" cy="3899139"/>
            <wp:effectExtent l="0" t="0" r="5715" b="635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640D24">
        <w:rPr>
          <w:rStyle w:val="LentelespavDiagrama"/>
          <w:sz w:val="22"/>
          <w:szCs w:val="22"/>
        </w:rPr>
        <w:t>Paveiklas Nr. 1</w:t>
      </w:r>
      <w:r w:rsidR="004D58EE" w:rsidRPr="00640D24">
        <w:rPr>
          <w:rStyle w:val="LentelespavDiagrama"/>
          <w:sz w:val="22"/>
          <w:szCs w:val="22"/>
        </w:rPr>
        <w:t>5</w:t>
      </w:r>
      <w:r w:rsidRPr="00640D24">
        <w:rPr>
          <w:rStyle w:val="LentelespavDiagrama"/>
          <w:sz w:val="22"/>
          <w:szCs w:val="22"/>
        </w:rPr>
        <w:t>. Nurodytos suplanuotų investicinių projektų/ investicijų tikslinės kryptis</w:t>
      </w:r>
    </w:p>
    <w:p w14:paraId="31E067BC" w14:textId="77777777" w:rsidR="00F02B69" w:rsidRPr="00640D24" w:rsidRDefault="00F02B69" w:rsidP="00F02B69">
      <w:pPr>
        <w:jc w:val="both"/>
        <w:rPr>
          <w:sz w:val="18"/>
          <w:szCs w:val="22"/>
        </w:rPr>
      </w:pPr>
      <w:r w:rsidRPr="00640D24">
        <w:rPr>
          <w:rStyle w:val="LentelespavDiagrama"/>
          <w:sz w:val="18"/>
          <w:szCs w:val="22"/>
        </w:rPr>
        <w:t>Šaltinis: sudaryta Vertintojų</w:t>
      </w:r>
    </w:p>
    <w:p w14:paraId="08F85D95" w14:textId="77777777" w:rsidR="00F02B69" w:rsidRPr="00640D24" w:rsidRDefault="00F02B69" w:rsidP="00F02B69">
      <w:pPr>
        <w:spacing w:before="60" w:after="60" w:line="240" w:lineRule="auto"/>
        <w:ind w:firstLine="561"/>
        <w:jc w:val="both"/>
        <w:rPr>
          <w:sz w:val="22"/>
          <w:szCs w:val="22"/>
        </w:rPr>
      </w:pPr>
      <w:r w:rsidRPr="00640D24">
        <w:rPr>
          <w:sz w:val="22"/>
          <w:szCs w:val="22"/>
        </w:rPr>
        <w:t>Pasiteiravus įmonių, kokių technologijų, įrenginių, veiklų ar kitokio tipo konkrečių įsigijimų ir investicijų kategorijų joms reikės siekiant įgyvendinti ankstesniame klausime nurodytas tikslines investicijas, daugiausiai respondentų nurodė, kad investuos į mašinas ir įrenginius (31 proc.). Po daugiau nei šeštadalis respondentų nurodė, kad investuos į pažangiąsias technologijas ir žmogiškuosius išteklius. Dar 13 ir 15 proc. respondentų nurodė, kad investuos atitinkamai į žemę, pastatus ir infrastruktūrą ir nematerialųjį turtą. Mažiausiai (kiek daugiau nei 6 proc.) respondentų nurodė, kad investuos į MTEP.</w:t>
      </w:r>
    </w:p>
    <w:p w14:paraId="3B2ADF24" w14:textId="77777777" w:rsidR="00F02B69" w:rsidRPr="00640D24" w:rsidRDefault="00F02B69" w:rsidP="00F02B69">
      <w:pPr>
        <w:spacing w:before="60" w:after="60" w:line="240" w:lineRule="auto"/>
        <w:ind w:firstLine="562"/>
        <w:jc w:val="both"/>
        <w:rPr>
          <w:sz w:val="22"/>
          <w:szCs w:val="22"/>
        </w:rPr>
      </w:pPr>
      <w:r w:rsidRPr="00640D24">
        <w:rPr>
          <w:sz w:val="22"/>
          <w:szCs w:val="22"/>
        </w:rPr>
        <w:t>Tiek Sostinės regione, tiek Vidurio ir Vakarų Lietuvos regione panaši respondentų dalis nurodė, kad investuos į mašinas ir įrenginius, žmogiškąjį kapitalą ir pažangias gamybos technologijas. Vis dėlto ženkliai didesnė dalis respondentų Sostinės regione nurodė, kad investuos į nematerialųjį turtą ir MTEP, kai tuo tarpu Vidurio ir Vakarų Lietuvos regione didesnė dalis nurodė, kad investuos į žemę, pastatus ir infrastruktūrą.</w:t>
      </w:r>
    </w:p>
    <w:p w14:paraId="76BF42E3" w14:textId="77777777" w:rsidR="00F02B69" w:rsidRPr="00640D24" w:rsidRDefault="00F02B69" w:rsidP="00F02B69">
      <w:pPr>
        <w:spacing w:after="0" w:line="240" w:lineRule="auto"/>
        <w:rPr>
          <w:noProof/>
          <w:lang w:eastAsia="lt-LT"/>
        </w:rPr>
      </w:pPr>
      <w:r w:rsidRPr="00640D24">
        <w:rPr>
          <w:noProof/>
          <w:lang w:eastAsia="lt-LT"/>
        </w:rPr>
        <w:lastRenderedPageBreak/>
        <w:drawing>
          <wp:inline distT="0" distB="0" distL="0" distR="0" wp14:anchorId="4DAA2597" wp14:editId="1370ECE5">
            <wp:extent cx="6003235" cy="3697357"/>
            <wp:effectExtent l="0" t="0" r="0" b="0"/>
            <wp:docPr id="38" name="Chart 1">
              <a:extLst xmlns:a="http://schemas.openxmlformats.org/drawingml/2006/main">
                <a:ext uri="{FF2B5EF4-FFF2-40B4-BE49-F238E27FC236}">
                  <a16:creationId xmlns:a16="http://schemas.microsoft.com/office/drawing/2014/main" id="{00000000-0008-0000-07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276045D" w14:textId="53B3C248" w:rsidR="00F02B69" w:rsidRPr="00640D24" w:rsidRDefault="004D58EE" w:rsidP="00F02B69">
      <w:pPr>
        <w:pStyle w:val="Lentelespav"/>
      </w:pPr>
      <w:r w:rsidRPr="00640D24">
        <w:t>Paveiklas Nr. 16</w:t>
      </w:r>
      <w:r w:rsidR="00F02B69" w:rsidRPr="00640D24">
        <w:t>. Planuojamas investicijų atlikimas/ nukreipimas</w:t>
      </w:r>
    </w:p>
    <w:p w14:paraId="14C8E6ED" w14:textId="2AE1742C" w:rsidR="00F02B69" w:rsidRPr="00640D24" w:rsidRDefault="00F02B69">
      <w:pPr>
        <w:pStyle w:val="Lentelespav"/>
        <w:rPr>
          <w:sz w:val="20"/>
        </w:rPr>
      </w:pPr>
      <w:r w:rsidRPr="00640D24">
        <w:rPr>
          <w:sz w:val="20"/>
        </w:rPr>
        <w:t>Šaltinis: sudaryta Vertintojų</w:t>
      </w:r>
    </w:p>
    <w:p w14:paraId="7D6B1AA7" w14:textId="3BFA419B" w:rsidR="009F5241" w:rsidRPr="00640D24" w:rsidRDefault="009F5241" w:rsidP="006B75C9">
      <w:pPr>
        <w:spacing w:before="60" w:after="60" w:line="240" w:lineRule="auto"/>
        <w:ind w:firstLine="567"/>
        <w:jc w:val="both"/>
        <w:rPr>
          <w:rFonts w:cs="Times New Roman"/>
          <w:sz w:val="22"/>
          <w:szCs w:val="22"/>
        </w:rPr>
      </w:pPr>
      <w:r w:rsidRPr="00640D24">
        <w:rPr>
          <w:rFonts w:cs="Times New Roman"/>
          <w:sz w:val="22"/>
          <w:szCs w:val="22"/>
        </w:rPr>
        <w:t>Vertinant priežastis, kodėl įmonės nėra pasirengusios investicinių projektų ateinantiems keliems metams, didžioji dalis respondentų nurodė, kad neplanuoja investicijų dėl prastos ekonominės situacijos: 24 proc. įmonių nurodė, kad susiduria su gaminamos produkcijos realizavimo problemomis, o 26 proc. nurodė, kad susiduria su finansiniais sunkumais. Dar bene penktadalis įmonių nurodė, kad neinvestuos, nes neseniai atliko investicijas ir nemato poreikio. Dar 17 proc. respondentų nurodė, kad investuotų, tačiau jų netenkina dabartinės išorinio finansavimo sąlygos. Likę 14 proc. įmonių nurodė kitus veiksnius.</w:t>
      </w:r>
    </w:p>
    <w:p w14:paraId="77BAAAFE" w14:textId="2104F5D4" w:rsidR="00DE2A44" w:rsidRPr="00640D24" w:rsidRDefault="009F5241" w:rsidP="00DE79C4">
      <w:pPr>
        <w:spacing w:after="0"/>
        <w:jc w:val="both"/>
        <w:rPr>
          <w:rStyle w:val="LentelespavDiagrama"/>
          <w:sz w:val="22"/>
        </w:rPr>
      </w:pPr>
      <w:r w:rsidRPr="00640D24">
        <w:rPr>
          <w:noProof/>
          <w:lang w:eastAsia="lt-LT"/>
        </w:rPr>
        <w:drawing>
          <wp:inline distT="0" distB="0" distL="0" distR="0" wp14:anchorId="6F322B79" wp14:editId="755017F9">
            <wp:extent cx="6162040" cy="2613804"/>
            <wp:effectExtent l="0" t="0" r="0" b="0"/>
            <wp:docPr id="27" name="Chart 1">
              <a:extLst xmlns:a="http://schemas.openxmlformats.org/drawingml/2006/main">
                <a:ext uri="{FF2B5EF4-FFF2-40B4-BE49-F238E27FC236}">
                  <a16:creationId xmlns:a16="http://schemas.microsoft.com/office/drawing/2014/main" id="{6D4F505F-5F71-9B51-FB3A-32C4C6E62A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DE2A44" w:rsidRPr="00640D24">
        <w:rPr>
          <w:rStyle w:val="LentelespavDiagrama"/>
          <w:sz w:val="22"/>
        </w:rPr>
        <w:t xml:space="preserve">Paveikslas Nr. </w:t>
      </w:r>
      <w:r w:rsidR="004D58EE" w:rsidRPr="00640D24">
        <w:rPr>
          <w:rStyle w:val="LentelespavDiagrama"/>
          <w:sz w:val="22"/>
        </w:rPr>
        <w:t>17</w:t>
      </w:r>
      <w:r w:rsidR="00DE2A44" w:rsidRPr="00640D24">
        <w:rPr>
          <w:rStyle w:val="LentelespavDiagrama"/>
          <w:sz w:val="22"/>
        </w:rPr>
        <w:t>. Nurodėte, kad neplanuojate investuoti į investicinius projektus</w:t>
      </w:r>
      <w:r w:rsidR="00903242" w:rsidRPr="00640D24">
        <w:rPr>
          <w:rStyle w:val="LentelespavDiagrama"/>
          <w:sz w:val="22"/>
        </w:rPr>
        <w:t>,</w:t>
      </w:r>
      <w:r w:rsidR="00DE2A44" w:rsidRPr="00640D24">
        <w:rPr>
          <w:rStyle w:val="LentelespavDiagrama"/>
          <w:sz w:val="22"/>
        </w:rPr>
        <w:t xml:space="preserve"> kokie veiksniai riboja jūsų investicijas</w:t>
      </w:r>
      <w:r w:rsidRPr="00640D24">
        <w:rPr>
          <w:rStyle w:val="LentelespavDiagrama"/>
          <w:sz w:val="22"/>
        </w:rPr>
        <w:t xml:space="preserve">? </w:t>
      </w:r>
    </w:p>
    <w:p w14:paraId="5D99E9C7" w14:textId="4F3EBF98" w:rsidR="00DE2A44" w:rsidRPr="00640D24" w:rsidRDefault="00DE2A44" w:rsidP="009E5BC4">
      <w:pPr>
        <w:jc w:val="both"/>
        <w:rPr>
          <w:rFonts w:cs="Times New Roman"/>
          <w:i/>
          <w:noProof/>
          <w:sz w:val="22"/>
        </w:rPr>
      </w:pPr>
      <w:r w:rsidRPr="00640D24">
        <w:rPr>
          <w:rStyle w:val="LentelespavDiagrama"/>
          <w:sz w:val="18"/>
        </w:rPr>
        <w:t>Šaltinis: sudaryta Vertintojų</w:t>
      </w:r>
    </w:p>
    <w:p w14:paraId="0F008B31" w14:textId="77777777" w:rsidR="009F5241" w:rsidRPr="00640D24" w:rsidRDefault="009F5241" w:rsidP="00344FB7">
      <w:pPr>
        <w:spacing w:before="60" w:after="60" w:line="240" w:lineRule="auto"/>
        <w:ind w:firstLine="567"/>
        <w:jc w:val="both"/>
        <w:rPr>
          <w:rFonts w:cs="Times New Roman"/>
          <w:sz w:val="22"/>
        </w:rPr>
      </w:pPr>
      <w:r w:rsidRPr="00640D24">
        <w:rPr>
          <w:rFonts w:cs="Times New Roman"/>
          <w:sz w:val="22"/>
        </w:rPr>
        <w:lastRenderedPageBreak/>
        <w:t xml:space="preserve">Įmonės atstovų, kurie nurodė apklausoje, jog neplanuoja investicijų dėl nepatrauklių išorinio finansavimo sąlygų, buvo prašoma nurodyti, kokie veiksniai, riboja išorinio finansavimo patrauklumą/ prieinamumą. Respondentai negalėjo identifikuoti vieno pagrindinio veiksnio. Vis dėlto, daugiausiai respondentų netenkino finansavimo kaina (19 proc.) ir administracinė našta (19 proc.). Taip pat svarios nurodytos priežastys buvo per dideli užstato reikalavimai (14 proc.), per didelė reikalaujama nuosavų lėšų dalis (16 proc.) ir per maža suteikiama finansavimo suma (15 proc.). </w:t>
      </w:r>
    </w:p>
    <w:p w14:paraId="22E892BF" w14:textId="4162F62F" w:rsidR="009F5241" w:rsidRPr="00640D24" w:rsidRDefault="009F5241" w:rsidP="00DE79C4">
      <w:pPr>
        <w:spacing w:after="0"/>
        <w:jc w:val="both"/>
        <w:rPr>
          <w:rStyle w:val="LentelespavDiagrama"/>
          <w:sz w:val="22"/>
        </w:rPr>
      </w:pPr>
      <w:r w:rsidRPr="00640D24">
        <w:rPr>
          <w:noProof/>
          <w:lang w:eastAsia="lt-LT"/>
        </w:rPr>
        <w:drawing>
          <wp:inline distT="0" distB="0" distL="0" distR="0" wp14:anchorId="7F101067" wp14:editId="119A477D">
            <wp:extent cx="6106160" cy="2648309"/>
            <wp:effectExtent l="0" t="0" r="8890" b="0"/>
            <wp:docPr id="1908790691" name="Chart 1">
              <a:extLst xmlns:a="http://schemas.openxmlformats.org/drawingml/2006/main">
                <a:ext uri="{FF2B5EF4-FFF2-40B4-BE49-F238E27FC236}">
                  <a16:creationId xmlns:a16="http://schemas.microsoft.com/office/drawing/2014/main" id="{4C77F52E-4693-2EB4-0182-BBCDA3D794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4D58EE" w:rsidRPr="00640D24">
        <w:rPr>
          <w:rStyle w:val="LentelespavDiagrama"/>
          <w:sz w:val="22"/>
        </w:rPr>
        <w:t>Paveikslas Nr. 18</w:t>
      </w:r>
      <w:r w:rsidR="00C75B42" w:rsidRPr="00640D24">
        <w:rPr>
          <w:rStyle w:val="LentelespavDiagrama"/>
          <w:sz w:val="22"/>
        </w:rPr>
        <w:t xml:space="preserve">. Kokie veiksniai riboja išorinio finansavimo prieinamumą? </w:t>
      </w:r>
    </w:p>
    <w:p w14:paraId="098D5814" w14:textId="6B5707BA" w:rsidR="00C75B42" w:rsidRPr="00640D24" w:rsidRDefault="00C75B42" w:rsidP="006B75C9">
      <w:pPr>
        <w:jc w:val="both"/>
        <w:rPr>
          <w:rFonts w:cs="Times New Roman"/>
          <w:sz w:val="18"/>
        </w:rPr>
      </w:pPr>
      <w:r w:rsidRPr="00640D24">
        <w:rPr>
          <w:rStyle w:val="LentelespavDiagrama"/>
          <w:sz w:val="18"/>
        </w:rPr>
        <w:t>Šaltinis: sudaryta Vertintojų</w:t>
      </w:r>
    </w:p>
    <w:p w14:paraId="4F5268DA" w14:textId="62DAB004" w:rsidR="009F5241" w:rsidRPr="00640D24" w:rsidRDefault="009F5241" w:rsidP="00344FB7">
      <w:pPr>
        <w:spacing w:before="60" w:after="60" w:line="240" w:lineRule="auto"/>
        <w:ind w:firstLine="567"/>
        <w:jc w:val="both"/>
        <w:rPr>
          <w:rFonts w:cs="Times New Roman"/>
          <w:sz w:val="22"/>
        </w:rPr>
      </w:pPr>
      <w:r w:rsidRPr="00640D24">
        <w:rPr>
          <w:rFonts w:cs="Times New Roman"/>
          <w:sz w:val="22"/>
        </w:rPr>
        <w:t>Analizuojant respondentų atsakymus apie bankroto rizikas netolimoje ateityje (6</w:t>
      </w:r>
      <w:r w:rsidR="00645085" w:rsidRPr="00640D24">
        <w:rPr>
          <w:rFonts w:cs="Times New Roman"/>
          <w:sz w:val="22"/>
        </w:rPr>
        <w:t>–</w:t>
      </w:r>
      <w:r w:rsidRPr="00640D24">
        <w:rPr>
          <w:rFonts w:cs="Times New Roman"/>
          <w:sz w:val="22"/>
        </w:rPr>
        <w:t>12 mėnesių), dažniausiai responde</w:t>
      </w:r>
      <w:r w:rsidR="00F273C0" w:rsidRPr="00640D24">
        <w:rPr>
          <w:rFonts w:cs="Times New Roman"/>
          <w:sz w:val="22"/>
        </w:rPr>
        <w:t>ntai įvardino (46 proc.</w:t>
      </w:r>
      <w:r w:rsidRPr="00640D24">
        <w:rPr>
          <w:rFonts w:cs="Times New Roman"/>
          <w:sz w:val="22"/>
        </w:rPr>
        <w:t>), jog jų atstovaujamų įmonių finansinė padėtis nepasikeis. Taip pat, galima pastebėti, kad daugiau įmonių atstovų netolimoje ateityje finansinę padėtį vertina pozityviai, o ne negatyviai. 31 pr</w:t>
      </w:r>
      <w:r w:rsidR="00F273C0" w:rsidRPr="00640D24">
        <w:rPr>
          <w:rFonts w:cs="Times New Roman"/>
          <w:sz w:val="22"/>
        </w:rPr>
        <w:t>oc.</w:t>
      </w:r>
      <w:r w:rsidRPr="00640D24">
        <w:rPr>
          <w:rFonts w:cs="Times New Roman"/>
          <w:sz w:val="22"/>
        </w:rPr>
        <w:t xml:space="preserve"> apklaustųjų teigė, kad </w:t>
      </w:r>
      <w:r w:rsidR="0011677D" w:rsidRPr="00640D24">
        <w:rPr>
          <w:rFonts w:cs="Times New Roman"/>
          <w:sz w:val="22"/>
        </w:rPr>
        <w:t>finansinė padėtis pagerės ir 2 proc.</w:t>
      </w:r>
      <w:r w:rsidRPr="00640D24">
        <w:rPr>
          <w:rFonts w:cs="Times New Roman"/>
          <w:sz w:val="22"/>
        </w:rPr>
        <w:t xml:space="preserve"> atsakė, jog piniginė padėtis labai pagerės. Tuo tarpu, 12 proc. apklaustųjų vertino, kad finansinė padėtis suprastės ir 2 proc., kad labai suprastės. </w:t>
      </w:r>
    </w:p>
    <w:p w14:paraId="278D4744" w14:textId="7A9F701A" w:rsidR="009F5241" w:rsidRPr="00640D24" w:rsidRDefault="009F5241" w:rsidP="00DE79C4">
      <w:pPr>
        <w:spacing w:after="0"/>
        <w:jc w:val="both"/>
        <w:rPr>
          <w:rStyle w:val="LentelespavDiagrama"/>
          <w:sz w:val="22"/>
        </w:rPr>
      </w:pPr>
      <w:r w:rsidRPr="00640D24">
        <w:rPr>
          <w:noProof/>
          <w:lang w:eastAsia="lt-LT"/>
        </w:rPr>
        <w:drawing>
          <wp:inline distT="0" distB="0" distL="0" distR="0" wp14:anchorId="3C0F0C21" wp14:editId="5E331E6E">
            <wp:extent cx="6130290" cy="2870421"/>
            <wp:effectExtent l="0" t="0" r="3810" b="6350"/>
            <wp:docPr id="1604380538" name="Chart 1">
              <a:extLst xmlns:a="http://schemas.openxmlformats.org/drawingml/2006/main">
                <a:ext uri="{FF2B5EF4-FFF2-40B4-BE49-F238E27FC236}">
                  <a16:creationId xmlns:a16="http://schemas.microsoft.com/office/drawing/2014/main" id="{54E547DD-A403-ACB8-2D79-C8CD7D679C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4D58EE" w:rsidRPr="00640D24">
        <w:rPr>
          <w:rStyle w:val="LentelespavDiagrama"/>
          <w:sz w:val="22"/>
        </w:rPr>
        <w:t>Paveikslas Nr. 19</w:t>
      </w:r>
      <w:r w:rsidR="00F30DF2" w:rsidRPr="00640D24">
        <w:rPr>
          <w:rStyle w:val="LentelespavDiagrama"/>
          <w:sz w:val="22"/>
        </w:rPr>
        <w:t>. Į</w:t>
      </w:r>
      <w:r w:rsidR="00C75B42" w:rsidRPr="00640D24">
        <w:rPr>
          <w:rStyle w:val="LentelespavDiagrama"/>
          <w:sz w:val="22"/>
        </w:rPr>
        <w:t>vertinkite kaip per ateinantį 6</w:t>
      </w:r>
      <w:r w:rsidR="00645085" w:rsidRPr="00640D24">
        <w:rPr>
          <w:rStyle w:val="LentelespavDiagrama"/>
          <w:sz w:val="22"/>
        </w:rPr>
        <w:t>–</w:t>
      </w:r>
      <w:r w:rsidR="00C75B42" w:rsidRPr="00640D24">
        <w:rPr>
          <w:rStyle w:val="LentelespavDiagrama"/>
          <w:sz w:val="22"/>
        </w:rPr>
        <w:t>12 mėnesių laikotarpį pasikeis jūsų atstova</w:t>
      </w:r>
      <w:r w:rsidR="00903242" w:rsidRPr="00640D24">
        <w:rPr>
          <w:rStyle w:val="LentelespavDiagrama"/>
          <w:sz w:val="22"/>
        </w:rPr>
        <w:t>ujamos įmonės finansinė padėtis?</w:t>
      </w:r>
    </w:p>
    <w:p w14:paraId="0357838E" w14:textId="19FFCC6F" w:rsidR="00F30DF2" w:rsidRPr="00640D24" w:rsidRDefault="00F30DF2" w:rsidP="009E5BC4">
      <w:pPr>
        <w:jc w:val="both"/>
        <w:rPr>
          <w:rFonts w:ascii="Trebuchet MS" w:hAnsi="Trebuchet MS"/>
          <w:color w:val="595959" w:themeColor="text1" w:themeTint="A6"/>
          <w:sz w:val="18"/>
        </w:rPr>
      </w:pPr>
      <w:r w:rsidRPr="00640D24">
        <w:rPr>
          <w:rStyle w:val="LentelespavDiagrama"/>
          <w:sz w:val="18"/>
        </w:rPr>
        <w:t>Šaltinis: sudaryta Vertintojų</w:t>
      </w:r>
    </w:p>
    <w:p w14:paraId="71F3CDE6" w14:textId="6F01814D" w:rsidR="009F5241" w:rsidRPr="00640D24" w:rsidRDefault="009F5241" w:rsidP="00344FB7">
      <w:pPr>
        <w:spacing w:before="60" w:after="60" w:line="240" w:lineRule="auto"/>
        <w:ind w:firstLine="567"/>
        <w:jc w:val="both"/>
        <w:rPr>
          <w:rFonts w:cs="Times New Roman"/>
          <w:sz w:val="22"/>
        </w:rPr>
      </w:pPr>
      <w:r w:rsidRPr="00640D24">
        <w:rPr>
          <w:rFonts w:cs="Times New Roman"/>
          <w:sz w:val="22"/>
        </w:rPr>
        <w:lastRenderedPageBreak/>
        <w:t xml:space="preserve">Respondentai, kurie atsakė, kad jų atstovaujamos įmonės finansinė padėtis netolimoje ateityje išliks nepatikus arba suprastės taip pat įvertino bankroto rizikas. Dauguma apklaustųjų (72 proc.), teigė, kad bankroto rizika išliks nepakitusi. Kita vertus, 17 proc. apklaustųjų teigė, kad bankroto rizika šiek tiek padidės, 5 proc. nurodė, kad reikšmingai padidės, dar 8 proc. nurodė, kad vidutiniškai arba reikšmingai padidės. Tik 2 proc. respondentų nurodė, kad, tikėtina, jog įmonė bankrutuos.  Šie apklausos rezultatai </w:t>
      </w:r>
      <w:r w:rsidR="0070784F" w:rsidRPr="00640D24">
        <w:rPr>
          <w:rFonts w:cs="Times New Roman"/>
          <w:sz w:val="22"/>
        </w:rPr>
        <w:t>parodo</w:t>
      </w:r>
      <w:r w:rsidRPr="00640D24">
        <w:rPr>
          <w:rFonts w:cs="Times New Roman"/>
          <w:sz w:val="22"/>
        </w:rPr>
        <w:t>, kad nepaisant šiuo metu egzistuojančio aukšto ekonominio neapibrėžtumo ir įtemtos finansinės įmonių situacijos, įmonių bankroto rizika nėra reikšmingai išaugusi.</w:t>
      </w:r>
    </w:p>
    <w:p w14:paraId="6C95A529" w14:textId="09FF7BB0" w:rsidR="009F5241" w:rsidRPr="00640D24" w:rsidRDefault="009F5241" w:rsidP="00DE79C4">
      <w:pPr>
        <w:spacing w:after="0"/>
        <w:jc w:val="both"/>
        <w:rPr>
          <w:rStyle w:val="LentelespavDiagrama"/>
          <w:sz w:val="22"/>
        </w:rPr>
      </w:pPr>
      <w:r w:rsidRPr="00640D24">
        <w:rPr>
          <w:noProof/>
          <w:lang w:eastAsia="lt-LT"/>
        </w:rPr>
        <w:drawing>
          <wp:inline distT="0" distB="0" distL="0" distR="0" wp14:anchorId="4D7755EB" wp14:editId="11F7ACC5">
            <wp:extent cx="6130290" cy="2321781"/>
            <wp:effectExtent l="0" t="0" r="3810" b="2540"/>
            <wp:docPr id="178258394" name="Chart 1">
              <a:extLst xmlns:a="http://schemas.openxmlformats.org/drawingml/2006/main">
                <a:ext uri="{FF2B5EF4-FFF2-40B4-BE49-F238E27FC236}">
                  <a16:creationId xmlns:a16="http://schemas.microsoft.com/office/drawing/2014/main" id="{40DE5B27-13AA-7C5E-5442-35124975B5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4D58EE" w:rsidRPr="00640D24">
        <w:rPr>
          <w:rStyle w:val="LentelespavDiagrama"/>
          <w:sz w:val="22"/>
        </w:rPr>
        <w:t>Paveikslas Nr. 20</w:t>
      </w:r>
      <w:r w:rsidR="00F30DF2" w:rsidRPr="00640D24">
        <w:rPr>
          <w:rStyle w:val="LentelespavDiagrama"/>
          <w:sz w:val="22"/>
        </w:rPr>
        <w:t xml:space="preserve">. Įvertinkite ar, esant tokiai situacijai, padidės jūsų atstovaujamos įmonės bankroto rizika? </w:t>
      </w:r>
    </w:p>
    <w:p w14:paraId="6549F205" w14:textId="6064A32A" w:rsidR="00F30DF2" w:rsidRPr="00640D24" w:rsidRDefault="00F30DF2" w:rsidP="009E5BC4">
      <w:pPr>
        <w:jc w:val="both"/>
        <w:rPr>
          <w:rFonts w:cs="Times New Roman"/>
          <w:sz w:val="18"/>
        </w:rPr>
      </w:pPr>
      <w:r w:rsidRPr="00640D24">
        <w:rPr>
          <w:rStyle w:val="LentelespavDiagrama"/>
          <w:sz w:val="18"/>
        </w:rPr>
        <w:t>Šaltinis: sudaryta Vertintojų</w:t>
      </w:r>
    </w:p>
    <w:p w14:paraId="12634CE7" w14:textId="77777777" w:rsidR="00F13F67" w:rsidRPr="00640D24" w:rsidRDefault="00F13F67" w:rsidP="009E5BC4">
      <w:pPr>
        <w:rPr>
          <w:rFonts w:cs="Times New Roman"/>
          <w:i/>
          <w:sz w:val="28"/>
        </w:rPr>
        <w:sectPr w:rsidR="00F13F67" w:rsidRPr="00640D24" w:rsidSect="00AF7B56">
          <w:footerReference w:type="first" r:id="rId32"/>
          <w:pgSz w:w="11906" w:h="16838"/>
          <w:pgMar w:top="1701" w:right="567" w:bottom="1134" w:left="1701" w:header="567" w:footer="567" w:gutter="0"/>
          <w:cols w:space="1296"/>
          <w:docGrid w:linePitch="360"/>
        </w:sectPr>
      </w:pPr>
    </w:p>
    <w:p w14:paraId="4A074AF6" w14:textId="3B20DF8E" w:rsidR="00C80832" w:rsidRPr="00640D24" w:rsidRDefault="00C80832" w:rsidP="00C80832">
      <w:pPr>
        <w:pStyle w:val="Antrat1"/>
        <w:spacing w:before="60" w:after="60" w:line="240" w:lineRule="auto"/>
        <w:rPr>
          <w:rFonts w:ascii="Times New Roman" w:hAnsi="Times New Roman" w:cs="Times New Roman"/>
          <w:b/>
          <w:bCs/>
          <w:color w:val="auto"/>
          <w:sz w:val="28"/>
          <w:szCs w:val="28"/>
        </w:rPr>
      </w:pPr>
      <w:bookmarkStart w:id="130" w:name="_Toc146812412"/>
      <w:r w:rsidRPr="00640D24">
        <w:rPr>
          <w:rFonts w:ascii="Times New Roman" w:hAnsi="Times New Roman" w:cs="Times New Roman"/>
          <w:b/>
          <w:bCs/>
          <w:color w:val="auto"/>
          <w:sz w:val="28"/>
          <w:szCs w:val="28"/>
        </w:rPr>
        <w:lastRenderedPageBreak/>
        <w:t>6 priedas. DĮ apklausos rezultatai</w:t>
      </w:r>
      <w:bookmarkEnd w:id="130"/>
    </w:p>
    <w:p w14:paraId="4295FF64" w14:textId="7011ED18" w:rsidR="009F5241" w:rsidRPr="00640D24" w:rsidRDefault="009F5241" w:rsidP="00DE79C4">
      <w:pPr>
        <w:spacing w:before="120" w:after="60" w:line="240" w:lineRule="auto"/>
        <w:ind w:firstLine="567"/>
        <w:jc w:val="both"/>
        <w:rPr>
          <w:rFonts w:cs="Calibri"/>
          <w:sz w:val="22"/>
        </w:rPr>
      </w:pPr>
      <w:bookmarkStart w:id="131" w:name="_Hlk143546694"/>
      <w:r w:rsidRPr="00640D24">
        <w:rPr>
          <w:rFonts w:cs="Calibri"/>
          <w:sz w:val="22"/>
        </w:rPr>
        <w:t>Verslo subjektų planuojamų investicijų paklausai bei finansavimo poreikiui nustatyti buvo atlikta Lietuvos verslo subjektų apklausa, vykdyta 2023 m. liepos 4 d.</w:t>
      </w:r>
      <w:r w:rsidR="00F273C0" w:rsidRPr="00640D24">
        <w:rPr>
          <w:rFonts w:cs="Calibri"/>
          <w:sz w:val="22"/>
        </w:rPr>
        <w:t xml:space="preserve"> </w:t>
      </w:r>
      <w:r w:rsidRPr="00640D24">
        <w:rPr>
          <w:rFonts w:cs="Calibri"/>
          <w:sz w:val="22"/>
        </w:rPr>
        <w:t>– 2023 m. liepos 24 d. Apklausos metu buvo apklausti 49 verslo subjektai, veikiantys apdirbamosios gamybos sektoriuje. Apklausą Vertintojų užsakymu įvykdė tyrimų bendrovė „Norstat“.</w:t>
      </w:r>
    </w:p>
    <w:bookmarkEnd w:id="131"/>
    <w:p w14:paraId="0F737A98" w14:textId="76C0233B" w:rsidR="009F5241" w:rsidRPr="00640D24" w:rsidRDefault="009F5241" w:rsidP="00585838">
      <w:pPr>
        <w:spacing w:before="60" w:after="60" w:line="240" w:lineRule="auto"/>
        <w:ind w:firstLine="567"/>
        <w:jc w:val="both"/>
        <w:rPr>
          <w:rFonts w:cs="Calibri"/>
          <w:sz w:val="22"/>
        </w:rPr>
      </w:pPr>
      <w:r w:rsidRPr="00640D24">
        <w:rPr>
          <w:rFonts w:cs="Calibri"/>
          <w:sz w:val="22"/>
          <w:u w:val="single"/>
        </w:rPr>
        <w:t>Reprezentatyvios kvotos nebuvo taikomos šiai apklausai. Iš viso metų pradžioje tokių įmonių buvo 147</w:t>
      </w:r>
      <w:r w:rsidRPr="00640D24">
        <w:rPr>
          <w:rFonts w:cs="Calibri"/>
          <w:sz w:val="22"/>
        </w:rPr>
        <w:t>, jog būtų užtikrintas reprezentatyvumas Lietuvos mastu, reikėjo apklausti 107 įmones.</w:t>
      </w:r>
      <w:r w:rsidR="00A86143" w:rsidRPr="00640D24">
        <w:rPr>
          <w:rFonts w:cs="Calibri"/>
          <w:sz w:val="22"/>
        </w:rPr>
        <w:t xml:space="preserve"> </w:t>
      </w:r>
    </w:p>
    <w:p w14:paraId="25424A8F" w14:textId="06C21698" w:rsidR="009F5241" w:rsidRPr="00640D24" w:rsidRDefault="009F5241" w:rsidP="00585838">
      <w:pPr>
        <w:spacing w:before="60" w:after="60" w:line="240" w:lineRule="auto"/>
        <w:ind w:firstLine="567"/>
        <w:jc w:val="both"/>
        <w:rPr>
          <w:rFonts w:cs="Calibri"/>
          <w:sz w:val="22"/>
        </w:rPr>
      </w:pPr>
      <w:r w:rsidRPr="00640D24">
        <w:rPr>
          <w:rFonts w:cs="Calibri"/>
          <w:sz w:val="22"/>
        </w:rPr>
        <w:t xml:space="preserve">Respondentų, atstovaujančių įmones, pasiskirstymas pagal regionus yra pateikiamas žemiau esančiame paveiksle. Kaip galima matyti, apklaustų įmonių proporcingumas iš esmės atitinka Lietuvoje veikiančių įmonių pasiskirstymą pagal regionus. Didžioji dalis (88 proc.) apklausoje dalyvavusių įmonių yra įsikūrusios Vidurio ir Vakarų Lietuvos regione. Likusi apklausoje dalyvavusių respondentų dalis (12 proc.) įsikūrusi Sostinės regione. </w:t>
      </w:r>
    </w:p>
    <w:p w14:paraId="7B33254A" w14:textId="02D1BF50" w:rsidR="009F5241" w:rsidRPr="00640D24" w:rsidRDefault="000B1248" w:rsidP="009E5BC4">
      <w:pPr>
        <w:spacing w:after="0"/>
        <w:jc w:val="both"/>
        <w:rPr>
          <w:rStyle w:val="LentelespavDiagrama"/>
          <w:sz w:val="22"/>
        </w:rPr>
      </w:pPr>
      <w:r w:rsidRPr="00640D24">
        <w:rPr>
          <w:noProof/>
          <w:lang w:eastAsia="lt-LT"/>
        </w:rPr>
        <w:drawing>
          <wp:inline distT="0" distB="0" distL="0" distR="0" wp14:anchorId="3D9CDC90" wp14:editId="0B302A92">
            <wp:extent cx="6124575" cy="2800350"/>
            <wp:effectExtent l="0" t="0" r="0" b="0"/>
            <wp:docPr id="13" name="Chart 13">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8B1EE2" w:rsidRPr="00640D24">
        <w:rPr>
          <w:rStyle w:val="LentelespavDiagrama"/>
          <w:sz w:val="22"/>
        </w:rPr>
        <w:t>Paveikslas Nr. 2</w:t>
      </w:r>
      <w:r w:rsidR="004D58EE" w:rsidRPr="00640D24">
        <w:rPr>
          <w:rStyle w:val="LentelespavDiagrama"/>
          <w:sz w:val="22"/>
        </w:rPr>
        <w:t>1</w:t>
      </w:r>
      <w:r w:rsidR="008B1EE2" w:rsidRPr="00640D24">
        <w:rPr>
          <w:rStyle w:val="LentelespavDiagrama"/>
          <w:sz w:val="22"/>
        </w:rPr>
        <w:t xml:space="preserve">. Nurodykite, kurioje </w:t>
      </w:r>
      <w:r w:rsidR="00D57F13" w:rsidRPr="00640D24">
        <w:rPr>
          <w:rStyle w:val="LentelespavDiagrama"/>
          <w:sz w:val="22"/>
        </w:rPr>
        <w:t>apskrityje yra jūsų įmonė</w:t>
      </w:r>
    </w:p>
    <w:p w14:paraId="2806EC20" w14:textId="56B834A4" w:rsidR="009F5241" w:rsidRPr="00640D24" w:rsidRDefault="008B1EE2" w:rsidP="009E5BC4">
      <w:pPr>
        <w:spacing w:after="0"/>
        <w:jc w:val="both"/>
      </w:pPr>
      <w:r w:rsidRPr="00640D24">
        <w:rPr>
          <w:rStyle w:val="LentelespavDiagrama"/>
          <w:sz w:val="18"/>
        </w:rPr>
        <w:t>Šaltinis: sudaryta Vertintojų</w:t>
      </w:r>
      <w:r w:rsidRPr="00640D24">
        <w:rPr>
          <w:rStyle w:val="LentelespavDiagrama"/>
          <w:sz w:val="22"/>
        </w:rPr>
        <w:t xml:space="preserve"> </w:t>
      </w:r>
    </w:p>
    <w:p w14:paraId="5220CA29" w14:textId="77777777" w:rsidR="00097341" w:rsidRPr="00640D24" w:rsidRDefault="00097341" w:rsidP="00097341">
      <w:pPr>
        <w:spacing w:before="60" w:after="60" w:line="240" w:lineRule="auto"/>
        <w:ind w:firstLine="562"/>
        <w:jc w:val="both"/>
        <w:rPr>
          <w:sz w:val="22"/>
          <w:szCs w:val="22"/>
        </w:rPr>
      </w:pPr>
      <w:r w:rsidRPr="00640D24">
        <w:rPr>
          <w:sz w:val="22"/>
          <w:szCs w:val="22"/>
        </w:rPr>
        <w:t xml:space="preserve">Finansavimo lėšų poreikis pažangių gamybos technologijų vystymui ir diegimui ir pramonės transformacijos skatinimui, pereinant prie klimatui neutralios gamybos, buvo apskaičiuoti remiantis reprezentatyvia DĮ įmonių apklausa. Žemiau esančiame paveiksle pateikiami pramonės įmonių atsakymai apie suplanuotų projektų srautą ateinantiems 1–3 metams. Nors 12 proc. pramonės sektoriaus įmonių Lietuvoje nėra suplanavusi projektų, didžioji dalis įmonių per artimiausius metus planuoja atlikti investicijas. Šiek tiek daugiau įmonių (88 proc.) yra pasirengę investicinius projektus Vidurio ir Vakarų Lietuvos regione nei Sostinės regione (83 proc.). </w:t>
      </w:r>
    </w:p>
    <w:p w14:paraId="4EF86707" w14:textId="77777777" w:rsidR="00097341" w:rsidRPr="00640D24" w:rsidRDefault="00097341" w:rsidP="00097341">
      <w:pPr>
        <w:spacing w:before="60" w:after="60" w:line="240" w:lineRule="auto"/>
        <w:ind w:firstLine="562"/>
        <w:jc w:val="both"/>
        <w:rPr>
          <w:sz w:val="22"/>
          <w:szCs w:val="22"/>
        </w:rPr>
      </w:pPr>
      <w:r w:rsidRPr="00640D24">
        <w:rPr>
          <w:sz w:val="22"/>
          <w:szCs w:val="22"/>
        </w:rPr>
        <w:t>Atliktos Lietuvos pramoninkų konfederacijos anketinės apklausos metu, 84 proc. respondentų atsakė, jog ateinantiems 1–2 metams yra pasirengę investicinius projektus, tarp šių respondentų yra 31 proc. didelių įmonių, kas iš dalies papildo reprezentatyvią didelių įmonių apklausą (priedas Nr. 7).</w:t>
      </w:r>
    </w:p>
    <w:p w14:paraId="2A95531B" w14:textId="0A6483AE" w:rsidR="00097341" w:rsidRPr="00640D24" w:rsidRDefault="00097341" w:rsidP="00097341">
      <w:pPr>
        <w:spacing w:after="0"/>
        <w:jc w:val="both"/>
        <w:rPr>
          <w:rFonts w:cs="Times New Roman"/>
          <w:i/>
          <w:sz w:val="22"/>
          <w:szCs w:val="22"/>
        </w:rPr>
      </w:pPr>
      <w:r w:rsidRPr="00640D24">
        <w:rPr>
          <w:noProof/>
          <w:lang w:eastAsia="lt-LT"/>
        </w:rPr>
        <w:lastRenderedPageBreak/>
        <w:drawing>
          <wp:inline distT="0" distB="0" distL="0" distR="0" wp14:anchorId="3AE2E338" wp14:editId="2D33AAB2">
            <wp:extent cx="6114415" cy="2377440"/>
            <wp:effectExtent l="0" t="0" r="635" b="381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004D58EE" w:rsidRPr="00640D24">
        <w:rPr>
          <w:rFonts w:cs="Times New Roman"/>
          <w:i/>
          <w:sz w:val="22"/>
          <w:szCs w:val="22"/>
        </w:rPr>
        <w:t>Paveikslas Nr. 22</w:t>
      </w:r>
      <w:r w:rsidRPr="00640D24">
        <w:rPr>
          <w:rFonts w:cs="Times New Roman"/>
          <w:i/>
          <w:sz w:val="22"/>
          <w:szCs w:val="22"/>
        </w:rPr>
        <w:t>. Kalbėdami apie investicijas ir investicinius projektus, nurodykite ar šiems, ar ateinantiems keliems metams esate pasirengę investicinius projektus?</w:t>
      </w:r>
      <w:r w:rsidRPr="00640D24" w:rsidDel="001B279E">
        <w:rPr>
          <w:rFonts w:cs="Times New Roman"/>
          <w:i/>
          <w:sz w:val="22"/>
          <w:szCs w:val="22"/>
        </w:rPr>
        <w:t xml:space="preserve"> </w:t>
      </w:r>
    </w:p>
    <w:p w14:paraId="3DA20B4D" w14:textId="77777777" w:rsidR="00097341" w:rsidRPr="00640D24" w:rsidRDefault="00097341" w:rsidP="00097341">
      <w:pPr>
        <w:spacing w:after="0"/>
        <w:jc w:val="both"/>
        <w:rPr>
          <w:rFonts w:cs="Times New Roman"/>
          <w:sz w:val="18"/>
          <w:szCs w:val="22"/>
        </w:rPr>
      </w:pPr>
      <w:r w:rsidRPr="00640D24">
        <w:rPr>
          <w:rFonts w:cs="Times New Roman"/>
          <w:sz w:val="18"/>
          <w:szCs w:val="22"/>
        </w:rPr>
        <w:t>Šaltinis: sudaryta Vertintojų</w:t>
      </w:r>
    </w:p>
    <w:p w14:paraId="0C98504F" w14:textId="77777777" w:rsidR="00097341" w:rsidRPr="00640D24" w:rsidRDefault="00097341" w:rsidP="00097341">
      <w:pPr>
        <w:spacing w:before="60" w:after="60" w:line="240" w:lineRule="auto"/>
        <w:ind w:firstLine="561"/>
        <w:jc w:val="both"/>
        <w:rPr>
          <w:sz w:val="22"/>
          <w:szCs w:val="22"/>
        </w:rPr>
      </w:pPr>
      <w:r w:rsidRPr="00640D24">
        <w:rPr>
          <w:sz w:val="22"/>
          <w:szCs w:val="22"/>
        </w:rPr>
        <w:t xml:space="preserve">Siekiant nustatyti parengtų investicinių projektų mastą šalies lygiu, vertintojai </w:t>
      </w:r>
      <w:proofErr w:type="spellStart"/>
      <w:r w:rsidRPr="00640D24">
        <w:rPr>
          <w:sz w:val="22"/>
          <w:szCs w:val="22"/>
        </w:rPr>
        <w:t>ekstrapoliavo</w:t>
      </w:r>
      <w:proofErr w:type="spellEnd"/>
      <w:r w:rsidRPr="00640D24">
        <w:rPr>
          <w:sz w:val="22"/>
          <w:szCs w:val="22"/>
        </w:rPr>
        <w:t xml:space="preserve"> ankstesniame paveiksle pristatytus rezultatus visos Lietuvos DĮ populiacijai. Remiantis naujausiais Valstybės duomenų agentūros duomenimis, apdirbamosios gamybos, išskyrus kokso ir rafinuotų naftos produktų gamybą, sektoriuje 2023 m. pradžioje veikė 147 DĮ, iš kurių 101 veikė Vidurio ir Vakarų Lietuvos regione, o likusios 46 įmonės veikė Sostinės regione. Sudauginus ankstesniame paveiksle pasirengusių įmonių dalį iš visų atitinkamų regionų DĮ populiacijos, gaunama, kad 129 pramonės įmonių yra pasirengusios investicinius projektus visos Lietuvos mastu. Didžioji dauguma šių įmonių yra Vidurio ir Vakarų Lietuvos regione – 89 įmonės. Sostinės regione tokių įmonių skaičius siekia 38. </w:t>
      </w:r>
    </w:p>
    <w:p w14:paraId="4A4D972D" w14:textId="0FAE7D7F" w:rsidR="00097341" w:rsidRPr="00640D24" w:rsidRDefault="00097341" w:rsidP="00097341">
      <w:pPr>
        <w:pStyle w:val="Lentelespav"/>
      </w:pPr>
      <w:r w:rsidRPr="00640D24">
        <w:t xml:space="preserve">Lentelė Nr. </w:t>
      </w:r>
      <w:r w:rsidR="00BC3FA8" w:rsidRPr="00640D24">
        <w:t>15</w:t>
      </w:r>
      <w:r w:rsidRPr="00640D24">
        <w:t>. Parengtų investicinių projektų skaičiaus ekstrapoliavimas visai populiacijai</w:t>
      </w:r>
    </w:p>
    <w:tbl>
      <w:tblPr>
        <w:tblStyle w:val="TableGridLight1"/>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985"/>
        <w:gridCol w:w="2693"/>
        <w:gridCol w:w="2663"/>
      </w:tblGrid>
      <w:tr w:rsidR="00097341" w:rsidRPr="00640D24" w14:paraId="0C084869" w14:textId="77777777" w:rsidTr="00B65692">
        <w:trPr>
          <w:trHeight w:val="20"/>
        </w:trPr>
        <w:tc>
          <w:tcPr>
            <w:tcW w:w="2155" w:type="dxa"/>
            <w:noWrap/>
            <w:hideMark/>
          </w:tcPr>
          <w:p w14:paraId="1DAD8732" w14:textId="77777777" w:rsidR="00097341" w:rsidRPr="00640D24" w:rsidRDefault="00097341" w:rsidP="00280FDF">
            <w:pPr>
              <w:jc w:val="center"/>
              <w:rPr>
                <w:rFonts w:eastAsia="Times New Roman" w:cs="Calibri"/>
                <w:b/>
                <w:bCs/>
                <w:sz w:val="18"/>
                <w:szCs w:val="18"/>
                <w:lang w:eastAsia="lt-LT"/>
              </w:rPr>
            </w:pPr>
            <w:r w:rsidRPr="00640D24">
              <w:rPr>
                <w:rFonts w:eastAsia="Times New Roman" w:cs="Calibri"/>
                <w:b/>
                <w:bCs/>
                <w:sz w:val="18"/>
                <w:szCs w:val="18"/>
                <w:lang w:eastAsia="lt-LT"/>
              </w:rPr>
              <w:t>Kategorija</w:t>
            </w:r>
          </w:p>
        </w:tc>
        <w:tc>
          <w:tcPr>
            <w:tcW w:w="1985" w:type="dxa"/>
            <w:hideMark/>
          </w:tcPr>
          <w:p w14:paraId="25284795" w14:textId="77777777" w:rsidR="00097341" w:rsidRPr="00640D24" w:rsidRDefault="00097341" w:rsidP="00280FDF">
            <w:pPr>
              <w:jc w:val="center"/>
              <w:rPr>
                <w:rFonts w:eastAsia="Times New Roman" w:cs="Calibri"/>
                <w:b/>
                <w:bCs/>
                <w:sz w:val="18"/>
                <w:szCs w:val="18"/>
                <w:lang w:eastAsia="lt-LT"/>
              </w:rPr>
            </w:pPr>
            <w:r w:rsidRPr="00640D24">
              <w:rPr>
                <w:rFonts w:eastAsia="Times New Roman" w:cs="Calibri"/>
                <w:b/>
                <w:bCs/>
                <w:sz w:val="18"/>
                <w:szCs w:val="18"/>
                <w:lang w:eastAsia="lt-LT"/>
              </w:rPr>
              <w:t>Sostinės regionas</w:t>
            </w:r>
          </w:p>
        </w:tc>
        <w:tc>
          <w:tcPr>
            <w:tcW w:w="2693" w:type="dxa"/>
            <w:hideMark/>
          </w:tcPr>
          <w:p w14:paraId="154EDE5F" w14:textId="77777777" w:rsidR="00097341" w:rsidRPr="00640D24" w:rsidRDefault="00097341" w:rsidP="00280FDF">
            <w:pPr>
              <w:jc w:val="center"/>
              <w:rPr>
                <w:rFonts w:eastAsia="Times New Roman" w:cs="Calibri"/>
                <w:b/>
                <w:bCs/>
                <w:sz w:val="18"/>
                <w:szCs w:val="18"/>
                <w:lang w:eastAsia="lt-LT"/>
              </w:rPr>
            </w:pPr>
            <w:r w:rsidRPr="00640D24">
              <w:rPr>
                <w:rFonts w:eastAsia="Times New Roman" w:cs="Calibri"/>
                <w:b/>
                <w:bCs/>
                <w:sz w:val="18"/>
                <w:szCs w:val="18"/>
                <w:lang w:eastAsia="lt-LT"/>
              </w:rPr>
              <w:t>Vidurio ir Vakarų Lietuvos regionas</w:t>
            </w:r>
          </w:p>
        </w:tc>
        <w:tc>
          <w:tcPr>
            <w:tcW w:w="2663" w:type="dxa"/>
            <w:hideMark/>
          </w:tcPr>
          <w:p w14:paraId="0DB5A1AE" w14:textId="77777777" w:rsidR="00097341" w:rsidRPr="00640D24" w:rsidRDefault="00097341" w:rsidP="00280FDF">
            <w:pPr>
              <w:jc w:val="center"/>
              <w:rPr>
                <w:rFonts w:eastAsia="Times New Roman" w:cs="Calibri"/>
                <w:b/>
                <w:bCs/>
                <w:sz w:val="18"/>
                <w:szCs w:val="18"/>
                <w:lang w:eastAsia="lt-LT"/>
              </w:rPr>
            </w:pPr>
            <w:r w:rsidRPr="00640D24">
              <w:rPr>
                <w:rFonts w:eastAsia="Times New Roman" w:cs="Calibri"/>
                <w:b/>
                <w:bCs/>
                <w:sz w:val="18"/>
                <w:szCs w:val="18"/>
                <w:lang w:eastAsia="lt-LT"/>
              </w:rPr>
              <w:t>Visa Lietuva</w:t>
            </w:r>
          </w:p>
        </w:tc>
      </w:tr>
      <w:tr w:rsidR="00097341" w:rsidRPr="00640D24" w14:paraId="158535EC" w14:textId="77777777" w:rsidTr="00BA6A1C">
        <w:trPr>
          <w:trHeight w:val="20"/>
        </w:trPr>
        <w:tc>
          <w:tcPr>
            <w:tcW w:w="2155" w:type="dxa"/>
            <w:hideMark/>
          </w:tcPr>
          <w:p w14:paraId="34CEA076" w14:textId="77777777" w:rsidR="00097341" w:rsidRPr="00640D24" w:rsidRDefault="00097341" w:rsidP="00280FDF">
            <w:pPr>
              <w:spacing w:after="0" w:line="240" w:lineRule="auto"/>
              <w:rPr>
                <w:rFonts w:eastAsia="Times New Roman" w:cs="Calibri"/>
                <w:b/>
                <w:bCs/>
                <w:color w:val="000000"/>
                <w:sz w:val="18"/>
                <w:szCs w:val="18"/>
                <w:lang w:eastAsia="lt-LT"/>
              </w:rPr>
            </w:pPr>
            <w:r w:rsidRPr="00640D24">
              <w:rPr>
                <w:rFonts w:eastAsia="Times New Roman" w:cs="Calibri"/>
                <w:color w:val="000000"/>
                <w:sz w:val="18"/>
                <w:szCs w:val="18"/>
                <w:lang w:eastAsia="lt-LT"/>
              </w:rPr>
              <w:t>Pramonės įmonių skaičius 2023 m. pradžioje</w:t>
            </w:r>
          </w:p>
        </w:tc>
        <w:tc>
          <w:tcPr>
            <w:tcW w:w="1985" w:type="dxa"/>
            <w:noWrap/>
            <w:vAlign w:val="center"/>
            <w:hideMark/>
          </w:tcPr>
          <w:p w14:paraId="75EEB12C" w14:textId="77777777" w:rsidR="00097341" w:rsidRPr="00640D24" w:rsidRDefault="00097341" w:rsidP="00BA6A1C">
            <w:pPr>
              <w:jc w:val="center"/>
              <w:rPr>
                <w:rFonts w:eastAsia="Times New Roman" w:cs="Calibri"/>
                <w:color w:val="000000"/>
                <w:sz w:val="18"/>
                <w:szCs w:val="18"/>
                <w:lang w:eastAsia="lt-LT"/>
              </w:rPr>
            </w:pPr>
            <w:r w:rsidRPr="00640D24">
              <w:rPr>
                <w:rFonts w:eastAsia="Times New Roman" w:cs="Calibri"/>
                <w:color w:val="000000"/>
                <w:sz w:val="18"/>
                <w:szCs w:val="18"/>
                <w:lang w:eastAsia="lt-LT"/>
              </w:rPr>
              <w:t>46</w:t>
            </w:r>
          </w:p>
        </w:tc>
        <w:tc>
          <w:tcPr>
            <w:tcW w:w="2693" w:type="dxa"/>
            <w:noWrap/>
            <w:vAlign w:val="center"/>
            <w:hideMark/>
          </w:tcPr>
          <w:p w14:paraId="610FCACF" w14:textId="77777777" w:rsidR="00097341" w:rsidRPr="00640D24" w:rsidRDefault="00097341" w:rsidP="00BA6A1C">
            <w:pPr>
              <w:jc w:val="center"/>
              <w:rPr>
                <w:rFonts w:eastAsia="Times New Roman" w:cs="Calibri"/>
                <w:color w:val="000000"/>
                <w:sz w:val="18"/>
                <w:szCs w:val="18"/>
                <w:lang w:eastAsia="lt-LT"/>
              </w:rPr>
            </w:pPr>
            <w:r w:rsidRPr="00640D24">
              <w:rPr>
                <w:rFonts w:eastAsia="Times New Roman" w:cs="Calibri"/>
                <w:color w:val="000000"/>
                <w:sz w:val="18"/>
                <w:szCs w:val="18"/>
                <w:lang w:eastAsia="lt-LT"/>
              </w:rPr>
              <w:t>101</w:t>
            </w:r>
          </w:p>
        </w:tc>
        <w:tc>
          <w:tcPr>
            <w:tcW w:w="2663" w:type="dxa"/>
            <w:noWrap/>
            <w:vAlign w:val="center"/>
            <w:hideMark/>
          </w:tcPr>
          <w:p w14:paraId="35E461B5" w14:textId="77777777" w:rsidR="00097341" w:rsidRPr="00640D24" w:rsidRDefault="00097341" w:rsidP="00BA6A1C">
            <w:pPr>
              <w:jc w:val="center"/>
              <w:rPr>
                <w:rFonts w:eastAsia="Times New Roman" w:cs="Calibri"/>
                <w:color w:val="000000"/>
                <w:sz w:val="18"/>
                <w:szCs w:val="18"/>
                <w:lang w:eastAsia="lt-LT"/>
              </w:rPr>
            </w:pPr>
            <w:r w:rsidRPr="00640D24">
              <w:rPr>
                <w:rFonts w:eastAsia="Times New Roman" w:cs="Calibri"/>
                <w:color w:val="000000"/>
                <w:sz w:val="18"/>
                <w:szCs w:val="18"/>
                <w:lang w:eastAsia="lt-LT"/>
              </w:rPr>
              <w:t>147</w:t>
            </w:r>
          </w:p>
        </w:tc>
      </w:tr>
      <w:tr w:rsidR="00097341" w:rsidRPr="00640D24" w14:paraId="457EC591" w14:textId="77777777" w:rsidTr="00BA6A1C">
        <w:trPr>
          <w:trHeight w:val="804"/>
        </w:trPr>
        <w:tc>
          <w:tcPr>
            <w:tcW w:w="2155" w:type="dxa"/>
            <w:hideMark/>
          </w:tcPr>
          <w:p w14:paraId="3272580E" w14:textId="77777777" w:rsidR="00097341" w:rsidRPr="00640D24" w:rsidRDefault="00097341" w:rsidP="00280FDF">
            <w:pPr>
              <w:spacing w:after="0" w:line="240" w:lineRule="auto"/>
              <w:rPr>
                <w:rFonts w:eastAsia="Times New Roman" w:cs="Calibri"/>
                <w:b/>
                <w:bCs/>
                <w:color w:val="000000"/>
                <w:sz w:val="18"/>
                <w:szCs w:val="18"/>
                <w:lang w:eastAsia="lt-LT"/>
              </w:rPr>
            </w:pPr>
            <w:r w:rsidRPr="00640D24">
              <w:rPr>
                <w:rFonts w:eastAsia="Times New Roman" w:cs="Calibri"/>
                <w:color w:val="000000"/>
                <w:sz w:val="18"/>
                <w:szCs w:val="18"/>
                <w:lang w:eastAsia="lt-LT"/>
              </w:rPr>
              <w:t>Įmonės, kurios yra pasirengusios investicinius projektus</w:t>
            </w:r>
          </w:p>
        </w:tc>
        <w:tc>
          <w:tcPr>
            <w:tcW w:w="1985" w:type="dxa"/>
            <w:noWrap/>
            <w:vAlign w:val="center"/>
            <w:hideMark/>
          </w:tcPr>
          <w:p w14:paraId="67A8E933" w14:textId="77777777" w:rsidR="00097341" w:rsidRPr="00640D24" w:rsidRDefault="00097341" w:rsidP="00BA6A1C">
            <w:pPr>
              <w:jc w:val="center"/>
              <w:rPr>
                <w:rFonts w:eastAsia="Times New Roman" w:cs="Calibri"/>
                <w:color w:val="000000"/>
                <w:sz w:val="18"/>
                <w:szCs w:val="18"/>
                <w:lang w:eastAsia="lt-LT"/>
              </w:rPr>
            </w:pPr>
            <w:r w:rsidRPr="00640D24">
              <w:rPr>
                <w:rFonts w:eastAsia="Times New Roman" w:cs="Calibri"/>
                <w:color w:val="000000"/>
                <w:sz w:val="18"/>
                <w:szCs w:val="18"/>
                <w:lang w:eastAsia="lt-LT"/>
              </w:rPr>
              <w:t>38</w:t>
            </w:r>
          </w:p>
        </w:tc>
        <w:tc>
          <w:tcPr>
            <w:tcW w:w="2693" w:type="dxa"/>
            <w:noWrap/>
            <w:vAlign w:val="center"/>
            <w:hideMark/>
          </w:tcPr>
          <w:p w14:paraId="56073ABE" w14:textId="77777777" w:rsidR="00097341" w:rsidRPr="00640D24" w:rsidRDefault="00097341" w:rsidP="00BA6A1C">
            <w:pPr>
              <w:jc w:val="center"/>
              <w:rPr>
                <w:rFonts w:eastAsia="Times New Roman" w:cs="Calibri"/>
                <w:color w:val="000000"/>
                <w:sz w:val="18"/>
                <w:szCs w:val="18"/>
                <w:lang w:eastAsia="lt-LT"/>
              </w:rPr>
            </w:pPr>
            <w:r w:rsidRPr="00640D24">
              <w:rPr>
                <w:rFonts w:eastAsia="Times New Roman" w:cs="Calibri"/>
                <w:color w:val="000000"/>
                <w:sz w:val="18"/>
                <w:szCs w:val="18"/>
                <w:lang w:eastAsia="lt-LT"/>
              </w:rPr>
              <w:t>89</w:t>
            </w:r>
          </w:p>
        </w:tc>
        <w:tc>
          <w:tcPr>
            <w:tcW w:w="2663" w:type="dxa"/>
            <w:noWrap/>
            <w:vAlign w:val="center"/>
            <w:hideMark/>
          </w:tcPr>
          <w:p w14:paraId="6E657678" w14:textId="77777777" w:rsidR="00097341" w:rsidRPr="00640D24" w:rsidRDefault="00097341" w:rsidP="00BA6A1C">
            <w:pPr>
              <w:jc w:val="center"/>
              <w:rPr>
                <w:rFonts w:eastAsia="Times New Roman" w:cs="Calibri"/>
                <w:color w:val="000000"/>
                <w:sz w:val="18"/>
                <w:szCs w:val="18"/>
                <w:lang w:eastAsia="lt-LT"/>
              </w:rPr>
            </w:pPr>
            <w:r w:rsidRPr="00640D24">
              <w:rPr>
                <w:rFonts w:eastAsia="Times New Roman" w:cs="Calibri"/>
                <w:color w:val="000000"/>
                <w:sz w:val="18"/>
                <w:szCs w:val="18"/>
                <w:lang w:eastAsia="lt-LT"/>
              </w:rPr>
              <w:t>129</w:t>
            </w:r>
          </w:p>
        </w:tc>
      </w:tr>
    </w:tbl>
    <w:p w14:paraId="2B6E1BC7" w14:textId="77777777" w:rsidR="00097341" w:rsidRPr="00640D24" w:rsidRDefault="00097341" w:rsidP="00097341">
      <w:pPr>
        <w:pStyle w:val="altinis"/>
        <w:spacing w:before="0" w:after="0"/>
        <w:jc w:val="both"/>
        <w:rPr>
          <w:rFonts w:ascii="Times New Roman" w:hAnsi="Times New Roman" w:cs="Times New Roman"/>
          <w:color w:val="auto"/>
          <w:sz w:val="18"/>
          <w:szCs w:val="22"/>
        </w:rPr>
      </w:pPr>
      <w:r w:rsidRPr="00640D24">
        <w:rPr>
          <w:rFonts w:ascii="Times New Roman" w:hAnsi="Times New Roman" w:cs="Times New Roman"/>
          <w:color w:val="auto"/>
          <w:sz w:val="18"/>
          <w:szCs w:val="22"/>
        </w:rPr>
        <w:t>Šaltinis: sudaryta Vertintojų</w:t>
      </w:r>
    </w:p>
    <w:tbl>
      <w:tblPr>
        <w:tblW w:w="9849" w:type="dxa"/>
        <w:tblLook w:val="04A0" w:firstRow="1" w:lastRow="0" w:firstColumn="1" w:lastColumn="0" w:noHBand="0" w:noVBand="1"/>
      </w:tblPr>
      <w:tblGrid>
        <w:gridCol w:w="9849"/>
      </w:tblGrid>
      <w:tr w:rsidR="00097341" w:rsidRPr="00640D24" w14:paraId="52BCAFBA" w14:textId="77777777" w:rsidTr="00280FDF">
        <w:trPr>
          <w:trHeight w:val="141"/>
        </w:trPr>
        <w:tc>
          <w:tcPr>
            <w:tcW w:w="9849" w:type="dxa"/>
            <w:tcBorders>
              <w:top w:val="nil"/>
              <w:left w:val="nil"/>
              <w:bottom w:val="nil"/>
              <w:right w:val="nil"/>
            </w:tcBorders>
            <w:shd w:val="clear" w:color="auto" w:fill="auto"/>
            <w:noWrap/>
            <w:vAlign w:val="bottom"/>
            <w:hideMark/>
          </w:tcPr>
          <w:p w14:paraId="3A2C5B70" w14:textId="77777777" w:rsidR="00097341" w:rsidRPr="00640D24" w:rsidRDefault="00097341" w:rsidP="00280FDF">
            <w:pPr>
              <w:spacing w:after="0" w:line="240" w:lineRule="auto"/>
              <w:jc w:val="center"/>
              <w:rPr>
                <w:rFonts w:ascii="Calibri" w:eastAsia="Times New Roman" w:hAnsi="Calibri" w:cs="Calibri"/>
                <w:b/>
                <w:bCs/>
                <w:color w:val="000000"/>
                <w:lang w:eastAsia="lt-LT"/>
              </w:rPr>
            </w:pPr>
          </w:p>
        </w:tc>
      </w:tr>
    </w:tbl>
    <w:p w14:paraId="2BAE5CD2" w14:textId="77777777" w:rsidR="00097341" w:rsidRPr="00640D24" w:rsidRDefault="00097341" w:rsidP="00097341">
      <w:pPr>
        <w:spacing w:before="60" w:after="60" w:line="240" w:lineRule="auto"/>
        <w:ind w:firstLine="561"/>
        <w:jc w:val="both"/>
        <w:rPr>
          <w:sz w:val="22"/>
          <w:szCs w:val="22"/>
        </w:rPr>
      </w:pPr>
      <w:r w:rsidRPr="00640D24">
        <w:rPr>
          <w:sz w:val="22"/>
          <w:szCs w:val="22"/>
        </w:rPr>
        <w:t xml:space="preserve">Analizuojant į kokias tikslines sritis bus nukreiptos suplanuotos investicijos, daugiau nei pusė respondentų nurodė, kad jų investicijos bus nukreiptos į gamybinių pajėgumų būklės gerinimą. 21 proc. respondentų nurodė, kad investicijos bus naudojamos nudėvėtų gamybos įrenginių atnaujinimui, 20 proc. nurodė, kad modernizuos gamybos procesus, diegiant pažangias gamybos technologijas. Dar 16 proc. teigė, kad gamybinių pajėgumų būklę gerins didinant efektyvumą per veiklos </w:t>
      </w:r>
      <w:proofErr w:type="spellStart"/>
      <w:r w:rsidRPr="00640D24">
        <w:rPr>
          <w:sz w:val="22"/>
          <w:szCs w:val="22"/>
        </w:rPr>
        <w:t>skaitmenizavimą</w:t>
      </w:r>
      <w:proofErr w:type="spellEnd"/>
      <w:r w:rsidRPr="00640D24">
        <w:rPr>
          <w:sz w:val="22"/>
          <w:szCs w:val="22"/>
        </w:rPr>
        <w:t xml:space="preserve">, diegiant gamybos procesuose IT technologijas ir panašius sprendimus. </w:t>
      </w:r>
    </w:p>
    <w:p w14:paraId="5B2BAD7E" w14:textId="77777777" w:rsidR="00097341" w:rsidRPr="00640D24" w:rsidRDefault="00097341" w:rsidP="00097341">
      <w:pPr>
        <w:spacing w:before="60" w:after="60" w:line="240" w:lineRule="auto"/>
        <w:ind w:firstLine="567"/>
        <w:jc w:val="both"/>
        <w:rPr>
          <w:sz w:val="22"/>
          <w:szCs w:val="22"/>
        </w:rPr>
      </w:pPr>
      <w:r w:rsidRPr="00640D24">
        <w:rPr>
          <w:sz w:val="22"/>
          <w:szCs w:val="22"/>
        </w:rPr>
        <w:t>Beveik trečdalis respondentų nurodė, kad jų investicijos bus nukreiptos į žaliąją transformaciją: 19 proc. respondentų nurodė, kad investuos į energetinių sąnaudų mažinimą, investuojant į energijos taupymo sprendimus, o dar 15 proc. investuos į perėjimą link neutralios klimatui ekonomikos, diegiant aplinkosaugines inovacijas ir sprendimus.</w:t>
      </w:r>
    </w:p>
    <w:p w14:paraId="35ABA65F" w14:textId="77777777" w:rsidR="00097341" w:rsidRPr="00640D24" w:rsidRDefault="00097341" w:rsidP="00097341">
      <w:pPr>
        <w:spacing w:before="60" w:after="60" w:line="240" w:lineRule="auto"/>
        <w:ind w:firstLine="562"/>
        <w:jc w:val="both"/>
        <w:rPr>
          <w:sz w:val="22"/>
          <w:szCs w:val="22"/>
        </w:rPr>
      </w:pPr>
      <w:r w:rsidRPr="00640D24">
        <w:rPr>
          <w:sz w:val="22"/>
          <w:szCs w:val="22"/>
        </w:rPr>
        <w:t>Vertinant atsakymų pasiskirstymą pagal regioninį pjūvį, tendencijos yra panašios, nors pastebima, kad ženkliai didesnė dalis Sostinės regiono įmonių investuos į MTEP veiklų įgyvendinimą, lyginant su Vidurio ir Vakarų Lietuvos regiono įmonėmis. Šias tendencijas galima paaiškinti tuo, kad Sostinės regione yra susitelkę ženkliai daugiau įmonių, kurios įgyvendina MTEP veiklas, o taip pat regione yra ir daugiau mokslo įstaigų, kurios gali suteikti MTEP paslaugas.</w:t>
      </w:r>
    </w:p>
    <w:p w14:paraId="151A5E0F" w14:textId="77777777" w:rsidR="00097341" w:rsidRPr="00640D24" w:rsidRDefault="00097341" w:rsidP="00097341">
      <w:pPr>
        <w:spacing w:line="240" w:lineRule="auto"/>
        <w:ind w:firstLine="851"/>
        <w:jc w:val="both"/>
        <w:rPr>
          <w:sz w:val="22"/>
        </w:rPr>
      </w:pPr>
      <w:r w:rsidRPr="00640D24">
        <w:rPr>
          <w:sz w:val="22"/>
          <w:szCs w:val="22"/>
        </w:rPr>
        <w:lastRenderedPageBreak/>
        <w:t xml:space="preserve">Atliktos anketinės LPK apklausos rezultatai nenukrypsta nuo reprezentatyvios apklausos ir iš esmės papildo analizės rezultatus, daugiau nei pusė respondentų (53 proc.) nurodė, kad investicijos bus nukreipiamos į gamybinių pajėgumų būklės gerinimą. O atitinkamai tik 14 proc. investicijų bus nukreipta į MTEP veiklas. Papildomai LPK narių buvo </w:t>
      </w:r>
      <w:r w:rsidRPr="00640D24">
        <w:rPr>
          <w:sz w:val="22"/>
        </w:rPr>
        <w:t>prašoma įvardyti kur nukreiptų investicijas, jei nesirinko nei vieno iš aukščiau nurodytų atsakymo variantų. Respondentai nurodė, jog kitos sritys, į kurias investuos, yra: pažangesnių atliekų tvarkymo technologijų modernizavimas ir/ ar diegimas bei pažangesnės ir efektyvesnės gamybos naujos įmonės įkūrimas (priedas Nr. 7).</w:t>
      </w:r>
    </w:p>
    <w:p w14:paraId="2F972D3B" w14:textId="103DFA20" w:rsidR="00097341" w:rsidRPr="00640D24" w:rsidRDefault="00097341" w:rsidP="00097341">
      <w:pPr>
        <w:spacing w:after="0"/>
        <w:jc w:val="both"/>
        <w:rPr>
          <w:rStyle w:val="LentelespavDiagrama"/>
          <w:i w:val="0"/>
          <w:sz w:val="22"/>
          <w:szCs w:val="22"/>
        </w:rPr>
      </w:pPr>
      <w:r w:rsidRPr="00640D24">
        <w:rPr>
          <w:noProof/>
          <w:lang w:eastAsia="lt-LT"/>
        </w:rPr>
        <w:drawing>
          <wp:inline distT="0" distB="0" distL="0" distR="0" wp14:anchorId="32282FDA" wp14:editId="4AC09915">
            <wp:extent cx="6064250" cy="4123426"/>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640D24">
        <w:rPr>
          <w:rStyle w:val="LentelespavDiagrama"/>
          <w:sz w:val="22"/>
          <w:szCs w:val="22"/>
        </w:rPr>
        <w:t xml:space="preserve">Paveikslas </w:t>
      </w:r>
      <w:r w:rsidR="004D58EE" w:rsidRPr="00640D24">
        <w:rPr>
          <w:rStyle w:val="LentelespavDiagrama"/>
          <w:sz w:val="22"/>
          <w:szCs w:val="22"/>
        </w:rPr>
        <w:t>Nr. 23</w:t>
      </w:r>
      <w:r w:rsidRPr="00640D24">
        <w:rPr>
          <w:rStyle w:val="LentelespavDiagrama"/>
          <w:sz w:val="22"/>
          <w:szCs w:val="22"/>
        </w:rPr>
        <w:t>. Nurodytos suplanuotų investicinių projektų/ investicijų tikslinės kryptys</w:t>
      </w:r>
    </w:p>
    <w:p w14:paraId="55AF0AB9" w14:textId="77777777" w:rsidR="00097341" w:rsidRPr="00640D24" w:rsidRDefault="00097341" w:rsidP="00097341">
      <w:pPr>
        <w:jc w:val="both"/>
        <w:rPr>
          <w:i/>
          <w:caps/>
          <w:noProof/>
          <w:sz w:val="18"/>
          <w:szCs w:val="22"/>
        </w:rPr>
      </w:pPr>
      <w:r w:rsidRPr="00640D24">
        <w:rPr>
          <w:rStyle w:val="LentelespavDiagrama"/>
          <w:i w:val="0"/>
          <w:sz w:val="18"/>
          <w:szCs w:val="22"/>
        </w:rPr>
        <w:t>Šaltinis: sudaryta Vertintojų</w:t>
      </w:r>
    </w:p>
    <w:p w14:paraId="373B3054" w14:textId="77777777" w:rsidR="00097341" w:rsidRPr="00640D24" w:rsidRDefault="00097341" w:rsidP="00097341">
      <w:pPr>
        <w:spacing w:before="60" w:after="60" w:line="240" w:lineRule="auto"/>
        <w:ind w:firstLine="561"/>
        <w:jc w:val="both"/>
        <w:rPr>
          <w:sz w:val="22"/>
          <w:szCs w:val="22"/>
        </w:rPr>
      </w:pPr>
      <w:r w:rsidRPr="00640D24">
        <w:rPr>
          <w:sz w:val="22"/>
          <w:szCs w:val="22"/>
        </w:rPr>
        <w:t xml:space="preserve">Pasiteiravus įmonių, kokių technologijų, įrenginių, veiklų ar kitokio tipo konkrečių įsigijimų ir investicijų kategorijų joms reikės siekiant įgyvendinti ankstesniame klausime nurodytas tikslines investicijas, daugiausiai respondentų nurodė, kad investuos į mašinas ir įrenginius (22 proc.). Po daugiau nei šeštadalis respondentų nurodė, kad investuos į pažangiąsias technologijas ir žmogiškuosius išteklius. Dar po 15 proc. respondentų nurodė, kad investuos atitinkamai į žemę, pastatus ir infrastruktūrą ir nematerialųjį turtą. Mažiausiai (kiek daugiau nei 8,6 proc.) respondentų nurodė, kad investuos į MTEP. </w:t>
      </w:r>
    </w:p>
    <w:p w14:paraId="74B9C72D" w14:textId="77777777" w:rsidR="00097341" w:rsidRPr="00640D24" w:rsidRDefault="00097341" w:rsidP="00097341">
      <w:pPr>
        <w:spacing w:before="60" w:after="60" w:line="240" w:lineRule="auto"/>
        <w:ind w:firstLine="567"/>
        <w:jc w:val="both"/>
        <w:rPr>
          <w:rFonts w:cs="Times New Roman"/>
          <w:sz w:val="22"/>
          <w:szCs w:val="22"/>
        </w:rPr>
      </w:pPr>
      <w:r w:rsidRPr="00640D24">
        <w:rPr>
          <w:sz w:val="22"/>
          <w:szCs w:val="22"/>
        </w:rPr>
        <w:t xml:space="preserve">Atliktos anketinės LPK apklausos rezultatai per daug nesiskiria, taip kaip ir DĮ apklausoje daugiausiai respondentų teigė, kad investuos į mašinas ir įrenginius (22 proc.). Šeštadalis respondentų nurodė, kad investuos į pažangiąsias technologijas.  Dar 15 proc. respondentų nurodė, kad investuos atitinkamai į žemę, pastatus ir infrastruktūrą ir žmogiškąjį kapitalą. Kiti 12 ir 13 proc. respondentų nurodė, kad investuos į MTEP ir nematerialųjį turtą. </w:t>
      </w:r>
      <w:r w:rsidRPr="00640D24">
        <w:rPr>
          <w:rFonts w:cs="Times New Roman"/>
          <w:sz w:val="22"/>
          <w:szCs w:val="22"/>
        </w:rPr>
        <w:t xml:space="preserve">Papildomai LPK narių buvo prašoma įvardyti kur nukreiptų investicijas, jei nesirinko nei vieno iš aukščiau nurodytų atsakymo variantų. Respondentai nurodė, jog kitos sritys, į kurias investuos, yra: saulės elektrinės su akumuliatoriais ir alternatyvūs energijos šaltiniai, mažmeninės prekybos tinklo plėtra bei investicijos darbuotojų pritraukimui iš kitų gyvenviečių ir jų apgyvendinimui (bendrabučiai) (priedas Nr. 7). </w:t>
      </w:r>
    </w:p>
    <w:p w14:paraId="161B0030" w14:textId="77777777" w:rsidR="00097341" w:rsidRPr="00640D24" w:rsidRDefault="00097341" w:rsidP="00097341">
      <w:pPr>
        <w:spacing w:before="60" w:after="60" w:line="240" w:lineRule="auto"/>
        <w:ind w:firstLine="562"/>
        <w:jc w:val="both"/>
        <w:rPr>
          <w:sz w:val="22"/>
          <w:szCs w:val="22"/>
        </w:rPr>
      </w:pPr>
      <w:r w:rsidRPr="00640D24">
        <w:rPr>
          <w:sz w:val="22"/>
          <w:szCs w:val="22"/>
        </w:rPr>
        <w:t xml:space="preserve">Tiek Sostinės regione, tiek Vidurio ir Vakarų Lietuvos regione panaši respondentų dalis nurodė, kad investuos į mašinas ir įrenginius, žmogiškąjį kapitalą ir pažangias gamybos technologijas. Vis dėlto ženkliai </w:t>
      </w:r>
      <w:r w:rsidRPr="00640D24">
        <w:rPr>
          <w:sz w:val="22"/>
          <w:szCs w:val="22"/>
        </w:rPr>
        <w:lastRenderedPageBreak/>
        <w:t>didesnė dalis respondentų Sostinės regione nurodė, kad investuos į nematerialųjį turtą ir MTEP, kai tuo tarpu Vidurio ir Vakarų Lietuvos regione didesnė dalis nurodė, kad investuos į žemę, pastatus ir infrastruktūrą.</w:t>
      </w:r>
    </w:p>
    <w:p w14:paraId="24E2E836" w14:textId="77777777" w:rsidR="00097341" w:rsidRPr="00640D24" w:rsidRDefault="00097341" w:rsidP="00097341">
      <w:pPr>
        <w:spacing w:after="0" w:line="240" w:lineRule="auto"/>
        <w:rPr>
          <w:noProof/>
          <w:lang w:eastAsia="lt-LT"/>
        </w:rPr>
      </w:pPr>
      <w:r w:rsidRPr="00640D24">
        <w:rPr>
          <w:noProof/>
          <w:lang w:eastAsia="lt-LT"/>
        </w:rPr>
        <w:drawing>
          <wp:inline distT="0" distB="0" distL="0" distR="0" wp14:anchorId="59BDA121" wp14:editId="5ADB5B69">
            <wp:extent cx="6098540" cy="3295650"/>
            <wp:effectExtent l="0" t="0" r="0" b="0"/>
            <wp:docPr id="16" name="Chart 1">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FF330FE" w14:textId="43FED18D" w:rsidR="00097341" w:rsidRPr="00640D24" w:rsidRDefault="004D58EE" w:rsidP="00097341">
      <w:pPr>
        <w:pStyle w:val="Lentelespav"/>
      </w:pPr>
      <w:r w:rsidRPr="00640D24">
        <w:t>Paveikslas Nr. 24</w:t>
      </w:r>
      <w:r w:rsidR="00097341" w:rsidRPr="00640D24">
        <w:t>. Planuojamas investicijų atlikimas/ nukreipimas</w:t>
      </w:r>
    </w:p>
    <w:p w14:paraId="1FAB3DCB" w14:textId="77777777" w:rsidR="00097341" w:rsidRPr="00640D24" w:rsidRDefault="00097341" w:rsidP="00097341">
      <w:pPr>
        <w:pStyle w:val="Lentelespav"/>
      </w:pPr>
      <w:r w:rsidRPr="00640D24">
        <w:t>Šaltinis: sudaryta Vertintojų</w:t>
      </w:r>
    </w:p>
    <w:p w14:paraId="076E4D19" w14:textId="77777777" w:rsidR="00097341" w:rsidRPr="00640D24" w:rsidRDefault="00097341" w:rsidP="00097341">
      <w:pPr>
        <w:spacing w:before="60" w:after="60" w:line="240" w:lineRule="auto"/>
        <w:ind w:firstLine="561"/>
        <w:jc w:val="both"/>
        <w:rPr>
          <w:sz w:val="22"/>
          <w:szCs w:val="22"/>
        </w:rPr>
      </w:pPr>
      <w:r w:rsidRPr="00640D24">
        <w:rPr>
          <w:sz w:val="22"/>
          <w:szCs w:val="22"/>
        </w:rPr>
        <w:t>Iš tų įmonių, kurios nurodė, kad investuos į pažangias technologijas, tik labai maža dalis (9 proc.) įmonių nurodė, kad investuos į biotechnologijas (6 proc.) ar gynybos ir saugumo pramonės technologijas (3 proc.). Vis dėlto vertinant atsakymų pasiskirstymą pagal regioninį pjūvį, pastebimos didžiulės variacijos. Sostinės regione 17 proc. įmonių investuosiančių į pažangias technologijas nurodė, kad neinvestuos į biotechnologijas ar gynybos ir saugumo pramonės technologijas. Tuo tarpu Vidurio ir Vakarų Lietuvos regione tokių įmonių buvo 9 proc.</w:t>
      </w:r>
    </w:p>
    <w:p w14:paraId="2D905BF9" w14:textId="77777777" w:rsidR="00097341" w:rsidRPr="00640D24" w:rsidRDefault="00097341" w:rsidP="00097341">
      <w:pPr>
        <w:spacing w:before="60" w:after="60" w:line="240" w:lineRule="auto"/>
        <w:ind w:firstLine="562"/>
        <w:jc w:val="both"/>
        <w:rPr>
          <w:sz w:val="22"/>
          <w:szCs w:val="22"/>
        </w:rPr>
      </w:pPr>
      <w:r w:rsidRPr="00640D24">
        <w:rPr>
          <w:sz w:val="22"/>
          <w:szCs w:val="22"/>
        </w:rPr>
        <w:t xml:space="preserve">Atliktos anketinės LPK apklausos rezultatai rodo, jog asociacijos nariai visos Lietuvos mastu yra pasirengę investuoti net 12 proc. lėšų. Atitinkamai bus skiriama po 6 proc. biotechnologijoms ir kiti 6 proc. gynybos ir saugumo pramonės technologijų sričiai (priedas Nr. 7). </w:t>
      </w:r>
    </w:p>
    <w:p w14:paraId="16253986" w14:textId="759A36B5" w:rsidR="00097341" w:rsidRPr="00640D24" w:rsidRDefault="00097341" w:rsidP="00097341">
      <w:pPr>
        <w:pStyle w:val="Lentelespav"/>
      </w:pPr>
      <w:r w:rsidRPr="00640D24">
        <w:rPr>
          <w:lang w:eastAsia="lt-LT"/>
        </w:rPr>
        <w:drawing>
          <wp:inline distT="0" distB="0" distL="0" distR="0" wp14:anchorId="2C4E9E9E" wp14:editId="5F27D436">
            <wp:extent cx="6193766" cy="2416810"/>
            <wp:effectExtent l="0" t="0" r="0" b="254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004D58EE" w:rsidRPr="00640D24">
        <w:t>Paveikslas Nr. 25</w:t>
      </w:r>
      <w:r w:rsidRPr="00640D24">
        <w:t>. Suplanuotas investicijų nukreipimas į tikslines technologijas</w:t>
      </w:r>
    </w:p>
    <w:p w14:paraId="2D1C89E5" w14:textId="77777777" w:rsidR="00097341" w:rsidRPr="00640D24" w:rsidRDefault="00097341" w:rsidP="00097341">
      <w:pPr>
        <w:pStyle w:val="Lentelespav"/>
      </w:pPr>
      <w:r w:rsidRPr="00640D24">
        <w:t>Šaltinis: sudaryta Vertintojų</w:t>
      </w:r>
    </w:p>
    <w:p w14:paraId="5F52ABFB" w14:textId="77777777" w:rsidR="00097341" w:rsidRPr="00640D24" w:rsidRDefault="00097341" w:rsidP="00A91260">
      <w:pPr>
        <w:spacing w:before="60" w:after="60" w:line="240" w:lineRule="auto"/>
        <w:ind w:firstLine="567"/>
        <w:jc w:val="both"/>
        <w:rPr>
          <w:rFonts w:cs="Times New Roman"/>
          <w:sz w:val="22"/>
          <w:szCs w:val="22"/>
        </w:rPr>
      </w:pPr>
    </w:p>
    <w:p w14:paraId="72D78BF2" w14:textId="77777777" w:rsidR="00097341" w:rsidRPr="00640D24" w:rsidRDefault="00097341" w:rsidP="00A91260">
      <w:pPr>
        <w:spacing w:before="60" w:after="60" w:line="240" w:lineRule="auto"/>
        <w:ind w:firstLine="567"/>
        <w:jc w:val="both"/>
        <w:rPr>
          <w:rFonts w:cs="Times New Roman"/>
          <w:sz w:val="22"/>
          <w:szCs w:val="22"/>
        </w:rPr>
      </w:pPr>
    </w:p>
    <w:p w14:paraId="3811ABD3" w14:textId="4D8C2649" w:rsidR="009F5241" w:rsidRPr="00640D24" w:rsidRDefault="009F5241" w:rsidP="00A91260">
      <w:pPr>
        <w:spacing w:before="60" w:after="60" w:line="240" w:lineRule="auto"/>
        <w:ind w:firstLine="567"/>
        <w:jc w:val="both"/>
        <w:rPr>
          <w:rFonts w:cs="Times New Roman"/>
          <w:sz w:val="22"/>
          <w:szCs w:val="22"/>
        </w:rPr>
      </w:pPr>
      <w:r w:rsidRPr="00640D24">
        <w:rPr>
          <w:rFonts w:cs="Times New Roman"/>
          <w:sz w:val="22"/>
          <w:szCs w:val="22"/>
        </w:rPr>
        <w:t xml:space="preserve">Analizuojant priežastis, kodėl didelės įmonės nėra pasirengusios investicinių projektų ateinantiems keliems metams, dažniausiai paminėti veiksniai buvo nepakankama gaminamos produkcijos paklausa </w:t>
      </w:r>
      <w:r w:rsidR="00E955FD" w:rsidRPr="00640D24">
        <w:rPr>
          <w:rFonts w:cs="Times New Roman"/>
          <w:sz w:val="22"/>
          <w:szCs w:val="22"/>
        </w:rPr>
        <w:t>(</w:t>
      </w:r>
      <w:r w:rsidRPr="00640D24">
        <w:rPr>
          <w:rFonts w:cs="Times New Roman"/>
          <w:sz w:val="22"/>
          <w:szCs w:val="22"/>
        </w:rPr>
        <w:t>30 proc.) bei poreikio nebuvo dėl neseniai atliktų investicijų (30 proc.)</w:t>
      </w:r>
      <w:r w:rsidR="00E955FD" w:rsidRPr="00640D24">
        <w:rPr>
          <w:rFonts w:cs="Times New Roman"/>
          <w:sz w:val="22"/>
          <w:szCs w:val="22"/>
        </w:rPr>
        <w:t>.</w:t>
      </w:r>
      <w:r w:rsidRPr="00640D24">
        <w:rPr>
          <w:rFonts w:cs="Times New Roman"/>
          <w:sz w:val="22"/>
          <w:szCs w:val="22"/>
        </w:rPr>
        <w:t xml:space="preserve"> Penktadalis respondentų nurodė, nepatrauklios išorinio investavimo sąlygos riboją jų investicijas. Po dešimtadalį apklaustųjų atsakė, jog finansiniai sunkumai </w:t>
      </w:r>
      <w:r w:rsidR="00542525" w:rsidRPr="00640D24">
        <w:rPr>
          <w:rFonts w:cs="Times New Roman"/>
          <w:sz w:val="22"/>
          <w:szCs w:val="22"/>
        </w:rPr>
        <w:t xml:space="preserve">(padidėjusi rizika / sumažėjusios galimybės laiku aptarnauti finansinius įsipareigojimus, atsiskaityti už prekes su tiekėjais ir pan.) </w:t>
      </w:r>
      <w:r w:rsidRPr="00640D24">
        <w:rPr>
          <w:rFonts w:cs="Times New Roman"/>
          <w:sz w:val="22"/>
          <w:szCs w:val="22"/>
        </w:rPr>
        <w:t xml:space="preserve">bei kiti veiksniai lėmė jų apsisprendimą neinvestuoti. </w:t>
      </w:r>
    </w:p>
    <w:p w14:paraId="18F99386" w14:textId="7DCB54CD" w:rsidR="009F5241" w:rsidRPr="00640D24" w:rsidRDefault="009F5241" w:rsidP="00DE79C4">
      <w:pPr>
        <w:spacing w:after="0" w:line="240" w:lineRule="auto"/>
        <w:jc w:val="both"/>
        <w:rPr>
          <w:rStyle w:val="LentelespavDiagrama"/>
          <w:sz w:val="22"/>
        </w:rPr>
      </w:pPr>
      <w:r w:rsidRPr="00640D24">
        <w:rPr>
          <w:rFonts w:cs="Times New Roman"/>
          <w:noProof/>
          <w:lang w:eastAsia="lt-LT"/>
        </w:rPr>
        <w:drawing>
          <wp:inline distT="0" distB="0" distL="0" distR="0" wp14:anchorId="4761589A" wp14:editId="2C83CA44">
            <wp:extent cx="6167755" cy="3077155"/>
            <wp:effectExtent l="0" t="0" r="4445" b="0"/>
            <wp:docPr id="1710473520" name="Chart 1">
              <a:extLst xmlns:a="http://schemas.openxmlformats.org/drawingml/2006/main">
                <a:ext uri="{FF2B5EF4-FFF2-40B4-BE49-F238E27FC236}">
                  <a16:creationId xmlns:a16="http://schemas.microsoft.com/office/drawing/2014/main" id="{E085D758-120D-6B94-A5A3-6D1B21AB25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00B12880" w:rsidRPr="00640D24">
        <w:rPr>
          <w:rStyle w:val="LentelespavDiagrama"/>
          <w:sz w:val="22"/>
        </w:rPr>
        <w:t>Paveikslas Nr. 26</w:t>
      </w:r>
      <w:r w:rsidR="000F7CA0" w:rsidRPr="00640D24">
        <w:rPr>
          <w:rStyle w:val="LentelespavDiagrama"/>
          <w:sz w:val="22"/>
        </w:rPr>
        <w:t xml:space="preserve">. Kokie veiksniai riboja jūsų investicijas? </w:t>
      </w:r>
    </w:p>
    <w:p w14:paraId="557540A6" w14:textId="16582734" w:rsidR="000F7CA0" w:rsidRPr="00640D24" w:rsidRDefault="000F7CA0" w:rsidP="009E5BC4">
      <w:pPr>
        <w:spacing w:line="240" w:lineRule="auto"/>
        <w:jc w:val="both"/>
        <w:rPr>
          <w:rFonts w:cs="Times New Roman"/>
          <w:sz w:val="18"/>
        </w:rPr>
      </w:pPr>
      <w:r w:rsidRPr="00640D24">
        <w:rPr>
          <w:rStyle w:val="LentelespavDiagrama"/>
          <w:sz w:val="18"/>
        </w:rPr>
        <w:t>Šaltinis: sudaryta Vertintojų</w:t>
      </w:r>
    </w:p>
    <w:p w14:paraId="399D354D" w14:textId="0122DAA5" w:rsidR="009F5241" w:rsidRPr="00640D24" w:rsidRDefault="009F5241" w:rsidP="00863585">
      <w:pPr>
        <w:spacing w:before="60" w:after="60" w:line="240" w:lineRule="auto"/>
        <w:ind w:firstLine="567"/>
        <w:jc w:val="both"/>
        <w:rPr>
          <w:sz w:val="22"/>
        </w:rPr>
      </w:pPr>
      <w:r w:rsidRPr="00640D24">
        <w:rPr>
          <w:sz w:val="22"/>
        </w:rPr>
        <w:t>Įmonės atstovų, kurie nurodė apklausoje, jog neplanuoja investicijų dėl nepatrauklių išorinio finansavimo sąlygų, buvo prašoma nurodyti, kokie veiksniai, riboja išorinio finansavimo prieinamumą/patrauklumą. Trys identiškai dažnai įvardijami veiksniai (po 22 proc.) buvo per didelė finansavimo kaina, per didelė reikalaujama nuosavų lėšų dalis ir suteikiama per maža reikiamo finansavimo suma. Dvig</w:t>
      </w:r>
      <w:r w:rsidR="00E955FD" w:rsidRPr="00640D24">
        <w:rPr>
          <w:sz w:val="22"/>
        </w:rPr>
        <w:t>ubai rečiau (po 11 proc.</w:t>
      </w:r>
      <w:r w:rsidRPr="00640D24">
        <w:rPr>
          <w:sz w:val="22"/>
        </w:rPr>
        <w:t>) respondentai paminėjo per didelius užstato reikalavimus, didelę administracinę naštą bei per didelę pačio finansavimo kainą.</w:t>
      </w:r>
    </w:p>
    <w:p w14:paraId="41FC7F15" w14:textId="34A10314" w:rsidR="00A86143" w:rsidRPr="00640D24" w:rsidRDefault="009F5241" w:rsidP="00A86143">
      <w:pPr>
        <w:spacing w:after="0"/>
        <w:jc w:val="both"/>
        <w:rPr>
          <w:rStyle w:val="LentelespavDiagrama"/>
          <w:sz w:val="22"/>
        </w:rPr>
      </w:pPr>
      <w:r w:rsidRPr="00640D24">
        <w:rPr>
          <w:rFonts w:cs="Times New Roman"/>
          <w:noProof/>
          <w:lang w:eastAsia="lt-LT"/>
        </w:rPr>
        <w:lastRenderedPageBreak/>
        <w:drawing>
          <wp:inline distT="0" distB="0" distL="0" distR="0" wp14:anchorId="5B6ABD1B" wp14:editId="22F3491F">
            <wp:extent cx="6066790" cy="3640347"/>
            <wp:effectExtent l="0" t="0" r="0" b="0"/>
            <wp:docPr id="178159907" name="Chart 1">
              <a:extLst xmlns:a="http://schemas.openxmlformats.org/drawingml/2006/main">
                <a:ext uri="{FF2B5EF4-FFF2-40B4-BE49-F238E27FC236}">
                  <a16:creationId xmlns:a16="http://schemas.microsoft.com/office/drawing/2014/main" id="{F8B00835-F15D-396E-CE30-1101CDC302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00B12880" w:rsidRPr="00640D24">
        <w:rPr>
          <w:rStyle w:val="LentelespavDiagrama"/>
          <w:sz w:val="22"/>
        </w:rPr>
        <w:t>Paveikslas Nr. 27</w:t>
      </w:r>
      <w:r w:rsidR="004458A4" w:rsidRPr="00640D24">
        <w:rPr>
          <w:rStyle w:val="LentelespavDiagrama"/>
          <w:sz w:val="22"/>
        </w:rPr>
        <w:t xml:space="preserve">. Kokie veiksniai riboja išorinio finansavimo patrauklumą? </w:t>
      </w:r>
    </w:p>
    <w:p w14:paraId="4DEAE1DE" w14:textId="6C7CB862" w:rsidR="00A86143" w:rsidRPr="00640D24" w:rsidRDefault="00A86143" w:rsidP="006B75C9">
      <w:pPr>
        <w:jc w:val="both"/>
        <w:rPr>
          <w:rFonts w:ascii="Trebuchet MS" w:hAnsi="Trebuchet MS" w:cs="Times New Roman"/>
          <w:sz w:val="18"/>
        </w:rPr>
      </w:pPr>
      <w:r w:rsidRPr="00640D24">
        <w:rPr>
          <w:rStyle w:val="LentelespavDiagrama"/>
          <w:sz w:val="18"/>
        </w:rPr>
        <w:t>Šaltinis: sudaryta Vertintojų</w:t>
      </w:r>
    </w:p>
    <w:p w14:paraId="67750650" w14:textId="519C8FCD" w:rsidR="009F5241" w:rsidRPr="00640D24" w:rsidRDefault="009F5241" w:rsidP="00863585">
      <w:pPr>
        <w:spacing w:before="60" w:after="60" w:line="240" w:lineRule="auto"/>
        <w:ind w:firstLine="567"/>
        <w:jc w:val="both"/>
        <w:rPr>
          <w:sz w:val="22"/>
        </w:rPr>
      </w:pPr>
      <w:r w:rsidRPr="00640D24">
        <w:rPr>
          <w:sz w:val="22"/>
        </w:rPr>
        <w:t>Vertinant įmonės atstovų atsakymus apie bankroto rizikas netolimoje ateityje (6</w:t>
      </w:r>
      <w:r w:rsidR="00645085" w:rsidRPr="00640D24">
        <w:rPr>
          <w:sz w:val="22"/>
        </w:rPr>
        <w:t>–</w:t>
      </w:r>
      <w:r w:rsidRPr="00640D24">
        <w:rPr>
          <w:sz w:val="22"/>
        </w:rPr>
        <w:t>12 mėnesių), dažniausias atsakymas buvo, kad įmonės finansinė padėtis nepasikeis (65 proc.). Panaši dalis respondentų įmonių ateities finansinę padėtį vertino tiek teigiamai tiek neigiamai. 12 (proc.) apklaustųjų teigė, kad finansinė padėtis pagerės ir 2 (proc.), jog padėtis labai pagerės. Iš neigiamos pusės, (12 proc.) apklaustųjų atsakė, kad piniginė padėtis suprastės ir 2 proc., kad labai suprastės. 4 (proc.) įmonės atstovų negalėjo įvertinti bankroto rizikų netolimoje ateityje.</w:t>
      </w:r>
    </w:p>
    <w:p w14:paraId="0F801803" w14:textId="27670B9D" w:rsidR="009F5241" w:rsidRPr="00640D24" w:rsidRDefault="009F5241" w:rsidP="00A86143">
      <w:pPr>
        <w:spacing w:after="0"/>
        <w:jc w:val="both"/>
        <w:rPr>
          <w:rStyle w:val="LentelespavDiagrama"/>
          <w:sz w:val="22"/>
        </w:rPr>
      </w:pPr>
      <w:r w:rsidRPr="00640D24">
        <w:rPr>
          <w:rFonts w:cs="Times New Roman"/>
          <w:noProof/>
          <w:lang w:eastAsia="lt-LT"/>
        </w:rPr>
        <w:drawing>
          <wp:inline distT="0" distB="0" distL="0" distR="0" wp14:anchorId="0E051549" wp14:editId="62C2F6A3">
            <wp:extent cx="6066846" cy="2082800"/>
            <wp:effectExtent l="0" t="0" r="0" b="0"/>
            <wp:docPr id="259466629" name="Chart 1">
              <a:extLst xmlns:a="http://schemas.openxmlformats.org/drawingml/2006/main">
                <a:ext uri="{FF2B5EF4-FFF2-40B4-BE49-F238E27FC236}">
                  <a16:creationId xmlns:a16="http://schemas.microsoft.com/office/drawing/2014/main" id="{63CF8951-ACB5-AFF9-7118-0B9E672A66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00B12880" w:rsidRPr="00640D24">
        <w:rPr>
          <w:rStyle w:val="LentelespavDiagrama"/>
          <w:sz w:val="22"/>
        </w:rPr>
        <w:t>Paveikslas Nr. 28</w:t>
      </w:r>
      <w:r w:rsidR="004458A4" w:rsidRPr="00640D24">
        <w:rPr>
          <w:rStyle w:val="LentelespavDiagrama"/>
          <w:sz w:val="22"/>
        </w:rPr>
        <w:t xml:space="preserve">. Įvertinkite, kaip per ateinantį 6–12 mėnesių laikotarpį pasikeis jūsų atstovaujamos įmonės finansinė padėtis? </w:t>
      </w:r>
    </w:p>
    <w:p w14:paraId="12BC774C" w14:textId="038DEB03" w:rsidR="004458A4" w:rsidRPr="00640D24" w:rsidRDefault="004458A4" w:rsidP="009E5BC4">
      <w:pPr>
        <w:jc w:val="both"/>
        <w:rPr>
          <w:rFonts w:ascii="Trebuchet MS" w:hAnsi="Trebuchet MS" w:cs="Times New Roman"/>
          <w:sz w:val="18"/>
        </w:rPr>
      </w:pPr>
      <w:r w:rsidRPr="00640D24">
        <w:rPr>
          <w:rStyle w:val="LentelespavDiagrama"/>
          <w:sz w:val="18"/>
        </w:rPr>
        <w:t>Šaltinis: sudaryta Vertintojų</w:t>
      </w:r>
    </w:p>
    <w:p w14:paraId="4025E29D" w14:textId="77777777" w:rsidR="009F5241" w:rsidRPr="00640D24" w:rsidRDefault="009F5241" w:rsidP="00863585">
      <w:pPr>
        <w:spacing w:before="60" w:after="60" w:line="240" w:lineRule="auto"/>
        <w:ind w:firstLine="567"/>
        <w:jc w:val="both"/>
        <w:rPr>
          <w:sz w:val="22"/>
        </w:rPr>
      </w:pPr>
      <w:r w:rsidRPr="00640D24">
        <w:rPr>
          <w:sz w:val="22"/>
        </w:rPr>
        <w:t>Taip pat, didžiųjų įmonių, kurie atsakė, kad jų atstovaujamos įmonės finansinė padėtis netolimoje ateityje išliks nepatikus arba suprastės, įvertino bankroto rizikas. Absoliuti dauguma respondentų (97 proc.), teigė, kad bankroto rizika išliks nepakitusi ir tik 3 (proc.) įvertino, kad bankroto rizika šiek tiek padidės.</w:t>
      </w:r>
    </w:p>
    <w:p w14:paraId="08736B5E" w14:textId="33BC5639" w:rsidR="009F5241" w:rsidRPr="00640D24" w:rsidRDefault="009F5241" w:rsidP="00DE79C4">
      <w:pPr>
        <w:spacing w:after="0"/>
        <w:jc w:val="both"/>
        <w:rPr>
          <w:rStyle w:val="LentelespavDiagrama"/>
          <w:sz w:val="22"/>
        </w:rPr>
      </w:pPr>
      <w:r w:rsidRPr="00640D24">
        <w:rPr>
          <w:rFonts w:cs="Times New Roman"/>
          <w:noProof/>
          <w:lang w:eastAsia="lt-LT"/>
        </w:rPr>
        <w:lastRenderedPageBreak/>
        <w:drawing>
          <wp:inline distT="0" distB="0" distL="0" distR="0" wp14:anchorId="61C78453" wp14:editId="6547DB3C">
            <wp:extent cx="6146359" cy="1868557"/>
            <wp:effectExtent l="0" t="0" r="6985" b="0"/>
            <wp:docPr id="586096573" name="Chart 1">
              <a:extLst xmlns:a="http://schemas.openxmlformats.org/drawingml/2006/main">
                <a:ext uri="{FF2B5EF4-FFF2-40B4-BE49-F238E27FC236}">
                  <a16:creationId xmlns:a16="http://schemas.microsoft.com/office/drawing/2014/main" id="{9A436C4E-1D4A-7305-B833-D43439864B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004458A4" w:rsidRPr="00640D24">
        <w:rPr>
          <w:rStyle w:val="LentelespavDiagrama"/>
          <w:sz w:val="22"/>
        </w:rPr>
        <w:t>Pavei</w:t>
      </w:r>
      <w:r w:rsidR="00B12880" w:rsidRPr="00640D24">
        <w:rPr>
          <w:rStyle w:val="LentelespavDiagrama"/>
          <w:sz w:val="22"/>
        </w:rPr>
        <w:t>kslas Nr. 29</w:t>
      </w:r>
      <w:r w:rsidR="004458A4" w:rsidRPr="00640D24">
        <w:rPr>
          <w:rStyle w:val="LentelespavDiagrama"/>
          <w:sz w:val="22"/>
        </w:rPr>
        <w:t>. Įvertinkite ar, esant tokiai situacijai, padidės jūsų atstovaujamo</w:t>
      </w:r>
      <w:r w:rsidR="00D57F13" w:rsidRPr="00640D24">
        <w:rPr>
          <w:rStyle w:val="LentelespavDiagrama"/>
          <w:sz w:val="22"/>
        </w:rPr>
        <w:t xml:space="preserve">s įmonės bankroto rizika? </w:t>
      </w:r>
    </w:p>
    <w:p w14:paraId="1678F506" w14:textId="710E9E32" w:rsidR="004458A4" w:rsidRPr="00640D24" w:rsidRDefault="00D57F13" w:rsidP="009E5BC4">
      <w:pPr>
        <w:jc w:val="both"/>
        <w:rPr>
          <w:rFonts w:cs="Times New Roman"/>
          <w:sz w:val="18"/>
        </w:rPr>
      </w:pPr>
      <w:r w:rsidRPr="00640D24">
        <w:rPr>
          <w:rStyle w:val="LentelespavDiagrama"/>
          <w:sz w:val="18"/>
        </w:rPr>
        <w:t>Šal</w:t>
      </w:r>
      <w:r w:rsidR="004458A4" w:rsidRPr="00640D24">
        <w:rPr>
          <w:rStyle w:val="LentelespavDiagrama"/>
          <w:sz w:val="18"/>
        </w:rPr>
        <w:t>tinis: sudaryta Vertintojų</w:t>
      </w:r>
    </w:p>
    <w:p w14:paraId="5E6174C0" w14:textId="77777777" w:rsidR="00616BA8" w:rsidRPr="00640D24" w:rsidRDefault="00616BA8" w:rsidP="00017F57">
      <w:pPr>
        <w:pStyle w:val="Antrat1"/>
        <w:spacing w:before="60" w:after="60" w:line="240" w:lineRule="auto"/>
        <w:rPr>
          <w:rFonts w:ascii="Times New Roman" w:hAnsi="Times New Roman" w:cs="Times New Roman"/>
          <w:b/>
          <w:bCs/>
          <w:color w:val="auto"/>
          <w:sz w:val="28"/>
          <w:szCs w:val="28"/>
        </w:rPr>
      </w:pPr>
    </w:p>
    <w:p w14:paraId="5BC8E2E8" w14:textId="77777777" w:rsidR="00616BA8" w:rsidRPr="00640D24" w:rsidRDefault="00616BA8" w:rsidP="00017F57">
      <w:pPr>
        <w:pStyle w:val="Antrat1"/>
        <w:spacing w:before="60" w:after="60" w:line="240" w:lineRule="auto"/>
        <w:rPr>
          <w:rFonts w:ascii="Times New Roman" w:hAnsi="Times New Roman" w:cs="Times New Roman"/>
          <w:b/>
          <w:bCs/>
          <w:color w:val="auto"/>
          <w:sz w:val="28"/>
          <w:szCs w:val="28"/>
        </w:rPr>
      </w:pPr>
    </w:p>
    <w:p w14:paraId="0E7E7FBC" w14:textId="77777777" w:rsidR="00616BA8" w:rsidRPr="00640D24" w:rsidRDefault="00616BA8" w:rsidP="00017F57">
      <w:pPr>
        <w:pStyle w:val="Antrat1"/>
        <w:spacing w:before="60" w:after="60" w:line="240" w:lineRule="auto"/>
        <w:rPr>
          <w:rFonts w:ascii="Times New Roman" w:hAnsi="Times New Roman" w:cs="Times New Roman"/>
          <w:b/>
          <w:bCs/>
          <w:color w:val="auto"/>
          <w:sz w:val="28"/>
          <w:szCs w:val="28"/>
        </w:rPr>
      </w:pPr>
    </w:p>
    <w:p w14:paraId="6CE8AF8F" w14:textId="77777777" w:rsidR="00E610C4" w:rsidRPr="00640D24" w:rsidRDefault="00E610C4" w:rsidP="00017F57">
      <w:pPr>
        <w:pStyle w:val="Antrat1"/>
        <w:spacing w:before="60" w:after="60" w:line="240" w:lineRule="auto"/>
        <w:rPr>
          <w:rFonts w:ascii="Times New Roman" w:eastAsiaTheme="minorEastAsia" w:hAnsi="Times New Roman" w:cstheme="minorBidi"/>
          <w:color w:val="auto"/>
          <w:sz w:val="24"/>
          <w:szCs w:val="24"/>
        </w:rPr>
      </w:pPr>
    </w:p>
    <w:p w14:paraId="1D3B6AA1" w14:textId="77777777" w:rsidR="00E610C4" w:rsidRPr="00640D24" w:rsidRDefault="00E610C4" w:rsidP="00E610C4"/>
    <w:p w14:paraId="792F3387" w14:textId="77777777" w:rsidR="005F7507" w:rsidRPr="00640D24" w:rsidRDefault="005F7507" w:rsidP="00E610C4"/>
    <w:p w14:paraId="3831C3F4" w14:textId="77777777" w:rsidR="004D58EE" w:rsidRPr="00640D24" w:rsidRDefault="004D58EE" w:rsidP="00E610C4"/>
    <w:p w14:paraId="22D8AB73" w14:textId="77777777" w:rsidR="005F7507" w:rsidRPr="00640D24" w:rsidRDefault="005F7507" w:rsidP="00E610C4"/>
    <w:p w14:paraId="68372767" w14:textId="77777777" w:rsidR="004D58EE" w:rsidRPr="00640D24" w:rsidRDefault="004D58EE" w:rsidP="00E610C4"/>
    <w:p w14:paraId="26EF8A5D" w14:textId="77777777" w:rsidR="004D58EE" w:rsidRPr="00640D24" w:rsidRDefault="004D58EE" w:rsidP="00E610C4"/>
    <w:p w14:paraId="4E9BD37F" w14:textId="77777777" w:rsidR="004D58EE" w:rsidRPr="00640D24" w:rsidRDefault="004D58EE" w:rsidP="00E610C4"/>
    <w:p w14:paraId="4B0D9470" w14:textId="77777777" w:rsidR="004D58EE" w:rsidRPr="00640D24" w:rsidRDefault="004D58EE" w:rsidP="00E610C4"/>
    <w:p w14:paraId="63047CB4" w14:textId="77777777" w:rsidR="004D58EE" w:rsidRPr="00640D24" w:rsidRDefault="004D58EE" w:rsidP="00E610C4"/>
    <w:p w14:paraId="3E30F46F" w14:textId="77777777" w:rsidR="004D58EE" w:rsidRPr="00640D24" w:rsidRDefault="004D58EE" w:rsidP="00E610C4"/>
    <w:p w14:paraId="771E2781" w14:textId="77777777" w:rsidR="004D58EE" w:rsidRPr="00640D24" w:rsidRDefault="004D58EE" w:rsidP="00E610C4"/>
    <w:p w14:paraId="5ADE7041" w14:textId="77777777" w:rsidR="004D58EE" w:rsidRPr="00640D24" w:rsidRDefault="004D58EE" w:rsidP="00E610C4"/>
    <w:p w14:paraId="22855923" w14:textId="77777777" w:rsidR="004D58EE" w:rsidRPr="00640D24" w:rsidRDefault="004D58EE" w:rsidP="00E610C4"/>
    <w:p w14:paraId="4CF6057E" w14:textId="77777777" w:rsidR="0012328D" w:rsidRPr="00640D24" w:rsidRDefault="0012328D" w:rsidP="00017F57">
      <w:pPr>
        <w:pStyle w:val="Antrat1"/>
        <w:spacing w:before="60" w:after="60" w:line="240" w:lineRule="auto"/>
        <w:rPr>
          <w:rFonts w:ascii="Times New Roman" w:hAnsi="Times New Roman" w:cs="Times New Roman"/>
          <w:b/>
          <w:bCs/>
          <w:color w:val="auto"/>
          <w:sz w:val="28"/>
          <w:szCs w:val="28"/>
        </w:rPr>
      </w:pPr>
    </w:p>
    <w:p w14:paraId="2F8263DF" w14:textId="77777777" w:rsidR="0085560F" w:rsidRPr="00640D24" w:rsidRDefault="0085560F" w:rsidP="0085560F"/>
    <w:p w14:paraId="6458B537" w14:textId="0580912F" w:rsidR="00D645DC" w:rsidRPr="00640D24" w:rsidRDefault="00611167" w:rsidP="00017F57">
      <w:pPr>
        <w:pStyle w:val="Antrat1"/>
        <w:spacing w:before="60" w:after="60" w:line="240" w:lineRule="auto"/>
        <w:rPr>
          <w:rFonts w:ascii="Times New Roman" w:hAnsi="Times New Roman" w:cs="Times New Roman"/>
          <w:b/>
          <w:bCs/>
          <w:color w:val="auto"/>
          <w:sz w:val="28"/>
          <w:szCs w:val="28"/>
        </w:rPr>
      </w:pPr>
      <w:bookmarkStart w:id="132" w:name="_Toc146812413"/>
      <w:r w:rsidRPr="00640D24">
        <w:rPr>
          <w:rFonts w:ascii="Times New Roman" w:hAnsi="Times New Roman" w:cs="Times New Roman"/>
          <w:b/>
          <w:bCs/>
          <w:color w:val="auto"/>
          <w:sz w:val="28"/>
          <w:szCs w:val="28"/>
        </w:rPr>
        <w:lastRenderedPageBreak/>
        <w:t>7 priedas. L</w:t>
      </w:r>
      <w:r w:rsidR="00C80832" w:rsidRPr="00640D24">
        <w:rPr>
          <w:rFonts w:ascii="Times New Roman" w:hAnsi="Times New Roman" w:cs="Times New Roman"/>
          <w:b/>
          <w:bCs/>
          <w:color w:val="auto"/>
          <w:sz w:val="28"/>
          <w:szCs w:val="28"/>
        </w:rPr>
        <w:t>ietuvos pramoninkų konfederacijos</w:t>
      </w:r>
      <w:r w:rsidRPr="00640D24">
        <w:rPr>
          <w:rFonts w:ascii="Times New Roman" w:hAnsi="Times New Roman" w:cs="Times New Roman"/>
          <w:b/>
          <w:bCs/>
          <w:color w:val="auto"/>
          <w:sz w:val="28"/>
          <w:szCs w:val="28"/>
        </w:rPr>
        <w:t xml:space="preserve"> apklausos rezultatai</w:t>
      </w:r>
      <w:bookmarkEnd w:id="132"/>
    </w:p>
    <w:p w14:paraId="1887A27A" w14:textId="07012798" w:rsidR="00D645DC" w:rsidRPr="00640D24" w:rsidRDefault="00D645DC" w:rsidP="002A4813">
      <w:pPr>
        <w:spacing w:before="60" w:after="60" w:line="240" w:lineRule="auto"/>
        <w:ind w:firstLine="567"/>
        <w:jc w:val="both"/>
        <w:rPr>
          <w:rFonts w:cs="Times New Roman"/>
          <w:sz w:val="22"/>
        </w:rPr>
      </w:pPr>
      <w:r w:rsidRPr="00640D24">
        <w:rPr>
          <w:rFonts w:cs="Times New Roman"/>
          <w:sz w:val="22"/>
        </w:rPr>
        <w:t>Verslo subjektų planuojamų investicijų paklausai bei finansavimo poreikiui nustatyti buvo atlikta reprezentatyvi Lietuvos pramoninkų konfederacijos apklausa, vykdyta 2023 m. liepos 13 d.</w:t>
      </w:r>
      <w:r w:rsidR="00BB5395" w:rsidRPr="00640D24">
        <w:rPr>
          <w:rFonts w:cs="Times New Roman"/>
          <w:sz w:val="22"/>
        </w:rPr>
        <w:t xml:space="preserve"> </w:t>
      </w:r>
      <w:r w:rsidRPr="00640D24">
        <w:rPr>
          <w:rFonts w:cs="Times New Roman"/>
          <w:sz w:val="22"/>
        </w:rPr>
        <w:t xml:space="preserve">– 2023 m. rugpjūčio 4 d. Apklausos metu buvo apklausti 71 asociacijos nariai, veikiantys apdirbamosios gamybos sektoriuje. Apklausą atliko vertintojai „BGI </w:t>
      </w:r>
      <w:proofErr w:type="spellStart"/>
      <w:r w:rsidRPr="00640D24">
        <w:rPr>
          <w:rFonts w:cs="Times New Roman"/>
          <w:sz w:val="22"/>
        </w:rPr>
        <w:t>Consulting</w:t>
      </w:r>
      <w:proofErr w:type="spellEnd"/>
      <w:r w:rsidRPr="00640D24">
        <w:rPr>
          <w:rFonts w:cs="Times New Roman"/>
          <w:sz w:val="22"/>
        </w:rPr>
        <w:t>“.</w:t>
      </w:r>
    </w:p>
    <w:p w14:paraId="2670D400" w14:textId="4FFDD1EB" w:rsidR="00D645DC" w:rsidRPr="00640D24" w:rsidRDefault="00D645DC" w:rsidP="002A4813">
      <w:pPr>
        <w:spacing w:before="60" w:after="60" w:line="240" w:lineRule="auto"/>
        <w:ind w:firstLine="567"/>
        <w:jc w:val="both"/>
        <w:rPr>
          <w:rFonts w:cs="Times New Roman"/>
          <w:sz w:val="22"/>
        </w:rPr>
      </w:pPr>
      <w:r w:rsidRPr="00640D24">
        <w:rPr>
          <w:rFonts w:cs="Times New Roman"/>
          <w:sz w:val="22"/>
        </w:rPr>
        <w:t>Apklausoje dalyvavo 8 proc. labai mažų įmonių, turinčių 1</w:t>
      </w:r>
      <w:r w:rsidR="00645085" w:rsidRPr="00640D24">
        <w:rPr>
          <w:rFonts w:cs="Times New Roman"/>
          <w:sz w:val="22"/>
        </w:rPr>
        <w:t>–</w:t>
      </w:r>
      <w:r w:rsidRPr="00640D24">
        <w:rPr>
          <w:rFonts w:cs="Times New Roman"/>
          <w:sz w:val="22"/>
        </w:rPr>
        <w:t>9 darbuotojus. 16 proc. įmonių turinčių 10</w:t>
      </w:r>
      <w:r w:rsidR="00645085" w:rsidRPr="00640D24">
        <w:rPr>
          <w:rFonts w:cs="Times New Roman"/>
          <w:sz w:val="22"/>
        </w:rPr>
        <w:t>–</w:t>
      </w:r>
      <w:r w:rsidRPr="00640D24">
        <w:rPr>
          <w:rFonts w:cs="Times New Roman"/>
          <w:sz w:val="22"/>
        </w:rPr>
        <w:t>49 darbuotojų. 45 proc. 50</w:t>
      </w:r>
      <w:r w:rsidR="00645085" w:rsidRPr="00640D24">
        <w:rPr>
          <w:rFonts w:cs="Times New Roman"/>
          <w:sz w:val="22"/>
        </w:rPr>
        <w:t>–</w:t>
      </w:r>
      <w:r w:rsidRPr="00640D24">
        <w:rPr>
          <w:rFonts w:cs="Times New Roman"/>
          <w:sz w:val="22"/>
        </w:rPr>
        <w:t>249 darbuotojų ir 31 proc. įmonių, turinčių 250 ir daugiau darbuotojų.</w:t>
      </w:r>
    </w:p>
    <w:p w14:paraId="5181C7E2" w14:textId="77777777" w:rsidR="00D645DC" w:rsidRPr="00640D24" w:rsidRDefault="00D645DC" w:rsidP="00D645DC">
      <w:pPr>
        <w:spacing w:after="0"/>
      </w:pPr>
      <w:r w:rsidRPr="00640D24">
        <w:rPr>
          <w:noProof/>
          <w:lang w:eastAsia="lt-LT"/>
        </w:rPr>
        <w:drawing>
          <wp:inline distT="0" distB="0" distL="0" distR="0" wp14:anchorId="4DEBC633" wp14:editId="2F858FB9">
            <wp:extent cx="6115685" cy="2971800"/>
            <wp:effectExtent l="0" t="0" r="0" b="0"/>
            <wp:docPr id="35" name="Chart 35">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3C49837B" w14:textId="4E8BE7B1" w:rsidR="005F33D7" w:rsidRPr="00640D24" w:rsidRDefault="00B12880" w:rsidP="00DE79C4">
      <w:pPr>
        <w:spacing w:after="0"/>
        <w:jc w:val="both"/>
        <w:rPr>
          <w:rFonts w:cs="Times New Roman"/>
          <w:i/>
          <w:sz w:val="22"/>
        </w:rPr>
      </w:pPr>
      <w:r w:rsidRPr="00640D24">
        <w:rPr>
          <w:rFonts w:cs="Times New Roman"/>
          <w:i/>
          <w:sz w:val="22"/>
        </w:rPr>
        <w:t>Paveikslas Nr. 30</w:t>
      </w:r>
      <w:r w:rsidR="00616BA8" w:rsidRPr="00640D24">
        <w:rPr>
          <w:rFonts w:cs="Times New Roman"/>
          <w:i/>
          <w:sz w:val="22"/>
        </w:rPr>
        <w:t>. LPK</w:t>
      </w:r>
      <w:r w:rsidR="005F33D7" w:rsidRPr="00640D24">
        <w:rPr>
          <w:rFonts w:cs="Times New Roman"/>
          <w:i/>
          <w:sz w:val="22"/>
        </w:rPr>
        <w:t xml:space="preserve"> įmonių vidutinis 2022 m. darbuotojų skaičius</w:t>
      </w:r>
    </w:p>
    <w:p w14:paraId="7ADE18AB" w14:textId="6E8E8C1D" w:rsidR="00D645DC" w:rsidRPr="00640D24" w:rsidRDefault="005F33D7" w:rsidP="00D645DC">
      <w:pPr>
        <w:spacing w:after="120"/>
        <w:jc w:val="both"/>
        <w:rPr>
          <w:rFonts w:cs="Times New Roman"/>
          <w:sz w:val="22"/>
        </w:rPr>
      </w:pPr>
      <w:r w:rsidRPr="00640D24">
        <w:rPr>
          <w:rFonts w:cs="Times New Roman"/>
          <w:i/>
          <w:sz w:val="18"/>
          <w:szCs w:val="18"/>
        </w:rPr>
        <w:t>Šaltinis: sudaryta Vertintojų</w:t>
      </w:r>
    </w:p>
    <w:p w14:paraId="356543B8" w14:textId="77777777" w:rsidR="00D645DC" w:rsidRPr="00640D24" w:rsidRDefault="00D645DC" w:rsidP="002A4813">
      <w:pPr>
        <w:spacing w:before="60" w:after="60" w:line="240" w:lineRule="auto"/>
        <w:ind w:firstLine="567"/>
        <w:jc w:val="both"/>
        <w:rPr>
          <w:rFonts w:cs="Times New Roman"/>
          <w:sz w:val="22"/>
        </w:rPr>
      </w:pPr>
      <w:r w:rsidRPr="00640D24">
        <w:rPr>
          <w:rFonts w:cs="Times New Roman"/>
          <w:sz w:val="22"/>
        </w:rPr>
        <w:t xml:space="preserve">Žemiau paveiksle parodyta, jog šios įmonės regionuose išsidėstė taip: 71 proc. visų atsakiusiųjų įmonių veikia Vidurio ir Vakarų Lietuvos regione, o likę 29 proc. veikia Sostinės regione. </w:t>
      </w:r>
    </w:p>
    <w:p w14:paraId="08E3BD64" w14:textId="77777777" w:rsidR="00D645DC" w:rsidRPr="00640D24" w:rsidRDefault="00D645DC" w:rsidP="00D645DC">
      <w:pPr>
        <w:spacing w:after="0"/>
      </w:pPr>
      <w:r w:rsidRPr="00640D24">
        <w:rPr>
          <w:noProof/>
          <w:lang w:eastAsia="lt-LT"/>
        </w:rPr>
        <w:drawing>
          <wp:inline distT="0" distB="0" distL="0" distR="0" wp14:anchorId="749BAEAE" wp14:editId="6E0F1DCC">
            <wp:extent cx="6116128" cy="2889849"/>
            <wp:effectExtent l="0" t="0" r="0" b="6350"/>
            <wp:docPr id="39" name="Chart 39">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34B38D49" w14:textId="2629B073" w:rsidR="005C2688" w:rsidRPr="00640D24" w:rsidRDefault="00B12880" w:rsidP="00DE79C4">
      <w:pPr>
        <w:spacing w:after="0"/>
        <w:jc w:val="both"/>
        <w:rPr>
          <w:rFonts w:cs="Times New Roman"/>
          <w:i/>
          <w:sz w:val="22"/>
        </w:rPr>
      </w:pPr>
      <w:r w:rsidRPr="00640D24">
        <w:rPr>
          <w:rFonts w:cs="Times New Roman"/>
          <w:i/>
          <w:sz w:val="22"/>
        </w:rPr>
        <w:t>Paveikslas Nr. 31</w:t>
      </w:r>
      <w:r w:rsidR="00616BA8" w:rsidRPr="00640D24">
        <w:rPr>
          <w:rFonts w:cs="Times New Roman"/>
          <w:i/>
          <w:sz w:val="22"/>
        </w:rPr>
        <w:t>. LPK</w:t>
      </w:r>
      <w:r w:rsidR="005C2688" w:rsidRPr="00640D24">
        <w:rPr>
          <w:rFonts w:cs="Times New Roman"/>
          <w:i/>
          <w:sz w:val="22"/>
        </w:rPr>
        <w:t xml:space="preserve"> įmonių regioninis pasiskirstymas</w:t>
      </w:r>
    </w:p>
    <w:p w14:paraId="23E56D1D" w14:textId="5344156E" w:rsidR="00D645DC" w:rsidRPr="00640D24" w:rsidRDefault="005C2688" w:rsidP="00D645DC">
      <w:pPr>
        <w:spacing w:after="120"/>
        <w:jc w:val="both"/>
        <w:rPr>
          <w:rFonts w:cs="Times New Roman"/>
          <w:i/>
          <w:sz w:val="22"/>
        </w:rPr>
      </w:pPr>
      <w:r w:rsidRPr="00640D24">
        <w:rPr>
          <w:rFonts w:cs="Times New Roman"/>
          <w:i/>
          <w:sz w:val="18"/>
        </w:rPr>
        <w:t>Šaltinis: sudaryta Vertintojų</w:t>
      </w:r>
    </w:p>
    <w:p w14:paraId="0A50ADE1" w14:textId="77777777" w:rsidR="00D645DC" w:rsidRPr="00640D24" w:rsidRDefault="00D645DC" w:rsidP="002A4813">
      <w:pPr>
        <w:spacing w:before="60" w:after="60" w:line="240" w:lineRule="auto"/>
        <w:ind w:firstLine="567"/>
        <w:jc w:val="both"/>
        <w:rPr>
          <w:rFonts w:cs="Times New Roman"/>
          <w:iCs/>
          <w:sz w:val="22"/>
        </w:rPr>
      </w:pPr>
      <w:r w:rsidRPr="00640D24">
        <w:rPr>
          <w:rFonts w:cs="Times New Roman"/>
          <w:iCs/>
          <w:sz w:val="22"/>
        </w:rPr>
        <w:lastRenderedPageBreak/>
        <w:t xml:space="preserve">Respondentų pasiskirstymas pagal veiklos vykdymo laikotarpį yra pateikiamas žemiau esančiame paveiksle. Kaip galima matyti, apklaustų įmonių proporcingumas iš esmės atitinka Lietuvoje veikiančių įmonių pasiskirstymą pagal veiklos vykdymo laiką. Didžioji dalis (95 proc.) apklausoje dalyvavusių respondentų atstovaujančių įmones veiklą vykdo ilgiau nei 5 metus, likę respondentai nurodė, kad jų atstovaujama įmonė veiklą vykdo nuo 3 iki 5 metų. Trumpiau nei 3 netus veikiančių įmonių Lietuvos pramonininkų konfederacijoje neatsirado. </w:t>
      </w:r>
    </w:p>
    <w:p w14:paraId="542B475C" w14:textId="77777777" w:rsidR="00D645DC" w:rsidRPr="00640D24" w:rsidRDefault="00D645DC" w:rsidP="00D645DC">
      <w:pPr>
        <w:spacing w:after="0"/>
      </w:pPr>
      <w:r w:rsidRPr="00640D24">
        <w:rPr>
          <w:noProof/>
          <w:lang w:eastAsia="lt-LT"/>
        </w:rPr>
        <w:drawing>
          <wp:inline distT="0" distB="0" distL="0" distR="0" wp14:anchorId="75A4C5C6" wp14:editId="7B998DB5">
            <wp:extent cx="6081623" cy="2562045"/>
            <wp:effectExtent l="0" t="0" r="0" b="0"/>
            <wp:docPr id="41" name="Chart 4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E36B21C" w14:textId="13ACBB5C" w:rsidR="000419F1" w:rsidRPr="00640D24" w:rsidRDefault="004D58EE" w:rsidP="00DE79C4">
      <w:pPr>
        <w:spacing w:after="0"/>
        <w:jc w:val="both"/>
        <w:rPr>
          <w:i/>
          <w:sz w:val="22"/>
        </w:rPr>
      </w:pPr>
      <w:r w:rsidRPr="00640D24">
        <w:rPr>
          <w:i/>
          <w:sz w:val="22"/>
        </w:rPr>
        <w:t>Paveikslas Nr. 32</w:t>
      </w:r>
      <w:r w:rsidR="000419F1" w:rsidRPr="00640D24">
        <w:rPr>
          <w:i/>
          <w:sz w:val="22"/>
        </w:rPr>
        <w:t>. Kiek laiko jūsų įmonė vykdo veiklą?</w:t>
      </w:r>
    </w:p>
    <w:p w14:paraId="1B5D7E39" w14:textId="0DB6467F" w:rsidR="00D645DC" w:rsidRPr="00640D24" w:rsidRDefault="000419F1" w:rsidP="00D645DC">
      <w:pPr>
        <w:spacing w:after="120"/>
        <w:jc w:val="both"/>
        <w:rPr>
          <w:i/>
          <w:sz w:val="22"/>
        </w:rPr>
      </w:pPr>
      <w:r w:rsidRPr="00640D24">
        <w:rPr>
          <w:i/>
          <w:sz w:val="18"/>
        </w:rPr>
        <w:t>Šaltinis: sudaryta Vertintojų</w:t>
      </w:r>
    </w:p>
    <w:p w14:paraId="6CC01676" w14:textId="77777777" w:rsidR="00D645DC" w:rsidRPr="00640D24" w:rsidRDefault="00D645DC" w:rsidP="002A4813">
      <w:pPr>
        <w:spacing w:before="60" w:after="60" w:line="240" w:lineRule="auto"/>
        <w:ind w:firstLine="567"/>
        <w:jc w:val="both"/>
        <w:rPr>
          <w:sz w:val="22"/>
        </w:rPr>
      </w:pPr>
      <w:r w:rsidRPr="00640D24">
        <w:rPr>
          <w:sz w:val="22"/>
        </w:rPr>
        <w:t>Žemiau esančiame paveiksle pateikiami pramonės įmonių atsakymai apie suplanuotų projektų srautą ateinantiems 1–2 metams. Didžioji dalis (84 proc.) Lietuvos pramoninkų konfederacijos narių Lietuvoje per artimiausius metus planuoja atlikti investicijas ir yra pasirengę tokius projektus. Likę 16 proc. nurodė, jog nežino/ negali/ nenori atsakyti į šį klausimą, o nurodžiusių, jog tokių investicinių projektų nėra pasirengę neatsirado.</w:t>
      </w:r>
    </w:p>
    <w:p w14:paraId="202AB131" w14:textId="77777777" w:rsidR="00D645DC" w:rsidRPr="00640D24" w:rsidRDefault="00D645DC" w:rsidP="00D645DC">
      <w:pPr>
        <w:spacing w:after="0"/>
      </w:pPr>
      <w:r w:rsidRPr="00640D24">
        <w:rPr>
          <w:noProof/>
          <w:lang w:eastAsia="lt-LT"/>
        </w:rPr>
        <w:drawing>
          <wp:inline distT="0" distB="0" distL="0" distR="0" wp14:anchorId="4E740CE4" wp14:editId="3B54791D">
            <wp:extent cx="6116128" cy="2493034"/>
            <wp:effectExtent l="0" t="0" r="0" b="2540"/>
            <wp:docPr id="45" name="Chart 45">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64275B1" w14:textId="5E96C2BA" w:rsidR="005A757E" w:rsidRPr="00640D24" w:rsidRDefault="004D58EE" w:rsidP="00D645DC">
      <w:pPr>
        <w:spacing w:after="0"/>
        <w:jc w:val="both"/>
        <w:rPr>
          <w:rFonts w:cs="Times New Roman"/>
          <w:i/>
          <w:sz w:val="22"/>
        </w:rPr>
      </w:pPr>
      <w:r w:rsidRPr="00640D24">
        <w:rPr>
          <w:rFonts w:cs="Times New Roman"/>
          <w:i/>
          <w:sz w:val="22"/>
        </w:rPr>
        <w:t>Paveikslas Nr. 33</w:t>
      </w:r>
      <w:r w:rsidR="005A757E" w:rsidRPr="00640D24">
        <w:rPr>
          <w:rFonts w:cs="Times New Roman"/>
          <w:i/>
          <w:sz w:val="22"/>
        </w:rPr>
        <w:t>. Kalbėdami apie investicijas ir investicinius projektus, nurodykite ar šiems, ar ateinantiems keliems metams esate pasirengę investicinius projektus?</w:t>
      </w:r>
    </w:p>
    <w:p w14:paraId="20DC7640" w14:textId="37C2975F" w:rsidR="00D645DC" w:rsidRPr="00640D24" w:rsidRDefault="005A757E" w:rsidP="00D645DC">
      <w:pPr>
        <w:spacing w:after="0"/>
        <w:jc w:val="both"/>
        <w:rPr>
          <w:rFonts w:cs="Times New Roman"/>
          <w:i/>
          <w:sz w:val="22"/>
        </w:rPr>
      </w:pPr>
      <w:r w:rsidRPr="00640D24">
        <w:rPr>
          <w:rFonts w:cs="Times New Roman"/>
          <w:i/>
          <w:sz w:val="18"/>
        </w:rPr>
        <w:t>Šaltinis: sudaryta Vertintojų</w:t>
      </w:r>
    </w:p>
    <w:p w14:paraId="5E00BBE2" w14:textId="77777777" w:rsidR="00D645DC" w:rsidRPr="00640D24" w:rsidRDefault="00D645DC" w:rsidP="006B75C9">
      <w:pPr>
        <w:spacing w:before="60" w:after="60" w:line="240" w:lineRule="auto"/>
        <w:ind w:firstLine="567"/>
        <w:jc w:val="both"/>
        <w:rPr>
          <w:sz w:val="22"/>
        </w:rPr>
      </w:pPr>
      <w:r w:rsidRPr="00640D24">
        <w:rPr>
          <w:sz w:val="22"/>
        </w:rPr>
        <w:t xml:space="preserve">Vertinant suplanuotų investicijų pasiskirstymą pagal investicijų tipą ir kategorijas, daugiausiai respondentų teigė, kad investuos mašinas ir įrenginius (22 proc.). Šeštadalis respondentų nurodė, kad investuos į pažangiąsias technologijas.  Dar 15 proc. respondentų nurodė, kad investuos atitinkamai į žemę, pastatus ir </w:t>
      </w:r>
      <w:r w:rsidRPr="00640D24">
        <w:rPr>
          <w:sz w:val="22"/>
        </w:rPr>
        <w:lastRenderedPageBreak/>
        <w:t>infrastruktūrą ir žmogiškąjį kapitalą. Kiti 12 ir 13 proc. respondentų nurodė, kad investuos į MTEP ir nematerialųjį turtą.</w:t>
      </w:r>
    </w:p>
    <w:p w14:paraId="5D34BE18" w14:textId="77777777" w:rsidR="00D645DC" w:rsidRPr="00640D24" w:rsidRDefault="00D645DC" w:rsidP="002A4813">
      <w:pPr>
        <w:spacing w:before="60" w:after="60" w:line="240" w:lineRule="auto"/>
        <w:ind w:firstLine="567"/>
        <w:jc w:val="both"/>
        <w:rPr>
          <w:sz w:val="22"/>
        </w:rPr>
      </w:pPr>
      <w:r w:rsidRPr="00640D24">
        <w:rPr>
          <w:sz w:val="22"/>
        </w:rPr>
        <w:t xml:space="preserve">Papildomai Lietuvos pramoninkų konfederacijos narių buvo prašoma įvardyti kur nukreiptų investicijas, jei nesirinko nei vieno iš aukščiau nurodytų atsakymo variantų. 3 proc. rinkosi šį atsakymą ir nurodė, jog kitos sritys, į kurias investuos, yra: saulės elektrinės su akumuliatoriais ir alternatyvūs energijos šaltiniai, mažmeninės prekybos tinklo plėtra bei investicijos darbuotojų pritraukimui iš kitų gyvenviečių ir jų apgyvendinimui (bendrabučiai). </w:t>
      </w:r>
    </w:p>
    <w:p w14:paraId="4B6D7543" w14:textId="77777777" w:rsidR="00D645DC" w:rsidRPr="00640D24" w:rsidRDefault="00D645DC" w:rsidP="002A4813">
      <w:pPr>
        <w:spacing w:before="60" w:after="60" w:line="240" w:lineRule="auto"/>
        <w:ind w:firstLine="567"/>
        <w:jc w:val="both"/>
        <w:rPr>
          <w:sz w:val="22"/>
        </w:rPr>
      </w:pPr>
      <w:r w:rsidRPr="00640D24">
        <w:rPr>
          <w:sz w:val="22"/>
        </w:rPr>
        <w:t xml:space="preserve">Verta paminėti, kad iš atsakiusiųjų konfederacijos narių, tik 12 proc. nurodė, kad investuos į biotechnologijas bei gynybos ir saugumo pramonės sritį. Į abi sritis bus investuojama po vienodai investicijų. </w:t>
      </w:r>
    </w:p>
    <w:p w14:paraId="41385D50" w14:textId="77777777" w:rsidR="00D645DC" w:rsidRPr="00640D24" w:rsidRDefault="00D645DC" w:rsidP="00D645DC">
      <w:pPr>
        <w:spacing w:after="0"/>
        <w:rPr>
          <w:rFonts w:ascii="Cambria" w:hAnsi="Cambria"/>
          <w:sz w:val="20"/>
        </w:rPr>
      </w:pPr>
      <w:r w:rsidRPr="00640D24">
        <w:rPr>
          <w:noProof/>
          <w:lang w:eastAsia="lt-LT"/>
        </w:rPr>
        <w:drawing>
          <wp:inline distT="0" distB="0" distL="0" distR="0" wp14:anchorId="2FE070E4" wp14:editId="4A96B006">
            <wp:extent cx="6245225" cy="3857625"/>
            <wp:effectExtent l="0" t="0" r="3175" b="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351238C8" w14:textId="58BBBDDA" w:rsidR="005A757E" w:rsidRPr="00640D24" w:rsidRDefault="004D58EE" w:rsidP="00D645DC">
      <w:pPr>
        <w:spacing w:after="0" w:line="240" w:lineRule="auto"/>
        <w:jc w:val="both"/>
        <w:rPr>
          <w:rFonts w:cs="Times New Roman"/>
          <w:i/>
          <w:sz w:val="22"/>
          <w:szCs w:val="20"/>
        </w:rPr>
      </w:pPr>
      <w:r w:rsidRPr="00640D24">
        <w:rPr>
          <w:rFonts w:cs="Times New Roman"/>
          <w:i/>
          <w:sz w:val="22"/>
          <w:szCs w:val="20"/>
        </w:rPr>
        <w:t>Paveikslas Nr. 34</w:t>
      </w:r>
      <w:r w:rsidR="005A757E" w:rsidRPr="00640D24">
        <w:rPr>
          <w:rFonts w:cs="Times New Roman"/>
          <w:i/>
          <w:sz w:val="22"/>
          <w:szCs w:val="20"/>
        </w:rPr>
        <w:t>. Planuojamas investicijų atlikimas/ nukreipimas</w:t>
      </w:r>
    </w:p>
    <w:p w14:paraId="2A6094F7" w14:textId="31FA4E9C" w:rsidR="00D645DC" w:rsidRPr="00640D24" w:rsidRDefault="005A757E" w:rsidP="00D645DC">
      <w:pPr>
        <w:spacing w:after="0" w:line="240" w:lineRule="auto"/>
        <w:jc w:val="both"/>
        <w:rPr>
          <w:rFonts w:cs="Times New Roman"/>
          <w:i/>
          <w:sz w:val="22"/>
          <w:szCs w:val="20"/>
        </w:rPr>
      </w:pPr>
      <w:r w:rsidRPr="00640D24">
        <w:rPr>
          <w:rFonts w:cs="Times New Roman"/>
          <w:i/>
          <w:sz w:val="18"/>
          <w:szCs w:val="20"/>
        </w:rPr>
        <w:t>Šaltinis: sudaryta Vertintojų</w:t>
      </w:r>
    </w:p>
    <w:p w14:paraId="563F8578" w14:textId="77777777" w:rsidR="00D645DC" w:rsidRPr="00640D24" w:rsidRDefault="00D645DC" w:rsidP="002A4813">
      <w:pPr>
        <w:spacing w:before="60" w:after="60" w:line="240" w:lineRule="auto"/>
        <w:ind w:firstLine="567"/>
        <w:jc w:val="both"/>
        <w:rPr>
          <w:sz w:val="22"/>
        </w:rPr>
      </w:pPr>
      <w:r w:rsidRPr="00640D24">
        <w:rPr>
          <w:sz w:val="22"/>
        </w:rPr>
        <w:t xml:space="preserve">Tuo tarpu analizuojant į kokias tikslines sritis bus nukreiptos suplanuotos investicijos, daugiau nei pusė respondentų nurodė, kad jų investicijos bus į gamybinių pajėgumų būklės gerinimą. 15 proc. respondentų nurodė, kad investicijos bus naudojamos nudėvėtų gamybos įrenginių atnaujinimui, 21 proc. nurodė, kad modernizuos gamybos procesus, o 17 proc. teigė, kad gerins gamybos pajėgumus diegiant </w:t>
      </w:r>
      <w:proofErr w:type="spellStart"/>
      <w:r w:rsidRPr="00640D24">
        <w:rPr>
          <w:sz w:val="22"/>
        </w:rPr>
        <w:t>skaitmenizacijos</w:t>
      </w:r>
      <w:proofErr w:type="spellEnd"/>
      <w:r w:rsidRPr="00640D24">
        <w:rPr>
          <w:sz w:val="22"/>
        </w:rPr>
        <w:t xml:space="preserve"> sprendimus. </w:t>
      </w:r>
    </w:p>
    <w:p w14:paraId="5DF04035" w14:textId="77777777" w:rsidR="00D645DC" w:rsidRPr="00640D24" w:rsidRDefault="00D645DC" w:rsidP="002A4813">
      <w:pPr>
        <w:spacing w:before="60" w:after="60" w:line="240" w:lineRule="auto"/>
        <w:ind w:firstLine="567"/>
        <w:jc w:val="both"/>
        <w:rPr>
          <w:sz w:val="22"/>
        </w:rPr>
      </w:pPr>
      <w:r w:rsidRPr="00640D24">
        <w:rPr>
          <w:sz w:val="22"/>
        </w:rPr>
        <w:t>Beveik trečdalis respondentų nurodė, kad jų investicijos bus nukreiptos į žaliąją transformaciją: 17 proc. respondentų nurodė, kad investuos į energetinių sąnaudų mažinimą, investuojant į energijos taupymo sprendimus, o dar 14 proc. investuos į perėjimą link neutralios klimatui ekonomikos, diegiant aplinkosaugines inovacijas ir sprendimus. 14 proc. konfederacijos narių investuos į MTEP veiklas.</w:t>
      </w:r>
    </w:p>
    <w:p w14:paraId="64DC1582" w14:textId="77777777" w:rsidR="00D645DC" w:rsidRPr="00640D24" w:rsidRDefault="00D645DC" w:rsidP="002A4813">
      <w:pPr>
        <w:spacing w:before="60" w:after="60" w:line="240" w:lineRule="auto"/>
        <w:ind w:firstLine="567"/>
        <w:jc w:val="both"/>
        <w:rPr>
          <w:sz w:val="22"/>
        </w:rPr>
      </w:pPr>
      <w:r w:rsidRPr="00640D24">
        <w:rPr>
          <w:sz w:val="22"/>
        </w:rPr>
        <w:t>Papildomai Lietuvos pramoninkų konfederacijos narių buvo prašoma įvardyti kur nukreiptų investicijas, jei nesirinko nei vieno iš aukščiau nurodytų atsakymo variantų. 2 proc. rinkosi šį atsakymą ir nurodė, jog kitos sritys, į kurias investuos, yra: pažangesnių atliekų tvarkymo technologijų modernizavimas ir/ ar diegimas bei pažangesnės ir efektyvesnės gamybos naujos įmonės įkūrimas.</w:t>
      </w:r>
    </w:p>
    <w:p w14:paraId="6A31F769" w14:textId="77777777" w:rsidR="00D645DC" w:rsidRPr="00640D24" w:rsidRDefault="00D645DC" w:rsidP="00D645DC">
      <w:pPr>
        <w:spacing w:after="0" w:line="240" w:lineRule="auto"/>
        <w:rPr>
          <w:rFonts w:ascii="Cambria" w:hAnsi="Cambria"/>
          <w:sz w:val="20"/>
          <w:szCs w:val="20"/>
        </w:rPr>
      </w:pPr>
      <w:r w:rsidRPr="00640D24">
        <w:rPr>
          <w:noProof/>
          <w:sz w:val="22"/>
          <w:lang w:eastAsia="lt-LT"/>
        </w:rPr>
        <w:lastRenderedPageBreak/>
        <w:drawing>
          <wp:inline distT="0" distB="0" distL="0" distR="0" wp14:anchorId="4B56E85C" wp14:editId="0AF476C9">
            <wp:extent cx="6115685" cy="3786996"/>
            <wp:effectExtent l="0" t="0" r="0" b="4445"/>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19ED7986" w14:textId="07316AD5" w:rsidR="00D645DC" w:rsidRPr="00640D24" w:rsidRDefault="004D58EE" w:rsidP="00DE79C4">
      <w:pPr>
        <w:spacing w:after="0"/>
        <w:jc w:val="both"/>
        <w:rPr>
          <w:rFonts w:cs="Times New Roman"/>
          <w:i/>
          <w:sz w:val="22"/>
          <w:szCs w:val="20"/>
        </w:rPr>
      </w:pPr>
      <w:r w:rsidRPr="00640D24">
        <w:rPr>
          <w:rFonts w:cs="Times New Roman"/>
          <w:i/>
          <w:sz w:val="22"/>
          <w:szCs w:val="20"/>
        </w:rPr>
        <w:t>Paveikslas Nr. 35</w:t>
      </w:r>
      <w:r w:rsidR="005A757E" w:rsidRPr="00640D24">
        <w:rPr>
          <w:rFonts w:cs="Times New Roman"/>
          <w:i/>
          <w:sz w:val="22"/>
          <w:szCs w:val="20"/>
        </w:rPr>
        <w:t>. Suplanuotų investicinių projektų/ investicijų tikslinės kryptys</w:t>
      </w:r>
    </w:p>
    <w:p w14:paraId="44BC1C1D" w14:textId="4C9B25C2" w:rsidR="005A757E" w:rsidRPr="00640D24" w:rsidRDefault="005A757E" w:rsidP="00D645DC">
      <w:pPr>
        <w:jc w:val="both"/>
        <w:rPr>
          <w:rFonts w:cs="Times New Roman"/>
          <w:i/>
          <w:sz w:val="18"/>
          <w:szCs w:val="20"/>
        </w:rPr>
      </w:pPr>
      <w:r w:rsidRPr="00640D24">
        <w:rPr>
          <w:rFonts w:cs="Times New Roman"/>
          <w:i/>
          <w:sz w:val="18"/>
          <w:szCs w:val="20"/>
        </w:rPr>
        <w:t>Šaltinis: sudaryta Vertintojų</w:t>
      </w:r>
    </w:p>
    <w:p w14:paraId="465BBF41" w14:textId="77777777" w:rsidR="00D645DC" w:rsidRPr="00640D24" w:rsidRDefault="00D645DC" w:rsidP="002A4813">
      <w:pPr>
        <w:spacing w:before="60" w:after="60" w:line="240" w:lineRule="auto"/>
        <w:ind w:firstLine="567"/>
        <w:jc w:val="both"/>
        <w:rPr>
          <w:rFonts w:cs="Times New Roman"/>
          <w:sz w:val="22"/>
          <w:szCs w:val="20"/>
        </w:rPr>
      </w:pPr>
      <w:r w:rsidRPr="00640D24">
        <w:rPr>
          <w:rFonts w:cs="Times New Roman"/>
          <w:sz w:val="22"/>
          <w:szCs w:val="20"/>
        </w:rPr>
        <w:t xml:space="preserve">Investicijų rėžiai Lietuvos pramoninkų konfederacijos narių atsakymuose nurodyti žemiau pateiktame paveiksle. Atsakymai buvo sugrupuoti į tris grupes: investicijos iki 1 mln. </w:t>
      </w:r>
      <w:proofErr w:type="spellStart"/>
      <w:r w:rsidRPr="00640D24">
        <w:rPr>
          <w:rFonts w:cs="Times New Roman"/>
          <w:sz w:val="22"/>
          <w:szCs w:val="20"/>
        </w:rPr>
        <w:t>Eur</w:t>
      </w:r>
      <w:proofErr w:type="spellEnd"/>
      <w:r w:rsidRPr="00640D24">
        <w:rPr>
          <w:rFonts w:cs="Times New Roman"/>
          <w:sz w:val="22"/>
          <w:szCs w:val="20"/>
        </w:rPr>
        <w:t xml:space="preserve">., investicijos nuo 1 iki 10 mln. </w:t>
      </w:r>
      <w:proofErr w:type="spellStart"/>
      <w:r w:rsidRPr="00640D24">
        <w:rPr>
          <w:rFonts w:cs="Times New Roman"/>
          <w:sz w:val="22"/>
          <w:szCs w:val="20"/>
        </w:rPr>
        <w:t>Eur</w:t>
      </w:r>
      <w:proofErr w:type="spellEnd"/>
      <w:r w:rsidRPr="00640D24">
        <w:rPr>
          <w:rFonts w:cs="Times New Roman"/>
          <w:sz w:val="22"/>
          <w:szCs w:val="20"/>
        </w:rPr>
        <w:t xml:space="preserve">. ir investicijos siekiančios daugiau nei 10 mln. </w:t>
      </w:r>
      <w:proofErr w:type="spellStart"/>
      <w:r w:rsidRPr="00640D24">
        <w:rPr>
          <w:rFonts w:cs="Times New Roman"/>
          <w:sz w:val="22"/>
          <w:szCs w:val="20"/>
        </w:rPr>
        <w:t>Eur</w:t>
      </w:r>
      <w:proofErr w:type="spellEnd"/>
      <w:r w:rsidRPr="00640D24">
        <w:rPr>
          <w:rFonts w:cs="Times New Roman"/>
          <w:sz w:val="22"/>
          <w:szCs w:val="20"/>
        </w:rPr>
        <w:t xml:space="preserve">. </w:t>
      </w:r>
    </w:p>
    <w:p w14:paraId="48C4F595" w14:textId="77777777" w:rsidR="00D645DC" w:rsidRPr="00640D24" w:rsidRDefault="00D645DC" w:rsidP="002A4813">
      <w:pPr>
        <w:spacing w:before="60" w:after="60" w:line="240" w:lineRule="auto"/>
        <w:ind w:firstLine="567"/>
        <w:jc w:val="both"/>
        <w:rPr>
          <w:rFonts w:cs="Times New Roman"/>
          <w:sz w:val="22"/>
          <w:szCs w:val="20"/>
        </w:rPr>
      </w:pPr>
      <w:r w:rsidRPr="00640D24">
        <w:rPr>
          <w:rFonts w:cs="Times New Roman"/>
          <w:sz w:val="22"/>
          <w:szCs w:val="20"/>
        </w:rPr>
        <w:t xml:space="preserve">Kiekvienoje tikslinėje srityje skiriamos lėšos varijuoja įvairiai, taip gali būti dėl skirtingų projektų ir anksčiau nurodyto noro investuoti į atitinkamą tikslinę sritį. Didesnio nei 10 mln. </w:t>
      </w:r>
      <w:proofErr w:type="spellStart"/>
      <w:r w:rsidRPr="00640D24">
        <w:rPr>
          <w:rFonts w:cs="Times New Roman"/>
          <w:sz w:val="22"/>
          <w:szCs w:val="20"/>
        </w:rPr>
        <w:t>Eur</w:t>
      </w:r>
      <w:proofErr w:type="spellEnd"/>
      <w:r w:rsidRPr="00640D24">
        <w:rPr>
          <w:rFonts w:cs="Times New Roman"/>
          <w:sz w:val="22"/>
          <w:szCs w:val="20"/>
        </w:rPr>
        <w:t xml:space="preserve">. finansavimo nesulauks tik žmogiškojo kapitalo sritis. </w:t>
      </w:r>
    </w:p>
    <w:p w14:paraId="470E2E38" w14:textId="576AF6A4" w:rsidR="00D645DC" w:rsidRPr="00640D24" w:rsidRDefault="00D645DC" w:rsidP="002A4813">
      <w:pPr>
        <w:spacing w:before="60" w:after="60" w:line="240" w:lineRule="auto"/>
        <w:ind w:firstLine="567"/>
        <w:jc w:val="both"/>
        <w:rPr>
          <w:rFonts w:cs="Times New Roman"/>
          <w:sz w:val="22"/>
          <w:szCs w:val="20"/>
        </w:rPr>
      </w:pPr>
      <w:r w:rsidRPr="00640D24">
        <w:rPr>
          <w:rFonts w:cs="Times New Roman"/>
          <w:sz w:val="22"/>
          <w:szCs w:val="20"/>
        </w:rPr>
        <w:t>Gamybinių pajėgumų didinimas daugiausiai sulauks 1</w:t>
      </w:r>
      <w:r w:rsidR="00645085" w:rsidRPr="00640D24">
        <w:rPr>
          <w:rFonts w:cs="Times New Roman"/>
          <w:sz w:val="22"/>
          <w:szCs w:val="20"/>
        </w:rPr>
        <w:t>–</w:t>
      </w:r>
      <w:r w:rsidRPr="00640D24">
        <w:rPr>
          <w:rFonts w:cs="Times New Roman"/>
          <w:sz w:val="22"/>
          <w:szCs w:val="20"/>
        </w:rPr>
        <w:t xml:space="preserve">10 mln. </w:t>
      </w:r>
      <w:proofErr w:type="spellStart"/>
      <w:r w:rsidRPr="00640D24">
        <w:rPr>
          <w:rFonts w:cs="Times New Roman"/>
          <w:sz w:val="22"/>
          <w:szCs w:val="20"/>
        </w:rPr>
        <w:t>Eur</w:t>
      </w:r>
      <w:proofErr w:type="spellEnd"/>
      <w:r w:rsidRPr="00640D24">
        <w:rPr>
          <w:rFonts w:cs="Times New Roman"/>
          <w:sz w:val="22"/>
          <w:szCs w:val="20"/>
        </w:rPr>
        <w:t xml:space="preserve">. investicijų, kai tuo tarpu į MTEP sritį ruošiamasi investuoti tik iki 1 mln. </w:t>
      </w:r>
      <w:proofErr w:type="spellStart"/>
      <w:r w:rsidRPr="00640D24">
        <w:rPr>
          <w:rFonts w:cs="Times New Roman"/>
          <w:sz w:val="22"/>
          <w:szCs w:val="20"/>
        </w:rPr>
        <w:t>Eur</w:t>
      </w:r>
      <w:proofErr w:type="spellEnd"/>
      <w:r w:rsidRPr="00640D24">
        <w:rPr>
          <w:rFonts w:cs="Times New Roman"/>
          <w:sz w:val="22"/>
          <w:szCs w:val="20"/>
        </w:rPr>
        <w:t xml:space="preserve">. lėšų. O nematerialus turtas ir žmogiškojo kapitalo sritys daugiausiai sulauks lėšų iki 1 mln. </w:t>
      </w:r>
      <w:proofErr w:type="spellStart"/>
      <w:r w:rsidRPr="00640D24">
        <w:rPr>
          <w:rFonts w:cs="Times New Roman"/>
          <w:sz w:val="22"/>
          <w:szCs w:val="20"/>
        </w:rPr>
        <w:t>Eur</w:t>
      </w:r>
      <w:proofErr w:type="spellEnd"/>
      <w:r w:rsidRPr="00640D24">
        <w:rPr>
          <w:rFonts w:cs="Times New Roman"/>
          <w:sz w:val="22"/>
          <w:szCs w:val="20"/>
        </w:rPr>
        <w:t xml:space="preserve">., tuo tarpu žmogiškasis kapitalas nesulauks investicijų viršijančių 10 mln. </w:t>
      </w:r>
      <w:proofErr w:type="spellStart"/>
      <w:r w:rsidRPr="00640D24">
        <w:rPr>
          <w:rFonts w:cs="Times New Roman"/>
          <w:sz w:val="22"/>
          <w:szCs w:val="20"/>
        </w:rPr>
        <w:t>Eur</w:t>
      </w:r>
      <w:proofErr w:type="spellEnd"/>
      <w:r w:rsidRPr="00640D24">
        <w:rPr>
          <w:rFonts w:cs="Times New Roman"/>
          <w:sz w:val="22"/>
          <w:szCs w:val="20"/>
        </w:rPr>
        <w:t xml:space="preserve">., o nematerialus turtas sulauks tik 7 proc. tokio dydžio investicijų. </w:t>
      </w:r>
    </w:p>
    <w:p w14:paraId="13CD887E" w14:textId="5CAB4FD6" w:rsidR="00DE79C4" w:rsidRPr="00640D24" w:rsidRDefault="00DE79C4" w:rsidP="00DE79C4">
      <w:pPr>
        <w:tabs>
          <w:tab w:val="left" w:pos="1636"/>
        </w:tabs>
        <w:spacing w:after="0"/>
        <w:jc w:val="both"/>
        <w:rPr>
          <w:rFonts w:cs="Times New Roman"/>
          <w:i/>
          <w:sz w:val="22"/>
          <w:szCs w:val="20"/>
          <w:lang w:val="en-US"/>
        </w:rPr>
      </w:pPr>
      <w:r w:rsidRPr="00640D24">
        <w:rPr>
          <w:noProof/>
          <w:lang w:eastAsia="lt-LT"/>
        </w:rPr>
        <w:lastRenderedPageBreak/>
        <w:drawing>
          <wp:inline distT="0" distB="0" distL="0" distR="0" wp14:anchorId="3322A5ED" wp14:editId="0E75ED98">
            <wp:extent cx="6120130" cy="2918129"/>
            <wp:effectExtent l="0" t="0" r="0" b="0"/>
            <wp:docPr id="54" name="Chart 5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1269A5E3" w14:textId="6A84E056" w:rsidR="00030C84" w:rsidRPr="00640D24" w:rsidRDefault="00B12880" w:rsidP="00DE79C4">
      <w:pPr>
        <w:tabs>
          <w:tab w:val="left" w:pos="1636"/>
        </w:tabs>
        <w:spacing w:after="0"/>
        <w:jc w:val="both"/>
        <w:rPr>
          <w:rFonts w:cs="Times New Roman"/>
          <w:i/>
          <w:sz w:val="22"/>
          <w:szCs w:val="20"/>
        </w:rPr>
      </w:pPr>
      <w:r w:rsidRPr="00640D24">
        <w:rPr>
          <w:rFonts w:cs="Times New Roman"/>
          <w:i/>
          <w:sz w:val="22"/>
          <w:szCs w:val="20"/>
        </w:rPr>
        <w:t>Paveikslas Nr. 3</w:t>
      </w:r>
      <w:r w:rsidR="004D58EE" w:rsidRPr="00640D24">
        <w:rPr>
          <w:rFonts w:cs="Times New Roman"/>
          <w:i/>
          <w:sz w:val="22"/>
          <w:szCs w:val="20"/>
        </w:rPr>
        <w:t>6</w:t>
      </w:r>
      <w:r w:rsidR="00030C84" w:rsidRPr="00640D24">
        <w:rPr>
          <w:rFonts w:cs="Times New Roman"/>
          <w:i/>
          <w:sz w:val="22"/>
          <w:szCs w:val="20"/>
        </w:rPr>
        <w:t>. Prašome nurodyti suplanuotų investicijų apimtis eurais pagal anksčiau jūsų nurodytas kategorijas</w:t>
      </w:r>
    </w:p>
    <w:p w14:paraId="060FF310" w14:textId="04C6BE80" w:rsidR="00D645DC" w:rsidRPr="00640D24" w:rsidRDefault="00030C84" w:rsidP="00D645DC">
      <w:pPr>
        <w:tabs>
          <w:tab w:val="left" w:pos="1636"/>
        </w:tabs>
        <w:jc w:val="both"/>
        <w:rPr>
          <w:rFonts w:cs="Times New Roman"/>
          <w:i/>
          <w:sz w:val="22"/>
          <w:szCs w:val="20"/>
        </w:rPr>
      </w:pPr>
      <w:r w:rsidRPr="00640D24">
        <w:rPr>
          <w:rFonts w:cs="Times New Roman"/>
          <w:i/>
          <w:sz w:val="18"/>
          <w:szCs w:val="20"/>
        </w:rPr>
        <w:t>Šaltinis: sudaryta Vertintojų</w:t>
      </w:r>
    </w:p>
    <w:p w14:paraId="2CEC62B0" w14:textId="3D84DC5A" w:rsidR="00D645DC" w:rsidRPr="00640D24" w:rsidRDefault="00D645DC" w:rsidP="002A4813">
      <w:pPr>
        <w:tabs>
          <w:tab w:val="left" w:pos="1636"/>
        </w:tabs>
        <w:spacing w:before="60" w:after="60" w:line="240" w:lineRule="auto"/>
        <w:ind w:firstLine="567"/>
        <w:jc w:val="both"/>
        <w:rPr>
          <w:rFonts w:cs="Times New Roman"/>
          <w:sz w:val="22"/>
          <w:szCs w:val="20"/>
        </w:rPr>
      </w:pPr>
      <w:r w:rsidRPr="00640D24">
        <w:rPr>
          <w:rFonts w:cs="Times New Roman"/>
          <w:sz w:val="22"/>
          <w:szCs w:val="20"/>
        </w:rPr>
        <w:t>Lietuvos pramonininkų konfederacijos respondentų pasiskirstymas, finansinio prieinamumo klausimu, pateikiamas žemiau esančiame paveiksle. Iš pateiktų atsakymo variantų, labiausiai buvo nurodyta, kad išorinį finansavimą pramonės įmonėms riboja: per didelė finansavimo kaina (40 proc.), per didelė nuosavų lėšų dalis (40 proc.) ir didelis finansavimo suteikimui reikalingų dokumentų kiekis (20 proc.). Be to, konfederacijos nariai atsakydami nurodė ir dar vieną priežastį, kokie veiksniai per pastaruosius 1</w:t>
      </w:r>
      <w:r w:rsidR="00645085" w:rsidRPr="00640D24">
        <w:rPr>
          <w:rFonts w:cs="Times New Roman"/>
          <w:sz w:val="22"/>
          <w:szCs w:val="20"/>
        </w:rPr>
        <w:t>–</w:t>
      </w:r>
      <w:r w:rsidRPr="00640D24">
        <w:rPr>
          <w:rFonts w:cs="Times New Roman"/>
          <w:sz w:val="22"/>
          <w:szCs w:val="20"/>
        </w:rPr>
        <w:t xml:space="preserve">2 metus ribojo išorinio finansavimo prieinamumą – neaiškios ekonomikos augimo perspektyvos. </w:t>
      </w:r>
    </w:p>
    <w:p w14:paraId="0392C46C" w14:textId="77777777" w:rsidR="00D645DC" w:rsidRPr="00640D24" w:rsidRDefault="00D645DC" w:rsidP="00D645DC">
      <w:pPr>
        <w:tabs>
          <w:tab w:val="left" w:pos="1636"/>
        </w:tabs>
        <w:spacing w:after="0"/>
        <w:jc w:val="both"/>
        <w:rPr>
          <w:rFonts w:ascii="Cambria" w:hAnsi="Cambria"/>
          <w:sz w:val="20"/>
          <w:szCs w:val="20"/>
        </w:rPr>
      </w:pPr>
      <w:r w:rsidRPr="00640D24">
        <w:rPr>
          <w:noProof/>
          <w:lang w:eastAsia="lt-LT"/>
        </w:rPr>
        <w:drawing>
          <wp:inline distT="0" distB="0" distL="0" distR="0" wp14:anchorId="4A459AE5" wp14:editId="07203536">
            <wp:extent cx="6019800" cy="2949934"/>
            <wp:effectExtent l="0" t="0" r="0" b="3175"/>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3086057A" w14:textId="243C3CFF" w:rsidR="00D645DC" w:rsidRPr="00640D24" w:rsidRDefault="00B12880" w:rsidP="00D645DC">
      <w:pPr>
        <w:tabs>
          <w:tab w:val="left" w:pos="1636"/>
        </w:tabs>
        <w:spacing w:after="0"/>
        <w:jc w:val="both"/>
        <w:rPr>
          <w:rFonts w:cs="Times New Roman"/>
          <w:i/>
          <w:sz w:val="22"/>
          <w:szCs w:val="20"/>
        </w:rPr>
      </w:pPr>
      <w:r w:rsidRPr="00640D24">
        <w:rPr>
          <w:rFonts w:cs="Times New Roman"/>
          <w:i/>
          <w:sz w:val="22"/>
          <w:szCs w:val="20"/>
        </w:rPr>
        <w:t>Paveikslas Nr. 3</w:t>
      </w:r>
      <w:r w:rsidR="004D58EE" w:rsidRPr="00640D24">
        <w:rPr>
          <w:rFonts w:cs="Times New Roman"/>
          <w:i/>
          <w:sz w:val="22"/>
          <w:szCs w:val="20"/>
        </w:rPr>
        <w:t>7</w:t>
      </w:r>
      <w:r w:rsidR="00030C84" w:rsidRPr="00640D24">
        <w:rPr>
          <w:rFonts w:cs="Times New Roman"/>
          <w:i/>
          <w:sz w:val="22"/>
          <w:szCs w:val="20"/>
        </w:rPr>
        <w:t>. Kokie veiksniai riboja išorinio finansavimo prieinamumą?</w:t>
      </w:r>
    </w:p>
    <w:p w14:paraId="208CF389" w14:textId="2A6CC238" w:rsidR="00D645DC" w:rsidRPr="00640D24" w:rsidRDefault="00030C84" w:rsidP="00D645DC">
      <w:pPr>
        <w:tabs>
          <w:tab w:val="left" w:pos="1636"/>
        </w:tabs>
        <w:spacing w:after="0"/>
        <w:jc w:val="both"/>
        <w:rPr>
          <w:rFonts w:ascii="Cambria" w:hAnsi="Cambria"/>
          <w:sz w:val="20"/>
          <w:szCs w:val="20"/>
        </w:rPr>
      </w:pPr>
      <w:r w:rsidRPr="00640D24">
        <w:rPr>
          <w:rFonts w:cs="Times New Roman"/>
          <w:i/>
          <w:sz w:val="18"/>
          <w:szCs w:val="20"/>
        </w:rPr>
        <w:t>Šaltinis: sudaryta Vertintojų</w:t>
      </w:r>
    </w:p>
    <w:p w14:paraId="5A679CEB" w14:textId="2D063C51" w:rsidR="00D645DC" w:rsidRPr="00640D24" w:rsidRDefault="00D645DC" w:rsidP="002A4813">
      <w:pPr>
        <w:spacing w:before="60" w:after="60" w:line="240" w:lineRule="auto"/>
        <w:ind w:firstLine="567"/>
        <w:jc w:val="both"/>
        <w:rPr>
          <w:rFonts w:cs="Times New Roman"/>
          <w:sz w:val="22"/>
        </w:rPr>
      </w:pPr>
      <w:r w:rsidRPr="00640D24">
        <w:rPr>
          <w:rFonts w:cs="Times New Roman"/>
          <w:sz w:val="22"/>
        </w:rPr>
        <w:t>Analizuojant respondentų atsakymus apie bankroto rizikas netolimoje ateityje (6</w:t>
      </w:r>
      <w:r w:rsidR="00645085" w:rsidRPr="00640D24">
        <w:rPr>
          <w:rFonts w:cs="Times New Roman"/>
          <w:sz w:val="22"/>
        </w:rPr>
        <w:t>–</w:t>
      </w:r>
      <w:r w:rsidRPr="00640D24">
        <w:rPr>
          <w:rFonts w:cs="Times New Roman"/>
          <w:sz w:val="22"/>
        </w:rPr>
        <w:t>12 mėnesių), dažniausiai responde</w:t>
      </w:r>
      <w:r w:rsidR="00BB5395" w:rsidRPr="00640D24">
        <w:rPr>
          <w:rFonts w:cs="Times New Roman"/>
          <w:sz w:val="22"/>
        </w:rPr>
        <w:t>ntai įvardino (42 proc.</w:t>
      </w:r>
      <w:r w:rsidRPr="00640D24">
        <w:rPr>
          <w:rFonts w:cs="Times New Roman"/>
          <w:sz w:val="22"/>
        </w:rPr>
        <w:t xml:space="preserve">), jog jų atstovaujamų įmonių finansinė padėtis pagerės. Taip pat, galima pastebėti, kad daugiau įmonių atstovų netolimoje ateityje finansinę padėtį vertina pozityviai, o ne </w:t>
      </w:r>
      <w:r w:rsidRPr="00640D24">
        <w:rPr>
          <w:rFonts w:cs="Times New Roman"/>
          <w:sz w:val="22"/>
        </w:rPr>
        <w:lastRenderedPageBreak/>
        <w:t xml:space="preserve">negatyviai. 32 (proc.) apklaustųjų teigė, kad finansinė padėtis pagerės arba liks nepakitusi. Tuo tarpu, 10 proc. apklaustųjų vertino, kad finansinė padėtis suprastės ir 3 proc., kad labai suprastės. </w:t>
      </w:r>
    </w:p>
    <w:p w14:paraId="53FBCE85" w14:textId="77777777" w:rsidR="00D645DC" w:rsidRPr="00640D24" w:rsidRDefault="00D645DC" w:rsidP="00D645DC">
      <w:pPr>
        <w:tabs>
          <w:tab w:val="left" w:pos="1636"/>
        </w:tabs>
        <w:spacing w:after="0"/>
        <w:jc w:val="both"/>
        <w:rPr>
          <w:rFonts w:ascii="Cambria" w:hAnsi="Cambria"/>
          <w:sz w:val="20"/>
          <w:szCs w:val="20"/>
        </w:rPr>
      </w:pPr>
      <w:r w:rsidRPr="00640D24">
        <w:rPr>
          <w:noProof/>
          <w:lang w:eastAsia="lt-LT"/>
        </w:rPr>
        <w:drawing>
          <wp:inline distT="0" distB="0" distL="0" distR="0" wp14:anchorId="1571A781" wp14:editId="2A2F7D2E">
            <wp:extent cx="6089650" cy="2162755"/>
            <wp:effectExtent l="0" t="0" r="6350" b="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1E4E3306" w14:textId="43942B94" w:rsidR="00030C84" w:rsidRPr="00640D24" w:rsidRDefault="00B12880" w:rsidP="00D645DC">
      <w:pPr>
        <w:tabs>
          <w:tab w:val="left" w:pos="1636"/>
        </w:tabs>
        <w:spacing w:after="0"/>
        <w:jc w:val="both"/>
        <w:rPr>
          <w:rFonts w:cs="Times New Roman"/>
          <w:i/>
          <w:sz w:val="22"/>
          <w:szCs w:val="20"/>
        </w:rPr>
      </w:pPr>
      <w:r w:rsidRPr="00640D24">
        <w:rPr>
          <w:rFonts w:cs="Times New Roman"/>
          <w:i/>
          <w:sz w:val="22"/>
          <w:szCs w:val="20"/>
        </w:rPr>
        <w:t>Paveikslas N</w:t>
      </w:r>
      <w:r w:rsidR="004D58EE" w:rsidRPr="00640D24">
        <w:rPr>
          <w:rFonts w:cs="Times New Roman"/>
          <w:i/>
          <w:sz w:val="22"/>
          <w:szCs w:val="20"/>
        </w:rPr>
        <w:t>r. 38</w:t>
      </w:r>
      <w:r w:rsidR="00030C84" w:rsidRPr="00640D24">
        <w:rPr>
          <w:rFonts w:cs="Times New Roman"/>
          <w:i/>
          <w:sz w:val="22"/>
          <w:szCs w:val="20"/>
        </w:rPr>
        <w:t>. Įvertinkite, kaip per ateinantį 6–12 mėnesių laikotarpį pasikeis jūsų atstovaujamos įmonės finansinė padėtis?</w:t>
      </w:r>
    </w:p>
    <w:p w14:paraId="5C008704" w14:textId="3E4460C2" w:rsidR="00D645DC" w:rsidRPr="00640D24" w:rsidRDefault="00030C84" w:rsidP="00D645DC">
      <w:pPr>
        <w:tabs>
          <w:tab w:val="left" w:pos="1636"/>
        </w:tabs>
        <w:spacing w:after="0"/>
        <w:jc w:val="both"/>
        <w:rPr>
          <w:rFonts w:ascii="Cambria" w:hAnsi="Cambria"/>
          <w:sz w:val="20"/>
          <w:szCs w:val="20"/>
        </w:rPr>
      </w:pPr>
      <w:r w:rsidRPr="00640D24">
        <w:rPr>
          <w:rFonts w:cs="Times New Roman"/>
          <w:i/>
          <w:sz w:val="18"/>
          <w:szCs w:val="20"/>
        </w:rPr>
        <w:t>Šaltinis: sudaryta Vertintojų</w:t>
      </w:r>
    </w:p>
    <w:p w14:paraId="1B487C7F" w14:textId="6040D1EF" w:rsidR="00D645DC" w:rsidRPr="00640D24" w:rsidRDefault="00D645DC" w:rsidP="002A4813">
      <w:pPr>
        <w:tabs>
          <w:tab w:val="left" w:pos="1636"/>
        </w:tabs>
        <w:spacing w:before="60" w:after="60" w:line="240" w:lineRule="auto"/>
        <w:ind w:firstLine="567"/>
        <w:jc w:val="both"/>
        <w:rPr>
          <w:rFonts w:ascii="Cambria" w:hAnsi="Cambria"/>
          <w:sz w:val="18"/>
          <w:szCs w:val="20"/>
        </w:rPr>
      </w:pPr>
      <w:r w:rsidRPr="00640D24">
        <w:rPr>
          <w:rFonts w:cs="Times New Roman"/>
          <w:sz w:val="22"/>
        </w:rPr>
        <w:t xml:space="preserve">Respondentai, kurie atsakė, kad jų atstovaujamos įmonės finansinė padėtis netolimoje ateityje išliks nepatikus arba suprastės, taip pat įvertino bankroto rizikas. Dauguma apklaustųjų (77 proc.), teigė, kad bankroto rizika išliks nepakitusi. Kita vertus, 8 proc. apklaustųjų teigė, kad bankroto rizika šiek tiek padidės, 15 proc. nurodė, kad reikšmingai padidės. Šie apklausos rezultatai </w:t>
      </w:r>
      <w:r w:rsidR="00490EC0" w:rsidRPr="00640D24">
        <w:rPr>
          <w:rFonts w:cs="Times New Roman"/>
          <w:sz w:val="22"/>
        </w:rPr>
        <w:t>parodo</w:t>
      </w:r>
      <w:r w:rsidRPr="00640D24">
        <w:rPr>
          <w:rFonts w:cs="Times New Roman"/>
          <w:sz w:val="22"/>
        </w:rPr>
        <w:t>, kad nepaisant šiuo metu egzistuojančio aukšto ekonominio neapibrėžtumo ir įtemtos finansinės įmonių situacijos, įmonių bankroto rizika nėra reikšmingai išaugusi.</w:t>
      </w:r>
    </w:p>
    <w:p w14:paraId="46DCD806" w14:textId="77777777" w:rsidR="00D645DC" w:rsidRPr="00640D24" w:rsidRDefault="00D645DC" w:rsidP="00D645DC">
      <w:pPr>
        <w:tabs>
          <w:tab w:val="left" w:pos="1636"/>
        </w:tabs>
        <w:spacing w:after="0"/>
        <w:jc w:val="both"/>
        <w:rPr>
          <w:rFonts w:ascii="Cambria" w:hAnsi="Cambria"/>
          <w:sz w:val="20"/>
          <w:szCs w:val="20"/>
        </w:rPr>
      </w:pPr>
      <w:r w:rsidRPr="00640D24">
        <w:rPr>
          <w:noProof/>
          <w:lang w:eastAsia="lt-LT"/>
        </w:rPr>
        <w:drawing>
          <wp:inline distT="0" distB="0" distL="0" distR="0" wp14:anchorId="0E1DA629" wp14:editId="374D352C">
            <wp:extent cx="6089650" cy="2250219"/>
            <wp:effectExtent l="0" t="0" r="6350" b="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41945AA5" w14:textId="722E7322" w:rsidR="00490EC0" w:rsidRPr="00640D24" w:rsidRDefault="004D58EE" w:rsidP="00DE79C4">
      <w:pPr>
        <w:spacing w:after="0"/>
        <w:jc w:val="both"/>
        <w:rPr>
          <w:rFonts w:cs="Times New Roman"/>
          <w:i/>
          <w:sz w:val="22"/>
          <w:szCs w:val="20"/>
        </w:rPr>
      </w:pPr>
      <w:r w:rsidRPr="00640D24">
        <w:rPr>
          <w:rFonts w:cs="Times New Roman"/>
          <w:i/>
          <w:sz w:val="22"/>
          <w:szCs w:val="20"/>
        </w:rPr>
        <w:t>Paveikslas Nr. 39</w:t>
      </w:r>
      <w:r w:rsidR="00490EC0" w:rsidRPr="00640D24">
        <w:rPr>
          <w:rFonts w:cs="Times New Roman"/>
          <w:i/>
          <w:sz w:val="22"/>
          <w:szCs w:val="20"/>
        </w:rPr>
        <w:t>. Įvertinkite ar, esant tokiai situacijai, padidės jūsų atstovaujamos įmonės bankroto rizika?</w:t>
      </w:r>
    </w:p>
    <w:p w14:paraId="21582763" w14:textId="032ECC81" w:rsidR="00D645DC" w:rsidRPr="00DE79C4" w:rsidRDefault="00490EC0" w:rsidP="00D645DC">
      <w:pPr>
        <w:jc w:val="both"/>
        <w:rPr>
          <w:rFonts w:cs="Times New Roman"/>
          <w:i/>
          <w:sz w:val="22"/>
          <w:szCs w:val="20"/>
        </w:rPr>
      </w:pPr>
      <w:r w:rsidRPr="00640D24">
        <w:rPr>
          <w:rFonts w:cs="Times New Roman"/>
          <w:i/>
          <w:sz w:val="18"/>
          <w:szCs w:val="20"/>
        </w:rPr>
        <w:t>Šaltinis: sudaryta Vertintojų</w:t>
      </w:r>
    </w:p>
    <w:p w14:paraId="5F373631" w14:textId="77777777" w:rsidR="00611167" w:rsidRPr="00611167" w:rsidRDefault="00611167" w:rsidP="00611167">
      <w:pPr>
        <w:rPr>
          <w:rFonts w:cs="Times New Roman"/>
        </w:rPr>
      </w:pPr>
    </w:p>
    <w:sectPr w:rsidR="00611167" w:rsidRPr="00611167" w:rsidSect="00AF7B5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7358E" w14:textId="77777777" w:rsidR="00E53577" w:rsidRDefault="00E53577" w:rsidP="005979C8">
      <w:pPr>
        <w:spacing w:after="0" w:line="240" w:lineRule="auto"/>
      </w:pPr>
      <w:r>
        <w:separator/>
      </w:r>
    </w:p>
  </w:endnote>
  <w:endnote w:type="continuationSeparator" w:id="0">
    <w:p w14:paraId="3DE5EDC2" w14:textId="77777777" w:rsidR="00E53577" w:rsidRDefault="00E53577" w:rsidP="005979C8">
      <w:pPr>
        <w:spacing w:after="0" w:line="240" w:lineRule="auto"/>
      </w:pPr>
      <w:r>
        <w:continuationSeparator/>
      </w:r>
    </w:p>
  </w:endnote>
  <w:endnote w:type="continuationNotice" w:id="1">
    <w:p w14:paraId="5E8589FA" w14:textId="77777777" w:rsidR="00E53577" w:rsidRDefault="00E535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1661352"/>
      <w:docPartObj>
        <w:docPartGallery w:val="Page Numbers (Bottom of Page)"/>
        <w:docPartUnique/>
      </w:docPartObj>
    </w:sdtPr>
    <w:sdtEndPr/>
    <w:sdtContent>
      <w:p w14:paraId="67E77809" w14:textId="10F77F99" w:rsidR="00EC688C" w:rsidRDefault="00EC688C">
        <w:pPr>
          <w:pStyle w:val="Porat"/>
          <w:jc w:val="right"/>
        </w:pPr>
        <w:r>
          <w:fldChar w:fldCharType="begin"/>
        </w:r>
        <w:r>
          <w:instrText>PAGE   \* MERGEFORMAT</w:instrText>
        </w:r>
        <w:r>
          <w:fldChar w:fldCharType="separate"/>
        </w:r>
        <w:r w:rsidR="00A67D1A">
          <w:rPr>
            <w:noProof/>
          </w:rPr>
          <w:t>63</w:t>
        </w:r>
        <w:r>
          <w:fldChar w:fldCharType="end"/>
        </w:r>
      </w:p>
    </w:sdtContent>
  </w:sdt>
  <w:p w14:paraId="3D6D99B8" w14:textId="77777777" w:rsidR="00EC688C" w:rsidRDefault="00EC688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2092838"/>
      <w:docPartObj>
        <w:docPartGallery w:val="Page Numbers (Bottom of Page)"/>
        <w:docPartUnique/>
      </w:docPartObj>
    </w:sdtPr>
    <w:sdtEndPr>
      <w:rPr>
        <w:rFonts w:ascii="Times New Roman" w:hAnsi="Times New Roman"/>
        <w:sz w:val="24"/>
        <w:szCs w:val="24"/>
      </w:rPr>
    </w:sdtEndPr>
    <w:sdtContent>
      <w:p w14:paraId="4B4F7347" w14:textId="77777777" w:rsidR="00EC688C" w:rsidRPr="007D3700" w:rsidRDefault="00EC688C">
        <w:pPr>
          <w:pStyle w:val="Porat"/>
          <w:jc w:val="right"/>
          <w:rPr>
            <w:rFonts w:ascii="Times New Roman" w:hAnsi="Times New Roman"/>
            <w:sz w:val="24"/>
            <w:szCs w:val="24"/>
          </w:rPr>
        </w:pPr>
        <w:r w:rsidRPr="007D3700">
          <w:rPr>
            <w:rFonts w:ascii="Times New Roman" w:hAnsi="Times New Roman"/>
            <w:sz w:val="24"/>
            <w:szCs w:val="24"/>
          </w:rPr>
          <w:fldChar w:fldCharType="begin"/>
        </w:r>
        <w:r w:rsidRPr="007D3700">
          <w:rPr>
            <w:rFonts w:ascii="Times New Roman" w:hAnsi="Times New Roman"/>
            <w:sz w:val="24"/>
            <w:szCs w:val="24"/>
          </w:rPr>
          <w:instrText xml:space="preserve"> PAGE   \* MERGEFORMAT </w:instrText>
        </w:r>
        <w:r w:rsidRPr="007D3700">
          <w:rPr>
            <w:rFonts w:ascii="Times New Roman" w:hAnsi="Times New Roman"/>
            <w:sz w:val="24"/>
            <w:szCs w:val="24"/>
          </w:rPr>
          <w:fldChar w:fldCharType="separate"/>
        </w:r>
        <w:r>
          <w:rPr>
            <w:rFonts w:ascii="Times New Roman" w:hAnsi="Times New Roman"/>
            <w:sz w:val="24"/>
            <w:szCs w:val="24"/>
          </w:rPr>
          <w:t>67</w:t>
        </w:r>
        <w:r w:rsidRPr="007D3700">
          <w:rPr>
            <w:rFonts w:ascii="Times New Roman" w:hAnsi="Times New Roman"/>
            <w:sz w:val="24"/>
            <w:szCs w:val="24"/>
          </w:rPr>
          <w:fldChar w:fldCharType="end"/>
        </w:r>
      </w:p>
    </w:sdtContent>
  </w:sdt>
  <w:p w14:paraId="42064096" w14:textId="77777777" w:rsidR="00EC688C" w:rsidRDefault="00EC68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E5AF2" w14:textId="77777777" w:rsidR="00E53577" w:rsidRDefault="00E53577" w:rsidP="005979C8">
      <w:pPr>
        <w:spacing w:after="0" w:line="240" w:lineRule="auto"/>
      </w:pPr>
      <w:r>
        <w:separator/>
      </w:r>
    </w:p>
  </w:footnote>
  <w:footnote w:type="continuationSeparator" w:id="0">
    <w:p w14:paraId="3B1A66E7" w14:textId="77777777" w:rsidR="00E53577" w:rsidRDefault="00E53577" w:rsidP="005979C8">
      <w:pPr>
        <w:spacing w:after="0" w:line="240" w:lineRule="auto"/>
      </w:pPr>
      <w:r>
        <w:continuationSeparator/>
      </w:r>
    </w:p>
  </w:footnote>
  <w:footnote w:type="continuationNotice" w:id="1">
    <w:p w14:paraId="02687FB3" w14:textId="77777777" w:rsidR="00E53577" w:rsidRDefault="00E53577">
      <w:pPr>
        <w:spacing w:after="0" w:line="240" w:lineRule="auto"/>
      </w:pPr>
    </w:p>
  </w:footnote>
  <w:footnote w:id="2">
    <w:p w14:paraId="1EABF571" w14:textId="60C9016F" w:rsidR="00EC688C" w:rsidRPr="00742513" w:rsidRDefault="00EC688C" w:rsidP="005A237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eastAsiaTheme="minorEastAsia"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Komisijos Sanglaudos politikos reglamentų projektų pasiūlymai:</w:t>
      </w:r>
      <w:r w:rsidRPr="00742513">
        <w:rPr>
          <w:rFonts w:ascii="Times New Roman" w:hAnsi="Times New Roman" w:cs="Times New Roman"/>
          <w:sz w:val="16"/>
          <w:szCs w:val="16"/>
          <w:lang w:val="de-DE"/>
        </w:rPr>
        <w:t xml:space="preserve"> </w:t>
      </w:r>
      <w:hyperlink r:id="rId1" w:history="1">
        <w:r w:rsidRPr="00742513">
          <w:rPr>
            <w:rStyle w:val="Hipersaitas"/>
            <w:rFonts w:ascii="Times New Roman" w:eastAsiaTheme="minorEastAsia" w:hAnsi="Times New Roman" w:cs="Times New Roman"/>
            <w:sz w:val="16"/>
            <w:szCs w:val="16"/>
            <w:lang w:val="lt-LT"/>
          </w:rPr>
          <w:t>https://esinvesticijos.lt/lt//pasirengimas</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2021</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2027/2021</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2027</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m</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es</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sanglaudos</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politikos</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reglamentu</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projektai</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ir</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gaires</w:t>
        </w:r>
      </w:hyperlink>
      <w:r w:rsidRPr="00742513">
        <w:rPr>
          <w:rFonts w:ascii="Times New Roman" w:hAnsi="Times New Roman" w:cs="Times New Roman"/>
          <w:sz w:val="16"/>
          <w:szCs w:val="16"/>
          <w:lang w:val="lt-LT"/>
        </w:rPr>
        <w:t>. Reikalavimai finansinių priemonių</w:t>
      </w:r>
      <w:r w:rsidRPr="00742513">
        <w:rPr>
          <w:rFonts w:ascii="Times New Roman" w:hAnsi="Times New Roman" w:cs="Times New Roman"/>
          <w:i/>
          <w:sz w:val="16"/>
          <w:szCs w:val="16"/>
          <w:lang w:val="lt-LT"/>
        </w:rPr>
        <w:t xml:space="preserve"> </w:t>
      </w:r>
      <w:r w:rsidRPr="00742513">
        <w:rPr>
          <w:rFonts w:ascii="Times New Roman" w:hAnsi="Times New Roman" w:cs="Times New Roman"/>
          <w:i/>
          <w:iCs/>
          <w:sz w:val="16"/>
          <w:szCs w:val="16"/>
          <w:lang w:val="lt-LT"/>
        </w:rPr>
        <w:t>ex</w:t>
      </w:r>
      <w:r>
        <w:rPr>
          <w:rFonts w:ascii="Times New Roman" w:hAnsi="Times New Roman" w:cs="Times New Roman"/>
          <w:i/>
          <w:iCs/>
          <w:sz w:val="16"/>
          <w:szCs w:val="16"/>
          <w:lang w:val="lt-LT"/>
        </w:rPr>
        <w:t>–</w:t>
      </w:r>
      <w:r w:rsidRPr="00742513">
        <w:rPr>
          <w:rFonts w:ascii="Times New Roman" w:hAnsi="Times New Roman" w:cs="Times New Roman"/>
          <w:i/>
          <w:iCs/>
          <w:sz w:val="16"/>
          <w:szCs w:val="16"/>
          <w:lang w:val="lt-LT"/>
        </w:rPr>
        <w:t>ante</w:t>
      </w:r>
      <w:r w:rsidRPr="00742513">
        <w:rPr>
          <w:rFonts w:ascii="Times New Roman" w:hAnsi="Times New Roman" w:cs="Times New Roman"/>
          <w:sz w:val="16"/>
          <w:szCs w:val="16"/>
          <w:lang w:val="lt-LT"/>
        </w:rPr>
        <w:t xml:space="preserve"> vertinimui nustatyti 2018 m. gegužės 29 d. Europos Parlamento ir Europos Tarybos reglamento Nr.2018/0196, kuriuo nustatomos bendros Europos regioninės plėtros fondo, „Europos socialinio fondo +“, Sanglaudos fondo ir Europos jūrų reikalų ir žuvininkystės fondo nuostatos ir šių fondų bei Prieglobsčio ir migracijos fondo, Vidaus saugumo fondo ir Sienų valdymo ir vizų priemonės finansinės taisyklės 52 straipsnyje. </w:t>
      </w:r>
    </w:p>
  </w:footnote>
  <w:footnote w:id="3">
    <w:p w14:paraId="45F3A001" w14:textId="627E4D5A" w:rsidR="00EC688C" w:rsidRPr="00742513" w:rsidRDefault="00EC688C" w:rsidP="005A237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Strateginio planavimo metodika, patvirtinta Lietuvos Respublikos Vyriausybės 2002 m. birželio 6 d. nutarimu Nr. 827 (Lietuvos Respublikos Vyriausybės 2010 m. rugpjūčio 25 d. nutarimo Nr. 1220 redakcija), naujausia suvestinė redakcija, galiojanti nuo 2019</w:t>
      </w:r>
      <w:r>
        <w:rPr>
          <w:rFonts w:ascii="Times New Roman" w:hAnsi="Times New Roman" w:cs="Times New Roman"/>
          <w:sz w:val="16"/>
          <w:szCs w:val="16"/>
          <w:lang w:val="lt-LT"/>
        </w:rPr>
        <w:t>–</w:t>
      </w:r>
      <w:r w:rsidRPr="00742513">
        <w:rPr>
          <w:rFonts w:ascii="Times New Roman" w:hAnsi="Times New Roman" w:cs="Times New Roman"/>
          <w:sz w:val="16"/>
          <w:szCs w:val="16"/>
          <w:lang w:val="lt-LT"/>
        </w:rPr>
        <w:t>02</w:t>
      </w:r>
      <w:r>
        <w:rPr>
          <w:rFonts w:ascii="Times New Roman" w:hAnsi="Times New Roman" w:cs="Times New Roman"/>
          <w:sz w:val="16"/>
          <w:szCs w:val="16"/>
          <w:lang w:val="lt-LT"/>
        </w:rPr>
        <w:t>–</w:t>
      </w:r>
      <w:r w:rsidRPr="00742513">
        <w:rPr>
          <w:rFonts w:ascii="Times New Roman" w:hAnsi="Times New Roman" w:cs="Times New Roman"/>
          <w:sz w:val="16"/>
          <w:szCs w:val="16"/>
          <w:lang w:val="lt-LT"/>
        </w:rPr>
        <w:t xml:space="preserve">15 &lt; </w:t>
      </w:r>
      <w:hyperlink r:id="rId2" w:history="1">
        <w:r w:rsidRPr="00EB6FD4">
          <w:rPr>
            <w:rStyle w:val="Hipersaitas"/>
            <w:rFonts w:ascii="Times New Roman" w:hAnsi="Times New Roman" w:cs="Times New Roman"/>
            <w:sz w:val="16"/>
            <w:szCs w:val="16"/>
            <w:lang w:val="lt-LT"/>
          </w:rPr>
          <w:t>https://e</w:t>
        </w:r>
        <w:r>
          <w:rPr>
            <w:rStyle w:val="Hipersaitas"/>
            <w:rFonts w:ascii="Times New Roman" w:hAnsi="Times New Roman" w:cs="Times New Roman"/>
            <w:sz w:val="16"/>
            <w:szCs w:val="16"/>
            <w:lang w:val="lt-LT"/>
          </w:rPr>
          <w:t>–</w:t>
        </w:r>
        <w:r w:rsidRPr="00EB6FD4">
          <w:rPr>
            <w:rStyle w:val="Hipersaitas"/>
            <w:rFonts w:ascii="Times New Roman" w:hAnsi="Times New Roman" w:cs="Times New Roman"/>
            <w:sz w:val="16"/>
            <w:szCs w:val="16"/>
            <w:lang w:val="lt-LT"/>
          </w:rPr>
          <w:t>seimas.lrs.lt/portal/legalAct/lt/TAD/TAIS.168206/KFUoBosREr</w:t>
        </w:r>
      </w:hyperlink>
      <w:r w:rsidRPr="00742513">
        <w:rPr>
          <w:rFonts w:ascii="Times New Roman" w:hAnsi="Times New Roman" w:cs="Times New Roman"/>
          <w:sz w:val="16"/>
          <w:szCs w:val="16"/>
          <w:lang w:val="lt-LT"/>
        </w:rPr>
        <w:t>)</w:t>
      </w:r>
    </w:p>
  </w:footnote>
  <w:footnote w:id="4">
    <w:p w14:paraId="2522BF56" w14:textId="13F7F699" w:rsidR="00EC688C" w:rsidRPr="00742513" w:rsidRDefault="00EC688C">
      <w:pPr>
        <w:pStyle w:val="Puslapioinaostekstas"/>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Nuorodos į konkrečius šaltinius pateikiamos toliau dokumente.</w:t>
      </w:r>
    </w:p>
  </w:footnote>
  <w:footnote w:id="5">
    <w:p w14:paraId="4C85A27F" w14:textId="6D756B3E" w:rsidR="00EC688C" w:rsidRPr="00742513" w:rsidRDefault="00EC688C" w:rsidP="005A237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Europos Komisija, Bendrųjų nuostatų reglamento, ERPF ir SaF reglamentų projektai &lt;</w:t>
      </w:r>
      <w:r w:rsidRPr="00742513">
        <w:rPr>
          <w:rFonts w:ascii="Times New Roman" w:hAnsi="Times New Roman" w:cs="Times New Roman"/>
          <w:sz w:val="16"/>
          <w:szCs w:val="16"/>
          <w:lang w:val="de-AT"/>
        </w:rPr>
        <w:t xml:space="preserve"> </w:t>
      </w:r>
      <w:hyperlink r:id="rId3" w:history="1">
        <w:r w:rsidRPr="00742513">
          <w:rPr>
            <w:rStyle w:val="Hipersaitas"/>
            <w:rFonts w:ascii="Times New Roman" w:hAnsi="Times New Roman" w:cs="Times New Roman"/>
            <w:sz w:val="16"/>
            <w:szCs w:val="16"/>
            <w:lang w:val="lt-LT"/>
          </w:rPr>
          <w:t>https://www.esinvesticijos.lt/lt/pasirengimas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2021</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2027/2021</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2027</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m</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sanglaudos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politikos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reglamentu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projektai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ir</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gaires</w:t>
        </w:r>
      </w:hyperlink>
      <w:r w:rsidRPr="00742513">
        <w:rPr>
          <w:rFonts w:ascii="Times New Roman" w:hAnsi="Times New Roman" w:cs="Times New Roman"/>
          <w:sz w:val="16"/>
          <w:szCs w:val="16"/>
          <w:lang w:val="lt-LT"/>
        </w:rPr>
        <w:t>&gt;</w:t>
      </w:r>
    </w:p>
  </w:footnote>
  <w:footnote w:id="6">
    <w:p w14:paraId="4999B5CF" w14:textId="34E3F38C" w:rsidR="00EC688C" w:rsidRPr="00742513" w:rsidRDefault="00EC688C" w:rsidP="005A237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Europos Komisija &lt;</w:t>
      </w:r>
      <w:hyperlink r:id="rId4" w:history="1">
        <w:r w:rsidRPr="00742513">
          <w:rPr>
            <w:rStyle w:val="Hipersaitas"/>
            <w:rFonts w:ascii="Times New Roman" w:hAnsi="Times New Roman" w:cs="Times New Roman"/>
            <w:sz w:val="16"/>
            <w:szCs w:val="16"/>
            <w:lang w:val="lt-LT"/>
          </w:rPr>
          <w:t>https://eur</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lex.europa.eu/legal</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content/LT/TXT/HTML/?uri=CELEX:52019DC0640&amp;from=EN</w:t>
        </w:r>
      </w:hyperlink>
      <w:r w:rsidRPr="00742513">
        <w:rPr>
          <w:rFonts w:ascii="Times New Roman" w:hAnsi="Times New Roman" w:cs="Times New Roman"/>
          <w:sz w:val="16"/>
          <w:szCs w:val="16"/>
          <w:lang w:val="lt-LT"/>
        </w:rPr>
        <w:t xml:space="preserve"> &gt;</w:t>
      </w:r>
    </w:p>
  </w:footnote>
  <w:footnote w:id="7">
    <w:p w14:paraId="794C00B7" w14:textId="1A97EC52" w:rsidR="00EC688C" w:rsidRPr="00742513" w:rsidRDefault="00EC688C" w:rsidP="005A237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2021</w:t>
      </w:r>
      <w:r>
        <w:rPr>
          <w:rFonts w:ascii="Times New Roman" w:hAnsi="Times New Roman" w:cs="Times New Roman"/>
          <w:sz w:val="16"/>
          <w:szCs w:val="16"/>
          <w:lang w:val="lt-LT"/>
        </w:rPr>
        <w:t>–</w:t>
      </w:r>
      <w:r w:rsidRPr="00742513">
        <w:rPr>
          <w:rFonts w:ascii="Times New Roman" w:hAnsi="Times New Roman" w:cs="Times New Roman"/>
          <w:sz w:val="16"/>
          <w:szCs w:val="16"/>
          <w:lang w:val="lt-LT"/>
        </w:rPr>
        <w:t>2027 m. ES fondų investicijų programos projektai</w:t>
      </w:r>
      <w:r w:rsidRPr="00742513">
        <w:rPr>
          <w:rFonts w:ascii="Times New Roman" w:hAnsi="Times New Roman" w:cs="Times New Roman"/>
          <w:sz w:val="16"/>
          <w:szCs w:val="16"/>
          <w:lang w:val="de-AT"/>
        </w:rPr>
        <w:t xml:space="preserve"> &lt; </w:t>
      </w:r>
      <w:hyperlink r:id="rId5" w:history="1">
        <w:r w:rsidRPr="00742513">
          <w:rPr>
            <w:rStyle w:val="Hipersaitas"/>
            <w:rFonts w:ascii="Times New Roman" w:hAnsi="Times New Roman" w:cs="Times New Roman"/>
            <w:sz w:val="16"/>
            <w:szCs w:val="16"/>
            <w:lang w:val="de-AT"/>
          </w:rPr>
          <w:t>https://esinvesticijos.lt/lt/pasirengimas</w:t>
        </w:r>
        <w:r>
          <w:rPr>
            <w:rStyle w:val="Hipersaitas"/>
            <w:rFonts w:ascii="Times New Roman" w:hAnsi="Times New Roman" w:cs="Times New Roman"/>
            <w:sz w:val="16"/>
            <w:szCs w:val="16"/>
            <w:lang w:val="de-AT"/>
          </w:rPr>
          <w:t>–</w:t>
        </w:r>
        <w:r w:rsidRPr="00742513">
          <w:rPr>
            <w:rStyle w:val="Hipersaitas"/>
            <w:rFonts w:ascii="Times New Roman" w:hAnsi="Times New Roman" w:cs="Times New Roman"/>
            <w:sz w:val="16"/>
            <w:szCs w:val="16"/>
            <w:lang w:val="de-AT"/>
          </w:rPr>
          <w:t>2021</w:t>
        </w:r>
        <w:r>
          <w:rPr>
            <w:rStyle w:val="Hipersaitas"/>
            <w:rFonts w:ascii="Times New Roman" w:hAnsi="Times New Roman" w:cs="Times New Roman"/>
            <w:sz w:val="16"/>
            <w:szCs w:val="16"/>
            <w:lang w:val="de-AT"/>
          </w:rPr>
          <w:t>–</w:t>
        </w:r>
        <w:r w:rsidRPr="00742513">
          <w:rPr>
            <w:rStyle w:val="Hipersaitas"/>
            <w:rFonts w:ascii="Times New Roman" w:hAnsi="Times New Roman" w:cs="Times New Roman"/>
            <w:sz w:val="16"/>
            <w:szCs w:val="16"/>
            <w:lang w:val="de-AT"/>
          </w:rPr>
          <w:t>2027/2021</w:t>
        </w:r>
        <w:r>
          <w:rPr>
            <w:rStyle w:val="Hipersaitas"/>
            <w:rFonts w:ascii="Times New Roman" w:hAnsi="Times New Roman" w:cs="Times New Roman"/>
            <w:sz w:val="16"/>
            <w:szCs w:val="16"/>
            <w:lang w:val="de-AT"/>
          </w:rPr>
          <w:t>–</w:t>
        </w:r>
        <w:r w:rsidRPr="00742513">
          <w:rPr>
            <w:rStyle w:val="Hipersaitas"/>
            <w:rFonts w:ascii="Times New Roman" w:hAnsi="Times New Roman" w:cs="Times New Roman"/>
            <w:sz w:val="16"/>
            <w:szCs w:val="16"/>
            <w:lang w:val="de-AT"/>
          </w:rPr>
          <w:t>2027</w:t>
        </w:r>
        <w:r>
          <w:rPr>
            <w:rStyle w:val="Hipersaitas"/>
            <w:rFonts w:ascii="Times New Roman" w:hAnsi="Times New Roman" w:cs="Times New Roman"/>
            <w:sz w:val="16"/>
            <w:szCs w:val="16"/>
            <w:lang w:val="de-AT"/>
          </w:rPr>
          <w:t>–</w:t>
        </w:r>
        <w:r w:rsidRPr="00742513">
          <w:rPr>
            <w:rStyle w:val="Hipersaitas"/>
            <w:rFonts w:ascii="Times New Roman" w:hAnsi="Times New Roman" w:cs="Times New Roman"/>
            <w:sz w:val="16"/>
            <w:szCs w:val="16"/>
            <w:lang w:val="de-AT"/>
          </w:rPr>
          <w:t>m</w:t>
        </w:r>
        <w:r>
          <w:rPr>
            <w:rStyle w:val="Hipersaitas"/>
            <w:rFonts w:ascii="Times New Roman" w:hAnsi="Times New Roman" w:cs="Times New Roman"/>
            <w:sz w:val="16"/>
            <w:szCs w:val="16"/>
            <w:lang w:val="de-AT"/>
          </w:rPr>
          <w:t>–</w:t>
        </w:r>
        <w:r w:rsidRPr="00742513">
          <w:rPr>
            <w:rStyle w:val="Hipersaitas"/>
            <w:rFonts w:ascii="Times New Roman" w:hAnsi="Times New Roman" w:cs="Times New Roman"/>
            <w:sz w:val="16"/>
            <w:szCs w:val="16"/>
            <w:lang w:val="de-AT"/>
          </w:rPr>
          <w:t>es</w:t>
        </w:r>
        <w:r>
          <w:rPr>
            <w:rStyle w:val="Hipersaitas"/>
            <w:rFonts w:ascii="Times New Roman" w:hAnsi="Times New Roman" w:cs="Times New Roman"/>
            <w:sz w:val="16"/>
            <w:szCs w:val="16"/>
            <w:lang w:val="de-AT"/>
          </w:rPr>
          <w:t>–</w:t>
        </w:r>
        <w:r w:rsidRPr="00742513">
          <w:rPr>
            <w:rStyle w:val="Hipersaitas"/>
            <w:rFonts w:ascii="Times New Roman" w:hAnsi="Times New Roman" w:cs="Times New Roman"/>
            <w:sz w:val="16"/>
            <w:szCs w:val="16"/>
            <w:lang w:val="de-AT"/>
          </w:rPr>
          <w:t>fondu</w:t>
        </w:r>
        <w:r>
          <w:rPr>
            <w:rStyle w:val="Hipersaitas"/>
            <w:rFonts w:ascii="Times New Roman" w:hAnsi="Times New Roman" w:cs="Times New Roman"/>
            <w:sz w:val="16"/>
            <w:szCs w:val="16"/>
            <w:lang w:val="de-AT"/>
          </w:rPr>
          <w:t>–</w:t>
        </w:r>
        <w:r w:rsidRPr="00742513">
          <w:rPr>
            <w:rStyle w:val="Hipersaitas"/>
            <w:rFonts w:ascii="Times New Roman" w:hAnsi="Times New Roman" w:cs="Times New Roman"/>
            <w:sz w:val="16"/>
            <w:szCs w:val="16"/>
            <w:lang w:val="de-AT"/>
          </w:rPr>
          <w:t>investiciju</w:t>
        </w:r>
        <w:r>
          <w:rPr>
            <w:rStyle w:val="Hipersaitas"/>
            <w:rFonts w:ascii="Times New Roman" w:hAnsi="Times New Roman" w:cs="Times New Roman"/>
            <w:sz w:val="16"/>
            <w:szCs w:val="16"/>
            <w:lang w:val="de-AT"/>
          </w:rPr>
          <w:t>–</w:t>
        </w:r>
        <w:r w:rsidRPr="00742513">
          <w:rPr>
            <w:rStyle w:val="Hipersaitas"/>
            <w:rFonts w:ascii="Times New Roman" w:hAnsi="Times New Roman" w:cs="Times New Roman"/>
            <w:sz w:val="16"/>
            <w:szCs w:val="16"/>
            <w:lang w:val="de-AT"/>
          </w:rPr>
          <w:t>programos</w:t>
        </w:r>
        <w:r>
          <w:rPr>
            <w:rStyle w:val="Hipersaitas"/>
            <w:rFonts w:ascii="Times New Roman" w:hAnsi="Times New Roman" w:cs="Times New Roman"/>
            <w:sz w:val="16"/>
            <w:szCs w:val="16"/>
            <w:lang w:val="de-AT"/>
          </w:rPr>
          <w:t>–</w:t>
        </w:r>
        <w:r w:rsidRPr="00742513">
          <w:rPr>
            <w:rStyle w:val="Hipersaitas"/>
            <w:rFonts w:ascii="Times New Roman" w:hAnsi="Times New Roman" w:cs="Times New Roman"/>
            <w:sz w:val="16"/>
            <w:szCs w:val="16"/>
            <w:lang w:val="de-AT"/>
          </w:rPr>
          <w:t>rengimas</w:t>
        </w:r>
      </w:hyperlink>
      <w:r w:rsidRPr="00742513">
        <w:rPr>
          <w:rFonts w:ascii="Times New Roman" w:hAnsi="Times New Roman" w:cs="Times New Roman"/>
          <w:sz w:val="16"/>
          <w:szCs w:val="16"/>
          <w:lang w:val="lt-LT"/>
        </w:rPr>
        <w:t>&gt;</w:t>
      </w:r>
    </w:p>
  </w:footnote>
  <w:footnote w:id="8">
    <w:p w14:paraId="5DD3A82C" w14:textId="54FF360A" w:rsidR="00EC688C" w:rsidRPr="00742513" w:rsidRDefault="00EC688C" w:rsidP="005A237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LR Seimo nutarimas dėl valstybės pažangos strategijos „Lietuvos pažangos strategija „Lietuva 2030“ patvirtinimo &lt; </w:t>
      </w:r>
      <w:hyperlink r:id="rId6" w:history="1">
        <w:r w:rsidRPr="00742513">
          <w:rPr>
            <w:rStyle w:val="Hipersaitas"/>
            <w:rFonts w:ascii="Times New Roman" w:hAnsi="Times New Roman" w:cs="Times New Roman"/>
            <w:sz w:val="16"/>
            <w:szCs w:val="16"/>
            <w:lang w:val="lt-LT"/>
          </w:rPr>
          <w:t>https://e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seimas.lrs.lt/portal/legalAct/lt/TAD/TAIS.425517</w:t>
        </w:r>
      </w:hyperlink>
      <w:r w:rsidRPr="00742513">
        <w:rPr>
          <w:rFonts w:ascii="Times New Roman" w:hAnsi="Times New Roman" w:cs="Times New Roman"/>
          <w:sz w:val="16"/>
          <w:szCs w:val="16"/>
          <w:lang w:val="lt-LT"/>
        </w:rPr>
        <w:t>&gt;</w:t>
      </w:r>
    </w:p>
  </w:footnote>
  <w:footnote w:id="9">
    <w:p w14:paraId="34AC07A9" w14:textId="7BD99481" w:rsidR="00EC688C" w:rsidRPr="00742513" w:rsidRDefault="00EC688C" w:rsidP="005A237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rPr>
        <w:t xml:space="preserve"> </w:t>
      </w:r>
      <w:r w:rsidRPr="00742513">
        <w:rPr>
          <w:rFonts w:ascii="Times New Roman" w:hAnsi="Times New Roman" w:cs="Times New Roman"/>
          <w:sz w:val="16"/>
          <w:szCs w:val="16"/>
          <w:lang w:val="lt-LT"/>
        </w:rPr>
        <w:t>LR Vyriausybė &lt;</w:t>
      </w:r>
      <w:r w:rsidRPr="00742513">
        <w:rPr>
          <w:rFonts w:ascii="Times New Roman" w:hAnsi="Times New Roman" w:cs="Times New Roman"/>
          <w:sz w:val="16"/>
          <w:szCs w:val="16"/>
        </w:rPr>
        <w:t xml:space="preserve"> </w:t>
      </w:r>
      <w:hyperlink r:id="rId7" w:history="1">
        <w:r w:rsidRPr="00742513">
          <w:rPr>
            <w:rStyle w:val="Hipersaitas"/>
            <w:rFonts w:ascii="Times New Roman" w:hAnsi="Times New Roman" w:cs="Times New Roman"/>
            <w:sz w:val="16"/>
            <w:szCs w:val="16"/>
            <w:lang w:val="lt-LT"/>
          </w:rPr>
          <w:t>https://lrv.lt/lt/aktuali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informacija/xvii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vyriausybe/strateginis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valdymas/2021</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2030</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m</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nacionalinis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pazangos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planas</w:t>
        </w:r>
      </w:hyperlink>
      <w:r w:rsidRPr="00742513">
        <w:rPr>
          <w:rFonts w:ascii="Times New Roman" w:hAnsi="Times New Roman" w:cs="Times New Roman"/>
          <w:sz w:val="16"/>
          <w:szCs w:val="16"/>
          <w:lang w:val="lt-LT"/>
        </w:rPr>
        <w:t>&gt;</w:t>
      </w:r>
    </w:p>
  </w:footnote>
  <w:footnote w:id="10">
    <w:p w14:paraId="17CFE5C5" w14:textId="469C3F86" w:rsidR="00EC688C" w:rsidRPr="00742513" w:rsidRDefault="00EC688C" w:rsidP="005A237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rPr>
        <w:t xml:space="preserve"> </w:t>
      </w:r>
      <w:r w:rsidRPr="00742513">
        <w:rPr>
          <w:rFonts w:ascii="Times New Roman" w:hAnsi="Times New Roman" w:cs="Times New Roman"/>
          <w:sz w:val="16"/>
          <w:szCs w:val="16"/>
          <w:lang w:val="lt-LT"/>
        </w:rPr>
        <w:t>LR Vyriausybė &lt;</w:t>
      </w:r>
      <w:r w:rsidRPr="00742513">
        <w:rPr>
          <w:rFonts w:ascii="Times New Roman" w:hAnsi="Times New Roman" w:cs="Times New Roman"/>
          <w:sz w:val="16"/>
          <w:szCs w:val="16"/>
        </w:rPr>
        <w:t xml:space="preserve"> </w:t>
      </w:r>
      <w:hyperlink r:id="rId8" w:history="1">
        <w:r w:rsidRPr="00742513">
          <w:rPr>
            <w:rStyle w:val="Hipersaitas"/>
            <w:rFonts w:ascii="Times New Roman" w:hAnsi="Times New Roman" w:cs="Times New Roman"/>
            <w:sz w:val="16"/>
            <w:szCs w:val="16"/>
            <w:lang w:val="lt-LT"/>
          </w:rPr>
          <w:t>https://lrv.lt/uploads/main/documents/files/NECP%2012_31.pdf</w:t>
        </w:r>
      </w:hyperlink>
      <w:r w:rsidRPr="00742513">
        <w:rPr>
          <w:rFonts w:ascii="Times New Roman" w:hAnsi="Times New Roman" w:cs="Times New Roman"/>
          <w:sz w:val="16"/>
          <w:szCs w:val="16"/>
          <w:lang w:val="lt-LT"/>
        </w:rPr>
        <w:t>&gt;</w:t>
      </w:r>
    </w:p>
  </w:footnote>
  <w:footnote w:id="11">
    <w:p w14:paraId="3B6DDEC0" w14:textId="6B28E081" w:rsidR="00EC688C" w:rsidRPr="00742513" w:rsidRDefault="00EC688C" w:rsidP="005A237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rPr>
        <w:t xml:space="preserve"> </w:t>
      </w:r>
      <w:r w:rsidRPr="00742513">
        <w:rPr>
          <w:rFonts w:ascii="Times New Roman" w:hAnsi="Times New Roman" w:cs="Times New Roman"/>
          <w:sz w:val="16"/>
          <w:szCs w:val="16"/>
          <w:lang w:val="lt-LT"/>
        </w:rPr>
        <w:t xml:space="preserve">Skaitmeninė Europos programa &lt; </w:t>
      </w:r>
      <w:hyperlink r:id="rId9" w:history="1">
        <w:r w:rsidRPr="00742513">
          <w:rPr>
            <w:rStyle w:val="Hipersaitas"/>
            <w:rFonts w:ascii="Times New Roman" w:hAnsi="Times New Roman" w:cs="Times New Roman"/>
            <w:sz w:val="16"/>
            <w:szCs w:val="16"/>
            <w:lang w:val="lt-LT"/>
          </w:rPr>
          <w:t>https://ec.Europa.eu/commission/publications/connecting</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Europe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facility</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digital</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Europe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and</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space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programmes_lt</w:t>
        </w:r>
      </w:hyperlink>
      <w:r w:rsidRPr="00742513">
        <w:rPr>
          <w:rFonts w:ascii="Times New Roman" w:hAnsi="Times New Roman" w:cs="Times New Roman"/>
          <w:sz w:val="16"/>
          <w:szCs w:val="16"/>
          <w:lang w:val="lt-LT"/>
        </w:rPr>
        <w:t xml:space="preserve"> &gt;</w:t>
      </w:r>
    </w:p>
  </w:footnote>
  <w:footnote w:id="12">
    <w:p w14:paraId="2E4E29CB" w14:textId="1B5F3772" w:rsidR="00EC688C" w:rsidRPr="00742513" w:rsidRDefault="00EC688C" w:rsidP="005A237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w:t>
      </w:r>
      <w:bookmarkStart w:id="20" w:name="_Hlk55487567"/>
      <w:r w:rsidRPr="00742513">
        <w:rPr>
          <w:rFonts w:ascii="Times New Roman" w:hAnsi="Times New Roman" w:cs="Times New Roman"/>
          <w:sz w:val="16"/>
          <w:szCs w:val="16"/>
          <w:lang w:val="lt-LT"/>
        </w:rPr>
        <w:t>Komisijos Sanglaudos politikos reglamentų projektų pasiūlymai</w:t>
      </w:r>
      <w:bookmarkEnd w:id="20"/>
      <w:r w:rsidRPr="00742513">
        <w:rPr>
          <w:rFonts w:ascii="Times New Roman" w:hAnsi="Times New Roman" w:cs="Times New Roman"/>
          <w:sz w:val="16"/>
          <w:szCs w:val="16"/>
          <w:lang w:val="lt-LT"/>
        </w:rPr>
        <w:t>: &lt;</w:t>
      </w:r>
      <w:hyperlink r:id="rId10" w:history="1">
        <w:r w:rsidRPr="00742513">
          <w:rPr>
            <w:rStyle w:val="Hipersaitas"/>
            <w:rFonts w:ascii="Times New Roman" w:eastAsiaTheme="minorEastAsia" w:hAnsi="Times New Roman" w:cs="Times New Roman"/>
            <w:sz w:val="16"/>
            <w:szCs w:val="16"/>
            <w:lang w:val="lt-LT"/>
          </w:rPr>
          <w:t>https://esinvesticijos.lt/lt//pasirengimas</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2021</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2027/2021</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2027</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m</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es</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sanglaudos</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politikos</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reglamentu</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projektai</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ir</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gaires</w:t>
        </w:r>
      </w:hyperlink>
      <w:r w:rsidRPr="00742513">
        <w:rPr>
          <w:rStyle w:val="Hipersaitas"/>
          <w:rFonts w:ascii="Times New Roman" w:eastAsiaTheme="minorEastAsia" w:hAnsi="Times New Roman" w:cs="Times New Roman"/>
          <w:sz w:val="16"/>
          <w:szCs w:val="16"/>
          <w:lang w:val="lt-LT"/>
        </w:rPr>
        <w:t xml:space="preserve"> </w:t>
      </w:r>
      <w:r w:rsidRPr="00742513">
        <w:rPr>
          <w:rStyle w:val="Hipersaitas"/>
          <w:rFonts w:ascii="Times New Roman" w:eastAsiaTheme="minorEastAsia" w:hAnsi="Times New Roman" w:cs="Times New Roman"/>
          <w:color w:val="auto"/>
          <w:sz w:val="16"/>
          <w:szCs w:val="16"/>
          <w:u w:val="none"/>
          <w:lang w:val="lt-LT"/>
        </w:rPr>
        <w:t>&gt;</w:t>
      </w:r>
    </w:p>
  </w:footnote>
  <w:footnote w:id="13">
    <w:p w14:paraId="67E09691" w14:textId="439AD2AD" w:rsidR="00EC688C" w:rsidRPr="00742513" w:rsidRDefault="00EC688C" w:rsidP="00135B96">
      <w:pPr>
        <w:pStyle w:val="Puslapioinaostekstas"/>
        <w:spacing w:after="0"/>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2021</w:t>
      </w:r>
      <w:r>
        <w:rPr>
          <w:rFonts w:ascii="Times New Roman" w:hAnsi="Times New Roman" w:cs="Times New Roman"/>
          <w:sz w:val="16"/>
          <w:szCs w:val="16"/>
          <w:lang w:val="lt-LT"/>
        </w:rPr>
        <w:t>–</w:t>
      </w:r>
      <w:r w:rsidRPr="00742513">
        <w:rPr>
          <w:rFonts w:ascii="Times New Roman" w:hAnsi="Times New Roman" w:cs="Times New Roman"/>
          <w:sz w:val="16"/>
          <w:szCs w:val="16"/>
          <w:lang w:val="lt-LT"/>
        </w:rPr>
        <w:t xml:space="preserve">2027 m. ES fondų investicijų programos projektai &lt; </w:t>
      </w:r>
      <w:hyperlink r:id="rId11" w:history="1">
        <w:r w:rsidRPr="00742513">
          <w:rPr>
            <w:rStyle w:val="Hipersaitas"/>
            <w:rFonts w:ascii="Times New Roman" w:hAnsi="Times New Roman" w:cs="Times New Roman"/>
            <w:sz w:val="16"/>
            <w:szCs w:val="16"/>
            <w:lang w:val="lt-LT"/>
          </w:rPr>
          <w:t>https://esinvesticijos.lt/lt//pasirengimas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2021</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2027/2021</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2027</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m</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fondu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investiciju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programos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rengimas</w:t>
        </w:r>
      </w:hyperlink>
      <w:r w:rsidRPr="00742513">
        <w:rPr>
          <w:rFonts w:ascii="Times New Roman" w:hAnsi="Times New Roman" w:cs="Times New Roman"/>
          <w:sz w:val="16"/>
          <w:szCs w:val="16"/>
          <w:lang w:val="lt-LT"/>
        </w:rPr>
        <w:t xml:space="preserve"> &gt;</w:t>
      </w:r>
    </w:p>
  </w:footnote>
  <w:footnote w:id="14">
    <w:p w14:paraId="2DFD3462" w14:textId="7DE7F7E9" w:rsidR="00EC688C" w:rsidRPr="00742513" w:rsidRDefault="00EC688C" w:rsidP="00135B96">
      <w:pPr>
        <w:pStyle w:val="Puslapioinaostekstas"/>
        <w:spacing w:after="0"/>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w:t>
      </w:r>
      <w:hyperlink r:id="rId12" w:history="1">
        <w:r w:rsidRPr="00742513">
          <w:rPr>
            <w:rStyle w:val="Hipersaitas"/>
            <w:rFonts w:ascii="Times New Roman" w:hAnsi="Times New Roman" w:cs="Times New Roman"/>
            <w:sz w:val="16"/>
            <w:szCs w:val="16"/>
            <w:lang w:val="lt-LT"/>
          </w:rPr>
          <w:t>https://vrm.lrv.lt/lt/naujienos/pritarta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sostines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regiono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ir</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vidurio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ir</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vakaru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lietuvos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regiono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sudarymui</w:t>
        </w:r>
      </w:hyperlink>
      <w:r w:rsidRPr="00742513">
        <w:rPr>
          <w:rFonts w:ascii="Times New Roman" w:hAnsi="Times New Roman" w:cs="Times New Roman"/>
          <w:sz w:val="16"/>
          <w:szCs w:val="16"/>
          <w:lang w:val="lt-LT"/>
        </w:rPr>
        <w:t xml:space="preserve"> </w:t>
      </w:r>
    </w:p>
  </w:footnote>
  <w:footnote w:id="15">
    <w:p w14:paraId="03B7003E" w14:textId="54CE4FC9" w:rsidR="00EC688C" w:rsidRPr="00133B77" w:rsidRDefault="00EC688C" w:rsidP="00133B77">
      <w:pPr>
        <w:pStyle w:val="Puslapioinaostekstas"/>
        <w:spacing w:after="0" w:line="240" w:lineRule="auto"/>
        <w:rPr>
          <w:rFonts w:ascii="Times New Roman" w:hAnsi="Times New Roman" w:cs="Times New Roman"/>
          <w:sz w:val="16"/>
          <w:szCs w:val="16"/>
          <w:lang w:val="lt-LT"/>
        </w:rPr>
      </w:pPr>
      <w:r w:rsidRPr="00133B77">
        <w:rPr>
          <w:rStyle w:val="Puslapioinaosnuoroda"/>
          <w:rFonts w:ascii="Times New Roman" w:hAnsi="Times New Roman" w:cs="Times New Roman"/>
          <w:sz w:val="16"/>
          <w:szCs w:val="16"/>
        </w:rPr>
        <w:footnoteRef/>
      </w:r>
      <w:r w:rsidRPr="00133B77">
        <w:rPr>
          <w:rFonts w:ascii="Times New Roman" w:hAnsi="Times New Roman" w:cs="Times New Roman"/>
          <w:sz w:val="16"/>
          <w:szCs w:val="16"/>
          <w:lang w:val="lt-LT"/>
        </w:rPr>
        <w:t xml:space="preserve"> </w:t>
      </w:r>
      <w:r w:rsidRPr="00133B77">
        <w:rPr>
          <w:rStyle w:val="Hipersaitas"/>
          <w:rFonts w:ascii="Times New Roman" w:hAnsi="Times New Roman" w:cs="Times New Roman"/>
          <w:sz w:val="16"/>
          <w:szCs w:val="16"/>
          <w:lang w:val="lt-LT"/>
        </w:rPr>
        <w:t>https://ec.europa.eu/growth/smes/business–friendly–environment/performance–review_en</w:t>
      </w:r>
    </w:p>
  </w:footnote>
  <w:footnote w:id="16">
    <w:p w14:paraId="460C9A44" w14:textId="106194DB" w:rsidR="00EC688C" w:rsidRPr="001E5C0D" w:rsidRDefault="00EC688C" w:rsidP="00133B77">
      <w:pPr>
        <w:pStyle w:val="Puslapioinaostekstas"/>
        <w:spacing w:after="0" w:line="240" w:lineRule="auto"/>
        <w:rPr>
          <w:lang w:val="lt-LT"/>
        </w:rPr>
      </w:pPr>
      <w:r w:rsidRPr="00133B77">
        <w:rPr>
          <w:rStyle w:val="Puslapioinaosnuoroda"/>
          <w:rFonts w:ascii="Times New Roman" w:hAnsi="Times New Roman" w:cs="Times New Roman"/>
          <w:sz w:val="16"/>
          <w:szCs w:val="16"/>
        </w:rPr>
        <w:footnoteRef/>
      </w:r>
      <w:r w:rsidRPr="00133B77">
        <w:rPr>
          <w:rFonts w:ascii="Times New Roman" w:hAnsi="Times New Roman" w:cs="Times New Roman"/>
          <w:sz w:val="16"/>
          <w:szCs w:val="16"/>
        </w:rPr>
        <w:t xml:space="preserve"> </w:t>
      </w:r>
      <w:r w:rsidRPr="00133B77">
        <w:rPr>
          <w:rFonts w:ascii="Times New Roman" w:hAnsi="Times New Roman" w:cs="Times New Roman"/>
          <w:sz w:val="16"/>
          <w:szCs w:val="16"/>
          <w:lang w:val="lt-LT"/>
        </w:rPr>
        <w:t>Smulkiojo ir vidutinio verslo finansavimo galimybių tyrimas &lt;https://www.lb.lt/lt/apzvalgos–ir–leidiniai/category.85/series.4357#group–2 &gt;</w:t>
      </w:r>
    </w:p>
  </w:footnote>
  <w:footnote w:id="17">
    <w:p w14:paraId="65CF692B" w14:textId="1BAD2AD3" w:rsidR="00EC688C" w:rsidRPr="00742513" w:rsidRDefault="00EC688C" w:rsidP="00135B96">
      <w:pPr>
        <w:pStyle w:val="Puslapioinaostekstas"/>
        <w:spacing w:after="0"/>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Startup Lithuania &lt; </w:t>
      </w:r>
      <w:hyperlink r:id="rId13" w:history="1">
        <w:r w:rsidRPr="00742513">
          <w:rPr>
            <w:rStyle w:val="Hipersaitas"/>
            <w:rFonts w:ascii="Times New Roman" w:hAnsi="Times New Roman" w:cs="Times New Roman"/>
            <w:sz w:val="16"/>
            <w:szCs w:val="16"/>
            <w:lang w:val="lt-LT"/>
          </w:rPr>
          <w:t>https://www.startuplithuania.com/startup/</w:t>
        </w:r>
      </w:hyperlink>
      <w:r w:rsidRPr="00742513">
        <w:rPr>
          <w:rFonts w:ascii="Times New Roman" w:hAnsi="Times New Roman" w:cs="Times New Roman"/>
          <w:sz w:val="16"/>
          <w:szCs w:val="16"/>
          <w:lang w:val="lt-LT"/>
        </w:rPr>
        <w:t xml:space="preserve"> &gt;</w:t>
      </w:r>
    </w:p>
  </w:footnote>
  <w:footnote w:id="18">
    <w:p w14:paraId="61028118" w14:textId="59F4B413"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pl-PL"/>
        </w:rPr>
        <w:t xml:space="preserve"> </w:t>
      </w:r>
      <w:r w:rsidRPr="00742513">
        <w:rPr>
          <w:rFonts w:ascii="Times New Roman" w:hAnsi="Times New Roman" w:cs="Times New Roman"/>
          <w:sz w:val="16"/>
          <w:szCs w:val="16"/>
          <w:lang w:val="lt-LT"/>
        </w:rPr>
        <w:t xml:space="preserve">Startup Lithuania &lt; </w:t>
      </w:r>
      <w:hyperlink r:id="rId14" w:history="1">
        <w:r w:rsidRPr="00742513">
          <w:rPr>
            <w:rStyle w:val="Hipersaitas"/>
            <w:rFonts w:ascii="Times New Roman" w:hAnsi="Times New Roman" w:cs="Times New Roman"/>
            <w:sz w:val="16"/>
            <w:szCs w:val="16"/>
            <w:lang w:val="lt-LT"/>
          </w:rPr>
          <w:t>https://www.startuplithuania.com/ecosystem/</w:t>
        </w:r>
      </w:hyperlink>
      <w:r w:rsidRPr="00742513">
        <w:rPr>
          <w:rFonts w:ascii="Times New Roman" w:hAnsi="Times New Roman" w:cs="Times New Roman"/>
          <w:sz w:val="16"/>
          <w:szCs w:val="16"/>
          <w:lang w:val="lt-LT"/>
        </w:rPr>
        <w:t>&gt;</w:t>
      </w:r>
    </w:p>
  </w:footnote>
  <w:footnote w:id="19">
    <w:p w14:paraId="381F53D4" w14:textId="4663AB62" w:rsidR="00EC688C" w:rsidRPr="00742513" w:rsidRDefault="00EC688C" w:rsidP="00023650">
      <w:pPr>
        <w:pStyle w:val="Puslapioinaostekstas"/>
        <w:spacing w:after="0" w:line="240" w:lineRule="auto"/>
        <w:rPr>
          <w:rFonts w:ascii="Times New Roman" w:hAnsi="Times New Roman" w:cs="Times New Roman"/>
          <w:color w:val="003399"/>
          <w:sz w:val="16"/>
          <w:szCs w:val="16"/>
          <w:u w:val="single"/>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Apklausa: startuoliai palankiai vertina Lietuvos ekosistemą, bet stokoja finansavimo &lt;</w:t>
      </w:r>
      <w:hyperlink r:id="rId15" w:anchor="ixzz6Y5pQJWxN" w:history="1">
        <w:r w:rsidRPr="00742513">
          <w:rPr>
            <w:rStyle w:val="Hipersaitas"/>
            <w:rFonts w:ascii="Times New Roman" w:hAnsi="Times New Roman" w:cs="Times New Roman"/>
            <w:sz w:val="16"/>
            <w:szCs w:val="16"/>
            <w:lang w:val="lt-LT"/>
          </w:rPr>
          <w:t>https://www.vz.lt/paslaugos/2020/02/17/apklausa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startuoliai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palankiai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vertina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lietuvos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ekosistema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bet</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stokoja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finansavimo#ixzz6Y5pQJWxN</w:t>
        </w:r>
      </w:hyperlink>
      <w:r w:rsidRPr="00742513">
        <w:rPr>
          <w:rFonts w:ascii="Times New Roman" w:hAnsi="Times New Roman" w:cs="Times New Roman"/>
          <w:color w:val="003399"/>
          <w:sz w:val="16"/>
          <w:szCs w:val="16"/>
          <w:u w:val="single"/>
          <w:lang w:val="lt-LT"/>
        </w:rPr>
        <w:t>&gt;</w:t>
      </w:r>
    </w:p>
    <w:p w14:paraId="24DFCB40" w14:textId="6D1E1541" w:rsidR="00EC688C" w:rsidRPr="00742513" w:rsidRDefault="00744736" w:rsidP="00023650">
      <w:pPr>
        <w:pStyle w:val="Puslapioinaostekstas"/>
        <w:spacing w:after="0" w:line="240" w:lineRule="auto"/>
        <w:rPr>
          <w:rFonts w:ascii="Times New Roman" w:hAnsi="Times New Roman" w:cs="Times New Roman"/>
          <w:sz w:val="16"/>
          <w:szCs w:val="16"/>
          <w:lang w:val="lt-LT"/>
        </w:rPr>
      </w:pPr>
      <w:hyperlink r:id="rId16" w:history="1">
        <w:r w:rsidR="00EC688C" w:rsidRPr="00742513">
          <w:rPr>
            <w:rStyle w:val="Hipersaitas"/>
            <w:rFonts w:ascii="Times New Roman" w:hAnsi="Times New Roman" w:cs="Times New Roman"/>
            <w:sz w:val="16"/>
            <w:szCs w:val="16"/>
            <w:lang w:val="lt-LT"/>
          </w:rPr>
          <w:t>https://www.startuplithuania.com/ecosystem/</w:t>
        </w:r>
      </w:hyperlink>
      <w:r w:rsidR="00EC688C" w:rsidRPr="00742513">
        <w:rPr>
          <w:rFonts w:ascii="Times New Roman" w:hAnsi="Times New Roman" w:cs="Times New Roman"/>
          <w:sz w:val="16"/>
          <w:szCs w:val="16"/>
          <w:lang w:val="lt-LT"/>
        </w:rPr>
        <w:t xml:space="preserve">  </w:t>
      </w:r>
    </w:p>
  </w:footnote>
  <w:footnote w:id="20">
    <w:p w14:paraId="38852AEB" w14:textId="4828029B"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EIB Investment Report 2019/2020:Accelerating Europe’s transformation &lt;</w:t>
      </w:r>
      <w:r w:rsidRPr="00742513">
        <w:rPr>
          <w:rFonts w:ascii="Times New Roman" w:hAnsi="Times New Roman" w:cs="Times New Roman"/>
          <w:sz w:val="16"/>
          <w:szCs w:val="16"/>
        </w:rPr>
        <w:t xml:space="preserve"> </w:t>
      </w:r>
      <w:hyperlink r:id="rId17" w:history="1">
        <w:r w:rsidRPr="00742513">
          <w:rPr>
            <w:rStyle w:val="Hipersaitas"/>
            <w:rFonts w:ascii="Times New Roman" w:hAnsi="Times New Roman" w:cs="Times New Roman"/>
            <w:sz w:val="16"/>
            <w:szCs w:val="16"/>
            <w:lang w:val="lt-LT"/>
          </w:rPr>
          <w:t>https://www.eib.org/attachments/efs/economic_investment_report_2019_en.pdf</w:t>
        </w:r>
      </w:hyperlink>
      <w:r w:rsidRPr="00742513">
        <w:rPr>
          <w:rFonts w:ascii="Times New Roman" w:hAnsi="Times New Roman" w:cs="Times New Roman"/>
          <w:sz w:val="16"/>
          <w:szCs w:val="16"/>
          <w:lang w:val="lt-LT"/>
        </w:rPr>
        <w:t xml:space="preserve">  &gt;</w:t>
      </w:r>
    </w:p>
  </w:footnote>
  <w:footnote w:id="21">
    <w:p w14:paraId="67CC5CF3" w14:textId="4A9CB1AF"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Startup Lithuania duomenų bazė, remiantis 2020 m. lapkričio mėn. duomenimis &lt;</w:t>
      </w:r>
      <w:r w:rsidRPr="00742513">
        <w:rPr>
          <w:rFonts w:ascii="Times New Roman" w:hAnsi="Times New Roman" w:cs="Times New Roman"/>
          <w:sz w:val="16"/>
          <w:szCs w:val="16"/>
        </w:rPr>
        <w:t xml:space="preserve"> </w:t>
      </w:r>
      <w:hyperlink r:id="rId18" w:history="1">
        <w:r w:rsidRPr="00742513">
          <w:rPr>
            <w:rStyle w:val="Hipersaitas"/>
            <w:rFonts w:ascii="Times New Roman" w:hAnsi="Times New Roman" w:cs="Times New Roman"/>
            <w:sz w:val="16"/>
            <w:szCs w:val="16"/>
            <w:lang w:val="lt-LT"/>
          </w:rPr>
          <w:t>https://map.startuplithuania.lt/companies/f/locations/anyof_Vilnius_Vilnius%20proc.20County_Vilnyus_Vilniaus%20proc.20apskritis/tags/anyof_startuplithuania</w:t>
        </w:r>
      </w:hyperlink>
      <w:r w:rsidRPr="00742513">
        <w:rPr>
          <w:rFonts w:ascii="Times New Roman" w:hAnsi="Times New Roman" w:cs="Times New Roman"/>
          <w:sz w:val="16"/>
          <w:szCs w:val="16"/>
          <w:lang w:val="lt-LT"/>
        </w:rPr>
        <w:t xml:space="preserve"> &gt;</w:t>
      </w:r>
    </w:p>
  </w:footnote>
  <w:footnote w:id="22">
    <w:p w14:paraId="2616BF7B" w14:textId="525B881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VšĮ „Investuok Lietuvoje“ straipsnis &lt; </w:t>
      </w:r>
      <w:hyperlink r:id="rId19" w:history="1">
        <w:r w:rsidRPr="00742513">
          <w:rPr>
            <w:rStyle w:val="Hipersaitas"/>
            <w:rFonts w:ascii="Times New Roman" w:hAnsi="Times New Roman" w:cs="Times New Roman"/>
            <w:sz w:val="16"/>
            <w:szCs w:val="16"/>
            <w:lang w:val="lt-LT"/>
          </w:rPr>
          <w:t>https://investlithuania.com/news/vilnius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ranked</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as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nr</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1</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city</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in</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tech</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startups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fdi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attraction</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index/</w:t>
        </w:r>
      </w:hyperlink>
      <w:r w:rsidRPr="00742513">
        <w:rPr>
          <w:rFonts w:ascii="Times New Roman" w:hAnsi="Times New Roman" w:cs="Times New Roman"/>
          <w:sz w:val="16"/>
          <w:szCs w:val="16"/>
          <w:lang w:val="lt-LT"/>
        </w:rPr>
        <w:t xml:space="preserve"> &gt;</w:t>
      </w:r>
    </w:p>
  </w:footnote>
  <w:footnote w:id="23">
    <w:p w14:paraId="51BC860F" w14:textId="7777777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Europos Sąjungos inovacijų švieslentė (2018), Global Innovation Index (2018), OECD (2017)</w:t>
      </w:r>
    </w:p>
    <w:p w14:paraId="486FC604" w14:textId="33516510" w:rsidR="00EC688C" w:rsidRPr="00742513" w:rsidRDefault="00744736" w:rsidP="00023650">
      <w:pPr>
        <w:pStyle w:val="Puslapioinaostekstas"/>
        <w:spacing w:after="0" w:line="240" w:lineRule="auto"/>
        <w:rPr>
          <w:rFonts w:ascii="Times New Roman" w:hAnsi="Times New Roman" w:cs="Times New Roman"/>
          <w:sz w:val="16"/>
          <w:szCs w:val="16"/>
          <w:lang w:val="lt-LT"/>
        </w:rPr>
      </w:pPr>
      <w:hyperlink r:id="rId20" w:history="1">
        <w:r w:rsidR="00EC688C" w:rsidRPr="00742513">
          <w:rPr>
            <w:rStyle w:val="Hipersaitas"/>
            <w:rFonts w:ascii="Times New Roman" w:hAnsi="Times New Roman" w:cs="Times New Roman"/>
            <w:sz w:val="16"/>
            <w:szCs w:val="16"/>
            <w:lang w:val="lt-LT"/>
          </w:rPr>
          <w:t>https://ec.Europa.eu/docsroom/documents/42981/attachments/1/translations/en/renditions/native</w:t>
        </w:r>
      </w:hyperlink>
      <w:r w:rsidR="00EC688C" w:rsidRPr="00742513">
        <w:rPr>
          <w:rFonts w:ascii="Times New Roman" w:hAnsi="Times New Roman" w:cs="Times New Roman"/>
          <w:sz w:val="16"/>
          <w:szCs w:val="16"/>
          <w:lang w:val="lt-LT"/>
        </w:rPr>
        <w:t xml:space="preserve"> </w:t>
      </w:r>
    </w:p>
  </w:footnote>
  <w:footnote w:id="24">
    <w:p w14:paraId="030C55C2" w14:textId="0BCF08B1"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LR ekonomikos ir inovacijų ministerija, Investicijos į MTEP ir inovatyviosios bei sumaniosios ekonomikos vystymą: pasiekimų, išmoktų pamokų ir išliekančių plėtros poreikių žemėlapis</w:t>
      </w:r>
      <w:r w:rsidRPr="00742513">
        <w:rPr>
          <w:rFonts w:ascii="Times New Roman" w:hAnsi="Times New Roman" w:cs="Times New Roman"/>
          <w:sz w:val="16"/>
          <w:szCs w:val="16"/>
          <w:lang w:val="lt-LT"/>
        </w:rPr>
        <w:fldChar w:fldCharType="begin"/>
      </w:r>
      <w:r w:rsidRPr="00742513">
        <w:rPr>
          <w:rFonts w:ascii="Times New Roman" w:hAnsi="Times New Roman" w:cs="Times New Roman"/>
          <w:sz w:val="16"/>
          <w:szCs w:val="16"/>
          <w:lang w:val="lt-LT"/>
        </w:rPr>
        <w:instrText xml:space="preserve">"https://www.esinvesticijos.lt/uploads/main/documents/files/Post%202020/Programos%20rengimas/MTEP%20%20SMSM%20ir%20EIM%20zemelapis%20FINAL%202020-04-02.pdf" </w:instrText>
      </w:r>
      <w:r w:rsidRPr="00742513">
        <w:rPr>
          <w:rFonts w:ascii="Times New Roman" w:hAnsi="Times New Roman" w:cs="Times New Roman"/>
          <w:sz w:val="16"/>
          <w:szCs w:val="16"/>
          <w:lang w:val="lt-LT"/>
        </w:rPr>
        <w:fldChar w:fldCharType="separate"/>
      </w:r>
      <w:r w:rsidRPr="00742513">
        <w:rPr>
          <w:rFonts w:ascii="Times New Roman" w:hAnsi="Times New Roman" w:cs="Times New Roman"/>
          <w:sz w:val="16"/>
          <w:szCs w:val="16"/>
          <w:lang w:val="lt-LT"/>
        </w:rPr>
        <w:t>https://www.esinvesticijos.lt/uploads/main/documents/files/Post proc.202020/Programos proc.20rengimas/MTEP proc.20 proc.20SMSM proc.20ir proc.20EIM proc.20zemelapis proc.20FINAL proc.202020-04-02.pdf</w:t>
      </w:r>
      <w:r w:rsidRPr="00742513">
        <w:rPr>
          <w:rFonts w:ascii="Times New Roman" w:hAnsi="Times New Roman" w:cs="Times New Roman"/>
          <w:sz w:val="16"/>
          <w:szCs w:val="16"/>
          <w:lang w:val="lt-LT"/>
        </w:rPr>
        <w:fldChar w:fldCharType="end"/>
      </w:r>
    </w:p>
  </w:footnote>
  <w:footnote w:id="25">
    <w:p w14:paraId="0B429FD6" w14:textId="55F436E8"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2014–2020 m. Europos Sąjungos fondų investicijų veiksmų programos prioriteto „Mokslinių tyrimų, eksperimentinės plėtros ir inovacijų skatinimas“ poveikio vertinimas &lt;https://www.esinvesticijos.lt/lt/dokumentai//2014</w:t>
      </w:r>
      <w:r>
        <w:rPr>
          <w:rFonts w:ascii="Times New Roman" w:hAnsi="Times New Roman" w:cs="Times New Roman"/>
          <w:sz w:val="16"/>
          <w:szCs w:val="16"/>
          <w:lang w:val="lt-LT"/>
        </w:rPr>
        <w:t>–</w:t>
      </w:r>
      <w:r w:rsidRPr="00742513">
        <w:rPr>
          <w:rFonts w:ascii="Times New Roman" w:hAnsi="Times New Roman" w:cs="Times New Roman"/>
          <w:sz w:val="16"/>
          <w:szCs w:val="16"/>
          <w:lang w:val="lt-LT"/>
        </w:rPr>
        <w:t>2020</w:t>
      </w:r>
      <w:r>
        <w:rPr>
          <w:rFonts w:ascii="Times New Roman" w:hAnsi="Times New Roman" w:cs="Times New Roman"/>
          <w:sz w:val="16"/>
          <w:szCs w:val="16"/>
          <w:lang w:val="lt-LT"/>
        </w:rPr>
        <w:t>–</w:t>
      </w:r>
      <w:r w:rsidRPr="00742513">
        <w:rPr>
          <w:rFonts w:ascii="Times New Roman" w:hAnsi="Times New Roman" w:cs="Times New Roman"/>
          <w:sz w:val="16"/>
          <w:szCs w:val="16"/>
          <w:lang w:val="lt-LT"/>
        </w:rPr>
        <w:t>m</w:t>
      </w:r>
      <w:r>
        <w:rPr>
          <w:rFonts w:ascii="Times New Roman" w:hAnsi="Times New Roman" w:cs="Times New Roman"/>
          <w:sz w:val="16"/>
          <w:szCs w:val="16"/>
          <w:lang w:val="lt-LT"/>
        </w:rPr>
        <w:t>–</w:t>
      </w:r>
      <w:r w:rsidRPr="00742513">
        <w:rPr>
          <w:rFonts w:ascii="Times New Roman" w:hAnsi="Times New Roman" w:cs="Times New Roman"/>
          <w:sz w:val="16"/>
          <w:szCs w:val="16"/>
          <w:lang w:val="lt-LT"/>
        </w:rPr>
        <w:t>Europos</w:t>
      </w:r>
      <w:r>
        <w:rPr>
          <w:rFonts w:ascii="Times New Roman" w:hAnsi="Times New Roman" w:cs="Times New Roman"/>
          <w:sz w:val="16"/>
          <w:szCs w:val="16"/>
          <w:lang w:val="lt-LT"/>
        </w:rPr>
        <w:t>–</w:t>
      </w:r>
      <w:r w:rsidRPr="00742513">
        <w:rPr>
          <w:rFonts w:ascii="Times New Roman" w:hAnsi="Times New Roman" w:cs="Times New Roman"/>
          <w:sz w:val="16"/>
          <w:szCs w:val="16"/>
          <w:lang w:val="lt-LT"/>
        </w:rPr>
        <w:t>sajungos</w:t>
      </w:r>
      <w:r>
        <w:rPr>
          <w:rFonts w:ascii="Times New Roman" w:hAnsi="Times New Roman" w:cs="Times New Roman"/>
          <w:sz w:val="16"/>
          <w:szCs w:val="16"/>
          <w:lang w:val="lt-LT"/>
        </w:rPr>
        <w:t>–</w:t>
      </w:r>
      <w:r w:rsidRPr="00742513">
        <w:rPr>
          <w:rFonts w:ascii="Times New Roman" w:hAnsi="Times New Roman" w:cs="Times New Roman"/>
          <w:sz w:val="16"/>
          <w:szCs w:val="16"/>
          <w:lang w:val="lt-LT"/>
        </w:rPr>
        <w:t>fondu</w:t>
      </w:r>
      <w:r>
        <w:rPr>
          <w:rFonts w:ascii="Times New Roman" w:hAnsi="Times New Roman" w:cs="Times New Roman"/>
          <w:sz w:val="16"/>
          <w:szCs w:val="16"/>
          <w:lang w:val="lt-LT"/>
        </w:rPr>
        <w:t>–</w:t>
      </w:r>
      <w:r w:rsidRPr="00742513">
        <w:rPr>
          <w:rFonts w:ascii="Times New Roman" w:hAnsi="Times New Roman" w:cs="Times New Roman"/>
          <w:sz w:val="16"/>
          <w:szCs w:val="16"/>
          <w:lang w:val="lt-LT"/>
        </w:rPr>
        <w:t>investiciju</w:t>
      </w:r>
      <w:r>
        <w:rPr>
          <w:rFonts w:ascii="Times New Roman" w:hAnsi="Times New Roman" w:cs="Times New Roman"/>
          <w:sz w:val="16"/>
          <w:szCs w:val="16"/>
          <w:lang w:val="lt-LT"/>
        </w:rPr>
        <w:t>–</w:t>
      </w:r>
      <w:r w:rsidRPr="00742513">
        <w:rPr>
          <w:rFonts w:ascii="Times New Roman" w:hAnsi="Times New Roman" w:cs="Times New Roman"/>
          <w:sz w:val="16"/>
          <w:szCs w:val="16"/>
          <w:lang w:val="lt-LT"/>
        </w:rPr>
        <w:t>veiksmu</w:t>
      </w:r>
      <w:r>
        <w:rPr>
          <w:rFonts w:ascii="Times New Roman" w:hAnsi="Times New Roman" w:cs="Times New Roman"/>
          <w:sz w:val="16"/>
          <w:szCs w:val="16"/>
          <w:lang w:val="lt-LT"/>
        </w:rPr>
        <w:t>–</w:t>
      </w:r>
      <w:r w:rsidRPr="00742513">
        <w:rPr>
          <w:rFonts w:ascii="Times New Roman" w:hAnsi="Times New Roman" w:cs="Times New Roman"/>
          <w:sz w:val="16"/>
          <w:szCs w:val="16"/>
          <w:lang w:val="lt-LT"/>
        </w:rPr>
        <w:t>programos</w:t>
      </w:r>
      <w:r>
        <w:rPr>
          <w:rFonts w:ascii="Times New Roman" w:hAnsi="Times New Roman" w:cs="Times New Roman"/>
          <w:sz w:val="16"/>
          <w:szCs w:val="16"/>
          <w:lang w:val="lt-LT"/>
        </w:rPr>
        <w:t>–</w:t>
      </w:r>
      <w:r w:rsidRPr="00742513">
        <w:rPr>
          <w:rFonts w:ascii="Times New Roman" w:hAnsi="Times New Roman" w:cs="Times New Roman"/>
          <w:sz w:val="16"/>
          <w:szCs w:val="16"/>
          <w:lang w:val="lt-LT"/>
        </w:rPr>
        <w:t>prioriteto</w:t>
      </w:r>
      <w:r>
        <w:rPr>
          <w:rFonts w:ascii="Times New Roman" w:hAnsi="Times New Roman" w:cs="Times New Roman"/>
          <w:sz w:val="16"/>
          <w:szCs w:val="16"/>
          <w:lang w:val="lt-LT"/>
        </w:rPr>
        <w:t>–</w:t>
      </w:r>
      <w:r w:rsidRPr="00742513">
        <w:rPr>
          <w:rFonts w:ascii="Times New Roman" w:hAnsi="Times New Roman" w:cs="Times New Roman"/>
          <w:sz w:val="16"/>
          <w:szCs w:val="16"/>
          <w:lang w:val="lt-LT"/>
        </w:rPr>
        <w:t>moksliniu</w:t>
      </w:r>
      <w:r>
        <w:rPr>
          <w:rFonts w:ascii="Times New Roman" w:hAnsi="Times New Roman" w:cs="Times New Roman"/>
          <w:sz w:val="16"/>
          <w:szCs w:val="16"/>
          <w:lang w:val="lt-LT"/>
        </w:rPr>
        <w:t>–</w:t>
      </w:r>
      <w:r w:rsidRPr="00742513">
        <w:rPr>
          <w:rFonts w:ascii="Times New Roman" w:hAnsi="Times New Roman" w:cs="Times New Roman"/>
          <w:sz w:val="16"/>
          <w:szCs w:val="16"/>
          <w:lang w:val="lt-LT"/>
        </w:rPr>
        <w:t>tyrimu</w:t>
      </w:r>
      <w:r>
        <w:rPr>
          <w:rFonts w:ascii="Times New Roman" w:hAnsi="Times New Roman" w:cs="Times New Roman"/>
          <w:sz w:val="16"/>
          <w:szCs w:val="16"/>
          <w:lang w:val="lt-LT"/>
        </w:rPr>
        <w:t>–</w:t>
      </w:r>
      <w:r w:rsidRPr="00742513">
        <w:rPr>
          <w:rFonts w:ascii="Times New Roman" w:hAnsi="Times New Roman" w:cs="Times New Roman"/>
          <w:sz w:val="16"/>
          <w:szCs w:val="16"/>
          <w:lang w:val="lt-LT"/>
        </w:rPr>
        <w:t>eksperimentines</w:t>
      </w:r>
      <w:r>
        <w:rPr>
          <w:rFonts w:ascii="Times New Roman" w:hAnsi="Times New Roman" w:cs="Times New Roman"/>
          <w:sz w:val="16"/>
          <w:szCs w:val="16"/>
          <w:lang w:val="lt-LT"/>
        </w:rPr>
        <w:t>–</w:t>
      </w:r>
      <w:r w:rsidRPr="00742513">
        <w:rPr>
          <w:rFonts w:ascii="Times New Roman" w:hAnsi="Times New Roman" w:cs="Times New Roman"/>
          <w:sz w:val="16"/>
          <w:szCs w:val="16"/>
          <w:lang w:val="lt-LT"/>
        </w:rPr>
        <w:t>pletros</w:t>
      </w:r>
      <w:r>
        <w:rPr>
          <w:rFonts w:ascii="Times New Roman" w:hAnsi="Times New Roman" w:cs="Times New Roman"/>
          <w:sz w:val="16"/>
          <w:szCs w:val="16"/>
          <w:lang w:val="lt-LT"/>
        </w:rPr>
        <w:t>–</w:t>
      </w:r>
      <w:r w:rsidRPr="00742513">
        <w:rPr>
          <w:rFonts w:ascii="Times New Roman" w:hAnsi="Times New Roman" w:cs="Times New Roman"/>
          <w:sz w:val="16"/>
          <w:szCs w:val="16"/>
          <w:lang w:val="lt-LT"/>
        </w:rPr>
        <w:t>ir</w:t>
      </w:r>
      <w:r>
        <w:rPr>
          <w:rFonts w:ascii="Times New Roman" w:hAnsi="Times New Roman" w:cs="Times New Roman"/>
          <w:sz w:val="16"/>
          <w:szCs w:val="16"/>
          <w:lang w:val="lt-LT"/>
        </w:rPr>
        <w:t>–</w:t>
      </w:r>
      <w:r w:rsidRPr="00742513">
        <w:rPr>
          <w:rFonts w:ascii="Times New Roman" w:hAnsi="Times New Roman" w:cs="Times New Roman"/>
          <w:sz w:val="16"/>
          <w:szCs w:val="16"/>
          <w:lang w:val="lt-LT"/>
        </w:rPr>
        <w:t>inovaciju</w:t>
      </w:r>
      <w:r>
        <w:rPr>
          <w:rFonts w:ascii="Times New Roman" w:hAnsi="Times New Roman" w:cs="Times New Roman"/>
          <w:sz w:val="16"/>
          <w:szCs w:val="16"/>
          <w:lang w:val="lt-LT"/>
        </w:rPr>
        <w:t>–</w:t>
      </w:r>
      <w:r w:rsidRPr="00742513">
        <w:rPr>
          <w:rFonts w:ascii="Times New Roman" w:hAnsi="Times New Roman" w:cs="Times New Roman"/>
          <w:sz w:val="16"/>
          <w:szCs w:val="16"/>
          <w:lang w:val="lt-LT"/>
        </w:rPr>
        <w:t>skatinimas</w:t>
      </w:r>
      <w:r>
        <w:rPr>
          <w:rFonts w:ascii="Times New Roman" w:hAnsi="Times New Roman" w:cs="Times New Roman"/>
          <w:sz w:val="16"/>
          <w:szCs w:val="16"/>
          <w:lang w:val="lt-LT"/>
        </w:rPr>
        <w:t>–</w:t>
      </w:r>
      <w:r w:rsidRPr="00742513">
        <w:rPr>
          <w:rFonts w:ascii="Times New Roman" w:hAnsi="Times New Roman" w:cs="Times New Roman"/>
          <w:sz w:val="16"/>
          <w:szCs w:val="16"/>
          <w:lang w:val="lt-LT"/>
        </w:rPr>
        <w:t>poveikio</w:t>
      </w:r>
      <w:r>
        <w:rPr>
          <w:rFonts w:ascii="Times New Roman" w:hAnsi="Times New Roman" w:cs="Times New Roman"/>
          <w:sz w:val="16"/>
          <w:szCs w:val="16"/>
          <w:lang w:val="lt-LT"/>
        </w:rPr>
        <w:t>–</w:t>
      </w:r>
      <w:r w:rsidRPr="00742513">
        <w:rPr>
          <w:rFonts w:ascii="Times New Roman" w:hAnsi="Times New Roman" w:cs="Times New Roman"/>
          <w:sz w:val="16"/>
          <w:szCs w:val="16"/>
          <w:lang w:val="lt-LT"/>
        </w:rPr>
        <w:t>vertinimas&gt;</w:t>
      </w:r>
    </w:p>
  </w:footnote>
  <w:footnote w:id="26">
    <w:p w14:paraId="15FA9C9B" w14:textId="3D6DA8FE"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DE"/>
        </w:rPr>
        <w:t xml:space="preserve"> Nacionalinis energetikos ir klimato srities veiksmų planas 2021–2030 m. &lt;</w:t>
      </w:r>
      <w:r w:rsidRPr="00742513">
        <w:rPr>
          <w:rFonts w:ascii="Times New Roman" w:hAnsi="Times New Roman" w:cs="Times New Roman"/>
          <w:sz w:val="16"/>
          <w:szCs w:val="16"/>
          <w:lang w:val="de-AT"/>
        </w:rPr>
        <w:t xml:space="preserve"> </w:t>
      </w:r>
      <w:hyperlink r:id="rId21" w:history="1">
        <w:r w:rsidRPr="00742513">
          <w:rPr>
            <w:rStyle w:val="Hipersaitas"/>
            <w:rFonts w:ascii="Times New Roman" w:hAnsi="Times New Roman" w:cs="Times New Roman"/>
            <w:sz w:val="16"/>
            <w:szCs w:val="16"/>
            <w:lang w:val="de-DE"/>
          </w:rPr>
          <w:t>https://am.lrv.lt/lt/veiklos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sritys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1/klimato</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kaita/nacionalinis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energetikos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ir</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klimato</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srities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veiksmu</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planas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2021</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2030</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m</w:t>
        </w:r>
      </w:hyperlink>
      <w:r w:rsidRPr="00742513">
        <w:rPr>
          <w:rFonts w:ascii="Times New Roman" w:hAnsi="Times New Roman" w:cs="Times New Roman"/>
          <w:sz w:val="16"/>
          <w:szCs w:val="16"/>
          <w:lang w:val="de-DE"/>
        </w:rPr>
        <w:t xml:space="preserve"> &gt;</w:t>
      </w:r>
    </w:p>
  </w:footnote>
  <w:footnote w:id="27">
    <w:p w14:paraId="4E578A7C" w14:textId="5A642794"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Žaliasis kursas</w:t>
      </w:r>
    </w:p>
  </w:footnote>
  <w:footnote w:id="28">
    <w:p w14:paraId="7625776C" w14:textId="7777777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Pwc (2019). Lietuvos ūkio sektorių finansavimo po 2020 m. vertinimas: Aplinkosauga.</w:t>
      </w:r>
    </w:p>
  </w:footnote>
  <w:footnote w:id="29">
    <w:p w14:paraId="16636711" w14:textId="77777777" w:rsidR="00EC688C" w:rsidRPr="00742513" w:rsidRDefault="00EC688C" w:rsidP="00023650">
      <w:pPr>
        <w:spacing w:after="0" w:line="240" w:lineRule="auto"/>
        <w:rPr>
          <w:rFonts w:eastAsia="Times New Roman" w:cs="Times New Roman"/>
          <w:sz w:val="16"/>
          <w:szCs w:val="16"/>
        </w:rPr>
      </w:pPr>
      <w:r w:rsidRPr="00742513">
        <w:rPr>
          <w:rStyle w:val="Puslapioinaosnuoroda"/>
          <w:rFonts w:cs="Times New Roman"/>
          <w:sz w:val="16"/>
          <w:szCs w:val="16"/>
        </w:rPr>
        <w:footnoteRef/>
      </w:r>
      <w:r w:rsidRPr="00742513">
        <w:rPr>
          <w:rFonts w:cs="Times New Roman"/>
          <w:sz w:val="16"/>
          <w:szCs w:val="16"/>
        </w:rPr>
        <w:t xml:space="preserve"> Ateities ekonomikos DNR plano veiksmų ir projektų įgyvendinimo tvarkos aprašo 3 priedas „Veiksmo įgyvendinimo koncepcija“: Industry 4.0 Lab &lt; </w:t>
      </w:r>
      <w:hyperlink r:id="rId22" w:tgtFrame="_blank" w:history="1">
        <w:r w:rsidRPr="00742513">
          <w:rPr>
            <w:rStyle w:val="Hipersaitas"/>
            <w:rFonts w:cs="Times New Roman"/>
            <w:sz w:val="16"/>
            <w:szCs w:val="16"/>
          </w:rPr>
          <w:t>https://finmin.lrv.lt/uploads/finmin/documents/files/LT_ver/DNR%20plano%20dokumentai/KONCEPCIJOS/Koncepcija.docx</w:t>
        </w:r>
      </w:hyperlink>
      <w:r w:rsidRPr="00742513">
        <w:rPr>
          <w:rFonts w:cs="Times New Roman"/>
          <w:sz w:val="16"/>
          <w:szCs w:val="16"/>
        </w:rPr>
        <w:t xml:space="preserve"> &gt;</w:t>
      </w:r>
    </w:p>
  </w:footnote>
  <w:footnote w:id="30">
    <w:p w14:paraId="06ACF17A" w14:textId="5196A71D"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Pr>
          <w:rFonts w:ascii="Times New Roman" w:hAnsi="Times New Roman" w:cs="Times New Roman"/>
          <w:sz w:val="16"/>
          <w:szCs w:val="16"/>
          <w:lang w:val="lt-LT"/>
        </w:rPr>
        <w:t xml:space="preserve"> VŠĮ</w:t>
      </w:r>
      <w:r w:rsidRPr="00742513">
        <w:rPr>
          <w:rFonts w:ascii="Times New Roman" w:hAnsi="Times New Roman" w:cs="Times New Roman"/>
          <w:sz w:val="16"/>
          <w:szCs w:val="16"/>
          <w:lang w:val="lt-LT"/>
        </w:rPr>
        <w:t xml:space="preserve"> „Investuok Lietuvoje“ „TUI projektų apžvalga 2016 m. &lt; </w:t>
      </w:r>
      <w:hyperlink r:id="rId23" w:history="1">
        <w:r w:rsidRPr="00742513">
          <w:rPr>
            <w:rStyle w:val="Hipersaitas"/>
            <w:rFonts w:ascii="Times New Roman" w:hAnsi="Times New Roman" w:cs="Times New Roman"/>
            <w:sz w:val="16"/>
            <w:szCs w:val="16"/>
            <w:lang w:val="lt-LT"/>
          </w:rPr>
          <w:t>https://investlithuania.com/wp</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content/uploads/2017/09/TUI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projektai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regione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2016_Investuok</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Lietuvoje.pdf</w:t>
        </w:r>
      </w:hyperlink>
      <w:r w:rsidRPr="00742513">
        <w:rPr>
          <w:rFonts w:ascii="Times New Roman" w:hAnsi="Times New Roman" w:cs="Times New Roman"/>
          <w:sz w:val="16"/>
          <w:szCs w:val="16"/>
          <w:lang w:val="lt-LT"/>
        </w:rPr>
        <w:t xml:space="preserve"> &gt;</w:t>
      </w:r>
    </w:p>
  </w:footnote>
  <w:footnote w:id="31">
    <w:p w14:paraId="33B88A98" w14:textId="1B95F78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Oficialiosios statistikos portalas. Tiesioginės užsienio investicijos apskrityse ir savivaldybėse, &lt; </w:t>
      </w:r>
      <w:hyperlink r:id="rId24" w:history="1">
        <w:r w:rsidRPr="00742513">
          <w:rPr>
            <w:rStyle w:val="Hipersaitas"/>
            <w:rFonts w:ascii="Times New Roman" w:hAnsi="Times New Roman" w:cs="Times New Roman"/>
            <w:sz w:val="16"/>
            <w:szCs w:val="16"/>
            <w:lang w:val="lt-LT"/>
          </w:rPr>
          <w:t>https://osp.stat.gov.lt/informaciniai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pranesimai?articleId=6841561</w:t>
        </w:r>
      </w:hyperlink>
      <w:r w:rsidRPr="00742513">
        <w:rPr>
          <w:rFonts w:ascii="Times New Roman" w:hAnsi="Times New Roman" w:cs="Times New Roman"/>
          <w:sz w:val="16"/>
          <w:szCs w:val="16"/>
          <w:lang w:val="lt-LT"/>
        </w:rPr>
        <w:t xml:space="preserve"> &gt;</w:t>
      </w:r>
    </w:p>
  </w:footnote>
  <w:footnote w:id="32">
    <w:p w14:paraId="49A9C8AD" w14:textId="40EAB472"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Lietuvos kaimo plėtros 2014–2020 m. programa &lt; </w:t>
      </w:r>
      <w:hyperlink r:id="rId25" w:history="1">
        <w:r w:rsidRPr="00742513">
          <w:rPr>
            <w:rStyle w:val="Hipersaitas"/>
            <w:rFonts w:ascii="Times New Roman" w:hAnsi="Times New Roman" w:cs="Times New Roman"/>
            <w:sz w:val="16"/>
            <w:szCs w:val="16"/>
            <w:lang w:val="lt-LT"/>
          </w:rPr>
          <w:t>https://zum.lrv.lt/lt/veiklos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sritys/lietuvos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kaimo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pletros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2014</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2020</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m</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programa</w:t>
        </w:r>
      </w:hyperlink>
      <w:r w:rsidRPr="00742513">
        <w:rPr>
          <w:rFonts w:ascii="Times New Roman" w:hAnsi="Times New Roman" w:cs="Times New Roman"/>
          <w:sz w:val="16"/>
          <w:szCs w:val="16"/>
          <w:lang w:val="lt-LT"/>
        </w:rPr>
        <w:t xml:space="preserve"> &gt;</w:t>
      </w:r>
    </w:p>
    <w:p w14:paraId="11847E6D" w14:textId="637ED62F" w:rsidR="00EC688C" w:rsidRPr="00742513" w:rsidRDefault="00744736" w:rsidP="00023650">
      <w:pPr>
        <w:pStyle w:val="Puslapioinaostekstas"/>
        <w:spacing w:after="0" w:line="240" w:lineRule="auto"/>
        <w:rPr>
          <w:rFonts w:ascii="Times New Roman" w:hAnsi="Times New Roman" w:cs="Times New Roman"/>
          <w:sz w:val="16"/>
          <w:szCs w:val="16"/>
          <w:lang w:val="lt-LT"/>
        </w:rPr>
      </w:pPr>
      <w:hyperlink r:id="rId26" w:history="1">
        <w:r w:rsidR="00EC688C" w:rsidRPr="00742513">
          <w:rPr>
            <w:rStyle w:val="Hipersaitas"/>
            <w:rFonts w:ascii="Times New Roman" w:hAnsi="Times New Roman" w:cs="Times New Roman"/>
            <w:sz w:val="16"/>
            <w:szCs w:val="16"/>
            <w:lang w:val="lt-LT"/>
          </w:rPr>
          <w:t>https://www.nma.lt/index.php/parama/lietuvos</w:t>
        </w:r>
        <w:r w:rsidR="00EC688C">
          <w:rPr>
            <w:rStyle w:val="Hipersaitas"/>
            <w:rFonts w:ascii="Times New Roman" w:hAnsi="Times New Roman" w:cs="Times New Roman"/>
            <w:sz w:val="16"/>
            <w:szCs w:val="16"/>
            <w:lang w:val="lt-LT"/>
          </w:rPr>
          <w:t>–</w:t>
        </w:r>
        <w:r w:rsidR="00EC688C" w:rsidRPr="00742513">
          <w:rPr>
            <w:rStyle w:val="Hipersaitas"/>
            <w:rFonts w:ascii="Times New Roman" w:hAnsi="Times New Roman" w:cs="Times New Roman"/>
            <w:sz w:val="16"/>
            <w:szCs w:val="16"/>
            <w:lang w:val="lt-LT"/>
          </w:rPr>
          <w:t>kaimo</w:t>
        </w:r>
        <w:r w:rsidR="00EC688C">
          <w:rPr>
            <w:rStyle w:val="Hipersaitas"/>
            <w:rFonts w:ascii="Times New Roman" w:hAnsi="Times New Roman" w:cs="Times New Roman"/>
            <w:sz w:val="16"/>
            <w:szCs w:val="16"/>
            <w:lang w:val="lt-LT"/>
          </w:rPr>
          <w:t>–</w:t>
        </w:r>
        <w:r w:rsidR="00EC688C" w:rsidRPr="00742513">
          <w:rPr>
            <w:rStyle w:val="Hipersaitas"/>
            <w:rFonts w:ascii="Times New Roman" w:hAnsi="Times New Roman" w:cs="Times New Roman"/>
            <w:sz w:val="16"/>
            <w:szCs w:val="16"/>
            <w:lang w:val="lt-LT"/>
          </w:rPr>
          <w:t>pletros</w:t>
        </w:r>
        <w:r w:rsidR="00EC688C">
          <w:rPr>
            <w:rStyle w:val="Hipersaitas"/>
            <w:rFonts w:ascii="Times New Roman" w:hAnsi="Times New Roman" w:cs="Times New Roman"/>
            <w:sz w:val="16"/>
            <w:szCs w:val="16"/>
            <w:lang w:val="lt-LT"/>
          </w:rPr>
          <w:t>–</w:t>
        </w:r>
        <w:r w:rsidR="00EC688C" w:rsidRPr="00742513">
          <w:rPr>
            <w:rStyle w:val="Hipersaitas"/>
            <w:rFonts w:ascii="Times New Roman" w:hAnsi="Times New Roman" w:cs="Times New Roman"/>
            <w:sz w:val="16"/>
            <w:szCs w:val="16"/>
            <w:lang w:val="lt-LT"/>
          </w:rPr>
          <w:t>20142020</w:t>
        </w:r>
        <w:r w:rsidR="00EC688C">
          <w:rPr>
            <w:rStyle w:val="Hipersaitas"/>
            <w:rFonts w:ascii="Times New Roman" w:hAnsi="Times New Roman" w:cs="Times New Roman"/>
            <w:sz w:val="16"/>
            <w:szCs w:val="16"/>
            <w:lang w:val="lt-LT"/>
          </w:rPr>
          <w:t>–</w:t>
        </w:r>
        <w:r w:rsidR="00EC688C" w:rsidRPr="00742513">
          <w:rPr>
            <w:rStyle w:val="Hipersaitas"/>
            <w:rFonts w:ascii="Times New Roman" w:hAnsi="Times New Roman" w:cs="Times New Roman"/>
            <w:sz w:val="16"/>
            <w:szCs w:val="16"/>
            <w:lang w:val="lt-LT"/>
          </w:rPr>
          <w:t>m</w:t>
        </w:r>
        <w:r w:rsidR="00EC688C">
          <w:rPr>
            <w:rStyle w:val="Hipersaitas"/>
            <w:rFonts w:ascii="Times New Roman" w:hAnsi="Times New Roman" w:cs="Times New Roman"/>
            <w:sz w:val="16"/>
            <w:szCs w:val="16"/>
            <w:lang w:val="lt-LT"/>
          </w:rPr>
          <w:t>–</w:t>
        </w:r>
        <w:r w:rsidR="00EC688C" w:rsidRPr="00742513">
          <w:rPr>
            <w:rStyle w:val="Hipersaitas"/>
            <w:rFonts w:ascii="Times New Roman" w:hAnsi="Times New Roman" w:cs="Times New Roman"/>
            <w:sz w:val="16"/>
            <w:szCs w:val="16"/>
            <w:lang w:val="lt-LT"/>
          </w:rPr>
          <w:t>programa/statistika/9156</w:t>
        </w:r>
      </w:hyperlink>
      <w:r w:rsidR="00EC688C" w:rsidRPr="00742513">
        <w:rPr>
          <w:rFonts w:ascii="Times New Roman" w:hAnsi="Times New Roman" w:cs="Times New Roman"/>
          <w:sz w:val="16"/>
          <w:szCs w:val="16"/>
          <w:lang w:val="lt-LT"/>
        </w:rPr>
        <w:t xml:space="preserve"> </w:t>
      </w:r>
    </w:p>
  </w:footnote>
  <w:footnote w:id="33">
    <w:p w14:paraId="22F2CC74" w14:textId="13EBC1DD"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Lietuvos pramonės skaitmeninimo kelrodis 2019</w:t>
      </w:r>
      <w:r>
        <w:rPr>
          <w:rFonts w:ascii="Times New Roman" w:hAnsi="Times New Roman" w:cs="Times New Roman"/>
          <w:sz w:val="16"/>
          <w:szCs w:val="16"/>
          <w:lang w:val="lt-LT"/>
        </w:rPr>
        <w:t>–</w:t>
      </w:r>
      <w:r w:rsidRPr="00742513">
        <w:rPr>
          <w:rFonts w:ascii="Times New Roman" w:hAnsi="Times New Roman" w:cs="Times New Roman"/>
          <w:sz w:val="16"/>
          <w:szCs w:val="16"/>
          <w:lang w:val="lt-LT"/>
        </w:rPr>
        <w:t xml:space="preserve">2030 &lt; </w:t>
      </w:r>
      <w:hyperlink r:id="rId27" w:history="1">
        <w:r w:rsidRPr="00742513">
          <w:rPr>
            <w:rStyle w:val="Hipersaitas"/>
            <w:rFonts w:ascii="Times New Roman" w:hAnsi="Times New Roman" w:cs="Times New Roman"/>
            <w:sz w:val="16"/>
            <w:szCs w:val="16"/>
            <w:lang w:val="lt-LT"/>
          </w:rPr>
          <w:t>https://eimin.lrv.lt/uploads/eimin/documents/files/Kelrodis %.20LT %.20v2.pdf</w:t>
        </w:r>
      </w:hyperlink>
      <w:r w:rsidRPr="00742513">
        <w:rPr>
          <w:rFonts w:ascii="Times New Roman" w:hAnsi="Times New Roman" w:cs="Times New Roman"/>
          <w:sz w:val="16"/>
          <w:szCs w:val="16"/>
          <w:lang w:val="lt-LT"/>
        </w:rPr>
        <w:t xml:space="preserve"> &gt;</w:t>
      </w:r>
    </w:p>
  </w:footnote>
  <w:footnote w:id="34">
    <w:p w14:paraId="579A4219" w14:textId="2C867AC8"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w:t>
      </w:r>
      <w:hyperlink r:id="rId28" w:history="1">
        <w:r w:rsidRPr="00742513">
          <w:rPr>
            <w:rStyle w:val="Hipersaitas"/>
            <w:rFonts w:ascii="Times New Roman" w:hAnsi="Times New Roman" w:cs="Times New Roman"/>
            <w:sz w:val="16"/>
            <w:szCs w:val="16"/>
            <w:lang w:val="lt-LT"/>
          </w:rPr>
          <w:t>https://www.lrs.lt/sip/getFile?guid=f113a7fa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64e7</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478d</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b483</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b55075a19ae0</w:t>
        </w:r>
      </w:hyperlink>
      <w:r w:rsidRPr="00742513">
        <w:rPr>
          <w:rFonts w:ascii="Times New Roman" w:hAnsi="Times New Roman" w:cs="Times New Roman"/>
          <w:sz w:val="16"/>
          <w:szCs w:val="16"/>
          <w:lang w:val="lt-LT"/>
        </w:rPr>
        <w:t xml:space="preserve"> </w:t>
      </w:r>
    </w:p>
  </w:footnote>
  <w:footnote w:id="35">
    <w:p w14:paraId="53E6AF9E" w14:textId="3E210A0C"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Lietuvos pramonės skaitmeninimo kelrodis 2019</w:t>
      </w:r>
      <w:r>
        <w:rPr>
          <w:rFonts w:ascii="Times New Roman" w:hAnsi="Times New Roman" w:cs="Times New Roman"/>
          <w:sz w:val="16"/>
          <w:szCs w:val="16"/>
          <w:lang w:val="lt-LT"/>
        </w:rPr>
        <w:t>–</w:t>
      </w:r>
      <w:r w:rsidRPr="00742513">
        <w:rPr>
          <w:rFonts w:ascii="Times New Roman" w:hAnsi="Times New Roman" w:cs="Times New Roman"/>
          <w:sz w:val="16"/>
          <w:szCs w:val="16"/>
          <w:lang w:val="lt-LT"/>
        </w:rPr>
        <w:t xml:space="preserve">2030 &lt; </w:t>
      </w:r>
      <w:hyperlink r:id="rId29" w:history="1">
        <w:r w:rsidRPr="00742513">
          <w:rPr>
            <w:rStyle w:val="Hipersaitas"/>
            <w:rFonts w:ascii="Times New Roman" w:hAnsi="Times New Roman" w:cs="Times New Roman"/>
            <w:sz w:val="16"/>
            <w:szCs w:val="16"/>
            <w:lang w:val="lt-LT"/>
          </w:rPr>
          <w:t>https://eimin.lrv.lt/uploads/eimin/documents/files/Kelrodis %.20LT %.20v2.pdf</w:t>
        </w:r>
      </w:hyperlink>
      <w:r w:rsidRPr="00742513">
        <w:rPr>
          <w:rFonts w:ascii="Times New Roman" w:hAnsi="Times New Roman" w:cs="Times New Roman"/>
          <w:sz w:val="16"/>
          <w:szCs w:val="16"/>
          <w:lang w:val="lt-LT"/>
        </w:rPr>
        <w:t xml:space="preserve"> &gt;</w:t>
      </w:r>
    </w:p>
  </w:footnote>
  <w:footnote w:id="36">
    <w:p w14:paraId="53EC27E0" w14:textId="1F5ABEE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fr-FR"/>
        </w:rPr>
        <w:t xml:space="preserve"> </w:t>
      </w:r>
      <w:r w:rsidRPr="00742513">
        <w:rPr>
          <w:rFonts w:ascii="Times New Roman" w:hAnsi="Times New Roman" w:cs="Times New Roman"/>
          <w:sz w:val="16"/>
          <w:szCs w:val="16"/>
          <w:lang w:val="lt-LT"/>
        </w:rPr>
        <w:t xml:space="preserve">Skaitmeninė Europos programa &lt; </w:t>
      </w:r>
      <w:hyperlink r:id="rId30" w:history="1">
        <w:r w:rsidRPr="00742513">
          <w:rPr>
            <w:rStyle w:val="Hipersaitas"/>
            <w:rFonts w:ascii="Times New Roman" w:hAnsi="Times New Roman" w:cs="Times New Roman"/>
            <w:sz w:val="16"/>
            <w:szCs w:val="16"/>
            <w:lang w:val="lt-LT"/>
          </w:rPr>
          <w:t>https://ec.Europa.eu/commission/publications/connecting</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Europe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facility</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digital</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Europe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and</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space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programmes_lt</w:t>
        </w:r>
      </w:hyperlink>
      <w:r w:rsidRPr="00742513">
        <w:rPr>
          <w:rFonts w:ascii="Times New Roman" w:hAnsi="Times New Roman" w:cs="Times New Roman"/>
          <w:sz w:val="16"/>
          <w:szCs w:val="16"/>
          <w:lang w:val="lt-LT"/>
        </w:rPr>
        <w:t xml:space="preserve"> &gt;</w:t>
      </w:r>
    </w:p>
  </w:footnote>
  <w:footnote w:id="37">
    <w:p w14:paraId="25C2904C" w14:textId="77777777" w:rsidR="00EC688C" w:rsidRPr="00742513" w:rsidRDefault="00EC688C" w:rsidP="00083C62">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Valstybės pažangos strategija „Lietuva 2030“ &lt; </w:t>
      </w:r>
      <w:hyperlink r:id="rId31" w:history="1">
        <w:r w:rsidRPr="00742513">
          <w:rPr>
            <w:rStyle w:val="Hipersaitas"/>
            <w:rFonts w:ascii="Times New Roman" w:hAnsi="Times New Roman" w:cs="Times New Roman"/>
            <w:sz w:val="16"/>
            <w:szCs w:val="16"/>
            <w:lang w:val="lt-LT"/>
          </w:rPr>
          <w:t>https://www.lietuva2030.lt/lt</w:t>
        </w:r>
      </w:hyperlink>
      <w:r w:rsidRPr="00742513">
        <w:rPr>
          <w:rFonts w:ascii="Times New Roman" w:hAnsi="Times New Roman" w:cs="Times New Roman"/>
          <w:sz w:val="16"/>
          <w:szCs w:val="16"/>
          <w:lang w:val="lt-LT"/>
        </w:rPr>
        <w:t xml:space="preserve"> &gt;</w:t>
      </w:r>
    </w:p>
  </w:footnote>
  <w:footnote w:id="38">
    <w:p w14:paraId="2E05FAC5" w14:textId="74188808"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Veiksmų programos 3 prioriteto „Smulkiojo ir vidutinio verslo konkurencingumo skatinimas“ poveikio vertinimas &lt; </w:t>
      </w:r>
      <w:hyperlink r:id="rId32" w:history="1">
        <w:r w:rsidRPr="00742513">
          <w:rPr>
            <w:rStyle w:val="Hipersaitas"/>
            <w:rFonts w:ascii="Times New Roman" w:hAnsi="Times New Roman" w:cs="Times New Roman"/>
            <w:sz w:val="16"/>
            <w:szCs w:val="16"/>
            <w:lang w:val="lt-LT"/>
          </w:rPr>
          <w:t>https://www.esinvesticijos.lt/</w:t>
        </w:r>
      </w:hyperlink>
      <w:r w:rsidRPr="00742513">
        <w:rPr>
          <w:rFonts w:ascii="Times New Roman" w:hAnsi="Times New Roman" w:cs="Times New Roman"/>
          <w:sz w:val="16"/>
          <w:szCs w:val="16"/>
          <w:lang w:val="lt-LT"/>
        </w:rPr>
        <w:t>&gt;</w:t>
      </w:r>
    </w:p>
  </w:footnote>
  <w:footnote w:id="39">
    <w:p w14:paraId="342677DF" w14:textId="2232C0AC"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Veiksmų programos 3 prioriteto „Smulkiojo ir vidutinio verslo konkurencingumo skatinimas“ poveikio vertinimas &lt; </w:t>
      </w:r>
      <w:hyperlink r:id="rId33" w:history="1">
        <w:r w:rsidRPr="00742513">
          <w:rPr>
            <w:rStyle w:val="Hipersaitas"/>
            <w:rFonts w:ascii="Times New Roman" w:hAnsi="Times New Roman" w:cs="Times New Roman"/>
            <w:sz w:val="16"/>
            <w:szCs w:val="16"/>
            <w:lang w:val="lt-LT"/>
          </w:rPr>
          <w:t>https://www.esinvesticijos.lt/</w:t>
        </w:r>
      </w:hyperlink>
      <w:r w:rsidRPr="00742513">
        <w:rPr>
          <w:rFonts w:ascii="Times New Roman" w:hAnsi="Times New Roman" w:cs="Times New Roman"/>
          <w:sz w:val="16"/>
          <w:szCs w:val="16"/>
          <w:lang w:val="lt-LT"/>
        </w:rPr>
        <w:t>&gt;</w:t>
      </w:r>
    </w:p>
  </w:footnote>
  <w:footnote w:id="40">
    <w:p w14:paraId="748C86B1" w14:textId="7905CDF2" w:rsidR="00EC688C" w:rsidRPr="0075738F" w:rsidRDefault="00EC688C" w:rsidP="00924AB4">
      <w:pPr>
        <w:pStyle w:val="Puslapioinaostekstas"/>
        <w:spacing w:after="0"/>
        <w:rPr>
          <w:rFonts w:ascii="Times New Roman" w:hAnsi="Times New Roman" w:cs="Times New Roman"/>
          <w:sz w:val="16"/>
          <w:szCs w:val="16"/>
          <w:lang w:val="lt-LT"/>
        </w:rPr>
      </w:pPr>
      <w:r w:rsidRPr="00F3497A">
        <w:rPr>
          <w:rStyle w:val="Puslapioinaosnuoroda"/>
          <w:rFonts w:ascii="Times New Roman" w:hAnsi="Times New Roman" w:cs="Times New Roman"/>
          <w:sz w:val="16"/>
          <w:szCs w:val="16"/>
        </w:rPr>
        <w:footnoteRef/>
      </w:r>
      <w:r w:rsidRPr="0075738F">
        <w:rPr>
          <w:rFonts w:ascii="Times New Roman" w:hAnsi="Times New Roman" w:cs="Times New Roman"/>
          <w:sz w:val="16"/>
          <w:szCs w:val="16"/>
          <w:lang w:val="lt-LT"/>
        </w:rPr>
        <w:t xml:space="preserve"> </w:t>
      </w:r>
      <w:hyperlink r:id="rId34" w:history="1">
        <w:r w:rsidRPr="00545E77">
          <w:rPr>
            <w:rStyle w:val="Hipersaitas"/>
            <w:rFonts w:ascii="Times New Roman" w:hAnsi="Times New Roman" w:cs="Times New Roman"/>
            <w:sz w:val="16"/>
            <w:szCs w:val="16"/>
            <w:lang w:val="lt-LT"/>
          </w:rPr>
          <w:t>https://ecipe.org/publications/comparing</w:t>
        </w:r>
        <w:r>
          <w:rPr>
            <w:rStyle w:val="Hipersaitas"/>
            <w:rFonts w:ascii="Times New Roman" w:hAnsi="Times New Roman" w:cs="Times New Roman"/>
            <w:sz w:val="16"/>
            <w:szCs w:val="16"/>
            <w:lang w:val="lt-LT"/>
          </w:rPr>
          <w:t>–</w:t>
        </w:r>
        <w:r w:rsidRPr="00545E77">
          <w:rPr>
            <w:rStyle w:val="Hipersaitas"/>
            <w:rFonts w:ascii="Times New Roman" w:hAnsi="Times New Roman" w:cs="Times New Roman"/>
            <w:sz w:val="16"/>
            <w:szCs w:val="16"/>
            <w:lang w:val="lt-LT"/>
          </w:rPr>
          <w:t>economic</w:t>
        </w:r>
        <w:r>
          <w:rPr>
            <w:rStyle w:val="Hipersaitas"/>
            <w:rFonts w:ascii="Times New Roman" w:hAnsi="Times New Roman" w:cs="Times New Roman"/>
            <w:sz w:val="16"/>
            <w:szCs w:val="16"/>
            <w:lang w:val="lt-LT"/>
          </w:rPr>
          <w:t>–</w:t>
        </w:r>
        <w:r w:rsidRPr="00545E77">
          <w:rPr>
            <w:rStyle w:val="Hipersaitas"/>
            <w:rFonts w:ascii="Times New Roman" w:hAnsi="Times New Roman" w:cs="Times New Roman"/>
            <w:sz w:val="16"/>
            <w:szCs w:val="16"/>
            <w:lang w:val="lt-LT"/>
          </w:rPr>
          <w:t>growth</w:t>
        </w:r>
        <w:r>
          <w:rPr>
            <w:rStyle w:val="Hipersaitas"/>
            <w:rFonts w:ascii="Times New Roman" w:hAnsi="Times New Roman" w:cs="Times New Roman"/>
            <w:sz w:val="16"/>
            <w:szCs w:val="16"/>
            <w:lang w:val="lt-LT"/>
          </w:rPr>
          <w:t>–</w:t>
        </w:r>
        <w:r w:rsidRPr="00545E77">
          <w:rPr>
            <w:rStyle w:val="Hipersaitas"/>
            <w:rFonts w:ascii="Times New Roman" w:hAnsi="Times New Roman" w:cs="Times New Roman"/>
            <w:sz w:val="16"/>
            <w:szCs w:val="16"/>
            <w:lang w:val="lt-LT"/>
          </w:rPr>
          <w:t>between</w:t>
        </w:r>
        <w:r>
          <w:rPr>
            <w:rStyle w:val="Hipersaitas"/>
            <w:rFonts w:ascii="Times New Roman" w:hAnsi="Times New Roman" w:cs="Times New Roman"/>
            <w:sz w:val="16"/>
            <w:szCs w:val="16"/>
            <w:lang w:val="lt-LT"/>
          </w:rPr>
          <w:t>–</w:t>
        </w:r>
        <w:r w:rsidRPr="00545E77">
          <w:rPr>
            <w:rStyle w:val="Hipersaitas"/>
            <w:rFonts w:ascii="Times New Roman" w:hAnsi="Times New Roman" w:cs="Times New Roman"/>
            <w:sz w:val="16"/>
            <w:szCs w:val="16"/>
            <w:lang w:val="lt-LT"/>
          </w:rPr>
          <w:t>eu</w:t>
        </w:r>
        <w:r>
          <w:rPr>
            <w:rStyle w:val="Hipersaitas"/>
            <w:rFonts w:ascii="Times New Roman" w:hAnsi="Times New Roman" w:cs="Times New Roman"/>
            <w:sz w:val="16"/>
            <w:szCs w:val="16"/>
            <w:lang w:val="lt-LT"/>
          </w:rPr>
          <w:t>–</w:t>
        </w:r>
        <w:r w:rsidRPr="00545E77">
          <w:rPr>
            <w:rStyle w:val="Hipersaitas"/>
            <w:rFonts w:ascii="Times New Roman" w:hAnsi="Times New Roman" w:cs="Times New Roman"/>
            <w:sz w:val="16"/>
            <w:szCs w:val="16"/>
            <w:lang w:val="lt-LT"/>
          </w:rPr>
          <w:t>and</w:t>
        </w:r>
        <w:r>
          <w:rPr>
            <w:rStyle w:val="Hipersaitas"/>
            <w:rFonts w:ascii="Times New Roman" w:hAnsi="Times New Roman" w:cs="Times New Roman"/>
            <w:sz w:val="16"/>
            <w:szCs w:val="16"/>
            <w:lang w:val="lt-LT"/>
          </w:rPr>
          <w:t>–</w:t>
        </w:r>
        <w:r w:rsidRPr="00545E77">
          <w:rPr>
            <w:rStyle w:val="Hipersaitas"/>
            <w:rFonts w:ascii="Times New Roman" w:hAnsi="Times New Roman" w:cs="Times New Roman"/>
            <w:sz w:val="16"/>
            <w:szCs w:val="16"/>
            <w:lang w:val="lt-LT"/>
          </w:rPr>
          <w:t>us</w:t>
        </w:r>
        <w:r>
          <w:rPr>
            <w:rStyle w:val="Hipersaitas"/>
            <w:rFonts w:ascii="Times New Roman" w:hAnsi="Times New Roman" w:cs="Times New Roman"/>
            <w:sz w:val="16"/>
            <w:szCs w:val="16"/>
            <w:lang w:val="lt-LT"/>
          </w:rPr>
          <w:t>–</w:t>
        </w:r>
        <w:r w:rsidRPr="00545E77">
          <w:rPr>
            <w:rStyle w:val="Hipersaitas"/>
            <w:rFonts w:ascii="Times New Roman" w:hAnsi="Times New Roman" w:cs="Times New Roman"/>
            <w:sz w:val="16"/>
            <w:szCs w:val="16"/>
            <w:lang w:val="lt-LT"/>
          </w:rPr>
          <w:t>states/</w:t>
        </w:r>
      </w:hyperlink>
      <w:r>
        <w:rPr>
          <w:rFonts w:ascii="Times New Roman" w:hAnsi="Times New Roman" w:cs="Times New Roman"/>
          <w:sz w:val="16"/>
          <w:szCs w:val="16"/>
          <w:lang w:val="lt-LT"/>
        </w:rPr>
        <w:t xml:space="preserve"> </w:t>
      </w:r>
    </w:p>
  </w:footnote>
  <w:footnote w:id="41">
    <w:p w14:paraId="4E183C25" w14:textId="77777777" w:rsidR="00EC688C" w:rsidRPr="00F3497A" w:rsidRDefault="00EC688C" w:rsidP="00C978FD">
      <w:pPr>
        <w:pStyle w:val="Puslapioinaostekstas"/>
        <w:spacing w:after="0"/>
        <w:rPr>
          <w:rFonts w:ascii="Times New Roman" w:hAnsi="Times New Roman" w:cs="Times New Roman"/>
          <w:sz w:val="16"/>
          <w:szCs w:val="16"/>
          <w:lang w:val="lt-LT"/>
        </w:rPr>
      </w:pPr>
      <w:r w:rsidRPr="00F3497A">
        <w:rPr>
          <w:rStyle w:val="Puslapioinaosnuoroda"/>
          <w:rFonts w:ascii="Times New Roman" w:hAnsi="Times New Roman" w:cs="Times New Roman"/>
          <w:sz w:val="16"/>
          <w:szCs w:val="16"/>
        </w:rPr>
        <w:footnoteRef/>
      </w:r>
      <w:r w:rsidRPr="0075738F">
        <w:rPr>
          <w:rFonts w:ascii="Times New Roman" w:hAnsi="Times New Roman" w:cs="Times New Roman"/>
          <w:sz w:val="16"/>
          <w:szCs w:val="16"/>
          <w:lang w:val="lt-LT"/>
        </w:rPr>
        <w:t xml:space="preserve"> Detalesnė visų struktūrinių iššūkių analizė yra detaliau aprašyta 2021–2027 m. investicijų programoje ir „Naujos karta Lietuva“</w:t>
      </w:r>
    </w:p>
  </w:footnote>
  <w:footnote w:id="42">
    <w:p w14:paraId="63F3BA69" w14:textId="48A28543" w:rsidR="00EC688C" w:rsidRPr="00742513" w:rsidRDefault="00EC688C" w:rsidP="00F97116">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 xml:space="preserve">Lietuvos bankas </w:t>
      </w:r>
      <w:hyperlink r:id="rId35" w:history="1">
        <w:r w:rsidRPr="00742513">
          <w:rPr>
            <w:rStyle w:val="Hipersaitas"/>
            <w:rFonts w:ascii="Times New Roman" w:hAnsi="Times New Roman" w:cs="Times New Roman"/>
            <w:sz w:val="16"/>
            <w:szCs w:val="16"/>
            <w:lang w:val="lt-LT"/>
          </w:rPr>
          <w:t>https://www.lb.lt/uploads/documents/files/LB_20210323_ekonomikos_apzvalga_banku_sektorius(1).pdf</w:t>
        </w:r>
      </w:hyperlink>
      <w:r w:rsidRPr="00742513">
        <w:rPr>
          <w:rFonts w:ascii="Times New Roman" w:hAnsi="Times New Roman" w:cs="Times New Roman"/>
          <w:sz w:val="16"/>
          <w:szCs w:val="16"/>
          <w:lang w:val="lt-LT"/>
        </w:rPr>
        <w:t xml:space="preserve"> </w:t>
      </w:r>
    </w:p>
  </w:footnote>
  <w:footnote w:id="43">
    <w:p w14:paraId="1A2E51DC" w14:textId="09DF1BCA"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 xml:space="preserve">Lietuvos bankas </w:t>
      </w:r>
      <w:r w:rsidRPr="00742513">
        <w:rPr>
          <w:rFonts w:ascii="Times New Roman" w:hAnsi="Times New Roman" w:cs="Times New Roman"/>
          <w:sz w:val="16"/>
          <w:szCs w:val="16"/>
          <w:lang w:val="de-AT"/>
        </w:rPr>
        <w:t xml:space="preserve"> &lt;</w:t>
      </w:r>
      <w:hyperlink r:id="rId36" w:history="1">
        <w:r w:rsidRPr="00742513">
          <w:rPr>
            <w:rStyle w:val="Hipersaitas"/>
            <w:rFonts w:ascii="Times New Roman" w:hAnsi="Times New Roman" w:cs="Times New Roman"/>
            <w:sz w:val="16"/>
            <w:szCs w:val="16"/>
            <w:lang w:val="lt-LT"/>
          </w:rPr>
          <w:t>https://www.lb.lt/lt/naujienos/kreditavimas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ir</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finansines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paslaugos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lietuvoje</w:t>
        </w:r>
      </w:hyperlink>
      <w:r w:rsidRPr="00742513">
        <w:rPr>
          <w:rFonts w:ascii="Times New Roman" w:hAnsi="Times New Roman" w:cs="Times New Roman"/>
          <w:sz w:val="16"/>
          <w:szCs w:val="16"/>
          <w:lang w:val="lt-LT"/>
        </w:rPr>
        <w:t xml:space="preserve"> &gt;</w:t>
      </w:r>
    </w:p>
  </w:footnote>
  <w:footnote w:id="44">
    <w:p w14:paraId="42D16BB2" w14:textId="7777777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Lietuvos Banko duomenys</w:t>
      </w:r>
    </w:p>
  </w:footnote>
  <w:footnote w:id="45">
    <w:p w14:paraId="771D62A7" w14:textId="7777777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Europos Centrinio Banko duomenys, Lietuvos Banko duomenys</w:t>
      </w:r>
    </w:p>
  </w:footnote>
  <w:footnote w:id="46">
    <w:p w14:paraId="3D5E9C73" w14:textId="7777777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Lietuvos Bankas, Įmonių apklausos apžvalga, 2019 m. </w:t>
      </w:r>
    </w:p>
    <w:p w14:paraId="71A4C450" w14:textId="7777777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Fonts w:ascii="Times New Roman" w:hAnsi="Times New Roman" w:cs="Times New Roman"/>
          <w:sz w:val="16"/>
          <w:szCs w:val="16"/>
          <w:lang w:val="lt-LT"/>
        </w:rPr>
        <w:t xml:space="preserve">&lt; </w:t>
      </w:r>
      <w:hyperlink r:id="rId37" w:history="1">
        <w:r w:rsidRPr="00742513">
          <w:rPr>
            <w:rStyle w:val="Hipersaitas"/>
            <w:rFonts w:ascii="Times New Roman" w:hAnsi="Times New Roman" w:cs="Times New Roman"/>
            <w:sz w:val="16"/>
            <w:szCs w:val="16"/>
            <w:lang w:val="lt-LT"/>
          </w:rPr>
          <w:t>https://www.lb.lt/uploads/publications/docs/22494_41fcbd52cafaddeb5a15d1d2a6d92063.pdf</w:t>
        </w:r>
      </w:hyperlink>
      <w:r w:rsidRPr="00742513">
        <w:rPr>
          <w:rFonts w:ascii="Times New Roman" w:hAnsi="Times New Roman" w:cs="Times New Roman"/>
          <w:sz w:val="16"/>
          <w:szCs w:val="16"/>
          <w:lang w:val="lt-LT"/>
        </w:rPr>
        <w:t xml:space="preserve"> &gt;</w:t>
      </w:r>
    </w:p>
  </w:footnote>
  <w:footnote w:id="47">
    <w:p w14:paraId="590C176A" w14:textId="7777777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Lietuvos Bankas, Įmonių apklausos apžvalga, 2020 m. </w:t>
      </w:r>
    </w:p>
    <w:p w14:paraId="3FEB1C24" w14:textId="7777777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Fonts w:ascii="Times New Roman" w:hAnsi="Times New Roman" w:cs="Times New Roman"/>
          <w:sz w:val="16"/>
          <w:szCs w:val="16"/>
          <w:lang w:val="lt-LT"/>
        </w:rPr>
        <w:t xml:space="preserve">&lt; </w:t>
      </w:r>
      <w:hyperlink r:id="rId38" w:history="1">
        <w:r w:rsidRPr="00742513">
          <w:rPr>
            <w:rStyle w:val="Hipersaitas"/>
            <w:rFonts w:ascii="Times New Roman" w:hAnsi="Times New Roman" w:cs="Times New Roman"/>
            <w:sz w:val="16"/>
            <w:szCs w:val="16"/>
            <w:lang w:val="lt-LT"/>
          </w:rPr>
          <w:t>https://www.lb.lt/uploads/publications/docs/26708_6f80bba121eac85e285dd7424a1824d3.pdf</w:t>
        </w:r>
      </w:hyperlink>
      <w:r w:rsidRPr="00742513">
        <w:rPr>
          <w:rFonts w:ascii="Times New Roman" w:hAnsi="Times New Roman" w:cs="Times New Roman"/>
          <w:sz w:val="16"/>
          <w:szCs w:val="16"/>
          <w:lang w:val="lt-LT"/>
        </w:rPr>
        <w:t xml:space="preserve"> &gt;</w:t>
      </w:r>
    </w:p>
  </w:footnote>
  <w:footnote w:id="48">
    <w:p w14:paraId="39A37ABA" w14:textId="4261DE17" w:rsidR="00EC688C" w:rsidRPr="00742513" w:rsidRDefault="00EC688C" w:rsidP="00023650">
      <w:pPr>
        <w:pStyle w:val="Puslapioinaostekstas"/>
        <w:spacing w:after="0" w:line="240" w:lineRule="auto"/>
        <w:rPr>
          <w:rFonts w:ascii="Times New Roman" w:hAnsi="Times New Roman" w:cs="Times New Roman"/>
          <w:sz w:val="16"/>
          <w:szCs w:val="16"/>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i/>
          <w:sz w:val="16"/>
          <w:szCs w:val="16"/>
          <w:lang w:val="lt-LT"/>
        </w:rPr>
        <w:t xml:space="preserve"> E</w:t>
      </w:r>
      <w:r w:rsidRPr="00742513">
        <w:rPr>
          <w:rFonts w:ascii="Times New Roman" w:hAnsi="Times New Roman" w:cs="Times New Roman"/>
          <w:i/>
          <w:sz w:val="16"/>
          <w:szCs w:val="16"/>
        </w:rPr>
        <w:t>x ante</w:t>
      </w:r>
      <w:r w:rsidRPr="00742513">
        <w:rPr>
          <w:rFonts w:ascii="Times New Roman" w:hAnsi="Times New Roman" w:cs="Times New Roman"/>
          <w:sz w:val="16"/>
          <w:szCs w:val="16"/>
        </w:rPr>
        <w:t xml:space="preserve"> assessment methodology for financial instruments in the 2014–2020 programming period </w:t>
      </w:r>
    </w:p>
    <w:p w14:paraId="4FA80FC1" w14:textId="6E4071E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Fonts w:ascii="Times New Roman" w:hAnsi="Times New Roman" w:cs="Times New Roman"/>
          <w:sz w:val="16"/>
          <w:szCs w:val="16"/>
        </w:rPr>
        <w:t>&lt;</w:t>
      </w:r>
      <w:hyperlink r:id="rId39" w:history="1">
        <w:r w:rsidRPr="00742513">
          <w:rPr>
            <w:rStyle w:val="Hipersaitas"/>
            <w:rFonts w:ascii="Times New Roman" w:hAnsi="Times New Roman" w:cs="Times New Roman"/>
            <w:sz w:val="16"/>
            <w:szCs w:val="16"/>
          </w:rPr>
          <w:t>https://ec.Europa.eu/regional_policy/index.cfm/en/information/publications/reports/2014/</w:t>
        </w:r>
        <w:r w:rsidRPr="00742513">
          <w:rPr>
            <w:rStyle w:val="Hipersaitas"/>
            <w:rFonts w:ascii="Times New Roman" w:hAnsi="Times New Roman" w:cs="Times New Roman"/>
            <w:i/>
            <w:sz w:val="16"/>
            <w:szCs w:val="16"/>
          </w:rPr>
          <w:t xml:space="preserve"> ex</w:t>
        </w:r>
        <w:r>
          <w:rPr>
            <w:rStyle w:val="Hipersaitas"/>
            <w:rFonts w:ascii="Times New Roman" w:hAnsi="Times New Roman" w:cs="Times New Roman"/>
            <w:i/>
            <w:sz w:val="16"/>
            <w:szCs w:val="16"/>
          </w:rPr>
          <w:t>–</w:t>
        </w:r>
        <w:r w:rsidRPr="00742513">
          <w:rPr>
            <w:rStyle w:val="Hipersaitas"/>
            <w:rFonts w:ascii="Times New Roman" w:hAnsi="Times New Roman" w:cs="Times New Roman"/>
            <w:i/>
            <w:sz w:val="16"/>
            <w:szCs w:val="16"/>
          </w:rPr>
          <w:t>ante</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assessment</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methodology</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for</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financial</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instruments</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in</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the</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2014</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2020</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programming</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period</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general</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methodology</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covering</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all</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thematic</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objectives</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volume</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i</w:t>
        </w:r>
      </w:hyperlink>
      <w:r w:rsidRPr="00742513">
        <w:rPr>
          <w:rFonts w:ascii="Times New Roman" w:hAnsi="Times New Roman" w:cs="Times New Roman"/>
          <w:sz w:val="16"/>
          <w:szCs w:val="16"/>
        </w:rPr>
        <w:t>&gt;</w:t>
      </w:r>
    </w:p>
  </w:footnote>
  <w:footnote w:id="49">
    <w:p w14:paraId="58375DAE" w14:textId="71685390" w:rsidR="00EC688C" w:rsidRPr="00742513" w:rsidRDefault="00EC688C" w:rsidP="007734C8">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Verslo finansavimo 2014–2020 metų Europos Sąjungos struktūrinių fondų lėšomis išankstinis vertinimas &lt; </w:t>
      </w:r>
      <w:hyperlink r:id="rId40" w:history="1">
        <w:r w:rsidRPr="00742513">
          <w:rPr>
            <w:rStyle w:val="Hipersaitas"/>
            <w:rFonts w:ascii="Times New Roman" w:hAnsi="Times New Roman" w:cs="Times New Roman"/>
            <w:sz w:val="16"/>
            <w:szCs w:val="16"/>
            <w:lang w:val="lt-LT"/>
          </w:rPr>
          <w:t>https://www.esinvesticijos.lt/lt/dokumentai/verslo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finansavimo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2014</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2020</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metu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europos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sajungos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strukturiniu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fondu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lesomis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isankstinis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vertinimas</w:t>
        </w:r>
      </w:hyperlink>
      <w:r w:rsidRPr="00742513">
        <w:rPr>
          <w:rFonts w:ascii="Times New Roman" w:hAnsi="Times New Roman" w:cs="Times New Roman"/>
          <w:sz w:val="16"/>
          <w:szCs w:val="16"/>
          <w:lang w:val="lt-LT"/>
        </w:rPr>
        <w:t>&gt;</w:t>
      </w:r>
    </w:p>
  </w:footnote>
  <w:footnote w:id="50">
    <w:p w14:paraId="731FB965" w14:textId="0AD09398" w:rsidR="00EC688C" w:rsidRPr="00742513" w:rsidRDefault="00EC688C" w:rsidP="007734C8">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Verslo finansavimo 2014–2020 metų Europos Sąjungos struktūrinių fondų lėšomis išankstinis vertinimas &lt; </w:t>
      </w:r>
      <w:hyperlink r:id="rId41" w:history="1">
        <w:r w:rsidRPr="00742513">
          <w:rPr>
            <w:rStyle w:val="Hipersaitas"/>
            <w:rFonts w:ascii="Times New Roman" w:hAnsi="Times New Roman" w:cs="Times New Roman"/>
            <w:sz w:val="16"/>
            <w:szCs w:val="16"/>
            <w:lang w:val="lt-LT"/>
          </w:rPr>
          <w:t>https://www.esinvesticijos.lt/lt/dokumentai/verslo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finansavimo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2014</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2020</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metu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europos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sajungos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strukturiniu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fondu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lesomis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isankstinis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vertinimas</w:t>
        </w:r>
      </w:hyperlink>
      <w:r w:rsidRPr="00742513">
        <w:rPr>
          <w:rFonts w:ascii="Times New Roman" w:hAnsi="Times New Roman" w:cs="Times New Roman"/>
          <w:sz w:val="16"/>
          <w:szCs w:val="16"/>
          <w:lang w:val="lt-LT"/>
        </w:rPr>
        <w:t>&gt;</w:t>
      </w:r>
    </w:p>
  </w:footnote>
  <w:footnote w:id="51">
    <w:p w14:paraId="52E783AB" w14:textId="262958A4" w:rsidR="00EC688C" w:rsidRPr="00742513" w:rsidRDefault="00EC688C" w:rsidP="00455F8E">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Verslo finansavimo 2014–2020 metų Europos Sąjungos struktūrinių fondų lėšomis išankstinis vertinimas &lt; </w:t>
      </w:r>
      <w:hyperlink r:id="rId42" w:history="1">
        <w:r w:rsidRPr="00742513">
          <w:rPr>
            <w:rStyle w:val="Hipersaitas"/>
            <w:rFonts w:ascii="Times New Roman" w:hAnsi="Times New Roman" w:cs="Times New Roman"/>
            <w:sz w:val="16"/>
            <w:szCs w:val="16"/>
            <w:lang w:val="lt-LT"/>
          </w:rPr>
          <w:t>https://www.esinvesticijos.lt/lt/dokumentai/verslo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finansavimo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2014</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2020</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metu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europos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sajungos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strukturiniu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fondu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lesomis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isankstinis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vertinimas</w:t>
        </w:r>
      </w:hyperlink>
      <w:r w:rsidRPr="00742513">
        <w:rPr>
          <w:rFonts w:ascii="Times New Roman" w:hAnsi="Times New Roman" w:cs="Times New Roman"/>
          <w:sz w:val="16"/>
          <w:szCs w:val="16"/>
          <w:lang w:val="lt-LT"/>
        </w:rPr>
        <w:t>&gt;</w:t>
      </w:r>
    </w:p>
  </w:footnote>
  <w:footnote w:id="52">
    <w:p w14:paraId="7D714550" w14:textId="261DB1B0" w:rsidR="00EC688C" w:rsidRPr="00742513" w:rsidRDefault="00EC688C" w:rsidP="00455F8E">
      <w:pPr>
        <w:pStyle w:val="Puslapioinaostekstas"/>
        <w:spacing w:after="0" w:line="240" w:lineRule="auto"/>
        <w:rPr>
          <w:rFonts w:ascii="Times New Roman" w:hAnsi="Times New Roman" w:cs="Times New Roman"/>
          <w:sz w:val="16"/>
          <w:szCs w:val="16"/>
          <w:lang w:val="lt-LT"/>
        </w:rPr>
      </w:pPr>
      <w:r w:rsidRPr="00742513">
        <w:rPr>
          <w:rFonts w:ascii="Times New Roman" w:hAnsi="Times New Roman" w:cs="Times New Roman"/>
          <w:sz w:val="16"/>
          <w:szCs w:val="16"/>
          <w:vertAlign w:val="superscript"/>
        </w:rPr>
        <w:footnoteRef/>
      </w:r>
      <w:r w:rsidRPr="00742513">
        <w:rPr>
          <w:rFonts w:ascii="Times New Roman" w:hAnsi="Times New Roman" w:cs="Times New Roman"/>
          <w:sz w:val="16"/>
          <w:szCs w:val="16"/>
          <w:lang w:val="lt-LT"/>
        </w:rPr>
        <w:t xml:space="preserve"> INVEGA</w:t>
      </w:r>
      <w:r w:rsidRPr="00742513">
        <w:rPr>
          <w:rFonts w:ascii="Times New Roman" w:hAnsi="Times New Roman" w:cs="Times New Roman"/>
          <w:sz w:val="16"/>
          <w:szCs w:val="16"/>
        </w:rPr>
        <w:fldChar w:fldCharType="begin"/>
      </w:r>
      <w:r w:rsidRPr="00742513">
        <w:rPr>
          <w:rFonts w:ascii="Times New Roman" w:hAnsi="Times New Roman" w:cs="Times New Roman"/>
          <w:sz w:val="16"/>
          <w:szCs w:val="16"/>
          <w:lang w:val="lt-LT"/>
        </w:rPr>
        <w:instrText xml:space="preserve"> "https://invega.lt/lt/invega-palukanu-kompensavimas-prieinamas-dar-platesniam-nuo-covid-19-nukentejusiu-imoniu-ir-verslininku-ratui/" </w:instrText>
      </w:r>
      <w:r w:rsidRPr="00742513">
        <w:rPr>
          <w:rFonts w:ascii="Times New Roman" w:hAnsi="Times New Roman" w:cs="Times New Roman"/>
          <w:sz w:val="16"/>
          <w:szCs w:val="16"/>
        </w:rPr>
        <w:fldChar w:fldCharType="separate"/>
      </w:r>
      <w:r w:rsidRPr="00742513">
        <w:rPr>
          <w:rFonts w:ascii="Times New Roman" w:hAnsi="Times New Roman" w:cs="Times New Roman"/>
          <w:sz w:val="16"/>
          <w:szCs w:val="16"/>
          <w:lang w:val="lt-LT"/>
        </w:rPr>
        <w:t>https://invega.lt/lt/invega-palukanu-kompensavimas-prieinamas-dar-platesniam-nuo-covid-19-nukentejusiu-imoniu-ir-verslininku-ratui/</w:t>
      </w:r>
      <w:r w:rsidRPr="00742513">
        <w:rPr>
          <w:rFonts w:ascii="Times New Roman" w:hAnsi="Times New Roman" w:cs="Times New Roman"/>
          <w:sz w:val="16"/>
          <w:szCs w:val="16"/>
        </w:rPr>
        <w:fldChar w:fldCharType="end"/>
      </w:r>
    </w:p>
  </w:footnote>
  <w:footnote w:id="53">
    <w:p w14:paraId="6C69FA0D" w14:textId="19A3D50B" w:rsidR="00EC688C" w:rsidRPr="00742513" w:rsidRDefault="00EC688C" w:rsidP="000B115B">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Nauja įmonė – iki 3 metų veikiantis SVV subjektas</w:t>
      </w:r>
    </w:p>
  </w:footnote>
  <w:footnote w:id="54">
    <w:p w14:paraId="23409A44" w14:textId="62D1F72E" w:rsidR="00EC688C" w:rsidRPr="00742513" w:rsidRDefault="00EC688C" w:rsidP="004C32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2020 m. rugsėjo – 2021 m. kovo mėn.</w:t>
      </w:r>
    </w:p>
  </w:footnote>
  <w:footnote w:id="55">
    <w:p w14:paraId="5ED66141" w14:textId="5942D575" w:rsidR="00EC688C" w:rsidRPr="00742513" w:rsidRDefault="00EC688C" w:rsidP="0091636C">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eastAsiaTheme="majorEastAsia"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2020 m. kovo 25 d. &lt;</w:t>
      </w:r>
      <w:r w:rsidRPr="00742513">
        <w:rPr>
          <w:rFonts w:ascii="Times New Roman" w:hAnsi="Times New Roman" w:cs="Times New Roman"/>
          <w:sz w:val="16"/>
          <w:szCs w:val="16"/>
          <w:lang w:val="de-AT"/>
        </w:rPr>
        <w:t xml:space="preserve"> </w:t>
      </w:r>
      <w:hyperlink r:id="rId43" w:history="1">
        <w:r w:rsidRPr="00742513">
          <w:rPr>
            <w:rStyle w:val="Hipersaitas"/>
            <w:rFonts w:ascii="Times New Roman" w:hAnsi="Times New Roman" w:cs="Times New Roman"/>
            <w:sz w:val="16"/>
            <w:szCs w:val="16"/>
            <w:lang w:val="lt-LT"/>
          </w:rPr>
          <w:t>https://www.esinvesticijos.lt/lt/dokumentai/verslo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finansavimo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2014</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2020</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metu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europos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sajungos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strukturiniu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fondu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lesomis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isankstinis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vertinimas</w:t>
        </w:r>
      </w:hyperlink>
      <w:r w:rsidRPr="00742513">
        <w:rPr>
          <w:rFonts w:ascii="Times New Roman" w:hAnsi="Times New Roman" w:cs="Times New Roman"/>
          <w:sz w:val="16"/>
          <w:szCs w:val="16"/>
          <w:lang w:val="lt-LT"/>
        </w:rPr>
        <w:t xml:space="preserve"> &gt;</w:t>
      </w:r>
    </w:p>
  </w:footnote>
  <w:footnote w:id="56">
    <w:p w14:paraId="615DDF8A" w14:textId="7403CEA7" w:rsidR="00EC688C" w:rsidRPr="00742513" w:rsidRDefault="00EC688C" w:rsidP="0091636C">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eastAsiaTheme="majorEastAsia" w:hAnsi="Times New Roman" w:cs="Times New Roman"/>
          <w:sz w:val="16"/>
          <w:szCs w:val="16"/>
        </w:rPr>
        <w:footnoteRef/>
      </w:r>
      <w:r w:rsidRPr="00742513">
        <w:rPr>
          <w:rFonts w:ascii="Times New Roman" w:hAnsi="Times New Roman" w:cs="Times New Roman"/>
          <w:sz w:val="16"/>
          <w:szCs w:val="16"/>
          <w:lang w:val="lt-LT"/>
        </w:rPr>
        <w:t xml:space="preserve"> Ko</w:t>
      </w:r>
      <w:r>
        <w:rPr>
          <w:rFonts w:ascii="Times New Roman" w:hAnsi="Times New Roman" w:cs="Times New Roman"/>
          <w:sz w:val="16"/>
          <w:szCs w:val="16"/>
          <w:lang w:val="lt-LT"/>
        </w:rPr>
        <w:t>–</w:t>
      </w:r>
      <w:r w:rsidRPr="00742513">
        <w:rPr>
          <w:rFonts w:ascii="Times New Roman" w:hAnsi="Times New Roman" w:cs="Times New Roman"/>
          <w:sz w:val="16"/>
          <w:szCs w:val="16"/>
          <w:lang w:val="lt-LT"/>
        </w:rPr>
        <w:t>investicinis fondas I yra finansuojamas iš grįžusių lėšų, todėl prioritetas skiriamas RKF, kurių investicijos yra finansuojamos iš ES SF lėšų.</w:t>
      </w:r>
    </w:p>
  </w:footnote>
  <w:footnote w:id="57">
    <w:p w14:paraId="7D7D04F8" w14:textId="086629D9" w:rsidR="00EC688C" w:rsidRPr="00742513" w:rsidRDefault="00EC688C" w:rsidP="00023650">
      <w:pPr>
        <w:pStyle w:val="Puslapioinaostekstas"/>
        <w:spacing w:after="0" w:line="240" w:lineRule="auto"/>
        <w:jc w:val="both"/>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Atliekant Vertinimą, buvo atlikta visų pagal ankstesniuose skyriuose įvardytas priemones pateiktų ir finansuotų paraiškų analizė, kiekvieną įmonę priskiriant Sostinės arba Vidurio ir Vakarų Lietuvos regionui. Analizė atlikta remiantis rekvizitai.lt ir esinvesticijos.lt duomenimis.</w:t>
      </w:r>
    </w:p>
  </w:footnote>
  <w:footnote w:id="58">
    <w:p w14:paraId="4CB3689E" w14:textId="243F980F" w:rsidR="00EC688C" w:rsidRPr="00742513" w:rsidRDefault="00EC688C" w:rsidP="00023650">
      <w:pPr>
        <w:pStyle w:val="Puslapioinaostekstas"/>
        <w:spacing w:after="0" w:line="240" w:lineRule="auto"/>
        <w:jc w:val="both"/>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Startup Lithuania &lt;</w:t>
      </w:r>
      <w:hyperlink r:id="rId44" w:history="1">
        <w:r w:rsidR="008A1D7D" w:rsidRPr="00A951A0">
          <w:rPr>
            <w:rStyle w:val="Hipersaitas"/>
            <w:rFonts w:ascii="Times New Roman" w:hAnsi="Times New Roman" w:cs="Times New Roman"/>
            <w:sz w:val="16"/>
            <w:szCs w:val="16"/>
            <w:lang w:val="lt-LT"/>
          </w:rPr>
          <w:t>https://www.vz.lt/paslaugos/2020/02/17/apklausa–startuoliai–palankiai–vertina–lietuvos–ekosistema–bet–stokoja–finansavimo</w:t>
        </w:r>
      </w:hyperlink>
      <w:r w:rsidRPr="00742513">
        <w:rPr>
          <w:rFonts w:ascii="Times New Roman" w:hAnsi="Times New Roman" w:cs="Times New Roman"/>
          <w:sz w:val="16"/>
          <w:szCs w:val="16"/>
          <w:lang w:val="lt-LT"/>
        </w:rPr>
        <w:t>&gt;</w:t>
      </w:r>
    </w:p>
  </w:footnote>
  <w:footnote w:id="59">
    <w:p w14:paraId="65ED9F11" w14:textId="1D125A33" w:rsidR="00EC688C" w:rsidRPr="00742513" w:rsidRDefault="00EC688C" w:rsidP="005F42FA">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Statistikos departamentas &lt;</w:t>
      </w:r>
      <w:r w:rsidRPr="00742513">
        <w:rPr>
          <w:rFonts w:ascii="Times New Roman" w:hAnsi="Times New Roman" w:cs="Times New Roman"/>
          <w:sz w:val="16"/>
          <w:szCs w:val="16"/>
          <w:lang w:val="de-AT"/>
        </w:rPr>
        <w:t xml:space="preserve"> </w:t>
      </w:r>
      <w:hyperlink r:id="rId45" w:history="1">
        <w:r w:rsidRPr="00742513">
          <w:rPr>
            <w:rStyle w:val="Hipersaitas"/>
            <w:rFonts w:ascii="Times New Roman" w:hAnsi="Times New Roman" w:cs="Times New Roman"/>
            <w:sz w:val="16"/>
            <w:szCs w:val="16"/>
            <w:lang w:val="lt-LT"/>
          </w:rPr>
          <w:t>https://osp.stat.gov.lt/spaudos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konferencija/2020</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01</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30/verslas/imones</w:t>
        </w:r>
      </w:hyperlink>
      <w:r w:rsidRPr="00742513">
        <w:rPr>
          <w:rFonts w:ascii="Times New Roman" w:hAnsi="Times New Roman" w:cs="Times New Roman"/>
          <w:sz w:val="16"/>
          <w:szCs w:val="16"/>
          <w:lang w:val="lt-LT"/>
        </w:rPr>
        <w:t xml:space="preserve"> &gt;</w:t>
      </w:r>
    </w:p>
  </w:footnote>
  <w:footnote w:id="60">
    <w:p w14:paraId="3F2D5733" w14:textId="3BB7FDEF" w:rsidR="00EC688C" w:rsidRPr="00742513" w:rsidRDefault="00EC688C" w:rsidP="00280FDF">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Lietuvos kaimo plėtros 2014–2020 m. programa &lt; </w:t>
      </w:r>
      <w:hyperlink r:id="rId46" w:history="1">
        <w:r w:rsidRPr="00742513">
          <w:rPr>
            <w:rStyle w:val="Hipersaitas"/>
            <w:rFonts w:ascii="Times New Roman" w:hAnsi="Times New Roman" w:cs="Times New Roman"/>
            <w:sz w:val="16"/>
            <w:szCs w:val="16"/>
            <w:lang w:val="lt-LT"/>
          </w:rPr>
          <w:t>https://zum.lrv.lt/lt/veiklos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sritys/lietuvos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kaimo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pletros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2014</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2020</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m</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programa</w:t>
        </w:r>
      </w:hyperlink>
      <w:r w:rsidRPr="00742513">
        <w:rPr>
          <w:rFonts w:ascii="Times New Roman" w:hAnsi="Times New Roman" w:cs="Times New Roman"/>
          <w:sz w:val="16"/>
          <w:szCs w:val="16"/>
          <w:lang w:val="lt-LT"/>
        </w:rPr>
        <w:t xml:space="preserve"> &gt;</w:t>
      </w:r>
    </w:p>
  </w:footnote>
  <w:footnote w:id="61">
    <w:p w14:paraId="49771F23" w14:textId="77777777" w:rsidR="00EC688C" w:rsidRPr="00742513" w:rsidRDefault="00EC688C" w:rsidP="00280FDF">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Čia ir aukščiau šaltinis: nma.lt</w:t>
      </w:r>
    </w:p>
  </w:footnote>
  <w:footnote w:id="62">
    <w:p w14:paraId="21CAA7F3" w14:textId="7729582F" w:rsidR="00EC688C" w:rsidRPr="00742513" w:rsidRDefault="00EC688C" w:rsidP="00F01F6B">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LVPA &lt;</w:t>
      </w:r>
      <w:r w:rsidRPr="00742513">
        <w:rPr>
          <w:rFonts w:ascii="Times New Roman" w:hAnsi="Times New Roman" w:cs="Times New Roman"/>
          <w:sz w:val="16"/>
          <w:szCs w:val="16"/>
          <w:lang w:val="de-AT"/>
        </w:rPr>
        <w:t xml:space="preserve"> </w:t>
      </w:r>
      <w:hyperlink r:id="rId47" w:history="1">
        <w:r w:rsidRPr="00742513">
          <w:rPr>
            <w:rStyle w:val="Hipersaitas"/>
            <w:rFonts w:ascii="Times New Roman" w:hAnsi="Times New Roman" w:cs="Times New Roman"/>
            <w:sz w:val="16"/>
            <w:szCs w:val="16"/>
            <w:lang w:val="lt-LT"/>
          </w:rPr>
          <w:t>http://lvpa.lt/lt/naujienos/smart</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fdi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3</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paraiskose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prasoma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lesu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suma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dvigubai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virsijo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numatytaja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kvietime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1308</w:t>
        </w:r>
      </w:hyperlink>
      <w:r w:rsidRPr="00742513">
        <w:rPr>
          <w:rFonts w:ascii="Times New Roman" w:hAnsi="Times New Roman" w:cs="Times New Roman"/>
          <w:sz w:val="16"/>
          <w:szCs w:val="16"/>
          <w:lang w:val="lt-LT"/>
        </w:rPr>
        <w:t xml:space="preserve"> &gt;</w:t>
      </w:r>
    </w:p>
  </w:footnote>
  <w:footnote w:id="63">
    <w:p w14:paraId="7699D770" w14:textId="77777777" w:rsidR="00EC688C" w:rsidRPr="00742513" w:rsidRDefault="00EC688C" w:rsidP="00F01F6B">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2 paraiškos buvo pateiktos to pačio pareiškėjo su tuo pačiu projekto pavadinimu, tačiau viena iš jų buvo atsiimta.</w:t>
      </w:r>
    </w:p>
  </w:footnote>
  <w:footnote w:id="64">
    <w:p w14:paraId="06EACC71" w14:textId="77777777" w:rsidR="00EC688C" w:rsidRPr="00742513" w:rsidRDefault="00EC688C" w:rsidP="00F01F6B">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Kiti vertinimai: 2014–2020 m. Europos sąjungos fondų Investicijų veiksmų programos 1 prioriteto „Mokslinių tyrimų, eksperimentinės plėtros ir inovacijų skatinimas“ poveikio vertinimo galutinė ataskaita &lt;</w:t>
      </w:r>
      <w:hyperlink r:id="rId48" w:history="1">
        <w:r w:rsidRPr="00742513">
          <w:rPr>
            <w:rStyle w:val="Hipersaitas"/>
            <w:rFonts w:ascii="Times New Roman" w:hAnsi="Times New Roman" w:cs="Times New Roman"/>
            <w:sz w:val="16"/>
            <w:szCs w:val="16"/>
            <w:lang w:val="lt-LT"/>
          </w:rPr>
          <w:t>https://www.esinvesticijos.lt/media/force_download/?url=/uploads/main/documents/docs/108660_3696cd442a5717ad8b91f0c040f62b98.pdf</w:t>
        </w:r>
      </w:hyperlink>
      <w:r w:rsidRPr="00742513">
        <w:rPr>
          <w:rFonts w:ascii="Times New Roman" w:hAnsi="Times New Roman" w:cs="Times New Roman"/>
          <w:sz w:val="16"/>
          <w:szCs w:val="16"/>
          <w:lang w:val="lt-LT"/>
        </w:rPr>
        <w:t>&gt;; Lietuvos ūkio sektorių finansavimo po 2020 m. vertinimas: Mokslas, technologijos ir inovacijos</w:t>
      </w:r>
    </w:p>
  </w:footnote>
  <w:footnote w:id="65">
    <w:p w14:paraId="78B1BC20" w14:textId="6B672A83" w:rsidR="00EC688C" w:rsidRPr="00742513" w:rsidRDefault="00EC688C" w:rsidP="00F01F6B">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Statistikos departamentas &lt;</w:t>
      </w:r>
      <w:r w:rsidRPr="00742513">
        <w:rPr>
          <w:rFonts w:ascii="Times New Roman" w:hAnsi="Times New Roman" w:cs="Times New Roman"/>
          <w:sz w:val="16"/>
          <w:szCs w:val="16"/>
          <w:lang w:val="de-AT"/>
        </w:rPr>
        <w:t xml:space="preserve"> </w:t>
      </w:r>
      <w:hyperlink r:id="rId49" w:anchor="/" w:history="1">
        <w:r w:rsidRPr="00742513">
          <w:rPr>
            <w:rStyle w:val="Hipersaitas"/>
            <w:rFonts w:ascii="Times New Roman" w:hAnsi="Times New Roman" w:cs="Times New Roman"/>
            <w:sz w:val="16"/>
            <w:szCs w:val="16"/>
            <w:lang w:val="lt-LT"/>
          </w:rPr>
          <w:t>https://osp.stat.gov.lt/statistiniu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rodikliu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analize?hash=284c5ff9</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f0a6</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484f</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8f36</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0fe5c3375fff#/</w:t>
        </w:r>
      </w:hyperlink>
      <w:r w:rsidRPr="00742513">
        <w:rPr>
          <w:rFonts w:ascii="Times New Roman" w:hAnsi="Times New Roman" w:cs="Times New Roman"/>
          <w:sz w:val="16"/>
          <w:szCs w:val="16"/>
          <w:lang w:val="lt-LT"/>
        </w:rPr>
        <w:t xml:space="preserve"> &gt;</w:t>
      </w:r>
    </w:p>
  </w:footnote>
  <w:footnote w:id="66">
    <w:p w14:paraId="558B16DA" w14:textId="1DA6913C" w:rsidR="00EC688C" w:rsidRPr="00742513" w:rsidRDefault="00EC688C" w:rsidP="00F01F6B">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lang w:val="lt-LT"/>
        </w:rPr>
        <w:footnoteRef/>
      </w:r>
      <w:r w:rsidRPr="00742513">
        <w:rPr>
          <w:rFonts w:ascii="Times New Roman" w:hAnsi="Times New Roman" w:cs="Times New Roman"/>
          <w:sz w:val="16"/>
          <w:szCs w:val="16"/>
          <w:lang w:val="lt-LT"/>
        </w:rPr>
        <w:t xml:space="preserve"> VšĮ „Investuok Lietuvoje“ &lt;</w:t>
      </w:r>
      <w:hyperlink r:id="rId50" w:history="1">
        <w:r w:rsidRPr="00742513">
          <w:rPr>
            <w:rStyle w:val="Hipersaitas"/>
            <w:rFonts w:ascii="Times New Roman" w:hAnsi="Times New Roman" w:cs="Times New Roman"/>
            <w:sz w:val="16"/>
            <w:szCs w:val="16"/>
            <w:lang w:val="lt-LT"/>
          </w:rPr>
          <w:t>https://investlithuania.com/wp</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content/uploads/2019/04/LEZ</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Lietuvoje.pdf</w:t>
        </w:r>
      </w:hyperlink>
      <w:r w:rsidRPr="00742513">
        <w:rPr>
          <w:rStyle w:val="Hipersaitas"/>
          <w:rFonts w:ascii="Times New Roman" w:hAnsi="Times New Roman" w:cs="Times New Roman"/>
          <w:sz w:val="16"/>
          <w:szCs w:val="16"/>
          <w:lang w:val="lt-LT"/>
        </w:rPr>
        <w:t>&gt;</w:t>
      </w:r>
    </w:p>
  </w:footnote>
  <w:footnote w:id="67">
    <w:p w14:paraId="1C66FAC2" w14:textId="77777777" w:rsidR="00EC688C" w:rsidRPr="00742513" w:rsidRDefault="00EC688C" w:rsidP="00280FDF">
      <w:pPr>
        <w:pStyle w:val="Puslapioinaostekstas"/>
        <w:spacing w:after="0" w:line="240" w:lineRule="auto"/>
        <w:jc w:val="both"/>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Atliekant Vertinimą, buvo atlikta visų pagal ankstesniuose skyriuose įvardintas priemones pateiktų ir finansuotų paraiškų analizė, kiekvieną įmonę priskiriant Sostinės arba Vidurio ir Vakarų Lietuvos regionui. Analizė atlikta remiantis rekvizitai.lt ir esinvesticijos.lt duomenimis.</w:t>
      </w:r>
    </w:p>
  </w:footnote>
  <w:footnote w:id="68">
    <w:p w14:paraId="35AEA0CB" w14:textId="3B37146F" w:rsidR="00EC688C" w:rsidRPr="00742513" w:rsidRDefault="00EC688C" w:rsidP="00280FDF">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LVPA &lt; </w:t>
      </w:r>
      <w:hyperlink r:id="rId51" w:history="1">
        <w:r w:rsidRPr="00742513">
          <w:rPr>
            <w:rStyle w:val="Hipersaitas"/>
            <w:rFonts w:ascii="Times New Roman" w:hAnsi="Times New Roman" w:cs="Times New Roman"/>
            <w:sz w:val="16"/>
            <w:szCs w:val="16"/>
            <w:lang w:val="lt-LT"/>
          </w:rPr>
          <w:t>http://lvpa.lt/lt/naujienos/lietuva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ant</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ekorevoliucijos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slenkscio.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kada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ji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perzengsime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1168</w:t>
        </w:r>
      </w:hyperlink>
      <w:r w:rsidRPr="00742513">
        <w:rPr>
          <w:rFonts w:ascii="Times New Roman" w:hAnsi="Times New Roman" w:cs="Times New Roman"/>
          <w:sz w:val="16"/>
          <w:szCs w:val="16"/>
          <w:lang w:val="lt-LT"/>
        </w:rPr>
        <w:t xml:space="preserve"> &gt;</w:t>
      </w:r>
    </w:p>
  </w:footnote>
  <w:footnote w:id="69">
    <w:p w14:paraId="075B6E0E" w14:textId="606C2E97" w:rsidR="00EC688C" w:rsidRPr="00742513" w:rsidRDefault="00EC688C" w:rsidP="00280FDF">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de-DE"/>
        </w:rPr>
        <w:t>Nacionalinis energetikos ir klimato srities veiksmų planas 2021</w:t>
      </w:r>
      <w:r w:rsidRPr="00742513">
        <w:rPr>
          <w:rFonts w:ascii="Times New Roman" w:hAnsi="Times New Roman" w:cs="Times New Roman"/>
          <w:sz w:val="16"/>
          <w:szCs w:val="16"/>
          <w:lang w:val="de-AT"/>
        </w:rPr>
        <w:t>–</w:t>
      </w:r>
      <w:r w:rsidRPr="00742513">
        <w:rPr>
          <w:rFonts w:ascii="Times New Roman" w:hAnsi="Times New Roman" w:cs="Times New Roman"/>
          <w:sz w:val="16"/>
          <w:szCs w:val="16"/>
          <w:lang w:val="de-DE"/>
        </w:rPr>
        <w:t>2030 m. &lt;</w:t>
      </w:r>
      <w:r w:rsidRPr="00742513">
        <w:rPr>
          <w:rFonts w:ascii="Times New Roman" w:hAnsi="Times New Roman" w:cs="Times New Roman"/>
          <w:sz w:val="16"/>
          <w:szCs w:val="16"/>
          <w:lang w:val="de-AT"/>
        </w:rPr>
        <w:t xml:space="preserve"> </w:t>
      </w:r>
      <w:hyperlink r:id="rId52" w:history="1">
        <w:r w:rsidRPr="00742513">
          <w:rPr>
            <w:rStyle w:val="Hipersaitas"/>
            <w:rFonts w:ascii="Times New Roman" w:hAnsi="Times New Roman" w:cs="Times New Roman"/>
            <w:sz w:val="16"/>
            <w:szCs w:val="16"/>
            <w:lang w:val="de-DE"/>
          </w:rPr>
          <w:t>https://am.lrv.lt/lt/veiklos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sritys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1/klimato</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kaita/nacionalinis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energetikos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ir</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klimato</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srities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veiksmu</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planas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2021</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2030</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m</w:t>
        </w:r>
      </w:hyperlink>
      <w:r w:rsidRPr="00742513">
        <w:rPr>
          <w:rFonts w:ascii="Times New Roman" w:hAnsi="Times New Roman" w:cs="Times New Roman"/>
          <w:sz w:val="16"/>
          <w:szCs w:val="16"/>
          <w:lang w:val="de-DE"/>
        </w:rPr>
        <w:t xml:space="preserve"> &gt;</w:t>
      </w:r>
    </w:p>
  </w:footnote>
  <w:footnote w:id="70">
    <w:p w14:paraId="0B7EAF6B" w14:textId="308C04AE" w:rsidR="00EC688C" w:rsidRPr="00742513" w:rsidRDefault="00EC688C" w:rsidP="00FF6FD4">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w:t>
      </w:r>
      <w:r w:rsidRPr="00742513">
        <w:rPr>
          <w:rFonts w:ascii="Times New Roman" w:hAnsi="Times New Roman" w:cs="Times New Roman"/>
          <w:i/>
          <w:iCs/>
          <w:sz w:val="16"/>
          <w:szCs w:val="16"/>
          <w:lang w:val="lt-LT"/>
        </w:rPr>
        <w:t>esinvesticijos.lt</w:t>
      </w:r>
      <w:r w:rsidRPr="00742513">
        <w:rPr>
          <w:rFonts w:ascii="Times New Roman" w:hAnsi="Times New Roman" w:cs="Times New Roman"/>
          <w:sz w:val="16"/>
          <w:szCs w:val="16"/>
          <w:lang w:val="lt-LT"/>
        </w:rPr>
        <w:t xml:space="preserve"> informacija &lt; </w:t>
      </w:r>
      <w:hyperlink r:id="rId53" w:history="1">
        <w:r w:rsidRPr="00742513">
          <w:rPr>
            <w:rStyle w:val="Hipersaitas"/>
            <w:rFonts w:ascii="Times New Roman" w:hAnsi="Times New Roman" w:cs="Times New Roman"/>
            <w:sz w:val="16"/>
            <w:szCs w:val="16"/>
            <w:lang w:val="lt-LT"/>
          </w:rPr>
          <w:t>https://www.esinvesticijos.lt/lt/dokumentai//veiksmu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programos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3</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prioriteto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smulkiojo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ir</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vidutinio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verslo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konkurencingumo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skatinimas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poveikio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vertinimas</w:t>
        </w:r>
      </w:hyperlink>
      <w:r w:rsidRPr="00742513">
        <w:rPr>
          <w:rFonts w:ascii="Times New Roman" w:hAnsi="Times New Roman" w:cs="Times New Roman"/>
          <w:sz w:val="16"/>
          <w:szCs w:val="16"/>
          <w:lang w:val="lt-LT"/>
        </w:rPr>
        <w:t xml:space="preserve"> &gt;</w:t>
      </w:r>
    </w:p>
  </w:footnote>
  <w:footnote w:id="71">
    <w:p w14:paraId="6266BF63" w14:textId="35265BB3" w:rsidR="00EC688C" w:rsidRPr="00742513" w:rsidRDefault="00EC688C" w:rsidP="00F01F6B">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DE"/>
        </w:rPr>
        <w:t xml:space="preserve"> </w:t>
      </w:r>
      <w:r w:rsidRPr="00742513">
        <w:rPr>
          <w:rFonts w:ascii="Times New Roman" w:hAnsi="Times New Roman" w:cs="Times New Roman"/>
          <w:sz w:val="16"/>
          <w:szCs w:val="16"/>
          <w:lang w:val="lt-LT"/>
        </w:rPr>
        <w:t>LVPA &lt;</w:t>
      </w:r>
      <w:r w:rsidRPr="00742513">
        <w:rPr>
          <w:rFonts w:ascii="Times New Roman" w:hAnsi="Times New Roman" w:cs="Times New Roman"/>
          <w:sz w:val="16"/>
          <w:szCs w:val="16"/>
          <w:lang w:val="de-DE"/>
        </w:rPr>
        <w:t xml:space="preserve"> </w:t>
      </w:r>
      <w:hyperlink r:id="rId54" w:history="1">
        <w:r w:rsidRPr="00742513">
          <w:rPr>
            <w:rStyle w:val="Hipersaitas"/>
            <w:rFonts w:ascii="Times New Roman" w:hAnsi="Times New Roman" w:cs="Times New Roman"/>
            <w:sz w:val="16"/>
            <w:szCs w:val="16"/>
            <w:lang w:val="lt-LT"/>
          </w:rPr>
          <w:t>http://lvpa.lt/lt/naujienos/es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lesos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verslo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skaitmeninimui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rekomenduojama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skirti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60</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mln.</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euru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1280</w:t>
        </w:r>
      </w:hyperlink>
      <w:r w:rsidRPr="00742513">
        <w:rPr>
          <w:rFonts w:ascii="Times New Roman" w:hAnsi="Times New Roman" w:cs="Times New Roman"/>
          <w:sz w:val="16"/>
          <w:szCs w:val="16"/>
          <w:lang w:val="lt-LT"/>
        </w:rPr>
        <w:t xml:space="preserve"> &gt;</w:t>
      </w:r>
    </w:p>
  </w:footnote>
  <w:footnote w:id="72">
    <w:p w14:paraId="2A3C1874" w14:textId="77777777" w:rsidR="00EC688C" w:rsidRPr="00B9096C" w:rsidRDefault="00EC688C" w:rsidP="0062120C">
      <w:pPr>
        <w:pStyle w:val="Puslapioinaostekstas"/>
        <w:spacing w:after="0" w:line="240" w:lineRule="auto"/>
        <w:rPr>
          <w:rFonts w:ascii="Times New Roman" w:hAnsi="Times New Roman" w:cs="Times New Roman"/>
          <w:lang w:val="lt-LT"/>
        </w:rPr>
      </w:pPr>
      <w:r w:rsidRPr="00B9096C">
        <w:rPr>
          <w:rStyle w:val="Puslapioinaosnuoroda"/>
          <w:rFonts w:ascii="Times New Roman" w:hAnsi="Times New Roman" w:cs="Times New Roman"/>
          <w:sz w:val="16"/>
        </w:rPr>
        <w:footnoteRef/>
      </w:r>
      <w:r w:rsidRPr="00B9096C">
        <w:rPr>
          <w:rFonts w:ascii="Times New Roman" w:hAnsi="Times New Roman" w:cs="Times New Roman"/>
          <w:sz w:val="16"/>
          <w:lang w:val="lt-LT"/>
        </w:rPr>
        <w:t xml:space="preserve"> Biotechnologijų srities apklausos buvo vykdomos du kartus: liepos – rugpjūčio mėn. ir pakartotinai rugsėjo mėn. Atitinkamai buvo sulaukta 17 ir 15 atsakymų kiekvienos apklausos metu.</w:t>
      </w:r>
    </w:p>
  </w:footnote>
  <w:footnote w:id="73">
    <w:p w14:paraId="0B3BC017" w14:textId="0D0B54F2" w:rsidR="00D54300" w:rsidRPr="005865E3" w:rsidRDefault="00D54300" w:rsidP="00D54300">
      <w:pPr>
        <w:pStyle w:val="Puslapioinaostekstas"/>
        <w:rPr>
          <w:lang w:val="lt-LT"/>
        </w:rPr>
      </w:pPr>
      <w:r w:rsidRPr="005865E3">
        <w:rPr>
          <w:rStyle w:val="Puslapioinaosnuoroda"/>
          <w:sz w:val="16"/>
          <w:szCs w:val="16"/>
        </w:rPr>
        <w:footnoteRef/>
      </w:r>
      <w:r w:rsidRPr="005865E3">
        <w:rPr>
          <w:sz w:val="16"/>
          <w:szCs w:val="16"/>
        </w:rPr>
        <w:t xml:space="preserve"> Finansinių priemonių panaudojimo galimybių ir poreikio gynybos pramonės sektoriuje išankstinis vertinimas</w:t>
      </w:r>
      <w:r>
        <w:rPr>
          <w:sz w:val="16"/>
          <w:szCs w:val="16"/>
        </w:rPr>
        <w:t xml:space="preserve"> </w:t>
      </w:r>
      <w:r w:rsidR="008755B7">
        <w:rPr>
          <w:sz w:val="16"/>
          <w:szCs w:val="16"/>
        </w:rPr>
        <w:t>&lt;</w:t>
      </w:r>
      <w:r w:rsidR="00F73AA2" w:rsidRPr="00F73AA2">
        <w:t xml:space="preserve"> </w:t>
      </w:r>
      <w:r w:rsidR="00F73AA2" w:rsidRPr="00F73AA2">
        <w:rPr>
          <w:sz w:val="16"/>
          <w:szCs w:val="16"/>
        </w:rPr>
        <w:t>https://finmin.lrv.lt/uploads/finmin/documents/files/KAM_ex-ante_keitimas_2022%2008%2003_svari.pdf</w:t>
      </w:r>
      <w:r w:rsidR="00F73AA2">
        <w:rPr>
          <w:sz w:val="16"/>
          <w:szCs w:val="16"/>
        </w:rPr>
        <w:t>&gt;</w:t>
      </w:r>
    </w:p>
  </w:footnote>
  <w:footnote w:id="74">
    <w:p w14:paraId="5D32463D" w14:textId="52F2C732" w:rsidR="00EC688C" w:rsidRPr="00742513" w:rsidRDefault="00EC688C" w:rsidP="00D12B54">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Veiksmų programos 3 prioriteto „Smulkiojo ir vidutinio verslo konkurencingumo skatinimas“ poveikio vertinimas</w:t>
      </w:r>
      <w:r w:rsidRPr="00742513">
        <w:rPr>
          <w:rStyle w:val="Puslapioinaosnuoroda"/>
          <w:rFonts w:ascii="Times New Roman" w:hAnsi="Times New Roman" w:cs="Times New Roman"/>
          <w:sz w:val="16"/>
          <w:szCs w:val="16"/>
          <w:vertAlign w:val="baseline"/>
          <w:lang w:val="lt-LT"/>
        </w:rPr>
        <w:t xml:space="preserve"> </w:t>
      </w:r>
      <w:r w:rsidRPr="00742513">
        <w:rPr>
          <w:rFonts w:ascii="Times New Roman" w:hAnsi="Times New Roman" w:cs="Times New Roman"/>
          <w:sz w:val="16"/>
          <w:szCs w:val="16"/>
          <w:lang w:val="lt-LT"/>
        </w:rPr>
        <w:t xml:space="preserve">&lt; </w:t>
      </w:r>
      <w:hyperlink r:id="rId55" w:history="1">
        <w:r w:rsidRPr="00742513">
          <w:rPr>
            <w:rStyle w:val="Hipersaitas"/>
            <w:rFonts w:ascii="Times New Roman" w:hAnsi="Times New Roman" w:cs="Times New Roman"/>
            <w:sz w:val="16"/>
            <w:szCs w:val="16"/>
            <w:lang w:val="lt-LT"/>
          </w:rPr>
          <w:t>https://www.esinvesticijos.lt/lt/dokumentai//veiksmu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programos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3</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prioriteto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smulkiojo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ir</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vidutinio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verslo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konkurencingumo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skatinimas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poveikio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vertinimas</w:t>
        </w:r>
      </w:hyperlink>
      <w:r w:rsidRPr="00742513">
        <w:rPr>
          <w:rFonts w:ascii="Times New Roman" w:hAnsi="Times New Roman" w:cs="Times New Roman"/>
          <w:sz w:val="16"/>
          <w:szCs w:val="16"/>
          <w:lang w:val="lt-LT"/>
        </w:rPr>
        <w:t xml:space="preserve"> &gt;</w:t>
      </w:r>
    </w:p>
  </w:footnote>
  <w:footnote w:id="75">
    <w:p w14:paraId="1E253970" w14:textId="77777777" w:rsidR="00EC688C" w:rsidRPr="00742513" w:rsidRDefault="00EC688C" w:rsidP="00F65929">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fr-FR"/>
        </w:rPr>
        <w:t xml:space="preserve"> </w:t>
      </w:r>
      <w:r w:rsidRPr="00742513">
        <w:rPr>
          <w:rFonts w:ascii="Times New Roman" w:hAnsi="Times New Roman" w:cs="Times New Roman"/>
          <w:sz w:val="16"/>
          <w:szCs w:val="16"/>
          <w:lang w:val="lt-LT"/>
        </w:rPr>
        <w:t>Remiantis Ekonomikos ir inovacijų ministerijos pateiktais duomenimis</w:t>
      </w:r>
    </w:p>
  </w:footnote>
  <w:footnote w:id="76">
    <w:p w14:paraId="0243DC54" w14:textId="771FEA94" w:rsidR="000C6FDC" w:rsidRPr="00742513" w:rsidRDefault="000C6FDC" w:rsidP="00F65929">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MTEPI veikloms Vidurio ir Vakarų Lietuvos regione</w:t>
      </w:r>
    </w:p>
  </w:footnote>
  <w:footnote w:id="77">
    <w:p w14:paraId="07CB601F" w14:textId="35CB0DB4" w:rsidR="000C6FDC" w:rsidRPr="00742513" w:rsidRDefault="000C6FDC" w:rsidP="00F65929">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Vidurio ir Vakarų Lietuvos regione</w:t>
      </w:r>
    </w:p>
  </w:footnote>
  <w:footnote w:id="78">
    <w:p w14:paraId="2767C4A7" w14:textId="77777777" w:rsidR="000C6FDC" w:rsidRPr="00742513" w:rsidRDefault="000C6FDC" w:rsidP="00905C53">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MTEPI veikloms Vidurio ir Vakarų Lietuvos regione</w:t>
      </w:r>
    </w:p>
  </w:footnote>
  <w:footnote w:id="79">
    <w:p w14:paraId="214763DB" w14:textId="7E3A913F" w:rsidR="000C6FDC" w:rsidRPr="00742513" w:rsidRDefault="000C6FDC" w:rsidP="00F65929">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MTEPI veikloms Vidurio ir Vakarų Lietuvos regione</w:t>
      </w:r>
    </w:p>
  </w:footnote>
  <w:footnote w:id="80">
    <w:p w14:paraId="0EF9AD54" w14:textId="77777777" w:rsidR="000C6FDC" w:rsidRPr="00742513" w:rsidRDefault="000C6FDC" w:rsidP="00481FA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Vidurio ir Vakarų Lietuvos regione</w:t>
      </w:r>
    </w:p>
  </w:footnote>
  <w:footnote w:id="81">
    <w:p w14:paraId="6D6EF58F" w14:textId="31D0C5AE" w:rsidR="000C6FDC" w:rsidRPr="00742513" w:rsidRDefault="000C6FDC" w:rsidP="00BF4C2D">
      <w:pPr>
        <w:pStyle w:val="Puslapioinaostekstas"/>
        <w:spacing w:after="0"/>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Vidurio ir Vakarų Lietuvos regione</w:t>
      </w:r>
    </w:p>
  </w:footnote>
  <w:footnote w:id="82">
    <w:p w14:paraId="33C983BF" w14:textId="77777777" w:rsidR="000C6FDC" w:rsidRPr="00742513" w:rsidRDefault="000C6FDC" w:rsidP="00114EF5">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Vidurio ir Vakarų Lietuvos regione</w:t>
      </w:r>
    </w:p>
  </w:footnote>
  <w:footnote w:id="83">
    <w:p w14:paraId="1023DDD8" w14:textId="77777777" w:rsidR="000C6FDC" w:rsidRPr="00742513" w:rsidRDefault="000C6FDC" w:rsidP="00481FA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en-US"/>
        </w:rPr>
        <w:t xml:space="preserve"> </w:t>
      </w:r>
      <w:r w:rsidRPr="00742513">
        <w:rPr>
          <w:rFonts w:ascii="Times New Roman" w:hAnsi="Times New Roman" w:cs="Times New Roman"/>
          <w:sz w:val="16"/>
          <w:szCs w:val="16"/>
          <w:lang w:val="lt-LT"/>
        </w:rPr>
        <w:t>Vidurio ir Vakarų Lietuvos regione</w:t>
      </w:r>
    </w:p>
  </w:footnote>
  <w:footnote w:id="84">
    <w:p w14:paraId="5D91D1E4" w14:textId="21633D50" w:rsidR="00EC688C" w:rsidRPr="00742513" w:rsidRDefault="00EC688C" w:rsidP="00EA48E6">
      <w:pPr>
        <w:pStyle w:val="Puslapioinaostekstas"/>
        <w:spacing w:after="0" w:line="240" w:lineRule="auto"/>
        <w:rPr>
          <w:rFonts w:ascii="Times New Roman" w:hAnsi="Times New Roman" w:cs="Times New Roman"/>
          <w:sz w:val="16"/>
          <w:szCs w:val="16"/>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rPr>
        <w:t xml:space="preserve"> Policy brief on incubators and accelerators that support inclusive entrepreneurship &lt; </w:t>
      </w:r>
      <w:hyperlink r:id="rId56" w:history="1">
        <w:r w:rsidRPr="00742513">
          <w:rPr>
            <w:rStyle w:val="Hipersaitas"/>
            <w:rFonts w:ascii="Times New Roman" w:hAnsi="Times New Roman" w:cs="Times New Roman"/>
            <w:sz w:val="16"/>
            <w:szCs w:val="16"/>
          </w:rPr>
          <w:t>https://ec.europa.eu/social/main.jsp?catId=738&amp;langId=en&amp;pubId=8205</w:t>
        </w:r>
      </w:hyperlink>
      <w:r w:rsidRPr="00742513">
        <w:rPr>
          <w:rFonts w:ascii="Times New Roman" w:hAnsi="Times New Roman" w:cs="Times New Roman"/>
          <w:sz w:val="16"/>
          <w:szCs w:val="16"/>
        </w:rPr>
        <w:t xml:space="preserve"> &gt;</w:t>
      </w:r>
    </w:p>
  </w:footnote>
  <w:footnote w:id="85">
    <w:p w14:paraId="64BB5A4D" w14:textId="328D60F4" w:rsidR="00EC688C" w:rsidRPr="00742513" w:rsidRDefault="00EC688C" w:rsidP="00F858B8">
      <w:pPr>
        <w:pStyle w:val="Puslapioinaostekstas"/>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rPr>
        <w:t xml:space="preserve"> </w:t>
      </w:r>
      <w:hyperlink r:id="rId57" w:history="1">
        <w:r w:rsidRPr="00742513">
          <w:rPr>
            <w:rStyle w:val="Hipersaitas"/>
            <w:rFonts w:ascii="Times New Roman" w:hAnsi="Times New Roman" w:cs="Times New Roman"/>
            <w:sz w:val="16"/>
            <w:szCs w:val="16"/>
          </w:rPr>
          <w:t>https://www.lb.lt/lt/konsultacijos/smulkiojo</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ir</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vidutinio</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verslo</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finansavimo</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galimybiu</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tyrimas</w:t>
        </w:r>
      </w:hyperlink>
      <w:r w:rsidRPr="00742513">
        <w:rPr>
          <w:rFonts w:ascii="Times New Roman" w:hAnsi="Times New Roman" w:cs="Times New Roman"/>
          <w:sz w:val="16"/>
          <w:szCs w:val="16"/>
        </w:rPr>
        <w:t xml:space="preserve"> </w:t>
      </w:r>
    </w:p>
  </w:footnote>
  <w:footnote w:id="86">
    <w:p w14:paraId="02841883" w14:textId="12F6718F" w:rsidR="00EC688C" w:rsidRPr="00742513" w:rsidRDefault="00EC688C" w:rsidP="00F858B8">
      <w:pPr>
        <w:pStyle w:val="Puslapioinaostekstas"/>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w:t>
      </w:r>
      <w:hyperlink r:id="rId58" w:history="1">
        <w:r w:rsidRPr="00742513">
          <w:rPr>
            <w:rStyle w:val="Hipersaitas"/>
            <w:rFonts w:ascii="Times New Roman" w:hAnsi="Times New Roman" w:cs="Times New Roman"/>
            <w:sz w:val="16"/>
            <w:szCs w:val="16"/>
            <w:lang w:val="lt-LT"/>
          </w:rPr>
          <w:t>https://www.lb.lt/lt/naujienos/indeliu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ir</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paskolu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palukanu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normu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palyginimas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lietuva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ir</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euro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zona</w:t>
        </w:r>
      </w:hyperlink>
      <w:r w:rsidRPr="00742513">
        <w:rPr>
          <w:rFonts w:ascii="Times New Roman" w:hAnsi="Times New Roman" w:cs="Times New Roman"/>
          <w:sz w:val="16"/>
          <w:szCs w:val="16"/>
          <w:lang w:val="lt-LT"/>
        </w:rPr>
        <w:t xml:space="preserve"> </w:t>
      </w:r>
    </w:p>
  </w:footnote>
  <w:footnote w:id="87">
    <w:p w14:paraId="4CE67824" w14:textId="03F38C68" w:rsidR="00EC688C" w:rsidRPr="00742513" w:rsidRDefault="00EC688C">
      <w:pPr>
        <w:pStyle w:val="Puslapioinaostekstas"/>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rPr>
        <w:t xml:space="preserve"> </w:t>
      </w:r>
      <w:r w:rsidRPr="00742513">
        <w:rPr>
          <w:rFonts w:ascii="Times New Roman" w:hAnsi="Times New Roman" w:cs="Times New Roman"/>
          <w:sz w:val="16"/>
          <w:szCs w:val="16"/>
          <w:lang w:val="lt-LT"/>
        </w:rPr>
        <w:t>Remiantis interviu su kredito įstaigomis medžiaga.</w:t>
      </w:r>
    </w:p>
  </w:footnote>
  <w:footnote w:id="88">
    <w:p w14:paraId="0BF715B3" w14:textId="076AADC5" w:rsidR="00EC688C" w:rsidRPr="00742513" w:rsidRDefault="00EC688C" w:rsidP="007734C8">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9139E5">
        <w:rPr>
          <w:rFonts w:ascii="Times New Roman" w:hAnsi="Times New Roman" w:cs="Times New Roman"/>
          <w:sz w:val="16"/>
          <w:szCs w:val="16"/>
          <w:lang w:val="lt-LT"/>
        </w:rPr>
        <w:t xml:space="preserve"> Sostinės regione</w:t>
      </w:r>
    </w:p>
  </w:footnote>
  <w:footnote w:id="89">
    <w:p w14:paraId="1E5C2964" w14:textId="34485248" w:rsidR="00EC688C" w:rsidRPr="00742513" w:rsidRDefault="00EC688C" w:rsidP="007734C8">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Vidurio ir Vakarų Lietuvos regione</w:t>
      </w:r>
    </w:p>
  </w:footnote>
  <w:footnote w:id="90">
    <w:p w14:paraId="6DA8D7DE" w14:textId="77777777" w:rsidR="00EC688C" w:rsidRPr="00742513" w:rsidRDefault="00EC688C" w:rsidP="007734C8">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Vidurio ir Vakarų Lietuvos regione</w:t>
      </w:r>
    </w:p>
  </w:footnote>
  <w:footnote w:id="91">
    <w:p w14:paraId="78F1525C" w14:textId="3CE61D41" w:rsidR="00EC688C" w:rsidRPr="00742513" w:rsidRDefault="00EC688C" w:rsidP="007734C8">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Sostinės regione</w:t>
      </w:r>
    </w:p>
  </w:footnote>
  <w:footnote w:id="92">
    <w:p w14:paraId="40D09A3D" w14:textId="77777777" w:rsidR="00EC688C" w:rsidRPr="00E41768" w:rsidRDefault="00EC688C" w:rsidP="00682772">
      <w:pPr>
        <w:pStyle w:val="Puslapioinaostekstas"/>
        <w:spacing w:after="0" w:line="240" w:lineRule="auto"/>
        <w:rPr>
          <w:rFonts w:ascii="Times New Roman" w:hAnsi="Times New Roman" w:cs="Times New Roman"/>
          <w:sz w:val="16"/>
          <w:szCs w:val="16"/>
          <w:lang w:val="en-US"/>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Vidurio ir Vakarų Lietuvos regione</w:t>
      </w:r>
    </w:p>
  </w:footnote>
  <w:footnote w:id="93">
    <w:p w14:paraId="266BCF94" w14:textId="2688E47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VšĮ „Investuok Lietuvoje“ &lt;</w:t>
      </w:r>
      <w:hyperlink r:id="rId59" w:history="1">
        <w:r w:rsidRPr="00742513">
          <w:rPr>
            <w:rStyle w:val="Hipersaitas"/>
            <w:rFonts w:ascii="Times New Roman" w:hAnsi="Times New Roman" w:cs="Times New Roman"/>
            <w:sz w:val="16"/>
            <w:szCs w:val="16"/>
            <w:lang w:val="lt-LT"/>
          </w:rPr>
          <w:t>https://investlithuania.com/wp</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content/uploads/2019/07/Veiklos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ataskaita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2018.pdf</w:t>
        </w:r>
      </w:hyperlink>
      <w:r w:rsidRPr="00742513">
        <w:rPr>
          <w:rFonts w:ascii="Times New Roman" w:hAnsi="Times New Roman" w:cs="Times New Roman"/>
          <w:sz w:val="16"/>
          <w:szCs w:val="16"/>
          <w:lang w:val="lt-LT"/>
        </w:rPr>
        <w:t xml:space="preserve"> &gt;</w:t>
      </w:r>
    </w:p>
  </w:footnote>
  <w:footnote w:id="94">
    <w:p w14:paraId="0492C895" w14:textId="332E3AC0"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LR ekonomikos ir inovacijų ministerija &lt; </w:t>
      </w:r>
      <w:hyperlink r:id="rId60" w:history="1">
        <w:r w:rsidRPr="00742513">
          <w:rPr>
            <w:rStyle w:val="Hipersaitas"/>
            <w:rFonts w:ascii="Times New Roman" w:hAnsi="Times New Roman" w:cs="Times New Roman"/>
            <w:sz w:val="16"/>
            <w:szCs w:val="16"/>
            <w:lang w:val="lt-LT"/>
          </w:rPr>
          <w:t>https://eimin.lrv.lt/lt/veiklos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sritys/inovaciju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veiklos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sritis/parama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inovaciju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pletrai/mokestines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lengvatos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investicijoms</w:t>
        </w:r>
      </w:hyperlink>
      <w:r w:rsidRPr="00742513">
        <w:rPr>
          <w:rFonts w:ascii="Times New Roman" w:hAnsi="Times New Roman" w:cs="Times New Roman"/>
          <w:sz w:val="16"/>
          <w:szCs w:val="16"/>
          <w:lang w:val="lt-LT"/>
        </w:rPr>
        <w:t xml:space="preserve"> &gt;</w:t>
      </w:r>
    </w:p>
  </w:footnote>
  <w:footnote w:id="95">
    <w:p w14:paraId="3AFF3AB0" w14:textId="303BE7A2" w:rsidR="00EC688C" w:rsidRPr="001E5C0D" w:rsidRDefault="00EC688C">
      <w:pPr>
        <w:pStyle w:val="Puslapioinaostekstas"/>
        <w:rPr>
          <w:rFonts w:ascii="Times New Roman" w:hAnsi="Times New Roman" w:cs="Times New Roman"/>
          <w:sz w:val="16"/>
          <w:szCs w:val="16"/>
          <w:lang w:val="lt-LT"/>
        </w:rPr>
      </w:pPr>
      <w:r>
        <w:rPr>
          <w:rStyle w:val="Puslapioinaosnuoroda"/>
        </w:rPr>
        <w:footnoteRef/>
      </w:r>
      <w:r>
        <w:t xml:space="preserve"> </w:t>
      </w:r>
      <w:r w:rsidRPr="00B10EFE">
        <w:rPr>
          <w:rFonts w:ascii="Times New Roman" w:hAnsi="Times New Roman" w:cs="Times New Roman"/>
          <w:sz w:val="16"/>
          <w:szCs w:val="16"/>
          <w:lang w:val="lt-LT"/>
        </w:rPr>
        <w:t>Atsižvengiant</w:t>
      </w:r>
      <w:r>
        <w:rPr>
          <w:rFonts w:ascii="Times New Roman" w:hAnsi="Times New Roman" w:cs="Times New Roman"/>
          <w:sz w:val="16"/>
          <w:szCs w:val="16"/>
          <w:lang w:val="lt-LT"/>
        </w:rPr>
        <w:t xml:space="preserve"> į I</w:t>
      </w:r>
      <w:r w:rsidRPr="001E5C0D">
        <w:rPr>
          <w:rFonts w:ascii="Times New Roman" w:hAnsi="Times New Roman" w:cs="Times New Roman"/>
          <w:sz w:val="16"/>
          <w:szCs w:val="16"/>
          <w:lang w:val="lt-LT"/>
        </w:rPr>
        <w:t xml:space="preserve">nvesticiju programos </w:t>
      </w:r>
      <w:r w:rsidRPr="00B10EFE">
        <w:rPr>
          <w:rFonts w:ascii="Times New Roman" w:hAnsi="Times New Roman" w:cs="Times New Roman"/>
          <w:sz w:val="16"/>
          <w:szCs w:val="16"/>
          <w:lang w:val="lt-LT"/>
        </w:rPr>
        <w:t>įgyvendinimo</w:t>
      </w:r>
      <w:r w:rsidRPr="001E5C0D">
        <w:rPr>
          <w:rFonts w:ascii="Times New Roman" w:hAnsi="Times New Roman" w:cs="Times New Roman"/>
          <w:sz w:val="16"/>
          <w:szCs w:val="16"/>
          <w:lang w:val="lt-LT"/>
        </w:rPr>
        <w:t xml:space="preserve"> </w:t>
      </w:r>
      <w:r w:rsidRPr="00B10EFE">
        <w:rPr>
          <w:rFonts w:ascii="Times New Roman" w:hAnsi="Times New Roman" w:cs="Times New Roman"/>
          <w:sz w:val="16"/>
          <w:szCs w:val="16"/>
          <w:lang w:val="lt-LT"/>
        </w:rPr>
        <w:t>regioną</w:t>
      </w:r>
    </w:p>
  </w:footnote>
  <w:footnote w:id="96">
    <w:p w14:paraId="7774B694" w14:textId="3B89D015" w:rsidR="00EC688C" w:rsidRPr="00742513" w:rsidRDefault="00EC688C" w:rsidP="00023650">
      <w:pPr>
        <w:pStyle w:val="Puslapioinaostekstas"/>
        <w:spacing w:after="0" w:line="240" w:lineRule="auto"/>
        <w:jc w:val="both"/>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Europos Komisija (2019) Guidance for Member States on Article 46 </w:t>
      </w:r>
      <w:r>
        <w:rPr>
          <w:rFonts w:ascii="Times New Roman" w:hAnsi="Times New Roman" w:cs="Times New Roman"/>
          <w:sz w:val="16"/>
          <w:szCs w:val="16"/>
          <w:lang w:val="lt-LT"/>
        </w:rPr>
        <w:t>–</w:t>
      </w:r>
      <w:r w:rsidRPr="00742513">
        <w:rPr>
          <w:rFonts w:ascii="Times New Roman" w:hAnsi="Times New Roman" w:cs="Times New Roman"/>
          <w:sz w:val="16"/>
          <w:szCs w:val="16"/>
          <w:lang w:val="lt-LT"/>
        </w:rPr>
        <w:t xml:space="preserve"> reporting on financial instruments and on Article 37(2)(c) </w:t>
      </w:r>
      <w:r>
        <w:rPr>
          <w:rFonts w:ascii="Times New Roman" w:hAnsi="Times New Roman" w:cs="Times New Roman"/>
          <w:sz w:val="16"/>
          <w:szCs w:val="16"/>
          <w:lang w:val="lt-LT"/>
        </w:rPr>
        <w:t>–</w:t>
      </w:r>
      <w:r w:rsidRPr="00742513">
        <w:rPr>
          <w:rFonts w:ascii="Times New Roman" w:hAnsi="Times New Roman" w:cs="Times New Roman"/>
          <w:sz w:val="16"/>
          <w:szCs w:val="16"/>
          <w:lang w:val="lt-LT"/>
        </w:rPr>
        <w:t xml:space="preserve"> leverage effect.</w:t>
      </w:r>
    </w:p>
  </w:footnote>
  <w:footnote w:id="97">
    <w:p w14:paraId="1FC1735B" w14:textId="7777777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rPr>
        <w:t xml:space="preserve"> ESTEP, PwC, Visionary Analytics</w:t>
      </w:r>
    </w:p>
  </w:footnote>
  <w:footnote w:id="98">
    <w:p w14:paraId="5B732C38" w14:textId="3100856E" w:rsidR="00EC688C" w:rsidRPr="00742513" w:rsidRDefault="00EC688C" w:rsidP="00023650">
      <w:pPr>
        <w:pStyle w:val="Default"/>
        <w:rPr>
          <w:sz w:val="16"/>
          <w:szCs w:val="16"/>
          <w:lang w:val="en-GB" w:bidi="lo-LA"/>
        </w:rPr>
      </w:pPr>
      <w:r w:rsidRPr="00742513">
        <w:rPr>
          <w:rStyle w:val="Puslapioinaosnuoroda"/>
          <w:sz w:val="16"/>
          <w:szCs w:val="16"/>
        </w:rPr>
        <w:footnoteRef/>
      </w:r>
      <w:r w:rsidRPr="00742513">
        <w:rPr>
          <w:sz w:val="16"/>
          <w:szCs w:val="16"/>
        </w:rPr>
        <w:t xml:space="preserve"> </w:t>
      </w:r>
      <w:r w:rsidRPr="00F341F4">
        <w:rPr>
          <w:sz w:val="16"/>
          <w:szCs w:val="16"/>
          <w:lang w:val="en-US"/>
        </w:rPr>
        <w:t xml:space="preserve">Counterfactual impact evaluation of Cohesion policy: impact and cost–effectiveness of investment subsidies in Italy, </w:t>
      </w:r>
      <w:r w:rsidRPr="00F341F4">
        <w:rPr>
          <w:sz w:val="16"/>
          <w:szCs w:val="16"/>
          <w:lang w:val="en-US" w:bidi="lo-LA"/>
        </w:rPr>
        <w:t>Associazione per lo Sviluppo della Valutazione e l’Analisi delle Politiche Pubbliche, 2012</w:t>
      </w:r>
    </w:p>
  </w:footnote>
  <w:footnote w:id="99">
    <w:p w14:paraId="30C22824" w14:textId="77777777" w:rsidR="00EC688C" w:rsidRPr="00742513" w:rsidRDefault="00EC688C" w:rsidP="005B0F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rPr>
        <w:t xml:space="preserve"> </w:t>
      </w:r>
      <w:r w:rsidRPr="00742513">
        <w:rPr>
          <w:rFonts w:ascii="Times New Roman" w:hAnsi="Times New Roman" w:cs="Times New Roman"/>
          <w:sz w:val="16"/>
          <w:szCs w:val="16"/>
          <w:lang w:val="lt-LT"/>
        </w:rPr>
        <w:t>MTEPI veikloms Vidurio ir Vakarų Lietuvos regione</w:t>
      </w:r>
    </w:p>
  </w:footnote>
  <w:footnote w:id="100">
    <w:p w14:paraId="0F1C3447" w14:textId="1A4E3286" w:rsidR="00EC688C" w:rsidRPr="00742513" w:rsidRDefault="00EC688C" w:rsidP="0077055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Nauja įmonė – įmonė, sukurta ne anksčiau kaip prieš trejus metus (imtinai) iki projekto sutarties tarp įmonės ir įgyvendinančiosios institucijos ar paskolos, finansinės nuomos (lizingo), faktoringo arba investavimo sutarties (kai įgyvendinamos FP) tarp įmonės ir FP valdytojo ir (ar) finansų įstaigos, jei fondų fondas nesteigiamas, pasirašymo dienos. Nauja įmone nelaikoma įmonė, jei pasikeitė tik jos teisinė forma</w:t>
      </w:r>
    </w:p>
  </w:footnote>
  <w:footnote w:id="101">
    <w:p w14:paraId="65CE6513" w14:textId="77777777" w:rsidR="00EC688C" w:rsidRPr="00742513" w:rsidRDefault="00EC688C" w:rsidP="005B0F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MTEPI veikloms Vidurio ir Vakarų Lietuvos regione</w:t>
      </w:r>
    </w:p>
  </w:footnote>
  <w:footnote w:id="102">
    <w:p w14:paraId="57268CBE" w14:textId="77777777" w:rsidR="00EC688C" w:rsidRPr="00742513" w:rsidRDefault="00EC688C" w:rsidP="005B0F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MTEPI veikloms Vidurio ir Vakarų Lietuvos regione</w:t>
      </w:r>
    </w:p>
  </w:footnote>
  <w:footnote w:id="103">
    <w:p w14:paraId="7D798CD8" w14:textId="77777777" w:rsidR="00587B6B" w:rsidRPr="00742513" w:rsidRDefault="00587B6B" w:rsidP="00587B6B">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MTEPI veikloms Vidurio ir Vakarų Lietuvos regione</w:t>
      </w:r>
    </w:p>
  </w:footnote>
  <w:footnote w:id="104">
    <w:p w14:paraId="3B1D4277" w14:textId="77777777" w:rsidR="00587B6B" w:rsidRPr="00742513" w:rsidRDefault="00587B6B" w:rsidP="00587B6B">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MTEPI veikloms Vidurio ir Vakarų Lietuvos regione</w:t>
      </w:r>
    </w:p>
  </w:footnote>
  <w:footnote w:id="105">
    <w:p w14:paraId="207F72B9" w14:textId="77777777" w:rsidR="00EC688C" w:rsidRPr="00742513" w:rsidRDefault="00EC688C" w:rsidP="005B0F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Sostinės regione</w:t>
      </w:r>
    </w:p>
  </w:footnote>
  <w:footnote w:id="106">
    <w:p w14:paraId="5436EB4B" w14:textId="77777777" w:rsidR="00EC688C" w:rsidRPr="00742513" w:rsidRDefault="00EC688C" w:rsidP="005B0F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Vidurio ir Vakarų Lietuvos regione</w:t>
      </w:r>
    </w:p>
  </w:footnote>
  <w:footnote w:id="107">
    <w:p w14:paraId="1833E791" w14:textId="77777777" w:rsidR="00EC688C" w:rsidRPr="00742513" w:rsidRDefault="00EC688C" w:rsidP="005B0F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MTEPI veikloms Vidurio ir Vakarų Lietuvos regione</w:t>
      </w:r>
    </w:p>
  </w:footnote>
  <w:footnote w:id="108">
    <w:p w14:paraId="2B90AFAD" w14:textId="77777777" w:rsidR="00EC688C" w:rsidRPr="00742513" w:rsidRDefault="00EC688C" w:rsidP="00F07999">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Interviu dalyviai pastebėjo, kad ši FP ir konkrečių veiklų finansavimas galėtų konkuruoti su privataus sektoriaus finansavimu, todėl rengiant šios FP aprašą, konkurencijos aspektas turėtų būti įvertintas.</w:t>
      </w:r>
    </w:p>
  </w:footnote>
  <w:footnote w:id="109">
    <w:p w14:paraId="121082B7" w14:textId="77777777" w:rsidR="00EC688C" w:rsidRPr="00742513" w:rsidRDefault="00EC688C" w:rsidP="00B73C11">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Vidurio ir Vakarų Lietuvos regione</w:t>
      </w:r>
    </w:p>
  </w:footnote>
  <w:footnote w:id="110">
    <w:p w14:paraId="64ACD6A0" w14:textId="7C0B9198" w:rsidR="00EC688C" w:rsidRPr="00742513" w:rsidRDefault="00EC688C" w:rsidP="007C123F">
      <w:pPr>
        <w:pStyle w:val="Puslapioinaostekstas"/>
        <w:spacing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EKONOMIKOS GAIVINIMO IR ATSPARUMO DIDINIMO PLANAS „NAUJOS KARTOS LIETUVA“ 2021 m., 11</w:t>
      </w:r>
      <w:r>
        <w:rPr>
          <w:rFonts w:ascii="Times New Roman" w:hAnsi="Times New Roman" w:cs="Times New Roman"/>
          <w:sz w:val="16"/>
          <w:szCs w:val="16"/>
          <w:lang w:val="lt-LT"/>
        </w:rPr>
        <w:t>–</w:t>
      </w:r>
      <w:r w:rsidRPr="00742513">
        <w:rPr>
          <w:rFonts w:ascii="Times New Roman" w:hAnsi="Times New Roman" w:cs="Times New Roman"/>
          <w:sz w:val="16"/>
          <w:szCs w:val="16"/>
          <w:lang w:val="lt-LT"/>
        </w:rPr>
        <w:t>45 psl. &lt;</w:t>
      </w:r>
      <w:hyperlink r:id="rId61" w:history="1">
        <w:r w:rsidRPr="00742513">
          <w:rPr>
            <w:rStyle w:val="Hipersaitas"/>
            <w:rFonts w:ascii="Times New Roman" w:hAnsi="Times New Roman" w:cs="Times New Roman"/>
            <w:sz w:val="16"/>
            <w:szCs w:val="16"/>
            <w:lang w:val="lt-LT"/>
          </w:rPr>
          <w:t>https://finmin.lrv.lt/uploads/finmin/documents/files/Naujos%20kartos%20Lietuva%20planas.pdf</w:t>
        </w:r>
      </w:hyperlink>
      <w:r w:rsidRPr="00742513">
        <w:rPr>
          <w:rFonts w:ascii="Times New Roman" w:hAnsi="Times New Roman" w:cs="Times New Roman"/>
          <w:sz w:val="16"/>
          <w:szCs w:val="16"/>
          <w:lang w:val="lt-LT"/>
        </w:rPr>
        <w:t xml:space="preserve"> &gt;</w:t>
      </w:r>
    </w:p>
  </w:footnote>
  <w:footnote w:id="111">
    <w:p w14:paraId="4CA1250B" w14:textId="77777777" w:rsidR="00EC688C" w:rsidRPr="00742513" w:rsidRDefault="00EC688C" w:rsidP="007C123F">
      <w:pPr>
        <w:pStyle w:val="Puslapioinaostekstas"/>
        <w:spacing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lang w:val="lt-LT"/>
        </w:rPr>
        <w:footnoteRef/>
      </w:r>
      <w:r w:rsidRPr="00742513">
        <w:rPr>
          <w:rFonts w:ascii="Times New Roman" w:hAnsi="Times New Roman" w:cs="Times New Roman"/>
          <w:sz w:val="16"/>
          <w:szCs w:val="16"/>
          <w:lang w:val="lt-LT"/>
        </w:rPr>
        <w:t xml:space="preserve"> </w:t>
      </w:r>
      <w:r w:rsidRPr="00742513">
        <w:rPr>
          <w:rFonts w:ascii="Times New Roman" w:eastAsiaTheme="minorHAnsi" w:hAnsi="Times New Roman" w:cs="Times New Roman"/>
          <w:color w:val="000000"/>
          <w:sz w:val="16"/>
          <w:szCs w:val="16"/>
          <w:lang w:val="lt-LT"/>
        </w:rPr>
        <w:t>Vertinama tik verslo finansavimo MTEP veikloms kontekste.</w:t>
      </w:r>
    </w:p>
  </w:footnote>
  <w:footnote w:id="112">
    <w:p w14:paraId="55191BE4" w14:textId="37C6D267" w:rsidR="00587B6B" w:rsidRPr="0054185F" w:rsidRDefault="00587B6B">
      <w:pPr>
        <w:pStyle w:val="Puslapioinaostekstas"/>
        <w:rPr>
          <w:rFonts w:ascii="Times New Roman" w:hAnsi="Times New Roman" w:cs="Times New Roman"/>
          <w:lang w:val="lt-LT"/>
        </w:rPr>
      </w:pPr>
      <w:r w:rsidRPr="0054185F">
        <w:rPr>
          <w:rStyle w:val="Puslapioinaosnuoroda"/>
          <w:rFonts w:ascii="Times New Roman" w:hAnsi="Times New Roman" w:cs="Times New Roman"/>
          <w:sz w:val="16"/>
        </w:rPr>
        <w:footnoteRef/>
      </w:r>
      <w:r w:rsidRPr="00F565BA">
        <w:rPr>
          <w:rFonts w:ascii="Times New Roman" w:hAnsi="Times New Roman" w:cs="Times New Roman"/>
          <w:sz w:val="16"/>
          <w:lang w:val="de-AT"/>
        </w:rPr>
        <w:t xml:space="preserve"> </w:t>
      </w:r>
      <w:r w:rsidRPr="0054185F">
        <w:rPr>
          <w:rFonts w:ascii="Times New Roman" w:hAnsi="Times New Roman" w:cs="Times New Roman"/>
          <w:sz w:val="16"/>
          <w:lang w:val="lt-LT"/>
        </w:rPr>
        <w:t>Atsakymas pateiktas raštu.</w:t>
      </w:r>
    </w:p>
  </w:footnote>
  <w:footnote w:id="113">
    <w:p w14:paraId="15A07C27" w14:textId="55CF606E" w:rsidR="00587B6B" w:rsidRPr="009F7D0E" w:rsidRDefault="00587B6B">
      <w:pPr>
        <w:pStyle w:val="Puslapioinaostekstas"/>
        <w:rPr>
          <w:sz w:val="16"/>
          <w:szCs w:val="16"/>
          <w:lang w:val="lt-LT"/>
        </w:rPr>
      </w:pPr>
      <w:r w:rsidRPr="009F7D0E">
        <w:rPr>
          <w:rStyle w:val="Puslapioinaosnuoroda"/>
          <w:sz w:val="16"/>
          <w:szCs w:val="16"/>
        </w:rPr>
        <w:footnoteRef/>
      </w:r>
      <w:r w:rsidRPr="009F7D0E">
        <w:rPr>
          <w:sz w:val="16"/>
          <w:szCs w:val="16"/>
          <w:lang w:val="de-AT"/>
        </w:rPr>
        <w:t xml:space="preserve"> </w:t>
      </w:r>
      <w:r w:rsidRPr="009F7D0E">
        <w:rPr>
          <w:rFonts w:ascii="Times New Roman" w:hAnsi="Times New Roman" w:cs="Times New Roman"/>
          <w:sz w:val="16"/>
          <w:szCs w:val="16"/>
          <w:lang w:val="lt-LT"/>
        </w:rPr>
        <w:t>Atsakymas pateiktas raštu.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A8409" w14:textId="66AA3E92" w:rsidR="00E0115D" w:rsidRPr="009B3F68" w:rsidRDefault="00E0115D" w:rsidP="00E0115D">
    <w:pPr>
      <w:tabs>
        <w:tab w:val="left" w:pos="1134"/>
      </w:tabs>
      <w:spacing w:after="0" w:line="240" w:lineRule="auto"/>
      <w:ind w:left="2835" w:firstLine="567"/>
      <w:jc w:val="right"/>
      <w:rPr>
        <w:rFonts w:eastAsia="Times New Roman" w:cs="Times New Roman"/>
        <w:bCs/>
        <w:caps/>
        <w:sz w:val="20"/>
        <w:szCs w:val="20"/>
        <w:lang w:eastAsia="lv-LV"/>
      </w:rPr>
    </w:pPr>
    <w:r w:rsidRPr="009B3F68">
      <w:rPr>
        <w:rFonts w:eastAsia="Times New Roman" w:cs="Times New Roman"/>
        <w:bCs/>
        <w:sz w:val="20"/>
        <w:szCs w:val="20"/>
        <w:lang w:eastAsia="lv-LV"/>
      </w:rPr>
      <w:t>NACIONALINIŲ PLĖTROS ĮSTAIGŲ SKATINAMOJO FINANSAVIMO POREIKIO VERTINIMO ATLIKIMO IR PERŽIŪROS DARBO GRUPĖS POSĖDŽIO 202</w:t>
    </w:r>
    <w:r w:rsidR="000C74A8">
      <w:rPr>
        <w:rFonts w:eastAsia="Times New Roman" w:cs="Times New Roman"/>
        <w:bCs/>
        <w:sz w:val="20"/>
        <w:szCs w:val="20"/>
        <w:lang w:eastAsia="lv-LV"/>
      </w:rPr>
      <w:t>4</w:t>
    </w:r>
    <w:r w:rsidRPr="009B3F68">
      <w:rPr>
        <w:rFonts w:eastAsia="Times New Roman" w:cs="Times New Roman"/>
        <w:bCs/>
        <w:sz w:val="20"/>
        <w:szCs w:val="20"/>
        <w:lang w:eastAsia="lv-LV"/>
      </w:rPr>
      <w:t>-</w:t>
    </w:r>
    <w:r w:rsidR="000C74A8">
      <w:rPr>
        <w:rFonts w:eastAsia="Times New Roman" w:cs="Times New Roman"/>
        <w:bCs/>
        <w:sz w:val="20"/>
        <w:szCs w:val="20"/>
        <w:lang w:eastAsia="lv-LV"/>
      </w:rPr>
      <w:t>08</w:t>
    </w:r>
    <w:r w:rsidRPr="009B3F68">
      <w:rPr>
        <w:rFonts w:eastAsia="Times New Roman" w:cs="Times New Roman"/>
        <w:bCs/>
        <w:sz w:val="20"/>
        <w:szCs w:val="20"/>
        <w:lang w:eastAsia="lv-LV"/>
      </w:rPr>
      <w:t>-</w:t>
    </w:r>
    <w:r w:rsidR="00744736">
      <w:rPr>
        <w:rFonts w:eastAsia="Times New Roman" w:cs="Times New Roman"/>
        <w:bCs/>
        <w:sz w:val="20"/>
        <w:szCs w:val="20"/>
        <w:lang w:eastAsia="lv-LV"/>
      </w:rPr>
      <w:t>06</w:t>
    </w:r>
    <w:r w:rsidRPr="009B3F68">
      <w:rPr>
        <w:rFonts w:eastAsia="Times New Roman" w:cs="Times New Roman"/>
        <w:bCs/>
        <w:sz w:val="20"/>
        <w:szCs w:val="20"/>
        <w:lang w:eastAsia="lv-LV"/>
      </w:rPr>
      <w:t xml:space="preserve"> Nr. </w:t>
    </w:r>
    <w:r w:rsidR="000C74A8">
      <w:rPr>
        <w:rFonts w:eastAsia="Times New Roman" w:cs="Times New Roman"/>
        <w:bCs/>
        <w:sz w:val="20"/>
        <w:szCs w:val="20"/>
        <w:lang w:eastAsia="lv-LV"/>
      </w:rPr>
      <w:t>40</w:t>
    </w:r>
    <w:r>
      <w:rPr>
        <w:rFonts w:eastAsia="Times New Roman" w:cs="Times New Roman"/>
        <w:bCs/>
        <w:sz w:val="20"/>
        <w:szCs w:val="20"/>
        <w:lang w:eastAsia="lv-LV"/>
      </w:rPr>
      <w:t xml:space="preserve"> P</w:t>
    </w:r>
    <w:r w:rsidRPr="009B3F68">
      <w:rPr>
        <w:rFonts w:eastAsia="Times New Roman" w:cs="Times New Roman"/>
        <w:bCs/>
        <w:caps/>
        <w:sz w:val="20"/>
        <w:szCs w:val="20"/>
        <w:lang w:eastAsia="lv-LV"/>
      </w:rPr>
      <w:t>rotokolas</w:t>
    </w:r>
  </w:p>
  <w:p w14:paraId="52C81CC7" w14:textId="77777777" w:rsidR="00E0115D" w:rsidRDefault="00E011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C34C5"/>
    <w:multiLevelType w:val="hybridMultilevel"/>
    <w:tmpl w:val="F9942E62"/>
    <w:lvl w:ilvl="0" w:tplc="BB5E7E10">
      <w:start w:val="1"/>
      <w:numFmt w:val="decimal"/>
      <w:lvlText w:val="%1)"/>
      <w:lvlJc w:val="left"/>
      <w:pPr>
        <w:ind w:left="7307" w:hanging="360"/>
      </w:pPr>
      <w:rPr>
        <w:rFonts w:ascii="Times New Roman" w:eastAsiaTheme="minorEastAsia" w:hAnsi="Times New Roman" w:cs="Times New Roman"/>
      </w:rPr>
    </w:lvl>
    <w:lvl w:ilvl="1" w:tplc="04270003" w:tentative="1">
      <w:start w:val="1"/>
      <w:numFmt w:val="bullet"/>
      <w:lvlText w:val="o"/>
      <w:lvlJc w:val="left"/>
      <w:pPr>
        <w:ind w:left="8027" w:hanging="360"/>
      </w:pPr>
      <w:rPr>
        <w:rFonts w:ascii="Courier New" w:hAnsi="Courier New" w:cs="Courier New" w:hint="default"/>
      </w:rPr>
    </w:lvl>
    <w:lvl w:ilvl="2" w:tplc="04270005" w:tentative="1">
      <w:start w:val="1"/>
      <w:numFmt w:val="bullet"/>
      <w:lvlText w:val=""/>
      <w:lvlJc w:val="left"/>
      <w:pPr>
        <w:ind w:left="8747" w:hanging="360"/>
      </w:pPr>
      <w:rPr>
        <w:rFonts w:ascii="Wingdings" w:hAnsi="Wingdings" w:hint="default"/>
      </w:rPr>
    </w:lvl>
    <w:lvl w:ilvl="3" w:tplc="04270001" w:tentative="1">
      <w:start w:val="1"/>
      <w:numFmt w:val="bullet"/>
      <w:lvlText w:val=""/>
      <w:lvlJc w:val="left"/>
      <w:pPr>
        <w:ind w:left="9467" w:hanging="360"/>
      </w:pPr>
      <w:rPr>
        <w:rFonts w:ascii="Symbol" w:hAnsi="Symbol" w:hint="default"/>
      </w:rPr>
    </w:lvl>
    <w:lvl w:ilvl="4" w:tplc="04270003" w:tentative="1">
      <w:start w:val="1"/>
      <w:numFmt w:val="bullet"/>
      <w:lvlText w:val="o"/>
      <w:lvlJc w:val="left"/>
      <w:pPr>
        <w:ind w:left="10187" w:hanging="360"/>
      </w:pPr>
      <w:rPr>
        <w:rFonts w:ascii="Courier New" w:hAnsi="Courier New" w:cs="Courier New" w:hint="default"/>
      </w:rPr>
    </w:lvl>
    <w:lvl w:ilvl="5" w:tplc="04270005" w:tentative="1">
      <w:start w:val="1"/>
      <w:numFmt w:val="bullet"/>
      <w:lvlText w:val=""/>
      <w:lvlJc w:val="left"/>
      <w:pPr>
        <w:ind w:left="10907" w:hanging="360"/>
      </w:pPr>
      <w:rPr>
        <w:rFonts w:ascii="Wingdings" w:hAnsi="Wingdings" w:hint="default"/>
      </w:rPr>
    </w:lvl>
    <w:lvl w:ilvl="6" w:tplc="04270001" w:tentative="1">
      <w:start w:val="1"/>
      <w:numFmt w:val="bullet"/>
      <w:lvlText w:val=""/>
      <w:lvlJc w:val="left"/>
      <w:pPr>
        <w:ind w:left="11627" w:hanging="360"/>
      </w:pPr>
      <w:rPr>
        <w:rFonts w:ascii="Symbol" w:hAnsi="Symbol" w:hint="default"/>
      </w:rPr>
    </w:lvl>
    <w:lvl w:ilvl="7" w:tplc="04270003" w:tentative="1">
      <w:start w:val="1"/>
      <w:numFmt w:val="bullet"/>
      <w:lvlText w:val="o"/>
      <w:lvlJc w:val="left"/>
      <w:pPr>
        <w:ind w:left="12347" w:hanging="360"/>
      </w:pPr>
      <w:rPr>
        <w:rFonts w:ascii="Courier New" w:hAnsi="Courier New" w:cs="Courier New" w:hint="default"/>
      </w:rPr>
    </w:lvl>
    <w:lvl w:ilvl="8" w:tplc="04270005" w:tentative="1">
      <w:start w:val="1"/>
      <w:numFmt w:val="bullet"/>
      <w:lvlText w:val=""/>
      <w:lvlJc w:val="left"/>
      <w:pPr>
        <w:ind w:left="13067" w:hanging="360"/>
      </w:pPr>
      <w:rPr>
        <w:rFonts w:ascii="Wingdings" w:hAnsi="Wingdings" w:hint="default"/>
      </w:rPr>
    </w:lvl>
  </w:abstractNum>
  <w:abstractNum w:abstractNumId="1" w15:restartNumberingAfterBreak="0">
    <w:nsid w:val="064243A8"/>
    <w:multiLevelType w:val="hybridMultilevel"/>
    <w:tmpl w:val="9E220BC2"/>
    <w:lvl w:ilvl="0" w:tplc="79F2B65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7947C39"/>
    <w:multiLevelType w:val="hybridMultilevel"/>
    <w:tmpl w:val="E5EE669A"/>
    <w:lvl w:ilvl="0" w:tplc="FDA075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D57A37"/>
    <w:multiLevelType w:val="hybridMultilevel"/>
    <w:tmpl w:val="7AFC7192"/>
    <w:lvl w:ilvl="0" w:tplc="6310C036">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DB16419"/>
    <w:multiLevelType w:val="hybridMultilevel"/>
    <w:tmpl w:val="A74ED9A8"/>
    <w:lvl w:ilvl="0" w:tplc="21ECB2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0401850"/>
    <w:multiLevelType w:val="hybridMultilevel"/>
    <w:tmpl w:val="C156B41A"/>
    <w:lvl w:ilvl="0" w:tplc="39560C50">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3535BD"/>
    <w:multiLevelType w:val="hybridMultilevel"/>
    <w:tmpl w:val="C4BAC2D8"/>
    <w:lvl w:ilvl="0" w:tplc="04270011">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2BD05E8"/>
    <w:multiLevelType w:val="hybridMultilevel"/>
    <w:tmpl w:val="39AE2712"/>
    <w:lvl w:ilvl="0" w:tplc="924034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9587058"/>
    <w:multiLevelType w:val="hybridMultilevel"/>
    <w:tmpl w:val="D21E6B02"/>
    <w:lvl w:ilvl="0" w:tplc="B32C2A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9602244"/>
    <w:multiLevelType w:val="hybridMultilevel"/>
    <w:tmpl w:val="7AFC7192"/>
    <w:lvl w:ilvl="0" w:tplc="6310C036">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B693388"/>
    <w:multiLevelType w:val="hybridMultilevel"/>
    <w:tmpl w:val="40A67DFE"/>
    <w:lvl w:ilvl="0" w:tplc="04270011">
      <w:start w:val="1"/>
      <w:numFmt w:val="decimal"/>
      <w:lvlText w:val="%1)"/>
      <w:lvlJc w:val="left"/>
      <w:pPr>
        <w:ind w:left="1145" w:hanging="360"/>
      </w:p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11" w15:restartNumberingAfterBreak="0">
    <w:nsid w:val="206877B8"/>
    <w:multiLevelType w:val="multilevel"/>
    <w:tmpl w:val="BECAFF8C"/>
    <w:lvl w:ilvl="0">
      <w:start w:val="1"/>
      <w:numFmt w:val="decimal"/>
      <w:lvlText w:val="%1."/>
      <w:lvlJc w:val="left"/>
      <w:pPr>
        <w:ind w:left="36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0C7289E"/>
    <w:multiLevelType w:val="hybridMultilevel"/>
    <w:tmpl w:val="B082FF30"/>
    <w:lvl w:ilvl="0" w:tplc="E85CA15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1A74912"/>
    <w:multiLevelType w:val="hybridMultilevel"/>
    <w:tmpl w:val="DF206040"/>
    <w:lvl w:ilvl="0" w:tplc="04270011">
      <w:start w:val="1"/>
      <w:numFmt w:val="decimal"/>
      <w:lvlText w:val="%1)"/>
      <w:lvlJc w:val="left"/>
      <w:pPr>
        <w:ind w:left="1488" w:hanging="360"/>
      </w:pPr>
      <w:rPr>
        <w:rFonts w:hint="default"/>
      </w:rPr>
    </w:lvl>
    <w:lvl w:ilvl="1" w:tplc="04090003">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4" w15:restartNumberingAfterBreak="0">
    <w:nsid w:val="2399614A"/>
    <w:multiLevelType w:val="hybridMultilevel"/>
    <w:tmpl w:val="5CC44AC2"/>
    <w:lvl w:ilvl="0" w:tplc="AA6C6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C4C2A7D"/>
    <w:multiLevelType w:val="hybridMultilevel"/>
    <w:tmpl w:val="419C4FD6"/>
    <w:lvl w:ilvl="0" w:tplc="04270011">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2CF311F9"/>
    <w:multiLevelType w:val="hybridMultilevel"/>
    <w:tmpl w:val="60E0032A"/>
    <w:lvl w:ilvl="0" w:tplc="04270019">
      <w:start w:val="1"/>
      <w:numFmt w:val="lowerLetter"/>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7" w15:restartNumberingAfterBreak="0">
    <w:nsid w:val="302D786F"/>
    <w:multiLevelType w:val="hybridMultilevel"/>
    <w:tmpl w:val="C156B41A"/>
    <w:lvl w:ilvl="0" w:tplc="39560C50">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0FD1C36"/>
    <w:multiLevelType w:val="hybridMultilevel"/>
    <w:tmpl w:val="D78A79C6"/>
    <w:lvl w:ilvl="0" w:tplc="04270011">
      <w:start w:val="1"/>
      <w:numFmt w:val="decimal"/>
      <w:lvlText w:val="%1)"/>
      <w:lvlJc w:val="left"/>
      <w:pPr>
        <w:ind w:left="1145" w:hanging="360"/>
      </w:p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19" w15:restartNumberingAfterBreak="0">
    <w:nsid w:val="32F067F5"/>
    <w:multiLevelType w:val="hybridMultilevel"/>
    <w:tmpl w:val="D21E6B02"/>
    <w:lvl w:ilvl="0" w:tplc="B32C2AA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39925375"/>
    <w:multiLevelType w:val="hybridMultilevel"/>
    <w:tmpl w:val="312609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6B6DE0"/>
    <w:multiLevelType w:val="hybridMultilevel"/>
    <w:tmpl w:val="60644E00"/>
    <w:lvl w:ilvl="0" w:tplc="B04250A0">
      <w:numFmt w:val="bullet"/>
      <w:lvlText w:val="-"/>
      <w:lvlJc w:val="left"/>
      <w:pPr>
        <w:ind w:left="408" w:hanging="360"/>
      </w:pPr>
      <w:rPr>
        <w:rFonts w:ascii="Times New Roman" w:eastAsiaTheme="minorEastAsia" w:hAnsi="Times New Roman" w:cs="Times New Roman"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22" w15:restartNumberingAfterBreak="0">
    <w:nsid w:val="3DC31477"/>
    <w:multiLevelType w:val="hybridMultilevel"/>
    <w:tmpl w:val="F286AD12"/>
    <w:lvl w:ilvl="0" w:tplc="A4BAE4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3FAC679D"/>
    <w:multiLevelType w:val="hybridMultilevel"/>
    <w:tmpl w:val="6D2828BC"/>
    <w:lvl w:ilvl="0" w:tplc="8AA8F64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41FC1E9D"/>
    <w:multiLevelType w:val="hybridMultilevel"/>
    <w:tmpl w:val="43BACD0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41F15C4"/>
    <w:multiLevelType w:val="hybridMultilevel"/>
    <w:tmpl w:val="734CB2E6"/>
    <w:lvl w:ilvl="0" w:tplc="1AFED9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45D834FD"/>
    <w:multiLevelType w:val="hybridMultilevel"/>
    <w:tmpl w:val="375E988A"/>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4E68E9"/>
    <w:multiLevelType w:val="hybridMultilevel"/>
    <w:tmpl w:val="069AC648"/>
    <w:lvl w:ilvl="0" w:tplc="483C8C7A">
      <w:start w:val="1"/>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361094C"/>
    <w:multiLevelType w:val="hybridMultilevel"/>
    <w:tmpl w:val="D21E6B02"/>
    <w:lvl w:ilvl="0" w:tplc="B32C2A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56E85038"/>
    <w:multiLevelType w:val="hybridMultilevel"/>
    <w:tmpl w:val="75C8DEEC"/>
    <w:lvl w:ilvl="0" w:tplc="B25C1DB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8A87116"/>
    <w:multiLevelType w:val="hybridMultilevel"/>
    <w:tmpl w:val="5B66AC78"/>
    <w:lvl w:ilvl="0" w:tplc="A740D2B8">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94278D4"/>
    <w:multiLevelType w:val="hybridMultilevel"/>
    <w:tmpl w:val="6CB60B56"/>
    <w:lvl w:ilvl="0" w:tplc="A6104B9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5B5223DD"/>
    <w:multiLevelType w:val="hybridMultilevel"/>
    <w:tmpl w:val="FD50A8B6"/>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CEE5611"/>
    <w:multiLevelType w:val="hybridMultilevel"/>
    <w:tmpl w:val="2C0AD298"/>
    <w:lvl w:ilvl="0" w:tplc="04270011">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5D0A176D"/>
    <w:multiLevelType w:val="hybridMultilevel"/>
    <w:tmpl w:val="AFB078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D1A6BA2"/>
    <w:multiLevelType w:val="multilevel"/>
    <w:tmpl w:val="915E5720"/>
    <w:lvl w:ilvl="0">
      <w:start w:val="3"/>
      <w:numFmt w:val="decimal"/>
      <w:lvlText w:val="%1."/>
      <w:lvlJc w:val="left"/>
      <w:pPr>
        <w:ind w:left="360" w:hanging="360"/>
      </w:pPr>
      <w:rPr>
        <w:rFonts w:hint="default"/>
      </w:rPr>
    </w:lvl>
    <w:lvl w:ilvl="1">
      <w:start w:val="4"/>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F405E4F"/>
    <w:multiLevelType w:val="hybridMultilevel"/>
    <w:tmpl w:val="6CA694A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5151D8"/>
    <w:multiLevelType w:val="hybridMultilevel"/>
    <w:tmpl w:val="D21E6B02"/>
    <w:lvl w:ilvl="0" w:tplc="B32C2A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632136D4"/>
    <w:multiLevelType w:val="hybridMultilevel"/>
    <w:tmpl w:val="7FC412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1F68F6"/>
    <w:multiLevelType w:val="hybridMultilevel"/>
    <w:tmpl w:val="D83615E4"/>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0" w15:restartNumberingAfterBreak="0">
    <w:nsid w:val="7D6C7152"/>
    <w:multiLevelType w:val="hybridMultilevel"/>
    <w:tmpl w:val="9E220BC2"/>
    <w:lvl w:ilvl="0" w:tplc="79F2B65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EC53163"/>
    <w:multiLevelType w:val="hybridMultilevel"/>
    <w:tmpl w:val="BCC697EC"/>
    <w:lvl w:ilvl="0" w:tplc="3224F0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42415875">
    <w:abstractNumId w:val="11"/>
  </w:num>
  <w:num w:numId="2" w16cid:durableId="809175290">
    <w:abstractNumId w:val="17"/>
  </w:num>
  <w:num w:numId="3" w16cid:durableId="1301763612">
    <w:abstractNumId w:val="22"/>
  </w:num>
  <w:num w:numId="4" w16cid:durableId="1020084151">
    <w:abstractNumId w:val="27"/>
  </w:num>
  <w:num w:numId="5" w16cid:durableId="1054087101">
    <w:abstractNumId w:val="32"/>
  </w:num>
  <w:num w:numId="6" w16cid:durableId="1476948364">
    <w:abstractNumId w:val="13"/>
  </w:num>
  <w:num w:numId="7" w16cid:durableId="17053008">
    <w:abstractNumId w:val="26"/>
  </w:num>
  <w:num w:numId="8" w16cid:durableId="22177275">
    <w:abstractNumId w:val="33"/>
  </w:num>
  <w:num w:numId="9" w16cid:durableId="133913768">
    <w:abstractNumId w:val="34"/>
  </w:num>
  <w:num w:numId="10" w16cid:durableId="600993179">
    <w:abstractNumId w:val="5"/>
  </w:num>
  <w:num w:numId="11" w16cid:durableId="1317995053">
    <w:abstractNumId w:val="10"/>
  </w:num>
  <w:num w:numId="12" w16cid:durableId="1863785542">
    <w:abstractNumId w:val="39"/>
  </w:num>
  <w:num w:numId="13" w16cid:durableId="692001042">
    <w:abstractNumId w:val="23"/>
  </w:num>
  <w:num w:numId="14" w16cid:durableId="1894462779">
    <w:abstractNumId w:val="6"/>
  </w:num>
  <w:num w:numId="15" w16cid:durableId="1070737446">
    <w:abstractNumId w:val="30"/>
  </w:num>
  <w:num w:numId="16" w16cid:durableId="1037386867">
    <w:abstractNumId w:val="12"/>
  </w:num>
  <w:num w:numId="17" w16cid:durableId="674501021">
    <w:abstractNumId w:val="3"/>
  </w:num>
  <w:num w:numId="18" w16cid:durableId="893079340">
    <w:abstractNumId w:val="18"/>
  </w:num>
  <w:num w:numId="19" w16cid:durableId="454837034">
    <w:abstractNumId w:val="24"/>
  </w:num>
  <w:num w:numId="20" w16cid:durableId="1032223429">
    <w:abstractNumId w:val="37"/>
  </w:num>
  <w:num w:numId="21" w16cid:durableId="268708098">
    <w:abstractNumId w:val="15"/>
  </w:num>
  <w:num w:numId="22" w16cid:durableId="812914680">
    <w:abstractNumId w:val="38"/>
  </w:num>
  <w:num w:numId="23" w16cid:durableId="657613679">
    <w:abstractNumId w:val="14"/>
  </w:num>
  <w:num w:numId="24" w16cid:durableId="259409184">
    <w:abstractNumId w:val="1"/>
  </w:num>
  <w:num w:numId="25" w16cid:durableId="438336475">
    <w:abstractNumId w:val="25"/>
  </w:num>
  <w:num w:numId="26" w16cid:durableId="1580478298">
    <w:abstractNumId w:val="2"/>
  </w:num>
  <w:num w:numId="27" w16cid:durableId="811601374">
    <w:abstractNumId w:val="41"/>
  </w:num>
  <w:num w:numId="28" w16cid:durableId="895971408">
    <w:abstractNumId w:val="31"/>
  </w:num>
  <w:num w:numId="29" w16cid:durableId="1403219582">
    <w:abstractNumId w:val="4"/>
  </w:num>
  <w:num w:numId="30" w16cid:durableId="653992953">
    <w:abstractNumId w:val="29"/>
  </w:num>
  <w:num w:numId="31" w16cid:durableId="1586986984">
    <w:abstractNumId w:val="21"/>
  </w:num>
  <w:num w:numId="32" w16cid:durableId="105465848">
    <w:abstractNumId w:val="35"/>
  </w:num>
  <w:num w:numId="33" w16cid:durableId="3166346">
    <w:abstractNumId w:val="40"/>
  </w:num>
  <w:num w:numId="34" w16cid:durableId="1379822388">
    <w:abstractNumId w:val="8"/>
  </w:num>
  <w:num w:numId="35" w16cid:durableId="1403792775">
    <w:abstractNumId w:val="28"/>
  </w:num>
  <w:num w:numId="36" w16cid:durableId="2133163684">
    <w:abstractNumId w:val="19"/>
  </w:num>
  <w:num w:numId="37" w16cid:durableId="2017413726">
    <w:abstractNumId w:val="20"/>
  </w:num>
  <w:num w:numId="38" w16cid:durableId="124393212">
    <w:abstractNumId w:val="0"/>
  </w:num>
  <w:num w:numId="39" w16cid:durableId="793333124">
    <w:abstractNumId w:val="36"/>
  </w:num>
  <w:num w:numId="40" w16cid:durableId="716516376">
    <w:abstractNumId w:val="16"/>
  </w:num>
  <w:num w:numId="41" w16cid:durableId="342708109">
    <w:abstractNumId w:val="9"/>
  </w:num>
  <w:num w:numId="42" w16cid:durableId="847674503">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0NDEyNzQyMjQwMjBR0lEKTi0uzszPAykwNK0FAMA34zwtAAAA"/>
  </w:docVars>
  <w:rsids>
    <w:rsidRoot w:val="009A4E4A"/>
    <w:rsid w:val="00000324"/>
    <w:rsid w:val="000003FC"/>
    <w:rsid w:val="00000454"/>
    <w:rsid w:val="0000081C"/>
    <w:rsid w:val="000009BD"/>
    <w:rsid w:val="00000BBF"/>
    <w:rsid w:val="00000CFD"/>
    <w:rsid w:val="00000EA8"/>
    <w:rsid w:val="00000F0C"/>
    <w:rsid w:val="000012B1"/>
    <w:rsid w:val="00001A9C"/>
    <w:rsid w:val="00001AEE"/>
    <w:rsid w:val="000028BA"/>
    <w:rsid w:val="00002DC9"/>
    <w:rsid w:val="000034B7"/>
    <w:rsid w:val="00003E5C"/>
    <w:rsid w:val="00006244"/>
    <w:rsid w:val="00006743"/>
    <w:rsid w:val="000068CF"/>
    <w:rsid w:val="00006D56"/>
    <w:rsid w:val="00007586"/>
    <w:rsid w:val="00010EA6"/>
    <w:rsid w:val="000116FB"/>
    <w:rsid w:val="00011975"/>
    <w:rsid w:val="000122C6"/>
    <w:rsid w:val="00012486"/>
    <w:rsid w:val="000128D6"/>
    <w:rsid w:val="00012C96"/>
    <w:rsid w:val="00012F14"/>
    <w:rsid w:val="000146A5"/>
    <w:rsid w:val="00014B31"/>
    <w:rsid w:val="00016CC1"/>
    <w:rsid w:val="00016CD4"/>
    <w:rsid w:val="00016CFC"/>
    <w:rsid w:val="00017F57"/>
    <w:rsid w:val="0002054C"/>
    <w:rsid w:val="0002090D"/>
    <w:rsid w:val="00020916"/>
    <w:rsid w:val="00020C20"/>
    <w:rsid w:val="00020D07"/>
    <w:rsid w:val="00020F6B"/>
    <w:rsid w:val="000213E0"/>
    <w:rsid w:val="00021D7A"/>
    <w:rsid w:val="00022003"/>
    <w:rsid w:val="0002209C"/>
    <w:rsid w:val="00022741"/>
    <w:rsid w:val="00022E0E"/>
    <w:rsid w:val="0002303C"/>
    <w:rsid w:val="0002310A"/>
    <w:rsid w:val="0002310D"/>
    <w:rsid w:val="000231B6"/>
    <w:rsid w:val="00023650"/>
    <w:rsid w:val="00023794"/>
    <w:rsid w:val="00023EB7"/>
    <w:rsid w:val="00025174"/>
    <w:rsid w:val="000254F6"/>
    <w:rsid w:val="00025677"/>
    <w:rsid w:val="00025CB5"/>
    <w:rsid w:val="00025DF9"/>
    <w:rsid w:val="00026B2C"/>
    <w:rsid w:val="0002715B"/>
    <w:rsid w:val="000307F9"/>
    <w:rsid w:val="00030C84"/>
    <w:rsid w:val="0003120E"/>
    <w:rsid w:val="0003160A"/>
    <w:rsid w:val="0003193F"/>
    <w:rsid w:val="00032445"/>
    <w:rsid w:val="00033EB4"/>
    <w:rsid w:val="00034BC1"/>
    <w:rsid w:val="00035105"/>
    <w:rsid w:val="00035878"/>
    <w:rsid w:val="00035B7B"/>
    <w:rsid w:val="0003666F"/>
    <w:rsid w:val="00036BE1"/>
    <w:rsid w:val="00037611"/>
    <w:rsid w:val="000376F7"/>
    <w:rsid w:val="00037A00"/>
    <w:rsid w:val="00037AC8"/>
    <w:rsid w:val="00040815"/>
    <w:rsid w:val="000408EE"/>
    <w:rsid w:val="000419F1"/>
    <w:rsid w:val="00041EF1"/>
    <w:rsid w:val="000426B8"/>
    <w:rsid w:val="00042A53"/>
    <w:rsid w:val="00042D0C"/>
    <w:rsid w:val="00043574"/>
    <w:rsid w:val="000435AD"/>
    <w:rsid w:val="0004371F"/>
    <w:rsid w:val="00043B6F"/>
    <w:rsid w:val="000445F1"/>
    <w:rsid w:val="00045A5F"/>
    <w:rsid w:val="00045E83"/>
    <w:rsid w:val="000465C6"/>
    <w:rsid w:val="000500E7"/>
    <w:rsid w:val="000505CB"/>
    <w:rsid w:val="00051A2F"/>
    <w:rsid w:val="00051D5B"/>
    <w:rsid w:val="00052C52"/>
    <w:rsid w:val="00053A34"/>
    <w:rsid w:val="00053B71"/>
    <w:rsid w:val="00053EF3"/>
    <w:rsid w:val="00054EA5"/>
    <w:rsid w:val="00055B7D"/>
    <w:rsid w:val="00056A04"/>
    <w:rsid w:val="00057861"/>
    <w:rsid w:val="00057E94"/>
    <w:rsid w:val="00060C7F"/>
    <w:rsid w:val="00060C99"/>
    <w:rsid w:val="00060F52"/>
    <w:rsid w:val="000614D6"/>
    <w:rsid w:val="0006186D"/>
    <w:rsid w:val="00061DC9"/>
    <w:rsid w:val="00062673"/>
    <w:rsid w:val="00063054"/>
    <w:rsid w:val="0006305C"/>
    <w:rsid w:val="000630F4"/>
    <w:rsid w:val="00063565"/>
    <w:rsid w:val="00063CE2"/>
    <w:rsid w:val="0006488E"/>
    <w:rsid w:val="00064F4D"/>
    <w:rsid w:val="000652CF"/>
    <w:rsid w:val="000658B7"/>
    <w:rsid w:val="000658E7"/>
    <w:rsid w:val="00065FE8"/>
    <w:rsid w:val="00066165"/>
    <w:rsid w:val="00066F94"/>
    <w:rsid w:val="00067405"/>
    <w:rsid w:val="000677F0"/>
    <w:rsid w:val="0006789A"/>
    <w:rsid w:val="000706A8"/>
    <w:rsid w:val="00070999"/>
    <w:rsid w:val="00070F20"/>
    <w:rsid w:val="00070FF8"/>
    <w:rsid w:val="0007367E"/>
    <w:rsid w:val="00074749"/>
    <w:rsid w:val="00076551"/>
    <w:rsid w:val="000766C2"/>
    <w:rsid w:val="00080A6A"/>
    <w:rsid w:val="00080CED"/>
    <w:rsid w:val="000812A8"/>
    <w:rsid w:val="00081AB6"/>
    <w:rsid w:val="00081F94"/>
    <w:rsid w:val="0008214F"/>
    <w:rsid w:val="00082D65"/>
    <w:rsid w:val="000839F6"/>
    <w:rsid w:val="00083C62"/>
    <w:rsid w:val="00084429"/>
    <w:rsid w:val="0008474D"/>
    <w:rsid w:val="000848B4"/>
    <w:rsid w:val="00084DF7"/>
    <w:rsid w:val="0008579F"/>
    <w:rsid w:val="000866F9"/>
    <w:rsid w:val="000868AC"/>
    <w:rsid w:val="00086903"/>
    <w:rsid w:val="000869D6"/>
    <w:rsid w:val="00086AFC"/>
    <w:rsid w:val="00087783"/>
    <w:rsid w:val="00090173"/>
    <w:rsid w:val="00090BE5"/>
    <w:rsid w:val="00090C29"/>
    <w:rsid w:val="00091295"/>
    <w:rsid w:val="000915D7"/>
    <w:rsid w:val="000916F9"/>
    <w:rsid w:val="00091BAC"/>
    <w:rsid w:val="00092E76"/>
    <w:rsid w:val="00093353"/>
    <w:rsid w:val="0009347A"/>
    <w:rsid w:val="000934FD"/>
    <w:rsid w:val="0009404F"/>
    <w:rsid w:val="000954B9"/>
    <w:rsid w:val="00095A8A"/>
    <w:rsid w:val="00095B46"/>
    <w:rsid w:val="00096655"/>
    <w:rsid w:val="00097341"/>
    <w:rsid w:val="000974F3"/>
    <w:rsid w:val="000976BF"/>
    <w:rsid w:val="00097B6E"/>
    <w:rsid w:val="000A050E"/>
    <w:rsid w:val="000A0C3C"/>
    <w:rsid w:val="000A0D22"/>
    <w:rsid w:val="000A0D3A"/>
    <w:rsid w:val="000A0F0D"/>
    <w:rsid w:val="000A124F"/>
    <w:rsid w:val="000A16F8"/>
    <w:rsid w:val="000A1ACA"/>
    <w:rsid w:val="000A1C2C"/>
    <w:rsid w:val="000A1F5F"/>
    <w:rsid w:val="000A203F"/>
    <w:rsid w:val="000A2B73"/>
    <w:rsid w:val="000A2C8E"/>
    <w:rsid w:val="000A44C2"/>
    <w:rsid w:val="000A4507"/>
    <w:rsid w:val="000A46BD"/>
    <w:rsid w:val="000A497B"/>
    <w:rsid w:val="000A5E83"/>
    <w:rsid w:val="000A6318"/>
    <w:rsid w:val="000A67AA"/>
    <w:rsid w:val="000A6BEE"/>
    <w:rsid w:val="000A6D76"/>
    <w:rsid w:val="000A7D4C"/>
    <w:rsid w:val="000B0CA6"/>
    <w:rsid w:val="000B115B"/>
    <w:rsid w:val="000B1248"/>
    <w:rsid w:val="000B1A54"/>
    <w:rsid w:val="000B1AE2"/>
    <w:rsid w:val="000B2396"/>
    <w:rsid w:val="000B2556"/>
    <w:rsid w:val="000B3B1D"/>
    <w:rsid w:val="000B40CA"/>
    <w:rsid w:val="000B40D6"/>
    <w:rsid w:val="000B58D6"/>
    <w:rsid w:val="000B5A21"/>
    <w:rsid w:val="000B5AE2"/>
    <w:rsid w:val="000B5B85"/>
    <w:rsid w:val="000B5DD7"/>
    <w:rsid w:val="000B7359"/>
    <w:rsid w:val="000B7EA5"/>
    <w:rsid w:val="000B7EC6"/>
    <w:rsid w:val="000C0AC9"/>
    <w:rsid w:val="000C0EFB"/>
    <w:rsid w:val="000C11E9"/>
    <w:rsid w:val="000C1213"/>
    <w:rsid w:val="000C22EA"/>
    <w:rsid w:val="000C2D3C"/>
    <w:rsid w:val="000C3ADA"/>
    <w:rsid w:val="000C3BD8"/>
    <w:rsid w:val="000C3EBE"/>
    <w:rsid w:val="000C476B"/>
    <w:rsid w:val="000C4E1B"/>
    <w:rsid w:val="000C4F67"/>
    <w:rsid w:val="000C5F05"/>
    <w:rsid w:val="000C618C"/>
    <w:rsid w:val="000C65A4"/>
    <w:rsid w:val="000C6A91"/>
    <w:rsid w:val="000C6FDC"/>
    <w:rsid w:val="000C73C1"/>
    <w:rsid w:val="000C74A8"/>
    <w:rsid w:val="000C754B"/>
    <w:rsid w:val="000C756E"/>
    <w:rsid w:val="000C7748"/>
    <w:rsid w:val="000C78B2"/>
    <w:rsid w:val="000D0A98"/>
    <w:rsid w:val="000D0ED9"/>
    <w:rsid w:val="000D2E3E"/>
    <w:rsid w:val="000D38DE"/>
    <w:rsid w:val="000D3D60"/>
    <w:rsid w:val="000D40EA"/>
    <w:rsid w:val="000D4FB7"/>
    <w:rsid w:val="000D54F9"/>
    <w:rsid w:val="000D5E96"/>
    <w:rsid w:val="000D6585"/>
    <w:rsid w:val="000D65E5"/>
    <w:rsid w:val="000D6659"/>
    <w:rsid w:val="000D68F9"/>
    <w:rsid w:val="000D6C24"/>
    <w:rsid w:val="000D712C"/>
    <w:rsid w:val="000D715D"/>
    <w:rsid w:val="000D73EA"/>
    <w:rsid w:val="000D7894"/>
    <w:rsid w:val="000D7B27"/>
    <w:rsid w:val="000E0095"/>
    <w:rsid w:val="000E0AEE"/>
    <w:rsid w:val="000E1A05"/>
    <w:rsid w:val="000E1F24"/>
    <w:rsid w:val="000E2F32"/>
    <w:rsid w:val="000E3102"/>
    <w:rsid w:val="000E3D90"/>
    <w:rsid w:val="000E43FA"/>
    <w:rsid w:val="000E475C"/>
    <w:rsid w:val="000E4CCE"/>
    <w:rsid w:val="000E6DF3"/>
    <w:rsid w:val="000E6FFC"/>
    <w:rsid w:val="000E7CF2"/>
    <w:rsid w:val="000F01DB"/>
    <w:rsid w:val="000F0D39"/>
    <w:rsid w:val="000F10FC"/>
    <w:rsid w:val="000F1B45"/>
    <w:rsid w:val="000F1D53"/>
    <w:rsid w:val="000F1FA2"/>
    <w:rsid w:val="000F2F35"/>
    <w:rsid w:val="000F3F80"/>
    <w:rsid w:val="000F4322"/>
    <w:rsid w:val="000F470E"/>
    <w:rsid w:val="000F4758"/>
    <w:rsid w:val="000F51C8"/>
    <w:rsid w:val="000F545C"/>
    <w:rsid w:val="000F578E"/>
    <w:rsid w:val="000F57A4"/>
    <w:rsid w:val="000F5831"/>
    <w:rsid w:val="000F6067"/>
    <w:rsid w:val="000F66EB"/>
    <w:rsid w:val="000F695C"/>
    <w:rsid w:val="000F6F71"/>
    <w:rsid w:val="000F78D2"/>
    <w:rsid w:val="000F7B86"/>
    <w:rsid w:val="000F7CA0"/>
    <w:rsid w:val="00100050"/>
    <w:rsid w:val="00100FD0"/>
    <w:rsid w:val="00101992"/>
    <w:rsid w:val="00101BEE"/>
    <w:rsid w:val="00101CB6"/>
    <w:rsid w:val="00102140"/>
    <w:rsid w:val="001024FF"/>
    <w:rsid w:val="00102997"/>
    <w:rsid w:val="001029AE"/>
    <w:rsid w:val="001034ED"/>
    <w:rsid w:val="00103751"/>
    <w:rsid w:val="001037D4"/>
    <w:rsid w:val="00103B21"/>
    <w:rsid w:val="00103F45"/>
    <w:rsid w:val="00104209"/>
    <w:rsid w:val="001043ED"/>
    <w:rsid w:val="00104E88"/>
    <w:rsid w:val="00106BF0"/>
    <w:rsid w:val="00107451"/>
    <w:rsid w:val="0010798E"/>
    <w:rsid w:val="00110A3E"/>
    <w:rsid w:val="00111300"/>
    <w:rsid w:val="00111764"/>
    <w:rsid w:val="00113093"/>
    <w:rsid w:val="00114352"/>
    <w:rsid w:val="0011464B"/>
    <w:rsid w:val="00114B2A"/>
    <w:rsid w:val="00114EF5"/>
    <w:rsid w:val="0011522A"/>
    <w:rsid w:val="00115A6D"/>
    <w:rsid w:val="0011677D"/>
    <w:rsid w:val="00116F85"/>
    <w:rsid w:val="00117378"/>
    <w:rsid w:val="00120A1A"/>
    <w:rsid w:val="00120DCC"/>
    <w:rsid w:val="00121C58"/>
    <w:rsid w:val="001220F3"/>
    <w:rsid w:val="001225B6"/>
    <w:rsid w:val="001226BA"/>
    <w:rsid w:val="001231C7"/>
    <w:rsid w:val="0012328D"/>
    <w:rsid w:val="00123B7B"/>
    <w:rsid w:val="00124D6D"/>
    <w:rsid w:val="0012646E"/>
    <w:rsid w:val="001270B8"/>
    <w:rsid w:val="00127346"/>
    <w:rsid w:val="001273E2"/>
    <w:rsid w:val="001277B2"/>
    <w:rsid w:val="00127A7C"/>
    <w:rsid w:val="00127EFA"/>
    <w:rsid w:val="00127F69"/>
    <w:rsid w:val="00130638"/>
    <w:rsid w:val="001316FE"/>
    <w:rsid w:val="00131994"/>
    <w:rsid w:val="00131D1C"/>
    <w:rsid w:val="00131D80"/>
    <w:rsid w:val="00133505"/>
    <w:rsid w:val="001336D7"/>
    <w:rsid w:val="00133B77"/>
    <w:rsid w:val="00134F15"/>
    <w:rsid w:val="00135B96"/>
    <w:rsid w:val="0013600A"/>
    <w:rsid w:val="001362C1"/>
    <w:rsid w:val="00136DBF"/>
    <w:rsid w:val="001372E8"/>
    <w:rsid w:val="00137B35"/>
    <w:rsid w:val="00137F92"/>
    <w:rsid w:val="001408FA"/>
    <w:rsid w:val="00140C21"/>
    <w:rsid w:val="0014187F"/>
    <w:rsid w:val="00141947"/>
    <w:rsid w:val="00141D20"/>
    <w:rsid w:val="00142669"/>
    <w:rsid w:val="00143EAE"/>
    <w:rsid w:val="001440A2"/>
    <w:rsid w:val="001445D1"/>
    <w:rsid w:val="00145682"/>
    <w:rsid w:val="00145D97"/>
    <w:rsid w:val="001474B1"/>
    <w:rsid w:val="00147AC0"/>
    <w:rsid w:val="00147DB7"/>
    <w:rsid w:val="00150245"/>
    <w:rsid w:val="00150585"/>
    <w:rsid w:val="00150830"/>
    <w:rsid w:val="00150AA2"/>
    <w:rsid w:val="00151029"/>
    <w:rsid w:val="001512C4"/>
    <w:rsid w:val="001514A3"/>
    <w:rsid w:val="0015187F"/>
    <w:rsid w:val="0015239D"/>
    <w:rsid w:val="00152851"/>
    <w:rsid w:val="0015349D"/>
    <w:rsid w:val="00154B95"/>
    <w:rsid w:val="001563FB"/>
    <w:rsid w:val="00156B4A"/>
    <w:rsid w:val="001576A2"/>
    <w:rsid w:val="0015774E"/>
    <w:rsid w:val="00157B3F"/>
    <w:rsid w:val="00157BA9"/>
    <w:rsid w:val="00157EA5"/>
    <w:rsid w:val="001608F6"/>
    <w:rsid w:val="00160B10"/>
    <w:rsid w:val="00160FC8"/>
    <w:rsid w:val="0016320E"/>
    <w:rsid w:val="00163234"/>
    <w:rsid w:val="00163367"/>
    <w:rsid w:val="0016455F"/>
    <w:rsid w:val="00165220"/>
    <w:rsid w:val="00166402"/>
    <w:rsid w:val="00166552"/>
    <w:rsid w:val="001665C6"/>
    <w:rsid w:val="00166B8D"/>
    <w:rsid w:val="00166B9B"/>
    <w:rsid w:val="0016705D"/>
    <w:rsid w:val="001670DC"/>
    <w:rsid w:val="00167203"/>
    <w:rsid w:val="001678AD"/>
    <w:rsid w:val="00167FC1"/>
    <w:rsid w:val="001703B9"/>
    <w:rsid w:val="001709F1"/>
    <w:rsid w:val="00170B5F"/>
    <w:rsid w:val="0017192E"/>
    <w:rsid w:val="00171E87"/>
    <w:rsid w:val="00172919"/>
    <w:rsid w:val="00172B25"/>
    <w:rsid w:val="00174462"/>
    <w:rsid w:val="0017476F"/>
    <w:rsid w:val="00175430"/>
    <w:rsid w:val="00175497"/>
    <w:rsid w:val="00176139"/>
    <w:rsid w:val="001771C1"/>
    <w:rsid w:val="00177240"/>
    <w:rsid w:val="0017787A"/>
    <w:rsid w:val="00180157"/>
    <w:rsid w:val="001801B8"/>
    <w:rsid w:val="00181062"/>
    <w:rsid w:val="00181169"/>
    <w:rsid w:val="00181662"/>
    <w:rsid w:val="00181848"/>
    <w:rsid w:val="00181CED"/>
    <w:rsid w:val="001825D4"/>
    <w:rsid w:val="00183521"/>
    <w:rsid w:val="0018399B"/>
    <w:rsid w:val="00184166"/>
    <w:rsid w:val="0018424D"/>
    <w:rsid w:val="00184A61"/>
    <w:rsid w:val="00184B9F"/>
    <w:rsid w:val="00184EAE"/>
    <w:rsid w:val="001856C9"/>
    <w:rsid w:val="00185A5C"/>
    <w:rsid w:val="001863D4"/>
    <w:rsid w:val="0018679D"/>
    <w:rsid w:val="00186A07"/>
    <w:rsid w:val="00186A1A"/>
    <w:rsid w:val="0018715A"/>
    <w:rsid w:val="001900B4"/>
    <w:rsid w:val="001905D3"/>
    <w:rsid w:val="001910CA"/>
    <w:rsid w:val="0019180E"/>
    <w:rsid w:val="00191F7D"/>
    <w:rsid w:val="001923B2"/>
    <w:rsid w:val="00192B06"/>
    <w:rsid w:val="00193A95"/>
    <w:rsid w:val="00193AF4"/>
    <w:rsid w:val="00193F5D"/>
    <w:rsid w:val="00193FB2"/>
    <w:rsid w:val="001941D1"/>
    <w:rsid w:val="0019438F"/>
    <w:rsid w:val="0019461B"/>
    <w:rsid w:val="00194E80"/>
    <w:rsid w:val="0019539A"/>
    <w:rsid w:val="00195567"/>
    <w:rsid w:val="00195E5D"/>
    <w:rsid w:val="00195F76"/>
    <w:rsid w:val="00196A33"/>
    <w:rsid w:val="00196ED6"/>
    <w:rsid w:val="001972B4"/>
    <w:rsid w:val="00197838"/>
    <w:rsid w:val="001978A9"/>
    <w:rsid w:val="00197C1D"/>
    <w:rsid w:val="00197C2C"/>
    <w:rsid w:val="001A02AE"/>
    <w:rsid w:val="001A061D"/>
    <w:rsid w:val="001A0BAA"/>
    <w:rsid w:val="001A1AFF"/>
    <w:rsid w:val="001A1BDE"/>
    <w:rsid w:val="001A3462"/>
    <w:rsid w:val="001A3B6B"/>
    <w:rsid w:val="001A4648"/>
    <w:rsid w:val="001A47BB"/>
    <w:rsid w:val="001A5004"/>
    <w:rsid w:val="001A520E"/>
    <w:rsid w:val="001A5367"/>
    <w:rsid w:val="001A591D"/>
    <w:rsid w:val="001A5CA3"/>
    <w:rsid w:val="001A5D80"/>
    <w:rsid w:val="001A65A6"/>
    <w:rsid w:val="001A685C"/>
    <w:rsid w:val="001A6991"/>
    <w:rsid w:val="001A6F71"/>
    <w:rsid w:val="001A7310"/>
    <w:rsid w:val="001A7316"/>
    <w:rsid w:val="001A73B7"/>
    <w:rsid w:val="001A7A8B"/>
    <w:rsid w:val="001A7B01"/>
    <w:rsid w:val="001B086C"/>
    <w:rsid w:val="001B10AA"/>
    <w:rsid w:val="001B10DD"/>
    <w:rsid w:val="001B2240"/>
    <w:rsid w:val="001B279E"/>
    <w:rsid w:val="001B29D2"/>
    <w:rsid w:val="001B2B76"/>
    <w:rsid w:val="001B2C63"/>
    <w:rsid w:val="001B2D70"/>
    <w:rsid w:val="001B2ECC"/>
    <w:rsid w:val="001B3C1A"/>
    <w:rsid w:val="001B3C7D"/>
    <w:rsid w:val="001B4135"/>
    <w:rsid w:val="001B4659"/>
    <w:rsid w:val="001B50C9"/>
    <w:rsid w:val="001B598E"/>
    <w:rsid w:val="001B60D8"/>
    <w:rsid w:val="001B7855"/>
    <w:rsid w:val="001C0257"/>
    <w:rsid w:val="001C0311"/>
    <w:rsid w:val="001C097B"/>
    <w:rsid w:val="001C10F0"/>
    <w:rsid w:val="001C16A8"/>
    <w:rsid w:val="001C2038"/>
    <w:rsid w:val="001C2C15"/>
    <w:rsid w:val="001C2D5A"/>
    <w:rsid w:val="001C3450"/>
    <w:rsid w:val="001C4341"/>
    <w:rsid w:val="001C58D8"/>
    <w:rsid w:val="001C5CEA"/>
    <w:rsid w:val="001C5F39"/>
    <w:rsid w:val="001C68B4"/>
    <w:rsid w:val="001C7D86"/>
    <w:rsid w:val="001D006E"/>
    <w:rsid w:val="001D00BD"/>
    <w:rsid w:val="001D070F"/>
    <w:rsid w:val="001D197A"/>
    <w:rsid w:val="001D31AC"/>
    <w:rsid w:val="001D3309"/>
    <w:rsid w:val="001D3795"/>
    <w:rsid w:val="001D3AD5"/>
    <w:rsid w:val="001D419E"/>
    <w:rsid w:val="001D460B"/>
    <w:rsid w:val="001D464D"/>
    <w:rsid w:val="001D469F"/>
    <w:rsid w:val="001D47A1"/>
    <w:rsid w:val="001D6493"/>
    <w:rsid w:val="001D6781"/>
    <w:rsid w:val="001D6C43"/>
    <w:rsid w:val="001D749A"/>
    <w:rsid w:val="001D7515"/>
    <w:rsid w:val="001D76F6"/>
    <w:rsid w:val="001D790F"/>
    <w:rsid w:val="001D7C6E"/>
    <w:rsid w:val="001D7D16"/>
    <w:rsid w:val="001E03E9"/>
    <w:rsid w:val="001E0BDF"/>
    <w:rsid w:val="001E0CD3"/>
    <w:rsid w:val="001E0D2C"/>
    <w:rsid w:val="001E2321"/>
    <w:rsid w:val="001E276C"/>
    <w:rsid w:val="001E2C62"/>
    <w:rsid w:val="001E329B"/>
    <w:rsid w:val="001E354A"/>
    <w:rsid w:val="001E382A"/>
    <w:rsid w:val="001E3DA5"/>
    <w:rsid w:val="001E592F"/>
    <w:rsid w:val="001E5C0D"/>
    <w:rsid w:val="001E75A3"/>
    <w:rsid w:val="001E75ED"/>
    <w:rsid w:val="001F0110"/>
    <w:rsid w:val="001F0161"/>
    <w:rsid w:val="001F02ED"/>
    <w:rsid w:val="001F04CD"/>
    <w:rsid w:val="001F0832"/>
    <w:rsid w:val="001F16B3"/>
    <w:rsid w:val="001F1FE7"/>
    <w:rsid w:val="001F201F"/>
    <w:rsid w:val="001F24A9"/>
    <w:rsid w:val="001F2949"/>
    <w:rsid w:val="001F3F5B"/>
    <w:rsid w:val="001F44ED"/>
    <w:rsid w:val="001F4536"/>
    <w:rsid w:val="001F55BF"/>
    <w:rsid w:val="001F7962"/>
    <w:rsid w:val="001F7FB9"/>
    <w:rsid w:val="002005B7"/>
    <w:rsid w:val="00200EF7"/>
    <w:rsid w:val="002012DF"/>
    <w:rsid w:val="0020135E"/>
    <w:rsid w:val="002017A3"/>
    <w:rsid w:val="00201B7C"/>
    <w:rsid w:val="00202E89"/>
    <w:rsid w:val="00203165"/>
    <w:rsid w:val="00203430"/>
    <w:rsid w:val="0020361B"/>
    <w:rsid w:val="00204B7A"/>
    <w:rsid w:val="00206397"/>
    <w:rsid w:val="0020670A"/>
    <w:rsid w:val="0020704E"/>
    <w:rsid w:val="00207597"/>
    <w:rsid w:val="00210F63"/>
    <w:rsid w:val="002116A6"/>
    <w:rsid w:val="00211C15"/>
    <w:rsid w:val="0021261A"/>
    <w:rsid w:val="00212C06"/>
    <w:rsid w:val="00212F9F"/>
    <w:rsid w:val="0021307B"/>
    <w:rsid w:val="00213F01"/>
    <w:rsid w:val="00213F9F"/>
    <w:rsid w:val="00215152"/>
    <w:rsid w:val="0021537A"/>
    <w:rsid w:val="0021551B"/>
    <w:rsid w:val="00215782"/>
    <w:rsid w:val="00215BDC"/>
    <w:rsid w:val="0021689E"/>
    <w:rsid w:val="00216C21"/>
    <w:rsid w:val="00216ED5"/>
    <w:rsid w:val="00216F94"/>
    <w:rsid w:val="0021704A"/>
    <w:rsid w:val="002206C7"/>
    <w:rsid w:val="00220DFF"/>
    <w:rsid w:val="00221680"/>
    <w:rsid w:val="00221969"/>
    <w:rsid w:val="00221B2A"/>
    <w:rsid w:val="00222135"/>
    <w:rsid w:val="00222725"/>
    <w:rsid w:val="00222840"/>
    <w:rsid w:val="0022318B"/>
    <w:rsid w:val="0022466B"/>
    <w:rsid w:val="002246C5"/>
    <w:rsid w:val="0022518F"/>
    <w:rsid w:val="002251C6"/>
    <w:rsid w:val="0022535B"/>
    <w:rsid w:val="0022609F"/>
    <w:rsid w:val="00226AE3"/>
    <w:rsid w:val="00226BD1"/>
    <w:rsid w:val="00227515"/>
    <w:rsid w:val="002275D0"/>
    <w:rsid w:val="00227AD2"/>
    <w:rsid w:val="00227C25"/>
    <w:rsid w:val="00230258"/>
    <w:rsid w:val="0023140F"/>
    <w:rsid w:val="00231A2C"/>
    <w:rsid w:val="00231EBF"/>
    <w:rsid w:val="00231F51"/>
    <w:rsid w:val="0023250F"/>
    <w:rsid w:val="00232A0A"/>
    <w:rsid w:val="00233580"/>
    <w:rsid w:val="00233A55"/>
    <w:rsid w:val="00234AD0"/>
    <w:rsid w:val="00234F4C"/>
    <w:rsid w:val="002353B2"/>
    <w:rsid w:val="00235D4E"/>
    <w:rsid w:val="00235F25"/>
    <w:rsid w:val="0023650E"/>
    <w:rsid w:val="002368FF"/>
    <w:rsid w:val="0023702A"/>
    <w:rsid w:val="00237B5B"/>
    <w:rsid w:val="002400D8"/>
    <w:rsid w:val="00241643"/>
    <w:rsid w:val="002417EC"/>
    <w:rsid w:val="00241EDA"/>
    <w:rsid w:val="00242974"/>
    <w:rsid w:val="00242E85"/>
    <w:rsid w:val="0024328F"/>
    <w:rsid w:val="00243C97"/>
    <w:rsid w:val="0024469B"/>
    <w:rsid w:val="0024537E"/>
    <w:rsid w:val="00246030"/>
    <w:rsid w:val="00246152"/>
    <w:rsid w:val="002462E8"/>
    <w:rsid w:val="00246373"/>
    <w:rsid w:val="002467E8"/>
    <w:rsid w:val="00247213"/>
    <w:rsid w:val="00247703"/>
    <w:rsid w:val="00247BCD"/>
    <w:rsid w:val="00247BEE"/>
    <w:rsid w:val="00250C33"/>
    <w:rsid w:val="002522C0"/>
    <w:rsid w:val="002524C9"/>
    <w:rsid w:val="00252978"/>
    <w:rsid w:val="002529E7"/>
    <w:rsid w:val="00252D3C"/>
    <w:rsid w:val="00254859"/>
    <w:rsid w:val="00254A2F"/>
    <w:rsid w:val="00254D53"/>
    <w:rsid w:val="00254D75"/>
    <w:rsid w:val="00255205"/>
    <w:rsid w:val="00255586"/>
    <w:rsid w:val="002558AB"/>
    <w:rsid w:val="00255C48"/>
    <w:rsid w:val="00255FEF"/>
    <w:rsid w:val="00256A0E"/>
    <w:rsid w:val="00257A1D"/>
    <w:rsid w:val="00260CCE"/>
    <w:rsid w:val="00260E19"/>
    <w:rsid w:val="00261878"/>
    <w:rsid w:val="00262059"/>
    <w:rsid w:val="0026374C"/>
    <w:rsid w:val="002639DC"/>
    <w:rsid w:val="00263F48"/>
    <w:rsid w:val="002644E0"/>
    <w:rsid w:val="0026546B"/>
    <w:rsid w:val="0026585D"/>
    <w:rsid w:val="0026586C"/>
    <w:rsid w:val="00265AD3"/>
    <w:rsid w:val="00265DA3"/>
    <w:rsid w:val="00265E5C"/>
    <w:rsid w:val="00270263"/>
    <w:rsid w:val="0027058D"/>
    <w:rsid w:val="002705B1"/>
    <w:rsid w:val="00270897"/>
    <w:rsid w:val="00270A44"/>
    <w:rsid w:val="002712E9"/>
    <w:rsid w:val="002719B8"/>
    <w:rsid w:val="002719FF"/>
    <w:rsid w:val="00271CB9"/>
    <w:rsid w:val="0027296B"/>
    <w:rsid w:val="00272A9F"/>
    <w:rsid w:val="00273C87"/>
    <w:rsid w:val="002750F6"/>
    <w:rsid w:val="00276F56"/>
    <w:rsid w:val="0027729D"/>
    <w:rsid w:val="00280231"/>
    <w:rsid w:val="00280EA1"/>
    <w:rsid w:val="00280FDF"/>
    <w:rsid w:val="00281639"/>
    <w:rsid w:val="00282840"/>
    <w:rsid w:val="002837AF"/>
    <w:rsid w:val="00283C8B"/>
    <w:rsid w:val="002856A0"/>
    <w:rsid w:val="002874F1"/>
    <w:rsid w:val="00287A05"/>
    <w:rsid w:val="00287AA6"/>
    <w:rsid w:val="00287D93"/>
    <w:rsid w:val="0029048B"/>
    <w:rsid w:val="002907AD"/>
    <w:rsid w:val="00290BFF"/>
    <w:rsid w:val="00290F11"/>
    <w:rsid w:val="00291240"/>
    <w:rsid w:val="00291302"/>
    <w:rsid w:val="002914CF"/>
    <w:rsid w:val="002916DE"/>
    <w:rsid w:val="002918B2"/>
    <w:rsid w:val="00292D66"/>
    <w:rsid w:val="00292F32"/>
    <w:rsid w:val="00293A73"/>
    <w:rsid w:val="00293DF1"/>
    <w:rsid w:val="002943EA"/>
    <w:rsid w:val="00294898"/>
    <w:rsid w:val="0029493F"/>
    <w:rsid w:val="00294F23"/>
    <w:rsid w:val="00295D8F"/>
    <w:rsid w:val="00296098"/>
    <w:rsid w:val="00296121"/>
    <w:rsid w:val="002962EF"/>
    <w:rsid w:val="00297609"/>
    <w:rsid w:val="00297B46"/>
    <w:rsid w:val="00297DCB"/>
    <w:rsid w:val="002A0137"/>
    <w:rsid w:val="002A06F6"/>
    <w:rsid w:val="002A0760"/>
    <w:rsid w:val="002A096D"/>
    <w:rsid w:val="002A1BE1"/>
    <w:rsid w:val="002A23E4"/>
    <w:rsid w:val="002A24FE"/>
    <w:rsid w:val="002A295E"/>
    <w:rsid w:val="002A2CFB"/>
    <w:rsid w:val="002A2FAC"/>
    <w:rsid w:val="002A3AA1"/>
    <w:rsid w:val="002A42D0"/>
    <w:rsid w:val="002A47AD"/>
    <w:rsid w:val="002A4813"/>
    <w:rsid w:val="002A4C36"/>
    <w:rsid w:val="002A508F"/>
    <w:rsid w:val="002A5420"/>
    <w:rsid w:val="002A5632"/>
    <w:rsid w:val="002A56CD"/>
    <w:rsid w:val="002A5B0A"/>
    <w:rsid w:val="002A63C7"/>
    <w:rsid w:val="002A774C"/>
    <w:rsid w:val="002B0801"/>
    <w:rsid w:val="002B0B86"/>
    <w:rsid w:val="002B118D"/>
    <w:rsid w:val="002B1E2C"/>
    <w:rsid w:val="002B1E8D"/>
    <w:rsid w:val="002B266A"/>
    <w:rsid w:val="002B354F"/>
    <w:rsid w:val="002B4A65"/>
    <w:rsid w:val="002B4D4E"/>
    <w:rsid w:val="002B50AF"/>
    <w:rsid w:val="002B5FC0"/>
    <w:rsid w:val="002B60DA"/>
    <w:rsid w:val="002B65D1"/>
    <w:rsid w:val="002B6712"/>
    <w:rsid w:val="002B7A24"/>
    <w:rsid w:val="002B7F6D"/>
    <w:rsid w:val="002C04B0"/>
    <w:rsid w:val="002C1748"/>
    <w:rsid w:val="002C2B3F"/>
    <w:rsid w:val="002C2D76"/>
    <w:rsid w:val="002C326D"/>
    <w:rsid w:val="002C3454"/>
    <w:rsid w:val="002C3B9E"/>
    <w:rsid w:val="002C3D02"/>
    <w:rsid w:val="002C40CE"/>
    <w:rsid w:val="002C4260"/>
    <w:rsid w:val="002C4A2D"/>
    <w:rsid w:val="002C51D9"/>
    <w:rsid w:val="002C62E2"/>
    <w:rsid w:val="002C6CFC"/>
    <w:rsid w:val="002C6D3B"/>
    <w:rsid w:val="002C6F21"/>
    <w:rsid w:val="002C7928"/>
    <w:rsid w:val="002C7AB7"/>
    <w:rsid w:val="002C7C98"/>
    <w:rsid w:val="002D012D"/>
    <w:rsid w:val="002D042D"/>
    <w:rsid w:val="002D0872"/>
    <w:rsid w:val="002D0F2D"/>
    <w:rsid w:val="002D13B7"/>
    <w:rsid w:val="002D17C4"/>
    <w:rsid w:val="002D2968"/>
    <w:rsid w:val="002D2AE8"/>
    <w:rsid w:val="002D33BD"/>
    <w:rsid w:val="002D34F6"/>
    <w:rsid w:val="002D358C"/>
    <w:rsid w:val="002D44C9"/>
    <w:rsid w:val="002D4D2F"/>
    <w:rsid w:val="002D523B"/>
    <w:rsid w:val="002D533E"/>
    <w:rsid w:val="002D6282"/>
    <w:rsid w:val="002D682E"/>
    <w:rsid w:val="002D6B01"/>
    <w:rsid w:val="002D78D8"/>
    <w:rsid w:val="002D791E"/>
    <w:rsid w:val="002D7E83"/>
    <w:rsid w:val="002E06FF"/>
    <w:rsid w:val="002E0743"/>
    <w:rsid w:val="002E0DDA"/>
    <w:rsid w:val="002E109E"/>
    <w:rsid w:val="002E1137"/>
    <w:rsid w:val="002E1410"/>
    <w:rsid w:val="002E141E"/>
    <w:rsid w:val="002E32A3"/>
    <w:rsid w:val="002E3560"/>
    <w:rsid w:val="002E3F47"/>
    <w:rsid w:val="002E56A6"/>
    <w:rsid w:val="002E6324"/>
    <w:rsid w:val="002E69B8"/>
    <w:rsid w:val="002E7A14"/>
    <w:rsid w:val="002F1245"/>
    <w:rsid w:val="002F22C3"/>
    <w:rsid w:val="002F23D3"/>
    <w:rsid w:val="002F2E3E"/>
    <w:rsid w:val="002F31F5"/>
    <w:rsid w:val="002F40EC"/>
    <w:rsid w:val="002F485C"/>
    <w:rsid w:val="002F6476"/>
    <w:rsid w:val="002F6D0A"/>
    <w:rsid w:val="002F70F4"/>
    <w:rsid w:val="00300DE1"/>
    <w:rsid w:val="0030125A"/>
    <w:rsid w:val="0030162B"/>
    <w:rsid w:val="0030168E"/>
    <w:rsid w:val="00301F1F"/>
    <w:rsid w:val="00301F6F"/>
    <w:rsid w:val="003023CD"/>
    <w:rsid w:val="0030249E"/>
    <w:rsid w:val="00302656"/>
    <w:rsid w:val="003030EF"/>
    <w:rsid w:val="00304A3C"/>
    <w:rsid w:val="00304EC1"/>
    <w:rsid w:val="00305AE2"/>
    <w:rsid w:val="00305EF6"/>
    <w:rsid w:val="00306363"/>
    <w:rsid w:val="003068F1"/>
    <w:rsid w:val="00307302"/>
    <w:rsid w:val="003075D4"/>
    <w:rsid w:val="00307D97"/>
    <w:rsid w:val="00307F5F"/>
    <w:rsid w:val="0031027F"/>
    <w:rsid w:val="0031051E"/>
    <w:rsid w:val="0031094A"/>
    <w:rsid w:val="00310CC5"/>
    <w:rsid w:val="003118D8"/>
    <w:rsid w:val="00311BD2"/>
    <w:rsid w:val="00312EF6"/>
    <w:rsid w:val="00313F71"/>
    <w:rsid w:val="00313F7F"/>
    <w:rsid w:val="00314140"/>
    <w:rsid w:val="00314224"/>
    <w:rsid w:val="00314BA9"/>
    <w:rsid w:val="003151F6"/>
    <w:rsid w:val="003157B8"/>
    <w:rsid w:val="00315EB8"/>
    <w:rsid w:val="0031666C"/>
    <w:rsid w:val="00317A3D"/>
    <w:rsid w:val="003202BC"/>
    <w:rsid w:val="00320B2A"/>
    <w:rsid w:val="00320D74"/>
    <w:rsid w:val="003218F3"/>
    <w:rsid w:val="00321B9A"/>
    <w:rsid w:val="00321BDC"/>
    <w:rsid w:val="00322EC1"/>
    <w:rsid w:val="0032322A"/>
    <w:rsid w:val="003234A3"/>
    <w:rsid w:val="00323F90"/>
    <w:rsid w:val="003245A6"/>
    <w:rsid w:val="00324C91"/>
    <w:rsid w:val="00326395"/>
    <w:rsid w:val="00326409"/>
    <w:rsid w:val="003276C2"/>
    <w:rsid w:val="00327E8D"/>
    <w:rsid w:val="003300E4"/>
    <w:rsid w:val="003302A0"/>
    <w:rsid w:val="00330928"/>
    <w:rsid w:val="003313C9"/>
    <w:rsid w:val="0033250F"/>
    <w:rsid w:val="003331EC"/>
    <w:rsid w:val="003333F2"/>
    <w:rsid w:val="003337E0"/>
    <w:rsid w:val="0033397D"/>
    <w:rsid w:val="00333D69"/>
    <w:rsid w:val="00333F86"/>
    <w:rsid w:val="003342E4"/>
    <w:rsid w:val="003345BE"/>
    <w:rsid w:val="00334F87"/>
    <w:rsid w:val="00334F96"/>
    <w:rsid w:val="003361DE"/>
    <w:rsid w:val="003367B3"/>
    <w:rsid w:val="00336DB9"/>
    <w:rsid w:val="00337A91"/>
    <w:rsid w:val="00340766"/>
    <w:rsid w:val="00340E9B"/>
    <w:rsid w:val="003416A9"/>
    <w:rsid w:val="003418D5"/>
    <w:rsid w:val="003422C5"/>
    <w:rsid w:val="00342461"/>
    <w:rsid w:val="00343C8A"/>
    <w:rsid w:val="00343E02"/>
    <w:rsid w:val="00344DAE"/>
    <w:rsid w:val="00344FB7"/>
    <w:rsid w:val="00345185"/>
    <w:rsid w:val="00347450"/>
    <w:rsid w:val="0035050D"/>
    <w:rsid w:val="00351140"/>
    <w:rsid w:val="00351B75"/>
    <w:rsid w:val="00351BEF"/>
    <w:rsid w:val="00353740"/>
    <w:rsid w:val="003537DB"/>
    <w:rsid w:val="0035492A"/>
    <w:rsid w:val="00354B23"/>
    <w:rsid w:val="00354E32"/>
    <w:rsid w:val="0035550F"/>
    <w:rsid w:val="00355961"/>
    <w:rsid w:val="00355B2F"/>
    <w:rsid w:val="003563F7"/>
    <w:rsid w:val="00356B4B"/>
    <w:rsid w:val="00357BEE"/>
    <w:rsid w:val="00360B69"/>
    <w:rsid w:val="00361120"/>
    <w:rsid w:val="003611B8"/>
    <w:rsid w:val="003613F8"/>
    <w:rsid w:val="00361624"/>
    <w:rsid w:val="00361A05"/>
    <w:rsid w:val="00362630"/>
    <w:rsid w:val="00363112"/>
    <w:rsid w:val="00363649"/>
    <w:rsid w:val="003638C8"/>
    <w:rsid w:val="0036401A"/>
    <w:rsid w:val="003643AF"/>
    <w:rsid w:val="00364555"/>
    <w:rsid w:val="0036497A"/>
    <w:rsid w:val="00364B10"/>
    <w:rsid w:val="00365735"/>
    <w:rsid w:val="0036691A"/>
    <w:rsid w:val="003671C6"/>
    <w:rsid w:val="003675D1"/>
    <w:rsid w:val="00367C95"/>
    <w:rsid w:val="00367CF8"/>
    <w:rsid w:val="0037136A"/>
    <w:rsid w:val="00371374"/>
    <w:rsid w:val="00371791"/>
    <w:rsid w:val="00371C59"/>
    <w:rsid w:val="00372079"/>
    <w:rsid w:val="00372F87"/>
    <w:rsid w:val="00372FDB"/>
    <w:rsid w:val="003733F0"/>
    <w:rsid w:val="00373CDC"/>
    <w:rsid w:val="003749D4"/>
    <w:rsid w:val="00374E31"/>
    <w:rsid w:val="00375299"/>
    <w:rsid w:val="003755D3"/>
    <w:rsid w:val="00376FD2"/>
    <w:rsid w:val="0037763A"/>
    <w:rsid w:val="0037773B"/>
    <w:rsid w:val="0037783E"/>
    <w:rsid w:val="003802AB"/>
    <w:rsid w:val="003806FE"/>
    <w:rsid w:val="00380AD4"/>
    <w:rsid w:val="0038143B"/>
    <w:rsid w:val="00382093"/>
    <w:rsid w:val="00382321"/>
    <w:rsid w:val="00382D24"/>
    <w:rsid w:val="003831E2"/>
    <w:rsid w:val="00383695"/>
    <w:rsid w:val="00384F88"/>
    <w:rsid w:val="0038528F"/>
    <w:rsid w:val="0038548A"/>
    <w:rsid w:val="00385596"/>
    <w:rsid w:val="003868F5"/>
    <w:rsid w:val="00386C0C"/>
    <w:rsid w:val="00386E7F"/>
    <w:rsid w:val="00387282"/>
    <w:rsid w:val="003873D9"/>
    <w:rsid w:val="003874E3"/>
    <w:rsid w:val="003879B6"/>
    <w:rsid w:val="00387FB4"/>
    <w:rsid w:val="00390528"/>
    <w:rsid w:val="00390B1E"/>
    <w:rsid w:val="00391532"/>
    <w:rsid w:val="0039219B"/>
    <w:rsid w:val="00392633"/>
    <w:rsid w:val="00393191"/>
    <w:rsid w:val="00393A9F"/>
    <w:rsid w:val="00395A01"/>
    <w:rsid w:val="003962DF"/>
    <w:rsid w:val="00396317"/>
    <w:rsid w:val="0039661D"/>
    <w:rsid w:val="00396E4D"/>
    <w:rsid w:val="003976E7"/>
    <w:rsid w:val="003A1391"/>
    <w:rsid w:val="003A1BCA"/>
    <w:rsid w:val="003A3927"/>
    <w:rsid w:val="003A4411"/>
    <w:rsid w:val="003A444C"/>
    <w:rsid w:val="003A4704"/>
    <w:rsid w:val="003A5CF5"/>
    <w:rsid w:val="003A623C"/>
    <w:rsid w:val="003A7BAC"/>
    <w:rsid w:val="003B06C8"/>
    <w:rsid w:val="003B1474"/>
    <w:rsid w:val="003B1903"/>
    <w:rsid w:val="003B2F05"/>
    <w:rsid w:val="003B2F2C"/>
    <w:rsid w:val="003B3E70"/>
    <w:rsid w:val="003B3EF0"/>
    <w:rsid w:val="003B4011"/>
    <w:rsid w:val="003B4983"/>
    <w:rsid w:val="003B4B3F"/>
    <w:rsid w:val="003B55CE"/>
    <w:rsid w:val="003B5D40"/>
    <w:rsid w:val="003B5DFF"/>
    <w:rsid w:val="003B6127"/>
    <w:rsid w:val="003B695B"/>
    <w:rsid w:val="003C0A2D"/>
    <w:rsid w:val="003C1201"/>
    <w:rsid w:val="003C2AEA"/>
    <w:rsid w:val="003C3A60"/>
    <w:rsid w:val="003C3D9D"/>
    <w:rsid w:val="003C4BA2"/>
    <w:rsid w:val="003C4F87"/>
    <w:rsid w:val="003C5712"/>
    <w:rsid w:val="003C57C6"/>
    <w:rsid w:val="003C59F0"/>
    <w:rsid w:val="003C641E"/>
    <w:rsid w:val="003C6534"/>
    <w:rsid w:val="003C67EA"/>
    <w:rsid w:val="003C68DE"/>
    <w:rsid w:val="003C7307"/>
    <w:rsid w:val="003C74D1"/>
    <w:rsid w:val="003D00F4"/>
    <w:rsid w:val="003D05BA"/>
    <w:rsid w:val="003D0E3B"/>
    <w:rsid w:val="003D128A"/>
    <w:rsid w:val="003D2058"/>
    <w:rsid w:val="003D36E4"/>
    <w:rsid w:val="003D3C00"/>
    <w:rsid w:val="003D4944"/>
    <w:rsid w:val="003D4AD6"/>
    <w:rsid w:val="003D4E51"/>
    <w:rsid w:val="003D55D9"/>
    <w:rsid w:val="003D60BC"/>
    <w:rsid w:val="003D61B7"/>
    <w:rsid w:val="003D6997"/>
    <w:rsid w:val="003D6C04"/>
    <w:rsid w:val="003D6F74"/>
    <w:rsid w:val="003D767A"/>
    <w:rsid w:val="003D7BB1"/>
    <w:rsid w:val="003E0359"/>
    <w:rsid w:val="003E0663"/>
    <w:rsid w:val="003E1154"/>
    <w:rsid w:val="003E1334"/>
    <w:rsid w:val="003E176C"/>
    <w:rsid w:val="003E1A18"/>
    <w:rsid w:val="003E1B5C"/>
    <w:rsid w:val="003E1BE7"/>
    <w:rsid w:val="003E249E"/>
    <w:rsid w:val="003E24C2"/>
    <w:rsid w:val="003E2567"/>
    <w:rsid w:val="003E2B9A"/>
    <w:rsid w:val="003E2C5F"/>
    <w:rsid w:val="003E3FDF"/>
    <w:rsid w:val="003E4300"/>
    <w:rsid w:val="003E584E"/>
    <w:rsid w:val="003E5F0B"/>
    <w:rsid w:val="003E60A3"/>
    <w:rsid w:val="003E6775"/>
    <w:rsid w:val="003E6CF1"/>
    <w:rsid w:val="003E798B"/>
    <w:rsid w:val="003E7EC0"/>
    <w:rsid w:val="003F0004"/>
    <w:rsid w:val="003F0272"/>
    <w:rsid w:val="003F05AB"/>
    <w:rsid w:val="003F1194"/>
    <w:rsid w:val="003F1FB3"/>
    <w:rsid w:val="003F209B"/>
    <w:rsid w:val="003F2767"/>
    <w:rsid w:val="003F3065"/>
    <w:rsid w:val="003F3B10"/>
    <w:rsid w:val="003F4016"/>
    <w:rsid w:val="003F4067"/>
    <w:rsid w:val="003F4B08"/>
    <w:rsid w:val="003F5356"/>
    <w:rsid w:val="003F5A86"/>
    <w:rsid w:val="003F751B"/>
    <w:rsid w:val="003F7758"/>
    <w:rsid w:val="003F7BC3"/>
    <w:rsid w:val="004001E3"/>
    <w:rsid w:val="00400493"/>
    <w:rsid w:val="00400672"/>
    <w:rsid w:val="004013F6"/>
    <w:rsid w:val="00402140"/>
    <w:rsid w:val="00402BA2"/>
    <w:rsid w:val="004033A9"/>
    <w:rsid w:val="00404054"/>
    <w:rsid w:val="00404241"/>
    <w:rsid w:val="00404769"/>
    <w:rsid w:val="00404E80"/>
    <w:rsid w:val="00406489"/>
    <w:rsid w:val="0040684C"/>
    <w:rsid w:val="0040694E"/>
    <w:rsid w:val="00406CE9"/>
    <w:rsid w:val="004070E0"/>
    <w:rsid w:val="00407992"/>
    <w:rsid w:val="00407C0E"/>
    <w:rsid w:val="00410ACE"/>
    <w:rsid w:val="00411239"/>
    <w:rsid w:val="0041191A"/>
    <w:rsid w:val="00412BD5"/>
    <w:rsid w:val="00412C42"/>
    <w:rsid w:val="00413067"/>
    <w:rsid w:val="004132E5"/>
    <w:rsid w:val="004135D9"/>
    <w:rsid w:val="00413BA2"/>
    <w:rsid w:val="00413C96"/>
    <w:rsid w:val="004143F3"/>
    <w:rsid w:val="004143F4"/>
    <w:rsid w:val="0041458D"/>
    <w:rsid w:val="00415138"/>
    <w:rsid w:val="00415A99"/>
    <w:rsid w:val="004161F0"/>
    <w:rsid w:val="00416C26"/>
    <w:rsid w:val="00417083"/>
    <w:rsid w:val="004171E2"/>
    <w:rsid w:val="004174A3"/>
    <w:rsid w:val="004177D9"/>
    <w:rsid w:val="0042002F"/>
    <w:rsid w:val="0042005F"/>
    <w:rsid w:val="00420079"/>
    <w:rsid w:val="0042110E"/>
    <w:rsid w:val="0042133D"/>
    <w:rsid w:val="00421479"/>
    <w:rsid w:val="00421DC6"/>
    <w:rsid w:val="0042321C"/>
    <w:rsid w:val="00423270"/>
    <w:rsid w:val="004236DD"/>
    <w:rsid w:val="004239C5"/>
    <w:rsid w:val="00423FCC"/>
    <w:rsid w:val="004245AC"/>
    <w:rsid w:val="004245CD"/>
    <w:rsid w:val="00425247"/>
    <w:rsid w:val="00425DBE"/>
    <w:rsid w:val="004274A1"/>
    <w:rsid w:val="004303D1"/>
    <w:rsid w:val="004305F8"/>
    <w:rsid w:val="00431727"/>
    <w:rsid w:val="00431E80"/>
    <w:rsid w:val="00432217"/>
    <w:rsid w:val="00432320"/>
    <w:rsid w:val="00432A56"/>
    <w:rsid w:val="004331B2"/>
    <w:rsid w:val="0043331E"/>
    <w:rsid w:val="004333E5"/>
    <w:rsid w:val="00433839"/>
    <w:rsid w:val="0043438A"/>
    <w:rsid w:val="0043469D"/>
    <w:rsid w:val="00434A72"/>
    <w:rsid w:val="0043553A"/>
    <w:rsid w:val="00435C5F"/>
    <w:rsid w:val="00436122"/>
    <w:rsid w:val="00436497"/>
    <w:rsid w:val="00436AF3"/>
    <w:rsid w:val="004377B7"/>
    <w:rsid w:val="00437981"/>
    <w:rsid w:val="00437B7F"/>
    <w:rsid w:val="00440208"/>
    <w:rsid w:val="00440356"/>
    <w:rsid w:val="00441571"/>
    <w:rsid w:val="00441FA4"/>
    <w:rsid w:val="0044207E"/>
    <w:rsid w:val="00442142"/>
    <w:rsid w:val="00442166"/>
    <w:rsid w:val="00443467"/>
    <w:rsid w:val="0044380B"/>
    <w:rsid w:val="00444DD2"/>
    <w:rsid w:val="004451FE"/>
    <w:rsid w:val="004458A4"/>
    <w:rsid w:val="00445D12"/>
    <w:rsid w:val="004462A3"/>
    <w:rsid w:val="00446BB6"/>
    <w:rsid w:val="00447C43"/>
    <w:rsid w:val="004501BD"/>
    <w:rsid w:val="0045022D"/>
    <w:rsid w:val="004511EC"/>
    <w:rsid w:val="004513BE"/>
    <w:rsid w:val="00451AD9"/>
    <w:rsid w:val="00451C19"/>
    <w:rsid w:val="00452539"/>
    <w:rsid w:val="0045266A"/>
    <w:rsid w:val="0045338C"/>
    <w:rsid w:val="00453CB5"/>
    <w:rsid w:val="00454325"/>
    <w:rsid w:val="004543DE"/>
    <w:rsid w:val="00454577"/>
    <w:rsid w:val="004549D4"/>
    <w:rsid w:val="00454C1F"/>
    <w:rsid w:val="00454F44"/>
    <w:rsid w:val="00455236"/>
    <w:rsid w:val="00455495"/>
    <w:rsid w:val="00455557"/>
    <w:rsid w:val="0045555E"/>
    <w:rsid w:val="00455F8E"/>
    <w:rsid w:val="00456493"/>
    <w:rsid w:val="004574F2"/>
    <w:rsid w:val="004576A7"/>
    <w:rsid w:val="00457750"/>
    <w:rsid w:val="00460945"/>
    <w:rsid w:val="00460CD6"/>
    <w:rsid w:val="0046165B"/>
    <w:rsid w:val="004622C9"/>
    <w:rsid w:val="00462885"/>
    <w:rsid w:val="00462DC8"/>
    <w:rsid w:val="0046468D"/>
    <w:rsid w:val="00464C52"/>
    <w:rsid w:val="004659CF"/>
    <w:rsid w:val="004660E7"/>
    <w:rsid w:val="004663C0"/>
    <w:rsid w:val="00466406"/>
    <w:rsid w:val="00466635"/>
    <w:rsid w:val="00466675"/>
    <w:rsid w:val="004666D3"/>
    <w:rsid w:val="00466C6D"/>
    <w:rsid w:val="00470788"/>
    <w:rsid w:val="00470EA9"/>
    <w:rsid w:val="00470F6B"/>
    <w:rsid w:val="00471836"/>
    <w:rsid w:val="00471FF6"/>
    <w:rsid w:val="004723AB"/>
    <w:rsid w:val="004726B4"/>
    <w:rsid w:val="00472746"/>
    <w:rsid w:val="00472BE4"/>
    <w:rsid w:val="00472CC1"/>
    <w:rsid w:val="0047384B"/>
    <w:rsid w:val="00474468"/>
    <w:rsid w:val="00474596"/>
    <w:rsid w:val="0047494C"/>
    <w:rsid w:val="00474CDA"/>
    <w:rsid w:val="004751AE"/>
    <w:rsid w:val="00475E9F"/>
    <w:rsid w:val="004766DF"/>
    <w:rsid w:val="00476DC8"/>
    <w:rsid w:val="00476F27"/>
    <w:rsid w:val="00477F28"/>
    <w:rsid w:val="00480D67"/>
    <w:rsid w:val="00481049"/>
    <w:rsid w:val="00481B23"/>
    <w:rsid w:val="00481BD6"/>
    <w:rsid w:val="00481CAD"/>
    <w:rsid w:val="00481FA0"/>
    <w:rsid w:val="0048225D"/>
    <w:rsid w:val="00482D8B"/>
    <w:rsid w:val="004834CD"/>
    <w:rsid w:val="0048390D"/>
    <w:rsid w:val="00483B70"/>
    <w:rsid w:val="00484903"/>
    <w:rsid w:val="00485684"/>
    <w:rsid w:val="0048585E"/>
    <w:rsid w:val="00485E5B"/>
    <w:rsid w:val="00486272"/>
    <w:rsid w:val="0048653C"/>
    <w:rsid w:val="004871C4"/>
    <w:rsid w:val="0048732E"/>
    <w:rsid w:val="00487478"/>
    <w:rsid w:val="004875DB"/>
    <w:rsid w:val="0048769E"/>
    <w:rsid w:val="0049000E"/>
    <w:rsid w:val="00490E9C"/>
    <w:rsid w:val="00490EC0"/>
    <w:rsid w:val="004912E3"/>
    <w:rsid w:val="00492415"/>
    <w:rsid w:val="00493C3E"/>
    <w:rsid w:val="00493C73"/>
    <w:rsid w:val="00494BBB"/>
    <w:rsid w:val="0049526F"/>
    <w:rsid w:val="004957A0"/>
    <w:rsid w:val="00495DD6"/>
    <w:rsid w:val="0049693A"/>
    <w:rsid w:val="00496B66"/>
    <w:rsid w:val="00497A25"/>
    <w:rsid w:val="004A052E"/>
    <w:rsid w:val="004A2484"/>
    <w:rsid w:val="004A2A19"/>
    <w:rsid w:val="004A3227"/>
    <w:rsid w:val="004A3666"/>
    <w:rsid w:val="004A4262"/>
    <w:rsid w:val="004A49DE"/>
    <w:rsid w:val="004A4A43"/>
    <w:rsid w:val="004A4E4C"/>
    <w:rsid w:val="004A51CC"/>
    <w:rsid w:val="004A658D"/>
    <w:rsid w:val="004A6865"/>
    <w:rsid w:val="004A6C20"/>
    <w:rsid w:val="004A7252"/>
    <w:rsid w:val="004A7F28"/>
    <w:rsid w:val="004B0AB9"/>
    <w:rsid w:val="004B11CA"/>
    <w:rsid w:val="004B15AD"/>
    <w:rsid w:val="004B21FF"/>
    <w:rsid w:val="004B26EB"/>
    <w:rsid w:val="004B297E"/>
    <w:rsid w:val="004B2C65"/>
    <w:rsid w:val="004B3CC1"/>
    <w:rsid w:val="004B409F"/>
    <w:rsid w:val="004B5227"/>
    <w:rsid w:val="004B6A1E"/>
    <w:rsid w:val="004B6BC6"/>
    <w:rsid w:val="004B7462"/>
    <w:rsid w:val="004C001E"/>
    <w:rsid w:val="004C0426"/>
    <w:rsid w:val="004C08FA"/>
    <w:rsid w:val="004C0EA5"/>
    <w:rsid w:val="004C11E2"/>
    <w:rsid w:val="004C1513"/>
    <w:rsid w:val="004C18F6"/>
    <w:rsid w:val="004C2032"/>
    <w:rsid w:val="004C2154"/>
    <w:rsid w:val="004C25B9"/>
    <w:rsid w:val="004C2A83"/>
    <w:rsid w:val="004C2DF6"/>
    <w:rsid w:val="004C3076"/>
    <w:rsid w:val="004C3250"/>
    <w:rsid w:val="004C5434"/>
    <w:rsid w:val="004C5E92"/>
    <w:rsid w:val="004C6D42"/>
    <w:rsid w:val="004C7A83"/>
    <w:rsid w:val="004D056E"/>
    <w:rsid w:val="004D0973"/>
    <w:rsid w:val="004D0BA2"/>
    <w:rsid w:val="004D134E"/>
    <w:rsid w:val="004D1A85"/>
    <w:rsid w:val="004D1EE5"/>
    <w:rsid w:val="004D3234"/>
    <w:rsid w:val="004D371A"/>
    <w:rsid w:val="004D391A"/>
    <w:rsid w:val="004D3998"/>
    <w:rsid w:val="004D3E91"/>
    <w:rsid w:val="004D413E"/>
    <w:rsid w:val="004D42FA"/>
    <w:rsid w:val="004D5185"/>
    <w:rsid w:val="004D58EE"/>
    <w:rsid w:val="004D5F5D"/>
    <w:rsid w:val="004D61D1"/>
    <w:rsid w:val="004D6826"/>
    <w:rsid w:val="004D77F0"/>
    <w:rsid w:val="004D78BB"/>
    <w:rsid w:val="004E051B"/>
    <w:rsid w:val="004E05D8"/>
    <w:rsid w:val="004E0781"/>
    <w:rsid w:val="004E081A"/>
    <w:rsid w:val="004E09E4"/>
    <w:rsid w:val="004E10A4"/>
    <w:rsid w:val="004E22F6"/>
    <w:rsid w:val="004E2809"/>
    <w:rsid w:val="004E29B9"/>
    <w:rsid w:val="004E327A"/>
    <w:rsid w:val="004E3C96"/>
    <w:rsid w:val="004E420D"/>
    <w:rsid w:val="004E4757"/>
    <w:rsid w:val="004E49F0"/>
    <w:rsid w:val="004E600C"/>
    <w:rsid w:val="004E620C"/>
    <w:rsid w:val="004E65B6"/>
    <w:rsid w:val="004E6ECA"/>
    <w:rsid w:val="004E7AB0"/>
    <w:rsid w:val="004F0047"/>
    <w:rsid w:val="004F0857"/>
    <w:rsid w:val="004F0AD5"/>
    <w:rsid w:val="004F1199"/>
    <w:rsid w:val="004F1A38"/>
    <w:rsid w:val="004F35C1"/>
    <w:rsid w:val="004F464F"/>
    <w:rsid w:val="004F5563"/>
    <w:rsid w:val="004F574A"/>
    <w:rsid w:val="004F5EDC"/>
    <w:rsid w:val="004F62D1"/>
    <w:rsid w:val="004F750A"/>
    <w:rsid w:val="004F7575"/>
    <w:rsid w:val="004F7685"/>
    <w:rsid w:val="00500791"/>
    <w:rsid w:val="00500B9F"/>
    <w:rsid w:val="00500D38"/>
    <w:rsid w:val="005010C6"/>
    <w:rsid w:val="005014D1"/>
    <w:rsid w:val="005016F2"/>
    <w:rsid w:val="00503185"/>
    <w:rsid w:val="00503D62"/>
    <w:rsid w:val="00503E33"/>
    <w:rsid w:val="00504E83"/>
    <w:rsid w:val="00505180"/>
    <w:rsid w:val="005051B2"/>
    <w:rsid w:val="00505966"/>
    <w:rsid w:val="00505C2D"/>
    <w:rsid w:val="00505D56"/>
    <w:rsid w:val="00505E55"/>
    <w:rsid w:val="005064F0"/>
    <w:rsid w:val="00507E9B"/>
    <w:rsid w:val="00510019"/>
    <w:rsid w:val="00511748"/>
    <w:rsid w:val="00512E09"/>
    <w:rsid w:val="00512F2E"/>
    <w:rsid w:val="005138AD"/>
    <w:rsid w:val="0051489B"/>
    <w:rsid w:val="00515198"/>
    <w:rsid w:val="00515923"/>
    <w:rsid w:val="00515AFF"/>
    <w:rsid w:val="00516075"/>
    <w:rsid w:val="005171FE"/>
    <w:rsid w:val="005173EC"/>
    <w:rsid w:val="00517AE8"/>
    <w:rsid w:val="00517D71"/>
    <w:rsid w:val="005202B5"/>
    <w:rsid w:val="00523FD8"/>
    <w:rsid w:val="0052433D"/>
    <w:rsid w:val="0052483F"/>
    <w:rsid w:val="00525AE9"/>
    <w:rsid w:val="00527DDF"/>
    <w:rsid w:val="00527F0F"/>
    <w:rsid w:val="005300EA"/>
    <w:rsid w:val="00530E63"/>
    <w:rsid w:val="00530EA8"/>
    <w:rsid w:val="00530ED7"/>
    <w:rsid w:val="00530F48"/>
    <w:rsid w:val="00530FD5"/>
    <w:rsid w:val="005320CD"/>
    <w:rsid w:val="0053258D"/>
    <w:rsid w:val="00532B9D"/>
    <w:rsid w:val="00532DFF"/>
    <w:rsid w:val="00533127"/>
    <w:rsid w:val="00533DB2"/>
    <w:rsid w:val="00533FE3"/>
    <w:rsid w:val="005346D9"/>
    <w:rsid w:val="005347BF"/>
    <w:rsid w:val="00534A10"/>
    <w:rsid w:val="005352FC"/>
    <w:rsid w:val="0053616B"/>
    <w:rsid w:val="00536FE5"/>
    <w:rsid w:val="005372B9"/>
    <w:rsid w:val="00537572"/>
    <w:rsid w:val="0053775B"/>
    <w:rsid w:val="0053793C"/>
    <w:rsid w:val="00537AEA"/>
    <w:rsid w:val="00537B45"/>
    <w:rsid w:val="0054090C"/>
    <w:rsid w:val="00540EB9"/>
    <w:rsid w:val="0054185F"/>
    <w:rsid w:val="00541DA7"/>
    <w:rsid w:val="00542525"/>
    <w:rsid w:val="00542697"/>
    <w:rsid w:val="00542D87"/>
    <w:rsid w:val="00543584"/>
    <w:rsid w:val="005444D3"/>
    <w:rsid w:val="00545445"/>
    <w:rsid w:val="00545F5C"/>
    <w:rsid w:val="005460CB"/>
    <w:rsid w:val="00546280"/>
    <w:rsid w:val="00546886"/>
    <w:rsid w:val="00547434"/>
    <w:rsid w:val="0054767F"/>
    <w:rsid w:val="00547815"/>
    <w:rsid w:val="00547ADD"/>
    <w:rsid w:val="005516F7"/>
    <w:rsid w:val="005518F2"/>
    <w:rsid w:val="00551A22"/>
    <w:rsid w:val="00551B06"/>
    <w:rsid w:val="00551D20"/>
    <w:rsid w:val="00551F3C"/>
    <w:rsid w:val="00552599"/>
    <w:rsid w:val="005530EF"/>
    <w:rsid w:val="00553FC4"/>
    <w:rsid w:val="0055427C"/>
    <w:rsid w:val="00554671"/>
    <w:rsid w:val="0055513B"/>
    <w:rsid w:val="00555BFC"/>
    <w:rsid w:val="00555C4B"/>
    <w:rsid w:val="00556A63"/>
    <w:rsid w:val="005576E8"/>
    <w:rsid w:val="005604EC"/>
    <w:rsid w:val="00561BE8"/>
    <w:rsid w:val="005628AD"/>
    <w:rsid w:val="00562A63"/>
    <w:rsid w:val="00562C49"/>
    <w:rsid w:val="0056325B"/>
    <w:rsid w:val="00563A18"/>
    <w:rsid w:val="00563B30"/>
    <w:rsid w:val="00563B4A"/>
    <w:rsid w:val="005646E5"/>
    <w:rsid w:val="005647B4"/>
    <w:rsid w:val="00564DB0"/>
    <w:rsid w:val="0056572E"/>
    <w:rsid w:val="0056601B"/>
    <w:rsid w:val="00567A1F"/>
    <w:rsid w:val="005702D3"/>
    <w:rsid w:val="005705F9"/>
    <w:rsid w:val="00570720"/>
    <w:rsid w:val="0057225C"/>
    <w:rsid w:val="005723F2"/>
    <w:rsid w:val="0057377D"/>
    <w:rsid w:val="00574662"/>
    <w:rsid w:val="00574993"/>
    <w:rsid w:val="0057510E"/>
    <w:rsid w:val="00575849"/>
    <w:rsid w:val="00575981"/>
    <w:rsid w:val="00575B30"/>
    <w:rsid w:val="00575BB0"/>
    <w:rsid w:val="0057686E"/>
    <w:rsid w:val="00577A96"/>
    <w:rsid w:val="00577D20"/>
    <w:rsid w:val="00580AC8"/>
    <w:rsid w:val="00580AFA"/>
    <w:rsid w:val="005811B7"/>
    <w:rsid w:val="005819FE"/>
    <w:rsid w:val="00582016"/>
    <w:rsid w:val="005821B7"/>
    <w:rsid w:val="00582B14"/>
    <w:rsid w:val="00583054"/>
    <w:rsid w:val="005832F2"/>
    <w:rsid w:val="00583DC1"/>
    <w:rsid w:val="0058438E"/>
    <w:rsid w:val="0058498A"/>
    <w:rsid w:val="005850FC"/>
    <w:rsid w:val="00585838"/>
    <w:rsid w:val="00585961"/>
    <w:rsid w:val="00585E46"/>
    <w:rsid w:val="00586279"/>
    <w:rsid w:val="005865E3"/>
    <w:rsid w:val="00587971"/>
    <w:rsid w:val="00587B6B"/>
    <w:rsid w:val="00587DD3"/>
    <w:rsid w:val="00590084"/>
    <w:rsid w:val="00590256"/>
    <w:rsid w:val="00590389"/>
    <w:rsid w:val="005905BC"/>
    <w:rsid w:val="00590763"/>
    <w:rsid w:val="00590857"/>
    <w:rsid w:val="00590A1D"/>
    <w:rsid w:val="00590DBC"/>
    <w:rsid w:val="00591684"/>
    <w:rsid w:val="00592AF9"/>
    <w:rsid w:val="00592D9C"/>
    <w:rsid w:val="00593371"/>
    <w:rsid w:val="005934F2"/>
    <w:rsid w:val="005937C7"/>
    <w:rsid w:val="005938DC"/>
    <w:rsid w:val="0059424C"/>
    <w:rsid w:val="0059492A"/>
    <w:rsid w:val="00594A13"/>
    <w:rsid w:val="00594ACA"/>
    <w:rsid w:val="00594C16"/>
    <w:rsid w:val="00595168"/>
    <w:rsid w:val="00596497"/>
    <w:rsid w:val="0059669E"/>
    <w:rsid w:val="00596B33"/>
    <w:rsid w:val="00596D45"/>
    <w:rsid w:val="005974D6"/>
    <w:rsid w:val="005979C8"/>
    <w:rsid w:val="00597ACB"/>
    <w:rsid w:val="00597B2B"/>
    <w:rsid w:val="005A00B0"/>
    <w:rsid w:val="005A0416"/>
    <w:rsid w:val="005A0C1E"/>
    <w:rsid w:val="005A1896"/>
    <w:rsid w:val="005A22A2"/>
    <w:rsid w:val="005A237D"/>
    <w:rsid w:val="005A31C1"/>
    <w:rsid w:val="005A386B"/>
    <w:rsid w:val="005A3889"/>
    <w:rsid w:val="005A3AB8"/>
    <w:rsid w:val="005A3FBB"/>
    <w:rsid w:val="005A433F"/>
    <w:rsid w:val="005A454A"/>
    <w:rsid w:val="005A4645"/>
    <w:rsid w:val="005A46AE"/>
    <w:rsid w:val="005A478E"/>
    <w:rsid w:val="005A483C"/>
    <w:rsid w:val="005A5450"/>
    <w:rsid w:val="005A757E"/>
    <w:rsid w:val="005A76B7"/>
    <w:rsid w:val="005A7F09"/>
    <w:rsid w:val="005B0207"/>
    <w:rsid w:val="005B0DB4"/>
    <w:rsid w:val="005B0F50"/>
    <w:rsid w:val="005B1728"/>
    <w:rsid w:val="005B1BCE"/>
    <w:rsid w:val="005B20BC"/>
    <w:rsid w:val="005B2505"/>
    <w:rsid w:val="005B2BF2"/>
    <w:rsid w:val="005B372A"/>
    <w:rsid w:val="005B39BB"/>
    <w:rsid w:val="005B3D9B"/>
    <w:rsid w:val="005B3E6D"/>
    <w:rsid w:val="005B448B"/>
    <w:rsid w:val="005B49D1"/>
    <w:rsid w:val="005B51EA"/>
    <w:rsid w:val="005B5BC0"/>
    <w:rsid w:val="005B5CBF"/>
    <w:rsid w:val="005B61A5"/>
    <w:rsid w:val="005B7E31"/>
    <w:rsid w:val="005C1DA2"/>
    <w:rsid w:val="005C1F5E"/>
    <w:rsid w:val="005C2688"/>
    <w:rsid w:val="005C2A82"/>
    <w:rsid w:val="005C3A06"/>
    <w:rsid w:val="005C3C98"/>
    <w:rsid w:val="005C3D7C"/>
    <w:rsid w:val="005C542D"/>
    <w:rsid w:val="005C5E82"/>
    <w:rsid w:val="005C6536"/>
    <w:rsid w:val="005D04CB"/>
    <w:rsid w:val="005D094B"/>
    <w:rsid w:val="005D0E49"/>
    <w:rsid w:val="005D1084"/>
    <w:rsid w:val="005D1C14"/>
    <w:rsid w:val="005D2080"/>
    <w:rsid w:val="005D23BC"/>
    <w:rsid w:val="005D2BB6"/>
    <w:rsid w:val="005D3073"/>
    <w:rsid w:val="005D322C"/>
    <w:rsid w:val="005D577E"/>
    <w:rsid w:val="005D6E6E"/>
    <w:rsid w:val="005E0B17"/>
    <w:rsid w:val="005E1F93"/>
    <w:rsid w:val="005E28C7"/>
    <w:rsid w:val="005E2FA0"/>
    <w:rsid w:val="005E356E"/>
    <w:rsid w:val="005E3796"/>
    <w:rsid w:val="005E4930"/>
    <w:rsid w:val="005E50C2"/>
    <w:rsid w:val="005E5957"/>
    <w:rsid w:val="005E61F7"/>
    <w:rsid w:val="005E63E1"/>
    <w:rsid w:val="005E6B0B"/>
    <w:rsid w:val="005E7792"/>
    <w:rsid w:val="005E7B0A"/>
    <w:rsid w:val="005F05D3"/>
    <w:rsid w:val="005F0748"/>
    <w:rsid w:val="005F097E"/>
    <w:rsid w:val="005F153C"/>
    <w:rsid w:val="005F1683"/>
    <w:rsid w:val="005F16E6"/>
    <w:rsid w:val="005F1DCE"/>
    <w:rsid w:val="005F218F"/>
    <w:rsid w:val="005F29CD"/>
    <w:rsid w:val="005F308C"/>
    <w:rsid w:val="005F33D7"/>
    <w:rsid w:val="005F349B"/>
    <w:rsid w:val="005F3783"/>
    <w:rsid w:val="005F3B42"/>
    <w:rsid w:val="005F42FA"/>
    <w:rsid w:val="005F432D"/>
    <w:rsid w:val="005F46CC"/>
    <w:rsid w:val="005F4853"/>
    <w:rsid w:val="005F55E5"/>
    <w:rsid w:val="005F57AE"/>
    <w:rsid w:val="005F5D3D"/>
    <w:rsid w:val="005F61F7"/>
    <w:rsid w:val="005F65D5"/>
    <w:rsid w:val="005F69F7"/>
    <w:rsid w:val="005F6B18"/>
    <w:rsid w:val="005F6BB6"/>
    <w:rsid w:val="005F716F"/>
    <w:rsid w:val="005F7507"/>
    <w:rsid w:val="005F7E84"/>
    <w:rsid w:val="005F7EC0"/>
    <w:rsid w:val="005F7EE7"/>
    <w:rsid w:val="006000C4"/>
    <w:rsid w:val="00600DDD"/>
    <w:rsid w:val="00600FCC"/>
    <w:rsid w:val="006014BD"/>
    <w:rsid w:val="0060206A"/>
    <w:rsid w:val="00602243"/>
    <w:rsid w:val="00602CD7"/>
    <w:rsid w:val="0060320A"/>
    <w:rsid w:val="0060333C"/>
    <w:rsid w:val="006036AA"/>
    <w:rsid w:val="0060391E"/>
    <w:rsid w:val="00604624"/>
    <w:rsid w:val="006049C5"/>
    <w:rsid w:val="00604ABB"/>
    <w:rsid w:val="00605339"/>
    <w:rsid w:val="0060535C"/>
    <w:rsid w:val="0060632E"/>
    <w:rsid w:val="00606B10"/>
    <w:rsid w:val="006075C7"/>
    <w:rsid w:val="0060782F"/>
    <w:rsid w:val="006100B6"/>
    <w:rsid w:val="00610F53"/>
    <w:rsid w:val="00611167"/>
    <w:rsid w:val="00611D04"/>
    <w:rsid w:val="0061206E"/>
    <w:rsid w:val="0061237E"/>
    <w:rsid w:val="00613039"/>
    <w:rsid w:val="00613885"/>
    <w:rsid w:val="006138D1"/>
    <w:rsid w:val="00614125"/>
    <w:rsid w:val="00614F6D"/>
    <w:rsid w:val="00615092"/>
    <w:rsid w:val="006154D4"/>
    <w:rsid w:val="00615A29"/>
    <w:rsid w:val="00616BA8"/>
    <w:rsid w:val="00616C22"/>
    <w:rsid w:val="00617261"/>
    <w:rsid w:val="006172D2"/>
    <w:rsid w:val="00617F5A"/>
    <w:rsid w:val="006200CA"/>
    <w:rsid w:val="006202A7"/>
    <w:rsid w:val="0062120C"/>
    <w:rsid w:val="0062129E"/>
    <w:rsid w:val="00621EC3"/>
    <w:rsid w:val="0062237F"/>
    <w:rsid w:val="00622C32"/>
    <w:rsid w:val="00623543"/>
    <w:rsid w:val="00623D8F"/>
    <w:rsid w:val="00623FD7"/>
    <w:rsid w:val="00624175"/>
    <w:rsid w:val="00624590"/>
    <w:rsid w:val="00624708"/>
    <w:rsid w:val="00625F39"/>
    <w:rsid w:val="00626A7E"/>
    <w:rsid w:val="006279CC"/>
    <w:rsid w:val="00630229"/>
    <w:rsid w:val="00631345"/>
    <w:rsid w:val="00631560"/>
    <w:rsid w:val="006316D5"/>
    <w:rsid w:val="006317EF"/>
    <w:rsid w:val="00632914"/>
    <w:rsid w:val="00632C6C"/>
    <w:rsid w:val="006330EB"/>
    <w:rsid w:val="00634182"/>
    <w:rsid w:val="00634D5D"/>
    <w:rsid w:val="006350A7"/>
    <w:rsid w:val="00635249"/>
    <w:rsid w:val="00635446"/>
    <w:rsid w:val="00637042"/>
    <w:rsid w:val="006372BE"/>
    <w:rsid w:val="006375F6"/>
    <w:rsid w:val="00640D24"/>
    <w:rsid w:val="006417EF"/>
    <w:rsid w:val="0064211E"/>
    <w:rsid w:val="0064258A"/>
    <w:rsid w:val="00642954"/>
    <w:rsid w:val="00643324"/>
    <w:rsid w:val="00644875"/>
    <w:rsid w:val="00644CAD"/>
    <w:rsid w:val="00644F9E"/>
    <w:rsid w:val="00645085"/>
    <w:rsid w:val="0064535B"/>
    <w:rsid w:val="00645E50"/>
    <w:rsid w:val="00646EFD"/>
    <w:rsid w:val="0065113F"/>
    <w:rsid w:val="006517C2"/>
    <w:rsid w:val="0065262E"/>
    <w:rsid w:val="0065288E"/>
    <w:rsid w:val="00653591"/>
    <w:rsid w:val="00653CB6"/>
    <w:rsid w:val="00653D11"/>
    <w:rsid w:val="00654207"/>
    <w:rsid w:val="00654281"/>
    <w:rsid w:val="00654F74"/>
    <w:rsid w:val="00655C17"/>
    <w:rsid w:val="006561D0"/>
    <w:rsid w:val="00656753"/>
    <w:rsid w:val="006573BD"/>
    <w:rsid w:val="0065749D"/>
    <w:rsid w:val="00660060"/>
    <w:rsid w:val="00660DAD"/>
    <w:rsid w:val="00661335"/>
    <w:rsid w:val="0066155C"/>
    <w:rsid w:val="00661638"/>
    <w:rsid w:val="00661B5B"/>
    <w:rsid w:val="00663691"/>
    <w:rsid w:val="006637A1"/>
    <w:rsid w:val="00663C66"/>
    <w:rsid w:val="00664476"/>
    <w:rsid w:val="00664AE9"/>
    <w:rsid w:val="006660AA"/>
    <w:rsid w:val="00670699"/>
    <w:rsid w:val="00670D15"/>
    <w:rsid w:val="00670FF7"/>
    <w:rsid w:val="00671D89"/>
    <w:rsid w:val="00672067"/>
    <w:rsid w:val="0067240F"/>
    <w:rsid w:val="006726E7"/>
    <w:rsid w:val="0067288D"/>
    <w:rsid w:val="006733E9"/>
    <w:rsid w:val="00673753"/>
    <w:rsid w:val="00673ECA"/>
    <w:rsid w:val="00674153"/>
    <w:rsid w:val="006748C4"/>
    <w:rsid w:val="00674E8C"/>
    <w:rsid w:val="00675425"/>
    <w:rsid w:val="00676A1F"/>
    <w:rsid w:val="0067724C"/>
    <w:rsid w:val="00677AA6"/>
    <w:rsid w:val="00677B36"/>
    <w:rsid w:val="00677D24"/>
    <w:rsid w:val="00680056"/>
    <w:rsid w:val="00682128"/>
    <w:rsid w:val="00682135"/>
    <w:rsid w:val="0068233C"/>
    <w:rsid w:val="00682772"/>
    <w:rsid w:val="00682CAC"/>
    <w:rsid w:val="00683070"/>
    <w:rsid w:val="00683D21"/>
    <w:rsid w:val="00684217"/>
    <w:rsid w:val="0068433E"/>
    <w:rsid w:val="00684AD3"/>
    <w:rsid w:val="00684F7E"/>
    <w:rsid w:val="00685355"/>
    <w:rsid w:val="00685FA7"/>
    <w:rsid w:val="006862FD"/>
    <w:rsid w:val="00686368"/>
    <w:rsid w:val="00686E12"/>
    <w:rsid w:val="00687059"/>
    <w:rsid w:val="006875CA"/>
    <w:rsid w:val="00690132"/>
    <w:rsid w:val="0069093A"/>
    <w:rsid w:val="0069177F"/>
    <w:rsid w:val="00691870"/>
    <w:rsid w:val="0069334B"/>
    <w:rsid w:val="00693470"/>
    <w:rsid w:val="006935AA"/>
    <w:rsid w:val="00694170"/>
    <w:rsid w:val="0069453D"/>
    <w:rsid w:val="00695400"/>
    <w:rsid w:val="00697457"/>
    <w:rsid w:val="00697E93"/>
    <w:rsid w:val="00697FB1"/>
    <w:rsid w:val="006A05E2"/>
    <w:rsid w:val="006A06F0"/>
    <w:rsid w:val="006A0AE6"/>
    <w:rsid w:val="006A0F8D"/>
    <w:rsid w:val="006A214C"/>
    <w:rsid w:val="006A2343"/>
    <w:rsid w:val="006A30EC"/>
    <w:rsid w:val="006A3ED6"/>
    <w:rsid w:val="006A3FEC"/>
    <w:rsid w:val="006A4B8D"/>
    <w:rsid w:val="006A4DF4"/>
    <w:rsid w:val="006A6814"/>
    <w:rsid w:val="006A76B9"/>
    <w:rsid w:val="006A7F37"/>
    <w:rsid w:val="006B128F"/>
    <w:rsid w:val="006B132B"/>
    <w:rsid w:val="006B1FDF"/>
    <w:rsid w:val="006B3165"/>
    <w:rsid w:val="006B31B3"/>
    <w:rsid w:val="006B3618"/>
    <w:rsid w:val="006B4D77"/>
    <w:rsid w:val="006B5208"/>
    <w:rsid w:val="006B56D4"/>
    <w:rsid w:val="006B5FA3"/>
    <w:rsid w:val="006B5FEC"/>
    <w:rsid w:val="006B6F09"/>
    <w:rsid w:val="006B7414"/>
    <w:rsid w:val="006B75C9"/>
    <w:rsid w:val="006B7672"/>
    <w:rsid w:val="006B7969"/>
    <w:rsid w:val="006B7E3D"/>
    <w:rsid w:val="006C07DF"/>
    <w:rsid w:val="006C0A59"/>
    <w:rsid w:val="006C0C05"/>
    <w:rsid w:val="006C0C72"/>
    <w:rsid w:val="006C1877"/>
    <w:rsid w:val="006C1BDE"/>
    <w:rsid w:val="006C376E"/>
    <w:rsid w:val="006C3A36"/>
    <w:rsid w:val="006C402C"/>
    <w:rsid w:val="006C48F2"/>
    <w:rsid w:val="006C50D9"/>
    <w:rsid w:val="006C5466"/>
    <w:rsid w:val="006C5674"/>
    <w:rsid w:val="006C59FC"/>
    <w:rsid w:val="006C5AC9"/>
    <w:rsid w:val="006C603F"/>
    <w:rsid w:val="006C66E6"/>
    <w:rsid w:val="006C67C9"/>
    <w:rsid w:val="006C7650"/>
    <w:rsid w:val="006D0BD0"/>
    <w:rsid w:val="006D0E4D"/>
    <w:rsid w:val="006D2055"/>
    <w:rsid w:val="006D21FF"/>
    <w:rsid w:val="006D30C7"/>
    <w:rsid w:val="006D3255"/>
    <w:rsid w:val="006D38AE"/>
    <w:rsid w:val="006D42B6"/>
    <w:rsid w:val="006D4A91"/>
    <w:rsid w:val="006D4ABC"/>
    <w:rsid w:val="006D4C8D"/>
    <w:rsid w:val="006D4DD0"/>
    <w:rsid w:val="006D4E9E"/>
    <w:rsid w:val="006D5421"/>
    <w:rsid w:val="006D5E30"/>
    <w:rsid w:val="006D74AE"/>
    <w:rsid w:val="006D7635"/>
    <w:rsid w:val="006E12BD"/>
    <w:rsid w:val="006E1751"/>
    <w:rsid w:val="006E1965"/>
    <w:rsid w:val="006E19CE"/>
    <w:rsid w:val="006E1C82"/>
    <w:rsid w:val="006E28AF"/>
    <w:rsid w:val="006E2927"/>
    <w:rsid w:val="006E4152"/>
    <w:rsid w:val="006E445E"/>
    <w:rsid w:val="006E4938"/>
    <w:rsid w:val="006E4C61"/>
    <w:rsid w:val="006E57D8"/>
    <w:rsid w:val="006E62EC"/>
    <w:rsid w:val="006E66A0"/>
    <w:rsid w:val="006E77AA"/>
    <w:rsid w:val="006E7DA3"/>
    <w:rsid w:val="006F002D"/>
    <w:rsid w:val="006F0F32"/>
    <w:rsid w:val="006F11AD"/>
    <w:rsid w:val="006F1F7D"/>
    <w:rsid w:val="006F2496"/>
    <w:rsid w:val="006F349C"/>
    <w:rsid w:val="006F3799"/>
    <w:rsid w:val="006F3874"/>
    <w:rsid w:val="006F3923"/>
    <w:rsid w:val="006F3BF2"/>
    <w:rsid w:val="006F44D5"/>
    <w:rsid w:val="006F4E96"/>
    <w:rsid w:val="006F52DC"/>
    <w:rsid w:val="006F58FC"/>
    <w:rsid w:val="006F5AAF"/>
    <w:rsid w:val="006F5DC1"/>
    <w:rsid w:val="006F7153"/>
    <w:rsid w:val="006F7311"/>
    <w:rsid w:val="006F75BE"/>
    <w:rsid w:val="006F7815"/>
    <w:rsid w:val="007005C0"/>
    <w:rsid w:val="00700E2E"/>
    <w:rsid w:val="00700FAB"/>
    <w:rsid w:val="0070139B"/>
    <w:rsid w:val="00701B2A"/>
    <w:rsid w:val="00701EAE"/>
    <w:rsid w:val="00702FFD"/>
    <w:rsid w:val="007036D1"/>
    <w:rsid w:val="0070371B"/>
    <w:rsid w:val="00703F3F"/>
    <w:rsid w:val="00704000"/>
    <w:rsid w:val="007042CA"/>
    <w:rsid w:val="00705383"/>
    <w:rsid w:val="00705533"/>
    <w:rsid w:val="00705ED0"/>
    <w:rsid w:val="00706C3C"/>
    <w:rsid w:val="00706CC7"/>
    <w:rsid w:val="0070701A"/>
    <w:rsid w:val="0070784F"/>
    <w:rsid w:val="00707AC1"/>
    <w:rsid w:val="00707E72"/>
    <w:rsid w:val="00710191"/>
    <w:rsid w:val="00710454"/>
    <w:rsid w:val="00713B4A"/>
    <w:rsid w:val="00713BE8"/>
    <w:rsid w:val="0071482A"/>
    <w:rsid w:val="00714AE1"/>
    <w:rsid w:val="00715C73"/>
    <w:rsid w:val="00715D82"/>
    <w:rsid w:val="00716198"/>
    <w:rsid w:val="007166B3"/>
    <w:rsid w:val="00716816"/>
    <w:rsid w:val="00716F06"/>
    <w:rsid w:val="0071729B"/>
    <w:rsid w:val="0071781A"/>
    <w:rsid w:val="00717A3E"/>
    <w:rsid w:val="00717D56"/>
    <w:rsid w:val="0072097F"/>
    <w:rsid w:val="00720C8C"/>
    <w:rsid w:val="007216DF"/>
    <w:rsid w:val="007223C0"/>
    <w:rsid w:val="00722850"/>
    <w:rsid w:val="00723A67"/>
    <w:rsid w:val="0072409B"/>
    <w:rsid w:val="007242F8"/>
    <w:rsid w:val="00724494"/>
    <w:rsid w:val="007249EE"/>
    <w:rsid w:val="007250A5"/>
    <w:rsid w:val="00725ED9"/>
    <w:rsid w:val="00726412"/>
    <w:rsid w:val="00726798"/>
    <w:rsid w:val="00726D40"/>
    <w:rsid w:val="00726E43"/>
    <w:rsid w:val="00727253"/>
    <w:rsid w:val="0072726F"/>
    <w:rsid w:val="00727A3D"/>
    <w:rsid w:val="00730D1D"/>
    <w:rsid w:val="00731825"/>
    <w:rsid w:val="007324BB"/>
    <w:rsid w:val="00732685"/>
    <w:rsid w:val="007328D7"/>
    <w:rsid w:val="00732C7D"/>
    <w:rsid w:val="00732D63"/>
    <w:rsid w:val="00733939"/>
    <w:rsid w:val="00733B16"/>
    <w:rsid w:val="00735495"/>
    <w:rsid w:val="00735831"/>
    <w:rsid w:val="00735EDC"/>
    <w:rsid w:val="00736719"/>
    <w:rsid w:val="00736DD2"/>
    <w:rsid w:val="00737234"/>
    <w:rsid w:val="0073780A"/>
    <w:rsid w:val="00737A0C"/>
    <w:rsid w:val="007413BC"/>
    <w:rsid w:val="00742513"/>
    <w:rsid w:val="0074310B"/>
    <w:rsid w:val="007432A4"/>
    <w:rsid w:val="00743F1B"/>
    <w:rsid w:val="00744082"/>
    <w:rsid w:val="00744465"/>
    <w:rsid w:val="0074450B"/>
    <w:rsid w:val="00744736"/>
    <w:rsid w:val="00747031"/>
    <w:rsid w:val="0074748B"/>
    <w:rsid w:val="007478B6"/>
    <w:rsid w:val="0075018C"/>
    <w:rsid w:val="00750E23"/>
    <w:rsid w:val="007513DD"/>
    <w:rsid w:val="00751514"/>
    <w:rsid w:val="00751BD2"/>
    <w:rsid w:val="00752845"/>
    <w:rsid w:val="00752949"/>
    <w:rsid w:val="00752F29"/>
    <w:rsid w:val="007534A1"/>
    <w:rsid w:val="00753AE9"/>
    <w:rsid w:val="0075483D"/>
    <w:rsid w:val="00754FE9"/>
    <w:rsid w:val="007568AE"/>
    <w:rsid w:val="00756DC8"/>
    <w:rsid w:val="00756FBA"/>
    <w:rsid w:val="00757256"/>
    <w:rsid w:val="0075738F"/>
    <w:rsid w:val="00757B42"/>
    <w:rsid w:val="0076041A"/>
    <w:rsid w:val="00760B63"/>
    <w:rsid w:val="00760CAE"/>
    <w:rsid w:val="00761F51"/>
    <w:rsid w:val="00762283"/>
    <w:rsid w:val="007637C5"/>
    <w:rsid w:val="00763C6D"/>
    <w:rsid w:val="0076547B"/>
    <w:rsid w:val="00765AEC"/>
    <w:rsid w:val="00766018"/>
    <w:rsid w:val="007660B8"/>
    <w:rsid w:val="00766C4F"/>
    <w:rsid w:val="007673B8"/>
    <w:rsid w:val="00770121"/>
    <w:rsid w:val="0077018C"/>
    <w:rsid w:val="007702C9"/>
    <w:rsid w:val="00770469"/>
    <w:rsid w:val="00770480"/>
    <w:rsid w:val="0077055D"/>
    <w:rsid w:val="00770BD3"/>
    <w:rsid w:val="00770C08"/>
    <w:rsid w:val="007719BF"/>
    <w:rsid w:val="00771AB7"/>
    <w:rsid w:val="007722B1"/>
    <w:rsid w:val="00772954"/>
    <w:rsid w:val="00772D51"/>
    <w:rsid w:val="007734C8"/>
    <w:rsid w:val="007737AB"/>
    <w:rsid w:val="00773A6E"/>
    <w:rsid w:val="00773BF3"/>
    <w:rsid w:val="00774534"/>
    <w:rsid w:val="00774689"/>
    <w:rsid w:val="007746A7"/>
    <w:rsid w:val="00774CD1"/>
    <w:rsid w:val="00774FA7"/>
    <w:rsid w:val="007753EA"/>
    <w:rsid w:val="007754F3"/>
    <w:rsid w:val="00775731"/>
    <w:rsid w:val="00775EC8"/>
    <w:rsid w:val="007768CF"/>
    <w:rsid w:val="00776EFD"/>
    <w:rsid w:val="0078082A"/>
    <w:rsid w:val="00780C34"/>
    <w:rsid w:val="00780D9D"/>
    <w:rsid w:val="007818E5"/>
    <w:rsid w:val="00782409"/>
    <w:rsid w:val="00782783"/>
    <w:rsid w:val="007828CF"/>
    <w:rsid w:val="00782DC9"/>
    <w:rsid w:val="0078322F"/>
    <w:rsid w:val="00784153"/>
    <w:rsid w:val="0078421F"/>
    <w:rsid w:val="00785A61"/>
    <w:rsid w:val="00786575"/>
    <w:rsid w:val="00786920"/>
    <w:rsid w:val="0078698D"/>
    <w:rsid w:val="00787447"/>
    <w:rsid w:val="007874AA"/>
    <w:rsid w:val="00787AA3"/>
    <w:rsid w:val="00787BAC"/>
    <w:rsid w:val="0079084A"/>
    <w:rsid w:val="0079110F"/>
    <w:rsid w:val="0079143E"/>
    <w:rsid w:val="007919C9"/>
    <w:rsid w:val="007927F9"/>
    <w:rsid w:val="00793825"/>
    <w:rsid w:val="00793D4B"/>
    <w:rsid w:val="0079449F"/>
    <w:rsid w:val="007949AE"/>
    <w:rsid w:val="007960CD"/>
    <w:rsid w:val="007973C4"/>
    <w:rsid w:val="00797C72"/>
    <w:rsid w:val="007A1631"/>
    <w:rsid w:val="007A1A22"/>
    <w:rsid w:val="007A1D83"/>
    <w:rsid w:val="007A21AF"/>
    <w:rsid w:val="007A28EE"/>
    <w:rsid w:val="007A2A28"/>
    <w:rsid w:val="007A2A94"/>
    <w:rsid w:val="007A2D0E"/>
    <w:rsid w:val="007A2D33"/>
    <w:rsid w:val="007A3005"/>
    <w:rsid w:val="007A3143"/>
    <w:rsid w:val="007A3D23"/>
    <w:rsid w:val="007A5174"/>
    <w:rsid w:val="007A73CB"/>
    <w:rsid w:val="007A756A"/>
    <w:rsid w:val="007A76C3"/>
    <w:rsid w:val="007A7CB4"/>
    <w:rsid w:val="007B0AD8"/>
    <w:rsid w:val="007B2A8C"/>
    <w:rsid w:val="007B2B4F"/>
    <w:rsid w:val="007B4AFF"/>
    <w:rsid w:val="007B4B26"/>
    <w:rsid w:val="007B5A4D"/>
    <w:rsid w:val="007B6166"/>
    <w:rsid w:val="007B641D"/>
    <w:rsid w:val="007B68B9"/>
    <w:rsid w:val="007B6A5C"/>
    <w:rsid w:val="007B6C31"/>
    <w:rsid w:val="007B72D8"/>
    <w:rsid w:val="007B762D"/>
    <w:rsid w:val="007B7BA4"/>
    <w:rsid w:val="007C0015"/>
    <w:rsid w:val="007C02FB"/>
    <w:rsid w:val="007C123F"/>
    <w:rsid w:val="007C1D52"/>
    <w:rsid w:val="007C1F00"/>
    <w:rsid w:val="007C2090"/>
    <w:rsid w:val="007C219B"/>
    <w:rsid w:val="007C2810"/>
    <w:rsid w:val="007C381F"/>
    <w:rsid w:val="007C4E9B"/>
    <w:rsid w:val="007C4ECB"/>
    <w:rsid w:val="007C4ECC"/>
    <w:rsid w:val="007C50A3"/>
    <w:rsid w:val="007C5F7B"/>
    <w:rsid w:val="007C5FEC"/>
    <w:rsid w:val="007C6F06"/>
    <w:rsid w:val="007C6F62"/>
    <w:rsid w:val="007C701D"/>
    <w:rsid w:val="007D0519"/>
    <w:rsid w:val="007D0A92"/>
    <w:rsid w:val="007D1F0A"/>
    <w:rsid w:val="007D1FE4"/>
    <w:rsid w:val="007D35C0"/>
    <w:rsid w:val="007D43D9"/>
    <w:rsid w:val="007D5326"/>
    <w:rsid w:val="007D54A2"/>
    <w:rsid w:val="007D5A55"/>
    <w:rsid w:val="007D7EE9"/>
    <w:rsid w:val="007E0A4E"/>
    <w:rsid w:val="007E0D49"/>
    <w:rsid w:val="007E0EF5"/>
    <w:rsid w:val="007E154D"/>
    <w:rsid w:val="007E162D"/>
    <w:rsid w:val="007E33AC"/>
    <w:rsid w:val="007E3AB2"/>
    <w:rsid w:val="007E4124"/>
    <w:rsid w:val="007E4455"/>
    <w:rsid w:val="007E4A40"/>
    <w:rsid w:val="007E51A9"/>
    <w:rsid w:val="007E5774"/>
    <w:rsid w:val="007E59B9"/>
    <w:rsid w:val="007E5DB7"/>
    <w:rsid w:val="007E627F"/>
    <w:rsid w:val="007E66C9"/>
    <w:rsid w:val="007E68BF"/>
    <w:rsid w:val="007E6D19"/>
    <w:rsid w:val="007E6E6C"/>
    <w:rsid w:val="007E70F2"/>
    <w:rsid w:val="007E74A3"/>
    <w:rsid w:val="007E7998"/>
    <w:rsid w:val="007F00E6"/>
    <w:rsid w:val="007F029B"/>
    <w:rsid w:val="007F05B2"/>
    <w:rsid w:val="007F1E02"/>
    <w:rsid w:val="007F228E"/>
    <w:rsid w:val="007F38FC"/>
    <w:rsid w:val="007F49F5"/>
    <w:rsid w:val="007F6294"/>
    <w:rsid w:val="007F755E"/>
    <w:rsid w:val="007F7D3B"/>
    <w:rsid w:val="00800202"/>
    <w:rsid w:val="008011A5"/>
    <w:rsid w:val="008028EB"/>
    <w:rsid w:val="00802CDF"/>
    <w:rsid w:val="00804250"/>
    <w:rsid w:val="00804D9E"/>
    <w:rsid w:val="008051F2"/>
    <w:rsid w:val="00805ED3"/>
    <w:rsid w:val="0080629B"/>
    <w:rsid w:val="00806EE3"/>
    <w:rsid w:val="00806EE8"/>
    <w:rsid w:val="0080716B"/>
    <w:rsid w:val="00807D91"/>
    <w:rsid w:val="008106FF"/>
    <w:rsid w:val="00810BF4"/>
    <w:rsid w:val="00810EAB"/>
    <w:rsid w:val="00811262"/>
    <w:rsid w:val="00812121"/>
    <w:rsid w:val="0081402D"/>
    <w:rsid w:val="00814350"/>
    <w:rsid w:val="008157EA"/>
    <w:rsid w:val="00815F72"/>
    <w:rsid w:val="008171AB"/>
    <w:rsid w:val="008178B6"/>
    <w:rsid w:val="00817C19"/>
    <w:rsid w:val="00817F21"/>
    <w:rsid w:val="00820412"/>
    <w:rsid w:val="00820952"/>
    <w:rsid w:val="00820ACF"/>
    <w:rsid w:val="00820B42"/>
    <w:rsid w:val="0082116B"/>
    <w:rsid w:val="00821AAB"/>
    <w:rsid w:val="00822205"/>
    <w:rsid w:val="008231F6"/>
    <w:rsid w:val="00823330"/>
    <w:rsid w:val="00823A8C"/>
    <w:rsid w:val="00824437"/>
    <w:rsid w:val="00825033"/>
    <w:rsid w:val="0082532D"/>
    <w:rsid w:val="00825361"/>
    <w:rsid w:val="00825660"/>
    <w:rsid w:val="00825ACC"/>
    <w:rsid w:val="008261A4"/>
    <w:rsid w:val="008265BC"/>
    <w:rsid w:val="00826A2D"/>
    <w:rsid w:val="00826B50"/>
    <w:rsid w:val="0082783B"/>
    <w:rsid w:val="0082793F"/>
    <w:rsid w:val="00827D2A"/>
    <w:rsid w:val="00830771"/>
    <w:rsid w:val="00830B0E"/>
    <w:rsid w:val="00830B8D"/>
    <w:rsid w:val="008314C3"/>
    <w:rsid w:val="00831ED9"/>
    <w:rsid w:val="00832571"/>
    <w:rsid w:val="00832819"/>
    <w:rsid w:val="00832E14"/>
    <w:rsid w:val="008337D1"/>
    <w:rsid w:val="008346EB"/>
    <w:rsid w:val="008347C3"/>
    <w:rsid w:val="0083534C"/>
    <w:rsid w:val="00835A28"/>
    <w:rsid w:val="00835BB0"/>
    <w:rsid w:val="0083669F"/>
    <w:rsid w:val="008409BA"/>
    <w:rsid w:val="008409F1"/>
    <w:rsid w:val="00841B22"/>
    <w:rsid w:val="00841D07"/>
    <w:rsid w:val="00843171"/>
    <w:rsid w:val="00843319"/>
    <w:rsid w:val="00844668"/>
    <w:rsid w:val="00844B68"/>
    <w:rsid w:val="00844F25"/>
    <w:rsid w:val="00845012"/>
    <w:rsid w:val="0084527B"/>
    <w:rsid w:val="00845788"/>
    <w:rsid w:val="00846083"/>
    <w:rsid w:val="00846546"/>
    <w:rsid w:val="0084699D"/>
    <w:rsid w:val="00846D89"/>
    <w:rsid w:val="0085070B"/>
    <w:rsid w:val="0085137E"/>
    <w:rsid w:val="008515F0"/>
    <w:rsid w:val="008518C4"/>
    <w:rsid w:val="0085199D"/>
    <w:rsid w:val="008524D6"/>
    <w:rsid w:val="0085262D"/>
    <w:rsid w:val="00853636"/>
    <w:rsid w:val="00854A31"/>
    <w:rsid w:val="00854BAC"/>
    <w:rsid w:val="00854E73"/>
    <w:rsid w:val="0085560F"/>
    <w:rsid w:val="00856312"/>
    <w:rsid w:val="00856A4B"/>
    <w:rsid w:val="00857186"/>
    <w:rsid w:val="0085731D"/>
    <w:rsid w:val="00860587"/>
    <w:rsid w:val="00860E7F"/>
    <w:rsid w:val="00860EEF"/>
    <w:rsid w:val="008613CD"/>
    <w:rsid w:val="00862824"/>
    <w:rsid w:val="0086297D"/>
    <w:rsid w:val="00863585"/>
    <w:rsid w:val="008648D5"/>
    <w:rsid w:val="00864B99"/>
    <w:rsid w:val="0086503A"/>
    <w:rsid w:val="008652F4"/>
    <w:rsid w:val="00865BE2"/>
    <w:rsid w:val="00866113"/>
    <w:rsid w:val="00866494"/>
    <w:rsid w:val="00866E6A"/>
    <w:rsid w:val="00867AD8"/>
    <w:rsid w:val="00870132"/>
    <w:rsid w:val="00870210"/>
    <w:rsid w:val="00870927"/>
    <w:rsid w:val="008718BA"/>
    <w:rsid w:val="00871BB5"/>
    <w:rsid w:val="00871FCC"/>
    <w:rsid w:val="008720F1"/>
    <w:rsid w:val="00872800"/>
    <w:rsid w:val="008729EB"/>
    <w:rsid w:val="008735E1"/>
    <w:rsid w:val="00873A43"/>
    <w:rsid w:val="00873F53"/>
    <w:rsid w:val="0087491D"/>
    <w:rsid w:val="008755B7"/>
    <w:rsid w:val="0087609E"/>
    <w:rsid w:val="00877086"/>
    <w:rsid w:val="0087737A"/>
    <w:rsid w:val="00877DBC"/>
    <w:rsid w:val="008800E2"/>
    <w:rsid w:val="00880221"/>
    <w:rsid w:val="00880367"/>
    <w:rsid w:val="00880FE7"/>
    <w:rsid w:val="00880FF0"/>
    <w:rsid w:val="008811F6"/>
    <w:rsid w:val="008812A4"/>
    <w:rsid w:val="008819C6"/>
    <w:rsid w:val="00882AE4"/>
    <w:rsid w:val="00882BB0"/>
    <w:rsid w:val="00882E86"/>
    <w:rsid w:val="0088391B"/>
    <w:rsid w:val="00886358"/>
    <w:rsid w:val="00887242"/>
    <w:rsid w:val="00887D1B"/>
    <w:rsid w:val="008900F5"/>
    <w:rsid w:val="008902F1"/>
    <w:rsid w:val="008908F2"/>
    <w:rsid w:val="00892223"/>
    <w:rsid w:val="0089247E"/>
    <w:rsid w:val="00892531"/>
    <w:rsid w:val="008927FD"/>
    <w:rsid w:val="008931DF"/>
    <w:rsid w:val="00893382"/>
    <w:rsid w:val="008933E0"/>
    <w:rsid w:val="008936E9"/>
    <w:rsid w:val="00893BC7"/>
    <w:rsid w:val="00893EAA"/>
    <w:rsid w:val="00894754"/>
    <w:rsid w:val="00895280"/>
    <w:rsid w:val="008965EB"/>
    <w:rsid w:val="00896C72"/>
    <w:rsid w:val="008979A9"/>
    <w:rsid w:val="008A07B7"/>
    <w:rsid w:val="008A0CC0"/>
    <w:rsid w:val="008A0D87"/>
    <w:rsid w:val="008A1157"/>
    <w:rsid w:val="008A13EE"/>
    <w:rsid w:val="008A157D"/>
    <w:rsid w:val="008A1D7D"/>
    <w:rsid w:val="008A1FBB"/>
    <w:rsid w:val="008A26F9"/>
    <w:rsid w:val="008A3626"/>
    <w:rsid w:val="008A4112"/>
    <w:rsid w:val="008A41E9"/>
    <w:rsid w:val="008A4688"/>
    <w:rsid w:val="008A5518"/>
    <w:rsid w:val="008A55CC"/>
    <w:rsid w:val="008A5C82"/>
    <w:rsid w:val="008A659D"/>
    <w:rsid w:val="008A6902"/>
    <w:rsid w:val="008A6E42"/>
    <w:rsid w:val="008A715B"/>
    <w:rsid w:val="008A777B"/>
    <w:rsid w:val="008A7E88"/>
    <w:rsid w:val="008A7F97"/>
    <w:rsid w:val="008B055C"/>
    <w:rsid w:val="008B1EE2"/>
    <w:rsid w:val="008B2460"/>
    <w:rsid w:val="008B2FB7"/>
    <w:rsid w:val="008B2FE2"/>
    <w:rsid w:val="008B36E8"/>
    <w:rsid w:val="008B3AC7"/>
    <w:rsid w:val="008B467D"/>
    <w:rsid w:val="008B51EB"/>
    <w:rsid w:val="008B5C74"/>
    <w:rsid w:val="008B5DD9"/>
    <w:rsid w:val="008B6111"/>
    <w:rsid w:val="008B6305"/>
    <w:rsid w:val="008B66FD"/>
    <w:rsid w:val="008B7ACF"/>
    <w:rsid w:val="008C01D7"/>
    <w:rsid w:val="008C05E3"/>
    <w:rsid w:val="008C0C70"/>
    <w:rsid w:val="008C0E22"/>
    <w:rsid w:val="008C1478"/>
    <w:rsid w:val="008C1BD8"/>
    <w:rsid w:val="008C38C7"/>
    <w:rsid w:val="008C4954"/>
    <w:rsid w:val="008C4BB2"/>
    <w:rsid w:val="008C4D87"/>
    <w:rsid w:val="008C55AE"/>
    <w:rsid w:val="008C6211"/>
    <w:rsid w:val="008C635D"/>
    <w:rsid w:val="008C72DA"/>
    <w:rsid w:val="008C7C91"/>
    <w:rsid w:val="008C7F54"/>
    <w:rsid w:val="008D0173"/>
    <w:rsid w:val="008D33E0"/>
    <w:rsid w:val="008D3F25"/>
    <w:rsid w:val="008D4008"/>
    <w:rsid w:val="008D479F"/>
    <w:rsid w:val="008D5CF0"/>
    <w:rsid w:val="008D663B"/>
    <w:rsid w:val="008E05CF"/>
    <w:rsid w:val="008E20E8"/>
    <w:rsid w:val="008E254A"/>
    <w:rsid w:val="008E3429"/>
    <w:rsid w:val="008E4314"/>
    <w:rsid w:val="008E563A"/>
    <w:rsid w:val="008E5ED1"/>
    <w:rsid w:val="008E60FF"/>
    <w:rsid w:val="008E61FD"/>
    <w:rsid w:val="008E6D07"/>
    <w:rsid w:val="008E6DF2"/>
    <w:rsid w:val="008E7855"/>
    <w:rsid w:val="008E7861"/>
    <w:rsid w:val="008F1837"/>
    <w:rsid w:val="008F25E0"/>
    <w:rsid w:val="008F263B"/>
    <w:rsid w:val="008F286E"/>
    <w:rsid w:val="008F2888"/>
    <w:rsid w:val="008F2E0C"/>
    <w:rsid w:val="008F34B6"/>
    <w:rsid w:val="008F356D"/>
    <w:rsid w:val="008F3C16"/>
    <w:rsid w:val="008F4D66"/>
    <w:rsid w:val="008F5159"/>
    <w:rsid w:val="008F59FC"/>
    <w:rsid w:val="008F6078"/>
    <w:rsid w:val="008F67FF"/>
    <w:rsid w:val="00900DBD"/>
    <w:rsid w:val="00901245"/>
    <w:rsid w:val="009013D6"/>
    <w:rsid w:val="0090233B"/>
    <w:rsid w:val="00902CDD"/>
    <w:rsid w:val="00902ECF"/>
    <w:rsid w:val="00903242"/>
    <w:rsid w:val="00903323"/>
    <w:rsid w:val="00903CD2"/>
    <w:rsid w:val="0090492D"/>
    <w:rsid w:val="0090496C"/>
    <w:rsid w:val="00904A7F"/>
    <w:rsid w:val="0090505D"/>
    <w:rsid w:val="0090555D"/>
    <w:rsid w:val="009056C0"/>
    <w:rsid w:val="009059C4"/>
    <w:rsid w:val="00905C53"/>
    <w:rsid w:val="00905D97"/>
    <w:rsid w:val="00905E1F"/>
    <w:rsid w:val="00906188"/>
    <w:rsid w:val="009074BD"/>
    <w:rsid w:val="009078DA"/>
    <w:rsid w:val="009100E8"/>
    <w:rsid w:val="00910348"/>
    <w:rsid w:val="0091316F"/>
    <w:rsid w:val="00913561"/>
    <w:rsid w:val="009139E5"/>
    <w:rsid w:val="00913BC1"/>
    <w:rsid w:val="00913CB2"/>
    <w:rsid w:val="0091454B"/>
    <w:rsid w:val="009152C4"/>
    <w:rsid w:val="0091542B"/>
    <w:rsid w:val="00915503"/>
    <w:rsid w:val="00915C31"/>
    <w:rsid w:val="00915DD3"/>
    <w:rsid w:val="0091636C"/>
    <w:rsid w:val="0091675C"/>
    <w:rsid w:val="00916CE2"/>
    <w:rsid w:val="009170CB"/>
    <w:rsid w:val="009171BF"/>
    <w:rsid w:val="00920777"/>
    <w:rsid w:val="00920E5B"/>
    <w:rsid w:val="00922664"/>
    <w:rsid w:val="00922FB7"/>
    <w:rsid w:val="009236BF"/>
    <w:rsid w:val="0092390A"/>
    <w:rsid w:val="00923C19"/>
    <w:rsid w:val="0092479F"/>
    <w:rsid w:val="00924943"/>
    <w:rsid w:val="00924AB4"/>
    <w:rsid w:val="0092578B"/>
    <w:rsid w:val="0092636C"/>
    <w:rsid w:val="00926B49"/>
    <w:rsid w:val="00926BA8"/>
    <w:rsid w:val="00926FDF"/>
    <w:rsid w:val="009273FD"/>
    <w:rsid w:val="00927823"/>
    <w:rsid w:val="00927B35"/>
    <w:rsid w:val="009300A2"/>
    <w:rsid w:val="00930136"/>
    <w:rsid w:val="00930178"/>
    <w:rsid w:val="00930E08"/>
    <w:rsid w:val="00931189"/>
    <w:rsid w:val="00932C86"/>
    <w:rsid w:val="00933D49"/>
    <w:rsid w:val="009366CE"/>
    <w:rsid w:val="00936AFE"/>
    <w:rsid w:val="00936CD2"/>
    <w:rsid w:val="00937780"/>
    <w:rsid w:val="00937A6E"/>
    <w:rsid w:val="00940B83"/>
    <w:rsid w:val="00941279"/>
    <w:rsid w:val="00942249"/>
    <w:rsid w:val="00942903"/>
    <w:rsid w:val="0094300D"/>
    <w:rsid w:val="00943093"/>
    <w:rsid w:val="00943747"/>
    <w:rsid w:val="00943791"/>
    <w:rsid w:val="00943AED"/>
    <w:rsid w:val="0094427E"/>
    <w:rsid w:val="00944725"/>
    <w:rsid w:val="00944AAD"/>
    <w:rsid w:val="009450DA"/>
    <w:rsid w:val="0094537B"/>
    <w:rsid w:val="00945926"/>
    <w:rsid w:val="00945BE9"/>
    <w:rsid w:val="009464C8"/>
    <w:rsid w:val="00946920"/>
    <w:rsid w:val="00947582"/>
    <w:rsid w:val="00947A7A"/>
    <w:rsid w:val="009504C1"/>
    <w:rsid w:val="009510E5"/>
    <w:rsid w:val="00951BB0"/>
    <w:rsid w:val="00951DD8"/>
    <w:rsid w:val="00951E9F"/>
    <w:rsid w:val="00952318"/>
    <w:rsid w:val="00952FAB"/>
    <w:rsid w:val="00953761"/>
    <w:rsid w:val="00954234"/>
    <w:rsid w:val="0095433E"/>
    <w:rsid w:val="009547DB"/>
    <w:rsid w:val="00954BA7"/>
    <w:rsid w:val="0095515B"/>
    <w:rsid w:val="00955B69"/>
    <w:rsid w:val="009563C5"/>
    <w:rsid w:val="009565FD"/>
    <w:rsid w:val="00956713"/>
    <w:rsid w:val="00956C9E"/>
    <w:rsid w:val="00956F9F"/>
    <w:rsid w:val="009573F5"/>
    <w:rsid w:val="009574A6"/>
    <w:rsid w:val="009574EE"/>
    <w:rsid w:val="009577DD"/>
    <w:rsid w:val="00957B4B"/>
    <w:rsid w:val="00960CD5"/>
    <w:rsid w:val="00960D0C"/>
    <w:rsid w:val="00961528"/>
    <w:rsid w:val="00962603"/>
    <w:rsid w:val="00962897"/>
    <w:rsid w:val="009635C9"/>
    <w:rsid w:val="00963B0A"/>
    <w:rsid w:val="00964441"/>
    <w:rsid w:val="00964839"/>
    <w:rsid w:val="009648FB"/>
    <w:rsid w:val="00964996"/>
    <w:rsid w:val="00964C5D"/>
    <w:rsid w:val="00966B30"/>
    <w:rsid w:val="00970015"/>
    <w:rsid w:val="009700E0"/>
    <w:rsid w:val="00970DC0"/>
    <w:rsid w:val="009715A7"/>
    <w:rsid w:val="00971BB7"/>
    <w:rsid w:val="00972303"/>
    <w:rsid w:val="00972398"/>
    <w:rsid w:val="00972B57"/>
    <w:rsid w:val="00972EC2"/>
    <w:rsid w:val="009734B4"/>
    <w:rsid w:val="009740A0"/>
    <w:rsid w:val="009744F7"/>
    <w:rsid w:val="00974A70"/>
    <w:rsid w:val="00974E3B"/>
    <w:rsid w:val="00974EF3"/>
    <w:rsid w:val="00975AF0"/>
    <w:rsid w:val="0097601F"/>
    <w:rsid w:val="009760DA"/>
    <w:rsid w:val="00976478"/>
    <w:rsid w:val="00976E33"/>
    <w:rsid w:val="00977115"/>
    <w:rsid w:val="00980303"/>
    <w:rsid w:val="00980898"/>
    <w:rsid w:val="00980A98"/>
    <w:rsid w:val="009813DD"/>
    <w:rsid w:val="00981E3F"/>
    <w:rsid w:val="00981FC9"/>
    <w:rsid w:val="00982227"/>
    <w:rsid w:val="00982838"/>
    <w:rsid w:val="00983573"/>
    <w:rsid w:val="00983C7D"/>
    <w:rsid w:val="00983EE0"/>
    <w:rsid w:val="0098415C"/>
    <w:rsid w:val="00984371"/>
    <w:rsid w:val="009851B6"/>
    <w:rsid w:val="00985CC1"/>
    <w:rsid w:val="00985D4A"/>
    <w:rsid w:val="00985E5F"/>
    <w:rsid w:val="00987442"/>
    <w:rsid w:val="009877DF"/>
    <w:rsid w:val="00987A20"/>
    <w:rsid w:val="00991067"/>
    <w:rsid w:val="0099240D"/>
    <w:rsid w:val="00992C79"/>
    <w:rsid w:val="00992CB0"/>
    <w:rsid w:val="00992E1A"/>
    <w:rsid w:val="009930B4"/>
    <w:rsid w:val="009943C6"/>
    <w:rsid w:val="00994E3F"/>
    <w:rsid w:val="00994F4F"/>
    <w:rsid w:val="00995032"/>
    <w:rsid w:val="00995AA8"/>
    <w:rsid w:val="009963D6"/>
    <w:rsid w:val="00996A35"/>
    <w:rsid w:val="00997453"/>
    <w:rsid w:val="009976BC"/>
    <w:rsid w:val="00997A90"/>
    <w:rsid w:val="009A03E0"/>
    <w:rsid w:val="009A0F3A"/>
    <w:rsid w:val="009A184F"/>
    <w:rsid w:val="009A2790"/>
    <w:rsid w:val="009A313B"/>
    <w:rsid w:val="009A4825"/>
    <w:rsid w:val="009A4E4A"/>
    <w:rsid w:val="009A521F"/>
    <w:rsid w:val="009A5269"/>
    <w:rsid w:val="009A5479"/>
    <w:rsid w:val="009A580D"/>
    <w:rsid w:val="009A661A"/>
    <w:rsid w:val="009A6950"/>
    <w:rsid w:val="009A774D"/>
    <w:rsid w:val="009A7E23"/>
    <w:rsid w:val="009A7EDD"/>
    <w:rsid w:val="009B13B0"/>
    <w:rsid w:val="009B1926"/>
    <w:rsid w:val="009B19BC"/>
    <w:rsid w:val="009B1A3C"/>
    <w:rsid w:val="009B1F5C"/>
    <w:rsid w:val="009B24E3"/>
    <w:rsid w:val="009B2867"/>
    <w:rsid w:val="009B2ABF"/>
    <w:rsid w:val="009B49C5"/>
    <w:rsid w:val="009B4BD5"/>
    <w:rsid w:val="009B53C8"/>
    <w:rsid w:val="009B5EE1"/>
    <w:rsid w:val="009B61FD"/>
    <w:rsid w:val="009B62D5"/>
    <w:rsid w:val="009B638A"/>
    <w:rsid w:val="009B761F"/>
    <w:rsid w:val="009B79A0"/>
    <w:rsid w:val="009B7C21"/>
    <w:rsid w:val="009C0CFE"/>
    <w:rsid w:val="009C0E49"/>
    <w:rsid w:val="009C125F"/>
    <w:rsid w:val="009C1F2E"/>
    <w:rsid w:val="009C21EC"/>
    <w:rsid w:val="009C2BDE"/>
    <w:rsid w:val="009C4020"/>
    <w:rsid w:val="009C4691"/>
    <w:rsid w:val="009C4792"/>
    <w:rsid w:val="009C506A"/>
    <w:rsid w:val="009C64BF"/>
    <w:rsid w:val="009C67F0"/>
    <w:rsid w:val="009C71DC"/>
    <w:rsid w:val="009C75E2"/>
    <w:rsid w:val="009D0706"/>
    <w:rsid w:val="009D0D6D"/>
    <w:rsid w:val="009D32BF"/>
    <w:rsid w:val="009D3458"/>
    <w:rsid w:val="009D3BBF"/>
    <w:rsid w:val="009D4572"/>
    <w:rsid w:val="009D4637"/>
    <w:rsid w:val="009D46E5"/>
    <w:rsid w:val="009D474E"/>
    <w:rsid w:val="009D479A"/>
    <w:rsid w:val="009D53EF"/>
    <w:rsid w:val="009D5F70"/>
    <w:rsid w:val="009D620F"/>
    <w:rsid w:val="009D6289"/>
    <w:rsid w:val="009D69A7"/>
    <w:rsid w:val="009D78A1"/>
    <w:rsid w:val="009D7CEA"/>
    <w:rsid w:val="009D7D33"/>
    <w:rsid w:val="009D7FFB"/>
    <w:rsid w:val="009E010C"/>
    <w:rsid w:val="009E07D3"/>
    <w:rsid w:val="009E0D56"/>
    <w:rsid w:val="009E14A2"/>
    <w:rsid w:val="009E1564"/>
    <w:rsid w:val="009E1B02"/>
    <w:rsid w:val="009E1D3B"/>
    <w:rsid w:val="009E1E31"/>
    <w:rsid w:val="009E297E"/>
    <w:rsid w:val="009E2E02"/>
    <w:rsid w:val="009E3F9C"/>
    <w:rsid w:val="009E4826"/>
    <w:rsid w:val="009E57F7"/>
    <w:rsid w:val="009E5A1B"/>
    <w:rsid w:val="009E5BC4"/>
    <w:rsid w:val="009E61C8"/>
    <w:rsid w:val="009E6428"/>
    <w:rsid w:val="009E6647"/>
    <w:rsid w:val="009E771F"/>
    <w:rsid w:val="009F0989"/>
    <w:rsid w:val="009F1289"/>
    <w:rsid w:val="009F15E5"/>
    <w:rsid w:val="009F1620"/>
    <w:rsid w:val="009F2068"/>
    <w:rsid w:val="009F2E07"/>
    <w:rsid w:val="009F4096"/>
    <w:rsid w:val="009F4612"/>
    <w:rsid w:val="009F46E9"/>
    <w:rsid w:val="009F4C27"/>
    <w:rsid w:val="009F4F86"/>
    <w:rsid w:val="009F5241"/>
    <w:rsid w:val="009F59AF"/>
    <w:rsid w:val="009F5CFA"/>
    <w:rsid w:val="009F67D6"/>
    <w:rsid w:val="009F6AD6"/>
    <w:rsid w:val="009F78A5"/>
    <w:rsid w:val="009F7B45"/>
    <w:rsid w:val="009F7D0E"/>
    <w:rsid w:val="00A007EB"/>
    <w:rsid w:val="00A00E1F"/>
    <w:rsid w:val="00A01863"/>
    <w:rsid w:val="00A019F0"/>
    <w:rsid w:val="00A01DF3"/>
    <w:rsid w:val="00A02B19"/>
    <w:rsid w:val="00A03112"/>
    <w:rsid w:val="00A034FA"/>
    <w:rsid w:val="00A04239"/>
    <w:rsid w:val="00A04472"/>
    <w:rsid w:val="00A044A1"/>
    <w:rsid w:val="00A05A1C"/>
    <w:rsid w:val="00A0649C"/>
    <w:rsid w:val="00A064F0"/>
    <w:rsid w:val="00A06B59"/>
    <w:rsid w:val="00A07748"/>
    <w:rsid w:val="00A07CDD"/>
    <w:rsid w:val="00A10369"/>
    <w:rsid w:val="00A10931"/>
    <w:rsid w:val="00A10C9D"/>
    <w:rsid w:val="00A10E9E"/>
    <w:rsid w:val="00A112AF"/>
    <w:rsid w:val="00A12CA2"/>
    <w:rsid w:val="00A13756"/>
    <w:rsid w:val="00A137E0"/>
    <w:rsid w:val="00A155EE"/>
    <w:rsid w:val="00A16675"/>
    <w:rsid w:val="00A16694"/>
    <w:rsid w:val="00A1707D"/>
    <w:rsid w:val="00A177FE"/>
    <w:rsid w:val="00A179BD"/>
    <w:rsid w:val="00A20828"/>
    <w:rsid w:val="00A20B3D"/>
    <w:rsid w:val="00A20FAB"/>
    <w:rsid w:val="00A214DE"/>
    <w:rsid w:val="00A2188B"/>
    <w:rsid w:val="00A233E3"/>
    <w:rsid w:val="00A2341C"/>
    <w:rsid w:val="00A23911"/>
    <w:rsid w:val="00A2564C"/>
    <w:rsid w:val="00A25FB8"/>
    <w:rsid w:val="00A26102"/>
    <w:rsid w:val="00A262D1"/>
    <w:rsid w:val="00A26335"/>
    <w:rsid w:val="00A26D01"/>
    <w:rsid w:val="00A26D91"/>
    <w:rsid w:val="00A275D5"/>
    <w:rsid w:val="00A30FDA"/>
    <w:rsid w:val="00A31071"/>
    <w:rsid w:val="00A31260"/>
    <w:rsid w:val="00A31484"/>
    <w:rsid w:val="00A332A2"/>
    <w:rsid w:val="00A336DE"/>
    <w:rsid w:val="00A33BBD"/>
    <w:rsid w:val="00A35D7A"/>
    <w:rsid w:val="00A36424"/>
    <w:rsid w:val="00A3665F"/>
    <w:rsid w:val="00A3670B"/>
    <w:rsid w:val="00A378FD"/>
    <w:rsid w:val="00A40559"/>
    <w:rsid w:val="00A406F0"/>
    <w:rsid w:val="00A40A04"/>
    <w:rsid w:val="00A41174"/>
    <w:rsid w:val="00A41203"/>
    <w:rsid w:val="00A42A6B"/>
    <w:rsid w:val="00A43417"/>
    <w:rsid w:val="00A43C0A"/>
    <w:rsid w:val="00A459EB"/>
    <w:rsid w:val="00A46770"/>
    <w:rsid w:val="00A46A5E"/>
    <w:rsid w:val="00A47015"/>
    <w:rsid w:val="00A478CD"/>
    <w:rsid w:val="00A47D43"/>
    <w:rsid w:val="00A50585"/>
    <w:rsid w:val="00A506B2"/>
    <w:rsid w:val="00A50E25"/>
    <w:rsid w:val="00A50E32"/>
    <w:rsid w:val="00A5171F"/>
    <w:rsid w:val="00A52395"/>
    <w:rsid w:val="00A526BE"/>
    <w:rsid w:val="00A537EB"/>
    <w:rsid w:val="00A54162"/>
    <w:rsid w:val="00A5423F"/>
    <w:rsid w:val="00A54292"/>
    <w:rsid w:val="00A55BBF"/>
    <w:rsid w:val="00A56D9E"/>
    <w:rsid w:val="00A56E1C"/>
    <w:rsid w:val="00A574CA"/>
    <w:rsid w:val="00A574EB"/>
    <w:rsid w:val="00A57BDF"/>
    <w:rsid w:val="00A57EA0"/>
    <w:rsid w:val="00A57FD0"/>
    <w:rsid w:val="00A61099"/>
    <w:rsid w:val="00A610A2"/>
    <w:rsid w:val="00A62700"/>
    <w:rsid w:val="00A629B8"/>
    <w:rsid w:val="00A6308C"/>
    <w:rsid w:val="00A636FB"/>
    <w:rsid w:val="00A63975"/>
    <w:rsid w:val="00A65B41"/>
    <w:rsid w:val="00A65BD2"/>
    <w:rsid w:val="00A6707D"/>
    <w:rsid w:val="00A67186"/>
    <w:rsid w:val="00A67D1A"/>
    <w:rsid w:val="00A72512"/>
    <w:rsid w:val="00A72783"/>
    <w:rsid w:val="00A72B4E"/>
    <w:rsid w:val="00A72D54"/>
    <w:rsid w:val="00A732A7"/>
    <w:rsid w:val="00A7337E"/>
    <w:rsid w:val="00A733CD"/>
    <w:rsid w:val="00A73CDC"/>
    <w:rsid w:val="00A744FB"/>
    <w:rsid w:val="00A74FAD"/>
    <w:rsid w:val="00A75538"/>
    <w:rsid w:val="00A7568B"/>
    <w:rsid w:val="00A7620D"/>
    <w:rsid w:val="00A76871"/>
    <w:rsid w:val="00A77567"/>
    <w:rsid w:val="00A80756"/>
    <w:rsid w:val="00A8127E"/>
    <w:rsid w:val="00A815E0"/>
    <w:rsid w:val="00A81BCF"/>
    <w:rsid w:val="00A822B8"/>
    <w:rsid w:val="00A829CB"/>
    <w:rsid w:val="00A82BCA"/>
    <w:rsid w:val="00A83041"/>
    <w:rsid w:val="00A8309E"/>
    <w:rsid w:val="00A839D1"/>
    <w:rsid w:val="00A83B5C"/>
    <w:rsid w:val="00A83F74"/>
    <w:rsid w:val="00A843CD"/>
    <w:rsid w:val="00A84D46"/>
    <w:rsid w:val="00A85501"/>
    <w:rsid w:val="00A8553A"/>
    <w:rsid w:val="00A85BA0"/>
    <w:rsid w:val="00A86143"/>
    <w:rsid w:val="00A869E8"/>
    <w:rsid w:val="00A86CFF"/>
    <w:rsid w:val="00A86EA0"/>
    <w:rsid w:val="00A9013E"/>
    <w:rsid w:val="00A9055E"/>
    <w:rsid w:val="00A90760"/>
    <w:rsid w:val="00A90831"/>
    <w:rsid w:val="00A9090C"/>
    <w:rsid w:val="00A90B2D"/>
    <w:rsid w:val="00A90F14"/>
    <w:rsid w:val="00A91260"/>
    <w:rsid w:val="00A91B54"/>
    <w:rsid w:val="00A91B58"/>
    <w:rsid w:val="00A91DFB"/>
    <w:rsid w:val="00A921F7"/>
    <w:rsid w:val="00A92370"/>
    <w:rsid w:val="00A923E7"/>
    <w:rsid w:val="00A92E7E"/>
    <w:rsid w:val="00A93202"/>
    <w:rsid w:val="00A94174"/>
    <w:rsid w:val="00A942DC"/>
    <w:rsid w:val="00A95437"/>
    <w:rsid w:val="00A9627A"/>
    <w:rsid w:val="00A96297"/>
    <w:rsid w:val="00A96AD6"/>
    <w:rsid w:val="00A96DEE"/>
    <w:rsid w:val="00A96E16"/>
    <w:rsid w:val="00A97F9B"/>
    <w:rsid w:val="00AA06CB"/>
    <w:rsid w:val="00AA0B7B"/>
    <w:rsid w:val="00AA1326"/>
    <w:rsid w:val="00AA14C5"/>
    <w:rsid w:val="00AA1AD7"/>
    <w:rsid w:val="00AA3226"/>
    <w:rsid w:val="00AA36E2"/>
    <w:rsid w:val="00AA388B"/>
    <w:rsid w:val="00AA59E2"/>
    <w:rsid w:val="00AA5EA8"/>
    <w:rsid w:val="00AA61C1"/>
    <w:rsid w:val="00AA64B1"/>
    <w:rsid w:val="00AA64CA"/>
    <w:rsid w:val="00AA6B89"/>
    <w:rsid w:val="00AA71E2"/>
    <w:rsid w:val="00AA76A7"/>
    <w:rsid w:val="00AB08CF"/>
    <w:rsid w:val="00AB0D3D"/>
    <w:rsid w:val="00AB23B4"/>
    <w:rsid w:val="00AB2509"/>
    <w:rsid w:val="00AB2740"/>
    <w:rsid w:val="00AB2DB8"/>
    <w:rsid w:val="00AB2EEC"/>
    <w:rsid w:val="00AB314E"/>
    <w:rsid w:val="00AB34F4"/>
    <w:rsid w:val="00AB3A13"/>
    <w:rsid w:val="00AB3C81"/>
    <w:rsid w:val="00AB3FB2"/>
    <w:rsid w:val="00AB56CF"/>
    <w:rsid w:val="00AB57C2"/>
    <w:rsid w:val="00AB5E3D"/>
    <w:rsid w:val="00AB6F2C"/>
    <w:rsid w:val="00AB727D"/>
    <w:rsid w:val="00AB7A03"/>
    <w:rsid w:val="00AB7EA9"/>
    <w:rsid w:val="00AC0FBB"/>
    <w:rsid w:val="00AC1091"/>
    <w:rsid w:val="00AC187D"/>
    <w:rsid w:val="00AC1A28"/>
    <w:rsid w:val="00AC2366"/>
    <w:rsid w:val="00AC25E2"/>
    <w:rsid w:val="00AC2A1F"/>
    <w:rsid w:val="00AC2B45"/>
    <w:rsid w:val="00AC2E29"/>
    <w:rsid w:val="00AC3081"/>
    <w:rsid w:val="00AC4C42"/>
    <w:rsid w:val="00AC5BAF"/>
    <w:rsid w:val="00AC5E31"/>
    <w:rsid w:val="00AC64D1"/>
    <w:rsid w:val="00AC68C2"/>
    <w:rsid w:val="00AC769A"/>
    <w:rsid w:val="00AC79A5"/>
    <w:rsid w:val="00AC7DC0"/>
    <w:rsid w:val="00AD03D0"/>
    <w:rsid w:val="00AD0993"/>
    <w:rsid w:val="00AD1031"/>
    <w:rsid w:val="00AD20CD"/>
    <w:rsid w:val="00AD2BBD"/>
    <w:rsid w:val="00AD36E5"/>
    <w:rsid w:val="00AD46AE"/>
    <w:rsid w:val="00AD4971"/>
    <w:rsid w:val="00AD4E6E"/>
    <w:rsid w:val="00AD57D0"/>
    <w:rsid w:val="00AD5A81"/>
    <w:rsid w:val="00AD6F74"/>
    <w:rsid w:val="00AD7EA9"/>
    <w:rsid w:val="00AE11C3"/>
    <w:rsid w:val="00AE143E"/>
    <w:rsid w:val="00AE15D4"/>
    <w:rsid w:val="00AE1975"/>
    <w:rsid w:val="00AE2620"/>
    <w:rsid w:val="00AE2B97"/>
    <w:rsid w:val="00AE3516"/>
    <w:rsid w:val="00AE41CD"/>
    <w:rsid w:val="00AE46DA"/>
    <w:rsid w:val="00AE4894"/>
    <w:rsid w:val="00AE48F2"/>
    <w:rsid w:val="00AE5229"/>
    <w:rsid w:val="00AE6580"/>
    <w:rsid w:val="00AE79C7"/>
    <w:rsid w:val="00AF018F"/>
    <w:rsid w:val="00AF3726"/>
    <w:rsid w:val="00AF372A"/>
    <w:rsid w:val="00AF3BA6"/>
    <w:rsid w:val="00AF4858"/>
    <w:rsid w:val="00AF5E7F"/>
    <w:rsid w:val="00AF6781"/>
    <w:rsid w:val="00AF710D"/>
    <w:rsid w:val="00AF71B0"/>
    <w:rsid w:val="00AF7753"/>
    <w:rsid w:val="00AF7843"/>
    <w:rsid w:val="00AF7B56"/>
    <w:rsid w:val="00AF7D69"/>
    <w:rsid w:val="00B0009F"/>
    <w:rsid w:val="00B00A84"/>
    <w:rsid w:val="00B00FAC"/>
    <w:rsid w:val="00B0116A"/>
    <w:rsid w:val="00B01796"/>
    <w:rsid w:val="00B02214"/>
    <w:rsid w:val="00B05735"/>
    <w:rsid w:val="00B06021"/>
    <w:rsid w:val="00B073FB"/>
    <w:rsid w:val="00B07EC9"/>
    <w:rsid w:val="00B10A43"/>
    <w:rsid w:val="00B10AD3"/>
    <w:rsid w:val="00B10B97"/>
    <w:rsid w:val="00B10EFE"/>
    <w:rsid w:val="00B11FA3"/>
    <w:rsid w:val="00B12880"/>
    <w:rsid w:val="00B1296D"/>
    <w:rsid w:val="00B13E92"/>
    <w:rsid w:val="00B14143"/>
    <w:rsid w:val="00B14430"/>
    <w:rsid w:val="00B14439"/>
    <w:rsid w:val="00B15448"/>
    <w:rsid w:val="00B169D2"/>
    <w:rsid w:val="00B16BE8"/>
    <w:rsid w:val="00B176D6"/>
    <w:rsid w:val="00B17802"/>
    <w:rsid w:val="00B1785D"/>
    <w:rsid w:val="00B2009E"/>
    <w:rsid w:val="00B2033C"/>
    <w:rsid w:val="00B2087F"/>
    <w:rsid w:val="00B220D2"/>
    <w:rsid w:val="00B22ED2"/>
    <w:rsid w:val="00B23851"/>
    <w:rsid w:val="00B24249"/>
    <w:rsid w:val="00B2491B"/>
    <w:rsid w:val="00B24C5E"/>
    <w:rsid w:val="00B24D06"/>
    <w:rsid w:val="00B254B1"/>
    <w:rsid w:val="00B26122"/>
    <w:rsid w:val="00B2627E"/>
    <w:rsid w:val="00B2666D"/>
    <w:rsid w:val="00B27445"/>
    <w:rsid w:val="00B3027E"/>
    <w:rsid w:val="00B30DB3"/>
    <w:rsid w:val="00B3139C"/>
    <w:rsid w:val="00B3204A"/>
    <w:rsid w:val="00B32545"/>
    <w:rsid w:val="00B32A83"/>
    <w:rsid w:val="00B3377F"/>
    <w:rsid w:val="00B33874"/>
    <w:rsid w:val="00B34850"/>
    <w:rsid w:val="00B35F9D"/>
    <w:rsid w:val="00B368BD"/>
    <w:rsid w:val="00B37743"/>
    <w:rsid w:val="00B3788D"/>
    <w:rsid w:val="00B37CA7"/>
    <w:rsid w:val="00B41008"/>
    <w:rsid w:val="00B4197D"/>
    <w:rsid w:val="00B42E9B"/>
    <w:rsid w:val="00B43706"/>
    <w:rsid w:val="00B4390E"/>
    <w:rsid w:val="00B43B1D"/>
    <w:rsid w:val="00B43CE8"/>
    <w:rsid w:val="00B43D8A"/>
    <w:rsid w:val="00B440D5"/>
    <w:rsid w:val="00B442C5"/>
    <w:rsid w:val="00B45118"/>
    <w:rsid w:val="00B4551A"/>
    <w:rsid w:val="00B50448"/>
    <w:rsid w:val="00B5046F"/>
    <w:rsid w:val="00B509C5"/>
    <w:rsid w:val="00B50D39"/>
    <w:rsid w:val="00B51440"/>
    <w:rsid w:val="00B522CE"/>
    <w:rsid w:val="00B5493E"/>
    <w:rsid w:val="00B54AD8"/>
    <w:rsid w:val="00B560FF"/>
    <w:rsid w:val="00B56789"/>
    <w:rsid w:val="00B5685F"/>
    <w:rsid w:val="00B56A8C"/>
    <w:rsid w:val="00B56B00"/>
    <w:rsid w:val="00B56B8E"/>
    <w:rsid w:val="00B57009"/>
    <w:rsid w:val="00B5743F"/>
    <w:rsid w:val="00B57F9E"/>
    <w:rsid w:val="00B6076E"/>
    <w:rsid w:val="00B60A28"/>
    <w:rsid w:val="00B60CC2"/>
    <w:rsid w:val="00B61222"/>
    <w:rsid w:val="00B613D3"/>
    <w:rsid w:val="00B61C6A"/>
    <w:rsid w:val="00B621D3"/>
    <w:rsid w:val="00B63326"/>
    <w:rsid w:val="00B63808"/>
    <w:rsid w:val="00B638BE"/>
    <w:rsid w:val="00B640B4"/>
    <w:rsid w:val="00B64184"/>
    <w:rsid w:val="00B64ACF"/>
    <w:rsid w:val="00B64B5D"/>
    <w:rsid w:val="00B6550F"/>
    <w:rsid w:val="00B65692"/>
    <w:rsid w:val="00B65AAA"/>
    <w:rsid w:val="00B665B7"/>
    <w:rsid w:val="00B665BA"/>
    <w:rsid w:val="00B6775E"/>
    <w:rsid w:val="00B67C70"/>
    <w:rsid w:val="00B70D74"/>
    <w:rsid w:val="00B70F8F"/>
    <w:rsid w:val="00B712B1"/>
    <w:rsid w:val="00B72398"/>
    <w:rsid w:val="00B73C11"/>
    <w:rsid w:val="00B7439B"/>
    <w:rsid w:val="00B74401"/>
    <w:rsid w:val="00B74445"/>
    <w:rsid w:val="00B748E1"/>
    <w:rsid w:val="00B754DE"/>
    <w:rsid w:val="00B75F4C"/>
    <w:rsid w:val="00B75FB8"/>
    <w:rsid w:val="00B76493"/>
    <w:rsid w:val="00B769AD"/>
    <w:rsid w:val="00B76F00"/>
    <w:rsid w:val="00B772C2"/>
    <w:rsid w:val="00B773A5"/>
    <w:rsid w:val="00B80932"/>
    <w:rsid w:val="00B80A87"/>
    <w:rsid w:val="00B80FCF"/>
    <w:rsid w:val="00B8162A"/>
    <w:rsid w:val="00B81A78"/>
    <w:rsid w:val="00B81D4A"/>
    <w:rsid w:val="00B81FE2"/>
    <w:rsid w:val="00B82BD8"/>
    <w:rsid w:val="00B82E2C"/>
    <w:rsid w:val="00B84350"/>
    <w:rsid w:val="00B84EB2"/>
    <w:rsid w:val="00B85ABB"/>
    <w:rsid w:val="00B86050"/>
    <w:rsid w:val="00B8662C"/>
    <w:rsid w:val="00B8716A"/>
    <w:rsid w:val="00B871E8"/>
    <w:rsid w:val="00B87781"/>
    <w:rsid w:val="00B902CD"/>
    <w:rsid w:val="00B9096C"/>
    <w:rsid w:val="00B90B22"/>
    <w:rsid w:val="00B91237"/>
    <w:rsid w:val="00B9141A"/>
    <w:rsid w:val="00B91FC2"/>
    <w:rsid w:val="00B9218D"/>
    <w:rsid w:val="00B921AF"/>
    <w:rsid w:val="00B923C0"/>
    <w:rsid w:val="00B92D03"/>
    <w:rsid w:val="00B9349D"/>
    <w:rsid w:val="00B93929"/>
    <w:rsid w:val="00B93BF0"/>
    <w:rsid w:val="00B93D0E"/>
    <w:rsid w:val="00B94006"/>
    <w:rsid w:val="00B940A1"/>
    <w:rsid w:val="00B943E6"/>
    <w:rsid w:val="00B94F90"/>
    <w:rsid w:val="00B95F48"/>
    <w:rsid w:val="00B96F60"/>
    <w:rsid w:val="00B979F7"/>
    <w:rsid w:val="00B97F4C"/>
    <w:rsid w:val="00BA07A2"/>
    <w:rsid w:val="00BA11DB"/>
    <w:rsid w:val="00BA1A44"/>
    <w:rsid w:val="00BA2881"/>
    <w:rsid w:val="00BA3349"/>
    <w:rsid w:val="00BA47CA"/>
    <w:rsid w:val="00BA571F"/>
    <w:rsid w:val="00BA6A1C"/>
    <w:rsid w:val="00BA6F1A"/>
    <w:rsid w:val="00BA776E"/>
    <w:rsid w:val="00BA790E"/>
    <w:rsid w:val="00BB0254"/>
    <w:rsid w:val="00BB0516"/>
    <w:rsid w:val="00BB1867"/>
    <w:rsid w:val="00BB1D5C"/>
    <w:rsid w:val="00BB2707"/>
    <w:rsid w:val="00BB2CAC"/>
    <w:rsid w:val="00BB331B"/>
    <w:rsid w:val="00BB384F"/>
    <w:rsid w:val="00BB39EE"/>
    <w:rsid w:val="00BB4003"/>
    <w:rsid w:val="00BB4317"/>
    <w:rsid w:val="00BB4742"/>
    <w:rsid w:val="00BB4D7B"/>
    <w:rsid w:val="00BB5047"/>
    <w:rsid w:val="00BB51F6"/>
    <w:rsid w:val="00BB5395"/>
    <w:rsid w:val="00BB5873"/>
    <w:rsid w:val="00BB5CC8"/>
    <w:rsid w:val="00BB67E7"/>
    <w:rsid w:val="00BB6908"/>
    <w:rsid w:val="00BB7781"/>
    <w:rsid w:val="00BB7FA2"/>
    <w:rsid w:val="00BC0631"/>
    <w:rsid w:val="00BC0CE4"/>
    <w:rsid w:val="00BC18E7"/>
    <w:rsid w:val="00BC1FBD"/>
    <w:rsid w:val="00BC2215"/>
    <w:rsid w:val="00BC292E"/>
    <w:rsid w:val="00BC3031"/>
    <w:rsid w:val="00BC3544"/>
    <w:rsid w:val="00BC3FA8"/>
    <w:rsid w:val="00BC4023"/>
    <w:rsid w:val="00BC5559"/>
    <w:rsid w:val="00BC6FF4"/>
    <w:rsid w:val="00BC7333"/>
    <w:rsid w:val="00BC7351"/>
    <w:rsid w:val="00BC748F"/>
    <w:rsid w:val="00BC76B3"/>
    <w:rsid w:val="00BD073A"/>
    <w:rsid w:val="00BD09E0"/>
    <w:rsid w:val="00BD0F58"/>
    <w:rsid w:val="00BD1972"/>
    <w:rsid w:val="00BD19F3"/>
    <w:rsid w:val="00BD1F75"/>
    <w:rsid w:val="00BD226E"/>
    <w:rsid w:val="00BD2DED"/>
    <w:rsid w:val="00BD3549"/>
    <w:rsid w:val="00BD3D0B"/>
    <w:rsid w:val="00BD4177"/>
    <w:rsid w:val="00BD4A7F"/>
    <w:rsid w:val="00BD4BDA"/>
    <w:rsid w:val="00BD5473"/>
    <w:rsid w:val="00BD5679"/>
    <w:rsid w:val="00BD58B1"/>
    <w:rsid w:val="00BD5A17"/>
    <w:rsid w:val="00BD5B06"/>
    <w:rsid w:val="00BD6A92"/>
    <w:rsid w:val="00BD6D19"/>
    <w:rsid w:val="00BD6D64"/>
    <w:rsid w:val="00BD70CB"/>
    <w:rsid w:val="00BD75D7"/>
    <w:rsid w:val="00BD7890"/>
    <w:rsid w:val="00BD7C1F"/>
    <w:rsid w:val="00BE0A12"/>
    <w:rsid w:val="00BE1C2C"/>
    <w:rsid w:val="00BE2680"/>
    <w:rsid w:val="00BE2B16"/>
    <w:rsid w:val="00BE31E6"/>
    <w:rsid w:val="00BE3E88"/>
    <w:rsid w:val="00BE4FA9"/>
    <w:rsid w:val="00BE521D"/>
    <w:rsid w:val="00BE6A21"/>
    <w:rsid w:val="00BE6E1A"/>
    <w:rsid w:val="00BE7C97"/>
    <w:rsid w:val="00BF04B9"/>
    <w:rsid w:val="00BF0DEB"/>
    <w:rsid w:val="00BF1832"/>
    <w:rsid w:val="00BF1BA7"/>
    <w:rsid w:val="00BF1D35"/>
    <w:rsid w:val="00BF27B7"/>
    <w:rsid w:val="00BF348C"/>
    <w:rsid w:val="00BF3CB8"/>
    <w:rsid w:val="00BF42B4"/>
    <w:rsid w:val="00BF4C2D"/>
    <w:rsid w:val="00BF629A"/>
    <w:rsid w:val="00BF6ADA"/>
    <w:rsid w:val="00BF7131"/>
    <w:rsid w:val="00BF779D"/>
    <w:rsid w:val="00BF7870"/>
    <w:rsid w:val="00BF7A2D"/>
    <w:rsid w:val="00BF7A3F"/>
    <w:rsid w:val="00BF7AE6"/>
    <w:rsid w:val="00BF7DF8"/>
    <w:rsid w:val="00C00086"/>
    <w:rsid w:val="00C004BD"/>
    <w:rsid w:val="00C00D95"/>
    <w:rsid w:val="00C010D7"/>
    <w:rsid w:val="00C0145A"/>
    <w:rsid w:val="00C014CA"/>
    <w:rsid w:val="00C0153A"/>
    <w:rsid w:val="00C01DEB"/>
    <w:rsid w:val="00C0207F"/>
    <w:rsid w:val="00C02682"/>
    <w:rsid w:val="00C026EB"/>
    <w:rsid w:val="00C03A33"/>
    <w:rsid w:val="00C0585C"/>
    <w:rsid w:val="00C05E4A"/>
    <w:rsid w:val="00C061CD"/>
    <w:rsid w:val="00C063BA"/>
    <w:rsid w:val="00C10D74"/>
    <w:rsid w:val="00C12A62"/>
    <w:rsid w:val="00C12CF0"/>
    <w:rsid w:val="00C1375A"/>
    <w:rsid w:val="00C13DD2"/>
    <w:rsid w:val="00C15214"/>
    <w:rsid w:val="00C15515"/>
    <w:rsid w:val="00C15608"/>
    <w:rsid w:val="00C15782"/>
    <w:rsid w:val="00C15B0B"/>
    <w:rsid w:val="00C16094"/>
    <w:rsid w:val="00C16A1E"/>
    <w:rsid w:val="00C17298"/>
    <w:rsid w:val="00C17A92"/>
    <w:rsid w:val="00C20538"/>
    <w:rsid w:val="00C20C5F"/>
    <w:rsid w:val="00C20DBE"/>
    <w:rsid w:val="00C21D60"/>
    <w:rsid w:val="00C22996"/>
    <w:rsid w:val="00C22CC3"/>
    <w:rsid w:val="00C23BA1"/>
    <w:rsid w:val="00C23EBD"/>
    <w:rsid w:val="00C240A8"/>
    <w:rsid w:val="00C25113"/>
    <w:rsid w:val="00C25BF2"/>
    <w:rsid w:val="00C26382"/>
    <w:rsid w:val="00C26D2A"/>
    <w:rsid w:val="00C26D64"/>
    <w:rsid w:val="00C26FBA"/>
    <w:rsid w:val="00C27190"/>
    <w:rsid w:val="00C30096"/>
    <w:rsid w:val="00C3059A"/>
    <w:rsid w:val="00C30764"/>
    <w:rsid w:val="00C30A0B"/>
    <w:rsid w:val="00C31A0E"/>
    <w:rsid w:val="00C31DF7"/>
    <w:rsid w:val="00C3291C"/>
    <w:rsid w:val="00C32BFF"/>
    <w:rsid w:val="00C33022"/>
    <w:rsid w:val="00C33361"/>
    <w:rsid w:val="00C334B1"/>
    <w:rsid w:val="00C3386E"/>
    <w:rsid w:val="00C33D23"/>
    <w:rsid w:val="00C34354"/>
    <w:rsid w:val="00C34389"/>
    <w:rsid w:val="00C34735"/>
    <w:rsid w:val="00C34AD2"/>
    <w:rsid w:val="00C3573B"/>
    <w:rsid w:val="00C36842"/>
    <w:rsid w:val="00C36C84"/>
    <w:rsid w:val="00C37A03"/>
    <w:rsid w:val="00C40787"/>
    <w:rsid w:val="00C40866"/>
    <w:rsid w:val="00C40AC3"/>
    <w:rsid w:val="00C40F60"/>
    <w:rsid w:val="00C41CF4"/>
    <w:rsid w:val="00C43232"/>
    <w:rsid w:val="00C43F83"/>
    <w:rsid w:val="00C4403A"/>
    <w:rsid w:val="00C44F03"/>
    <w:rsid w:val="00C450BB"/>
    <w:rsid w:val="00C45FE5"/>
    <w:rsid w:val="00C47AE7"/>
    <w:rsid w:val="00C47CF2"/>
    <w:rsid w:val="00C47FD0"/>
    <w:rsid w:val="00C50690"/>
    <w:rsid w:val="00C50923"/>
    <w:rsid w:val="00C50FD8"/>
    <w:rsid w:val="00C517BD"/>
    <w:rsid w:val="00C51816"/>
    <w:rsid w:val="00C51F59"/>
    <w:rsid w:val="00C530F7"/>
    <w:rsid w:val="00C53177"/>
    <w:rsid w:val="00C53418"/>
    <w:rsid w:val="00C544DD"/>
    <w:rsid w:val="00C54C64"/>
    <w:rsid w:val="00C5537B"/>
    <w:rsid w:val="00C5787F"/>
    <w:rsid w:val="00C57A54"/>
    <w:rsid w:val="00C57D39"/>
    <w:rsid w:val="00C57DEB"/>
    <w:rsid w:val="00C60C9F"/>
    <w:rsid w:val="00C60D45"/>
    <w:rsid w:val="00C60D59"/>
    <w:rsid w:val="00C620EF"/>
    <w:rsid w:val="00C62435"/>
    <w:rsid w:val="00C62C84"/>
    <w:rsid w:val="00C634B9"/>
    <w:rsid w:val="00C635AC"/>
    <w:rsid w:val="00C641F1"/>
    <w:rsid w:val="00C649DB"/>
    <w:rsid w:val="00C6506F"/>
    <w:rsid w:val="00C650AA"/>
    <w:rsid w:val="00C65675"/>
    <w:rsid w:val="00C6642A"/>
    <w:rsid w:val="00C664AC"/>
    <w:rsid w:val="00C664AD"/>
    <w:rsid w:val="00C667EE"/>
    <w:rsid w:val="00C66CED"/>
    <w:rsid w:val="00C675E9"/>
    <w:rsid w:val="00C67F07"/>
    <w:rsid w:val="00C67FA4"/>
    <w:rsid w:val="00C70285"/>
    <w:rsid w:val="00C70478"/>
    <w:rsid w:val="00C70BA3"/>
    <w:rsid w:val="00C70D08"/>
    <w:rsid w:val="00C71874"/>
    <w:rsid w:val="00C71BCF"/>
    <w:rsid w:val="00C71C48"/>
    <w:rsid w:val="00C71DAD"/>
    <w:rsid w:val="00C71E29"/>
    <w:rsid w:val="00C72411"/>
    <w:rsid w:val="00C735C1"/>
    <w:rsid w:val="00C73B8A"/>
    <w:rsid w:val="00C73FF1"/>
    <w:rsid w:val="00C7418F"/>
    <w:rsid w:val="00C74AA8"/>
    <w:rsid w:val="00C7535E"/>
    <w:rsid w:val="00C75398"/>
    <w:rsid w:val="00C75701"/>
    <w:rsid w:val="00C75B42"/>
    <w:rsid w:val="00C76057"/>
    <w:rsid w:val="00C76343"/>
    <w:rsid w:val="00C763D7"/>
    <w:rsid w:val="00C7672B"/>
    <w:rsid w:val="00C769D4"/>
    <w:rsid w:val="00C807B6"/>
    <w:rsid w:val="00C80832"/>
    <w:rsid w:val="00C81A0C"/>
    <w:rsid w:val="00C82A96"/>
    <w:rsid w:val="00C82F9B"/>
    <w:rsid w:val="00C834CB"/>
    <w:rsid w:val="00C840DD"/>
    <w:rsid w:val="00C84858"/>
    <w:rsid w:val="00C85435"/>
    <w:rsid w:val="00C85CDA"/>
    <w:rsid w:val="00C8620B"/>
    <w:rsid w:val="00C865E3"/>
    <w:rsid w:val="00C86F49"/>
    <w:rsid w:val="00C87EAD"/>
    <w:rsid w:val="00C908A9"/>
    <w:rsid w:val="00C9184B"/>
    <w:rsid w:val="00C91DBA"/>
    <w:rsid w:val="00C920C9"/>
    <w:rsid w:val="00C93677"/>
    <w:rsid w:val="00C9376D"/>
    <w:rsid w:val="00C93C1E"/>
    <w:rsid w:val="00C94A96"/>
    <w:rsid w:val="00C96003"/>
    <w:rsid w:val="00C96AA1"/>
    <w:rsid w:val="00C96AD7"/>
    <w:rsid w:val="00C97161"/>
    <w:rsid w:val="00C972AF"/>
    <w:rsid w:val="00C978FD"/>
    <w:rsid w:val="00C97AC7"/>
    <w:rsid w:val="00C97E03"/>
    <w:rsid w:val="00CA0011"/>
    <w:rsid w:val="00CA062E"/>
    <w:rsid w:val="00CA0648"/>
    <w:rsid w:val="00CA1205"/>
    <w:rsid w:val="00CA1305"/>
    <w:rsid w:val="00CA20D8"/>
    <w:rsid w:val="00CA3E48"/>
    <w:rsid w:val="00CA4BCA"/>
    <w:rsid w:val="00CA4F57"/>
    <w:rsid w:val="00CA51DF"/>
    <w:rsid w:val="00CA56DF"/>
    <w:rsid w:val="00CA5732"/>
    <w:rsid w:val="00CA5EB6"/>
    <w:rsid w:val="00CA6132"/>
    <w:rsid w:val="00CA61D2"/>
    <w:rsid w:val="00CA6296"/>
    <w:rsid w:val="00CA6AA5"/>
    <w:rsid w:val="00CA6BE4"/>
    <w:rsid w:val="00CA6D9B"/>
    <w:rsid w:val="00CA734F"/>
    <w:rsid w:val="00CA73A0"/>
    <w:rsid w:val="00CA761C"/>
    <w:rsid w:val="00CA7635"/>
    <w:rsid w:val="00CA7C01"/>
    <w:rsid w:val="00CA7FA2"/>
    <w:rsid w:val="00CB028A"/>
    <w:rsid w:val="00CB06F5"/>
    <w:rsid w:val="00CB0D41"/>
    <w:rsid w:val="00CB1787"/>
    <w:rsid w:val="00CB2E4D"/>
    <w:rsid w:val="00CB46C8"/>
    <w:rsid w:val="00CB4882"/>
    <w:rsid w:val="00CB4CFC"/>
    <w:rsid w:val="00CB5423"/>
    <w:rsid w:val="00CB6795"/>
    <w:rsid w:val="00CB6CB8"/>
    <w:rsid w:val="00CB6DC8"/>
    <w:rsid w:val="00CB6EEB"/>
    <w:rsid w:val="00CB7E7C"/>
    <w:rsid w:val="00CC0906"/>
    <w:rsid w:val="00CC22D3"/>
    <w:rsid w:val="00CC29C3"/>
    <w:rsid w:val="00CC2AAF"/>
    <w:rsid w:val="00CC38BB"/>
    <w:rsid w:val="00CC391B"/>
    <w:rsid w:val="00CC48BD"/>
    <w:rsid w:val="00CC54BF"/>
    <w:rsid w:val="00CC57FB"/>
    <w:rsid w:val="00CC64EE"/>
    <w:rsid w:val="00CC67EB"/>
    <w:rsid w:val="00CC7FD1"/>
    <w:rsid w:val="00CD0944"/>
    <w:rsid w:val="00CD0D2D"/>
    <w:rsid w:val="00CD129B"/>
    <w:rsid w:val="00CD1BDA"/>
    <w:rsid w:val="00CD27FE"/>
    <w:rsid w:val="00CD3AD0"/>
    <w:rsid w:val="00CD3AE3"/>
    <w:rsid w:val="00CD3E86"/>
    <w:rsid w:val="00CD486C"/>
    <w:rsid w:val="00CD4FDE"/>
    <w:rsid w:val="00CD5341"/>
    <w:rsid w:val="00CD5A9C"/>
    <w:rsid w:val="00CD5DC1"/>
    <w:rsid w:val="00CD6482"/>
    <w:rsid w:val="00CD6ED4"/>
    <w:rsid w:val="00CD6FFD"/>
    <w:rsid w:val="00CD7825"/>
    <w:rsid w:val="00CD7C74"/>
    <w:rsid w:val="00CE090C"/>
    <w:rsid w:val="00CE0AE8"/>
    <w:rsid w:val="00CE0C3F"/>
    <w:rsid w:val="00CE14FE"/>
    <w:rsid w:val="00CE1574"/>
    <w:rsid w:val="00CE1A06"/>
    <w:rsid w:val="00CE2936"/>
    <w:rsid w:val="00CE37F3"/>
    <w:rsid w:val="00CE3A48"/>
    <w:rsid w:val="00CE3D7D"/>
    <w:rsid w:val="00CE4A47"/>
    <w:rsid w:val="00CE4E56"/>
    <w:rsid w:val="00CE637F"/>
    <w:rsid w:val="00CE64A6"/>
    <w:rsid w:val="00CE6D28"/>
    <w:rsid w:val="00CE6E11"/>
    <w:rsid w:val="00CE7621"/>
    <w:rsid w:val="00CF001B"/>
    <w:rsid w:val="00CF067F"/>
    <w:rsid w:val="00CF09A0"/>
    <w:rsid w:val="00CF0A74"/>
    <w:rsid w:val="00CF178B"/>
    <w:rsid w:val="00CF1832"/>
    <w:rsid w:val="00CF2243"/>
    <w:rsid w:val="00CF2F1B"/>
    <w:rsid w:val="00CF3754"/>
    <w:rsid w:val="00CF3C67"/>
    <w:rsid w:val="00CF416D"/>
    <w:rsid w:val="00CF4C36"/>
    <w:rsid w:val="00CF507E"/>
    <w:rsid w:val="00CF5597"/>
    <w:rsid w:val="00CF55A9"/>
    <w:rsid w:val="00CF62C3"/>
    <w:rsid w:val="00CF6322"/>
    <w:rsid w:val="00CF661C"/>
    <w:rsid w:val="00CF6831"/>
    <w:rsid w:val="00CF6FAB"/>
    <w:rsid w:val="00D004DA"/>
    <w:rsid w:val="00D00E69"/>
    <w:rsid w:val="00D018B4"/>
    <w:rsid w:val="00D01C78"/>
    <w:rsid w:val="00D0227D"/>
    <w:rsid w:val="00D02696"/>
    <w:rsid w:val="00D027FF"/>
    <w:rsid w:val="00D02D81"/>
    <w:rsid w:val="00D031B1"/>
    <w:rsid w:val="00D03364"/>
    <w:rsid w:val="00D0384F"/>
    <w:rsid w:val="00D03EFB"/>
    <w:rsid w:val="00D04073"/>
    <w:rsid w:val="00D040E7"/>
    <w:rsid w:val="00D04B2B"/>
    <w:rsid w:val="00D04F07"/>
    <w:rsid w:val="00D055AF"/>
    <w:rsid w:val="00D05969"/>
    <w:rsid w:val="00D05C0E"/>
    <w:rsid w:val="00D05E93"/>
    <w:rsid w:val="00D05FCF"/>
    <w:rsid w:val="00D0629B"/>
    <w:rsid w:val="00D07026"/>
    <w:rsid w:val="00D074D8"/>
    <w:rsid w:val="00D07E16"/>
    <w:rsid w:val="00D07F8A"/>
    <w:rsid w:val="00D1008A"/>
    <w:rsid w:val="00D10A35"/>
    <w:rsid w:val="00D111DC"/>
    <w:rsid w:val="00D11732"/>
    <w:rsid w:val="00D117D4"/>
    <w:rsid w:val="00D11DE7"/>
    <w:rsid w:val="00D11FE6"/>
    <w:rsid w:val="00D12097"/>
    <w:rsid w:val="00D1216B"/>
    <w:rsid w:val="00D12B54"/>
    <w:rsid w:val="00D13089"/>
    <w:rsid w:val="00D1312D"/>
    <w:rsid w:val="00D133BB"/>
    <w:rsid w:val="00D140C3"/>
    <w:rsid w:val="00D14B2B"/>
    <w:rsid w:val="00D14EAF"/>
    <w:rsid w:val="00D15406"/>
    <w:rsid w:val="00D157DC"/>
    <w:rsid w:val="00D15816"/>
    <w:rsid w:val="00D16025"/>
    <w:rsid w:val="00D16DE4"/>
    <w:rsid w:val="00D20CFB"/>
    <w:rsid w:val="00D20EB5"/>
    <w:rsid w:val="00D21D21"/>
    <w:rsid w:val="00D22752"/>
    <w:rsid w:val="00D229AF"/>
    <w:rsid w:val="00D23216"/>
    <w:rsid w:val="00D23EFE"/>
    <w:rsid w:val="00D24704"/>
    <w:rsid w:val="00D25143"/>
    <w:rsid w:val="00D25373"/>
    <w:rsid w:val="00D258B2"/>
    <w:rsid w:val="00D25C48"/>
    <w:rsid w:val="00D26592"/>
    <w:rsid w:val="00D27443"/>
    <w:rsid w:val="00D27C7A"/>
    <w:rsid w:val="00D30D6E"/>
    <w:rsid w:val="00D31071"/>
    <w:rsid w:val="00D31485"/>
    <w:rsid w:val="00D314FE"/>
    <w:rsid w:val="00D31501"/>
    <w:rsid w:val="00D31EEE"/>
    <w:rsid w:val="00D32498"/>
    <w:rsid w:val="00D327B6"/>
    <w:rsid w:val="00D32CC6"/>
    <w:rsid w:val="00D3355C"/>
    <w:rsid w:val="00D33B79"/>
    <w:rsid w:val="00D33C97"/>
    <w:rsid w:val="00D33E28"/>
    <w:rsid w:val="00D346F7"/>
    <w:rsid w:val="00D34D89"/>
    <w:rsid w:val="00D36240"/>
    <w:rsid w:val="00D36CF1"/>
    <w:rsid w:val="00D36D96"/>
    <w:rsid w:val="00D37368"/>
    <w:rsid w:val="00D37687"/>
    <w:rsid w:val="00D3788A"/>
    <w:rsid w:val="00D37B24"/>
    <w:rsid w:val="00D37B7B"/>
    <w:rsid w:val="00D40544"/>
    <w:rsid w:val="00D4112A"/>
    <w:rsid w:val="00D41598"/>
    <w:rsid w:val="00D415C7"/>
    <w:rsid w:val="00D41852"/>
    <w:rsid w:val="00D41A4F"/>
    <w:rsid w:val="00D41B78"/>
    <w:rsid w:val="00D42BFD"/>
    <w:rsid w:val="00D4375A"/>
    <w:rsid w:val="00D43EF8"/>
    <w:rsid w:val="00D4414C"/>
    <w:rsid w:val="00D447AC"/>
    <w:rsid w:val="00D45033"/>
    <w:rsid w:val="00D4566C"/>
    <w:rsid w:val="00D45723"/>
    <w:rsid w:val="00D45B9B"/>
    <w:rsid w:val="00D46491"/>
    <w:rsid w:val="00D46712"/>
    <w:rsid w:val="00D47EA4"/>
    <w:rsid w:val="00D50142"/>
    <w:rsid w:val="00D51CD3"/>
    <w:rsid w:val="00D5333B"/>
    <w:rsid w:val="00D53C4B"/>
    <w:rsid w:val="00D54300"/>
    <w:rsid w:val="00D54328"/>
    <w:rsid w:val="00D544AE"/>
    <w:rsid w:val="00D54B84"/>
    <w:rsid w:val="00D5573F"/>
    <w:rsid w:val="00D55D41"/>
    <w:rsid w:val="00D55F17"/>
    <w:rsid w:val="00D562CF"/>
    <w:rsid w:val="00D56B8D"/>
    <w:rsid w:val="00D56E9F"/>
    <w:rsid w:val="00D574F4"/>
    <w:rsid w:val="00D57824"/>
    <w:rsid w:val="00D57F13"/>
    <w:rsid w:val="00D609E9"/>
    <w:rsid w:val="00D60E2C"/>
    <w:rsid w:val="00D623F7"/>
    <w:rsid w:val="00D625AF"/>
    <w:rsid w:val="00D627CD"/>
    <w:rsid w:val="00D62B37"/>
    <w:rsid w:val="00D63256"/>
    <w:rsid w:val="00D639BE"/>
    <w:rsid w:val="00D63AED"/>
    <w:rsid w:val="00D63D44"/>
    <w:rsid w:val="00D645DC"/>
    <w:rsid w:val="00D64E83"/>
    <w:rsid w:val="00D64FD3"/>
    <w:rsid w:val="00D6581E"/>
    <w:rsid w:val="00D66035"/>
    <w:rsid w:val="00D669CB"/>
    <w:rsid w:val="00D67385"/>
    <w:rsid w:val="00D6790A"/>
    <w:rsid w:val="00D67E72"/>
    <w:rsid w:val="00D70B03"/>
    <w:rsid w:val="00D70CFA"/>
    <w:rsid w:val="00D710AA"/>
    <w:rsid w:val="00D71597"/>
    <w:rsid w:val="00D71C7B"/>
    <w:rsid w:val="00D7272B"/>
    <w:rsid w:val="00D72C0A"/>
    <w:rsid w:val="00D72C77"/>
    <w:rsid w:val="00D72CA0"/>
    <w:rsid w:val="00D731FC"/>
    <w:rsid w:val="00D7371B"/>
    <w:rsid w:val="00D739D6"/>
    <w:rsid w:val="00D73C1C"/>
    <w:rsid w:val="00D73CB8"/>
    <w:rsid w:val="00D7519C"/>
    <w:rsid w:val="00D76334"/>
    <w:rsid w:val="00D76AB8"/>
    <w:rsid w:val="00D77E00"/>
    <w:rsid w:val="00D77F43"/>
    <w:rsid w:val="00D801A5"/>
    <w:rsid w:val="00D80AC0"/>
    <w:rsid w:val="00D81716"/>
    <w:rsid w:val="00D82A9D"/>
    <w:rsid w:val="00D8339D"/>
    <w:rsid w:val="00D83B1B"/>
    <w:rsid w:val="00D84279"/>
    <w:rsid w:val="00D847C6"/>
    <w:rsid w:val="00D84D90"/>
    <w:rsid w:val="00D85AEE"/>
    <w:rsid w:val="00D85F69"/>
    <w:rsid w:val="00D86313"/>
    <w:rsid w:val="00D8669E"/>
    <w:rsid w:val="00D86A08"/>
    <w:rsid w:val="00D86E69"/>
    <w:rsid w:val="00D877AA"/>
    <w:rsid w:val="00D90522"/>
    <w:rsid w:val="00D908EC"/>
    <w:rsid w:val="00D91449"/>
    <w:rsid w:val="00D91A68"/>
    <w:rsid w:val="00D925DF"/>
    <w:rsid w:val="00D927AD"/>
    <w:rsid w:val="00D92E34"/>
    <w:rsid w:val="00D9322B"/>
    <w:rsid w:val="00D93B47"/>
    <w:rsid w:val="00D94082"/>
    <w:rsid w:val="00D94440"/>
    <w:rsid w:val="00D9494B"/>
    <w:rsid w:val="00D9558C"/>
    <w:rsid w:val="00D96891"/>
    <w:rsid w:val="00DA04A2"/>
    <w:rsid w:val="00DA0584"/>
    <w:rsid w:val="00DA0C4B"/>
    <w:rsid w:val="00DA1739"/>
    <w:rsid w:val="00DA1B83"/>
    <w:rsid w:val="00DA1DE0"/>
    <w:rsid w:val="00DA272A"/>
    <w:rsid w:val="00DA2809"/>
    <w:rsid w:val="00DA2C5C"/>
    <w:rsid w:val="00DA367F"/>
    <w:rsid w:val="00DA48C6"/>
    <w:rsid w:val="00DA4925"/>
    <w:rsid w:val="00DA4BC7"/>
    <w:rsid w:val="00DA4FD0"/>
    <w:rsid w:val="00DA6057"/>
    <w:rsid w:val="00DA632E"/>
    <w:rsid w:val="00DA64C1"/>
    <w:rsid w:val="00DA6E94"/>
    <w:rsid w:val="00DA71DD"/>
    <w:rsid w:val="00DB01AC"/>
    <w:rsid w:val="00DB027D"/>
    <w:rsid w:val="00DB0F2C"/>
    <w:rsid w:val="00DB144F"/>
    <w:rsid w:val="00DB2D71"/>
    <w:rsid w:val="00DB34D5"/>
    <w:rsid w:val="00DB3536"/>
    <w:rsid w:val="00DB4242"/>
    <w:rsid w:val="00DB6164"/>
    <w:rsid w:val="00DB6ACD"/>
    <w:rsid w:val="00DB72F6"/>
    <w:rsid w:val="00DB7416"/>
    <w:rsid w:val="00DB7A86"/>
    <w:rsid w:val="00DC0111"/>
    <w:rsid w:val="00DC018C"/>
    <w:rsid w:val="00DC047E"/>
    <w:rsid w:val="00DC08FC"/>
    <w:rsid w:val="00DC1AD4"/>
    <w:rsid w:val="00DC1BE1"/>
    <w:rsid w:val="00DC255A"/>
    <w:rsid w:val="00DC3703"/>
    <w:rsid w:val="00DC3741"/>
    <w:rsid w:val="00DC3A34"/>
    <w:rsid w:val="00DC4572"/>
    <w:rsid w:val="00DC4D85"/>
    <w:rsid w:val="00DC5588"/>
    <w:rsid w:val="00DC5937"/>
    <w:rsid w:val="00DC6463"/>
    <w:rsid w:val="00DC679F"/>
    <w:rsid w:val="00DC6865"/>
    <w:rsid w:val="00DC76EA"/>
    <w:rsid w:val="00DD030C"/>
    <w:rsid w:val="00DD0428"/>
    <w:rsid w:val="00DD13B3"/>
    <w:rsid w:val="00DD1979"/>
    <w:rsid w:val="00DD1C03"/>
    <w:rsid w:val="00DD1FF0"/>
    <w:rsid w:val="00DD296D"/>
    <w:rsid w:val="00DD3272"/>
    <w:rsid w:val="00DD3A2C"/>
    <w:rsid w:val="00DD3BB4"/>
    <w:rsid w:val="00DD3D72"/>
    <w:rsid w:val="00DD43C5"/>
    <w:rsid w:val="00DD458E"/>
    <w:rsid w:val="00DD4C64"/>
    <w:rsid w:val="00DD4FE0"/>
    <w:rsid w:val="00DD500C"/>
    <w:rsid w:val="00DD5241"/>
    <w:rsid w:val="00DD6B5B"/>
    <w:rsid w:val="00DD7176"/>
    <w:rsid w:val="00DE050C"/>
    <w:rsid w:val="00DE0E2A"/>
    <w:rsid w:val="00DE104F"/>
    <w:rsid w:val="00DE10EF"/>
    <w:rsid w:val="00DE11E1"/>
    <w:rsid w:val="00DE13D3"/>
    <w:rsid w:val="00DE28A0"/>
    <w:rsid w:val="00DE2A44"/>
    <w:rsid w:val="00DE3A0B"/>
    <w:rsid w:val="00DE4E27"/>
    <w:rsid w:val="00DE4FF3"/>
    <w:rsid w:val="00DE5189"/>
    <w:rsid w:val="00DE5FFD"/>
    <w:rsid w:val="00DE633C"/>
    <w:rsid w:val="00DE63CE"/>
    <w:rsid w:val="00DE738B"/>
    <w:rsid w:val="00DE7473"/>
    <w:rsid w:val="00DE78EF"/>
    <w:rsid w:val="00DE79C4"/>
    <w:rsid w:val="00DF041E"/>
    <w:rsid w:val="00DF086A"/>
    <w:rsid w:val="00DF1087"/>
    <w:rsid w:val="00DF1621"/>
    <w:rsid w:val="00DF1ACD"/>
    <w:rsid w:val="00DF1CB1"/>
    <w:rsid w:val="00DF3494"/>
    <w:rsid w:val="00DF375B"/>
    <w:rsid w:val="00DF3BCC"/>
    <w:rsid w:val="00DF458F"/>
    <w:rsid w:val="00DF4EAF"/>
    <w:rsid w:val="00DF4F09"/>
    <w:rsid w:val="00DF5100"/>
    <w:rsid w:val="00DF5249"/>
    <w:rsid w:val="00DF5730"/>
    <w:rsid w:val="00DF68CA"/>
    <w:rsid w:val="00DF6A7C"/>
    <w:rsid w:val="00DF6E04"/>
    <w:rsid w:val="00DF7419"/>
    <w:rsid w:val="00E009E7"/>
    <w:rsid w:val="00E0115D"/>
    <w:rsid w:val="00E01D38"/>
    <w:rsid w:val="00E02001"/>
    <w:rsid w:val="00E022C0"/>
    <w:rsid w:val="00E0258E"/>
    <w:rsid w:val="00E034BF"/>
    <w:rsid w:val="00E038BA"/>
    <w:rsid w:val="00E039EB"/>
    <w:rsid w:val="00E03F68"/>
    <w:rsid w:val="00E04846"/>
    <w:rsid w:val="00E049B9"/>
    <w:rsid w:val="00E051F8"/>
    <w:rsid w:val="00E06394"/>
    <w:rsid w:val="00E06B65"/>
    <w:rsid w:val="00E071AA"/>
    <w:rsid w:val="00E0729E"/>
    <w:rsid w:val="00E07591"/>
    <w:rsid w:val="00E07635"/>
    <w:rsid w:val="00E1063B"/>
    <w:rsid w:val="00E11376"/>
    <w:rsid w:val="00E12862"/>
    <w:rsid w:val="00E136A3"/>
    <w:rsid w:val="00E1478F"/>
    <w:rsid w:val="00E147B5"/>
    <w:rsid w:val="00E14BA4"/>
    <w:rsid w:val="00E1613F"/>
    <w:rsid w:val="00E164D3"/>
    <w:rsid w:val="00E16728"/>
    <w:rsid w:val="00E1688C"/>
    <w:rsid w:val="00E16ACC"/>
    <w:rsid w:val="00E16BDB"/>
    <w:rsid w:val="00E200A5"/>
    <w:rsid w:val="00E203B8"/>
    <w:rsid w:val="00E204A0"/>
    <w:rsid w:val="00E20D5E"/>
    <w:rsid w:val="00E211AE"/>
    <w:rsid w:val="00E21538"/>
    <w:rsid w:val="00E21A1E"/>
    <w:rsid w:val="00E227ED"/>
    <w:rsid w:val="00E22B5F"/>
    <w:rsid w:val="00E22D63"/>
    <w:rsid w:val="00E230D5"/>
    <w:rsid w:val="00E23887"/>
    <w:rsid w:val="00E2414A"/>
    <w:rsid w:val="00E24247"/>
    <w:rsid w:val="00E242FB"/>
    <w:rsid w:val="00E24A57"/>
    <w:rsid w:val="00E2522B"/>
    <w:rsid w:val="00E252CA"/>
    <w:rsid w:val="00E2539C"/>
    <w:rsid w:val="00E253F7"/>
    <w:rsid w:val="00E25BC8"/>
    <w:rsid w:val="00E26019"/>
    <w:rsid w:val="00E264B3"/>
    <w:rsid w:val="00E269C6"/>
    <w:rsid w:val="00E26A7A"/>
    <w:rsid w:val="00E26B72"/>
    <w:rsid w:val="00E26BF3"/>
    <w:rsid w:val="00E27333"/>
    <w:rsid w:val="00E2790C"/>
    <w:rsid w:val="00E300FF"/>
    <w:rsid w:val="00E30133"/>
    <w:rsid w:val="00E30605"/>
    <w:rsid w:val="00E306DD"/>
    <w:rsid w:val="00E30A1C"/>
    <w:rsid w:val="00E30E84"/>
    <w:rsid w:val="00E312B8"/>
    <w:rsid w:val="00E31DEE"/>
    <w:rsid w:val="00E31E7A"/>
    <w:rsid w:val="00E32885"/>
    <w:rsid w:val="00E333F8"/>
    <w:rsid w:val="00E34769"/>
    <w:rsid w:val="00E349EC"/>
    <w:rsid w:val="00E35422"/>
    <w:rsid w:val="00E35496"/>
    <w:rsid w:val="00E354FE"/>
    <w:rsid w:val="00E36A1B"/>
    <w:rsid w:val="00E40032"/>
    <w:rsid w:val="00E400DE"/>
    <w:rsid w:val="00E404AC"/>
    <w:rsid w:val="00E40F62"/>
    <w:rsid w:val="00E41768"/>
    <w:rsid w:val="00E41B10"/>
    <w:rsid w:val="00E4280A"/>
    <w:rsid w:val="00E4360C"/>
    <w:rsid w:val="00E43C42"/>
    <w:rsid w:val="00E43CF0"/>
    <w:rsid w:val="00E43D3E"/>
    <w:rsid w:val="00E45A8D"/>
    <w:rsid w:val="00E45AF2"/>
    <w:rsid w:val="00E45C3B"/>
    <w:rsid w:val="00E46793"/>
    <w:rsid w:val="00E47021"/>
    <w:rsid w:val="00E47B04"/>
    <w:rsid w:val="00E47FE3"/>
    <w:rsid w:val="00E509D3"/>
    <w:rsid w:val="00E50BA4"/>
    <w:rsid w:val="00E50E86"/>
    <w:rsid w:val="00E510B5"/>
    <w:rsid w:val="00E51AFE"/>
    <w:rsid w:val="00E522B3"/>
    <w:rsid w:val="00E52416"/>
    <w:rsid w:val="00E52616"/>
    <w:rsid w:val="00E52AB3"/>
    <w:rsid w:val="00E52FEF"/>
    <w:rsid w:val="00E53017"/>
    <w:rsid w:val="00E5333F"/>
    <w:rsid w:val="00E533AC"/>
    <w:rsid w:val="00E53577"/>
    <w:rsid w:val="00E53784"/>
    <w:rsid w:val="00E55424"/>
    <w:rsid w:val="00E55ECD"/>
    <w:rsid w:val="00E5629E"/>
    <w:rsid w:val="00E5636A"/>
    <w:rsid w:val="00E56526"/>
    <w:rsid w:val="00E57752"/>
    <w:rsid w:val="00E610C4"/>
    <w:rsid w:val="00E61ACA"/>
    <w:rsid w:val="00E632D0"/>
    <w:rsid w:val="00E63467"/>
    <w:rsid w:val="00E635ED"/>
    <w:rsid w:val="00E63CAB"/>
    <w:rsid w:val="00E642B8"/>
    <w:rsid w:val="00E64C94"/>
    <w:rsid w:val="00E64FE9"/>
    <w:rsid w:val="00E65386"/>
    <w:rsid w:val="00E65BB7"/>
    <w:rsid w:val="00E65BBE"/>
    <w:rsid w:val="00E65F65"/>
    <w:rsid w:val="00E66D95"/>
    <w:rsid w:val="00E6709C"/>
    <w:rsid w:val="00E67183"/>
    <w:rsid w:val="00E67571"/>
    <w:rsid w:val="00E702DD"/>
    <w:rsid w:val="00E7066C"/>
    <w:rsid w:val="00E71BA2"/>
    <w:rsid w:val="00E71BB4"/>
    <w:rsid w:val="00E7211C"/>
    <w:rsid w:val="00E723B6"/>
    <w:rsid w:val="00E72A93"/>
    <w:rsid w:val="00E73D32"/>
    <w:rsid w:val="00E74A07"/>
    <w:rsid w:val="00E74B17"/>
    <w:rsid w:val="00E74B2A"/>
    <w:rsid w:val="00E7671C"/>
    <w:rsid w:val="00E76C29"/>
    <w:rsid w:val="00E76E7A"/>
    <w:rsid w:val="00E822AF"/>
    <w:rsid w:val="00E8246E"/>
    <w:rsid w:val="00E82F20"/>
    <w:rsid w:val="00E82F68"/>
    <w:rsid w:val="00E85163"/>
    <w:rsid w:val="00E86688"/>
    <w:rsid w:val="00E867EF"/>
    <w:rsid w:val="00E8687A"/>
    <w:rsid w:val="00E86E9C"/>
    <w:rsid w:val="00E872E8"/>
    <w:rsid w:val="00E87A93"/>
    <w:rsid w:val="00E90A3E"/>
    <w:rsid w:val="00E90FFA"/>
    <w:rsid w:val="00E91EC1"/>
    <w:rsid w:val="00E92336"/>
    <w:rsid w:val="00E92AAB"/>
    <w:rsid w:val="00E92B73"/>
    <w:rsid w:val="00E92EB0"/>
    <w:rsid w:val="00E92F50"/>
    <w:rsid w:val="00E92F97"/>
    <w:rsid w:val="00E930CE"/>
    <w:rsid w:val="00E9376B"/>
    <w:rsid w:val="00E9388F"/>
    <w:rsid w:val="00E93EC5"/>
    <w:rsid w:val="00E93FBE"/>
    <w:rsid w:val="00E9405C"/>
    <w:rsid w:val="00E955FD"/>
    <w:rsid w:val="00E95C9A"/>
    <w:rsid w:val="00E95E4F"/>
    <w:rsid w:val="00E960CC"/>
    <w:rsid w:val="00E96482"/>
    <w:rsid w:val="00E96C4A"/>
    <w:rsid w:val="00E96F9E"/>
    <w:rsid w:val="00E976CD"/>
    <w:rsid w:val="00E97F7B"/>
    <w:rsid w:val="00EA0A22"/>
    <w:rsid w:val="00EA0A4B"/>
    <w:rsid w:val="00EA0CB8"/>
    <w:rsid w:val="00EA0D4C"/>
    <w:rsid w:val="00EA13F2"/>
    <w:rsid w:val="00EA219F"/>
    <w:rsid w:val="00EA2CD5"/>
    <w:rsid w:val="00EA33F0"/>
    <w:rsid w:val="00EA348F"/>
    <w:rsid w:val="00EA34DC"/>
    <w:rsid w:val="00EA3B3B"/>
    <w:rsid w:val="00EA3C52"/>
    <w:rsid w:val="00EA3F7C"/>
    <w:rsid w:val="00EA48E6"/>
    <w:rsid w:val="00EA4B3A"/>
    <w:rsid w:val="00EA4FE4"/>
    <w:rsid w:val="00EA6339"/>
    <w:rsid w:val="00EA6E84"/>
    <w:rsid w:val="00EA7758"/>
    <w:rsid w:val="00EB0610"/>
    <w:rsid w:val="00EB066C"/>
    <w:rsid w:val="00EB0EC6"/>
    <w:rsid w:val="00EB1554"/>
    <w:rsid w:val="00EB1A22"/>
    <w:rsid w:val="00EB1BF5"/>
    <w:rsid w:val="00EB2253"/>
    <w:rsid w:val="00EB299F"/>
    <w:rsid w:val="00EB2AF7"/>
    <w:rsid w:val="00EB2F75"/>
    <w:rsid w:val="00EB313D"/>
    <w:rsid w:val="00EB3416"/>
    <w:rsid w:val="00EB3625"/>
    <w:rsid w:val="00EB3CBE"/>
    <w:rsid w:val="00EB3D25"/>
    <w:rsid w:val="00EB41DB"/>
    <w:rsid w:val="00EB446A"/>
    <w:rsid w:val="00EB504A"/>
    <w:rsid w:val="00EB55CD"/>
    <w:rsid w:val="00EB590D"/>
    <w:rsid w:val="00EB5AEA"/>
    <w:rsid w:val="00EB6167"/>
    <w:rsid w:val="00EB6488"/>
    <w:rsid w:val="00EB6C98"/>
    <w:rsid w:val="00EB6EEA"/>
    <w:rsid w:val="00EB73AA"/>
    <w:rsid w:val="00EB7880"/>
    <w:rsid w:val="00EC0091"/>
    <w:rsid w:val="00EC09ED"/>
    <w:rsid w:val="00EC0E13"/>
    <w:rsid w:val="00EC0EF8"/>
    <w:rsid w:val="00EC1494"/>
    <w:rsid w:val="00EC15C5"/>
    <w:rsid w:val="00EC1845"/>
    <w:rsid w:val="00EC2D23"/>
    <w:rsid w:val="00EC30AE"/>
    <w:rsid w:val="00EC3892"/>
    <w:rsid w:val="00EC3EF4"/>
    <w:rsid w:val="00EC4B6E"/>
    <w:rsid w:val="00EC5263"/>
    <w:rsid w:val="00EC5CC6"/>
    <w:rsid w:val="00EC688C"/>
    <w:rsid w:val="00EC6D3B"/>
    <w:rsid w:val="00EC7B71"/>
    <w:rsid w:val="00EC7FED"/>
    <w:rsid w:val="00ED0084"/>
    <w:rsid w:val="00ED0450"/>
    <w:rsid w:val="00ED10C9"/>
    <w:rsid w:val="00ED1188"/>
    <w:rsid w:val="00ED2925"/>
    <w:rsid w:val="00ED2AEA"/>
    <w:rsid w:val="00ED4C7F"/>
    <w:rsid w:val="00ED57FF"/>
    <w:rsid w:val="00ED58B3"/>
    <w:rsid w:val="00ED64DF"/>
    <w:rsid w:val="00ED686B"/>
    <w:rsid w:val="00ED69A7"/>
    <w:rsid w:val="00ED7499"/>
    <w:rsid w:val="00EE0398"/>
    <w:rsid w:val="00EE0DFA"/>
    <w:rsid w:val="00EE126B"/>
    <w:rsid w:val="00EE16B0"/>
    <w:rsid w:val="00EE2188"/>
    <w:rsid w:val="00EE2462"/>
    <w:rsid w:val="00EE2BA4"/>
    <w:rsid w:val="00EE3890"/>
    <w:rsid w:val="00EE3CAB"/>
    <w:rsid w:val="00EE3F7E"/>
    <w:rsid w:val="00EE500C"/>
    <w:rsid w:val="00EE5C48"/>
    <w:rsid w:val="00EE658B"/>
    <w:rsid w:val="00EE67CD"/>
    <w:rsid w:val="00EE6BFE"/>
    <w:rsid w:val="00EE6E72"/>
    <w:rsid w:val="00EE6E90"/>
    <w:rsid w:val="00EE754D"/>
    <w:rsid w:val="00EE7DDE"/>
    <w:rsid w:val="00EF106F"/>
    <w:rsid w:val="00EF10B1"/>
    <w:rsid w:val="00EF11CA"/>
    <w:rsid w:val="00EF22A8"/>
    <w:rsid w:val="00EF2439"/>
    <w:rsid w:val="00EF29BF"/>
    <w:rsid w:val="00EF2D5A"/>
    <w:rsid w:val="00EF3466"/>
    <w:rsid w:val="00EF37CE"/>
    <w:rsid w:val="00EF3B5A"/>
    <w:rsid w:val="00EF42CF"/>
    <w:rsid w:val="00EF4A2E"/>
    <w:rsid w:val="00EF4A63"/>
    <w:rsid w:val="00EF4DD5"/>
    <w:rsid w:val="00EF565B"/>
    <w:rsid w:val="00EF5931"/>
    <w:rsid w:val="00EF6308"/>
    <w:rsid w:val="00EF77A6"/>
    <w:rsid w:val="00EF7910"/>
    <w:rsid w:val="00F0052A"/>
    <w:rsid w:val="00F0138B"/>
    <w:rsid w:val="00F01807"/>
    <w:rsid w:val="00F01F6B"/>
    <w:rsid w:val="00F02B69"/>
    <w:rsid w:val="00F02FB7"/>
    <w:rsid w:val="00F04335"/>
    <w:rsid w:val="00F04D94"/>
    <w:rsid w:val="00F070F4"/>
    <w:rsid w:val="00F07999"/>
    <w:rsid w:val="00F10141"/>
    <w:rsid w:val="00F12DCD"/>
    <w:rsid w:val="00F13BB9"/>
    <w:rsid w:val="00F13F67"/>
    <w:rsid w:val="00F15EC7"/>
    <w:rsid w:val="00F15F10"/>
    <w:rsid w:val="00F16517"/>
    <w:rsid w:val="00F16601"/>
    <w:rsid w:val="00F168F3"/>
    <w:rsid w:val="00F16A84"/>
    <w:rsid w:val="00F16EFE"/>
    <w:rsid w:val="00F16F32"/>
    <w:rsid w:val="00F1707A"/>
    <w:rsid w:val="00F17395"/>
    <w:rsid w:val="00F201BE"/>
    <w:rsid w:val="00F20BFF"/>
    <w:rsid w:val="00F21882"/>
    <w:rsid w:val="00F21D6F"/>
    <w:rsid w:val="00F2278B"/>
    <w:rsid w:val="00F22D50"/>
    <w:rsid w:val="00F2395F"/>
    <w:rsid w:val="00F23C28"/>
    <w:rsid w:val="00F23DEE"/>
    <w:rsid w:val="00F2573A"/>
    <w:rsid w:val="00F25CE6"/>
    <w:rsid w:val="00F2650E"/>
    <w:rsid w:val="00F26E02"/>
    <w:rsid w:val="00F26E63"/>
    <w:rsid w:val="00F270D0"/>
    <w:rsid w:val="00F273C0"/>
    <w:rsid w:val="00F2762A"/>
    <w:rsid w:val="00F27807"/>
    <w:rsid w:val="00F27C0B"/>
    <w:rsid w:val="00F30307"/>
    <w:rsid w:val="00F30320"/>
    <w:rsid w:val="00F30576"/>
    <w:rsid w:val="00F30B7F"/>
    <w:rsid w:val="00F30DF2"/>
    <w:rsid w:val="00F31833"/>
    <w:rsid w:val="00F318F6"/>
    <w:rsid w:val="00F31A2D"/>
    <w:rsid w:val="00F33DD4"/>
    <w:rsid w:val="00F341F4"/>
    <w:rsid w:val="00F34358"/>
    <w:rsid w:val="00F3449A"/>
    <w:rsid w:val="00F3497A"/>
    <w:rsid w:val="00F34FF1"/>
    <w:rsid w:val="00F35755"/>
    <w:rsid w:val="00F357C7"/>
    <w:rsid w:val="00F35E1E"/>
    <w:rsid w:val="00F35FA1"/>
    <w:rsid w:val="00F369E8"/>
    <w:rsid w:val="00F4000D"/>
    <w:rsid w:val="00F40210"/>
    <w:rsid w:val="00F4079B"/>
    <w:rsid w:val="00F408F2"/>
    <w:rsid w:val="00F40BB5"/>
    <w:rsid w:val="00F412BF"/>
    <w:rsid w:val="00F42086"/>
    <w:rsid w:val="00F42EE4"/>
    <w:rsid w:val="00F432BC"/>
    <w:rsid w:val="00F43BB3"/>
    <w:rsid w:val="00F43EC7"/>
    <w:rsid w:val="00F44C3A"/>
    <w:rsid w:val="00F44D32"/>
    <w:rsid w:val="00F45935"/>
    <w:rsid w:val="00F46468"/>
    <w:rsid w:val="00F465EA"/>
    <w:rsid w:val="00F46860"/>
    <w:rsid w:val="00F46B1E"/>
    <w:rsid w:val="00F46CDE"/>
    <w:rsid w:val="00F472A2"/>
    <w:rsid w:val="00F503CF"/>
    <w:rsid w:val="00F50F9F"/>
    <w:rsid w:val="00F51C87"/>
    <w:rsid w:val="00F5233F"/>
    <w:rsid w:val="00F529A4"/>
    <w:rsid w:val="00F530B1"/>
    <w:rsid w:val="00F534C0"/>
    <w:rsid w:val="00F5409D"/>
    <w:rsid w:val="00F54F42"/>
    <w:rsid w:val="00F5593B"/>
    <w:rsid w:val="00F55B48"/>
    <w:rsid w:val="00F565BA"/>
    <w:rsid w:val="00F574C7"/>
    <w:rsid w:val="00F578FD"/>
    <w:rsid w:val="00F57A01"/>
    <w:rsid w:val="00F57B92"/>
    <w:rsid w:val="00F57FDD"/>
    <w:rsid w:val="00F60AD0"/>
    <w:rsid w:val="00F61D89"/>
    <w:rsid w:val="00F62A89"/>
    <w:rsid w:val="00F6326D"/>
    <w:rsid w:val="00F6329C"/>
    <w:rsid w:val="00F63CAD"/>
    <w:rsid w:val="00F63E84"/>
    <w:rsid w:val="00F6462D"/>
    <w:rsid w:val="00F64CBC"/>
    <w:rsid w:val="00F6558B"/>
    <w:rsid w:val="00F65929"/>
    <w:rsid w:val="00F66103"/>
    <w:rsid w:val="00F663D3"/>
    <w:rsid w:val="00F667AE"/>
    <w:rsid w:val="00F66B3F"/>
    <w:rsid w:val="00F67639"/>
    <w:rsid w:val="00F704EE"/>
    <w:rsid w:val="00F7058C"/>
    <w:rsid w:val="00F70D33"/>
    <w:rsid w:val="00F71976"/>
    <w:rsid w:val="00F72F74"/>
    <w:rsid w:val="00F73AA2"/>
    <w:rsid w:val="00F7434F"/>
    <w:rsid w:val="00F747DF"/>
    <w:rsid w:val="00F749B3"/>
    <w:rsid w:val="00F74F0E"/>
    <w:rsid w:val="00F763B2"/>
    <w:rsid w:val="00F768B9"/>
    <w:rsid w:val="00F77360"/>
    <w:rsid w:val="00F801C5"/>
    <w:rsid w:val="00F815DC"/>
    <w:rsid w:val="00F819C7"/>
    <w:rsid w:val="00F81BBD"/>
    <w:rsid w:val="00F81E53"/>
    <w:rsid w:val="00F82945"/>
    <w:rsid w:val="00F82D93"/>
    <w:rsid w:val="00F84024"/>
    <w:rsid w:val="00F84A71"/>
    <w:rsid w:val="00F84EB0"/>
    <w:rsid w:val="00F85268"/>
    <w:rsid w:val="00F85368"/>
    <w:rsid w:val="00F85385"/>
    <w:rsid w:val="00F858B8"/>
    <w:rsid w:val="00F869C1"/>
    <w:rsid w:val="00F86A60"/>
    <w:rsid w:val="00F87809"/>
    <w:rsid w:val="00F90322"/>
    <w:rsid w:val="00F90356"/>
    <w:rsid w:val="00F91042"/>
    <w:rsid w:val="00F91121"/>
    <w:rsid w:val="00F9180E"/>
    <w:rsid w:val="00F9187C"/>
    <w:rsid w:val="00F9309C"/>
    <w:rsid w:val="00F93F81"/>
    <w:rsid w:val="00F94111"/>
    <w:rsid w:val="00F9463E"/>
    <w:rsid w:val="00F946EA"/>
    <w:rsid w:val="00F9664C"/>
    <w:rsid w:val="00F96CC2"/>
    <w:rsid w:val="00F96D48"/>
    <w:rsid w:val="00F96FBB"/>
    <w:rsid w:val="00F97116"/>
    <w:rsid w:val="00F97DB5"/>
    <w:rsid w:val="00F97E41"/>
    <w:rsid w:val="00FA09F6"/>
    <w:rsid w:val="00FA0EF9"/>
    <w:rsid w:val="00FA375F"/>
    <w:rsid w:val="00FA3D69"/>
    <w:rsid w:val="00FA3F59"/>
    <w:rsid w:val="00FA4E1F"/>
    <w:rsid w:val="00FA4F27"/>
    <w:rsid w:val="00FA594A"/>
    <w:rsid w:val="00FA61C6"/>
    <w:rsid w:val="00FA6303"/>
    <w:rsid w:val="00FA776A"/>
    <w:rsid w:val="00FB0EFC"/>
    <w:rsid w:val="00FB0FD5"/>
    <w:rsid w:val="00FB190F"/>
    <w:rsid w:val="00FB19E1"/>
    <w:rsid w:val="00FB25FE"/>
    <w:rsid w:val="00FB3BDC"/>
    <w:rsid w:val="00FB521F"/>
    <w:rsid w:val="00FB584A"/>
    <w:rsid w:val="00FB5E58"/>
    <w:rsid w:val="00FB74A9"/>
    <w:rsid w:val="00FC0032"/>
    <w:rsid w:val="00FC0D75"/>
    <w:rsid w:val="00FC0DF1"/>
    <w:rsid w:val="00FC1697"/>
    <w:rsid w:val="00FC2042"/>
    <w:rsid w:val="00FC228C"/>
    <w:rsid w:val="00FC2333"/>
    <w:rsid w:val="00FC2747"/>
    <w:rsid w:val="00FC2D11"/>
    <w:rsid w:val="00FC3C05"/>
    <w:rsid w:val="00FC43AC"/>
    <w:rsid w:val="00FC5194"/>
    <w:rsid w:val="00FC5A02"/>
    <w:rsid w:val="00FC646C"/>
    <w:rsid w:val="00FC6C7E"/>
    <w:rsid w:val="00FC6EDE"/>
    <w:rsid w:val="00FC72BA"/>
    <w:rsid w:val="00FC7538"/>
    <w:rsid w:val="00FC7E14"/>
    <w:rsid w:val="00FD03BE"/>
    <w:rsid w:val="00FD06DF"/>
    <w:rsid w:val="00FD12AB"/>
    <w:rsid w:val="00FD335A"/>
    <w:rsid w:val="00FD41D8"/>
    <w:rsid w:val="00FD4A8E"/>
    <w:rsid w:val="00FD4AD9"/>
    <w:rsid w:val="00FD55A0"/>
    <w:rsid w:val="00FD5602"/>
    <w:rsid w:val="00FD5872"/>
    <w:rsid w:val="00FD5C2B"/>
    <w:rsid w:val="00FD608E"/>
    <w:rsid w:val="00FD7774"/>
    <w:rsid w:val="00FD7D62"/>
    <w:rsid w:val="00FE04D5"/>
    <w:rsid w:val="00FE097E"/>
    <w:rsid w:val="00FE0EDC"/>
    <w:rsid w:val="00FE12CC"/>
    <w:rsid w:val="00FE39D0"/>
    <w:rsid w:val="00FE4D52"/>
    <w:rsid w:val="00FE6339"/>
    <w:rsid w:val="00FE69B4"/>
    <w:rsid w:val="00FF05CE"/>
    <w:rsid w:val="00FF073D"/>
    <w:rsid w:val="00FF0D7D"/>
    <w:rsid w:val="00FF0F62"/>
    <w:rsid w:val="00FF1ED4"/>
    <w:rsid w:val="00FF2794"/>
    <w:rsid w:val="00FF2EA7"/>
    <w:rsid w:val="00FF356E"/>
    <w:rsid w:val="00FF41D1"/>
    <w:rsid w:val="00FF43FF"/>
    <w:rsid w:val="00FF44B8"/>
    <w:rsid w:val="00FF4713"/>
    <w:rsid w:val="00FF4B9A"/>
    <w:rsid w:val="00FF6799"/>
    <w:rsid w:val="00FF6C3A"/>
    <w:rsid w:val="00FF6D4F"/>
    <w:rsid w:val="00FF6E45"/>
    <w:rsid w:val="00FF6E88"/>
    <w:rsid w:val="00FF6FD4"/>
    <w:rsid w:val="00FF752E"/>
    <w:rsid w:val="00FF7634"/>
    <w:rsid w:val="00FF774C"/>
    <w:rsid w:val="00FF780C"/>
    <w:rsid w:val="0109D6E1"/>
    <w:rsid w:val="016A08AA"/>
    <w:rsid w:val="01B0B606"/>
    <w:rsid w:val="024A252F"/>
    <w:rsid w:val="02BF1DEF"/>
    <w:rsid w:val="0384575F"/>
    <w:rsid w:val="039DA1F5"/>
    <w:rsid w:val="03A2C19B"/>
    <w:rsid w:val="03D5ABE5"/>
    <w:rsid w:val="043CBB1C"/>
    <w:rsid w:val="04ADA170"/>
    <w:rsid w:val="0622D924"/>
    <w:rsid w:val="0655E1EB"/>
    <w:rsid w:val="06B381E1"/>
    <w:rsid w:val="06DA3ECB"/>
    <w:rsid w:val="07C5CA5E"/>
    <w:rsid w:val="07E71CFA"/>
    <w:rsid w:val="082C375E"/>
    <w:rsid w:val="08531A05"/>
    <w:rsid w:val="08F0F82D"/>
    <w:rsid w:val="09B19500"/>
    <w:rsid w:val="09C9F583"/>
    <w:rsid w:val="09DA30E7"/>
    <w:rsid w:val="0A36FE8F"/>
    <w:rsid w:val="0C8B5C81"/>
    <w:rsid w:val="0CCD9DDF"/>
    <w:rsid w:val="0CDFCF58"/>
    <w:rsid w:val="0D15847F"/>
    <w:rsid w:val="0E4B3697"/>
    <w:rsid w:val="100961B5"/>
    <w:rsid w:val="10369DC3"/>
    <w:rsid w:val="1045B9AD"/>
    <w:rsid w:val="10DDCD60"/>
    <w:rsid w:val="112AFEB1"/>
    <w:rsid w:val="128B428E"/>
    <w:rsid w:val="12A118ED"/>
    <w:rsid w:val="12B8DC49"/>
    <w:rsid w:val="12CCB830"/>
    <w:rsid w:val="136E70FD"/>
    <w:rsid w:val="13B777A2"/>
    <w:rsid w:val="14857A84"/>
    <w:rsid w:val="14C76218"/>
    <w:rsid w:val="14FA6280"/>
    <w:rsid w:val="1528B68D"/>
    <w:rsid w:val="158D4574"/>
    <w:rsid w:val="15A47358"/>
    <w:rsid w:val="160ECCF4"/>
    <w:rsid w:val="16AE62AB"/>
    <w:rsid w:val="16FAFD19"/>
    <w:rsid w:val="175012D3"/>
    <w:rsid w:val="177C64DB"/>
    <w:rsid w:val="17F9898C"/>
    <w:rsid w:val="18F6BCE4"/>
    <w:rsid w:val="19044BFE"/>
    <w:rsid w:val="192ED378"/>
    <w:rsid w:val="197C9E1B"/>
    <w:rsid w:val="197EA7DD"/>
    <w:rsid w:val="1A235FD2"/>
    <w:rsid w:val="1A8B4161"/>
    <w:rsid w:val="1AAA63D8"/>
    <w:rsid w:val="1AE11662"/>
    <w:rsid w:val="1C0536C4"/>
    <w:rsid w:val="1C49D50C"/>
    <w:rsid w:val="1D3C0AAD"/>
    <w:rsid w:val="1D9CC305"/>
    <w:rsid w:val="1EE2EC70"/>
    <w:rsid w:val="1F3BC930"/>
    <w:rsid w:val="1F6C24B1"/>
    <w:rsid w:val="1F76C400"/>
    <w:rsid w:val="1FDD710F"/>
    <w:rsid w:val="20413436"/>
    <w:rsid w:val="204847AE"/>
    <w:rsid w:val="205BCC72"/>
    <w:rsid w:val="2075E1CA"/>
    <w:rsid w:val="21153322"/>
    <w:rsid w:val="217AF63E"/>
    <w:rsid w:val="217D93A6"/>
    <w:rsid w:val="218519C2"/>
    <w:rsid w:val="2193EFC6"/>
    <w:rsid w:val="21E9C264"/>
    <w:rsid w:val="21FAE1A9"/>
    <w:rsid w:val="21FE3B69"/>
    <w:rsid w:val="2270C312"/>
    <w:rsid w:val="22D94D86"/>
    <w:rsid w:val="237E177C"/>
    <w:rsid w:val="259293D0"/>
    <w:rsid w:val="25D94E88"/>
    <w:rsid w:val="2611FAC7"/>
    <w:rsid w:val="26B36CDB"/>
    <w:rsid w:val="27591C7E"/>
    <w:rsid w:val="28224361"/>
    <w:rsid w:val="2824927C"/>
    <w:rsid w:val="2824AECA"/>
    <w:rsid w:val="28675A25"/>
    <w:rsid w:val="286CFD31"/>
    <w:rsid w:val="290AA6AA"/>
    <w:rsid w:val="2A9AEA72"/>
    <w:rsid w:val="2B1C0DAC"/>
    <w:rsid w:val="2B675BAE"/>
    <w:rsid w:val="2B71A629"/>
    <w:rsid w:val="2BA6C66A"/>
    <w:rsid w:val="2BAE9772"/>
    <w:rsid w:val="2C85F108"/>
    <w:rsid w:val="2D113984"/>
    <w:rsid w:val="2DE3E8EF"/>
    <w:rsid w:val="2E6E1A11"/>
    <w:rsid w:val="2E84EEC2"/>
    <w:rsid w:val="2F15478F"/>
    <w:rsid w:val="2F2EFE9B"/>
    <w:rsid w:val="2FA23F35"/>
    <w:rsid w:val="30F6A49E"/>
    <w:rsid w:val="310D2523"/>
    <w:rsid w:val="311ED13E"/>
    <w:rsid w:val="3134EBA8"/>
    <w:rsid w:val="313CD568"/>
    <w:rsid w:val="32BD51F8"/>
    <w:rsid w:val="3347C5DA"/>
    <w:rsid w:val="3373C670"/>
    <w:rsid w:val="33C8FF1B"/>
    <w:rsid w:val="33F12C80"/>
    <w:rsid w:val="33FF84CB"/>
    <w:rsid w:val="340BC797"/>
    <w:rsid w:val="3414DF96"/>
    <w:rsid w:val="342677DA"/>
    <w:rsid w:val="349ECF08"/>
    <w:rsid w:val="353DBA17"/>
    <w:rsid w:val="3567D951"/>
    <w:rsid w:val="356F467B"/>
    <w:rsid w:val="3576D20D"/>
    <w:rsid w:val="35DC5436"/>
    <w:rsid w:val="362148D0"/>
    <w:rsid w:val="36E6FC57"/>
    <w:rsid w:val="373AE7CD"/>
    <w:rsid w:val="378A5953"/>
    <w:rsid w:val="38702518"/>
    <w:rsid w:val="390A57B1"/>
    <w:rsid w:val="39ACB6C0"/>
    <w:rsid w:val="3A9CFA44"/>
    <w:rsid w:val="3B071CBD"/>
    <w:rsid w:val="3B451377"/>
    <w:rsid w:val="3B8A0D52"/>
    <w:rsid w:val="3BD97FAD"/>
    <w:rsid w:val="3C67DF35"/>
    <w:rsid w:val="3CBE7583"/>
    <w:rsid w:val="3D09711F"/>
    <w:rsid w:val="3D3937AF"/>
    <w:rsid w:val="3D533FF8"/>
    <w:rsid w:val="3DA3EA54"/>
    <w:rsid w:val="3DCAD554"/>
    <w:rsid w:val="3E68D3EA"/>
    <w:rsid w:val="3E6D15FA"/>
    <w:rsid w:val="3EB43BFD"/>
    <w:rsid w:val="3F555129"/>
    <w:rsid w:val="3FB3A8A5"/>
    <w:rsid w:val="3FCDA019"/>
    <w:rsid w:val="3FD1985F"/>
    <w:rsid w:val="409FC08D"/>
    <w:rsid w:val="40C3B270"/>
    <w:rsid w:val="40D4D670"/>
    <w:rsid w:val="40FF4673"/>
    <w:rsid w:val="4212FFE1"/>
    <w:rsid w:val="42232765"/>
    <w:rsid w:val="426680A7"/>
    <w:rsid w:val="429A0A57"/>
    <w:rsid w:val="42AE0885"/>
    <w:rsid w:val="4349AF75"/>
    <w:rsid w:val="4376DC37"/>
    <w:rsid w:val="43B92CD3"/>
    <w:rsid w:val="4480C551"/>
    <w:rsid w:val="44B63900"/>
    <w:rsid w:val="450DBAB7"/>
    <w:rsid w:val="4598CBCD"/>
    <w:rsid w:val="4665DB0E"/>
    <w:rsid w:val="46E6837C"/>
    <w:rsid w:val="46F9667E"/>
    <w:rsid w:val="476E14DB"/>
    <w:rsid w:val="47D228B7"/>
    <w:rsid w:val="47DC77CF"/>
    <w:rsid w:val="47F29BAB"/>
    <w:rsid w:val="480A4040"/>
    <w:rsid w:val="48287B7F"/>
    <w:rsid w:val="491EBE0B"/>
    <w:rsid w:val="49383BBF"/>
    <w:rsid w:val="498087C4"/>
    <w:rsid w:val="49A79E63"/>
    <w:rsid w:val="49AF0334"/>
    <w:rsid w:val="4A316C7E"/>
    <w:rsid w:val="4A93B4FE"/>
    <w:rsid w:val="4AC782E5"/>
    <w:rsid w:val="4AEC2CD9"/>
    <w:rsid w:val="4B428EF3"/>
    <w:rsid w:val="4BA21FA6"/>
    <w:rsid w:val="4C048C6F"/>
    <w:rsid w:val="4C576514"/>
    <w:rsid w:val="4C9C11CB"/>
    <w:rsid w:val="4D113358"/>
    <w:rsid w:val="4D7A82E4"/>
    <w:rsid w:val="4DB0F354"/>
    <w:rsid w:val="4DBABAD8"/>
    <w:rsid w:val="4DE1D114"/>
    <w:rsid w:val="4DF410FC"/>
    <w:rsid w:val="4E817EE4"/>
    <w:rsid w:val="4E8C75EE"/>
    <w:rsid w:val="4E936D75"/>
    <w:rsid w:val="4EC83F2C"/>
    <w:rsid w:val="4F192C25"/>
    <w:rsid w:val="4F45B6BC"/>
    <w:rsid w:val="4F4CBD23"/>
    <w:rsid w:val="4FC99A0C"/>
    <w:rsid w:val="501CCA82"/>
    <w:rsid w:val="503330E6"/>
    <w:rsid w:val="504F6EDE"/>
    <w:rsid w:val="507ED47B"/>
    <w:rsid w:val="50CA4E3A"/>
    <w:rsid w:val="51A90C29"/>
    <w:rsid w:val="522D9B94"/>
    <w:rsid w:val="526845DE"/>
    <w:rsid w:val="535EDDEE"/>
    <w:rsid w:val="5380F7C0"/>
    <w:rsid w:val="53B351A7"/>
    <w:rsid w:val="543C859F"/>
    <w:rsid w:val="5465C6C0"/>
    <w:rsid w:val="547A1E81"/>
    <w:rsid w:val="54B8F05C"/>
    <w:rsid w:val="54E93E1D"/>
    <w:rsid w:val="5522693B"/>
    <w:rsid w:val="557C2C47"/>
    <w:rsid w:val="56549138"/>
    <w:rsid w:val="56714633"/>
    <w:rsid w:val="56988658"/>
    <w:rsid w:val="56AA1A29"/>
    <w:rsid w:val="57155ED6"/>
    <w:rsid w:val="57461D8F"/>
    <w:rsid w:val="574F3780"/>
    <w:rsid w:val="57A91D58"/>
    <w:rsid w:val="57C5C93D"/>
    <w:rsid w:val="57F567DB"/>
    <w:rsid w:val="57FCA602"/>
    <w:rsid w:val="58AEB0A9"/>
    <w:rsid w:val="58E7F9FF"/>
    <w:rsid w:val="58FFE5EF"/>
    <w:rsid w:val="59253FF4"/>
    <w:rsid w:val="592F27AA"/>
    <w:rsid w:val="5AB55482"/>
    <w:rsid w:val="5BFF7C51"/>
    <w:rsid w:val="5C3FA39B"/>
    <w:rsid w:val="5C62678E"/>
    <w:rsid w:val="5CB5936F"/>
    <w:rsid w:val="5CDC44D2"/>
    <w:rsid w:val="5D537882"/>
    <w:rsid w:val="5D72ACCA"/>
    <w:rsid w:val="5DDF378F"/>
    <w:rsid w:val="5F3DEA07"/>
    <w:rsid w:val="5FBB39F4"/>
    <w:rsid w:val="5FD42E8F"/>
    <w:rsid w:val="60136027"/>
    <w:rsid w:val="601FF2C2"/>
    <w:rsid w:val="60BE4ED9"/>
    <w:rsid w:val="6118C2F1"/>
    <w:rsid w:val="613F596D"/>
    <w:rsid w:val="614F3672"/>
    <w:rsid w:val="61B5C7BE"/>
    <w:rsid w:val="62094ADF"/>
    <w:rsid w:val="6271C814"/>
    <w:rsid w:val="62867708"/>
    <w:rsid w:val="641B94F2"/>
    <w:rsid w:val="64D014C2"/>
    <w:rsid w:val="6506E1EF"/>
    <w:rsid w:val="657EA1B5"/>
    <w:rsid w:val="658ABFF5"/>
    <w:rsid w:val="65945B32"/>
    <w:rsid w:val="65DF4014"/>
    <w:rsid w:val="6612F0DE"/>
    <w:rsid w:val="6654913A"/>
    <w:rsid w:val="671AB9B7"/>
    <w:rsid w:val="6732F656"/>
    <w:rsid w:val="67F9C984"/>
    <w:rsid w:val="687AC26F"/>
    <w:rsid w:val="68EEA257"/>
    <w:rsid w:val="6A028E6B"/>
    <w:rsid w:val="6BEE2928"/>
    <w:rsid w:val="6C0CC080"/>
    <w:rsid w:val="6C26E9C0"/>
    <w:rsid w:val="6CC8B074"/>
    <w:rsid w:val="6DE2093B"/>
    <w:rsid w:val="6F2CB88F"/>
    <w:rsid w:val="6F53C1E6"/>
    <w:rsid w:val="6FB20EB6"/>
    <w:rsid w:val="6FC8ADAF"/>
    <w:rsid w:val="710D5E2E"/>
    <w:rsid w:val="716130A8"/>
    <w:rsid w:val="7199F12C"/>
    <w:rsid w:val="72B57CC1"/>
    <w:rsid w:val="72CABA7E"/>
    <w:rsid w:val="7390404B"/>
    <w:rsid w:val="739135E5"/>
    <w:rsid w:val="73B8978C"/>
    <w:rsid w:val="74379216"/>
    <w:rsid w:val="74C84AE8"/>
    <w:rsid w:val="7549AF07"/>
    <w:rsid w:val="756EE6DC"/>
    <w:rsid w:val="75E17919"/>
    <w:rsid w:val="76F61E7C"/>
    <w:rsid w:val="77138982"/>
    <w:rsid w:val="777375D5"/>
    <w:rsid w:val="779A34E8"/>
    <w:rsid w:val="77A22CFE"/>
    <w:rsid w:val="77ACD174"/>
    <w:rsid w:val="787B911D"/>
    <w:rsid w:val="7882B215"/>
    <w:rsid w:val="7A3FC854"/>
    <w:rsid w:val="7A40BB77"/>
    <w:rsid w:val="7A9F6E37"/>
    <w:rsid w:val="7AA00CCF"/>
    <w:rsid w:val="7ABAC838"/>
    <w:rsid w:val="7B1D7DB0"/>
    <w:rsid w:val="7B5760D4"/>
    <w:rsid w:val="7B807A7B"/>
    <w:rsid w:val="7B836141"/>
    <w:rsid w:val="7BCE93FD"/>
    <w:rsid w:val="7C5D8589"/>
    <w:rsid w:val="7D3021BF"/>
    <w:rsid w:val="7DCE9A11"/>
    <w:rsid w:val="7F2FC852"/>
    <w:rsid w:val="7FCCF42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27529"/>
  <w15:docId w15:val="{57998272-7F68-495D-B63A-1D7B2FCF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63CE"/>
    <w:pPr>
      <w:spacing w:after="200" w:line="276" w:lineRule="auto"/>
    </w:pPr>
    <w:rPr>
      <w:rFonts w:ascii="Times New Roman" w:eastAsiaTheme="minorEastAsia" w:hAnsi="Times New Roman"/>
      <w:sz w:val="24"/>
      <w:szCs w:val="24"/>
    </w:rPr>
  </w:style>
  <w:style w:type="paragraph" w:styleId="Antrat1">
    <w:name w:val="heading 1"/>
    <w:basedOn w:val="prastasis"/>
    <w:next w:val="prastasis"/>
    <w:link w:val="Antrat1Diagrama"/>
    <w:uiPriority w:val="9"/>
    <w:qFormat/>
    <w:rsid w:val="00943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9437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16816"/>
    <w:pPr>
      <w:keepNext/>
      <w:keepLines/>
      <w:spacing w:before="60" w:after="60" w:line="240" w:lineRule="auto"/>
      <w:jc w:val="both"/>
      <w:outlineLvl w:val="2"/>
    </w:pPr>
    <w:rPr>
      <w:rFonts w:eastAsiaTheme="majorEastAsia" w:cstheme="majorBidi"/>
      <w:b/>
    </w:rPr>
  </w:style>
  <w:style w:type="paragraph" w:styleId="Antrat4">
    <w:name w:val="heading 4"/>
    <w:basedOn w:val="prastasis"/>
    <w:next w:val="prastasis"/>
    <w:link w:val="Antrat4Diagrama"/>
    <w:uiPriority w:val="9"/>
    <w:unhideWhenUsed/>
    <w:qFormat/>
    <w:rsid w:val="00B5743F"/>
    <w:pPr>
      <w:keepNext/>
      <w:keepLines/>
      <w:spacing w:before="40" w:after="0"/>
      <w:outlineLvl w:val="3"/>
    </w:pPr>
    <w:rPr>
      <w:rFonts w:eastAsiaTheme="majorEastAsia" w:cstheme="majorBidi"/>
      <w:b/>
      <w:iCs/>
    </w:rPr>
  </w:style>
  <w:style w:type="paragraph" w:styleId="Antrat5">
    <w:name w:val="heading 5"/>
    <w:basedOn w:val="prastasis"/>
    <w:next w:val="prastasis"/>
    <w:link w:val="Antrat5Diagrama"/>
    <w:uiPriority w:val="9"/>
    <w:unhideWhenUsed/>
    <w:qFormat/>
    <w:rsid w:val="00CA761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43747"/>
    <w:pPr>
      <w:spacing w:after="0" w:line="240" w:lineRule="auto"/>
    </w:pPr>
    <w:rPr>
      <w:rFonts w:ascii="Segoe UI" w:eastAsiaTheme="minorHAns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3747"/>
    <w:rPr>
      <w:rFonts w:ascii="Segoe UI" w:hAnsi="Segoe UI" w:cs="Segoe UI"/>
      <w:sz w:val="18"/>
      <w:szCs w:val="18"/>
    </w:rPr>
  </w:style>
  <w:style w:type="paragraph" w:customStyle="1" w:styleId="ColorfulList-Accent11">
    <w:name w:val="Colorful List - Accent 11"/>
    <w:basedOn w:val="prastasis"/>
    <w:qFormat/>
    <w:rsid w:val="00943747"/>
    <w:pPr>
      <w:ind w:left="720"/>
    </w:pPr>
    <w:rPr>
      <w:rFonts w:ascii="Calibri" w:eastAsia="Times New Roman" w:hAnsi="Calibri" w:cs="Times New Roman"/>
      <w:sz w:val="22"/>
      <w:szCs w:val="22"/>
    </w:rPr>
  </w:style>
  <w:style w:type="paragraph" w:styleId="Sraopastraipa">
    <w:name w:val="List Paragraph"/>
    <w:aliases w:val="Table of contents numbered,List Paragraph21,List Paragraph2,ERP-List Paragraph,List Paragraph11,Numbering,Bullet EY,Sąrašo pastraipa1,List Paragraph Red,List Paragraph111,Lentele,List Paragraph1,Bullet,List Paragraph3,lp1,Bullets,Dot pt"/>
    <w:basedOn w:val="prastasis"/>
    <w:link w:val="SraopastraipaDiagrama"/>
    <w:uiPriority w:val="34"/>
    <w:qFormat/>
    <w:rsid w:val="00943747"/>
    <w:pPr>
      <w:ind w:left="720"/>
      <w:contextualSpacing/>
    </w:pPr>
  </w:style>
  <w:style w:type="character" w:customStyle="1" w:styleId="Antrat1Diagrama">
    <w:name w:val="Antraštė 1 Diagrama"/>
    <w:basedOn w:val="Numatytasispastraiposriftas"/>
    <w:link w:val="Antrat1"/>
    <w:uiPriority w:val="9"/>
    <w:rsid w:val="00943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rsid w:val="00943747"/>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rsid w:val="00716816"/>
    <w:rPr>
      <w:rFonts w:ascii="Times New Roman" w:eastAsiaTheme="majorEastAsia" w:hAnsi="Times New Roman" w:cstheme="majorBidi"/>
      <w:b/>
      <w:noProof/>
      <w:sz w:val="24"/>
      <w:szCs w:val="24"/>
    </w:rPr>
  </w:style>
  <w:style w:type="character" w:customStyle="1" w:styleId="Antrat4Diagrama">
    <w:name w:val="Antraštė 4 Diagrama"/>
    <w:basedOn w:val="Numatytasispastraiposriftas"/>
    <w:link w:val="Antrat4"/>
    <w:uiPriority w:val="9"/>
    <w:rsid w:val="00B5743F"/>
    <w:rPr>
      <w:rFonts w:ascii="Times New Roman" w:eastAsiaTheme="majorEastAsia" w:hAnsi="Times New Roman" w:cstheme="majorBidi"/>
      <w:b/>
      <w:iCs/>
      <w:noProof/>
      <w:sz w:val="24"/>
      <w:szCs w:val="24"/>
    </w:rPr>
  </w:style>
  <w:style w:type="character" w:customStyle="1" w:styleId="SraopastraipaDiagrama">
    <w:name w:val="Sąrašo pastraipa Diagrama"/>
    <w:aliases w:val="Table of contents numbered Diagrama,List Paragraph21 Diagrama,List Paragraph2 Diagrama,ERP-List Paragraph Diagrama,List Paragraph11 Diagrama,Numbering Diagrama,Bullet EY Diagrama,Sąrašo pastraipa1 Diagrama,Lentele Diagrama"/>
    <w:link w:val="Sraopastraipa"/>
    <w:uiPriority w:val="34"/>
    <w:qFormat/>
    <w:locked/>
    <w:rsid w:val="004871C4"/>
    <w:rPr>
      <w:rFonts w:ascii="Times New Roman" w:eastAsiaTheme="minorEastAsia" w:hAnsi="Times New Roman"/>
      <w:sz w:val="24"/>
      <w:szCs w:val="24"/>
    </w:rPr>
  </w:style>
  <w:style w:type="paragraph" w:styleId="Turinioantrat">
    <w:name w:val="TOC Heading"/>
    <w:basedOn w:val="Antrat1"/>
    <w:next w:val="prastasis"/>
    <w:uiPriority w:val="39"/>
    <w:unhideWhenUsed/>
    <w:qFormat/>
    <w:rsid w:val="00C664AD"/>
    <w:pPr>
      <w:spacing w:line="259" w:lineRule="auto"/>
      <w:outlineLvl w:val="9"/>
    </w:pPr>
    <w:rPr>
      <w:lang w:val="en-US"/>
    </w:rPr>
  </w:style>
  <w:style w:type="paragraph" w:styleId="Turinys1">
    <w:name w:val="toc 1"/>
    <w:basedOn w:val="prastasis"/>
    <w:next w:val="prastasis"/>
    <w:autoRedefine/>
    <w:uiPriority w:val="39"/>
    <w:unhideWhenUsed/>
    <w:rsid w:val="00D346F7"/>
    <w:pPr>
      <w:tabs>
        <w:tab w:val="left" w:pos="480"/>
        <w:tab w:val="right" w:leader="dot" w:pos="9628"/>
      </w:tabs>
      <w:spacing w:before="60" w:after="60" w:line="240" w:lineRule="auto"/>
      <w:ind w:right="565"/>
      <w:jc w:val="both"/>
    </w:pPr>
  </w:style>
  <w:style w:type="paragraph" w:styleId="Turinys2">
    <w:name w:val="toc 2"/>
    <w:basedOn w:val="prastasis"/>
    <w:next w:val="prastasis"/>
    <w:autoRedefine/>
    <w:uiPriority w:val="39"/>
    <w:unhideWhenUsed/>
    <w:rsid w:val="00515198"/>
    <w:pPr>
      <w:tabs>
        <w:tab w:val="left" w:pos="880"/>
        <w:tab w:val="right" w:leader="dot" w:pos="9639"/>
      </w:tabs>
      <w:spacing w:before="60" w:after="60" w:line="240" w:lineRule="auto"/>
      <w:ind w:left="240"/>
    </w:pPr>
    <w:rPr>
      <w:rFonts w:cs="Times New Roman"/>
      <w:noProof/>
    </w:rPr>
  </w:style>
  <w:style w:type="paragraph" w:styleId="Turinys3">
    <w:name w:val="toc 3"/>
    <w:basedOn w:val="prastasis"/>
    <w:next w:val="prastasis"/>
    <w:autoRedefine/>
    <w:uiPriority w:val="39"/>
    <w:unhideWhenUsed/>
    <w:rsid w:val="00D346F7"/>
    <w:pPr>
      <w:tabs>
        <w:tab w:val="left" w:pos="1100"/>
        <w:tab w:val="right" w:leader="dot" w:pos="9628"/>
      </w:tabs>
      <w:spacing w:before="60" w:after="60" w:line="240" w:lineRule="auto"/>
      <w:ind w:left="480"/>
    </w:pPr>
  </w:style>
  <w:style w:type="character" w:styleId="Hipersaitas">
    <w:name w:val="Hyperlink"/>
    <w:basedOn w:val="Numatytasispastraiposriftas"/>
    <w:uiPriority w:val="99"/>
    <w:unhideWhenUsed/>
    <w:rsid w:val="00C664AD"/>
    <w:rPr>
      <w:color w:val="0563C1" w:themeColor="hyperlink"/>
      <w:u w:val="single"/>
    </w:rPr>
  </w:style>
  <w:style w:type="paragraph" w:styleId="Puslapioinaostekstas">
    <w:name w:val="footnote text"/>
    <w:aliases w:val="Footnote,Footnote text,fn,Footnote Text Char Char,Footnote Text Char Char Char Char,Footnote Text Char Char Char Char Char,Footnote Text Char Char Char Char Char Char Char Char,Footnote Text Char Char Char,Footnote Text Char1,f"/>
    <w:basedOn w:val="prastasis"/>
    <w:link w:val="PuslapioinaostekstasDiagrama"/>
    <w:uiPriority w:val="99"/>
    <w:qFormat/>
    <w:rsid w:val="005979C8"/>
    <w:rPr>
      <w:rFonts w:ascii="Arial" w:eastAsia="Times New Roman" w:hAnsi="Arial" w:cs="Arial"/>
      <w:sz w:val="20"/>
      <w:szCs w:val="20"/>
      <w:lang w:val="en-GB"/>
    </w:rPr>
  </w:style>
  <w:style w:type="character" w:customStyle="1" w:styleId="PuslapioinaostekstasDiagrama">
    <w:name w:val="Puslapio išnašos tekstas Diagrama"/>
    <w:aliases w:val="Footnote Diagrama,Footnote text Diagrama,fn Diagrama,Footnote Text Char Char Diagrama,Footnote Text Char Char Char Char Diagrama,Footnote Text Char Char Char Char Char Diagrama,Footnote Text Char Char Char Diagrama"/>
    <w:basedOn w:val="Numatytasispastraiposriftas"/>
    <w:link w:val="Puslapioinaostekstas"/>
    <w:uiPriority w:val="99"/>
    <w:rsid w:val="005979C8"/>
    <w:rPr>
      <w:rFonts w:ascii="Arial" w:eastAsia="Times New Roman" w:hAnsi="Arial" w:cs="Arial"/>
      <w:sz w:val="20"/>
      <w:szCs w:val="20"/>
      <w:lang w:val="en-GB"/>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link w:val="SUPERSChar"/>
    <w:uiPriority w:val="99"/>
    <w:qFormat/>
    <w:rsid w:val="005979C8"/>
    <w:rPr>
      <w:vertAlign w:val="superscript"/>
    </w:rPr>
  </w:style>
  <w:style w:type="paragraph" w:customStyle="1" w:styleId="SUPERSChar">
    <w:name w:val="SUPERS Char"/>
    <w:aliases w:val="EN Footnote Reference Char"/>
    <w:basedOn w:val="prastasis"/>
    <w:link w:val="Puslapioinaosnuoroda"/>
    <w:uiPriority w:val="99"/>
    <w:rsid w:val="005979C8"/>
    <w:pPr>
      <w:spacing w:after="160" w:line="240" w:lineRule="exact"/>
    </w:pPr>
    <w:rPr>
      <w:rFonts w:asciiTheme="minorHAnsi" w:eastAsiaTheme="minorHAnsi" w:hAnsiTheme="minorHAnsi"/>
      <w:sz w:val="22"/>
      <w:szCs w:val="22"/>
      <w:vertAlign w:val="superscript"/>
    </w:rPr>
  </w:style>
  <w:style w:type="paragraph" w:styleId="Antrat">
    <w:name w:val="caption"/>
    <w:aliases w:val="Table caption,paveikslas,Paveikslo pavadinimas"/>
    <w:basedOn w:val="prastasis"/>
    <w:next w:val="prastasis"/>
    <w:link w:val="AntratDiagrama"/>
    <w:uiPriority w:val="35"/>
    <w:unhideWhenUsed/>
    <w:qFormat/>
    <w:rsid w:val="001A47BB"/>
    <w:pPr>
      <w:ind w:firstLine="709"/>
    </w:pPr>
    <w:rPr>
      <w:b/>
      <w:bCs/>
      <w:color w:val="4472C4" w:themeColor="accent1"/>
      <w:szCs w:val="18"/>
    </w:rPr>
  </w:style>
  <w:style w:type="table" w:styleId="Lentelstinklelis">
    <w:name w:val="Table Grid"/>
    <w:basedOn w:val="prastojilentel"/>
    <w:uiPriority w:val="39"/>
    <w:rsid w:val="001A47B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1A47BB"/>
    <w:pPr>
      <w:spacing w:before="100" w:beforeAutospacing="1" w:after="100" w:afterAutospacing="1"/>
    </w:pPr>
    <w:rPr>
      <w:rFonts w:ascii="Verdana" w:eastAsia="Times New Roman" w:hAnsi="Verdana" w:cs="Times New Roman"/>
      <w:color w:val="333333"/>
      <w:sz w:val="11"/>
      <w:szCs w:val="11"/>
      <w:lang w:eastAsia="lt-LT"/>
    </w:rPr>
  </w:style>
  <w:style w:type="character" w:customStyle="1" w:styleId="AntratDiagrama">
    <w:name w:val="Antraštė Diagrama"/>
    <w:aliases w:val="Table caption Diagrama,paveikslas Diagrama,Paveikslo pavadinimas Diagrama"/>
    <w:link w:val="Antrat"/>
    <w:uiPriority w:val="35"/>
    <w:rsid w:val="001A47BB"/>
    <w:rPr>
      <w:rFonts w:ascii="Times New Roman" w:eastAsiaTheme="minorEastAsia" w:hAnsi="Times New Roman"/>
      <w:b/>
      <w:bCs/>
      <w:color w:val="4472C4" w:themeColor="accent1"/>
      <w:sz w:val="24"/>
      <w:szCs w:val="18"/>
    </w:rPr>
  </w:style>
  <w:style w:type="character" w:styleId="Grietas">
    <w:name w:val="Strong"/>
    <w:basedOn w:val="Numatytasispastraiposriftas"/>
    <w:uiPriority w:val="22"/>
    <w:qFormat/>
    <w:rsid w:val="001A47BB"/>
    <w:rPr>
      <w:b/>
      <w:bCs/>
    </w:rPr>
  </w:style>
  <w:style w:type="paragraph" w:styleId="Porat">
    <w:name w:val="footer"/>
    <w:basedOn w:val="prastasis"/>
    <w:link w:val="PoratDiagrama"/>
    <w:uiPriority w:val="99"/>
    <w:unhideWhenUsed/>
    <w:rsid w:val="001A47BB"/>
    <w:pPr>
      <w:tabs>
        <w:tab w:val="center" w:pos="4819"/>
        <w:tab w:val="right" w:pos="9638"/>
      </w:tabs>
    </w:pPr>
    <w:rPr>
      <w:rFonts w:ascii="Calibri" w:eastAsia="Calibri" w:hAnsi="Calibri" w:cs="Times New Roman"/>
      <w:sz w:val="22"/>
      <w:szCs w:val="22"/>
    </w:rPr>
  </w:style>
  <w:style w:type="character" w:customStyle="1" w:styleId="PoratDiagrama">
    <w:name w:val="Poraštė Diagrama"/>
    <w:basedOn w:val="Numatytasispastraiposriftas"/>
    <w:link w:val="Porat"/>
    <w:uiPriority w:val="99"/>
    <w:rsid w:val="001A47BB"/>
    <w:rPr>
      <w:rFonts w:ascii="Calibri" w:eastAsia="Calibri" w:hAnsi="Calibri" w:cs="Times New Roman"/>
    </w:rPr>
  </w:style>
  <w:style w:type="paragraph" w:styleId="Antrats">
    <w:name w:val="header"/>
    <w:basedOn w:val="prastasis"/>
    <w:link w:val="AntratsDiagrama"/>
    <w:uiPriority w:val="99"/>
    <w:unhideWhenUsed/>
    <w:rsid w:val="001A47BB"/>
    <w:pPr>
      <w:tabs>
        <w:tab w:val="center" w:pos="4819"/>
        <w:tab w:val="right" w:pos="9638"/>
      </w:tabs>
    </w:pPr>
  </w:style>
  <w:style w:type="character" w:customStyle="1" w:styleId="AntratsDiagrama">
    <w:name w:val="Antraštės Diagrama"/>
    <w:basedOn w:val="Numatytasispastraiposriftas"/>
    <w:link w:val="Antrats"/>
    <w:uiPriority w:val="99"/>
    <w:rsid w:val="001A47BB"/>
    <w:rPr>
      <w:rFonts w:ascii="Times New Roman" w:eastAsiaTheme="minorEastAsia" w:hAnsi="Times New Roman"/>
      <w:sz w:val="24"/>
      <w:szCs w:val="24"/>
    </w:rPr>
  </w:style>
  <w:style w:type="character" w:styleId="Puslapionumeris">
    <w:name w:val="page number"/>
    <w:basedOn w:val="Numatytasispastraiposriftas"/>
    <w:uiPriority w:val="99"/>
    <w:semiHidden/>
    <w:unhideWhenUsed/>
    <w:rsid w:val="001A47BB"/>
  </w:style>
  <w:style w:type="character" w:customStyle="1" w:styleId="Antrat5Diagrama">
    <w:name w:val="Antraštė 5 Diagrama"/>
    <w:basedOn w:val="Numatytasispastraiposriftas"/>
    <w:link w:val="Antrat5"/>
    <w:uiPriority w:val="9"/>
    <w:rsid w:val="00CA761C"/>
    <w:rPr>
      <w:rFonts w:asciiTheme="majorHAnsi" w:eastAsiaTheme="majorEastAsia" w:hAnsiTheme="majorHAnsi" w:cstheme="majorBidi"/>
      <w:color w:val="2F5496" w:themeColor="accent1" w:themeShade="BF"/>
      <w:sz w:val="24"/>
      <w:szCs w:val="24"/>
    </w:rPr>
  </w:style>
  <w:style w:type="character" w:styleId="Komentaronuoroda">
    <w:name w:val="annotation reference"/>
    <w:basedOn w:val="Numatytasispastraiposriftas"/>
    <w:uiPriority w:val="99"/>
    <w:semiHidden/>
    <w:unhideWhenUsed/>
    <w:rsid w:val="007A3005"/>
    <w:rPr>
      <w:sz w:val="16"/>
      <w:szCs w:val="16"/>
    </w:rPr>
  </w:style>
  <w:style w:type="paragraph" w:styleId="Komentarotekstas">
    <w:name w:val="annotation text"/>
    <w:basedOn w:val="prastasis"/>
    <w:link w:val="KomentarotekstasDiagrama"/>
    <w:uiPriority w:val="99"/>
    <w:unhideWhenUsed/>
    <w:rsid w:val="007A300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A3005"/>
    <w:rPr>
      <w:rFonts w:ascii="Times New Roman" w:eastAsiaTheme="minorEastAsia"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7A3005"/>
    <w:rPr>
      <w:b/>
      <w:bCs/>
    </w:rPr>
  </w:style>
  <w:style w:type="character" w:customStyle="1" w:styleId="KomentarotemaDiagrama">
    <w:name w:val="Komentaro tema Diagrama"/>
    <w:basedOn w:val="KomentarotekstasDiagrama"/>
    <w:link w:val="Komentarotema"/>
    <w:uiPriority w:val="99"/>
    <w:semiHidden/>
    <w:rsid w:val="007A3005"/>
    <w:rPr>
      <w:rFonts w:ascii="Times New Roman" w:eastAsiaTheme="minorEastAsia" w:hAnsi="Times New Roman"/>
      <w:b/>
      <w:bCs/>
      <w:sz w:val="20"/>
      <w:szCs w:val="20"/>
    </w:rPr>
  </w:style>
  <w:style w:type="paragraph" w:customStyle="1" w:styleId="Default">
    <w:name w:val="Default"/>
    <w:rsid w:val="005F05D3"/>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Pataisymai">
    <w:name w:val="Revision"/>
    <w:hidden/>
    <w:uiPriority w:val="99"/>
    <w:semiHidden/>
    <w:rsid w:val="007B4AFF"/>
    <w:pPr>
      <w:spacing w:after="0" w:line="240" w:lineRule="auto"/>
    </w:pPr>
    <w:rPr>
      <w:rFonts w:ascii="Times New Roman" w:eastAsiaTheme="minorEastAsia" w:hAnsi="Times New Roman"/>
      <w:sz w:val="24"/>
      <w:szCs w:val="24"/>
    </w:rPr>
  </w:style>
  <w:style w:type="paragraph" w:customStyle="1" w:styleId="Pagrindinispaprastastekstas">
    <w:name w:val="• Pagrindinis paprastas tekstas"/>
    <w:basedOn w:val="prastasis"/>
    <w:link w:val="PagrindinispaprastastekstasChar"/>
    <w:qFormat/>
    <w:rsid w:val="006F58FC"/>
    <w:pPr>
      <w:spacing w:after="0" w:line="240" w:lineRule="auto"/>
      <w:jc w:val="both"/>
    </w:pPr>
    <w:rPr>
      <w:rFonts w:asciiTheme="majorHAnsi" w:eastAsia="Times New Roman" w:hAnsiTheme="majorHAnsi" w:cs="Times New Roman"/>
      <w:sz w:val="22"/>
    </w:rPr>
  </w:style>
  <w:style w:type="character" w:customStyle="1" w:styleId="PagrindinispaprastastekstasChar">
    <w:name w:val="• Pagrindinis paprastas tekstas Char"/>
    <w:link w:val="Pagrindinispaprastastekstas"/>
    <w:rsid w:val="006F58FC"/>
    <w:rPr>
      <w:rFonts w:asciiTheme="majorHAnsi" w:eastAsia="Times New Roman" w:hAnsiTheme="majorHAnsi" w:cs="Times New Roman"/>
      <w:szCs w:val="24"/>
    </w:rPr>
  </w:style>
  <w:style w:type="paragraph" w:styleId="Pagrindinistekstas">
    <w:name w:val="Body Text"/>
    <w:aliases w:val="bt,b,Body,by"/>
    <w:basedOn w:val="prastasis"/>
    <w:link w:val="PagrindinistekstasDiagrama"/>
    <w:rsid w:val="00F9187C"/>
    <w:pPr>
      <w:widowControl w:val="0"/>
      <w:autoSpaceDE w:val="0"/>
      <w:autoSpaceDN w:val="0"/>
      <w:adjustRightInd w:val="0"/>
      <w:spacing w:after="120"/>
    </w:pPr>
    <w:rPr>
      <w:rFonts w:eastAsia="Times New Roman" w:cs="Times New Roman"/>
      <w:lang w:val="en-GB"/>
    </w:rPr>
  </w:style>
  <w:style w:type="character" w:customStyle="1" w:styleId="PagrindinistekstasDiagrama">
    <w:name w:val="Pagrindinis tekstas Diagrama"/>
    <w:aliases w:val="bt Diagrama,b Diagrama,Body Diagrama,by Diagrama"/>
    <w:basedOn w:val="Numatytasispastraiposriftas"/>
    <w:link w:val="Pagrindinistekstas"/>
    <w:rsid w:val="00F9187C"/>
    <w:rPr>
      <w:rFonts w:ascii="Times New Roman" w:eastAsia="Times New Roman" w:hAnsi="Times New Roman" w:cs="Times New Roman"/>
      <w:sz w:val="24"/>
      <w:szCs w:val="24"/>
      <w:lang w:val="en-GB"/>
    </w:rPr>
  </w:style>
  <w:style w:type="character" w:styleId="Perirtashipersaitas">
    <w:name w:val="FollowedHyperlink"/>
    <w:basedOn w:val="Numatytasispastraiposriftas"/>
    <w:uiPriority w:val="99"/>
    <w:semiHidden/>
    <w:unhideWhenUsed/>
    <w:rsid w:val="00483B70"/>
    <w:rPr>
      <w:color w:val="954F72" w:themeColor="followedHyperlink"/>
      <w:u w:val="single"/>
    </w:rPr>
  </w:style>
  <w:style w:type="character" w:customStyle="1" w:styleId="UnresolvedMention1">
    <w:name w:val="Unresolved Mention1"/>
    <w:basedOn w:val="Numatytasispastraiposriftas"/>
    <w:uiPriority w:val="99"/>
    <w:semiHidden/>
    <w:unhideWhenUsed/>
    <w:rsid w:val="00483B70"/>
    <w:rPr>
      <w:color w:val="605E5C"/>
      <w:shd w:val="clear" w:color="auto" w:fill="E1DFDD"/>
    </w:rPr>
  </w:style>
  <w:style w:type="character" w:customStyle="1" w:styleId="UnresolvedMention11">
    <w:name w:val="Unresolved Mention11"/>
    <w:basedOn w:val="Numatytasispastraiposriftas"/>
    <w:uiPriority w:val="99"/>
    <w:semiHidden/>
    <w:unhideWhenUsed/>
    <w:rsid w:val="00CC67EB"/>
    <w:rPr>
      <w:color w:val="605E5C"/>
      <w:shd w:val="clear" w:color="auto" w:fill="E1DFDD"/>
    </w:rPr>
  </w:style>
  <w:style w:type="character" w:customStyle="1" w:styleId="UnresolvedMention2">
    <w:name w:val="Unresolved Mention2"/>
    <w:basedOn w:val="Numatytasispastraiposriftas"/>
    <w:uiPriority w:val="99"/>
    <w:semiHidden/>
    <w:unhideWhenUsed/>
    <w:rsid w:val="00F81E53"/>
    <w:rPr>
      <w:color w:val="605E5C"/>
      <w:shd w:val="clear" w:color="auto" w:fill="E1DFDD"/>
    </w:rPr>
  </w:style>
  <w:style w:type="character" w:customStyle="1" w:styleId="UnresolvedMention3">
    <w:name w:val="Unresolved Mention3"/>
    <w:basedOn w:val="Numatytasispastraiposriftas"/>
    <w:uiPriority w:val="99"/>
    <w:semiHidden/>
    <w:unhideWhenUsed/>
    <w:rsid w:val="00D85F69"/>
    <w:rPr>
      <w:color w:val="605E5C"/>
      <w:shd w:val="clear" w:color="auto" w:fill="E1DFDD"/>
    </w:rPr>
  </w:style>
  <w:style w:type="character" w:customStyle="1" w:styleId="cf01">
    <w:name w:val="cf01"/>
    <w:basedOn w:val="Numatytasispastraiposriftas"/>
    <w:rsid w:val="004A658D"/>
    <w:rPr>
      <w:rFonts w:ascii="Segoe UI" w:hAnsi="Segoe UI" w:cs="Segoe UI" w:hint="default"/>
      <w:sz w:val="18"/>
      <w:szCs w:val="18"/>
    </w:rPr>
  </w:style>
  <w:style w:type="character" w:customStyle="1" w:styleId="cf11">
    <w:name w:val="cf11"/>
    <w:basedOn w:val="Numatytasispastraiposriftas"/>
    <w:rsid w:val="004A658D"/>
    <w:rPr>
      <w:rFonts w:ascii="Segoe UI" w:hAnsi="Segoe UI" w:cs="Segoe UI" w:hint="default"/>
      <w:sz w:val="18"/>
      <w:szCs w:val="18"/>
    </w:rPr>
  </w:style>
  <w:style w:type="character" w:customStyle="1" w:styleId="UnresolvedMention4">
    <w:name w:val="Unresolved Mention4"/>
    <w:basedOn w:val="Numatytasispastraiposriftas"/>
    <w:uiPriority w:val="99"/>
    <w:semiHidden/>
    <w:unhideWhenUsed/>
    <w:rsid w:val="00B64ACF"/>
    <w:rPr>
      <w:color w:val="605E5C"/>
      <w:shd w:val="clear" w:color="auto" w:fill="E1DFDD"/>
    </w:rPr>
  </w:style>
  <w:style w:type="table" w:customStyle="1" w:styleId="GridTable5Dark-Accent51">
    <w:name w:val="Grid Table 5 Dark - Accent 51"/>
    <w:basedOn w:val="prastojilentel"/>
    <w:uiPriority w:val="50"/>
    <w:rsid w:val="00774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Lentelespav">
    <w:name w:val="Lenteles pav"/>
    <w:basedOn w:val="prastasis"/>
    <w:link w:val="LentelespavDiagrama"/>
    <w:autoRedefine/>
    <w:qFormat/>
    <w:rsid w:val="001A5D80"/>
    <w:pPr>
      <w:spacing w:after="0" w:line="240" w:lineRule="auto"/>
      <w:jc w:val="both"/>
    </w:pPr>
    <w:rPr>
      <w:rFonts w:cs="Times New Roman"/>
      <w:i/>
      <w:noProof/>
      <w:sz w:val="22"/>
      <w:szCs w:val="22"/>
    </w:rPr>
  </w:style>
  <w:style w:type="character" w:customStyle="1" w:styleId="LentelespavDiagrama">
    <w:name w:val="Lenteles pav Diagrama"/>
    <w:basedOn w:val="Numatytasispastraiposriftas"/>
    <w:link w:val="Lentelespav"/>
    <w:rsid w:val="001A5D80"/>
    <w:rPr>
      <w:rFonts w:ascii="Times New Roman" w:eastAsiaTheme="minorEastAsia" w:hAnsi="Times New Roman" w:cs="Times New Roman"/>
      <w:i/>
      <w:noProof/>
    </w:rPr>
  </w:style>
  <w:style w:type="table" w:customStyle="1" w:styleId="GridTable4-Accent51">
    <w:name w:val="Grid Table 4 - Accent 51"/>
    <w:basedOn w:val="prastojilentel"/>
    <w:uiPriority w:val="49"/>
    <w:rsid w:val="009F5241"/>
    <w:pPr>
      <w:spacing w:before="100" w:after="0" w:line="240" w:lineRule="auto"/>
    </w:pPr>
    <w:rPr>
      <w:rFonts w:eastAsiaTheme="minorEastAsia"/>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ltinis">
    <w:name w:val="Šaltinis"/>
    <w:link w:val="altinisDiagrama"/>
    <w:qFormat/>
    <w:rsid w:val="009F5241"/>
    <w:pPr>
      <w:spacing w:before="100" w:after="200" w:line="276" w:lineRule="auto"/>
    </w:pPr>
    <w:rPr>
      <w:rFonts w:eastAsiaTheme="minorEastAsia" w:cstheme="minorHAnsi"/>
      <w:color w:val="7D7D7D"/>
      <w:sz w:val="20"/>
      <w:szCs w:val="24"/>
    </w:rPr>
  </w:style>
  <w:style w:type="character" w:customStyle="1" w:styleId="altinisDiagrama">
    <w:name w:val="Šaltinis Diagrama"/>
    <w:basedOn w:val="Numatytasispastraiposriftas"/>
    <w:link w:val="altinis"/>
    <w:rsid w:val="009F5241"/>
    <w:rPr>
      <w:rFonts w:eastAsiaTheme="minorEastAsia" w:cstheme="minorHAnsi"/>
      <w:color w:val="7D7D7D"/>
      <w:sz w:val="20"/>
      <w:szCs w:val="24"/>
    </w:rPr>
  </w:style>
  <w:style w:type="table" w:customStyle="1" w:styleId="ListTable4-Accent11">
    <w:name w:val="List Table 4 - Accent 11"/>
    <w:basedOn w:val="prastojilentel"/>
    <w:uiPriority w:val="49"/>
    <w:rsid w:val="006154D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prastojilentel"/>
    <w:uiPriority w:val="50"/>
    <w:rsid w:val="004A05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entelSubtili1">
    <w:name w:val="Table Subtle 1"/>
    <w:basedOn w:val="prastojilentel"/>
    <w:uiPriority w:val="99"/>
    <w:rsid w:val="00655C17"/>
    <w:pPr>
      <w:spacing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31">
    <w:name w:val="Grid Table 31"/>
    <w:basedOn w:val="prastojilentel"/>
    <w:uiPriority w:val="48"/>
    <w:rsid w:val="00655C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enteliniatinklis2">
    <w:name w:val="Table Web 2"/>
    <w:basedOn w:val="prastojilentel"/>
    <w:uiPriority w:val="99"/>
    <w:rsid w:val="00655C17"/>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PlainTable11">
    <w:name w:val="Plain Table 11"/>
    <w:basedOn w:val="prastojilentel"/>
    <w:uiPriority w:val="41"/>
    <w:rsid w:val="00655C1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31">
    <w:name w:val="Grid Table 5 Dark - Accent 31"/>
    <w:basedOn w:val="prastojilentel"/>
    <w:uiPriority w:val="50"/>
    <w:rsid w:val="00655C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eGridLight1">
    <w:name w:val="Table Grid Light1"/>
    <w:basedOn w:val="prastojilentel"/>
    <w:uiPriority w:val="40"/>
    <w:rsid w:val="00655C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tarp">
    <w:name w:val="No Spacing"/>
    <w:uiPriority w:val="1"/>
    <w:qFormat/>
    <w:rsid w:val="008C635D"/>
    <w:pPr>
      <w:spacing w:after="0" w:line="240" w:lineRule="auto"/>
    </w:pPr>
    <w:rPr>
      <w:rFonts w:ascii="Times New Roman" w:eastAsiaTheme="minorEastAsia" w:hAnsi="Times New Roman"/>
      <w:sz w:val="24"/>
      <w:szCs w:val="24"/>
    </w:rPr>
  </w:style>
  <w:style w:type="paragraph" w:styleId="Dokumentoinaostekstas">
    <w:name w:val="endnote text"/>
    <w:basedOn w:val="prastasis"/>
    <w:link w:val="DokumentoinaostekstasDiagrama"/>
    <w:uiPriority w:val="99"/>
    <w:semiHidden/>
    <w:unhideWhenUsed/>
    <w:rsid w:val="00B9096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9096C"/>
    <w:rPr>
      <w:rFonts w:ascii="Times New Roman" w:eastAsiaTheme="minorEastAsia" w:hAnsi="Times New Roman"/>
      <w:sz w:val="20"/>
      <w:szCs w:val="20"/>
    </w:rPr>
  </w:style>
  <w:style w:type="character" w:styleId="Dokumentoinaosnumeris">
    <w:name w:val="endnote reference"/>
    <w:basedOn w:val="Numatytasispastraiposriftas"/>
    <w:uiPriority w:val="99"/>
    <w:semiHidden/>
    <w:unhideWhenUsed/>
    <w:rsid w:val="00B9096C"/>
    <w:rPr>
      <w:vertAlign w:val="superscript"/>
    </w:rPr>
  </w:style>
  <w:style w:type="character" w:customStyle="1" w:styleId="Neapdorotaspaminjimas1">
    <w:name w:val="Neapdorotas paminėjimas1"/>
    <w:basedOn w:val="Numatytasispastraiposriftas"/>
    <w:uiPriority w:val="99"/>
    <w:semiHidden/>
    <w:unhideWhenUsed/>
    <w:rsid w:val="008A1D7D"/>
    <w:rPr>
      <w:color w:val="605E5C"/>
      <w:shd w:val="clear" w:color="auto" w:fill="E1DFDD"/>
    </w:rPr>
  </w:style>
  <w:style w:type="character" w:styleId="Paminjimas">
    <w:name w:val="Mention"/>
    <w:basedOn w:val="Numatytasispastraiposriftas"/>
    <w:uiPriority w:val="99"/>
    <w:unhideWhenUsed/>
    <w:rsid w:val="003B3E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7670">
      <w:bodyDiv w:val="1"/>
      <w:marLeft w:val="0"/>
      <w:marRight w:val="0"/>
      <w:marTop w:val="0"/>
      <w:marBottom w:val="0"/>
      <w:divBdr>
        <w:top w:val="none" w:sz="0" w:space="0" w:color="auto"/>
        <w:left w:val="none" w:sz="0" w:space="0" w:color="auto"/>
        <w:bottom w:val="none" w:sz="0" w:space="0" w:color="auto"/>
        <w:right w:val="none" w:sz="0" w:space="0" w:color="auto"/>
      </w:divBdr>
    </w:div>
    <w:div w:id="19861405">
      <w:bodyDiv w:val="1"/>
      <w:marLeft w:val="0"/>
      <w:marRight w:val="0"/>
      <w:marTop w:val="0"/>
      <w:marBottom w:val="0"/>
      <w:divBdr>
        <w:top w:val="none" w:sz="0" w:space="0" w:color="auto"/>
        <w:left w:val="none" w:sz="0" w:space="0" w:color="auto"/>
        <w:bottom w:val="none" w:sz="0" w:space="0" w:color="auto"/>
        <w:right w:val="none" w:sz="0" w:space="0" w:color="auto"/>
      </w:divBdr>
    </w:div>
    <w:div w:id="50229652">
      <w:bodyDiv w:val="1"/>
      <w:marLeft w:val="0"/>
      <w:marRight w:val="0"/>
      <w:marTop w:val="0"/>
      <w:marBottom w:val="0"/>
      <w:divBdr>
        <w:top w:val="none" w:sz="0" w:space="0" w:color="auto"/>
        <w:left w:val="none" w:sz="0" w:space="0" w:color="auto"/>
        <w:bottom w:val="none" w:sz="0" w:space="0" w:color="auto"/>
        <w:right w:val="none" w:sz="0" w:space="0" w:color="auto"/>
      </w:divBdr>
    </w:div>
    <w:div w:id="87506495">
      <w:bodyDiv w:val="1"/>
      <w:marLeft w:val="0"/>
      <w:marRight w:val="0"/>
      <w:marTop w:val="0"/>
      <w:marBottom w:val="0"/>
      <w:divBdr>
        <w:top w:val="none" w:sz="0" w:space="0" w:color="auto"/>
        <w:left w:val="none" w:sz="0" w:space="0" w:color="auto"/>
        <w:bottom w:val="none" w:sz="0" w:space="0" w:color="auto"/>
        <w:right w:val="none" w:sz="0" w:space="0" w:color="auto"/>
      </w:divBdr>
    </w:div>
    <w:div w:id="95905512">
      <w:bodyDiv w:val="1"/>
      <w:marLeft w:val="0"/>
      <w:marRight w:val="0"/>
      <w:marTop w:val="0"/>
      <w:marBottom w:val="0"/>
      <w:divBdr>
        <w:top w:val="none" w:sz="0" w:space="0" w:color="auto"/>
        <w:left w:val="none" w:sz="0" w:space="0" w:color="auto"/>
        <w:bottom w:val="none" w:sz="0" w:space="0" w:color="auto"/>
        <w:right w:val="none" w:sz="0" w:space="0" w:color="auto"/>
      </w:divBdr>
    </w:div>
    <w:div w:id="108933289">
      <w:bodyDiv w:val="1"/>
      <w:marLeft w:val="0"/>
      <w:marRight w:val="0"/>
      <w:marTop w:val="0"/>
      <w:marBottom w:val="0"/>
      <w:divBdr>
        <w:top w:val="none" w:sz="0" w:space="0" w:color="auto"/>
        <w:left w:val="none" w:sz="0" w:space="0" w:color="auto"/>
        <w:bottom w:val="none" w:sz="0" w:space="0" w:color="auto"/>
        <w:right w:val="none" w:sz="0" w:space="0" w:color="auto"/>
      </w:divBdr>
    </w:div>
    <w:div w:id="152139597">
      <w:bodyDiv w:val="1"/>
      <w:marLeft w:val="0"/>
      <w:marRight w:val="0"/>
      <w:marTop w:val="0"/>
      <w:marBottom w:val="0"/>
      <w:divBdr>
        <w:top w:val="none" w:sz="0" w:space="0" w:color="auto"/>
        <w:left w:val="none" w:sz="0" w:space="0" w:color="auto"/>
        <w:bottom w:val="none" w:sz="0" w:space="0" w:color="auto"/>
        <w:right w:val="none" w:sz="0" w:space="0" w:color="auto"/>
      </w:divBdr>
    </w:div>
    <w:div w:id="169953586">
      <w:bodyDiv w:val="1"/>
      <w:marLeft w:val="0"/>
      <w:marRight w:val="0"/>
      <w:marTop w:val="0"/>
      <w:marBottom w:val="0"/>
      <w:divBdr>
        <w:top w:val="none" w:sz="0" w:space="0" w:color="auto"/>
        <w:left w:val="none" w:sz="0" w:space="0" w:color="auto"/>
        <w:bottom w:val="none" w:sz="0" w:space="0" w:color="auto"/>
        <w:right w:val="none" w:sz="0" w:space="0" w:color="auto"/>
      </w:divBdr>
    </w:div>
    <w:div w:id="181096237">
      <w:bodyDiv w:val="1"/>
      <w:marLeft w:val="0"/>
      <w:marRight w:val="0"/>
      <w:marTop w:val="0"/>
      <w:marBottom w:val="0"/>
      <w:divBdr>
        <w:top w:val="none" w:sz="0" w:space="0" w:color="auto"/>
        <w:left w:val="none" w:sz="0" w:space="0" w:color="auto"/>
        <w:bottom w:val="none" w:sz="0" w:space="0" w:color="auto"/>
        <w:right w:val="none" w:sz="0" w:space="0" w:color="auto"/>
      </w:divBdr>
    </w:div>
    <w:div w:id="183519447">
      <w:bodyDiv w:val="1"/>
      <w:marLeft w:val="0"/>
      <w:marRight w:val="0"/>
      <w:marTop w:val="0"/>
      <w:marBottom w:val="0"/>
      <w:divBdr>
        <w:top w:val="none" w:sz="0" w:space="0" w:color="auto"/>
        <w:left w:val="none" w:sz="0" w:space="0" w:color="auto"/>
        <w:bottom w:val="none" w:sz="0" w:space="0" w:color="auto"/>
        <w:right w:val="none" w:sz="0" w:space="0" w:color="auto"/>
      </w:divBdr>
    </w:div>
    <w:div w:id="206572432">
      <w:bodyDiv w:val="1"/>
      <w:marLeft w:val="0"/>
      <w:marRight w:val="0"/>
      <w:marTop w:val="0"/>
      <w:marBottom w:val="0"/>
      <w:divBdr>
        <w:top w:val="none" w:sz="0" w:space="0" w:color="auto"/>
        <w:left w:val="none" w:sz="0" w:space="0" w:color="auto"/>
        <w:bottom w:val="none" w:sz="0" w:space="0" w:color="auto"/>
        <w:right w:val="none" w:sz="0" w:space="0" w:color="auto"/>
      </w:divBdr>
    </w:div>
    <w:div w:id="241643422">
      <w:bodyDiv w:val="1"/>
      <w:marLeft w:val="0"/>
      <w:marRight w:val="0"/>
      <w:marTop w:val="0"/>
      <w:marBottom w:val="0"/>
      <w:divBdr>
        <w:top w:val="none" w:sz="0" w:space="0" w:color="auto"/>
        <w:left w:val="none" w:sz="0" w:space="0" w:color="auto"/>
        <w:bottom w:val="none" w:sz="0" w:space="0" w:color="auto"/>
        <w:right w:val="none" w:sz="0" w:space="0" w:color="auto"/>
      </w:divBdr>
    </w:div>
    <w:div w:id="249777836">
      <w:bodyDiv w:val="1"/>
      <w:marLeft w:val="0"/>
      <w:marRight w:val="0"/>
      <w:marTop w:val="0"/>
      <w:marBottom w:val="0"/>
      <w:divBdr>
        <w:top w:val="none" w:sz="0" w:space="0" w:color="auto"/>
        <w:left w:val="none" w:sz="0" w:space="0" w:color="auto"/>
        <w:bottom w:val="none" w:sz="0" w:space="0" w:color="auto"/>
        <w:right w:val="none" w:sz="0" w:space="0" w:color="auto"/>
      </w:divBdr>
    </w:div>
    <w:div w:id="267977393">
      <w:bodyDiv w:val="1"/>
      <w:marLeft w:val="0"/>
      <w:marRight w:val="0"/>
      <w:marTop w:val="0"/>
      <w:marBottom w:val="0"/>
      <w:divBdr>
        <w:top w:val="none" w:sz="0" w:space="0" w:color="auto"/>
        <w:left w:val="none" w:sz="0" w:space="0" w:color="auto"/>
        <w:bottom w:val="none" w:sz="0" w:space="0" w:color="auto"/>
        <w:right w:val="none" w:sz="0" w:space="0" w:color="auto"/>
      </w:divBdr>
    </w:div>
    <w:div w:id="281569917">
      <w:bodyDiv w:val="1"/>
      <w:marLeft w:val="0"/>
      <w:marRight w:val="0"/>
      <w:marTop w:val="0"/>
      <w:marBottom w:val="0"/>
      <w:divBdr>
        <w:top w:val="none" w:sz="0" w:space="0" w:color="auto"/>
        <w:left w:val="none" w:sz="0" w:space="0" w:color="auto"/>
        <w:bottom w:val="none" w:sz="0" w:space="0" w:color="auto"/>
        <w:right w:val="none" w:sz="0" w:space="0" w:color="auto"/>
      </w:divBdr>
    </w:div>
    <w:div w:id="299655248">
      <w:bodyDiv w:val="1"/>
      <w:marLeft w:val="0"/>
      <w:marRight w:val="0"/>
      <w:marTop w:val="0"/>
      <w:marBottom w:val="0"/>
      <w:divBdr>
        <w:top w:val="none" w:sz="0" w:space="0" w:color="auto"/>
        <w:left w:val="none" w:sz="0" w:space="0" w:color="auto"/>
        <w:bottom w:val="none" w:sz="0" w:space="0" w:color="auto"/>
        <w:right w:val="none" w:sz="0" w:space="0" w:color="auto"/>
      </w:divBdr>
    </w:div>
    <w:div w:id="324552102">
      <w:bodyDiv w:val="1"/>
      <w:marLeft w:val="0"/>
      <w:marRight w:val="0"/>
      <w:marTop w:val="0"/>
      <w:marBottom w:val="0"/>
      <w:divBdr>
        <w:top w:val="none" w:sz="0" w:space="0" w:color="auto"/>
        <w:left w:val="none" w:sz="0" w:space="0" w:color="auto"/>
        <w:bottom w:val="none" w:sz="0" w:space="0" w:color="auto"/>
        <w:right w:val="none" w:sz="0" w:space="0" w:color="auto"/>
      </w:divBdr>
    </w:div>
    <w:div w:id="328338428">
      <w:bodyDiv w:val="1"/>
      <w:marLeft w:val="0"/>
      <w:marRight w:val="0"/>
      <w:marTop w:val="0"/>
      <w:marBottom w:val="0"/>
      <w:divBdr>
        <w:top w:val="none" w:sz="0" w:space="0" w:color="auto"/>
        <w:left w:val="none" w:sz="0" w:space="0" w:color="auto"/>
        <w:bottom w:val="none" w:sz="0" w:space="0" w:color="auto"/>
        <w:right w:val="none" w:sz="0" w:space="0" w:color="auto"/>
      </w:divBdr>
    </w:div>
    <w:div w:id="371543367">
      <w:bodyDiv w:val="1"/>
      <w:marLeft w:val="0"/>
      <w:marRight w:val="0"/>
      <w:marTop w:val="0"/>
      <w:marBottom w:val="0"/>
      <w:divBdr>
        <w:top w:val="none" w:sz="0" w:space="0" w:color="auto"/>
        <w:left w:val="none" w:sz="0" w:space="0" w:color="auto"/>
        <w:bottom w:val="none" w:sz="0" w:space="0" w:color="auto"/>
        <w:right w:val="none" w:sz="0" w:space="0" w:color="auto"/>
      </w:divBdr>
    </w:div>
    <w:div w:id="403989036">
      <w:bodyDiv w:val="1"/>
      <w:marLeft w:val="0"/>
      <w:marRight w:val="0"/>
      <w:marTop w:val="0"/>
      <w:marBottom w:val="0"/>
      <w:divBdr>
        <w:top w:val="none" w:sz="0" w:space="0" w:color="auto"/>
        <w:left w:val="none" w:sz="0" w:space="0" w:color="auto"/>
        <w:bottom w:val="none" w:sz="0" w:space="0" w:color="auto"/>
        <w:right w:val="none" w:sz="0" w:space="0" w:color="auto"/>
      </w:divBdr>
    </w:div>
    <w:div w:id="454520085">
      <w:bodyDiv w:val="1"/>
      <w:marLeft w:val="0"/>
      <w:marRight w:val="0"/>
      <w:marTop w:val="0"/>
      <w:marBottom w:val="0"/>
      <w:divBdr>
        <w:top w:val="none" w:sz="0" w:space="0" w:color="auto"/>
        <w:left w:val="none" w:sz="0" w:space="0" w:color="auto"/>
        <w:bottom w:val="none" w:sz="0" w:space="0" w:color="auto"/>
        <w:right w:val="none" w:sz="0" w:space="0" w:color="auto"/>
      </w:divBdr>
    </w:div>
    <w:div w:id="462501378">
      <w:bodyDiv w:val="1"/>
      <w:marLeft w:val="0"/>
      <w:marRight w:val="0"/>
      <w:marTop w:val="0"/>
      <w:marBottom w:val="0"/>
      <w:divBdr>
        <w:top w:val="none" w:sz="0" w:space="0" w:color="auto"/>
        <w:left w:val="none" w:sz="0" w:space="0" w:color="auto"/>
        <w:bottom w:val="none" w:sz="0" w:space="0" w:color="auto"/>
        <w:right w:val="none" w:sz="0" w:space="0" w:color="auto"/>
      </w:divBdr>
    </w:div>
    <w:div w:id="499581909">
      <w:bodyDiv w:val="1"/>
      <w:marLeft w:val="0"/>
      <w:marRight w:val="0"/>
      <w:marTop w:val="0"/>
      <w:marBottom w:val="0"/>
      <w:divBdr>
        <w:top w:val="none" w:sz="0" w:space="0" w:color="auto"/>
        <w:left w:val="none" w:sz="0" w:space="0" w:color="auto"/>
        <w:bottom w:val="none" w:sz="0" w:space="0" w:color="auto"/>
        <w:right w:val="none" w:sz="0" w:space="0" w:color="auto"/>
      </w:divBdr>
    </w:div>
    <w:div w:id="506478041">
      <w:bodyDiv w:val="1"/>
      <w:marLeft w:val="0"/>
      <w:marRight w:val="0"/>
      <w:marTop w:val="0"/>
      <w:marBottom w:val="0"/>
      <w:divBdr>
        <w:top w:val="none" w:sz="0" w:space="0" w:color="auto"/>
        <w:left w:val="none" w:sz="0" w:space="0" w:color="auto"/>
        <w:bottom w:val="none" w:sz="0" w:space="0" w:color="auto"/>
        <w:right w:val="none" w:sz="0" w:space="0" w:color="auto"/>
      </w:divBdr>
    </w:div>
    <w:div w:id="523861896">
      <w:bodyDiv w:val="1"/>
      <w:marLeft w:val="0"/>
      <w:marRight w:val="0"/>
      <w:marTop w:val="0"/>
      <w:marBottom w:val="0"/>
      <w:divBdr>
        <w:top w:val="none" w:sz="0" w:space="0" w:color="auto"/>
        <w:left w:val="none" w:sz="0" w:space="0" w:color="auto"/>
        <w:bottom w:val="none" w:sz="0" w:space="0" w:color="auto"/>
        <w:right w:val="none" w:sz="0" w:space="0" w:color="auto"/>
      </w:divBdr>
    </w:div>
    <w:div w:id="541133232">
      <w:bodyDiv w:val="1"/>
      <w:marLeft w:val="0"/>
      <w:marRight w:val="0"/>
      <w:marTop w:val="0"/>
      <w:marBottom w:val="0"/>
      <w:divBdr>
        <w:top w:val="none" w:sz="0" w:space="0" w:color="auto"/>
        <w:left w:val="none" w:sz="0" w:space="0" w:color="auto"/>
        <w:bottom w:val="none" w:sz="0" w:space="0" w:color="auto"/>
        <w:right w:val="none" w:sz="0" w:space="0" w:color="auto"/>
      </w:divBdr>
    </w:div>
    <w:div w:id="559367053">
      <w:bodyDiv w:val="1"/>
      <w:marLeft w:val="0"/>
      <w:marRight w:val="0"/>
      <w:marTop w:val="0"/>
      <w:marBottom w:val="0"/>
      <w:divBdr>
        <w:top w:val="none" w:sz="0" w:space="0" w:color="auto"/>
        <w:left w:val="none" w:sz="0" w:space="0" w:color="auto"/>
        <w:bottom w:val="none" w:sz="0" w:space="0" w:color="auto"/>
        <w:right w:val="none" w:sz="0" w:space="0" w:color="auto"/>
      </w:divBdr>
    </w:div>
    <w:div w:id="561523502">
      <w:bodyDiv w:val="1"/>
      <w:marLeft w:val="0"/>
      <w:marRight w:val="0"/>
      <w:marTop w:val="0"/>
      <w:marBottom w:val="0"/>
      <w:divBdr>
        <w:top w:val="none" w:sz="0" w:space="0" w:color="auto"/>
        <w:left w:val="none" w:sz="0" w:space="0" w:color="auto"/>
        <w:bottom w:val="none" w:sz="0" w:space="0" w:color="auto"/>
        <w:right w:val="none" w:sz="0" w:space="0" w:color="auto"/>
      </w:divBdr>
    </w:div>
    <w:div w:id="593435164">
      <w:bodyDiv w:val="1"/>
      <w:marLeft w:val="0"/>
      <w:marRight w:val="0"/>
      <w:marTop w:val="0"/>
      <w:marBottom w:val="0"/>
      <w:divBdr>
        <w:top w:val="none" w:sz="0" w:space="0" w:color="auto"/>
        <w:left w:val="none" w:sz="0" w:space="0" w:color="auto"/>
        <w:bottom w:val="none" w:sz="0" w:space="0" w:color="auto"/>
        <w:right w:val="none" w:sz="0" w:space="0" w:color="auto"/>
      </w:divBdr>
    </w:div>
    <w:div w:id="597300934">
      <w:bodyDiv w:val="1"/>
      <w:marLeft w:val="0"/>
      <w:marRight w:val="0"/>
      <w:marTop w:val="0"/>
      <w:marBottom w:val="0"/>
      <w:divBdr>
        <w:top w:val="none" w:sz="0" w:space="0" w:color="auto"/>
        <w:left w:val="none" w:sz="0" w:space="0" w:color="auto"/>
        <w:bottom w:val="none" w:sz="0" w:space="0" w:color="auto"/>
        <w:right w:val="none" w:sz="0" w:space="0" w:color="auto"/>
      </w:divBdr>
    </w:div>
    <w:div w:id="606891749">
      <w:bodyDiv w:val="1"/>
      <w:marLeft w:val="0"/>
      <w:marRight w:val="0"/>
      <w:marTop w:val="0"/>
      <w:marBottom w:val="0"/>
      <w:divBdr>
        <w:top w:val="none" w:sz="0" w:space="0" w:color="auto"/>
        <w:left w:val="none" w:sz="0" w:space="0" w:color="auto"/>
        <w:bottom w:val="none" w:sz="0" w:space="0" w:color="auto"/>
        <w:right w:val="none" w:sz="0" w:space="0" w:color="auto"/>
      </w:divBdr>
    </w:div>
    <w:div w:id="607813598">
      <w:bodyDiv w:val="1"/>
      <w:marLeft w:val="0"/>
      <w:marRight w:val="0"/>
      <w:marTop w:val="0"/>
      <w:marBottom w:val="0"/>
      <w:divBdr>
        <w:top w:val="none" w:sz="0" w:space="0" w:color="auto"/>
        <w:left w:val="none" w:sz="0" w:space="0" w:color="auto"/>
        <w:bottom w:val="none" w:sz="0" w:space="0" w:color="auto"/>
        <w:right w:val="none" w:sz="0" w:space="0" w:color="auto"/>
      </w:divBdr>
    </w:div>
    <w:div w:id="623267838">
      <w:bodyDiv w:val="1"/>
      <w:marLeft w:val="0"/>
      <w:marRight w:val="0"/>
      <w:marTop w:val="0"/>
      <w:marBottom w:val="0"/>
      <w:divBdr>
        <w:top w:val="none" w:sz="0" w:space="0" w:color="auto"/>
        <w:left w:val="none" w:sz="0" w:space="0" w:color="auto"/>
        <w:bottom w:val="none" w:sz="0" w:space="0" w:color="auto"/>
        <w:right w:val="none" w:sz="0" w:space="0" w:color="auto"/>
      </w:divBdr>
    </w:div>
    <w:div w:id="647322279">
      <w:bodyDiv w:val="1"/>
      <w:marLeft w:val="0"/>
      <w:marRight w:val="0"/>
      <w:marTop w:val="0"/>
      <w:marBottom w:val="0"/>
      <w:divBdr>
        <w:top w:val="none" w:sz="0" w:space="0" w:color="auto"/>
        <w:left w:val="none" w:sz="0" w:space="0" w:color="auto"/>
        <w:bottom w:val="none" w:sz="0" w:space="0" w:color="auto"/>
        <w:right w:val="none" w:sz="0" w:space="0" w:color="auto"/>
      </w:divBdr>
    </w:div>
    <w:div w:id="696466317">
      <w:bodyDiv w:val="1"/>
      <w:marLeft w:val="0"/>
      <w:marRight w:val="0"/>
      <w:marTop w:val="0"/>
      <w:marBottom w:val="0"/>
      <w:divBdr>
        <w:top w:val="none" w:sz="0" w:space="0" w:color="auto"/>
        <w:left w:val="none" w:sz="0" w:space="0" w:color="auto"/>
        <w:bottom w:val="none" w:sz="0" w:space="0" w:color="auto"/>
        <w:right w:val="none" w:sz="0" w:space="0" w:color="auto"/>
      </w:divBdr>
    </w:div>
    <w:div w:id="716782045">
      <w:bodyDiv w:val="1"/>
      <w:marLeft w:val="0"/>
      <w:marRight w:val="0"/>
      <w:marTop w:val="0"/>
      <w:marBottom w:val="0"/>
      <w:divBdr>
        <w:top w:val="none" w:sz="0" w:space="0" w:color="auto"/>
        <w:left w:val="none" w:sz="0" w:space="0" w:color="auto"/>
        <w:bottom w:val="none" w:sz="0" w:space="0" w:color="auto"/>
        <w:right w:val="none" w:sz="0" w:space="0" w:color="auto"/>
      </w:divBdr>
    </w:div>
    <w:div w:id="736049750">
      <w:bodyDiv w:val="1"/>
      <w:marLeft w:val="0"/>
      <w:marRight w:val="0"/>
      <w:marTop w:val="0"/>
      <w:marBottom w:val="0"/>
      <w:divBdr>
        <w:top w:val="none" w:sz="0" w:space="0" w:color="auto"/>
        <w:left w:val="none" w:sz="0" w:space="0" w:color="auto"/>
        <w:bottom w:val="none" w:sz="0" w:space="0" w:color="auto"/>
        <w:right w:val="none" w:sz="0" w:space="0" w:color="auto"/>
      </w:divBdr>
    </w:div>
    <w:div w:id="788621551">
      <w:bodyDiv w:val="1"/>
      <w:marLeft w:val="0"/>
      <w:marRight w:val="0"/>
      <w:marTop w:val="0"/>
      <w:marBottom w:val="0"/>
      <w:divBdr>
        <w:top w:val="none" w:sz="0" w:space="0" w:color="auto"/>
        <w:left w:val="none" w:sz="0" w:space="0" w:color="auto"/>
        <w:bottom w:val="none" w:sz="0" w:space="0" w:color="auto"/>
        <w:right w:val="none" w:sz="0" w:space="0" w:color="auto"/>
      </w:divBdr>
    </w:div>
    <w:div w:id="791243787">
      <w:bodyDiv w:val="1"/>
      <w:marLeft w:val="0"/>
      <w:marRight w:val="0"/>
      <w:marTop w:val="0"/>
      <w:marBottom w:val="0"/>
      <w:divBdr>
        <w:top w:val="none" w:sz="0" w:space="0" w:color="auto"/>
        <w:left w:val="none" w:sz="0" w:space="0" w:color="auto"/>
        <w:bottom w:val="none" w:sz="0" w:space="0" w:color="auto"/>
        <w:right w:val="none" w:sz="0" w:space="0" w:color="auto"/>
      </w:divBdr>
    </w:div>
    <w:div w:id="796684139">
      <w:bodyDiv w:val="1"/>
      <w:marLeft w:val="0"/>
      <w:marRight w:val="0"/>
      <w:marTop w:val="0"/>
      <w:marBottom w:val="0"/>
      <w:divBdr>
        <w:top w:val="none" w:sz="0" w:space="0" w:color="auto"/>
        <w:left w:val="none" w:sz="0" w:space="0" w:color="auto"/>
        <w:bottom w:val="none" w:sz="0" w:space="0" w:color="auto"/>
        <w:right w:val="none" w:sz="0" w:space="0" w:color="auto"/>
      </w:divBdr>
    </w:div>
    <w:div w:id="826634959">
      <w:bodyDiv w:val="1"/>
      <w:marLeft w:val="0"/>
      <w:marRight w:val="0"/>
      <w:marTop w:val="0"/>
      <w:marBottom w:val="0"/>
      <w:divBdr>
        <w:top w:val="none" w:sz="0" w:space="0" w:color="auto"/>
        <w:left w:val="none" w:sz="0" w:space="0" w:color="auto"/>
        <w:bottom w:val="none" w:sz="0" w:space="0" w:color="auto"/>
        <w:right w:val="none" w:sz="0" w:space="0" w:color="auto"/>
      </w:divBdr>
    </w:div>
    <w:div w:id="885877419">
      <w:bodyDiv w:val="1"/>
      <w:marLeft w:val="0"/>
      <w:marRight w:val="0"/>
      <w:marTop w:val="0"/>
      <w:marBottom w:val="0"/>
      <w:divBdr>
        <w:top w:val="none" w:sz="0" w:space="0" w:color="auto"/>
        <w:left w:val="none" w:sz="0" w:space="0" w:color="auto"/>
        <w:bottom w:val="none" w:sz="0" w:space="0" w:color="auto"/>
        <w:right w:val="none" w:sz="0" w:space="0" w:color="auto"/>
      </w:divBdr>
    </w:div>
    <w:div w:id="943803893">
      <w:bodyDiv w:val="1"/>
      <w:marLeft w:val="0"/>
      <w:marRight w:val="0"/>
      <w:marTop w:val="0"/>
      <w:marBottom w:val="0"/>
      <w:divBdr>
        <w:top w:val="none" w:sz="0" w:space="0" w:color="auto"/>
        <w:left w:val="none" w:sz="0" w:space="0" w:color="auto"/>
        <w:bottom w:val="none" w:sz="0" w:space="0" w:color="auto"/>
        <w:right w:val="none" w:sz="0" w:space="0" w:color="auto"/>
      </w:divBdr>
    </w:div>
    <w:div w:id="948044484">
      <w:bodyDiv w:val="1"/>
      <w:marLeft w:val="0"/>
      <w:marRight w:val="0"/>
      <w:marTop w:val="0"/>
      <w:marBottom w:val="0"/>
      <w:divBdr>
        <w:top w:val="none" w:sz="0" w:space="0" w:color="auto"/>
        <w:left w:val="none" w:sz="0" w:space="0" w:color="auto"/>
        <w:bottom w:val="none" w:sz="0" w:space="0" w:color="auto"/>
        <w:right w:val="none" w:sz="0" w:space="0" w:color="auto"/>
      </w:divBdr>
    </w:div>
    <w:div w:id="974333137">
      <w:bodyDiv w:val="1"/>
      <w:marLeft w:val="0"/>
      <w:marRight w:val="0"/>
      <w:marTop w:val="0"/>
      <w:marBottom w:val="0"/>
      <w:divBdr>
        <w:top w:val="none" w:sz="0" w:space="0" w:color="auto"/>
        <w:left w:val="none" w:sz="0" w:space="0" w:color="auto"/>
        <w:bottom w:val="none" w:sz="0" w:space="0" w:color="auto"/>
        <w:right w:val="none" w:sz="0" w:space="0" w:color="auto"/>
      </w:divBdr>
    </w:div>
    <w:div w:id="1015883312">
      <w:bodyDiv w:val="1"/>
      <w:marLeft w:val="0"/>
      <w:marRight w:val="0"/>
      <w:marTop w:val="0"/>
      <w:marBottom w:val="0"/>
      <w:divBdr>
        <w:top w:val="none" w:sz="0" w:space="0" w:color="auto"/>
        <w:left w:val="none" w:sz="0" w:space="0" w:color="auto"/>
        <w:bottom w:val="none" w:sz="0" w:space="0" w:color="auto"/>
        <w:right w:val="none" w:sz="0" w:space="0" w:color="auto"/>
      </w:divBdr>
    </w:div>
    <w:div w:id="1021476177">
      <w:bodyDiv w:val="1"/>
      <w:marLeft w:val="0"/>
      <w:marRight w:val="0"/>
      <w:marTop w:val="0"/>
      <w:marBottom w:val="0"/>
      <w:divBdr>
        <w:top w:val="none" w:sz="0" w:space="0" w:color="auto"/>
        <w:left w:val="none" w:sz="0" w:space="0" w:color="auto"/>
        <w:bottom w:val="none" w:sz="0" w:space="0" w:color="auto"/>
        <w:right w:val="none" w:sz="0" w:space="0" w:color="auto"/>
      </w:divBdr>
    </w:div>
    <w:div w:id="1036391043">
      <w:bodyDiv w:val="1"/>
      <w:marLeft w:val="0"/>
      <w:marRight w:val="0"/>
      <w:marTop w:val="0"/>
      <w:marBottom w:val="0"/>
      <w:divBdr>
        <w:top w:val="none" w:sz="0" w:space="0" w:color="auto"/>
        <w:left w:val="none" w:sz="0" w:space="0" w:color="auto"/>
        <w:bottom w:val="none" w:sz="0" w:space="0" w:color="auto"/>
        <w:right w:val="none" w:sz="0" w:space="0" w:color="auto"/>
      </w:divBdr>
    </w:div>
    <w:div w:id="1042094972">
      <w:bodyDiv w:val="1"/>
      <w:marLeft w:val="0"/>
      <w:marRight w:val="0"/>
      <w:marTop w:val="0"/>
      <w:marBottom w:val="0"/>
      <w:divBdr>
        <w:top w:val="none" w:sz="0" w:space="0" w:color="auto"/>
        <w:left w:val="none" w:sz="0" w:space="0" w:color="auto"/>
        <w:bottom w:val="none" w:sz="0" w:space="0" w:color="auto"/>
        <w:right w:val="none" w:sz="0" w:space="0" w:color="auto"/>
      </w:divBdr>
    </w:div>
    <w:div w:id="1043023887">
      <w:bodyDiv w:val="1"/>
      <w:marLeft w:val="0"/>
      <w:marRight w:val="0"/>
      <w:marTop w:val="0"/>
      <w:marBottom w:val="0"/>
      <w:divBdr>
        <w:top w:val="none" w:sz="0" w:space="0" w:color="auto"/>
        <w:left w:val="none" w:sz="0" w:space="0" w:color="auto"/>
        <w:bottom w:val="none" w:sz="0" w:space="0" w:color="auto"/>
        <w:right w:val="none" w:sz="0" w:space="0" w:color="auto"/>
      </w:divBdr>
    </w:div>
    <w:div w:id="1137453792">
      <w:bodyDiv w:val="1"/>
      <w:marLeft w:val="0"/>
      <w:marRight w:val="0"/>
      <w:marTop w:val="0"/>
      <w:marBottom w:val="0"/>
      <w:divBdr>
        <w:top w:val="none" w:sz="0" w:space="0" w:color="auto"/>
        <w:left w:val="none" w:sz="0" w:space="0" w:color="auto"/>
        <w:bottom w:val="none" w:sz="0" w:space="0" w:color="auto"/>
        <w:right w:val="none" w:sz="0" w:space="0" w:color="auto"/>
      </w:divBdr>
    </w:div>
    <w:div w:id="1140658202">
      <w:bodyDiv w:val="1"/>
      <w:marLeft w:val="0"/>
      <w:marRight w:val="0"/>
      <w:marTop w:val="0"/>
      <w:marBottom w:val="0"/>
      <w:divBdr>
        <w:top w:val="none" w:sz="0" w:space="0" w:color="auto"/>
        <w:left w:val="none" w:sz="0" w:space="0" w:color="auto"/>
        <w:bottom w:val="none" w:sz="0" w:space="0" w:color="auto"/>
        <w:right w:val="none" w:sz="0" w:space="0" w:color="auto"/>
      </w:divBdr>
    </w:div>
    <w:div w:id="1175800762">
      <w:bodyDiv w:val="1"/>
      <w:marLeft w:val="0"/>
      <w:marRight w:val="0"/>
      <w:marTop w:val="0"/>
      <w:marBottom w:val="0"/>
      <w:divBdr>
        <w:top w:val="none" w:sz="0" w:space="0" w:color="auto"/>
        <w:left w:val="none" w:sz="0" w:space="0" w:color="auto"/>
        <w:bottom w:val="none" w:sz="0" w:space="0" w:color="auto"/>
        <w:right w:val="none" w:sz="0" w:space="0" w:color="auto"/>
      </w:divBdr>
    </w:div>
    <w:div w:id="1187910917">
      <w:bodyDiv w:val="1"/>
      <w:marLeft w:val="0"/>
      <w:marRight w:val="0"/>
      <w:marTop w:val="0"/>
      <w:marBottom w:val="0"/>
      <w:divBdr>
        <w:top w:val="none" w:sz="0" w:space="0" w:color="auto"/>
        <w:left w:val="none" w:sz="0" w:space="0" w:color="auto"/>
        <w:bottom w:val="none" w:sz="0" w:space="0" w:color="auto"/>
        <w:right w:val="none" w:sz="0" w:space="0" w:color="auto"/>
      </w:divBdr>
      <w:divsChild>
        <w:div w:id="1327320875">
          <w:marLeft w:val="0"/>
          <w:marRight w:val="0"/>
          <w:marTop w:val="0"/>
          <w:marBottom w:val="0"/>
          <w:divBdr>
            <w:top w:val="none" w:sz="0" w:space="0" w:color="auto"/>
            <w:left w:val="none" w:sz="0" w:space="0" w:color="auto"/>
            <w:bottom w:val="none" w:sz="0" w:space="0" w:color="auto"/>
            <w:right w:val="none" w:sz="0" w:space="0" w:color="auto"/>
          </w:divBdr>
        </w:div>
        <w:div w:id="1462503460">
          <w:marLeft w:val="0"/>
          <w:marRight w:val="0"/>
          <w:marTop w:val="0"/>
          <w:marBottom w:val="0"/>
          <w:divBdr>
            <w:top w:val="none" w:sz="0" w:space="0" w:color="auto"/>
            <w:left w:val="none" w:sz="0" w:space="0" w:color="auto"/>
            <w:bottom w:val="none" w:sz="0" w:space="0" w:color="auto"/>
            <w:right w:val="none" w:sz="0" w:space="0" w:color="auto"/>
          </w:divBdr>
        </w:div>
      </w:divsChild>
    </w:div>
    <w:div w:id="1221404321">
      <w:bodyDiv w:val="1"/>
      <w:marLeft w:val="0"/>
      <w:marRight w:val="0"/>
      <w:marTop w:val="0"/>
      <w:marBottom w:val="0"/>
      <w:divBdr>
        <w:top w:val="none" w:sz="0" w:space="0" w:color="auto"/>
        <w:left w:val="none" w:sz="0" w:space="0" w:color="auto"/>
        <w:bottom w:val="none" w:sz="0" w:space="0" w:color="auto"/>
        <w:right w:val="none" w:sz="0" w:space="0" w:color="auto"/>
      </w:divBdr>
    </w:div>
    <w:div w:id="1229413698">
      <w:bodyDiv w:val="1"/>
      <w:marLeft w:val="0"/>
      <w:marRight w:val="0"/>
      <w:marTop w:val="0"/>
      <w:marBottom w:val="0"/>
      <w:divBdr>
        <w:top w:val="none" w:sz="0" w:space="0" w:color="auto"/>
        <w:left w:val="none" w:sz="0" w:space="0" w:color="auto"/>
        <w:bottom w:val="none" w:sz="0" w:space="0" w:color="auto"/>
        <w:right w:val="none" w:sz="0" w:space="0" w:color="auto"/>
      </w:divBdr>
    </w:div>
    <w:div w:id="1229803050">
      <w:bodyDiv w:val="1"/>
      <w:marLeft w:val="0"/>
      <w:marRight w:val="0"/>
      <w:marTop w:val="0"/>
      <w:marBottom w:val="0"/>
      <w:divBdr>
        <w:top w:val="none" w:sz="0" w:space="0" w:color="auto"/>
        <w:left w:val="none" w:sz="0" w:space="0" w:color="auto"/>
        <w:bottom w:val="none" w:sz="0" w:space="0" w:color="auto"/>
        <w:right w:val="none" w:sz="0" w:space="0" w:color="auto"/>
      </w:divBdr>
    </w:div>
    <w:div w:id="1231500791">
      <w:bodyDiv w:val="1"/>
      <w:marLeft w:val="0"/>
      <w:marRight w:val="0"/>
      <w:marTop w:val="0"/>
      <w:marBottom w:val="0"/>
      <w:divBdr>
        <w:top w:val="none" w:sz="0" w:space="0" w:color="auto"/>
        <w:left w:val="none" w:sz="0" w:space="0" w:color="auto"/>
        <w:bottom w:val="none" w:sz="0" w:space="0" w:color="auto"/>
        <w:right w:val="none" w:sz="0" w:space="0" w:color="auto"/>
      </w:divBdr>
    </w:div>
    <w:div w:id="1235704865">
      <w:bodyDiv w:val="1"/>
      <w:marLeft w:val="0"/>
      <w:marRight w:val="0"/>
      <w:marTop w:val="0"/>
      <w:marBottom w:val="0"/>
      <w:divBdr>
        <w:top w:val="none" w:sz="0" w:space="0" w:color="auto"/>
        <w:left w:val="none" w:sz="0" w:space="0" w:color="auto"/>
        <w:bottom w:val="none" w:sz="0" w:space="0" w:color="auto"/>
        <w:right w:val="none" w:sz="0" w:space="0" w:color="auto"/>
      </w:divBdr>
    </w:div>
    <w:div w:id="1239827398">
      <w:bodyDiv w:val="1"/>
      <w:marLeft w:val="0"/>
      <w:marRight w:val="0"/>
      <w:marTop w:val="0"/>
      <w:marBottom w:val="0"/>
      <w:divBdr>
        <w:top w:val="none" w:sz="0" w:space="0" w:color="auto"/>
        <w:left w:val="none" w:sz="0" w:space="0" w:color="auto"/>
        <w:bottom w:val="none" w:sz="0" w:space="0" w:color="auto"/>
        <w:right w:val="none" w:sz="0" w:space="0" w:color="auto"/>
      </w:divBdr>
    </w:div>
    <w:div w:id="1247105879">
      <w:bodyDiv w:val="1"/>
      <w:marLeft w:val="0"/>
      <w:marRight w:val="0"/>
      <w:marTop w:val="0"/>
      <w:marBottom w:val="0"/>
      <w:divBdr>
        <w:top w:val="none" w:sz="0" w:space="0" w:color="auto"/>
        <w:left w:val="none" w:sz="0" w:space="0" w:color="auto"/>
        <w:bottom w:val="none" w:sz="0" w:space="0" w:color="auto"/>
        <w:right w:val="none" w:sz="0" w:space="0" w:color="auto"/>
      </w:divBdr>
    </w:div>
    <w:div w:id="1374040350">
      <w:bodyDiv w:val="1"/>
      <w:marLeft w:val="0"/>
      <w:marRight w:val="0"/>
      <w:marTop w:val="0"/>
      <w:marBottom w:val="0"/>
      <w:divBdr>
        <w:top w:val="none" w:sz="0" w:space="0" w:color="auto"/>
        <w:left w:val="none" w:sz="0" w:space="0" w:color="auto"/>
        <w:bottom w:val="none" w:sz="0" w:space="0" w:color="auto"/>
        <w:right w:val="none" w:sz="0" w:space="0" w:color="auto"/>
      </w:divBdr>
    </w:div>
    <w:div w:id="1400130792">
      <w:bodyDiv w:val="1"/>
      <w:marLeft w:val="0"/>
      <w:marRight w:val="0"/>
      <w:marTop w:val="0"/>
      <w:marBottom w:val="0"/>
      <w:divBdr>
        <w:top w:val="none" w:sz="0" w:space="0" w:color="auto"/>
        <w:left w:val="none" w:sz="0" w:space="0" w:color="auto"/>
        <w:bottom w:val="none" w:sz="0" w:space="0" w:color="auto"/>
        <w:right w:val="none" w:sz="0" w:space="0" w:color="auto"/>
      </w:divBdr>
    </w:div>
    <w:div w:id="1434323815">
      <w:bodyDiv w:val="1"/>
      <w:marLeft w:val="0"/>
      <w:marRight w:val="0"/>
      <w:marTop w:val="0"/>
      <w:marBottom w:val="0"/>
      <w:divBdr>
        <w:top w:val="none" w:sz="0" w:space="0" w:color="auto"/>
        <w:left w:val="none" w:sz="0" w:space="0" w:color="auto"/>
        <w:bottom w:val="none" w:sz="0" w:space="0" w:color="auto"/>
        <w:right w:val="none" w:sz="0" w:space="0" w:color="auto"/>
      </w:divBdr>
    </w:div>
    <w:div w:id="1461026105">
      <w:bodyDiv w:val="1"/>
      <w:marLeft w:val="0"/>
      <w:marRight w:val="0"/>
      <w:marTop w:val="0"/>
      <w:marBottom w:val="0"/>
      <w:divBdr>
        <w:top w:val="none" w:sz="0" w:space="0" w:color="auto"/>
        <w:left w:val="none" w:sz="0" w:space="0" w:color="auto"/>
        <w:bottom w:val="none" w:sz="0" w:space="0" w:color="auto"/>
        <w:right w:val="none" w:sz="0" w:space="0" w:color="auto"/>
      </w:divBdr>
      <w:divsChild>
        <w:div w:id="703796602">
          <w:marLeft w:val="0"/>
          <w:marRight w:val="0"/>
          <w:marTop w:val="0"/>
          <w:marBottom w:val="0"/>
          <w:divBdr>
            <w:top w:val="none" w:sz="0" w:space="0" w:color="auto"/>
            <w:left w:val="none" w:sz="0" w:space="0" w:color="auto"/>
            <w:bottom w:val="none" w:sz="0" w:space="0" w:color="auto"/>
            <w:right w:val="none" w:sz="0" w:space="0" w:color="auto"/>
          </w:divBdr>
        </w:div>
        <w:div w:id="985549678">
          <w:marLeft w:val="0"/>
          <w:marRight w:val="0"/>
          <w:marTop w:val="0"/>
          <w:marBottom w:val="0"/>
          <w:divBdr>
            <w:top w:val="none" w:sz="0" w:space="0" w:color="auto"/>
            <w:left w:val="none" w:sz="0" w:space="0" w:color="auto"/>
            <w:bottom w:val="none" w:sz="0" w:space="0" w:color="auto"/>
            <w:right w:val="none" w:sz="0" w:space="0" w:color="auto"/>
          </w:divBdr>
        </w:div>
        <w:div w:id="1373992603">
          <w:marLeft w:val="0"/>
          <w:marRight w:val="0"/>
          <w:marTop w:val="0"/>
          <w:marBottom w:val="0"/>
          <w:divBdr>
            <w:top w:val="none" w:sz="0" w:space="0" w:color="auto"/>
            <w:left w:val="none" w:sz="0" w:space="0" w:color="auto"/>
            <w:bottom w:val="none" w:sz="0" w:space="0" w:color="auto"/>
            <w:right w:val="none" w:sz="0" w:space="0" w:color="auto"/>
          </w:divBdr>
        </w:div>
        <w:div w:id="1545020119">
          <w:marLeft w:val="0"/>
          <w:marRight w:val="0"/>
          <w:marTop w:val="0"/>
          <w:marBottom w:val="0"/>
          <w:divBdr>
            <w:top w:val="none" w:sz="0" w:space="0" w:color="auto"/>
            <w:left w:val="none" w:sz="0" w:space="0" w:color="auto"/>
            <w:bottom w:val="none" w:sz="0" w:space="0" w:color="auto"/>
            <w:right w:val="none" w:sz="0" w:space="0" w:color="auto"/>
          </w:divBdr>
        </w:div>
        <w:div w:id="1717511717">
          <w:marLeft w:val="0"/>
          <w:marRight w:val="0"/>
          <w:marTop w:val="0"/>
          <w:marBottom w:val="0"/>
          <w:divBdr>
            <w:top w:val="none" w:sz="0" w:space="0" w:color="auto"/>
            <w:left w:val="none" w:sz="0" w:space="0" w:color="auto"/>
            <w:bottom w:val="none" w:sz="0" w:space="0" w:color="auto"/>
            <w:right w:val="none" w:sz="0" w:space="0" w:color="auto"/>
          </w:divBdr>
        </w:div>
        <w:div w:id="1795247335">
          <w:marLeft w:val="0"/>
          <w:marRight w:val="0"/>
          <w:marTop w:val="0"/>
          <w:marBottom w:val="0"/>
          <w:divBdr>
            <w:top w:val="none" w:sz="0" w:space="0" w:color="auto"/>
            <w:left w:val="none" w:sz="0" w:space="0" w:color="auto"/>
            <w:bottom w:val="none" w:sz="0" w:space="0" w:color="auto"/>
            <w:right w:val="none" w:sz="0" w:space="0" w:color="auto"/>
          </w:divBdr>
        </w:div>
        <w:div w:id="1811483748">
          <w:marLeft w:val="0"/>
          <w:marRight w:val="0"/>
          <w:marTop w:val="0"/>
          <w:marBottom w:val="0"/>
          <w:divBdr>
            <w:top w:val="none" w:sz="0" w:space="0" w:color="auto"/>
            <w:left w:val="none" w:sz="0" w:space="0" w:color="auto"/>
            <w:bottom w:val="none" w:sz="0" w:space="0" w:color="auto"/>
            <w:right w:val="none" w:sz="0" w:space="0" w:color="auto"/>
          </w:divBdr>
        </w:div>
      </w:divsChild>
    </w:div>
    <w:div w:id="1491361203">
      <w:bodyDiv w:val="1"/>
      <w:marLeft w:val="0"/>
      <w:marRight w:val="0"/>
      <w:marTop w:val="0"/>
      <w:marBottom w:val="0"/>
      <w:divBdr>
        <w:top w:val="none" w:sz="0" w:space="0" w:color="auto"/>
        <w:left w:val="none" w:sz="0" w:space="0" w:color="auto"/>
        <w:bottom w:val="none" w:sz="0" w:space="0" w:color="auto"/>
        <w:right w:val="none" w:sz="0" w:space="0" w:color="auto"/>
      </w:divBdr>
    </w:div>
    <w:div w:id="1504471114">
      <w:bodyDiv w:val="1"/>
      <w:marLeft w:val="0"/>
      <w:marRight w:val="0"/>
      <w:marTop w:val="0"/>
      <w:marBottom w:val="0"/>
      <w:divBdr>
        <w:top w:val="none" w:sz="0" w:space="0" w:color="auto"/>
        <w:left w:val="none" w:sz="0" w:space="0" w:color="auto"/>
        <w:bottom w:val="none" w:sz="0" w:space="0" w:color="auto"/>
        <w:right w:val="none" w:sz="0" w:space="0" w:color="auto"/>
      </w:divBdr>
    </w:div>
    <w:div w:id="1599944648">
      <w:bodyDiv w:val="1"/>
      <w:marLeft w:val="0"/>
      <w:marRight w:val="0"/>
      <w:marTop w:val="0"/>
      <w:marBottom w:val="0"/>
      <w:divBdr>
        <w:top w:val="none" w:sz="0" w:space="0" w:color="auto"/>
        <w:left w:val="none" w:sz="0" w:space="0" w:color="auto"/>
        <w:bottom w:val="none" w:sz="0" w:space="0" w:color="auto"/>
        <w:right w:val="none" w:sz="0" w:space="0" w:color="auto"/>
      </w:divBdr>
    </w:div>
    <w:div w:id="1631010431">
      <w:bodyDiv w:val="1"/>
      <w:marLeft w:val="0"/>
      <w:marRight w:val="0"/>
      <w:marTop w:val="0"/>
      <w:marBottom w:val="0"/>
      <w:divBdr>
        <w:top w:val="none" w:sz="0" w:space="0" w:color="auto"/>
        <w:left w:val="none" w:sz="0" w:space="0" w:color="auto"/>
        <w:bottom w:val="none" w:sz="0" w:space="0" w:color="auto"/>
        <w:right w:val="none" w:sz="0" w:space="0" w:color="auto"/>
      </w:divBdr>
    </w:div>
    <w:div w:id="1641492764">
      <w:bodyDiv w:val="1"/>
      <w:marLeft w:val="0"/>
      <w:marRight w:val="0"/>
      <w:marTop w:val="0"/>
      <w:marBottom w:val="0"/>
      <w:divBdr>
        <w:top w:val="none" w:sz="0" w:space="0" w:color="auto"/>
        <w:left w:val="none" w:sz="0" w:space="0" w:color="auto"/>
        <w:bottom w:val="none" w:sz="0" w:space="0" w:color="auto"/>
        <w:right w:val="none" w:sz="0" w:space="0" w:color="auto"/>
      </w:divBdr>
    </w:div>
    <w:div w:id="1876653342">
      <w:bodyDiv w:val="1"/>
      <w:marLeft w:val="0"/>
      <w:marRight w:val="0"/>
      <w:marTop w:val="0"/>
      <w:marBottom w:val="0"/>
      <w:divBdr>
        <w:top w:val="none" w:sz="0" w:space="0" w:color="auto"/>
        <w:left w:val="none" w:sz="0" w:space="0" w:color="auto"/>
        <w:bottom w:val="none" w:sz="0" w:space="0" w:color="auto"/>
        <w:right w:val="none" w:sz="0" w:space="0" w:color="auto"/>
      </w:divBdr>
    </w:div>
    <w:div w:id="1921256169">
      <w:bodyDiv w:val="1"/>
      <w:marLeft w:val="0"/>
      <w:marRight w:val="0"/>
      <w:marTop w:val="0"/>
      <w:marBottom w:val="0"/>
      <w:divBdr>
        <w:top w:val="none" w:sz="0" w:space="0" w:color="auto"/>
        <w:left w:val="none" w:sz="0" w:space="0" w:color="auto"/>
        <w:bottom w:val="none" w:sz="0" w:space="0" w:color="auto"/>
        <w:right w:val="none" w:sz="0" w:space="0" w:color="auto"/>
      </w:divBdr>
    </w:div>
    <w:div w:id="1946376186">
      <w:bodyDiv w:val="1"/>
      <w:marLeft w:val="0"/>
      <w:marRight w:val="0"/>
      <w:marTop w:val="0"/>
      <w:marBottom w:val="0"/>
      <w:divBdr>
        <w:top w:val="none" w:sz="0" w:space="0" w:color="auto"/>
        <w:left w:val="none" w:sz="0" w:space="0" w:color="auto"/>
        <w:bottom w:val="none" w:sz="0" w:space="0" w:color="auto"/>
        <w:right w:val="none" w:sz="0" w:space="0" w:color="auto"/>
      </w:divBdr>
    </w:div>
    <w:div w:id="1954050801">
      <w:bodyDiv w:val="1"/>
      <w:marLeft w:val="0"/>
      <w:marRight w:val="0"/>
      <w:marTop w:val="0"/>
      <w:marBottom w:val="0"/>
      <w:divBdr>
        <w:top w:val="none" w:sz="0" w:space="0" w:color="auto"/>
        <w:left w:val="none" w:sz="0" w:space="0" w:color="auto"/>
        <w:bottom w:val="none" w:sz="0" w:space="0" w:color="auto"/>
        <w:right w:val="none" w:sz="0" w:space="0" w:color="auto"/>
      </w:divBdr>
    </w:div>
    <w:div w:id="1984117302">
      <w:bodyDiv w:val="1"/>
      <w:marLeft w:val="0"/>
      <w:marRight w:val="0"/>
      <w:marTop w:val="0"/>
      <w:marBottom w:val="0"/>
      <w:divBdr>
        <w:top w:val="none" w:sz="0" w:space="0" w:color="auto"/>
        <w:left w:val="none" w:sz="0" w:space="0" w:color="auto"/>
        <w:bottom w:val="none" w:sz="0" w:space="0" w:color="auto"/>
        <w:right w:val="none" w:sz="0" w:space="0" w:color="auto"/>
      </w:divBdr>
    </w:div>
    <w:div w:id="2059938933">
      <w:bodyDiv w:val="1"/>
      <w:marLeft w:val="0"/>
      <w:marRight w:val="0"/>
      <w:marTop w:val="0"/>
      <w:marBottom w:val="0"/>
      <w:divBdr>
        <w:top w:val="none" w:sz="0" w:space="0" w:color="auto"/>
        <w:left w:val="none" w:sz="0" w:space="0" w:color="auto"/>
        <w:bottom w:val="none" w:sz="0" w:space="0" w:color="auto"/>
        <w:right w:val="none" w:sz="0" w:space="0" w:color="auto"/>
      </w:divBdr>
    </w:div>
    <w:div w:id="2092854020">
      <w:bodyDiv w:val="1"/>
      <w:marLeft w:val="0"/>
      <w:marRight w:val="0"/>
      <w:marTop w:val="0"/>
      <w:marBottom w:val="0"/>
      <w:divBdr>
        <w:top w:val="none" w:sz="0" w:space="0" w:color="auto"/>
        <w:left w:val="none" w:sz="0" w:space="0" w:color="auto"/>
        <w:bottom w:val="none" w:sz="0" w:space="0" w:color="auto"/>
        <w:right w:val="none" w:sz="0" w:space="0" w:color="auto"/>
      </w:divBdr>
    </w:div>
    <w:div w:id="214519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footer" Target="footer1.xml"/><Relationship Id="rId26" Type="http://schemas.openxmlformats.org/officeDocument/2006/relationships/chart" Target="charts/chart15.xml"/><Relationship Id="rId39" Type="http://schemas.openxmlformats.org/officeDocument/2006/relationships/chart" Target="charts/chart27.xml"/><Relationship Id="rId21" Type="http://schemas.openxmlformats.org/officeDocument/2006/relationships/chart" Target="charts/chart10.xml"/><Relationship Id="rId34" Type="http://schemas.openxmlformats.org/officeDocument/2006/relationships/chart" Target="charts/chart22.xml"/><Relationship Id="rId42" Type="http://schemas.openxmlformats.org/officeDocument/2006/relationships/chart" Target="charts/chart30.xml"/><Relationship Id="rId47" Type="http://schemas.openxmlformats.org/officeDocument/2006/relationships/chart" Target="charts/chart35.xml"/><Relationship Id="rId50" Type="http://schemas.openxmlformats.org/officeDocument/2006/relationships/chart" Target="charts/chart3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8.xml"/><Relationship Id="rId29" Type="http://schemas.openxmlformats.org/officeDocument/2006/relationships/chart" Target="charts/chart18.xml"/><Relationship Id="rId11" Type="http://schemas.openxmlformats.org/officeDocument/2006/relationships/chart" Target="charts/chart3.xml"/><Relationship Id="rId24" Type="http://schemas.openxmlformats.org/officeDocument/2006/relationships/chart" Target="charts/chart13.xml"/><Relationship Id="rId32" Type="http://schemas.openxmlformats.org/officeDocument/2006/relationships/footer" Target="footer2.xml"/><Relationship Id="rId37" Type="http://schemas.openxmlformats.org/officeDocument/2006/relationships/chart" Target="charts/chart25.xml"/><Relationship Id="rId40" Type="http://schemas.openxmlformats.org/officeDocument/2006/relationships/chart" Target="charts/chart28.xml"/><Relationship Id="rId45" Type="http://schemas.openxmlformats.org/officeDocument/2006/relationships/chart" Target="charts/chart33.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chart" Target="charts/chart2.xml"/><Relationship Id="rId19" Type="http://schemas.openxmlformats.org/officeDocument/2006/relationships/header" Target="header1.xml"/><Relationship Id="rId31" Type="http://schemas.openxmlformats.org/officeDocument/2006/relationships/chart" Target="charts/chart20.xml"/><Relationship Id="rId44" Type="http://schemas.openxmlformats.org/officeDocument/2006/relationships/chart" Target="charts/chart32.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3.xml"/><Relationship Id="rId43" Type="http://schemas.openxmlformats.org/officeDocument/2006/relationships/chart" Target="charts/chart31.xml"/><Relationship Id="rId48" Type="http://schemas.openxmlformats.org/officeDocument/2006/relationships/chart" Target="charts/chart36.xml"/><Relationship Id="rId8" Type="http://schemas.openxmlformats.org/officeDocument/2006/relationships/image" Target="media/image1.jpeg"/><Relationship Id="rId51" Type="http://schemas.openxmlformats.org/officeDocument/2006/relationships/chart" Target="charts/chart39.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4.xml"/><Relationship Id="rId33" Type="http://schemas.openxmlformats.org/officeDocument/2006/relationships/chart" Target="charts/chart21.xml"/><Relationship Id="rId38" Type="http://schemas.openxmlformats.org/officeDocument/2006/relationships/chart" Target="charts/chart26.xml"/><Relationship Id="rId46" Type="http://schemas.openxmlformats.org/officeDocument/2006/relationships/chart" Target="charts/chart34.xml"/><Relationship Id="rId20" Type="http://schemas.openxmlformats.org/officeDocument/2006/relationships/hyperlink" Target="https://eur-lex.europa.eu/legal-content/EN/TXT/?uri=uriserv%3AOJ.C_.2021.508.01.0001.01.ENG&amp;toc=OJ%3AC%3A2021%3A508%3ATOC" TargetMode="External"/><Relationship Id="rId41" Type="http://schemas.openxmlformats.org/officeDocument/2006/relationships/chart" Target="charts/chart2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4.xml"/><Relationship Id="rId49" Type="http://schemas.openxmlformats.org/officeDocument/2006/relationships/chart" Target="charts/chart37.xml"/></Relationships>
</file>

<file path=word/_rels/footnotes.xml.rels><?xml version="1.0" encoding="UTF-8" standalone="yes"?>
<Relationships xmlns="http://schemas.openxmlformats.org/package/2006/relationships"><Relationship Id="rId13" Type="http://schemas.openxmlformats.org/officeDocument/2006/relationships/hyperlink" Target="https://www.startuplithuania.com/startup/" TargetMode="External"/><Relationship Id="rId18" Type="http://schemas.openxmlformats.org/officeDocument/2006/relationships/hyperlink" Target="https://map.startuplithuania.lt/companies/f/locations/anyof_Vilnius_Vilnius%20proc.20County_Vilnyus_Vilniaus%20proc.20apskritis/tags/anyof_startuplithuania" TargetMode="External"/><Relationship Id="rId26" Type="http://schemas.openxmlformats.org/officeDocument/2006/relationships/hyperlink" Target="https://www.nma.lt/index.php/parama/lietuvos-kaimo-pletros-20142020-m-programa/statistika/9156" TargetMode="External"/><Relationship Id="rId39" Type="http://schemas.openxmlformats.org/officeDocument/2006/relationships/hyperlink" Target="https://ec.europa.eu/regional_policy/index.cfm/en/information/publications/reports/2014/ex-ante-assessment-methodology-for-financial-instruments-in-the-2014-2020-programming-period-general-methodology-covering-all-thematic-objectives-volume-i" TargetMode="External"/><Relationship Id="rId21" Type="http://schemas.openxmlformats.org/officeDocument/2006/relationships/hyperlink" Target="https://am.lrv.lt/lt/veiklos-sritys-1/klimato-kaita/nacionalinis-energetikos-ir-klimato-srities-veiksmu-planas-2021-2030-m" TargetMode="External"/><Relationship Id="rId34" Type="http://schemas.openxmlformats.org/officeDocument/2006/relationships/hyperlink" Target="https://ecipe.org/publications/comparing-economic-growth-between-eu-and-us-states/" TargetMode="External"/><Relationship Id="rId42" Type="http://schemas.openxmlformats.org/officeDocument/2006/relationships/hyperlink" Target="https://www.esinvesticijos.lt/lt/dokumentai/verslo-finansavimo-2014-2020-metu-europos-sajungos-strukturiniu-fondu-lesomis-isankstinis-vertinimas" TargetMode="External"/><Relationship Id="rId47" Type="http://schemas.openxmlformats.org/officeDocument/2006/relationships/hyperlink" Target="http://lvpa.lt/lt/naujienos/smart-fdi-3-paraiskose-prasoma-lesu-suma-dvigubai-virsijo-numatytaja-kvietime-1308" TargetMode="External"/><Relationship Id="rId50" Type="http://schemas.openxmlformats.org/officeDocument/2006/relationships/hyperlink" Target="https://investlithuania.com/wp-content/uploads/2019/04/LEZ-Lietuvoje.pdf" TargetMode="External"/><Relationship Id="rId55" Type="http://schemas.openxmlformats.org/officeDocument/2006/relationships/hyperlink" Target="https://www.esinvesticijos.lt/lt/dokumentai//veiksmu-programos-3-prioriteto-smulkiojo-ir-vidutinio-verslo-konkurencingumo-skatinimas-poveikio-vertinimas" TargetMode="External"/><Relationship Id="rId7" Type="http://schemas.openxmlformats.org/officeDocument/2006/relationships/hyperlink" Target="https://lrv.lt/lt/aktuali-informacija/xvii-vyriausybe/strateginis-valdymas/2021-2030-m-nacionalinis-pazangos-planas" TargetMode="External"/><Relationship Id="rId2" Type="http://schemas.openxmlformats.org/officeDocument/2006/relationships/hyperlink" Target="https://e-seimas.lrs.lt/portal/legalAct/lt/TAD/TAIS.168206/KFUoBosREr" TargetMode="External"/><Relationship Id="rId16" Type="http://schemas.openxmlformats.org/officeDocument/2006/relationships/hyperlink" Target="https://www.startuplithuania.com/ecosystem/" TargetMode="External"/><Relationship Id="rId29" Type="http://schemas.openxmlformats.org/officeDocument/2006/relationships/hyperlink" Target="https://eimin.lrv.lt/uploads/eimin/documents/files/Kelrodis%20%25.20LT%20%25.20v2.pdf" TargetMode="External"/><Relationship Id="rId11" Type="http://schemas.openxmlformats.org/officeDocument/2006/relationships/hyperlink" Target="https://esinvesticijos.lt/lt//pasirengimas-2021-2027/2021-2027-m-es-fondu-investiciju-programos-rengimas" TargetMode="External"/><Relationship Id="rId24" Type="http://schemas.openxmlformats.org/officeDocument/2006/relationships/hyperlink" Target="https://osp.stat.gov.lt/informaciniai-pranesimai?articleId=6841561" TargetMode="External"/><Relationship Id="rId32" Type="http://schemas.openxmlformats.org/officeDocument/2006/relationships/hyperlink" Target="https://www.esinvesticijos.lt/" TargetMode="External"/><Relationship Id="rId37" Type="http://schemas.openxmlformats.org/officeDocument/2006/relationships/hyperlink" Target="https://www.lb.lt/uploads/publications/docs/22494_41fcbd52cafaddeb5a15d1d2a6d92063.pdf" TargetMode="External"/><Relationship Id="rId40" Type="http://schemas.openxmlformats.org/officeDocument/2006/relationships/hyperlink" Target="https://www.esinvesticijos.lt/lt/dokumentai/verslo-finansavimo-2014-2020-metu-europos-sajungos-strukturiniu-fondu-lesomis-isankstinis-vertinimas" TargetMode="External"/><Relationship Id="rId45" Type="http://schemas.openxmlformats.org/officeDocument/2006/relationships/hyperlink" Target="https://osp.stat.gov.lt/spaudos-konferencija/2020-01-30/verslas/imones" TargetMode="External"/><Relationship Id="rId53" Type="http://schemas.openxmlformats.org/officeDocument/2006/relationships/hyperlink" Target="https://www.esinvesticijos.lt/lt/dokumentai//veiksmu-programos-3-prioriteto-smulkiojo-ir-vidutinio-verslo-konkurencingumo-skatinimas-poveikio-vertinimas" TargetMode="External"/><Relationship Id="rId58" Type="http://schemas.openxmlformats.org/officeDocument/2006/relationships/hyperlink" Target="https://www.lb.lt/lt/naujienos/indeliu-ir-paskolu-palukanu-normu-palyginimas-lietuva-ir-euro-zona" TargetMode="External"/><Relationship Id="rId5" Type="http://schemas.openxmlformats.org/officeDocument/2006/relationships/hyperlink" Target="https://esinvesticijos.lt/lt/pasirengimas-2021-2027/2021-2027-m-es-fondu-investiciju-programos-rengimas" TargetMode="External"/><Relationship Id="rId61" Type="http://schemas.openxmlformats.org/officeDocument/2006/relationships/hyperlink" Target="https://finmin.lrv.lt/uploads/finmin/documents/files/Naujos%20kartos%20Lietuva%20planas.pdf" TargetMode="External"/><Relationship Id="rId19" Type="http://schemas.openxmlformats.org/officeDocument/2006/relationships/hyperlink" Target="https://investlithuania.com/news/vilnius-ranked-as-nr-1-city-in-tech-startups-fdi-attraction-index/" TargetMode="External"/><Relationship Id="rId14" Type="http://schemas.openxmlformats.org/officeDocument/2006/relationships/hyperlink" Target="https://www.startuplithuania.com/ecosystem/" TargetMode="External"/><Relationship Id="rId22" Type="http://schemas.openxmlformats.org/officeDocument/2006/relationships/hyperlink" Target="https://finmin.lrv.lt/uploads/finmin/documents/files/LT_ver/DNR%20plano%20dokumentai/KONCEPCIJOS/Koncepcija.docx" TargetMode="External"/><Relationship Id="rId27" Type="http://schemas.openxmlformats.org/officeDocument/2006/relationships/hyperlink" Target="https://eimin.lrv.lt/uploads/eimin/documents/files/Kelrodis%20%25.20LT%20%25.20v2.pdf" TargetMode="External"/><Relationship Id="rId30" Type="http://schemas.openxmlformats.org/officeDocument/2006/relationships/hyperlink" Target="https://ec.europa.eu/commission/publications/connecting-europe-facility-digital-europe-and-space-programmes_lt" TargetMode="External"/><Relationship Id="rId35" Type="http://schemas.openxmlformats.org/officeDocument/2006/relationships/hyperlink" Target="https://www.lb.lt/uploads/documents/files/LB_20210323_ekonomikos_apzvalga_banku_sektorius(1).pdf" TargetMode="External"/><Relationship Id="rId43" Type="http://schemas.openxmlformats.org/officeDocument/2006/relationships/hyperlink" Target="https://www.esinvesticijos.lt/lt/dokumentai/verslo-finansavimo-2014-2020-metu-europos-sajungos-strukturiniu-fondu-lesomis-isankstinis-vertinimas" TargetMode="External"/><Relationship Id="rId48" Type="http://schemas.openxmlformats.org/officeDocument/2006/relationships/hyperlink" Target="https://www.esinvesticijos.lt/media/force_download/?url=/uploads/main/documents/docs/108660_3696cd442a5717ad8b91f0c040f62b98.pdf" TargetMode="External"/><Relationship Id="rId56" Type="http://schemas.openxmlformats.org/officeDocument/2006/relationships/hyperlink" Target="https://ec.europa.eu/social/main.jsp?catId=738&amp;langId=en&amp;pubId=8205" TargetMode="External"/><Relationship Id="rId8" Type="http://schemas.openxmlformats.org/officeDocument/2006/relationships/hyperlink" Target="https://lrv.lt/uploads/main/documents/files/NECP%2012_31.pdf" TargetMode="External"/><Relationship Id="rId51" Type="http://schemas.openxmlformats.org/officeDocument/2006/relationships/hyperlink" Target="http://lvpa.lt/lt/naujienos/lietuva-ant-ekorevoliucijos-slenkscio.-kada-ji-perzengsime-1168" TargetMode="External"/><Relationship Id="rId3" Type="http://schemas.openxmlformats.org/officeDocument/2006/relationships/hyperlink" Target="https://www.esinvesticijos.lt/lt/pasirengimas-2021-2027/2021-2027-m-es-sanglaudos-politikos-reglamentu-projektai-ir-gaires" TargetMode="External"/><Relationship Id="rId12" Type="http://schemas.openxmlformats.org/officeDocument/2006/relationships/hyperlink" Target="https://vrm.lrv.lt/lt/naujienos/pritarta-sostines-regiono-ir-vidurio-ir-vakaru-lietuvos-regiono-sudarymui" TargetMode="External"/><Relationship Id="rId17" Type="http://schemas.openxmlformats.org/officeDocument/2006/relationships/hyperlink" Target="https://www.eib.org/attachments/efs/economic_investment_report_2019_en.pdf" TargetMode="External"/><Relationship Id="rId25" Type="http://schemas.openxmlformats.org/officeDocument/2006/relationships/hyperlink" Target="https://zum.lrv.lt/lt/veiklos-sritys/lietuvos-kaimo-pletros-2014-2020-m-programa" TargetMode="External"/><Relationship Id="rId33" Type="http://schemas.openxmlformats.org/officeDocument/2006/relationships/hyperlink" Target="https://www.esinvesticijos.lt/" TargetMode="External"/><Relationship Id="rId38" Type="http://schemas.openxmlformats.org/officeDocument/2006/relationships/hyperlink" Target="https://www.lb.lt/uploads/publications/docs/26708_6f80bba121eac85e285dd7424a1824d3.pdf" TargetMode="External"/><Relationship Id="rId46" Type="http://schemas.openxmlformats.org/officeDocument/2006/relationships/hyperlink" Target="https://zum.lrv.lt/lt/veiklos-sritys/lietuvos-kaimo-pletros-2014-2020-m-programa" TargetMode="External"/><Relationship Id="rId59" Type="http://schemas.openxmlformats.org/officeDocument/2006/relationships/hyperlink" Target="https://investlithuania.com/wp-content/uploads/2019/07/Veiklos-ataskaita-2018.pdf" TargetMode="External"/><Relationship Id="rId20" Type="http://schemas.openxmlformats.org/officeDocument/2006/relationships/hyperlink" Target="https://ec.Europa.eu/docsroom/documents/42981/attachments/1/translations/en/renditions/native" TargetMode="External"/><Relationship Id="rId41" Type="http://schemas.openxmlformats.org/officeDocument/2006/relationships/hyperlink" Target="https://www.esinvesticijos.lt/lt/dokumentai/verslo-finansavimo-2014-2020-metu-europos-sajungos-strukturiniu-fondu-lesomis-isankstinis-vertinimas" TargetMode="External"/><Relationship Id="rId54" Type="http://schemas.openxmlformats.org/officeDocument/2006/relationships/hyperlink" Target="http://lvpa.lt/lt/naujienos/es-lesos-verslo-skaitmeninimui-rekomenduojama-skirti-60-mln.-euru-1280" TargetMode="External"/><Relationship Id="rId1" Type="http://schemas.openxmlformats.org/officeDocument/2006/relationships/hyperlink" Target="https://esinvesticijos.lt/lt//pasirengimas-2021-2027/2021-2027-m-es-sanglaudos-politikos-reglamentu-projektai-ir-gaires" TargetMode="External"/><Relationship Id="rId6" Type="http://schemas.openxmlformats.org/officeDocument/2006/relationships/hyperlink" Target="https://e-seimas.lrs.lt/portal/legalAct/lt/TAD/TAIS.425517" TargetMode="External"/><Relationship Id="rId15" Type="http://schemas.openxmlformats.org/officeDocument/2006/relationships/hyperlink" Target="https://www.vz.lt/paslaugos/2020/02/17/apklausa-startuoliai-palankiai-vertina-lietuvos-ekosistema-bet-stokoja-finansavimo" TargetMode="External"/><Relationship Id="rId23" Type="http://schemas.openxmlformats.org/officeDocument/2006/relationships/hyperlink" Target="https://investlithuania.com/wp-content/uploads/2017/09/TUI-projektai-regione-2016_Investuok-Lietuvoje.pdf" TargetMode="External"/><Relationship Id="rId28" Type="http://schemas.openxmlformats.org/officeDocument/2006/relationships/hyperlink" Target="https://www.lrs.lt/sip/getFile?guid=f113a7fa-64e7-478d-b483-b55075a19ae0" TargetMode="External"/><Relationship Id="rId36" Type="http://schemas.openxmlformats.org/officeDocument/2006/relationships/hyperlink" Target="https://www.lb.lt/lt/naujienos/kreditavimas-ir-finansines-paslaugos-lietuvoje" TargetMode="External"/><Relationship Id="rId49" Type="http://schemas.openxmlformats.org/officeDocument/2006/relationships/hyperlink" Target="https://osp.stat.gov.lt/statistiniu-rodikliu-analize?hash=284c5ff9-f0a6-484f-8f36-0fe5c3375fff" TargetMode="External"/><Relationship Id="rId57" Type="http://schemas.openxmlformats.org/officeDocument/2006/relationships/hyperlink" Target="https://www.lb.lt/lt/konsultacijos/smulkiojo-ir-vidutinio-verslo-finansavimo-galimybiu-tyrimas" TargetMode="External"/><Relationship Id="rId10" Type="http://schemas.openxmlformats.org/officeDocument/2006/relationships/hyperlink" Target="https://esinvesticijos.lt/lt//pasirengimas-2021-2027/2021-2027-m-es-sanglaudos-politikos-reglamentu-projektai-ir-gaires" TargetMode="External"/><Relationship Id="rId31" Type="http://schemas.openxmlformats.org/officeDocument/2006/relationships/hyperlink" Target="https://www.lietuva2030.lt/lt" TargetMode="External"/><Relationship Id="rId44" Type="http://schemas.openxmlformats.org/officeDocument/2006/relationships/hyperlink" Target="https://www.vz.lt/paslaugos/2020/02/17/apklausa&#8211;startuoliai&#8211;palankiai&#8211;vertina&#8211;lietuvos&#8211;ekosistema&#8211;bet&#8211;stokoja&#8211;finansavimo" TargetMode="External"/><Relationship Id="rId52" Type="http://schemas.openxmlformats.org/officeDocument/2006/relationships/hyperlink" Target="https://am.lrv.lt/lt/veiklos-sritys-1/klimato-kaita/nacionalinis-energetikos-ir-klimato-srities-veiksmu-planas-2021-2030-m" TargetMode="External"/><Relationship Id="rId60" Type="http://schemas.openxmlformats.org/officeDocument/2006/relationships/hyperlink" Target="https://eimin.lrv.lt/lt/veiklos-sritys/inovaciju-veiklos-sritis/parama-inovaciju-pletrai/mokestines-lengvatos-investicijoms" TargetMode="External"/><Relationship Id="rId4" Type="http://schemas.openxmlformats.org/officeDocument/2006/relationships/hyperlink" Target="https://eur-lex.europa.eu/legal-content/LT/TXT/HTML/?uri=CELEX:52019DC0640&amp;from=EN" TargetMode="External"/><Relationship Id="rId9" Type="http://schemas.openxmlformats.org/officeDocument/2006/relationships/hyperlink" Target="https://ec.europa.eu/commission/publications/connecting-europe-facility-digital-europe-and-space-programmes_l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V:\Shared%20drives\LT%20Consulting\Clients\Finans&#371;%20ministerija\2020\Ex%20ante%20vertinimai\Delivery\Verslo%20ex-ante\verslo%20finansavimo%20duomenys_lenteles_1109.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klatysovic001\Downloads\Apklausos%20duomeny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Klausimynai\Duomenys_Norstat\Analize_MV&#302;\Analiz&#279;_MV&#3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Klausimynai\Duomenys_Norstat\Analize_MV&#302;\Analiz&#279;_MV&#3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Klausimynai\Duomenys_Norstat\Analize_MV&#302;\Analiz&#279;_MV&#3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Klausimynai\Duomenys_Norstat\Analize_MV&#302;\Analiz&#279;_MV&#3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Klausimynai\Duomenys_Norstat\Analize_MV&#302;\Analiz&#279;_MV&#3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Gytis\BGI%20Dropbox\002%20&#302;gyvendinami%20projektai\42%20FM%20Investicij&#371;%20administravimo%20konsultacijos\26_ex%20ante\Klausimynai\Duomenys_Norstat\Analize_MV&#302;\Analiz&#279;_MV&#302;.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Gytis\BGI%20Dropbox\002%20&#302;gyvendinami%20projektai\42%20FM%20Investicij&#371;%20administravimo%20konsultacijos\26_ex%20ante\GO\Analiz&#279;.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Gytis\BGI%20Dropbox\002%20&#302;gyvendinami%20projektai\42%20FM%20Investicij&#371;%20administravimo%20konsultacijos\26_ex%20ante\GO\Analiz&#279;.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Gytis\BGI%20Dropbox\002%20&#302;gyvendinami%20projektai\42%20FM%20Investicij&#371;%20administravimo%20konsultacijos\26_ex%20ante\GO\Analiz&#27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V:\Shared%20drives\LT%20Consulting\Clients\Finans&#371;%20ministerija\2020\Ex%20ante%20vertinimai\Delivery\Verslo%20ex-ante\verslo%20finansavimo%20duomenys_lenteles_110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Gytis\BGI%20Dropbox\002%20&#302;gyvendinami%20projektai\42%20FM%20Investicij&#371;%20administravimo%20konsultacijos\26_ex%20ante\GO\Analiz&#279;.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Klausimynai\Duomenys_Norstat\Analize_D&#302;\Analiz&#279;_D&#302;.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Klausimynai\Duomenys_Norstat\Analize_D&#302;\Analiz&#279;_D&#302;.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Klausimynai\Duomenys_Norstat\Analize_D&#302;\Analiz&#279;_D&#302;.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Gytis\BGI%20Dropbox\002%20&#302;gyvendinami%20projektai\42%20FM%20Investicij&#371;%20administravimo%20konsultacijos\26_ex%20ante\Klausimynai\Duomenys_Norstat\Analize_D&#302;\Analiz&#279;_D&#302;.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Klausimynai\Duomenys_Norstat\Analize_D&#302;\Analiz&#279;_D&#302;.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Gytis\BGI%20Dropbox\002%20&#302;gyvendinami%20projektai\42%20FM%20Investicij&#371;%20administravimo%20konsultacijos\26_ex%20ante\GO\Analiz&#279;_D&#302;_GO.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Gytis\BGI%20Dropbox\002%20&#302;gyvendinami%20projektai\42%20FM%20Investicij&#371;%20administravimo%20konsultacijos\26_ex%20ante\GO\Analiz&#279;_D&#302;_GO.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Gytis\BGI%20Dropbox\002%20&#302;gyvendinami%20projektai\42%20FM%20Investicij&#371;%20administravimo%20konsultacijos\26_ex%20ante\GO\Analiz&#279;_D&#302;_GO.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Gytis\BGI%20Dropbox\002%20&#302;gyvendinami%20projektai\42%20FM%20Investicij&#371;%20administravimo%20konsultacijos\26_ex%20ante\GO\Analiz&#279;_D&#302;_G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V:\Shared%20drives\LT%20Consulting\Clients\Finans&#371;%20ministerija\2020\Ex%20ante%20vertinimai\Delivery\Finansavimo%20duomenys\verslo%20finansavimo%20duomenys_lenteles_1020.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GP\LPK%20analizei.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GP\LPK%20analizei.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GP\LPK%20analizei.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GP\LPK%20analizei.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GP\LPK%20analizei.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GP\LPK%20analizei.xlsx" TargetMode="External"/></Relationships>
</file>

<file path=word/charts/_rels/chart36.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37.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GP\LPK%20analizei.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GP\LPK%20analizei.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GP\LPK%20analize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V:\Shared%20drives\LT%20Consulting\Clients\Finans&#371;%20ministerija\2020\Ex%20ante%20vertinimai\Delivery\Verslo%20ex-ante\Finansavimo%20poreikis_prad&#279;tas%20rengt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V:\Shared%20drives\LT%20Consulting\Clients\Finans&#371;%20ministerija\2020\Ex%20ante%20vertinimai\Delivery\1.%20Verslo%20ex-ante\Finansavimo%20poreikis_050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V:\Shared%20drives\LT%20Consulting\Clients\Finans&#371;%20ministerija\2020\Ex%20ante%20vertinimai\Delivery\Finansavimo%20duomenys\verslo%20finansavimo%20duomenys_lenteles_1020.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V:\Shared%20drives\LT%20Consulting\Clients\Finans&#371;%20ministerija\2020\Ex%20ante%20vertinimai\Delivery\Verslo%20ex-ante\verslo%20finansavimo%20duomenys_lenteles_110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ggrigalevi001\AppData\Roaming\Microsoft\Excel\Book1%20(version%201).xlsb"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ggrigalevi001\AppData\Roaming\Microsoft\Excel\Book1%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622285049939228"/>
          <c:y val="9.9471128237472992E-2"/>
          <c:w val="0.29798294403635789"/>
          <c:h val="0.80429248636589556"/>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EF8-4301-B340-E361B70EDDF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EF8-4301-B340-E361B70EDDF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EF8-4301-B340-E361B70EDDF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EF8-4301-B340-E361B70EDDF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EF8-4301-B340-E361B70EDDF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EF8-4301-B340-E361B70EDDF9}"/>
              </c:ext>
            </c:extLst>
          </c:dPt>
          <c:dLbls>
            <c:dLbl>
              <c:idx val="4"/>
              <c:layout>
                <c:manualLayout>
                  <c:x val="-4.7115282988955239E-2"/>
                  <c:y val="5.270219371460537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EF8-4301-B340-E361B70EDDF9}"/>
                </c:ext>
              </c:extLst>
            </c:dLbl>
            <c:dLbl>
              <c:idx val="5"/>
              <c:layout>
                <c:manualLayout>
                  <c:x val="-1.9133735604918992E-2"/>
                  <c:y val="0"/>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EF8-4301-B340-E361B70EDDF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'Siūlomos analizuoti_1008'!$Z$2:$Z$7</c:f>
              <c:strCache>
                <c:ptCount val="6"/>
                <c:pt idx="0">
                  <c:v>Rizikos kapitalas</c:v>
                </c:pt>
                <c:pt idx="1">
                  <c:v>Paskola</c:v>
                </c:pt>
                <c:pt idx="2">
                  <c:v>Garantija</c:v>
                </c:pt>
                <c:pt idx="3">
                  <c:v>Negrąžinamoji subsidija</c:v>
                </c:pt>
                <c:pt idx="4">
                  <c:v>Grąžinamoji subsidija</c:v>
                </c:pt>
                <c:pt idx="5">
                  <c:v>Palūkanų kompensavimas</c:v>
                </c:pt>
              </c:strCache>
            </c:strRef>
          </c:cat>
          <c:val>
            <c:numRef>
              <c:f>'Siūlomos analizuoti_1008'!$AB$2:$AB$7</c:f>
              <c:numCache>
                <c:formatCode>0.00%</c:formatCode>
                <c:ptCount val="6"/>
                <c:pt idx="0">
                  <c:v>8.2432508901921817E-2</c:v>
                </c:pt>
                <c:pt idx="1">
                  <c:v>0.14140602674293973</c:v>
                </c:pt>
                <c:pt idx="2">
                  <c:v>0.25933020784653649</c:v>
                </c:pt>
                <c:pt idx="3">
                  <c:v>0.47276971113481342</c:v>
                </c:pt>
                <c:pt idx="4">
                  <c:v>2.128722739810561E-2</c:v>
                </c:pt>
                <c:pt idx="5">
                  <c:v>2.2774317975682933E-2</c:v>
                </c:pt>
              </c:numCache>
            </c:numRef>
          </c:val>
          <c:extLst>
            <c:ext xmlns:c16="http://schemas.microsoft.com/office/drawing/2014/chart" uri="{C3380CC4-5D6E-409C-BE32-E72D297353CC}">
              <c16:uniqueId val="{0000000C-3EF8-4301-B340-E361B70EDDF9}"/>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E-3EF8-4301-B340-E361B70EDDF9}"/>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'Siūlomos analizuoti_1008'!$Z$2:$Z$7</c:f>
              <c:strCache>
                <c:ptCount val="6"/>
                <c:pt idx="0">
                  <c:v>Rizikos kapitalas</c:v>
                </c:pt>
                <c:pt idx="1">
                  <c:v>Paskola</c:v>
                </c:pt>
                <c:pt idx="2">
                  <c:v>Garantija</c:v>
                </c:pt>
                <c:pt idx="3">
                  <c:v>Negrąžinamoji subsidija</c:v>
                </c:pt>
                <c:pt idx="4">
                  <c:v>Grąžinamoji subsidija</c:v>
                </c:pt>
                <c:pt idx="5">
                  <c:v>Palūkanų kompensavimas</c:v>
                </c:pt>
              </c:strCache>
            </c:strRef>
          </c:cat>
          <c:val>
            <c:numRef>
              <c:f>'Siūlomos analizuoti_1008'!$AF$4</c:f>
              <c:numCache>
                <c:formatCode>#,##0</c:formatCode>
                <c:ptCount val="1"/>
                <c:pt idx="0">
                  <c:v>321890287</c:v>
                </c:pt>
              </c:numCache>
            </c:numRef>
          </c:val>
          <c:extLst>
            <c:ext xmlns:c16="http://schemas.microsoft.com/office/drawing/2014/chart" uri="{C3380CC4-5D6E-409C-BE32-E72D297353CC}">
              <c16:uniqueId val="{0000000F-3EF8-4301-B340-E361B70EDDF9}"/>
            </c:ext>
          </c:extLst>
        </c:ser>
        <c:ser>
          <c:idx val="2"/>
          <c:order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11-3EF8-4301-B340-E361B70EDDF9}"/>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'Siūlomos analizuoti_1008'!$Z$2:$Z$7</c:f>
              <c:strCache>
                <c:ptCount val="6"/>
                <c:pt idx="0">
                  <c:v>Rizikos kapitalas</c:v>
                </c:pt>
                <c:pt idx="1">
                  <c:v>Paskola</c:v>
                </c:pt>
                <c:pt idx="2">
                  <c:v>Garantija</c:v>
                </c:pt>
                <c:pt idx="3">
                  <c:v>Negrąžinamoji subsidija</c:v>
                </c:pt>
                <c:pt idx="4">
                  <c:v>Grąžinamoji subsidija</c:v>
                </c:pt>
                <c:pt idx="5">
                  <c:v>Palūkanų kompensavimas</c:v>
                </c:pt>
              </c:strCache>
            </c:strRef>
          </c:cat>
          <c:val>
            <c:numRef>
              <c:f>'Siūlomos analizuoti_1008'!$AG$4</c:f>
              <c:numCache>
                <c:formatCode>0.00%</c:formatCode>
                <c:ptCount val="1"/>
                <c:pt idx="0">
                  <c:v>0.40663721670404723</c:v>
                </c:pt>
              </c:numCache>
            </c:numRef>
          </c:val>
          <c:extLst>
            <c:ext xmlns:c16="http://schemas.microsoft.com/office/drawing/2014/chart" uri="{C3380CC4-5D6E-409C-BE32-E72D297353CC}">
              <c16:uniqueId val="{00000012-3EF8-4301-B340-E361B70EDDF9}"/>
            </c:ext>
          </c:extLst>
        </c:ser>
        <c:ser>
          <c:idx val="3"/>
          <c:order val="3"/>
          <c:dPt>
            <c:idx val="0"/>
            <c:bubble3D val="0"/>
            <c:spPr>
              <a:solidFill>
                <a:schemeClr val="accent1"/>
              </a:solidFill>
              <a:ln w="19050">
                <a:solidFill>
                  <a:schemeClr val="lt1"/>
                </a:solidFill>
              </a:ln>
              <a:effectLst/>
            </c:spPr>
            <c:extLst>
              <c:ext xmlns:c16="http://schemas.microsoft.com/office/drawing/2014/chart" uri="{C3380CC4-5D6E-409C-BE32-E72D297353CC}">
                <c16:uniqueId val="{00000014-3EF8-4301-B340-E361B70EDDF9}"/>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'Siūlomos analizuoti_1008'!$Z$2:$Z$7</c:f>
              <c:strCache>
                <c:ptCount val="6"/>
                <c:pt idx="0">
                  <c:v>Rizikos kapitalas</c:v>
                </c:pt>
                <c:pt idx="1">
                  <c:v>Paskola</c:v>
                </c:pt>
                <c:pt idx="2">
                  <c:v>Garantija</c:v>
                </c:pt>
                <c:pt idx="3">
                  <c:v>Negrąžinamoji subsidija</c:v>
                </c:pt>
                <c:pt idx="4">
                  <c:v>Grąžinamoji subsidija</c:v>
                </c:pt>
                <c:pt idx="5">
                  <c:v>Palūkanų kompensavimas</c:v>
                </c:pt>
              </c:strCache>
            </c:strRef>
          </c:cat>
          <c:val>
            <c:numRef>
              <c:f>'Siūlomos analizuoti_1008'!$AH$5</c:f>
              <c:numCache>
                <c:formatCode>0.00%</c:formatCode>
                <c:ptCount val="1"/>
              </c:numCache>
            </c:numRef>
          </c:val>
          <c:extLst>
            <c:ext xmlns:c16="http://schemas.microsoft.com/office/drawing/2014/chart" uri="{C3380CC4-5D6E-409C-BE32-E72D297353CC}">
              <c16:uniqueId val="{00000015-3EF8-4301-B340-E361B70EDDF9}"/>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58103267188078012"/>
          <c:y val="0.16281583539674296"/>
          <c:w val="0.33270045050996144"/>
          <c:h val="0.6129001918915244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397293230629964"/>
          <c:y val="5.6311539611164564E-2"/>
          <c:w val="0.32725942659549739"/>
          <c:h val="0.87550284394001876"/>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96B-4833-8919-553417699B2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96B-4833-8919-553417699B2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96B-4833-8919-553417699B2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96B-4833-8919-553417699B2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96B-4833-8919-553417699B2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96B-4833-8919-553417699B2C}"/>
              </c:ext>
            </c:extLst>
          </c:dPt>
          <c:dLbls>
            <c:spPr>
              <a:noFill/>
              <a:ln>
                <a:noFill/>
              </a:ln>
              <a:effectLst/>
            </c:spPr>
            <c:txPr>
              <a:bodyPr rot="0" vert="horz"/>
              <a:lstStyle/>
              <a:p>
                <a:pPr>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Sheet1!$G$63:$G$68</c:f>
              <c:strCache>
                <c:ptCount val="6"/>
                <c:pt idx="0">
                  <c:v>&lt; 25 000</c:v>
                </c:pt>
                <c:pt idx="1">
                  <c:v>25 001 - 50 000</c:v>
                </c:pt>
                <c:pt idx="2">
                  <c:v>50 001 - 150 000</c:v>
                </c:pt>
                <c:pt idx="3">
                  <c:v>150 001 - 300 000</c:v>
                </c:pt>
                <c:pt idx="4">
                  <c:v>300 001 - 1 500 000</c:v>
                </c:pt>
                <c:pt idx="5">
                  <c:v>&gt; 1 500 000</c:v>
                </c:pt>
              </c:strCache>
            </c:strRef>
          </c:cat>
          <c:val>
            <c:numRef>
              <c:f>Sheet1!$H$63:$H$68</c:f>
              <c:numCache>
                <c:formatCode>0%</c:formatCode>
                <c:ptCount val="6"/>
                <c:pt idx="0">
                  <c:v>0.18846153846153846</c:v>
                </c:pt>
                <c:pt idx="1">
                  <c:v>0.17692307692307693</c:v>
                </c:pt>
                <c:pt idx="2">
                  <c:v>0.22692307692307692</c:v>
                </c:pt>
                <c:pt idx="3">
                  <c:v>0.16153846153846155</c:v>
                </c:pt>
                <c:pt idx="4">
                  <c:v>0.16923076923076924</c:v>
                </c:pt>
                <c:pt idx="5">
                  <c:v>7.6923076923076927E-2</c:v>
                </c:pt>
              </c:numCache>
            </c:numRef>
          </c:val>
          <c:extLst>
            <c:ext xmlns:c16="http://schemas.microsoft.com/office/drawing/2014/chart" uri="{C3380CC4-5D6E-409C-BE32-E72D297353CC}">
              <c16:uniqueId val="{0000000C-C96B-4833-8919-553417699B2C}"/>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75297773174521"/>
          <c:y val="0.10402602417839914"/>
          <c:w val="0.21708812291783056"/>
          <c:h val="0.75896421683639004"/>
        </c:manualLayout>
      </c:layout>
      <c:overlay val="0"/>
      <c:spPr>
        <a:noFill/>
        <a:ln>
          <a:noFill/>
        </a:ln>
        <a:effectLst/>
      </c:spPr>
      <c:txPr>
        <a:bodyPr rot="0" vert="horz"/>
        <a:lstStyle/>
        <a:p>
          <a:pPr>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A2B7-4978-9CBB-74681EBA81B5}"/>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A2B7-4978-9CBB-74681EBA81B5}"/>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A2B7-4978-9CBB-74681EBA81B5}"/>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A2B7-4978-9CBB-74681EBA81B5}"/>
              </c:ext>
            </c:extLst>
          </c:dPt>
          <c:dLbls>
            <c:dLbl>
              <c:idx val="3"/>
              <c:delete val="1"/>
              <c:extLst>
                <c:ext xmlns:c15="http://schemas.microsoft.com/office/drawing/2012/chart" uri="{CE6537A1-D6FC-4f65-9D91-7224C49458BB}"/>
                <c:ext xmlns:c16="http://schemas.microsoft.com/office/drawing/2014/chart" uri="{C3380CC4-5D6E-409C-BE32-E72D297353CC}">
                  <c16:uniqueId val="{00000007-A2B7-4978-9CBB-74681EBA81B5}"/>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'Demografinis pasiskirstymas'!$D$24:$D$27</c:f>
              <c:strCache>
                <c:ptCount val="4"/>
                <c:pt idx="0">
                  <c:v>Darbuotojų skaičius 1–9</c:v>
                </c:pt>
                <c:pt idx="1">
                  <c:v>Darbuotojų skaičius 10–49</c:v>
                </c:pt>
                <c:pt idx="2">
                  <c:v>Darbuotojų skaičius 50–249</c:v>
                </c:pt>
                <c:pt idx="3">
                  <c:v>Darbuotojų skaičius 250 ir daugiau</c:v>
                </c:pt>
              </c:strCache>
            </c:strRef>
          </c:cat>
          <c:val>
            <c:numRef>
              <c:f>'Demografinis pasiskirstymas'!$E$24:$E$27</c:f>
              <c:numCache>
                <c:formatCode>General</c:formatCode>
                <c:ptCount val="4"/>
                <c:pt idx="0">
                  <c:v>209</c:v>
                </c:pt>
                <c:pt idx="1">
                  <c:v>68</c:v>
                </c:pt>
                <c:pt idx="2">
                  <c:v>23</c:v>
                </c:pt>
                <c:pt idx="3">
                  <c:v>0</c:v>
                </c:pt>
              </c:numCache>
            </c:numRef>
          </c:val>
          <c:extLst>
            <c:ext xmlns:c16="http://schemas.microsoft.com/office/drawing/2014/chart" uri="{C3380CC4-5D6E-409C-BE32-E72D297353CC}">
              <c16:uniqueId val="{00000000-AFC0-4C1C-B281-E6798B604130}"/>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EBF2-4E4F-B6A5-5BDCD5D2344D}"/>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EBF2-4E4F-B6A5-5BDCD5D2344D}"/>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'Demografinis pasiskirstymas'!$G$28:$G$29</c:f>
              <c:strCache>
                <c:ptCount val="2"/>
                <c:pt idx="0">
                  <c:v>Sostinės regionas</c:v>
                </c:pt>
                <c:pt idx="1">
                  <c:v>Vidurio ir Vakarų Lietuvos regionas</c:v>
                </c:pt>
              </c:strCache>
            </c:strRef>
          </c:cat>
          <c:val>
            <c:numRef>
              <c:f>'Demografinis pasiskirstymas'!$H$28:$H$29</c:f>
              <c:numCache>
                <c:formatCode>General</c:formatCode>
                <c:ptCount val="2"/>
                <c:pt idx="0">
                  <c:v>93</c:v>
                </c:pt>
                <c:pt idx="1">
                  <c:v>207</c:v>
                </c:pt>
              </c:numCache>
            </c:numRef>
          </c:val>
          <c:extLst>
            <c:ext xmlns:c16="http://schemas.microsoft.com/office/drawing/2014/chart" uri="{C3380CC4-5D6E-409C-BE32-E72D297353CC}">
              <c16:uniqueId val="{00000000-FD19-4B31-9F37-CB223B95E6D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C86F-4F47-8DDD-446A88126C6B}"/>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C86F-4F47-8DDD-446A88126C6B}"/>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C86F-4F47-8DDD-446A88126C6B}"/>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C86F-4F47-8DDD-446A88126C6B}"/>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'Demografinis pasiskirstymas'!$D$38:$D$41</c:f>
              <c:strCache>
                <c:ptCount val="4"/>
                <c:pt idx="0">
                  <c:v>Iki 1 metų</c:v>
                </c:pt>
                <c:pt idx="1">
                  <c:v>Nuo 1 iki 3 metų</c:v>
                </c:pt>
                <c:pt idx="2">
                  <c:v>Nuo 3 iki 5 metų</c:v>
                </c:pt>
                <c:pt idx="3">
                  <c:v>Ilgiau nei 5 metus</c:v>
                </c:pt>
              </c:strCache>
            </c:strRef>
          </c:cat>
          <c:val>
            <c:numRef>
              <c:f>'Demografinis pasiskirstymas'!$E$38:$E$41</c:f>
              <c:numCache>
                <c:formatCode>General</c:formatCode>
                <c:ptCount val="4"/>
                <c:pt idx="0">
                  <c:v>13</c:v>
                </c:pt>
                <c:pt idx="1">
                  <c:v>47</c:v>
                </c:pt>
                <c:pt idx="2">
                  <c:v>50</c:v>
                </c:pt>
                <c:pt idx="3">
                  <c:v>190</c:v>
                </c:pt>
              </c:numCache>
            </c:numRef>
          </c:val>
          <c:extLst>
            <c:ext xmlns:c16="http://schemas.microsoft.com/office/drawing/2014/chart" uri="{C3380CC4-5D6E-409C-BE32-E72D297353CC}">
              <c16:uniqueId val="{00000000-9183-4A50-8FE8-00136D7C0941}"/>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'Reali paklausa_grafikai'!$M$8</c:f>
              <c:strCache>
                <c:ptCount val="1"/>
                <c:pt idx="0">
                  <c:v>Taip</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paklausa_grafikai'!$N$7:$P$7</c:f>
              <c:strCache>
                <c:ptCount val="3"/>
                <c:pt idx="0">
                  <c:v>Sostinės regionas</c:v>
                </c:pt>
                <c:pt idx="1">
                  <c:v>Vidurio ir Vakarų Lietuvos regionas</c:v>
                </c:pt>
                <c:pt idx="2">
                  <c:v>Visa Lietuva</c:v>
                </c:pt>
              </c:strCache>
            </c:strRef>
          </c:cat>
          <c:val>
            <c:numRef>
              <c:f>'Reali paklausa_grafikai'!$N$8:$P$8</c:f>
              <c:numCache>
                <c:formatCode>0%</c:formatCode>
                <c:ptCount val="3"/>
                <c:pt idx="0">
                  <c:v>0.44</c:v>
                </c:pt>
                <c:pt idx="1">
                  <c:v>0.35</c:v>
                </c:pt>
                <c:pt idx="2">
                  <c:v>0.38</c:v>
                </c:pt>
              </c:numCache>
            </c:numRef>
          </c:val>
          <c:extLst>
            <c:ext xmlns:c16="http://schemas.microsoft.com/office/drawing/2014/chart" uri="{C3380CC4-5D6E-409C-BE32-E72D297353CC}">
              <c16:uniqueId val="{00000000-301E-462A-8850-D35AD7390FE5}"/>
            </c:ext>
          </c:extLst>
        </c:ser>
        <c:ser>
          <c:idx val="1"/>
          <c:order val="1"/>
          <c:tx>
            <c:strRef>
              <c:f>'Reali paklausa_grafikai'!$M$9</c:f>
              <c:strCache>
                <c:ptCount val="1"/>
                <c:pt idx="0">
                  <c:v>Ne </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paklausa_grafikai'!$N$7:$P$7</c:f>
              <c:strCache>
                <c:ptCount val="3"/>
                <c:pt idx="0">
                  <c:v>Sostinės regionas</c:v>
                </c:pt>
                <c:pt idx="1">
                  <c:v>Vidurio ir Vakarų Lietuvos regionas</c:v>
                </c:pt>
                <c:pt idx="2">
                  <c:v>Visa Lietuva</c:v>
                </c:pt>
              </c:strCache>
            </c:strRef>
          </c:cat>
          <c:val>
            <c:numRef>
              <c:f>'Reali paklausa_grafikai'!$N$9:$P$9</c:f>
              <c:numCache>
                <c:formatCode>0%</c:formatCode>
                <c:ptCount val="3"/>
                <c:pt idx="0">
                  <c:v>0.52</c:v>
                </c:pt>
                <c:pt idx="1">
                  <c:v>0.63</c:v>
                </c:pt>
                <c:pt idx="2">
                  <c:v>0.6</c:v>
                </c:pt>
              </c:numCache>
            </c:numRef>
          </c:val>
          <c:extLst>
            <c:ext xmlns:c16="http://schemas.microsoft.com/office/drawing/2014/chart" uri="{C3380CC4-5D6E-409C-BE32-E72D297353CC}">
              <c16:uniqueId val="{00000001-301E-462A-8850-D35AD7390FE5}"/>
            </c:ext>
          </c:extLst>
        </c:ser>
        <c:ser>
          <c:idx val="2"/>
          <c:order val="2"/>
          <c:tx>
            <c:strRef>
              <c:f>'Reali paklausa_grafikai'!$M$10</c:f>
              <c:strCache>
                <c:ptCount val="1"/>
                <c:pt idx="0">
                  <c:v>Nežinau / negaliu / nenoriu atsakyti</c:v>
                </c:pt>
              </c:strCache>
            </c:strRef>
          </c:tx>
          <c:spPr>
            <a:solidFill>
              <a:schemeClr val="accent4"/>
            </a:solidFill>
            <a:ln>
              <a:noFill/>
            </a:ln>
            <a:effectLst/>
          </c:spPr>
          <c:invertIfNegative val="0"/>
          <c:dLbls>
            <c:dLbl>
              <c:idx val="0"/>
              <c:layout>
                <c:manualLayout>
                  <c:x val="-8.2764328574384434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1E-462A-8850-D35AD7390FE5}"/>
                </c:ext>
              </c:extLst>
            </c:dLbl>
            <c:dLbl>
              <c:idx val="1"/>
              <c:layout>
                <c:manualLayout>
                  <c:x val="-1.4483757500517277E-2"/>
                  <c:y val="4.6342572162661245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1E-462A-8850-D35AD7390FE5}"/>
                </c:ext>
              </c:extLst>
            </c:dLbl>
            <c:dLbl>
              <c:idx val="2"/>
              <c:layout>
                <c:manualLayout>
                  <c:x val="-1.4483757500517277E-2"/>
                  <c:y val="5.0556117290192111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01E-462A-8850-D35AD7390FE5}"/>
                </c:ext>
              </c:extLst>
            </c:dLbl>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paklausa_grafikai'!$N$7:$P$7</c:f>
              <c:strCache>
                <c:ptCount val="3"/>
                <c:pt idx="0">
                  <c:v>Sostinės regionas</c:v>
                </c:pt>
                <c:pt idx="1">
                  <c:v>Vidurio ir Vakarų Lietuvos regionas</c:v>
                </c:pt>
                <c:pt idx="2">
                  <c:v>Visa Lietuva</c:v>
                </c:pt>
              </c:strCache>
            </c:strRef>
          </c:cat>
          <c:val>
            <c:numRef>
              <c:f>'Reali paklausa_grafikai'!$N$10:$P$10</c:f>
              <c:numCache>
                <c:formatCode>0%</c:formatCode>
                <c:ptCount val="3"/>
                <c:pt idx="0">
                  <c:v>0.04</c:v>
                </c:pt>
                <c:pt idx="1">
                  <c:v>0.01</c:v>
                </c:pt>
                <c:pt idx="2">
                  <c:v>0.02</c:v>
                </c:pt>
              </c:numCache>
            </c:numRef>
          </c:val>
          <c:extLst>
            <c:ext xmlns:c16="http://schemas.microsoft.com/office/drawing/2014/chart" uri="{C3380CC4-5D6E-409C-BE32-E72D297353CC}">
              <c16:uniqueId val="{00000005-301E-462A-8850-D35AD7390FE5}"/>
            </c:ext>
          </c:extLst>
        </c:ser>
        <c:dLbls>
          <c:dLblPos val="ctr"/>
          <c:showLegendKey val="0"/>
          <c:showVal val="1"/>
          <c:showCatName val="0"/>
          <c:showSerName val="0"/>
          <c:showPercent val="0"/>
          <c:showBubbleSize val="0"/>
        </c:dLbls>
        <c:gapWidth val="150"/>
        <c:overlap val="100"/>
        <c:axId val="276673536"/>
        <c:axId val="345076800"/>
      </c:barChart>
      <c:catAx>
        <c:axId val="276673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45076800"/>
        <c:crosses val="autoZero"/>
        <c:auto val="1"/>
        <c:lblAlgn val="ctr"/>
        <c:lblOffset val="100"/>
        <c:noMultiLvlLbl val="0"/>
      </c:catAx>
      <c:valAx>
        <c:axId val="345076800"/>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76673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315646667514579"/>
          <c:y val="3.9747064137308039E-2"/>
          <c:w val="0.66261935319759036"/>
          <c:h val="0.38305102106139177"/>
        </c:manualLayout>
      </c:layout>
      <c:barChart>
        <c:barDir val="bar"/>
        <c:grouping val="percentStacked"/>
        <c:varyColors val="0"/>
        <c:ser>
          <c:idx val="0"/>
          <c:order val="0"/>
          <c:tx>
            <c:strRef>
              <c:f>'Reali paklausa_grafikai'!$H$58</c:f>
              <c:strCache>
                <c:ptCount val="1"/>
                <c:pt idx="0">
                  <c:v>Veiklos skaitmenizavimas, diegiant gamybos procesuose IT technologijas ir pan.</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paklausa_grafikai'!$I$58:$K$58</c:f>
              <c:numCache>
                <c:formatCode>0%</c:formatCode>
                <c:ptCount val="3"/>
                <c:pt idx="0">
                  <c:v>0.13492063492063491</c:v>
                </c:pt>
                <c:pt idx="1">
                  <c:v>0.15311004784688995</c:v>
                </c:pt>
                <c:pt idx="2">
                  <c:v>0.14626865671641792</c:v>
                </c:pt>
              </c:numCache>
            </c:numRef>
          </c:val>
          <c:extLst>
            <c:ext xmlns:c16="http://schemas.microsoft.com/office/drawing/2014/chart" uri="{C3380CC4-5D6E-409C-BE32-E72D297353CC}">
              <c16:uniqueId val="{00000000-7052-43DE-887B-5BF20CD549F6}"/>
            </c:ext>
          </c:extLst>
        </c:ser>
        <c:ser>
          <c:idx val="1"/>
          <c:order val="1"/>
          <c:tx>
            <c:strRef>
              <c:f>'Reali paklausa_grafikai'!$H$59</c:f>
              <c:strCache>
                <c:ptCount val="1"/>
                <c:pt idx="0">
                  <c:v>Gamybos modernizavimas, atnaujinant nusidėvėjusius įrenginius ir infrastruktūrą</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paklausa_grafikai'!$I$59:$K$59</c:f>
              <c:numCache>
                <c:formatCode>0%</c:formatCode>
                <c:ptCount val="3"/>
                <c:pt idx="0">
                  <c:v>0.26984126984126983</c:v>
                </c:pt>
                <c:pt idx="1">
                  <c:v>0.28708133971291866</c:v>
                </c:pt>
                <c:pt idx="2">
                  <c:v>0.28059701492537314</c:v>
                </c:pt>
              </c:numCache>
            </c:numRef>
          </c:val>
          <c:extLst>
            <c:ext xmlns:c16="http://schemas.microsoft.com/office/drawing/2014/chart" uri="{C3380CC4-5D6E-409C-BE32-E72D297353CC}">
              <c16:uniqueId val="{00000001-7052-43DE-887B-5BF20CD549F6}"/>
            </c:ext>
          </c:extLst>
        </c:ser>
        <c:ser>
          <c:idx val="2"/>
          <c:order val="2"/>
          <c:tx>
            <c:strRef>
              <c:f>'Reali paklausa_grafikai'!$H$60</c:f>
              <c:strCache>
                <c:ptCount val="1"/>
                <c:pt idx="0">
                  <c:v>Gamybos modernizavimas, diegiant pažangias technologijas gamybos procesuose</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paklausa_grafikai'!$I$60:$K$60</c:f>
              <c:numCache>
                <c:formatCode>0%</c:formatCode>
                <c:ptCount val="3"/>
                <c:pt idx="0">
                  <c:v>0.19047619047619047</c:v>
                </c:pt>
                <c:pt idx="1">
                  <c:v>0.20574162679425836</c:v>
                </c:pt>
                <c:pt idx="2">
                  <c:v>0.2</c:v>
                </c:pt>
              </c:numCache>
            </c:numRef>
          </c:val>
          <c:extLst>
            <c:ext xmlns:c16="http://schemas.microsoft.com/office/drawing/2014/chart" uri="{C3380CC4-5D6E-409C-BE32-E72D297353CC}">
              <c16:uniqueId val="{00000002-7052-43DE-887B-5BF20CD549F6}"/>
            </c:ext>
          </c:extLst>
        </c:ser>
        <c:ser>
          <c:idx val="3"/>
          <c:order val="3"/>
          <c:tx>
            <c:strRef>
              <c:f>'Reali paklausa_grafikai'!$H$61</c:f>
              <c:strCache>
                <c:ptCount val="1"/>
                <c:pt idx="0">
                  <c:v>Perėjimas link neutralios klimatui ekonomikos, diegiant aplinkosaugines inovacijas ir / ar sprendimus</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paklausa_grafikai'!$I$61:$K$61</c:f>
              <c:numCache>
                <c:formatCode>0%</c:formatCode>
                <c:ptCount val="3"/>
                <c:pt idx="0">
                  <c:v>0.10317460317460317</c:v>
                </c:pt>
                <c:pt idx="1">
                  <c:v>0.11004784688995216</c:v>
                </c:pt>
                <c:pt idx="2">
                  <c:v>0.10746268656716418</c:v>
                </c:pt>
              </c:numCache>
            </c:numRef>
          </c:val>
          <c:extLst>
            <c:ext xmlns:c16="http://schemas.microsoft.com/office/drawing/2014/chart" uri="{C3380CC4-5D6E-409C-BE32-E72D297353CC}">
              <c16:uniqueId val="{00000003-7052-43DE-887B-5BF20CD549F6}"/>
            </c:ext>
          </c:extLst>
        </c:ser>
        <c:ser>
          <c:idx val="4"/>
          <c:order val="4"/>
          <c:tx>
            <c:strRef>
              <c:f>'Reali paklausa_grafikai'!$H$62</c:f>
              <c:strCache>
                <c:ptCount val="1"/>
                <c:pt idx="0">
                  <c:v>Energetinių sąnaudų mažinimas, investuojant į energijos taupymo sprendimus, atsinaujinančius energijos išteklius</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paklausa_grafikai'!$I$62:$K$62</c:f>
              <c:numCache>
                <c:formatCode>0%</c:formatCode>
                <c:ptCount val="3"/>
                <c:pt idx="0">
                  <c:v>0.11904761904761904</c:v>
                </c:pt>
                <c:pt idx="1">
                  <c:v>0.17224880382775121</c:v>
                </c:pt>
                <c:pt idx="2">
                  <c:v>0.15223880597014924</c:v>
                </c:pt>
              </c:numCache>
            </c:numRef>
          </c:val>
          <c:extLst>
            <c:ext xmlns:c16="http://schemas.microsoft.com/office/drawing/2014/chart" uri="{C3380CC4-5D6E-409C-BE32-E72D297353CC}">
              <c16:uniqueId val="{00000004-7052-43DE-887B-5BF20CD549F6}"/>
            </c:ext>
          </c:extLst>
        </c:ser>
        <c:ser>
          <c:idx val="5"/>
          <c:order val="5"/>
          <c:tx>
            <c:strRef>
              <c:f>'Reali paklausa_grafikai'!$H$63</c:f>
              <c:strCache>
                <c:ptCount val="1"/>
                <c:pt idx="0">
                  <c:v>MTEP veiklų įgyvendinimas ir rezultatų taikymas savo įmonėje</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paklausa_grafikai'!$I$63:$K$63</c:f>
              <c:numCache>
                <c:formatCode>0%</c:formatCode>
                <c:ptCount val="3"/>
                <c:pt idx="0">
                  <c:v>0.10317460317460317</c:v>
                </c:pt>
                <c:pt idx="1">
                  <c:v>5.2631578947368418E-2</c:v>
                </c:pt>
                <c:pt idx="2">
                  <c:v>7.1641791044776124E-2</c:v>
                </c:pt>
              </c:numCache>
            </c:numRef>
          </c:val>
          <c:extLst>
            <c:ext xmlns:c16="http://schemas.microsoft.com/office/drawing/2014/chart" uri="{C3380CC4-5D6E-409C-BE32-E72D297353CC}">
              <c16:uniqueId val="{00000005-7052-43DE-887B-5BF20CD549F6}"/>
            </c:ext>
          </c:extLst>
        </c:ser>
        <c:ser>
          <c:idx val="6"/>
          <c:order val="6"/>
          <c:tx>
            <c:strRef>
              <c:f>'Reali paklausa_grafikai'!$H$64</c:f>
              <c:strCache>
                <c:ptCount val="1"/>
                <c:pt idx="0">
                  <c:v>MTEP veiklų įgyvendinimas ir rezultatų pardavimas kitiems</c:v>
                </c:pt>
              </c:strCache>
            </c:strRef>
          </c:tx>
          <c:spPr>
            <a:solidFill>
              <a:schemeClr val="accent6">
                <a:lumMod val="80000"/>
                <a:lumOff val="2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paklausa_grafikai'!$I$64:$K$64</c:f>
              <c:numCache>
                <c:formatCode>0%</c:formatCode>
                <c:ptCount val="3"/>
                <c:pt idx="0">
                  <c:v>7.9365079365079361E-2</c:v>
                </c:pt>
                <c:pt idx="1">
                  <c:v>1.9138755980861243E-2</c:v>
                </c:pt>
                <c:pt idx="2">
                  <c:v>4.1791044776119404E-2</c:v>
                </c:pt>
              </c:numCache>
            </c:numRef>
          </c:val>
          <c:extLst>
            <c:ext xmlns:c16="http://schemas.microsoft.com/office/drawing/2014/chart" uri="{C3380CC4-5D6E-409C-BE32-E72D297353CC}">
              <c16:uniqueId val="{00000006-7052-43DE-887B-5BF20CD549F6}"/>
            </c:ext>
          </c:extLst>
        </c:ser>
        <c:dLbls>
          <c:dLblPos val="ctr"/>
          <c:showLegendKey val="0"/>
          <c:showVal val="1"/>
          <c:showCatName val="0"/>
          <c:showSerName val="0"/>
          <c:showPercent val="0"/>
          <c:showBubbleSize val="0"/>
        </c:dLbls>
        <c:gapWidth val="150"/>
        <c:overlap val="100"/>
        <c:axId val="276675072"/>
        <c:axId val="345078528"/>
      </c:barChart>
      <c:catAx>
        <c:axId val="2766750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45078528"/>
        <c:crosses val="autoZero"/>
        <c:auto val="1"/>
        <c:lblAlgn val="ctr"/>
        <c:lblOffset val="100"/>
        <c:noMultiLvlLbl val="0"/>
      </c:catAx>
      <c:valAx>
        <c:axId val="34507852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76675072"/>
        <c:crosses val="autoZero"/>
        <c:crossBetween val="between"/>
      </c:valAx>
      <c:spPr>
        <a:noFill/>
        <a:ln>
          <a:noFill/>
        </a:ln>
        <a:effectLst/>
      </c:spPr>
    </c:plotArea>
    <c:legend>
      <c:legendPos val="b"/>
      <c:layout>
        <c:manualLayout>
          <c:xMode val="edge"/>
          <c:yMode val="edge"/>
          <c:x val="6.9157505939372629E-2"/>
          <c:y val="0.51222897950764279"/>
          <c:w val="0.85052736249378524"/>
          <c:h val="0.48777102049235721"/>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363932319926382"/>
          <c:y val="3.9426523297491037E-2"/>
          <c:w val="0.61679066577537789"/>
          <c:h val="0.40842378573646038"/>
        </c:manualLayout>
      </c:layout>
      <c:barChart>
        <c:barDir val="bar"/>
        <c:grouping val="percentStacked"/>
        <c:varyColors val="0"/>
        <c:ser>
          <c:idx val="0"/>
          <c:order val="0"/>
          <c:tx>
            <c:strRef>
              <c:f>'Reali paklausa_grafikai'!$I$25</c:f>
              <c:strCache>
                <c:ptCount val="1"/>
                <c:pt idx="0">
                  <c:v>Investicijas į mašinas ir įrenginius</c:v>
                </c:pt>
              </c:strCache>
              <c:extLst/>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paklausa_grafikai'!$K$25:$M$25</c:f>
              <c:numCache>
                <c:formatCode>0%</c:formatCode>
                <c:ptCount val="3"/>
                <c:pt idx="0">
                  <c:v>0.31531531531531531</c:v>
                </c:pt>
                <c:pt idx="1">
                  <c:v>0.30476190476190479</c:v>
                </c:pt>
                <c:pt idx="2">
                  <c:v>0.30841121495327101</c:v>
                </c:pt>
              </c:numCache>
            </c:numRef>
          </c:val>
          <c:extLst>
            <c:ext xmlns:c16="http://schemas.microsoft.com/office/drawing/2014/chart" uri="{C3380CC4-5D6E-409C-BE32-E72D297353CC}">
              <c16:uniqueId val="{00000000-9E8E-4A01-B292-D0085B317EA9}"/>
            </c:ext>
          </c:extLst>
        </c:ser>
        <c:ser>
          <c:idx val="1"/>
          <c:order val="1"/>
          <c:tx>
            <c:strRef>
              <c:f>'Reali paklausa_grafikai'!$I$26</c:f>
              <c:strCache>
                <c:ptCount val="1"/>
                <c:pt idx="0">
                  <c:v>Investicijas į žemę, pastatus ir infrastruktūrą</c:v>
                </c:pt>
              </c:strCache>
              <c:extLst/>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paklausa_grafikai'!$K$26:$M$26</c:f>
              <c:numCache>
                <c:formatCode>0%</c:formatCode>
                <c:ptCount val="3"/>
                <c:pt idx="0">
                  <c:v>9.0090090090090086E-2</c:v>
                </c:pt>
                <c:pt idx="1">
                  <c:v>0.18095238095238095</c:v>
                </c:pt>
                <c:pt idx="2">
                  <c:v>0.14953271028037382</c:v>
                </c:pt>
              </c:numCache>
            </c:numRef>
          </c:val>
          <c:extLst>
            <c:ext xmlns:c16="http://schemas.microsoft.com/office/drawing/2014/chart" uri="{C3380CC4-5D6E-409C-BE32-E72D297353CC}">
              <c16:uniqueId val="{00000001-9E8E-4A01-B292-D0085B317EA9}"/>
            </c:ext>
          </c:extLst>
        </c:ser>
        <c:ser>
          <c:idx val="2"/>
          <c:order val="2"/>
          <c:tx>
            <c:strRef>
              <c:f>'Reali paklausa_grafikai'!$I$27</c:f>
              <c:strCache>
                <c:ptCount val="1"/>
                <c:pt idx="0">
                  <c:v>Investicijas į mokslinius tyrimus ir eksperimentinę plėtrą</c:v>
                </c:pt>
              </c:strCache>
              <c:extLst/>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paklausa_grafikai'!$K$27:$M$27</c:f>
              <c:numCache>
                <c:formatCode>0%</c:formatCode>
                <c:ptCount val="3"/>
                <c:pt idx="0">
                  <c:v>9.90990990990991E-2</c:v>
                </c:pt>
                <c:pt idx="1">
                  <c:v>4.2857142857142858E-2</c:v>
                </c:pt>
                <c:pt idx="2" formatCode="0.0%">
                  <c:v>6.2305295950155763E-2</c:v>
                </c:pt>
              </c:numCache>
            </c:numRef>
          </c:val>
          <c:extLst>
            <c:ext xmlns:c16="http://schemas.microsoft.com/office/drawing/2014/chart" uri="{C3380CC4-5D6E-409C-BE32-E72D297353CC}">
              <c16:uniqueId val="{00000002-9E8E-4A01-B292-D0085B317EA9}"/>
            </c:ext>
          </c:extLst>
        </c:ser>
        <c:ser>
          <c:idx val="3"/>
          <c:order val="3"/>
          <c:tx>
            <c:strRef>
              <c:f>'Reali paklausa_grafikai'!$I$28</c:f>
              <c:strCache>
                <c:ptCount val="1"/>
                <c:pt idx="0">
                  <c:v>Investicijas į nematerialųjį turtą (programinė įranga, intelektinė nuosavybė, licenzijos ir t.t.)</c:v>
                </c:pt>
              </c:strCache>
              <c:extLst/>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paklausa_grafikai'!$K$28:$M$28</c:f>
              <c:numCache>
                <c:formatCode>0%</c:formatCode>
                <c:ptCount val="3"/>
                <c:pt idx="0">
                  <c:v>0.16216216216216217</c:v>
                </c:pt>
                <c:pt idx="1">
                  <c:v>0.11428571428571428</c:v>
                </c:pt>
                <c:pt idx="2">
                  <c:v>0.13084112149532709</c:v>
                </c:pt>
              </c:numCache>
            </c:numRef>
          </c:val>
          <c:extLst>
            <c:ext xmlns:c16="http://schemas.microsoft.com/office/drawing/2014/chart" uri="{C3380CC4-5D6E-409C-BE32-E72D297353CC}">
              <c16:uniqueId val="{00000003-9E8E-4A01-B292-D0085B317EA9}"/>
            </c:ext>
          </c:extLst>
        </c:ser>
        <c:ser>
          <c:idx val="4"/>
          <c:order val="4"/>
          <c:tx>
            <c:strRef>
              <c:f>'Reali paklausa_grafikai'!$I$29</c:f>
              <c:strCache>
                <c:ptCount val="1"/>
                <c:pt idx="0">
                  <c:v>Investicijas į žmogiškąjį kapitalą (darbuotojų kvalifikacijos kėlimą, naujų darbuotojų parengimą ir t.t)</c:v>
                </c:pt>
              </c:strCache>
              <c:extLst/>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paklausa_grafikai'!$K$29:$M$29</c:f>
              <c:numCache>
                <c:formatCode>0%</c:formatCode>
                <c:ptCount val="3"/>
                <c:pt idx="0">
                  <c:v>0.1891891891891892</c:v>
                </c:pt>
                <c:pt idx="1">
                  <c:v>0.16666666666666666</c:v>
                </c:pt>
                <c:pt idx="2">
                  <c:v>0.17445482866043613</c:v>
                </c:pt>
              </c:numCache>
            </c:numRef>
          </c:val>
          <c:extLst>
            <c:ext xmlns:c16="http://schemas.microsoft.com/office/drawing/2014/chart" uri="{C3380CC4-5D6E-409C-BE32-E72D297353CC}">
              <c16:uniqueId val="{00000004-9E8E-4A01-B292-D0085B317EA9}"/>
            </c:ext>
          </c:extLst>
        </c:ser>
        <c:ser>
          <c:idx val="5"/>
          <c:order val="5"/>
          <c:tx>
            <c:strRef>
              <c:f>'Reali paklausa_grafikai'!$I$30</c:f>
              <c:strCache>
                <c:ptCount val="1"/>
                <c:pt idx="0">
                  <c:v>Investicijas į pažangios gamybos technologijas</c:v>
                </c:pt>
              </c:strCache>
              <c:extLst/>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paklausa_grafikai'!$K$30:$M$30</c:f>
              <c:numCache>
                <c:formatCode>0%</c:formatCode>
                <c:ptCount val="3"/>
                <c:pt idx="0">
                  <c:v>0.14414414414414414</c:v>
                </c:pt>
                <c:pt idx="1">
                  <c:v>0.19047619047619047</c:v>
                </c:pt>
                <c:pt idx="2">
                  <c:v>0.17445482866043613</c:v>
                </c:pt>
              </c:numCache>
            </c:numRef>
          </c:val>
          <c:extLst>
            <c:ext xmlns:c16="http://schemas.microsoft.com/office/drawing/2014/chart" uri="{C3380CC4-5D6E-409C-BE32-E72D297353CC}">
              <c16:uniqueId val="{00000005-9E8E-4A01-B292-D0085B317EA9}"/>
            </c:ext>
          </c:extLst>
        </c:ser>
        <c:dLbls>
          <c:dLblPos val="ctr"/>
          <c:showLegendKey val="0"/>
          <c:showVal val="1"/>
          <c:showCatName val="0"/>
          <c:showSerName val="0"/>
          <c:showPercent val="0"/>
          <c:showBubbleSize val="0"/>
        </c:dLbls>
        <c:gapWidth val="150"/>
        <c:overlap val="100"/>
        <c:axId val="367370752"/>
        <c:axId val="367239744"/>
      </c:barChart>
      <c:catAx>
        <c:axId val="3673707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67239744"/>
        <c:crosses val="autoZero"/>
        <c:auto val="1"/>
        <c:lblAlgn val="ctr"/>
        <c:lblOffset val="100"/>
        <c:noMultiLvlLbl val="0"/>
      </c:catAx>
      <c:valAx>
        <c:axId val="3672397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67370752"/>
        <c:crosses val="autoZero"/>
        <c:crossBetween val="between"/>
      </c:valAx>
      <c:spPr>
        <a:noFill/>
        <a:ln>
          <a:noFill/>
        </a:ln>
        <a:effectLst/>
      </c:spPr>
    </c:plotArea>
    <c:legend>
      <c:legendPos val="b"/>
      <c:layout>
        <c:manualLayout>
          <c:xMode val="edge"/>
          <c:yMode val="edge"/>
          <c:x val="2.8085320646936779E-2"/>
          <c:y val="0.52222306889058223"/>
          <c:w val="0.89531760845219599"/>
          <c:h val="0.46702424293737477"/>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989731122615082E-2"/>
          <c:y val="5.4713738721308407E-2"/>
          <c:w val="0.91760795930805394"/>
          <c:h val="0.37845902638938561"/>
        </c:manualLayout>
      </c:layout>
      <c:barChart>
        <c:barDir val="bar"/>
        <c:grouping val="stacked"/>
        <c:varyColors val="0"/>
        <c:ser>
          <c:idx val="0"/>
          <c:order val="0"/>
          <c:tx>
            <c:strRef>
              <c:f>'Neinvestavimo priežastys'!$E$3</c:f>
              <c:strCache>
                <c:ptCount val="1"/>
                <c:pt idx="0">
                  <c:v>Per pastaruosius 1-2 metus atlikome investicijas, todėl nėra poreikio dabar</c:v>
                </c:pt>
              </c:strCache>
            </c:strRef>
          </c:tx>
          <c:spPr>
            <a:solidFill>
              <a:schemeClr val="accent6"/>
            </a:solidFill>
            <a:ln>
              <a:noFill/>
            </a:ln>
            <a:effectLst/>
          </c:spPr>
          <c:invertIfNegative val="0"/>
          <c:dLbls>
            <c:dLbl>
              <c:idx val="0"/>
              <c:tx>
                <c:rich>
                  <a:bodyPr/>
                  <a:lstStyle/>
                  <a:p>
                    <a:fld id="{A1525045-1935-4C16-ABF3-64B285958321}" type="VALUE">
                      <a:rPr lang="en-US"/>
                      <a:pPr/>
                      <a:t>[REIKŠMĖ]</a:t>
                    </a:fld>
                    <a:endParaRPr lang="lt-LT"/>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D58-405E-A411-982AFD3722B1}"/>
                </c:ext>
              </c:extLst>
            </c:dLbl>
            <c:spPr>
              <a:noFill/>
              <a:ln>
                <a:noFill/>
              </a:ln>
              <a:effectLst/>
            </c:spPr>
            <c:txPr>
              <a:bodyPr rot="0" spcFirstLastPara="1" vertOverflow="clip" horzOverflow="clip" vert="horz" wrap="square" lIns="36576" tIns="18288" rIns="36576" bIns="18288" anchor="ctr" anchorCtr="1">
                <a:spAutoFit/>
              </a:bodyPr>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val>
            <c:numRef>
              <c:f>'Neinvestavimo priežastys'!$G$3</c:f>
              <c:numCache>
                <c:formatCode>0%</c:formatCode>
                <c:ptCount val="1"/>
                <c:pt idx="0">
                  <c:v>0.1895910780669145</c:v>
                </c:pt>
              </c:numCache>
            </c:numRef>
          </c:val>
          <c:extLst>
            <c:ext xmlns:c16="http://schemas.microsoft.com/office/drawing/2014/chart" uri="{C3380CC4-5D6E-409C-BE32-E72D297353CC}">
              <c16:uniqueId val="{00000001-9D58-405E-A411-982AFD3722B1}"/>
            </c:ext>
          </c:extLst>
        </c:ser>
        <c:ser>
          <c:idx val="1"/>
          <c:order val="1"/>
          <c:tx>
            <c:strRef>
              <c:f>'Neinvestavimo priežastys'!$E$4</c:f>
              <c:strCache>
                <c:ptCount val="1"/>
                <c:pt idx="0">
                  <c:v>Nepakankama gaminamos produkcijos paklausa</c:v>
                </c:pt>
              </c:strCache>
            </c:strRef>
          </c:tx>
          <c:spPr>
            <a:solidFill>
              <a:schemeClr val="accent5"/>
            </a:solidFill>
            <a:ln>
              <a:noFill/>
            </a:ln>
            <a:effectLst/>
          </c:spPr>
          <c:invertIfNegative val="0"/>
          <c:dLbls>
            <c:dLbl>
              <c:idx val="0"/>
              <c:tx>
                <c:rich>
                  <a:bodyPr/>
                  <a:lstStyle/>
                  <a:p>
                    <a:fld id="{419EB556-0224-4B1D-8FC7-2A938C3C164B}" type="VALUE">
                      <a:rPr lang="en-US" sz="900">
                        <a:solidFill>
                          <a:schemeClr val="bg1"/>
                        </a:solidFill>
                        <a:latin typeface="+mn-lt"/>
                        <a:cs typeface="Times New Roman" panose="02020603050405020304" pitchFamily="18" charset="0"/>
                      </a:rPr>
                      <a:pPr/>
                      <a:t>[REIKŠMĖ]</a:t>
                    </a:fld>
                    <a:endParaRPr lang="lt-LT"/>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D58-405E-A411-982AFD3722B1}"/>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priežastys'!$G$4</c:f>
              <c:numCache>
                <c:formatCode>0%</c:formatCode>
                <c:ptCount val="1"/>
                <c:pt idx="0">
                  <c:v>0.23791821561338289</c:v>
                </c:pt>
              </c:numCache>
            </c:numRef>
          </c:val>
          <c:extLst>
            <c:ext xmlns:c16="http://schemas.microsoft.com/office/drawing/2014/chart" uri="{C3380CC4-5D6E-409C-BE32-E72D297353CC}">
              <c16:uniqueId val="{00000003-9D58-405E-A411-982AFD3722B1}"/>
            </c:ext>
          </c:extLst>
        </c:ser>
        <c:ser>
          <c:idx val="2"/>
          <c:order val="2"/>
          <c:tx>
            <c:strRef>
              <c:f>'Neinvestavimo priežastys'!$E$5</c:f>
              <c:strCache>
                <c:ptCount val="1"/>
                <c:pt idx="0">
                  <c:v>Finansiniai sunkumai</c:v>
                </c:pt>
              </c:strCache>
            </c:strRef>
          </c:tx>
          <c:spPr>
            <a:solidFill>
              <a:schemeClr val="accent4"/>
            </a:solidFill>
            <a:ln>
              <a:noFill/>
            </a:ln>
            <a:effectLst/>
          </c:spPr>
          <c:invertIfNegative val="0"/>
          <c:dLbls>
            <c:dLbl>
              <c:idx val="0"/>
              <c:tx>
                <c:rich>
                  <a:bodyPr/>
                  <a:lstStyle/>
                  <a:p>
                    <a:fld id="{DC91EAE2-0E1E-4920-B13C-4571485FB005}" type="VALUE">
                      <a:rPr lang="en-US" sz="900">
                        <a:solidFill>
                          <a:schemeClr val="bg1"/>
                        </a:solidFill>
                        <a:latin typeface="+mn-lt"/>
                        <a:cs typeface="Times New Roman" panose="02020603050405020304" pitchFamily="18" charset="0"/>
                      </a:rPr>
                      <a:pPr/>
                      <a:t>[REIKŠMĖ]</a:t>
                    </a:fld>
                    <a:endParaRPr lang="lt-LT"/>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9D58-405E-A411-982AFD3722B1}"/>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priežastys'!$G$5</c:f>
              <c:numCache>
                <c:formatCode>0%</c:formatCode>
                <c:ptCount val="1"/>
                <c:pt idx="0">
                  <c:v>0.25650557620817843</c:v>
                </c:pt>
              </c:numCache>
            </c:numRef>
          </c:val>
          <c:extLst>
            <c:ext xmlns:c16="http://schemas.microsoft.com/office/drawing/2014/chart" uri="{C3380CC4-5D6E-409C-BE32-E72D297353CC}">
              <c16:uniqueId val="{00000005-9D58-405E-A411-982AFD3722B1}"/>
            </c:ext>
          </c:extLst>
        </c:ser>
        <c:ser>
          <c:idx val="3"/>
          <c:order val="3"/>
          <c:tx>
            <c:strRef>
              <c:f>'Neinvestavimo priežastys'!$E$6</c:f>
              <c:strCache>
                <c:ptCount val="1"/>
                <c:pt idx="0">
                  <c:v>Nepatrauklios išorinio finansavimo sąlygos (pavyzdžiui, per didelės palūkanų normos, per aukšti bankų reikalavimai</c:v>
                </c:pt>
              </c:strCache>
            </c:strRef>
          </c:tx>
          <c:spPr>
            <a:solidFill>
              <a:schemeClr val="accent6">
                <a:lumMod val="60000"/>
              </a:schemeClr>
            </a:solidFill>
            <a:ln>
              <a:noFill/>
            </a:ln>
            <a:effectLst/>
          </c:spPr>
          <c:invertIfNegative val="0"/>
          <c:dLbls>
            <c:dLbl>
              <c:idx val="0"/>
              <c:tx>
                <c:rich>
                  <a:bodyPr/>
                  <a:lstStyle/>
                  <a:p>
                    <a:fld id="{2AC44251-B516-4A00-9252-86424C821EE4}" type="VALUE">
                      <a:rPr lang="en-US"/>
                      <a:pPr/>
                      <a:t>[REIKŠMĖ]</a:t>
                    </a:fld>
                    <a:endParaRPr lang="lt-LT"/>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9D58-405E-A411-982AFD3722B1}"/>
                </c:ext>
              </c:extLst>
            </c:dLbl>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priežastys'!$G$6</c:f>
              <c:numCache>
                <c:formatCode>0%</c:formatCode>
                <c:ptCount val="1"/>
                <c:pt idx="0">
                  <c:v>0.17100371747211895</c:v>
                </c:pt>
              </c:numCache>
            </c:numRef>
          </c:val>
          <c:extLst>
            <c:ext xmlns:c16="http://schemas.microsoft.com/office/drawing/2014/chart" uri="{C3380CC4-5D6E-409C-BE32-E72D297353CC}">
              <c16:uniqueId val="{00000007-9D58-405E-A411-982AFD3722B1}"/>
            </c:ext>
          </c:extLst>
        </c:ser>
        <c:ser>
          <c:idx val="4"/>
          <c:order val="4"/>
          <c:tx>
            <c:strRef>
              <c:f>'Neinvestavimo priežastys'!$E$7</c:f>
              <c:strCache>
                <c:ptCount val="1"/>
                <c:pt idx="0">
                  <c:v>Kiti veiksniai</c:v>
                </c:pt>
              </c:strCache>
            </c:strRef>
          </c:tx>
          <c:spPr>
            <a:solidFill>
              <a:schemeClr val="accent5">
                <a:lumMod val="60000"/>
              </a:schemeClr>
            </a:solidFill>
            <a:ln>
              <a:noFill/>
            </a:ln>
            <a:effectLst/>
          </c:spPr>
          <c:invertIfNegative val="0"/>
          <c:dLbls>
            <c:dLbl>
              <c:idx val="0"/>
              <c:tx>
                <c:rich>
                  <a:bodyPr/>
                  <a:lstStyle/>
                  <a:p>
                    <a:fld id="{79A14A14-442F-48D3-935C-B82283614BEA}" type="VALUE">
                      <a:rPr lang="en-US" sz="900">
                        <a:solidFill>
                          <a:schemeClr val="bg1"/>
                        </a:solidFill>
                        <a:latin typeface="Times New Roman" panose="02020603050405020304" pitchFamily="18" charset="0"/>
                        <a:cs typeface="Times New Roman" panose="02020603050405020304" pitchFamily="18" charset="0"/>
                      </a:rPr>
                      <a:pPr/>
                      <a:t>[REIKŠMĖ]</a:t>
                    </a:fld>
                    <a:endParaRPr lang="lt-LT"/>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9D58-405E-A411-982AFD3722B1}"/>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priežastys'!$G$7</c:f>
              <c:numCache>
                <c:formatCode>0%</c:formatCode>
                <c:ptCount val="1"/>
                <c:pt idx="0">
                  <c:v>0.1449814126394052</c:v>
                </c:pt>
              </c:numCache>
            </c:numRef>
          </c:val>
          <c:extLst>
            <c:ext xmlns:c16="http://schemas.microsoft.com/office/drawing/2014/chart" uri="{C3380CC4-5D6E-409C-BE32-E72D297353CC}">
              <c16:uniqueId val="{00000009-9D58-405E-A411-982AFD3722B1}"/>
            </c:ext>
          </c:extLst>
        </c:ser>
        <c:dLbls>
          <c:dLblPos val="ctr"/>
          <c:showLegendKey val="0"/>
          <c:showVal val="1"/>
          <c:showCatName val="0"/>
          <c:showSerName val="0"/>
          <c:showPercent val="0"/>
          <c:showBubbleSize val="0"/>
        </c:dLbls>
        <c:gapWidth val="150"/>
        <c:overlap val="100"/>
        <c:axId val="367371776"/>
        <c:axId val="367241472"/>
      </c:barChart>
      <c:catAx>
        <c:axId val="367371776"/>
        <c:scaling>
          <c:orientation val="minMax"/>
        </c:scaling>
        <c:delete val="1"/>
        <c:axPos val="l"/>
        <c:numFmt formatCode="General" sourceLinked="1"/>
        <c:majorTickMark val="none"/>
        <c:minorTickMark val="none"/>
        <c:tickLblPos val="nextTo"/>
        <c:crossAx val="367241472"/>
        <c:crosses val="autoZero"/>
        <c:auto val="1"/>
        <c:lblAlgn val="ctr"/>
        <c:lblOffset val="100"/>
        <c:noMultiLvlLbl val="0"/>
      </c:catAx>
      <c:valAx>
        <c:axId val="36724147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67371776"/>
        <c:crosses val="autoZero"/>
        <c:crossBetween val="between"/>
      </c:valAx>
      <c:spPr>
        <a:noFill/>
        <a:ln>
          <a:noFill/>
        </a:ln>
        <a:effectLst/>
      </c:spPr>
    </c:plotArea>
    <c:legend>
      <c:legendPos val="b"/>
      <c:layout>
        <c:manualLayout>
          <c:xMode val="edge"/>
          <c:yMode val="edge"/>
          <c:x val="0.13909060025267411"/>
          <c:y val="0.5576925557425203"/>
          <c:w val="0.72860509160939957"/>
          <c:h val="0.43811041211062318"/>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9092962067203869E-2"/>
          <c:y val="3.8834042708086866E-2"/>
          <c:w val="0.91070017818072246"/>
          <c:h val="0.43697768171135465"/>
        </c:manualLayout>
      </c:layout>
      <c:barChart>
        <c:barDir val="bar"/>
        <c:grouping val="stacked"/>
        <c:varyColors val="0"/>
        <c:ser>
          <c:idx val="0"/>
          <c:order val="0"/>
          <c:tx>
            <c:strRef>
              <c:f>'Neinvestavimo priežastys'!$E$10</c:f>
              <c:strCache>
                <c:ptCount val="1"/>
                <c:pt idx="0">
                  <c:v>Per dideli užstato reikalavimai</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priežastys'!$G$10</c:f>
              <c:numCache>
                <c:formatCode>0%</c:formatCode>
                <c:ptCount val="1"/>
                <c:pt idx="0">
                  <c:v>0.14285714285714285</c:v>
                </c:pt>
              </c:numCache>
            </c:numRef>
          </c:val>
          <c:extLst>
            <c:ext xmlns:c16="http://schemas.microsoft.com/office/drawing/2014/chart" uri="{C3380CC4-5D6E-409C-BE32-E72D297353CC}">
              <c16:uniqueId val="{00000000-09E0-4672-AEED-546B4C131346}"/>
            </c:ext>
          </c:extLst>
        </c:ser>
        <c:ser>
          <c:idx val="1"/>
          <c:order val="1"/>
          <c:tx>
            <c:strRef>
              <c:f>'Neinvestavimo priežastys'!$E$11</c:f>
              <c:strCache>
                <c:ptCount val="1"/>
                <c:pt idx="0">
                  <c:v>Per didelė finansavimo kaina (palūkanos, garantijos mokestis)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priežastys'!$G$11</c:f>
              <c:numCache>
                <c:formatCode>0%</c:formatCode>
                <c:ptCount val="1"/>
                <c:pt idx="0">
                  <c:v>0.19047619047619047</c:v>
                </c:pt>
              </c:numCache>
            </c:numRef>
          </c:val>
          <c:extLst>
            <c:ext xmlns:c16="http://schemas.microsoft.com/office/drawing/2014/chart" uri="{C3380CC4-5D6E-409C-BE32-E72D297353CC}">
              <c16:uniqueId val="{00000001-09E0-4672-AEED-546B4C131346}"/>
            </c:ext>
          </c:extLst>
        </c:ser>
        <c:ser>
          <c:idx val="2"/>
          <c:order val="2"/>
          <c:tx>
            <c:strRef>
              <c:f>'Neinvestavimo priežastys'!$E$12</c:f>
              <c:strCache>
                <c:ptCount val="1"/>
                <c:pt idx="0">
                  <c:v>Per didelė reikalaujama nuosavų lėšų dalis</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priežastys'!$G$12</c:f>
              <c:numCache>
                <c:formatCode>0%</c:formatCode>
                <c:ptCount val="1"/>
                <c:pt idx="0">
                  <c:v>0.16326530612244897</c:v>
                </c:pt>
              </c:numCache>
            </c:numRef>
          </c:val>
          <c:extLst>
            <c:ext xmlns:c16="http://schemas.microsoft.com/office/drawing/2014/chart" uri="{C3380CC4-5D6E-409C-BE32-E72D297353CC}">
              <c16:uniqueId val="{00000002-09E0-4672-AEED-546B4C131346}"/>
            </c:ext>
          </c:extLst>
        </c:ser>
        <c:ser>
          <c:idx val="3"/>
          <c:order val="3"/>
          <c:tx>
            <c:strRef>
              <c:f>'Neinvestavimo priežastys'!$E$13</c:f>
              <c:strCache>
                <c:ptCount val="1"/>
                <c:pt idx="0">
                  <c:v>Suteikiama per maža reikiamo finansavimo suma</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priežastys'!$G$13</c:f>
              <c:numCache>
                <c:formatCode>0%</c:formatCode>
                <c:ptCount val="1"/>
                <c:pt idx="0">
                  <c:v>0.14965986394557823</c:v>
                </c:pt>
              </c:numCache>
            </c:numRef>
          </c:val>
          <c:extLst>
            <c:ext xmlns:c16="http://schemas.microsoft.com/office/drawing/2014/chart" uri="{C3380CC4-5D6E-409C-BE32-E72D297353CC}">
              <c16:uniqueId val="{00000003-09E0-4672-AEED-546B4C131346}"/>
            </c:ext>
          </c:extLst>
        </c:ser>
        <c:ser>
          <c:idx val="4"/>
          <c:order val="4"/>
          <c:tx>
            <c:strRef>
              <c:f>'Neinvestavimo priežastys'!$E$14</c:f>
              <c:strCache>
                <c:ptCount val="1"/>
                <c:pt idx="0">
                  <c:v>Ilgas finansavimo sprendimo priėmimo laikotarpis</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priežastys'!$G$14</c:f>
              <c:numCache>
                <c:formatCode>0%</c:formatCode>
                <c:ptCount val="1"/>
                <c:pt idx="0">
                  <c:v>0.12925170068027211</c:v>
                </c:pt>
              </c:numCache>
            </c:numRef>
          </c:val>
          <c:extLst>
            <c:ext xmlns:c16="http://schemas.microsoft.com/office/drawing/2014/chart" uri="{C3380CC4-5D6E-409C-BE32-E72D297353CC}">
              <c16:uniqueId val="{00000004-09E0-4672-AEED-546B4C131346}"/>
            </c:ext>
          </c:extLst>
        </c:ser>
        <c:ser>
          <c:idx val="5"/>
          <c:order val="5"/>
          <c:tx>
            <c:strRef>
              <c:f>'Neinvestavimo priežastys'!$E$15</c:f>
              <c:strCache>
                <c:ptCount val="1"/>
                <c:pt idx="0">
                  <c:v>Didelis finansavimo suteikimui reikalingų dokumentų kiekis</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priežastys'!$G$15</c:f>
              <c:numCache>
                <c:formatCode>0%</c:formatCode>
                <c:ptCount val="1"/>
                <c:pt idx="0">
                  <c:v>0.19047619047619047</c:v>
                </c:pt>
              </c:numCache>
            </c:numRef>
          </c:val>
          <c:extLst>
            <c:ext xmlns:c16="http://schemas.microsoft.com/office/drawing/2014/chart" uri="{C3380CC4-5D6E-409C-BE32-E72D297353CC}">
              <c16:uniqueId val="{00000005-09E0-4672-AEED-546B4C131346}"/>
            </c:ext>
          </c:extLst>
        </c:ser>
        <c:ser>
          <c:idx val="6"/>
          <c:order val="6"/>
          <c:tx>
            <c:strRef>
              <c:f>'Neinvestavimo priežastys'!$E$16</c:f>
              <c:strCache>
                <c:ptCount val="1"/>
                <c:pt idx="0">
                  <c:v>Kita</c:v>
                </c:pt>
              </c:strCache>
            </c:strRef>
          </c:tx>
          <c:spPr>
            <a:solidFill>
              <a:schemeClr val="accent6">
                <a:lumMod val="80000"/>
                <a:lumOff val="2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priežastys'!$G$16</c:f>
              <c:numCache>
                <c:formatCode>0%</c:formatCode>
                <c:ptCount val="1"/>
                <c:pt idx="0">
                  <c:v>3.4013605442176874E-2</c:v>
                </c:pt>
              </c:numCache>
            </c:numRef>
          </c:val>
          <c:extLst>
            <c:ext xmlns:c16="http://schemas.microsoft.com/office/drawing/2014/chart" uri="{C3380CC4-5D6E-409C-BE32-E72D297353CC}">
              <c16:uniqueId val="{00000006-09E0-4672-AEED-546B4C131346}"/>
            </c:ext>
          </c:extLst>
        </c:ser>
        <c:dLbls>
          <c:dLblPos val="ctr"/>
          <c:showLegendKey val="0"/>
          <c:showVal val="1"/>
          <c:showCatName val="0"/>
          <c:showSerName val="0"/>
          <c:showPercent val="0"/>
          <c:showBubbleSize val="0"/>
        </c:dLbls>
        <c:gapWidth val="150"/>
        <c:overlap val="100"/>
        <c:axId val="367373312"/>
        <c:axId val="367243200"/>
      </c:barChart>
      <c:catAx>
        <c:axId val="367373312"/>
        <c:scaling>
          <c:orientation val="minMax"/>
        </c:scaling>
        <c:delete val="1"/>
        <c:axPos val="l"/>
        <c:numFmt formatCode="General" sourceLinked="1"/>
        <c:majorTickMark val="none"/>
        <c:minorTickMark val="none"/>
        <c:tickLblPos val="nextTo"/>
        <c:crossAx val="367243200"/>
        <c:crosses val="autoZero"/>
        <c:auto val="1"/>
        <c:lblAlgn val="ctr"/>
        <c:lblOffset val="100"/>
        <c:noMultiLvlLbl val="0"/>
      </c:catAx>
      <c:valAx>
        <c:axId val="367243200"/>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67373312"/>
        <c:crosses val="autoZero"/>
        <c:crossBetween val="between"/>
      </c:valAx>
      <c:spPr>
        <a:noFill/>
        <a:ln>
          <a:noFill/>
        </a:ln>
        <a:effectLst/>
      </c:spPr>
    </c:plotArea>
    <c:legend>
      <c:legendPos val="b"/>
      <c:layout>
        <c:manualLayout>
          <c:xMode val="edge"/>
          <c:yMode val="edge"/>
          <c:x val="0"/>
          <c:y val="0.5602398229633061"/>
          <c:w val="0.58014916613684164"/>
          <c:h val="0.4140524591288835"/>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563218390804596E-2"/>
          <c:y val="4.4176706827309238E-2"/>
          <c:w val="0.91033279012901513"/>
          <c:h val="0.48403560727475436"/>
        </c:manualLayout>
      </c:layout>
      <c:barChart>
        <c:barDir val="bar"/>
        <c:grouping val="stacked"/>
        <c:varyColors val="0"/>
        <c:ser>
          <c:idx val="0"/>
          <c:order val="0"/>
          <c:tx>
            <c:strRef>
              <c:f>'Bankroto rizikos'!$D$3</c:f>
              <c:strCache>
                <c:ptCount val="1"/>
                <c:pt idx="0">
                  <c:v>Įmonės finansinė padėtis labai suprastės</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rizikos'!$F$3</c:f>
              <c:numCache>
                <c:formatCode>0%</c:formatCode>
                <c:ptCount val="1"/>
                <c:pt idx="0">
                  <c:v>0.02</c:v>
                </c:pt>
              </c:numCache>
            </c:numRef>
          </c:val>
          <c:extLst>
            <c:ext xmlns:c16="http://schemas.microsoft.com/office/drawing/2014/chart" uri="{C3380CC4-5D6E-409C-BE32-E72D297353CC}">
              <c16:uniqueId val="{00000000-290D-4D9A-9B32-E51DCBC9FC8A}"/>
            </c:ext>
          </c:extLst>
        </c:ser>
        <c:ser>
          <c:idx val="1"/>
          <c:order val="1"/>
          <c:tx>
            <c:strRef>
              <c:f>'Bankroto rizikos'!$D$4</c:f>
              <c:strCache>
                <c:ptCount val="1"/>
                <c:pt idx="0">
                  <c:v>Įmonės finansinė padėtis suprastės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rizikos'!$F$4</c:f>
              <c:numCache>
                <c:formatCode>0%</c:formatCode>
                <c:ptCount val="1"/>
                <c:pt idx="0">
                  <c:v>0.12</c:v>
                </c:pt>
              </c:numCache>
            </c:numRef>
          </c:val>
          <c:extLst>
            <c:ext xmlns:c16="http://schemas.microsoft.com/office/drawing/2014/chart" uri="{C3380CC4-5D6E-409C-BE32-E72D297353CC}">
              <c16:uniqueId val="{00000001-290D-4D9A-9B32-E51DCBC9FC8A}"/>
            </c:ext>
          </c:extLst>
        </c:ser>
        <c:ser>
          <c:idx val="2"/>
          <c:order val="2"/>
          <c:tx>
            <c:strRef>
              <c:f>'Bankroto rizikos'!$D$5</c:f>
              <c:strCache>
                <c:ptCount val="1"/>
                <c:pt idx="0">
                  <c:v>Įmonės finansinė padėtis nepasikeis</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rizikos'!$F$5</c:f>
              <c:numCache>
                <c:formatCode>0%</c:formatCode>
                <c:ptCount val="1"/>
                <c:pt idx="0">
                  <c:v>0.46</c:v>
                </c:pt>
              </c:numCache>
            </c:numRef>
          </c:val>
          <c:extLst>
            <c:ext xmlns:c16="http://schemas.microsoft.com/office/drawing/2014/chart" uri="{C3380CC4-5D6E-409C-BE32-E72D297353CC}">
              <c16:uniqueId val="{00000002-290D-4D9A-9B32-E51DCBC9FC8A}"/>
            </c:ext>
          </c:extLst>
        </c:ser>
        <c:ser>
          <c:idx val="3"/>
          <c:order val="3"/>
          <c:tx>
            <c:strRef>
              <c:f>'Bankroto rizikos'!$D$6</c:f>
              <c:strCache>
                <c:ptCount val="1"/>
                <c:pt idx="0">
                  <c:v>Įmonės finansinė padėtis pagėrės</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rizikos'!$F$6</c:f>
              <c:numCache>
                <c:formatCode>0%</c:formatCode>
                <c:ptCount val="1"/>
                <c:pt idx="0">
                  <c:v>0.31333333333333335</c:v>
                </c:pt>
              </c:numCache>
            </c:numRef>
          </c:val>
          <c:extLst>
            <c:ext xmlns:c16="http://schemas.microsoft.com/office/drawing/2014/chart" uri="{C3380CC4-5D6E-409C-BE32-E72D297353CC}">
              <c16:uniqueId val="{00000003-290D-4D9A-9B32-E51DCBC9FC8A}"/>
            </c:ext>
          </c:extLst>
        </c:ser>
        <c:ser>
          <c:idx val="4"/>
          <c:order val="4"/>
          <c:tx>
            <c:strRef>
              <c:f>'Bankroto rizikos'!$D$7</c:f>
              <c:strCache>
                <c:ptCount val="1"/>
                <c:pt idx="0">
                  <c:v>Įmonės finansinė padėtis labai pagerės</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rizikos'!$F$7</c:f>
              <c:numCache>
                <c:formatCode>0%</c:formatCode>
                <c:ptCount val="1"/>
                <c:pt idx="0">
                  <c:v>0.02</c:v>
                </c:pt>
              </c:numCache>
            </c:numRef>
          </c:val>
          <c:extLst>
            <c:ext xmlns:c16="http://schemas.microsoft.com/office/drawing/2014/chart" uri="{C3380CC4-5D6E-409C-BE32-E72D297353CC}">
              <c16:uniqueId val="{00000004-290D-4D9A-9B32-E51DCBC9FC8A}"/>
            </c:ext>
          </c:extLst>
        </c:ser>
        <c:ser>
          <c:idx val="5"/>
          <c:order val="5"/>
          <c:tx>
            <c:strRef>
              <c:f>'Bankroto rizikos'!$D$8</c:f>
              <c:strCache>
                <c:ptCount val="1"/>
                <c:pt idx="0">
                  <c:v>Nežinau / negaliu atsakyti</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rizikos'!$F$8</c:f>
              <c:numCache>
                <c:formatCode>0%</c:formatCode>
                <c:ptCount val="1"/>
                <c:pt idx="0">
                  <c:v>6.6666666666666666E-2</c:v>
                </c:pt>
              </c:numCache>
            </c:numRef>
          </c:val>
          <c:extLst>
            <c:ext xmlns:c16="http://schemas.microsoft.com/office/drawing/2014/chart" uri="{C3380CC4-5D6E-409C-BE32-E72D297353CC}">
              <c16:uniqueId val="{00000005-290D-4D9A-9B32-E51DCBC9FC8A}"/>
            </c:ext>
          </c:extLst>
        </c:ser>
        <c:dLbls>
          <c:dLblPos val="ctr"/>
          <c:showLegendKey val="0"/>
          <c:showVal val="1"/>
          <c:showCatName val="0"/>
          <c:showSerName val="0"/>
          <c:showPercent val="0"/>
          <c:showBubbleSize val="0"/>
        </c:dLbls>
        <c:gapWidth val="150"/>
        <c:overlap val="100"/>
        <c:axId val="146961408"/>
        <c:axId val="367244928"/>
      </c:barChart>
      <c:catAx>
        <c:axId val="146961408"/>
        <c:scaling>
          <c:orientation val="minMax"/>
        </c:scaling>
        <c:delete val="1"/>
        <c:axPos val="l"/>
        <c:numFmt formatCode="General" sourceLinked="1"/>
        <c:majorTickMark val="none"/>
        <c:minorTickMark val="none"/>
        <c:tickLblPos val="nextTo"/>
        <c:crossAx val="367244928"/>
        <c:crosses val="autoZero"/>
        <c:auto val="1"/>
        <c:lblAlgn val="ctr"/>
        <c:lblOffset val="100"/>
        <c:noMultiLvlLbl val="0"/>
      </c:catAx>
      <c:valAx>
        <c:axId val="367244928"/>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46961408"/>
        <c:crosses val="autoZero"/>
        <c:crossBetween val="between"/>
      </c:valAx>
      <c:spPr>
        <a:noFill/>
        <a:ln>
          <a:noFill/>
        </a:ln>
        <a:effectLst/>
      </c:spPr>
    </c:plotArea>
    <c:legend>
      <c:legendPos val="b"/>
      <c:layout>
        <c:manualLayout>
          <c:xMode val="edge"/>
          <c:yMode val="edge"/>
          <c:x val="2.2003897864415301E-2"/>
          <c:y val="0.66758410100698196"/>
          <c:w val="0.89331589037263759"/>
          <c:h val="0.30739388468161227"/>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lgn="just">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652753707675784"/>
          <c:y val="3.6985299231507625E-2"/>
          <c:w val="0.36138013300425498"/>
          <c:h val="0.8484326110330705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F48-4B4D-966B-93425F42E6B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F48-4B4D-966B-93425F42E6B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F48-4B4D-966B-93425F42E6B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F48-4B4D-966B-93425F42E6B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F48-4B4D-966B-93425F42E6B8}"/>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'Siūlomos analizuoti_1008'!$AE$2:$AE$6</c:f>
              <c:strCache>
                <c:ptCount val="5"/>
                <c:pt idx="0">
                  <c:v>Startuolių vystymas</c:v>
                </c:pt>
                <c:pt idx="1">
                  <c:v>TUI pritraukimas</c:v>
                </c:pt>
                <c:pt idx="2">
                  <c:v>MTEP vykdymas</c:v>
                </c:pt>
                <c:pt idx="3">
                  <c:v>MVĮ skaitmeninimas</c:v>
                </c:pt>
                <c:pt idx="4">
                  <c:v>MVĮ technologinės inovacijos</c:v>
                </c:pt>
              </c:strCache>
            </c:strRef>
          </c:cat>
          <c:val>
            <c:numRef>
              <c:f>'Siūlomos analizuoti_1008'!$AG$2:$AG$6</c:f>
              <c:numCache>
                <c:formatCode>0.00%</c:formatCode>
                <c:ptCount val="5"/>
                <c:pt idx="0">
                  <c:v>0.17967212323071691</c:v>
                </c:pt>
                <c:pt idx="1">
                  <c:v>6.4410373188537914E-2</c:v>
                </c:pt>
                <c:pt idx="2">
                  <c:v>0.40663721670404723</c:v>
                </c:pt>
                <c:pt idx="3">
                  <c:v>0.23951902761964577</c:v>
                </c:pt>
                <c:pt idx="4">
                  <c:v>0.10976125925705217</c:v>
                </c:pt>
              </c:numCache>
            </c:numRef>
          </c:val>
          <c:extLst>
            <c:ext xmlns:c16="http://schemas.microsoft.com/office/drawing/2014/chart" uri="{C3380CC4-5D6E-409C-BE32-E72D297353CC}">
              <c16:uniqueId val="{0000000A-4F48-4B4D-966B-93425F42E6B8}"/>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63157282759188793"/>
          <c:y val="0.13360416338914693"/>
          <c:w val="0.36254130640720594"/>
          <c:h val="0.6160584147924832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'Bankroto rizikos'!$D$11</c:f>
              <c:strCache>
                <c:ptCount val="1"/>
                <c:pt idx="0">
                  <c:v>Bankroto rizika liks nepakitusi</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rizikos'!$F$11</c:f>
              <c:numCache>
                <c:formatCode>0%</c:formatCode>
                <c:ptCount val="1"/>
                <c:pt idx="0">
                  <c:v>0.72222222222222221</c:v>
                </c:pt>
              </c:numCache>
            </c:numRef>
          </c:val>
          <c:extLst>
            <c:ext xmlns:c16="http://schemas.microsoft.com/office/drawing/2014/chart" uri="{C3380CC4-5D6E-409C-BE32-E72D297353CC}">
              <c16:uniqueId val="{00000000-DCCD-4A4A-8613-DB60B68EB6D3}"/>
            </c:ext>
          </c:extLst>
        </c:ser>
        <c:ser>
          <c:idx val="1"/>
          <c:order val="1"/>
          <c:tx>
            <c:strRef>
              <c:f>'Bankroto rizikos'!$D$12</c:f>
              <c:strCache>
                <c:ptCount val="1"/>
                <c:pt idx="0">
                  <c:v>Bankroto rizika tik šiek tiek padidės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rizikos'!$F$12</c:f>
              <c:numCache>
                <c:formatCode>0%</c:formatCode>
                <c:ptCount val="1"/>
                <c:pt idx="0">
                  <c:v>0.16666666666666666</c:v>
                </c:pt>
              </c:numCache>
            </c:numRef>
          </c:val>
          <c:extLst>
            <c:ext xmlns:c16="http://schemas.microsoft.com/office/drawing/2014/chart" uri="{C3380CC4-5D6E-409C-BE32-E72D297353CC}">
              <c16:uniqueId val="{00000001-DCCD-4A4A-8613-DB60B68EB6D3}"/>
            </c:ext>
          </c:extLst>
        </c:ser>
        <c:ser>
          <c:idx val="2"/>
          <c:order val="2"/>
          <c:tx>
            <c:strRef>
              <c:f>'Bankroto rizikos'!$D$13</c:f>
              <c:strCache>
                <c:ptCount val="1"/>
                <c:pt idx="0">
                  <c:v>Bankroto rizika vidutiniškai padidės</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rizikos'!$F$13</c:f>
              <c:numCache>
                <c:formatCode>0%</c:formatCode>
                <c:ptCount val="1"/>
                <c:pt idx="0">
                  <c:v>2.7777777777777776E-2</c:v>
                </c:pt>
              </c:numCache>
            </c:numRef>
          </c:val>
          <c:extLst>
            <c:ext xmlns:c16="http://schemas.microsoft.com/office/drawing/2014/chart" uri="{C3380CC4-5D6E-409C-BE32-E72D297353CC}">
              <c16:uniqueId val="{00000002-DCCD-4A4A-8613-DB60B68EB6D3}"/>
            </c:ext>
          </c:extLst>
        </c:ser>
        <c:ser>
          <c:idx val="3"/>
          <c:order val="3"/>
          <c:tx>
            <c:strRef>
              <c:f>'Bankroto rizikos'!$D$14</c:f>
              <c:strCache>
                <c:ptCount val="1"/>
                <c:pt idx="0">
                  <c:v>Bankroto rizika reikšmingai padidės</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rizikos'!$F$14</c:f>
              <c:numCache>
                <c:formatCode>0%</c:formatCode>
                <c:ptCount val="1"/>
                <c:pt idx="0">
                  <c:v>0.05</c:v>
                </c:pt>
              </c:numCache>
            </c:numRef>
          </c:val>
          <c:extLst>
            <c:ext xmlns:c16="http://schemas.microsoft.com/office/drawing/2014/chart" uri="{C3380CC4-5D6E-409C-BE32-E72D297353CC}">
              <c16:uniqueId val="{00000003-DCCD-4A4A-8613-DB60B68EB6D3}"/>
            </c:ext>
          </c:extLst>
        </c:ser>
        <c:ser>
          <c:idx val="4"/>
          <c:order val="4"/>
          <c:tx>
            <c:strRef>
              <c:f>'Bankroto rizikos'!$D$15</c:f>
              <c:strCache>
                <c:ptCount val="1"/>
                <c:pt idx="0">
                  <c:v>Bankroto rizika labai reikšmingai padidės</c:v>
                </c:pt>
              </c:strCache>
            </c:strRef>
          </c:tx>
          <c:spPr>
            <a:solidFill>
              <a:schemeClr val="accent5">
                <a:lumMod val="60000"/>
              </a:schemeClr>
            </a:solidFill>
            <a:ln>
              <a:noFill/>
            </a:ln>
            <a:effectLst/>
          </c:spPr>
          <c:invertIfNegative val="0"/>
          <c:dLbls>
            <c:delete val="1"/>
          </c:dLbls>
          <c:val>
            <c:numRef>
              <c:f>'Bankroto rizikos'!$F$15</c:f>
              <c:numCache>
                <c:formatCode>0%</c:formatCode>
                <c:ptCount val="1"/>
                <c:pt idx="0">
                  <c:v>1.1111111111111112E-2</c:v>
                </c:pt>
              </c:numCache>
            </c:numRef>
          </c:val>
          <c:extLst>
            <c:ext xmlns:c16="http://schemas.microsoft.com/office/drawing/2014/chart" uri="{C3380CC4-5D6E-409C-BE32-E72D297353CC}">
              <c16:uniqueId val="{00000004-DCCD-4A4A-8613-DB60B68EB6D3}"/>
            </c:ext>
          </c:extLst>
        </c:ser>
        <c:ser>
          <c:idx val="5"/>
          <c:order val="5"/>
          <c:tx>
            <c:strRef>
              <c:f>'Bankroto rizikos'!$D$16</c:f>
              <c:strCache>
                <c:ptCount val="1"/>
                <c:pt idx="0">
                  <c:v>Įmonė tikėtina, kad bankrutuos</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rizikos'!$F$16</c:f>
              <c:numCache>
                <c:formatCode>0%</c:formatCode>
                <c:ptCount val="1"/>
                <c:pt idx="0">
                  <c:v>1.6666666666666666E-2</c:v>
                </c:pt>
              </c:numCache>
            </c:numRef>
          </c:val>
          <c:extLst>
            <c:ext xmlns:c16="http://schemas.microsoft.com/office/drawing/2014/chart" uri="{C3380CC4-5D6E-409C-BE32-E72D297353CC}">
              <c16:uniqueId val="{00000005-DCCD-4A4A-8613-DB60B68EB6D3}"/>
            </c:ext>
          </c:extLst>
        </c:ser>
        <c:ser>
          <c:idx val="6"/>
          <c:order val="6"/>
          <c:tx>
            <c:strRef>
              <c:f>'Bankroto rizikos'!$D$17</c:f>
              <c:strCache>
                <c:ptCount val="1"/>
                <c:pt idx="0">
                  <c:v>Nežinau / negaliu atsakyti</c:v>
                </c:pt>
              </c:strCache>
            </c:strRef>
          </c:tx>
          <c:spPr>
            <a:solidFill>
              <a:schemeClr val="accent6">
                <a:lumMod val="80000"/>
                <a:lumOff val="20000"/>
              </a:schemeClr>
            </a:solidFill>
            <a:ln>
              <a:noFill/>
            </a:ln>
            <a:effectLst/>
          </c:spPr>
          <c:invertIfNegative val="0"/>
          <c:dLbls>
            <c:delete val="1"/>
          </c:dLbls>
          <c:val>
            <c:numRef>
              <c:f>'Bankroto rizikos'!$F$17</c:f>
              <c:numCache>
                <c:formatCode>0%</c:formatCode>
                <c:ptCount val="1"/>
                <c:pt idx="0">
                  <c:v>5.5555555555555558E-3</c:v>
                </c:pt>
              </c:numCache>
            </c:numRef>
          </c:val>
          <c:extLst>
            <c:ext xmlns:c16="http://schemas.microsoft.com/office/drawing/2014/chart" uri="{C3380CC4-5D6E-409C-BE32-E72D297353CC}">
              <c16:uniqueId val="{00000006-DCCD-4A4A-8613-DB60B68EB6D3}"/>
            </c:ext>
          </c:extLst>
        </c:ser>
        <c:dLbls>
          <c:dLblPos val="ctr"/>
          <c:showLegendKey val="0"/>
          <c:showVal val="1"/>
          <c:showCatName val="0"/>
          <c:showSerName val="0"/>
          <c:showPercent val="0"/>
          <c:showBubbleSize val="0"/>
        </c:dLbls>
        <c:gapWidth val="150"/>
        <c:overlap val="100"/>
        <c:axId val="146962944"/>
        <c:axId val="147087360"/>
      </c:barChart>
      <c:catAx>
        <c:axId val="146962944"/>
        <c:scaling>
          <c:orientation val="minMax"/>
        </c:scaling>
        <c:delete val="1"/>
        <c:axPos val="l"/>
        <c:numFmt formatCode="General" sourceLinked="1"/>
        <c:majorTickMark val="none"/>
        <c:minorTickMark val="none"/>
        <c:tickLblPos val="nextTo"/>
        <c:crossAx val="147087360"/>
        <c:crosses val="autoZero"/>
        <c:auto val="1"/>
        <c:lblAlgn val="ctr"/>
        <c:lblOffset val="100"/>
        <c:noMultiLvlLbl val="0"/>
      </c:catAx>
      <c:valAx>
        <c:axId val="147087360"/>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46962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lgn="just">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EBF2-4E4F-B6A5-5BDCD5D2344D}"/>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EBF2-4E4F-B6A5-5BDCD5D2344D}"/>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'Demografinis pasiskirstymas'!$G$24:$G$25</c:f>
              <c:strCache>
                <c:ptCount val="2"/>
                <c:pt idx="0">
                  <c:v>Sostinės regionas</c:v>
                </c:pt>
                <c:pt idx="1">
                  <c:v>Vidurio ir Vakarų Lietuvos regionas</c:v>
                </c:pt>
              </c:strCache>
            </c:strRef>
          </c:cat>
          <c:val>
            <c:numRef>
              <c:f>'Demografinis pasiskirstymas'!$H$24:$H$25</c:f>
              <c:numCache>
                <c:formatCode>General</c:formatCode>
                <c:ptCount val="2"/>
                <c:pt idx="0">
                  <c:v>6</c:v>
                </c:pt>
                <c:pt idx="1">
                  <c:v>43</c:v>
                </c:pt>
              </c:numCache>
            </c:numRef>
          </c:val>
          <c:extLst>
            <c:ext xmlns:c16="http://schemas.microsoft.com/office/drawing/2014/chart" uri="{C3380CC4-5D6E-409C-BE32-E72D297353CC}">
              <c16:uniqueId val="{00000000-FD19-4B31-9F37-CB223B95E6D1}"/>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'Reali paklausa_grafikai'!$N$8</c:f>
              <c:strCache>
                <c:ptCount val="1"/>
                <c:pt idx="0">
                  <c:v>Taip</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paklausa_grafikai'!$O$7:$Q$7</c:f>
              <c:strCache>
                <c:ptCount val="3"/>
                <c:pt idx="0">
                  <c:v>Sostinės regionas</c:v>
                </c:pt>
                <c:pt idx="1">
                  <c:v>Vidurio ir Vakarų Lietuvos regionas</c:v>
                </c:pt>
                <c:pt idx="2">
                  <c:v>Visa Lietuva</c:v>
                </c:pt>
              </c:strCache>
            </c:strRef>
          </c:cat>
          <c:val>
            <c:numRef>
              <c:f>'Reali paklausa_grafikai'!$O$8:$Q$8</c:f>
              <c:numCache>
                <c:formatCode>0%</c:formatCode>
                <c:ptCount val="3"/>
                <c:pt idx="0">
                  <c:v>0.83</c:v>
                </c:pt>
                <c:pt idx="1">
                  <c:v>0.88</c:v>
                </c:pt>
                <c:pt idx="2">
                  <c:v>0.88</c:v>
                </c:pt>
              </c:numCache>
            </c:numRef>
          </c:val>
          <c:extLst>
            <c:ext xmlns:c16="http://schemas.microsoft.com/office/drawing/2014/chart" uri="{C3380CC4-5D6E-409C-BE32-E72D297353CC}">
              <c16:uniqueId val="{00000000-ECF3-4DBA-91D8-1D219F3D019F}"/>
            </c:ext>
          </c:extLst>
        </c:ser>
        <c:ser>
          <c:idx val="1"/>
          <c:order val="1"/>
          <c:tx>
            <c:strRef>
              <c:f>'Reali paklausa_grafikai'!$N$9</c:f>
              <c:strCache>
                <c:ptCount val="1"/>
                <c:pt idx="0">
                  <c:v>Ne </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paklausa_grafikai'!$O$7:$Q$7</c:f>
              <c:strCache>
                <c:ptCount val="3"/>
                <c:pt idx="0">
                  <c:v>Sostinės regionas</c:v>
                </c:pt>
                <c:pt idx="1">
                  <c:v>Vidurio ir Vakarų Lietuvos regionas</c:v>
                </c:pt>
                <c:pt idx="2">
                  <c:v>Visa Lietuva</c:v>
                </c:pt>
              </c:strCache>
            </c:strRef>
          </c:cat>
          <c:val>
            <c:numRef>
              <c:f>'Reali paklausa_grafikai'!$O$9:$Q$9</c:f>
              <c:numCache>
                <c:formatCode>0%</c:formatCode>
                <c:ptCount val="3"/>
                <c:pt idx="0">
                  <c:v>0.17</c:v>
                </c:pt>
                <c:pt idx="1">
                  <c:v>0.12</c:v>
                </c:pt>
                <c:pt idx="2">
                  <c:v>0.12</c:v>
                </c:pt>
              </c:numCache>
            </c:numRef>
          </c:val>
          <c:extLst>
            <c:ext xmlns:c16="http://schemas.microsoft.com/office/drawing/2014/chart" uri="{C3380CC4-5D6E-409C-BE32-E72D297353CC}">
              <c16:uniqueId val="{00000001-ECF3-4DBA-91D8-1D219F3D019F}"/>
            </c:ext>
          </c:extLst>
        </c:ser>
        <c:ser>
          <c:idx val="2"/>
          <c:order val="2"/>
          <c:tx>
            <c:strRef>
              <c:f>'Reali paklausa_grafikai'!$N$10</c:f>
              <c:strCache>
                <c:ptCount val="1"/>
                <c:pt idx="0">
                  <c:v>Nežinau / negaliu / nenoriu atsakyti</c:v>
                </c:pt>
              </c:strCache>
            </c:strRef>
          </c:tx>
          <c:spPr>
            <a:solidFill>
              <a:schemeClr val="accent4"/>
            </a:solidFill>
            <a:ln>
              <a:noFill/>
            </a:ln>
            <a:effectLst/>
          </c:spPr>
          <c:invertIfNegative val="0"/>
          <c:dLbls>
            <c:delete val="1"/>
          </c:dLbls>
          <c:cat>
            <c:strRef>
              <c:f>'Reali paklausa_grafikai'!$O$7:$Q$7</c:f>
              <c:strCache>
                <c:ptCount val="3"/>
                <c:pt idx="0">
                  <c:v>Sostinės regionas</c:v>
                </c:pt>
                <c:pt idx="1">
                  <c:v>Vidurio ir Vakarų Lietuvos regionas</c:v>
                </c:pt>
                <c:pt idx="2">
                  <c:v>Visa Lietuva</c:v>
                </c:pt>
              </c:strCache>
            </c:strRef>
          </c:cat>
          <c:val>
            <c:numRef>
              <c:f>'Reali paklausa_grafikai'!$O$10:$Q$10</c:f>
              <c:numCache>
                <c:formatCode>0%</c:formatCode>
                <c:ptCount val="3"/>
                <c:pt idx="0">
                  <c:v>0</c:v>
                </c:pt>
                <c:pt idx="1">
                  <c:v>0</c:v>
                </c:pt>
                <c:pt idx="2">
                  <c:v>0</c:v>
                </c:pt>
              </c:numCache>
            </c:numRef>
          </c:val>
          <c:extLst>
            <c:ext xmlns:c16="http://schemas.microsoft.com/office/drawing/2014/chart" uri="{C3380CC4-5D6E-409C-BE32-E72D297353CC}">
              <c16:uniqueId val="{00000002-ECF3-4DBA-91D8-1D219F3D019F}"/>
            </c:ext>
          </c:extLst>
        </c:ser>
        <c:dLbls>
          <c:dLblPos val="ctr"/>
          <c:showLegendKey val="0"/>
          <c:showVal val="1"/>
          <c:showCatName val="0"/>
          <c:showSerName val="0"/>
          <c:showPercent val="0"/>
          <c:showBubbleSize val="0"/>
        </c:dLbls>
        <c:gapWidth val="150"/>
        <c:overlap val="100"/>
        <c:axId val="146963456"/>
        <c:axId val="367246656"/>
      </c:barChart>
      <c:catAx>
        <c:axId val="146963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67246656"/>
        <c:crosses val="autoZero"/>
        <c:auto val="1"/>
        <c:lblAlgn val="ctr"/>
        <c:lblOffset val="100"/>
        <c:noMultiLvlLbl val="0"/>
      </c:catAx>
      <c:valAx>
        <c:axId val="3672466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46963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39768272896164"/>
          <c:y val="5.0749711649365627E-2"/>
          <c:w val="0.6351663152544661"/>
          <c:h val="0.42248854486409532"/>
        </c:manualLayout>
      </c:layout>
      <c:barChart>
        <c:barDir val="bar"/>
        <c:grouping val="percentStacked"/>
        <c:varyColors val="0"/>
        <c:ser>
          <c:idx val="0"/>
          <c:order val="0"/>
          <c:tx>
            <c:strRef>
              <c:f>'Reali paklausa_grafikai'!$H$58</c:f>
              <c:strCache>
                <c:ptCount val="1"/>
                <c:pt idx="0">
                  <c:v>Veiklos skaitmenizavimas, diegiant gamybos procesuose IT technologijas ir pan.</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paklausa_grafikai'!$I$58:$K$58</c:f>
              <c:numCache>
                <c:formatCode>0%</c:formatCode>
                <c:ptCount val="3"/>
                <c:pt idx="0">
                  <c:v>0.1</c:v>
                </c:pt>
                <c:pt idx="1">
                  <c:v>0.16969696969696971</c:v>
                </c:pt>
                <c:pt idx="2">
                  <c:v>0.16216216216216217</c:v>
                </c:pt>
              </c:numCache>
            </c:numRef>
          </c:val>
          <c:extLst>
            <c:ext xmlns:c16="http://schemas.microsoft.com/office/drawing/2014/chart" uri="{C3380CC4-5D6E-409C-BE32-E72D297353CC}">
              <c16:uniqueId val="{00000000-A887-4613-89CF-6F12496123E6}"/>
            </c:ext>
          </c:extLst>
        </c:ser>
        <c:ser>
          <c:idx val="1"/>
          <c:order val="1"/>
          <c:tx>
            <c:strRef>
              <c:f>'Reali paklausa_grafikai'!$H$59</c:f>
              <c:strCache>
                <c:ptCount val="1"/>
                <c:pt idx="0">
                  <c:v>Gamybos modernizavimas, atnaujinant nusidėvėjusius įrenginius ir infrastruktūrą</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paklausa_grafikai'!$I$59:$K$59</c:f>
              <c:numCache>
                <c:formatCode>0%</c:formatCode>
                <c:ptCount val="3"/>
                <c:pt idx="0">
                  <c:v>0.2</c:v>
                </c:pt>
                <c:pt idx="1">
                  <c:v>0.20606060606060606</c:v>
                </c:pt>
                <c:pt idx="2">
                  <c:v>0.20540540540540542</c:v>
                </c:pt>
              </c:numCache>
            </c:numRef>
          </c:val>
          <c:extLst>
            <c:ext xmlns:c16="http://schemas.microsoft.com/office/drawing/2014/chart" uri="{C3380CC4-5D6E-409C-BE32-E72D297353CC}">
              <c16:uniqueId val="{00000001-A887-4613-89CF-6F12496123E6}"/>
            </c:ext>
          </c:extLst>
        </c:ser>
        <c:ser>
          <c:idx val="2"/>
          <c:order val="2"/>
          <c:tx>
            <c:strRef>
              <c:f>'Reali paklausa_grafikai'!$H$60</c:f>
              <c:strCache>
                <c:ptCount val="1"/>
                <c:pt idx="0">
                  <c:v>Gamybos modernizavimas, diegiant pažangias technologijas gamybos procesuose</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paklausa_grafikai'!$I$60:$K$60</c:f>
              <c:numCache>
                <c:formatCode>0%</c:formatCode>
                <c:ptCount val="3"/>
                <c:pt idx="0">
                  <c:v>0.2</c:v>
                </c:pt>
                <c:pt idx="1">
                  <c:v>0.2</c:v>
                </c:pt>
                <c:pt idx="2">
                  <c:v>0.2</c:v>
                </c:pt>
              </c:numCache>
            </c:numRef>
          </c:val>
          <c:extLst>
            <c:ext xmlns:c16="http://schemas.microsoft.com/office/drawing/2014/chart" uri="{C3380CC4-5D6E-409C-BE32-E72D297353CC}">
              <c16:uniqueId val="{00000002-A887-4613-89CF-6F12496123E6}"/>
            </c:ext>
          </c:extLst>
        </c:ser>
        <c:ser>
          <c:idx val="3"/>
          <c:order val="3"/>
          <c:tx>
            <c:strRef>
              <c:f>'Reali paklausa_grafikai'!$H$61</c:f>
              <c:strCache>
                <c:ptCount val="1"/>
                <c:pt idx="0">
                  <c:v>Perėjimas link neutralios klimatui ekonomikos, diegiant aplinkosaugines inovacijas ir / ar sprendimus</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paklausa_grafikai'!$I$61:$K$61</c:f>
              <c:numCache>
                <c:formatCode>0%</c:formatCode>
                <c:ptCount val="3"/>
                <c:pt idx="0">
                  <c:v>0.15</c:v>
                </c:pt>
                <c:pt idx="1">
                  <c:v>0.15151515151515152</c:v>
                </c:pt>
                <c:pt idx="2">
                  <c:v>0.15135135135135136</c:v>
                </c:pt>
              </c:numCache>
            </c:numRef>
          </c:val>
          <c:extLst>
            <c:ext xmlns:c16="http://schemas.microsoft.com/office/drawing/2014/chart" uri="{C3380CC4-5D6E-409C-BE32-E72D297353CC}">
              <c16:uniqueId val="{00000003-A887-4613-89CF-6F12496123E6}"/>
            </c:ext>
          </c:extLst>
        </c:ser>
        <c:ser>
          <c:idx val="4"/>
          <c:order val="4"/>
          <c:tx>
            <c:strRef>
              <c:f>'Reali paklausa_grafikai'!$H$62</c:f>
              <c:strCache>
                <c:ptCount val="1"/>
                <c:pt idx="0">
                  <c:v>Energetinių sąnaudų mažinimas, investuojant į energijos taupymo sprendimus, atsinaujinančius energijos išteklius</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paklausa_grafikai'!$I$62:$K$62</c:f>
              <c:numCache>
                <c:formatCode>0%</c:formatCode>
                <c:ptCount val="3"/>
                <c:pt idx="0">
                  <c:v>0.15</c:v>
                </c:pt>
                <c:pt idx="1">
                  <c:v>0.2</c:v>
                </c:pt>
                <c:pt idx="2">
                  <c:v>0.19459459459459461</c:v>
                </c:pt>
              </c:numCache>
            </c:numRef>
          </c:val>
          <c:extLst>
            <c:ext xmlns:c16="http://schemas.microsoft.com/office/drawing/2014/chart" uri="{C3380CC4-5D6E-409C-BE32-E72D297353CC}">
              <c16:uniqueId val="{00000004-A887-4613-89CF-6F12496123E6}"/>
            </c:ext>
          </c:extLst>
        </c:ser>
        <c:ser>
          <c:idx val="5"/>
          <c:order val="5"/>
          <c:tx>
            <c:strRef>
              <c:f>'Reali paklausa_grafikai'!$H$63</c:f>
              <c:strCache>
                <c:ptCount val="1"/>
                <c:pt idx="0">
                  <c:v>MTEP veiklų įgyvendinimas ir rezultatų taikymas savo įmonėje</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paklausa_grafikai'!$I$63:$K$63</c:f>
              <c:numCache>
                <c:formatCode>0%</c:formatCode>
                <c:ptCount val="3"/>
                <c:pt idx="0">
                  <c:v>0.15</c:v>
                </c:pt>
                <c:pt idx="1">
                  <c:v>6.0606060606060608E-2</c:v>
                </c:pt>
                <c:pt idx="2">
                  <c:v>7.0270270270270274E-2</c:v>
                </c:pt>
              </c:numCache>
            </c:numRef>
          </c:val>
          <c:extLst>
            <c:ext xmlns:c16="http://schemas.microsoft.com/office/drawing/2014/chart" uri="{C3380CC4-5D6E-409C-BE32-E72D297353CC}">
              <c16:uniqueId val="{00000005-A887-4613-89CF-6F12496123E6}"/>
            </c:ext>
          </c:extLst>
        </c:ser>
        <c:ser>
          <c:idx val="6"/>
          <c:order val="6"/>
          <c:tx>
            <c:strRef>
              <c:f>'Reali paklausa_grafikai'!$H$64</c:f>
              <c:strCache>
                <c:ptCount val="1"/>
                <c:pt idx="0">
                  <c:v>MTEP veiklų įgyvendinimas ir rezultatų pardavimas kitiems</c:v>
                </c:pt>
              </c:strCache>
            </c:strRef>
          </c:tx>
          <c:spPr>
            <a:solidFill>
              <a:schemeClr val="accent6">
                <a:lumMod val="80000"/>
                <a:lumOff val="2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paklausa_grafikai'!$I$64:$K$64</c:f>
              <c:numCache>
                <c:formatCode>0%</c:formatCode>
                <c:ptCount val="3"/>
                <c:pt idx="0">
                  <c:v>0.05</c:v>
                </c:pt>
                <c:pt idx="1">
                  <c:v>1.2121212121212121E-2</c:v>
                </c:pt>
                <c:pt idx="2">
                  <c:v>1.6216216216216217E-2</c:v>
                </c:pt>
              </c:numCache>
            </c:numRef>
          </c:val>
          <c:extLst>
            <c:ext xmlns:c16="http://schemas.microsoft.com/office/drawing/2014/chart" uri="{C3380CC4-5D6E-409C-BE32-E72D297353CC}">
              <c16:uniqueId val="{00000006-A887-4613-89CF-6F12496123E6}"/>
            </c:ext>
          </c:extLst>
        </c:ser>
        <c:dLbls>
          <c:dLblPos val="ctr"/>
          <c:showLegendKey val="0"/>
          <c:showVal val="1"/>
          <c:showCatName val="0"/>
          <c:showSerName val="0"/>
          <c:showPercent val="0"/>
          <c:showBubbleSize val="0"/>
        </c:dLbls>
        <c:gapWidth val="150"/>
        <c:overlap val="100"/>
        <c:axId val="147221504"/>
        <c:axId val="147091392"/>
      </c:barChart>
      <c:catAx>
        <c:axId val="1472215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47091392"/>
        <c:crosses val="autoZero"/>
        <c:auto val="1"/>
        <c:lblAlgn val="ctr"/>
        <c:lblOffset val="100"/>
        <c:noMultiLvlLbl val="0"/>
      </c:catAx>
      <c:valAx>
        <c:axId val="1470913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47221504"/>
        <c:crosses val="autoZero"/>
        <c:crossBetween val="between"/>
      </c:valAx>
      <c:spPr>
        <a:noFill/>
        <a:ln>
          <a:noFill/>
        </a:ln>
        <a:effectLst/>
      </c:spPr>
    </c:plotArea>
    <c:legend>
      <c:legendPos val="b"/>
      <c:layout>
        <c:manualLayout>
          <c:xMode val="edge"/>
          <c:yMode val="edge"/>
          <c:x val="2.5503650608696339E-2"/>
          <c:y val="0.545510621370629"/>
          <c:w val="0.91136859463247721"/>
          <c:h val="0.45448937862937105"/>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905979399633868"/>
          <c:y val="4.238921001926782E-2"/>
          <c:w val="0.59936037407088816"/>
          <c:h val="0.44489493726578977"/>
        </c:manualLayout>
      </c:layout>
      <c:barChart>
        <c:barDir val="bar"/>
        <c:grouping val="percentStacked"/>
        <c:varyColors val="0"/>
        <c:ser>
          <c:idx val="0"/>
          <c:order val="0"/>
          <c:tx>
            <c:strRef>
              <c:f>'Reali paklausa_grafikai'!$I$25</c:f>
              <c:strCache>
                <c:ptCount val="1"/>
                <c:pt idx="0">
                  <c:v>Investicijas į mašinas ir įrenginius</c:v>
                </c:pt>
              </c:strCache>
              <c:extLst/>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paklausa_grafikai'!$K$25:$M$25</c:f>
              <c:numCache>
                <c:formatCode>0%</c:formatCode>
                <c:ptCount val="3"/>
                <c:pt idx="0">
                  <c:v>0.21739130434782608</c:v>
                </c:pt>
                <c:pt idx="1">
                  <c:v>0.22560975609756098</c:v>
                </c:pt>
                <c:pt idx="2">
                  <c:v>0.22459893048128343</c:v>
                </c:pt>
              </c:numCache>
            </c:numRef>
          </c:val>
          <c:extLst>
            <c:ext xmlns:c16="http://schemas.microsoft.com/office/drawing/2014/chart" uri="{C3380CC4-5D6E-409C-BE32-E72D297353CC}">
              <c16:uniqueId val="{00000000-A6F2-4B6E-A72B-6027C2538C52}"/>
            </c:ext>
          </c:extLst>
        </c:ser>
        <c:ser>
          <c:idx val="1"/>
          <c:order val="1"/>
          <c:tx>
            <c:strRef>
              <c:f>'Reali paklausa_grafikai'!$I$26</c:f>
              <c:strCache>
                <c:ptCount val="1"/>
                <c:pt idx="0">
                  <c:v>Investicijas į žemę, pastatus ir infrastruktūrą</c:v>
                </c:pt>
              </c:strCache>
              <c:extLst/>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paklausa_grafikai'!$K$26:$M$26</c:f>
              <c:numCache>
                <c:formatCode>0%</c:formatCode>
                <c:ptCount val="3"/>
                <c:pt idx="0">
                  <c:v>8.6956521739130432E-2</c:v>
                </c:pt>
                <c:pt idx="1">
                  <c:v>0.15853658536585366</c:v>
                </c:pt>
                <c:pt idx="2">
                  <c:v>0.1497326203208556</c:v>
                </c:pt>
              </c:numCache>
            </c:numRef>
          </c:val>
          <c:extLst>
            <c:ext xmlns:c16="http://schemas.microsoft.com/office/drawing/2014/chart" uri="{C3380CC4-5D6E-409C-BE32-E72D297353CC}">
              <c16:uniqueId val="{00000001-A6F2-4B6E-A72B-6027C2538C52}"/>
            </c:ext>
          </c:extLst>
        </c:ser>
        <c:ser>
          <c:idx val="2"/>
          <c:order val="2"/>
          <c:tx>
            <c:strRef>
              <c:f>'Reali paklausa_grafikai'!$I$27</c:f>
              <c:strCache>
                <c:ptCount val="1"/>
                <c:pt idx="0">
                  <c:v>Investicijas į mokslinius tyrimus ir eksperimentinę plėtrą</c:v>
                </c:pt>
              </c:strCache>
              <c:extLst/>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paklausa_grafikai'!$K$27:$M$27</c:f>
              <c:numCache>
                <c:formatCode>0%</c:formatCode>
                <c:ptCount val="3"/>
                <c:pt idx="0">
                  <c:v>0.13043478260869565</c:v>
                </c:pt>
                <c:pt idx="1">
                  <c:v>7.926829268292683E-2</c:v>
                </c:pt>
                <c:pt idx="2" formatCode="0.0%">
                  <c:v>8.5561497326203204E-2</c:v>
                </c:pt>
              </c:numCache>
            </c:numRef>
          </c:val>
          <c:extLst>
            <c:ext xmlns:c16="http://schemas.microsoft.com/office/drawing/2014/chart" uri="{C3380CC4-5D6E-409C-BE32-E72D297353CC}">
              <c16:uniqueId val="{00000002-A6F2-4B6E-A72B-6027C2538C52}"/>
            </c:ext>
          </c:extLst>
        </c:ser>
        <c:ser>
          <c:idx val="3"/>
          <c:order val="3"/>
          <c:tx>
            <c:strRef>
              <c:f>'Reali paklausa_grafikai'!$I$28</c:f>
              <c:strCache>
                <c:ptCount val="1"/>
                <c:pt idx="0">
                  <c:v>Investicijas į nematerialųjį turtą (programinė įranga, intelektinė nuosavybė, licenzijos ir t.t.)</c:v>
                </c:pt>
              </c:strCache>
              <c:extLst/>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paklausa_grafikai'!$K$28:$M$28</c:f>
              <c:numCache>
                <c:formatCode>0%</c:formatCode>
                <c:ptCount val="3"/>
                <c:pt idx="0">
                  <c:v>0.17391304347826086</c:v>
                </c:pt>
                <c:pt idx="1">
                  <c:v>0.14634146341463414</c:v>
                </c:pt>
                <c:pt idx="2">
                  <c:v>0.1497326203208556</c:v>
                </c:pt>
              </c:numCache>
            </c:numRef>
          </c:val>
          <c:extLst>
            <c:ext xmlns:c16="http://schemas.microsoft.com/office/drawing/2014/chart" uri="{C3380CC4-5D6E-409C-BE32-E72D297353CC}">
              <c16:uniqueId val="{00000003-A6F2-4B6E-A72B-6027C2538C52}"/>
            </c:ext>
          </c:extLst>
        </c:ser>
        <c:ser>
          <c:idx val="4"/>
          <c:order val="4"/>
          <c:tx>
            <c:strRef>
              <c:f>'Reali paklausa_grafikai'!$I$29</c:f>
              <c:strCache>
                <c:ptCount val="1"/>
                <c:pt idx="0">
                  <c:v>Investicijas į žmogiškąjį kapitalą (darbuotojų kvalifikacijos kėlimą, naujų darbuotojų parengimą ir t.t)</c:v>
                </c:pt>
              </c:strCache>
              <c:extLst/>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paklausa_grafikai'!$K$29:$M$29</c:f>
              <c:numCache>
                <c:formatCode>0%</c:formatCode>
                <c:ptCount val="3"/>
                <c:pt idx="0">
                  <c:v>0.21739130434782608</c:v>
                </c:pt>
                <c:pt idx="1">
                  <c:v>0.1951219512195122</c:v>
                </c:pt>
                <c:pt idx="2">
                  <c:v>0.19786096256684493</c:v>
                </c:pt>
              </c:numCache>
            </c:numRef>
          </c:val>
          <c:extLst>
            <c:ext xmlns:c16="http://schemas.microsoft.com/office/drawing/2014/chart" uri="{C3380CC4-5D6E-409C-BE32-E72D297353CC}">
              <c16:uniqueId val="{00000004-A6F2-4B6E-A72B-6027C2538C52}"/>
            </c:ext>
          </c:extLst>
        </c:ser>
        <c:ser>
          <c:idx val="5"/>
          <c:order val="5"/>
          <c:tx>
            <c:strRef>
              <c:f>'Reali paklausa_grafikai'!$I$30</c:f>
              <c:strCache>
                <c:ptCount val="1"/>
                <c:pt idx="0">
                  <c:v>Investicijas į pažangios gamybos technologijas</c:v>
                </c:pt>
              </c:strCache>
              <c:extLst/>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paklausa_grafikai'!$K$30:$M$30</c:f>
              <c:numCache>
                <c:formatCode>0%</c:formatCode>
                <c:ptCount val="3"/>
                <c:pt idx="0">
                  <c:v>0.17391304347826086</c:v>
                </c:pt>
                <c:pt idx="1">
                  <c:v>0.1951219512195122</c:v>
                </c:pt>
                <c:pt idx="2">
                  <c:v>0.19251336898395721</c:v>
                </c:pt>
              </c:numCache>
            </c:numRef>
          </c:val>
          <c:extLst>
            <c:ext xmlns:c16="http://schemas.microsoft.com/office/drawing/2014/chart" uri="{C3380CC4-5D6E-409C-BE32-E72D297353CC}">
              <c16:uniqueId val="{00000005-A6F2-4B6E-A72B-6027C2538C52}"/>
            </c:ext>
          </c:extLst>
        </c:ser>
        <c:dLbls>
          <c:dLblPos val="ctr"/>
          <c:showLegendKey val="0"/>
          <c:showVal val="1"/>
          <c:showCatName val="0"/>
          <c:showSerName val="0"/>
          <c:showPercent val="0"/>
          <c:showBubbleSize val="0"/>
        </c:dLbls>
        <c:gapWidth val="150"/>
        <c:overlap val="100"/>
        <c:axId val="322847232"/>
        <c:axId val="147093120"/>
      </c:barChart>
      <c:catAx>
        <c:axId val="322847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47093120"/>
        <c:crosses val="autoZero"/>
        <c:auto val="1"/>
        <c:lblAlgn val="ctr"/>
        <c:lblOffset val="100"/>
        <c:noMultiLvlLbl val="0"/>
      </c:catAx>
      <c:valAx>
        <c:axId val="1470931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2847232"/>
        <c:crosses val="autoZero"/>
        <c:crossBetween val="between"/>
      </c:valAx>
      <c:spPr>
        <a:noFill/>
        <a:ln>
          <a:noFill/>
        </a:ln>
        <a:effectLst/>
      </c:spPr>
    </c:plotArea>
    <c:legend>
      <c:legendPos val="b"/>
      <c:layout>
        <c:manualLayout>
          <c:xMode val="edge"/>
          <c:yMode val="edge"/>
          <c:x val="2.876134052375286E-2"/>
          <c:y val="0.55961919499946911"/>
          <c:w val="0.89531760845219599"/>
          <c:h val="0.43141444024699227"/>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'Reali paklausa_grafikai'!$U$35</c:f>
              <c:strCache>
                <c:ptCount val="1"/>
                <c:pt idx="0">
                  <c:v>Neinvestuosime į šias technologijas</c:v>
                </c:pt>
              </c:strCache>
            </c:strRef>
          </c:tx>
          <c:spPr>
            <a:solidFill>
              <a:schemeClr val="accent6"/>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paklausa_grafikai'!$V$34:$X$34</c:f>
              <c:strCache>
                <c:ptCount val="3"/>
                <c:pt idx="0">
                  <c:v>Sostinės regionas</c:v>
                </c:pt>
                <c:pt idx="1">
                  <c:v>Vidurio ir Vakarų Lietuvos regionas</c:v>
                </c:pt>
                <c:pt idx="2">
                  <c:v>Visa Lietuva</c:v>
                </c:pt>
              </c:strCache>
            </c:strRef>
          </c:cat>
          <c:val>
            <c:numRef>
              <c:f>'Reali paklausa_grafikai'!$V$35:$X$35</c:f>
              <c:numCache>
                <c:formatCode>0.00</c:formatCode>
                <c:ptCount val="3"/>
                <c:pt idx="0">
                  <c:v>1</c:v>
                </c:pt>
                <c:pt idx="1">
                  <c:v>0.90625</c:v>
                </c:pt>
                <c:pt idx="2">
                  <c:v>0.91666666666666663</c:v>
                </c:pt>
              </c:numCache>
            </c:numRef>
          </c:val>
          <c:extLst>
            <c:ext xmlns:c16="http://schemas.microsoft.com/office/drawing/2014/chart" uri="{C3380CC4-5D6E-409C-BE32-E72D297353CC}">
              <c16:uniqueId val="{00000000-6BC9-437F-9BB6-797E4B1C3449}"/>
            </c:ext>
          </c:extLst>
        </c:ser>
        <c:ser>
          <c:idx val="1"/>
          <c:order val="1"/>
          <c:tx>
            <c:strRef>
              <c:f>'Reali paklausa_grafikai'!$U$36</c:f>
              <c:strCache>
                <c:ptCount val="1"/>
                <c:pt idx="0">
                  <c:v>Biotechnologijos</c:v>
                </c:pt>
              </c:strCache>
            </c:strRef>
          </c:tx>
          <c:spPr>
            <a:solidFill>
              <a:schemeClr val="accent5"/>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6BC9-437F-9BB6-797E4B1C3449}"/>
                </c:ext>
              </c:extLst>
            </c:dLbl>
            <c:numFmt formatCode="0%"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paklausa_grafikai'!$V$34:$X$34</c:f>
              <c:strCache>
                <c:ptCount val="3"/>
                <c:pt idx="0">
                  <c:v>Sostinės regionas</c:v>
                </c:pt>
                <c:pt idx="1">
                  <c:v>Vidurio ir Vakarų Lietuvos regionas</c:v>
                </c:pt>
                <c:pt idx="2">
                  <c:v>Visa Lietuva</c:v>
                </c:pt>
              </c:strCache>
            </c:strRef>
          </c:cat>
          <c:val>
            <c:numRef>
              <c:f>'Reali paklausa_grafikai'!$V$36:$X$36</c:f>
              <c:numCache>
                <c:formatCode>0.00</c:formatCode>
                <c:ptCount val="3"/>
                <c:pt idx="0">
                  <c:v>0</c:v>
                </c:pt>
                <c:pt idx="1">
                  <c:v>6.25E-2</c:v>
                </c:pt>
                <c:pt idx="2">
                  <c:v>5.5555555555555552E-2</c:v>
                </c:pt>
              </c:numCache>
            </c:numRef>
          </c:val>
          <c:extLst>
            <c:ext xmlns:c16="http://schemas.microsoft.com/office/drawing/2014/chart" uri="{C3380CC4-5D6E-409C-BE32-E72D297353CC}">
              <c16:uniqueId val="{00000002-6BC9-437F-9BB6-797E4B1C3449}"/>
            </c:ext>
          </c:extLst>
        </c:ser>
        <c:ser>
          <c:idx val="2"/>
          <c:order val="2"/>
          <c:tx>
            <c:strRef>
              <c:f>'Reali paklausa_grafikai'!$U$37</c:f>
              <c:strCache>
                <c:ptCount val="1"/>
                <c:pt idx="0">
                  <c:v>Gynybos ir saugumo pramonės technologijos</c:v>
                </c:pt>
              </c:strCache>
            </c:strRef>
          </c:tx>
          <c:spPr>
            <a:solidFill>
              <a:schemeClr val="accent4"/>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6BC9-437F-9BB6-797E4B1C3449}"/>
                </c:ext>
              </c:extLst>
            </c:dLbl>
            <c:numFmt formatCode="0%"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paklausa_grafikai'!$V$34:$X$34</c:f>
              <c:strCache>
                <c:ptCount val="3"/>
                <c:pt idx="0">
                  <c:v>Sostinės regionas</c:v>
                </c:pt>
                <c:pt idx="1">
                  <c:v>Vidurio ir Vakarų Lietuvos regionas</c:v>
                </c:pt>
                <c:pt idx="2">
                  <c:v>Visa Lietuva</c:v>
                </c:pt>
              </c:strCache>
            </c:strRef>
          </c:cat>
          <c:val>
            <c:numRef>
              <c:f>'Reali paklausa_grafikai'!$V$37:$X$37</c:f>
              <c:numCache>
                <c:formatCode>0.00</c:formatCode>
                <c:ptCount val="3"/>
                <c:pt idx="0">
                  <c:v>0</c:v>
                </c:pt>
                <c:pt idx="1">
                  <c:v>3.125E-2</c:v>
                </c:pt>
                <c:pt idx="2">
                  <c:v>2.7777777777777776E-2</c:v>
                </c:pt>
              </c:numCache>
            </c:numRef>
          </c:val>
          <c:extLst>
            <c:ext xmlns:c16="http://schemas.microsoft.com/office/drawing/2014/chart" uri="{C3380CC4-5D6E-409C-BE32-E72D297353CC}">
              <c16:uniqueId val="{00000004-6BC9-437F-9BB6-797E4B1C3449}"/>
            </c:ext>
          </c:extLst>
        </c:ser>
        <c:dLbls>
          <c:dLblPos val="ctr"/>
          <c:showLegendKey val="0"/>
          <c:showVal val="1"/>
          <c:showCatName val="0"/>
          <c:showSerName val="0"/>
          <c:showPercent val="0"/>
          <c:showBubbleSize val="0"/>
        </c:dLbls>
        <c:gapWidth val="150"/>
        <c:overlap val="100"/>
        <c:axId val="322848256"/>
        <c:axId val="147094848"/>
      </c:barChart>
      <c:catAx>
        <c:axId val="322848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47094848"/>
        <c:crosses val="autoZero"/>
        <c:auto val="1"/>
        <c:lblAlgn val="ctr"/>
        <c:lblOffset val="100"/>
        <c:noMultiLvlLbl val="0"/>
      </c:catAx>
      <c:valAx>
        <c:axId val="147094848"/>
        <c:scaling>
          <c:orientation val="minMax"/>
          <c:min val="0"/>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2848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640378614090563E-2"/>
          <c:y val="4.8087431693989074E-2"/>
          <c:w val="0.91390546479229473"/>
          <c:h val="0.37810914931645812"/>
        </c:manualLayout>
      </c:layout>
      <c:barChart>
        <c:barDir val="bar"/>
        <c:grouping val="percentStacked"/>
        <c:varyColors val="0"/>
        <c:ser>
          <c:idx val="0"/>
          <c:order val="0"/>
          <c:tx>
            <c:strRef>
              <c:f>'Neinvestavimo priežastys'!$E$3</c:f>
              <c:strCache>
                <c:ptCount val="1"/>
                <c:pt idx="0">
                  <c:v>Per pastaruosius 1-2 metus atlikome investicijas, todėl nėra poreikio dabar</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lgn="l">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priežastys'!$G$3</c:f>
              <c:numCache>
                <c:formatCode>0%</c:formatCode>
                <c:ptCount val="1"/>
                <c:pt idx="0">
                  <c:v>0.3</c:v>
                </c:pt>
              </c:numCache>
            </c:numRef>
          </c:val>
          <c:extLst>
            <c:ext xmlns:c16="http://schemas.microsoft.com/office/drawing/2014/chart" uri="{C3380CC4-5D6E-409C-BE32-E72D297353CC}">
              <c16:uniqueId val="{00000000-E967-4D8C-89D4-B22BFBD4DE6D}"/>
            </c:ext>
          </c:extLst>
        </c:ser>
        <c:ser>
          <c:idx val="1"/>
          <c:order val="1"/>
          <c:tx>
            <c:strRef>
              <c:f>'Neinvestavimo priežastys'!$E$4</c:f>
              <c:strCache>
                <c:ptCount val="1"/>
                <c:pt idx="0">
                  <c:v>Nepakankama gaminamos produkcijos paklausa</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priežastys'!$G$4</c:f>
              <c:numCache>
                <c:formatCode>0%</c:formatCode>
                <c:ptCount val="1"/>
                <c:pt idx="0">
                  <c:v>0.3</c:v>
                </c:pt>
              </c:numCache>
            </c:numRef>
          </c:val>
          <c:extLst>
            <c:ext xmlns:c16="http://schemas.microsoft.com/office/drawing/2014/chart" uri="{C3380CC4-5D6E-409C-BE32-E72D297353CC}">
              <c16:uniqueId val="{00000001-E967-4D8C-89D4-B22BFBD4DE6D}"/>
            </c:ext>
          </c:extLst>
        </c:ser>
        <c:ser>
          <c:idx val="2"/>
          <c:order val="2"/>
          <c:tx>
            <c:strRef>
              <c:f>'Neinvestavimo priežastys'!$E$5</c:f>
              <c:strCache>
                <c:ptCount val="1"/>
                <c:pt idx="0">
                  <c:v>Finansiniai sunkumai</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priežastys'!$G$5</c:f>
              <c:numCache>
                <c:formatCode>0%</c:formatCode>
                <c:ptCount val="1"/>
                <c:pt idx="0">
                  <c:v>0.1</c:v>
                </c:pt>
              </c:numCache>
            </c:numRef>
          </c:val>
          <c:extLst>
            <c:ext xmlns:c16="http://schemas.microsoft.com/office/drawing/2014/chart" uri="{C3380CC4-5D6E-409C-BE32-E72D297353CC}">
              <c16:uniqueId val="{00000002-E967-4D8C-89D4-B22BFBD4DE6D}"/>
            </c:ext>
          </c:extLst>
        </c:ser>
        <c:ser>
          <c:idx val="3"/>
          <c:order val="3"/>
          <c:tx>
            <c:strRef>
              <c:f>'Neinvestavimo priežastys'!$E$6</c:f>
              <c:strCache>
                <c:ptCount val="1"/>
                <c:pt idx="0">
                  <c:v>Nepatrauklios išorinio finansavimo sąlygos (pavyzdžiui, per didelės palūkanų normos, per aukšti bankų reikalavimai</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priežastys'!$G$6</c:f>
              <c:numCache>
                <c:formatCode>0%</c:formatCode>
                <c:ptCount val="1"/>
                <c:pt idx="0">
                  <c:v>0.2</c:v>
                </c:pt>
              </c:numCache>
            </c:numRef>
          </c:val>
          <c:extLst>
            <c:ext xmlns:c16="http://schemas.microsoft.com/office/drawing/2014/chart" uri="{C3380CC4-5D6E-409C-BE32-E72D297353CC}">
              <c16:uniqueId val="{00000003-E967-4D8C-89D4-B22BFBD4DE6D}"/>
            </c:ext>
          </c:extLst>
        </c:ser>
        <c:ser>
          <c:idx val="4"/>
          <c:order val="4"/>
          <c:tx>
            <c:strRef>
              <c:f>'Neinvestavimo priežastys'!$E$7</c:f>
              <c:strCache>
                <c:ptCount val="1"/>
                <c:pt idx="0">
                  <c:v>Kiti veiksniai</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priežastys'!$G$7</c:f>
              <c:numCache>
                <c:formatCode>0%</c:formatCode>
                <c:ptCount val="1"/>
                <c:pt idx="0">
                  <c:v>0.1</c:v>
                </c:pt>
              </c:numCache>
            </c:numRef>
          </c:val>
          <c:extLst>
            <c:ext xmlns:c16="http://schemas.microsoft.com/office/drawing/2014/chart" uri="{C3380CC4-5D6E-409C-BE32-E72D297353CC}">
              <c16:uniqueId val="{00000004-E967-4D8C-89D4-B22BFBD4DE6D}"/>
            </c:ext>
          </c:extLst>
        </c:ser>
        <c:dLbls>
          <c:dLblPos val="ctr"/>
          <c:showLegendKey val="0"/>
          <c:showVal val="1"/>
          <c:showCatName val="0"/>
          <c:showSerName val="0"/>
          <c:showPercent val="0"/>
          <c:showBubbleSize val="0"/>
        </c:dLbls>
        <c:gapWidth val="150"/>
        <c:overlap val="100"/>
        <c:axId val="322850304"/>
        <c:axId val="322823296"/>
      </c:barChart>
      <c:catAx>
        <c:axId val="322850304"/>
        <c:scaling>
          <c:orientation val="minMax"/>
        </c:scaling>
        <c:delete val="1"/>
        <c:axPos val="l"/>
        <c:numFmt formatCode="General" sourceLinked="1"/>
        <c:majorTickMark val="none"/>
        <c:minorTickMark val="none"/>
        <c:tickLblPos val="nextTo"/>
        <c:crossAx val="322823296"/>
        <c:crosses val="autoZero"/>
        <c:auto val="1"/>
        <c:lblAlgn val="ctr"/>
        <c:lblOffset val="100"/>
        <c:noMultiLvlLbl val="0"/>
      </c:catAx>
      <c:valAx>
        <c:axId val="32282329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2850304"/>
        <c:crosses val="autoZero"/>
        <c:crossBetween val="between"/>
      </c:valAx>
      <c:spPr>
        <a:noFill/>
        <a:ln>
          <a:solidFill>
            <a:schemeClr val="bg1"/>
          </a:solidFill>
        </a:ln>
        <a:effectLst/>
      </c:spPr>
    </c:plotArea>
    <c:legend>
      <c:legendPos val="b"/>
      <c:layout>
        <c:manualLayout>
          <c:xMode val="edge"/>
          <c:yMode val="edge"/>
          <c:x val="2.1373092802810748E-2"/>
          <c:y val="0.53086203565045176"/>
          <c:w val="0.95918797908608011"/>
          <c:h val="0.44789351795421856"/>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lgn="just">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933762844906883E-2"/>
          <c:y val="3.0537151037938436E-2"/>
          <c:w val="0.93035759378474192"/>
          <c:h val="0.41319128661729354"/>
        </c:manualLayout>
      </c:layout>
      <c:barChart>
        <c:barDir val="bar"/>
        <c:grouping val="percentStacked"/>
        <c:varyColors val="0"/>
        <c:ser>
          <c:idx val="0"/>
          <c:order val="0"/>
          <c:tx>
            <c:strRef>
              <c:f>'Neinvestavimo priežastys'!$E$10</c:f>
              <c:strCache>
                <c:ptCount val="1"/>
                <c:pt idx="0">
                  <c:v>Per dideli užstato reikalavimai</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priežastys'!$G$10</c:f>
              <c:numCache>
                <c:formatCode>0%</c:formatCode>
                <c:ptCount val="1"/>
                <c:pt idx="0">
                  <c:v>0.1111111111111111</c:v>
                </c:pt>
              </c:numCache>
            </c:numRef>
          </c:val>
          <c:extLst>
            <c:ext xmlns:c16="http://schemas.microsoft.com/office/drawing/2014/chart" uri="{C3380CC4-5D6E-409C-BE32-E72D297353CC}">
              <c16:uniqueId val="{00000000-288E-49BB-8147-8FC7FD53A811}"/>
            </c:ext>
          </c:extLst>
        </c:ser>
        <c:ser>
          <c:idx val="1"/>
          <c:order val="1"/>
          <c:tx>
            <c:strRef>
              <c:f>'Neinvestavimo priežastys'!$E$11</c:f>
              <c:strCache>
                <c:ptCount val="1"/>
                <c:pt idx="0">
                  <c:v>Per didelė finansavimo kaina (palūkanos, garantijos mokestis)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priežastys'!$G$11</c:f>
              <c:numCache>
                <c:formatCode>0%</c:formatCode>
                <c:ptCount val="1"/>
                <c:pt idx="0">
                  <c:v>0.22222222222222221</c:v>
                </c:pt>
              </c:numCache>
            </c:numRef>
          </c:val>
          <c:extLst>
            <c:ext xmlns:c16="http://schemas.microsoft.com/office/drawing/2014/chart" uri="{C3380CC4-5D6E-409C-BE32-E72D297353CC}">
              <c16:uniqueId val="{00000001-288E-49BB-8147-8FC7FD53A811}"/>
            </c:ext>
          </c:extLst>
        </c:ser>
        <c:ser>
          <c:idx val="2"/>
          <c:order val="2"/>
          <c:tx>
            <c:strRef>
              <c:f>'Neinvestavimo priežastys'!$E$12</c:f>
              <c:strCache>
                <c:ptCount val="1"/>
                <c:pt idx="0">
                  <c:v>Per didelė reikalaujama nuosavų lėšų dalis</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priežastys'!$G$12</c:f>
              <c:numCache>
                <c:formatCode>0%</c:formatCode>
                <c:ptCount val="1"/>
                <c:pt idx="0">
                  <c:v>0.22222222222222221</c:v>
                </c:pt>
              </c:numCache>
            </c:numRef>
          </c:val>
          <c:extLst>
            <c:ext xmlns:c16="http://schemas.microsoft.com/office/drawing/2014/chart" uri="{C3380CC4-5D6E-409C-BE32-E72D297353CC}">
              <c16:uniqueId val="{00000002-288E-49BB-8147-8FC7FD53A811}"/>
            </c:ext>
          </c:extLst>
        </c:ser>
        <c:ser>
          <c:idx val="3"/>
          <c:order val="3"/>
          <c:tx>
            <c:strRef>
              <c:f>'Neinvestavimo priežastys'!$E$13</c:f>
              <c:strCache>
                <c:ptCount val="1"/>
                <c:pt idx="0">
                  <c:v>Suteikiama per maža reikiamo finansavimo suma</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priežastys'!$G$13</c:f>
              <c:numCache>
                <c:formatCode>0%</c:formatCode>
                <c:ptCount val="1"/>
                <c:pt idx="0">
                  <c:v>0.22222222222222221</c:v>
                </c:pt>
              </c:numCache>
            </c:numRef>
          </c:val>
          <c:extLst>
            <c:ext xmlns:c16="http://schemas.microsoft.com/office/drawing/2014/chart" uri="{C3380CC4-5D6E-409C-BE32-E72D297353CC}">
              <c16:uniqueId val="{00000003-288E-49BB-8147-8FC7FD53A811}"/>
            </c:ext>
          </c:extLst>
        </c:ser>
        <c:ser>
          <c:idx val="4"/>
          <c:order val="4"/>
          <c:tx>
            <c:strRef>
              <c:f>'Neinvestavimo priežastys'!$E$14</c:f>
              <c:strCache>
                <c:ptCount val="1"/>
                <c:pt idx="0">
                  <c:v>Ilgas finansavimo sprendimo priėmimo laikotarpis</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priežastys'!$G$14</c:f>
              <c:numCache>
                <c:formatCode>0%</c:formatCode>
                <c:ptCount val="1"/>
                <c:pt idx="0">
                  <c:v>0.1111111111111111</c:v>
                </c:pt>
              </c:numCache>
            </c:numRef>
          </c:val>
          <c:extLst>
            <c:ext xmlns:c16="http://schemas.microsoft.com/office/drawing/2014/chart" uri="{C3380CC4-5D6E-409C-BE32-E72D297353CC}">
              <c16:uniqueId val="{00000004-288E-49BB-8147-8FC7FD53A811}"/>
            </c:ext>
          </c:extLst>
        </c:ser>
        <c:ser>
          <c:idx val="5"/>
          <c:order val="5"/>
          <c:tx>
            <c:strRef>
              <c:f>'Neinvestavimo priežastys'!$E$15</c:f>
              <c:strCache>
                <c:ptCount val="1"/>
                <c:pt idx="0">
                  <c:v>Didelis finansavimo suteikimui reikalingų dokumentų kiekis</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priežastys'!$G$15</c:f>
              <c:numCache>
                <c:formatCode>0%</c:formatCode>
                <c:ptCount val="1"/>
                <c:pt idx="0">
                  <c:v>0.1111111111111111</c:v>
                </c:pt>
              </c:numCache>
            </c:numRef>
          </c:val>
          <c:extLst>
            <c:ext xmlns:c16="http://schemas.microsoft.com/office/drawing/2014/chart" uri="{C3380CC4-5D6E-409C-BE32-E72D297353CC}">
              <c16:uniqueId val="{00000005-288E-49BB-8147-8FC7FD53A811}"/>
            </c:ext>
          </c:extLst>
        </c:ser>
        <c:ser>
          <c:idx val="6"/>
          <c:order val="6"/>
          <c:tx>
            <c:strRef>
              <c:f>'Neinvestavimo priežastys'!$E$16</c:f>
              <c:strCache>
                <c:ptCount val="1"/>
                <c:pt idx="0">
                  <c:v>Kita</c:v>
                </c:pt>
              </c:strCache>
            </c:strRef>
          </c:tx>
          <c:spPr>
            <a:solidFill>
              <a:schemeClr val="accent6">
                <a:lumMod val="80000"/>
                <a:lumOff val="20000"/>
              </a:schemeClr>
            </a:solidFill>
            <a:ln>
              <a:noFill/>
            </a:ln>
            <a:effectLst/>
          </c:spPr>
          <c:invertIfNegative val="0"/>
          <c:dLbls>
            <c:delete val="1"/>
          </c:dLbls>
          <c:val>
            <c:numRef>
              <c:f>'Neinvestavimo priežastys'!$G$16</c:f>
              <c:numCache>
                <c:formatCode>0%</c:formatCode>
                <c:ptCount val="1"/>
                <c:pt idx="0">
                  <c:v>0</c:v>
                </c:pt>
              </c:numCache>
            </c:numRef>
          </c:val>
          <c:extLst>
            <c:ext xmlns:c16="http://schemas.microsoft.com/office/drawing/2014/chart" uri="{C3380CC4-5D6E-409C-BE32-E72D297353CC}">
              <c16:uniqueId val="{00000006-288E-49BB-8147-8FC7FD53A811}"/>
            </c:ext>
          </c:extLst>
        </c:ser>
        <c:dLbls>
          <c:dLblPos val="ctr"/>
          <c:showLegendKey val="0"/>
          <c:showVal val="1"/>
          <c:showCatName val="0"/>
          <c:showSerName val="0"/>
          <c:showPercent val="0"/>
          <c:showBubbleSize val="0"/>
        </c:dLbls>
        <c:gapWidth val="150"/>
        <c:overlap val="100"/>
        <c:axId val="323064832"/>
        <c:axId val="322825024"/>
      </c:barChart>
      <c:catAx>
        <c:axId val="323064832"/>
        <c:scaling>
          <c:orientation val="minMax"/>
        </c:scaling>
        <c:delete val="1"/>
        <c:axPos val="l"/>
        <c:numFmt formatCode="General" sourceLinked="1"/>
        <c:majorTickMark val="none"/>
        <c:minorTickMark val="none"/>
        <c:tickLblPos val="nextTo"/>
        <c:crossAx val="322825024"/>
        <c:crosses val="autoZero"/>
        <c:auto val="1"/>
        <c:lblAlgn val="ctr"/>
        <c:lblOffset val="100"/>
        <c:noMultiLvlLbl val="0"/>
      </c:catAx>
      <c:valAx>
        <c:axId val="32282502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3064832"/>
        <c:crosses val="autoZero"/>
        <c:crossBetween val="between"/>
      </c:valAx>
      <c:spPr>
        <a:noFill/>
        <a:ln>
          <a:noFill/>
        </a:ln>
        <a:effectLst/>
      </c:spPr>
    </c:plotArea>
    <c:legend>
      <c:legendPos val="b"/>
      <c:layout>
        <c:manualLayout>
          <c:xMode val="edge"/>
          <c:yMode val="edge"/>
          <c:x val="5.4134470999798968E-3"/>
          <c:y val="0.53542346987147871"/>
          <c:w val="0.62211299753711535"/>
          <c:h val="0.46406388227989298"/>
        </c:manualLayout>
      </c:layout>
      <c:overlay val="0"/>
      <c:spPr>
        <a:noFill/>
        <a:ln>
          <a:noFill/>
        </a:ln>
        <a:effectLst/>
      </c:spPr>
      <c:txPr>
        <a:bodyPr rot="0" spcFirstLastPara="1" vertOverflow="ellipsis" vert="horz" wrap="square" anchor="ctr" anchorCtr="1"/>
        <a:lstStyle/>
        <a:p>
          <a:pPr algn="just">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lgn="just">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'Bankroto rizikos'!$D$3</c:f>
              <c:strCache>
                <c:ptCount val="1"/>
                <c:pt idx="0">
                  <c:v>Įmonės finansinė padėtis labai suprastės</c:v>
                </c:pt>
              </c:strCache>
            </c:strRef>
          </c:tx>
          <c:spPr>
            <a:solidFill>
              <a:schemeClr val="accent6"/>
            </a:solidFill>
            <a:ln>
              <a:noFill/>
            </a:ln>
            <a:effectLst/>
          </c:spPr>
          <c:invertIfNegative val="0"/>
          <c:dLbls>
            <c:dLbl>
              <c:idx val="0"/>
              <c:layout>
                <c:manualLayout>
                  <c:x val="5.5555555555555558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BC6-45AB-8605-A49C61E0453C}"/>
                </c:ext>
              </c:extLst>
            </c:dLbl>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rizikos'!$F$3</c:f>
              <c:numCache>
                <c:formatCode>0%</c:formatCode>
                <c:ptCount val="1"/>
                <c:pt idx="0">
                  <c:v>2.0408163265306121E-2</c:v>
                </c:pt>
              </c:numCache>
            </c:numRef>
          </c:val>
          <c:extLst>
            <c:ext xmlns:c16="http://schemas.microsoft.com/office/drawing/2014/chart" uri="{C3380CC4-5D6E-409C-BE32-E72D297353CC}">
              <c16:uniqueId val="{00000001-8BC6-45AB-8605-A49C61E0453C}"/>
            </c:ext>
          </c:extLst>
        </c:ser>
        <c:ser>
          <c:idx val="1"/>
          <c:order val="1"/>
          <c:tx>
            <c:strRef>
              <c:f>'Bankroto rizikos'!$D$4</c:f>
              <c:strCache>
                <c:ptCount val="1"/>
                <c:pt idx="0">
                  <c:v>Įmonės finansinė padėtis suprastės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rizikos'!$F$4</c:f>
              <c:numCache>
                <c:formatCode>0%</c:formatCode>
                <c:ptCount val="1"/>
                <c:pt idx="0">
                  <c:v>0.12244897959183673</c:v>
                </c:pt>
              </c:numCache>
            </c:numRef>
          </c:val>
          <c:extLst>
            <c:ext xmlns:c16="http://schemas.microsoft.com/office/drawing/2014/chart" uri="{C3380CC4-5D6E-409C-BE32-E72D297353CC}">
              <c16:uniqueId val="{00000002-8BC6-45AB-8605-A49C61E0453C}"/>
            </c:ext>
          </c:extLst>
        </c:ser>
        <c:ser>
          <c:idx val="2"/>
          <c:order val="2"/>
          <c:tx>
            <c:strRef>
              <c:f>'Bankroto rizikos'!$D$5</c:f>
              <c:strCache>
                <c:ptCount val="1"/>
                <c:pt idx="0">
                  <c:v>Įmonės finansinė padėtis nepasikeis</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rizikos'!$F$5</c:f>
              <c:numCache>
                <c:formatCode>0%</c:formatCode>
                <c:ptCount val="1"/>
                <c:pt idx="0">
                  <c:v>0.65306122448979587</c:v>
                </c:pt>
              </c:numCache>
            </c:numRef>
          </c:val>
          <c:extLst>
            <c:ext xmlns:c16="http://schemas.microsoft.com/office/drawing/2014/chart" uri="{C3380CC4-5D6E-409C-BE32-E72D297353CC}">
              <c16:uniqueId val="{00000003-8BC6-45AB-8605-A49C61E0453C}"/>
            </c:ext>
          </c:extLst>
        </c:ser>
        <c:ser>
          <c:idx val="3"/>
          <c:order val="3"/>
          <c:tx>
            <c:strRef>
              <c:f>'Bankroto rizikos'!$D$6</c:f>
              <c:strCache>
                <c:ptCount val="1"/>
                <c:pt idx="0">
                  <c:v>Įmonės finansinė padėtis pagėrės</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rizikos'!$F$6</c:f>
              <c:numCache>
                <c:formatCode>0%</c:formatCode>
                <c:ptCount val="1"/>
                <c:pt idx="0">
                  <c:v>0.14285714285714285</c:v>
                </c:pt>
              </c:numCache>
            </c:numRef>
          </c:val>
          <c:extLst>
            <c:ext xmlns:c16="http://schemas.microsoft.com/office/drawing/2014/chart" uri="{C3380CC4-5D6E-409C-BE32-E72D297353CC}">
              <c16:uniqueId val="{00000004-8BC6-45AB-8605-A49C61E0453C}"/>
            </c:ext>
          </c:extLst>
        </c:ser>
        <c:ser>
          <c:idx val="4"/>
          <c:order val="4"/>
          <c:tx>
            <c:strRef>
              <c:f>'Bankroto rizikos'!$D$7</c:f>
              <c:strCache>
                <c:ptCount val="1"/>
                <c:pt idx="0">
                  <c:v>Įmonės finansinė padėtis labai pagerės</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rizikos'!$F$7</c:f>
              <c:numCache>
                <c:formatCode>0%</c:formatCode>
                <c:ptCount val="1"/>
                <c:pt idx="0">
                  <c:v>2.0408163265306121E-2</c:v>
                </c:pt>
              </c:numCache>
            </c:numRef>
          </c:val>
          <c:extLst>
            <c:ext xmlns:c16="http://schemas.microsoft.com/office/drawing/2014/chart" uri="{C3380CC4-5D6E-409C-BE32-E72D297353CC}">
              <c16:uniqueId val="{00000005-8BC6-45AB-8605-A49C61E0453C}"/>
            </c:ext>
          </c:extLst>
        </c:ser>
        <c:ser>
          <c:idx val="5"/>
          <c:order val="5"/>
          <c:tx>
            <c:strRef>
              <c:f>'Bankroto rizikos'!$D$8</c:f>
              <c:strCache>
                <c:ptCount val="1"/>
                <c:pt idx="0">
                  <c:v>Nežinau / negaliu atsakyti</c:v>
                </c:pt>
              </c:strCache>
            </c:strRef>
          </c:tx>
          <c:spPr>
            <a:solidFill>
              <a:schemeClr val="accent4">
                <a:lumMod val="60000"/>
              </a:schemeClr>
            </a:solidFill>
            <a:ln>
              <a:noFill/>
            </a:ln>
            <a:effectLst/>
          </c:spPr>
          <c:invertIfNegative val="0"/>
          <c:dLbls>
            <c:dLbl>
              <c:idx val="0"/>
              <c:layout>
                <c:manualLayout>
                  <c:x val="5.5555555555554534E-3"/>
                  <c:y val="0"/>
                </c:manualLayout>
              </c:layout>
              <c:tx>
                <c:rich>
                  <a:bodyPr/>
                  <a:lstStyle/>
                  <a:p>
                    <a:fld id="{1FD91654-529F-47FE-9746-6DA81BF20F2E}" type="VALUE">
                      <a:rPr lang="en-US">
                        <a:solidFill>
                          <a:schemeClr val="bg1"/>
                        </a:solidFill>
                      </a:rPr>
                      <a:pPr/>
                      <a:t>[REIKŠMĖ]</a:t>
                    </a:fld>
                    <a:endParaRPr lang="lt-LT"/>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BC6-45AB-8605-A49C61E0453C}"/>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rizikos'!$F$8</c:f>
              <c:numCache>
                <c:formatCode>0%</c:formatCode>
                <c:ptCount val="1"/>
                <c:pt idx="0">
                  <c:v>4.0816326530612242E-2</c:v>
                </c:pt>
              </c:numCache>
            </c:numRef>
          </c:val>
          <c:extLst>
            <c:ext xmlns:c16="http://schemas.microsoft.com/office/drawing/2014/chart" uri="{C3380CC4-5D6E-409C-BE32-E72D297353CC}">
              <c16:uniqueId val="{00000007-8BC6-45AB-8605-A49C61E0453C}"/>
            </c:ext>
          </c:extLst>
        </c:ser>
        <c:dLbls>
          <c:dLblPos val="ctr"/>
          <c:showLegendKey val="0"/>
          <c:showVal val="1"/>
          <c:showCatName val="0"/>
          <c:showSerName val="0"/>
          <c:showPercent val="0"/>
          <c:showBubbleSize val="0"/>
        </c:dLbls>
        <c:gapWidth val="150"/>
        <c:overlap val="100"/>
        <c:axId val="323066368"/>
        <c:axId val="322826752"/>
      </c:barChart>
      <c:catAx>
        <c:axId val="323066368"/>
        <c:scaling>
          <c:orientation val="minMax"/>
        </c:scaling>
        <c:delete val="1"/>
        <c:axPos val="l"/>
        <c:numFmt formatCode="General" sourceLinked="1"/>
        <c:majorTickMark val="none"/>
        <c:minorTickMark val="none"/>
        <c:tickLblPos val="nextTo"/>
        <c:crossAx val="322826752"/>
        <c:crosses val="autoZero"/>
        <c:auto val="1"/>
        <c:lblAlgn val="ctr"/>
        <c:lblOffset val="100"/>
        <c:noMultiLvlLbl val="0"/>
      </c:catAx>
      <c:valAx>
        <c:axId val="32282675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3066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lgn="just">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'Bankroto rizikos'!$D$11</c:f>
              <c:strCache>
                <c:ptCount val="1"/>
                <c:pt idx="0">
                  <c:v>Bankroto rizika liks nepakitusi</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rizikos'!$F$11</c:f>
              <c:numCache>
                <c:formatCode>0%</c:formatCode>
                <c:ptCount val="1"/>
                <c:pt idx="0">
                  <c:v>0.97435897435897434</c:v>
                </c:pt>
              </c:numCache>
            </c:numRef>
          </c:val>
          <c:extLst>
            <c:ext xmlns:c16="http://schemas.microsoft.com/office/drawing/2014/chart" uri="{C3380CC4-5D6E-409C-BE32-E72D297353CC}">
              <c16:uniqueId val="{00000000-8EB0-45F3-AF63-00444E59320C}"/>
            </c:ext>
          </c:extLst>
        </c:ser>
        <c:ser>
          <c:idx val="1"/>
          <c:order val="1"/>
          <c:tx>
            <c:strRef>
              <c:f>'Bankroto rizikos'!$D$12</c:f>
              <c:strCache>
                <c:ptCount val="1"/>
                <c:pt idx="0">
                  <c:v>Bankroto rizika tik šiek tiek padidės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rizikos'!$F$12</c:f>
              <c:numCache>
                <c:formatCode>0%</c:formatCode>
                <c:ptCount val="1"/>
                <c:pt idx="0">
                  <c:v>2.564102564102564E-2</c:v>
                </c:pt>
              </c:numCache>
            </c:numRef>
          </c:val>
          <c:extLst>
            <c:ext xmlns:c16="http://schemas.microsoft.com/office/drawing/2014/chart" uri="{C3380CC4-5D6E-409C-BE32-E72D297353CC}">
              <c16:uniqueId val="{00000001-8EB0-45F3-AF63-00444E59320C}"/>
            </c:ext>
          </c:extLst>
        </c:ser>
        <c:ser>
          <c:idx val="2"/>
          <c:order val="2"/>
          <c:tx>
            <c:strRef>
              <c:f>'Bankroto rizikos'!$D$13</c:f>
              <c:strCache>
                <c:ptCount val="1"/>
                <c:pt idx="0">
                  <c:v>Bankroto rizika vidutiniškai padidės</c:v>
                </c:pt>
              </c:strCache>
            </c:strRef>
          </c:tx>
          <c:spPr>
            <a:solidFill>
              <a:schemeClr val="accent4"/>
            </a:solidFill>
            <a:ln>
              <a:noFill/>
            </a:ln>
            <a:effectLst/>
          </c:spPr>
          <c:invertIfNegative val="0"/>
          <c:dLbls>
            <c:delete val="1"/>
          </c:dLbls>
          <c:val>
            <c:numRef>
              <c:f>'Bankroto rizikos'!$F$13</c:f>
              <c:numCache>
                <c:formatCode>0%</c:formatCode>
                <c:ptCount val="1"/>
                <c:pt idx="0">
                  <c:v>0</c:v>
                </c:pt>
              </c:numCache>
            </c:numRef>
          </c:val>
          <c:extLst>
            <c:ext xmlns:c16="http://schemas.microsoft.com/office/drawing/2014/chart" uri="{C3380CC4-5D6E-409C-BE32-E72D297353CC}">
              <c16:uniqueId val="{00000002-8EB0-45F3-AF63-00444E59320C}"/>
            </c:ext>
          </c:extLst>
        </c:ser>
        <c:ser>
          <c:idx val="3"/>
          <c:order val="3"/>
          <c:tx>
            <c:strRef>
              <c:f>'Bankroto rizikos'!$D$14</c:f>
              <c:strCache>
                <c:ptCount val="1"/>
                <c:pt idx="0">
                  <c:v>Bankroto rizika reikšmingai padidės</c:v>
                </c:pt>
              </c:strCache>
            </c:strRef>
          </c:tx>
          <c:spPr>
            <a:solidFill>
              <a:schemeClr val="accent6">
                <a:lumMod val="60000"/>
              </a:schemeClr>
            </a:solidFill>
            <a:ln>
              <a:noFill/>
            </a:ln>
            <a:effectLst/>
          </c:spPr>
          <c:invertIfNegative val="0"/>
          <c:dLbls>
            <c:delete val="1"/>
          </c:dLbls>
          <c:val>
            <c:numRef>
              <c:f>'Bankroto rizikos'!$F$14</c:f>
              <c:numCache>
                <c:formatCode>0%</c:formatCode>
                <c:ptCount val="1"/>
                <c:pt idx="0">
                  <c:v>0</c:v>
                </c:pt>
              </c:numCache>
            </c:numRef>
          </c:val>
          <c:extLst>
            <c:ext xmlns:c16="http://schemas.microsoft.com/office/drawing/2014/chart" uri="{C3380CC4-5D6E-409C-BE32-E72D297353CC}">
              <c16:uniqueId val="{00000003-8EB0-45F3-AF63-00444E59320C}"/>
            </c:ext>
          </c:extLst>
        </c:ser>
        <c:ser>
          <c:idx val="4"/>
          <c:order val="4"/>
          <c:tx>
            <c:strRef>
              <c:f>'Bankroto rizikos'!$D$15</c:f>
              <c:strCache>
                <c:ptCount val="1"/>
                <c:pt idx="0">
                  <c:v>Bankroto rizika labai reikšmingai padidės</c:v>
                </c:pt>
              </c:strCache>
            </c:strRef>
          </c:tx>
          <c:spPr>
            <a:solidFill>
              <a:schemeClr val="accent5">
                <a:lumMod val="60000"/>
              </a:schemeClr>
            </a:solidFill>
            <a:ln>
              <a:noFill/>
            </a:ln>
            <a:effectLst/>
          </c:spPr>
          <c:invertIfNegative val="0"/>
          <c:dLbls>
            <c:delete val="1"/>
          </c:dLbls>
          <c:val>
            <c:numRef>
              <c:f>'Bankroto rizikos'!$F$15</c:f>
              <c:numCache>
                <c:formatCode>0%</c:formatCode>
                <c:ptCount val="1"/>
                <c:pt idx="0">
                  <c:v>0</c:v>
                </c:pt>
              </c:numCache>
            </c:numRef>
          </c:val>
          <c:extLst>
            <c:ext xmlns:c16="http://schemas.microsoft.com/office/drawing/2014/chart" uri="{C3380CC4-5D6E-409C-BE32-E72D297353CC}">
              <c16:uniqueId val="{00000004-8EB0-45F3-AF63-00444E59320C}"/>
            </c:ext>
          </c:extLst>
        </c:ser>
        <c:ser>
          <c:idx val="5"/>
          <c:order val="5"/>
          <c:tx>
            <c:strRef>
              <c:f>'Bankroto rizikos'!$D$16</c:f>
              <c:strCache>
                <c:ptCount val="1"/>
                <c:pt idx="0">
                  <c:v>Įmonė tikėtina, kad bankrutuos</c:v>
                </c:pt>
              </c:strCache>
            </c:strRef>
          </c:tx>
          <c:spPr>
            <a:solidFill>
              <a:schemeClr val="accent4">
                <a:lumMod val="60000"/>
              </a:schemeClr>
            </a:solidFill>
            <a:ln>
              <a:noFill/>
            </a:ln>
            <a:effectLst/>
          </c:spPr>
          <c:invertIfNegative val="0"/>
          <c:dLbls>
            <c:delete val="1"/>
          </c:dLbls>
          <c:val>
            <c:numRef>
              <c:f>'Bankroto rizikos'!$F$16</c:f>
              <c:numCache>
                <c:formatCode>0%</c:formatCode>
                <c:ptCount val="1"/>
                <c:pt idx="0">
                  <c:v>0</c:v>
                </c:pt>
              </c:numCache>
            </c:numRef>
          </c:val>
          <c:extLst>
            <c:ext xmlns:c16="http://schemas.microsoft.com/office/drawing/2014/chart" uri="{C3380CC4-5D6E-409C-BE32-E72D297353CC}">
              <c16:uniqueId val="{00000005-8EB0-45F3-AF63-00444E59320C}"/>
            </c:ext>
          </c:extLst>
        </c:ser>
        <c:ser>
          <c:idx val="6"/>
          <c:order val="6"/>
          <c:tx>
            <c:strRef>
              <c:f>'Bankroto rizikos'!$D$17</c:f>
              <c:strCache>
                <c:ptCount val="1"/>
                <c:pt idx="0">
                  <c:v>Nežinau / negaliu atsakyti</c:v>
                </c:pt>
              </c:strCache>
            </c:strRef>
          </c:tx>
          <c:spPr>
            <a:solidFill>
              <a:schemeClr val="accent6">
                <a:lumMod val="80000"/>
                <a:lumOff val="20000"/>
              </a:schemeClr>
            </a:solidFill>
            <a:ln>
              <a:noFill/>
            </a:ln>
            <a:effectLst/>
          </c:spPr>
          <c:invertIfNegative val="0"/>
          <c:dLbls>
            <c:delete val="1"/>
          </c:dLbls>
          <c:val>
            <c:numRef>
              <c:f>'Bankroto rizikos'!$F$17</c:f>
              <c:numCache>
                <c:formatCode>0%</c:formatCode>
                <c:ptCount val="1"/>
                <c:pt idx="0">
                  <c:v>0</c:v>
                </c:pt>
              </c:numCache>
            </c:numRef>
          </c:val>
          <c:extLst>
            <c:ext xmlns:c16="http://schemas.microsoft.com/office/drawing/2014/chart" uri="{C3380CC4-5D6E-409C-BE32-E72D297353CC}">
              <c16:uniqueId val="{00000006-8EB0-45F3-AF63-00444E59320C}"/>
            </c:ext>
          </c:extLst>
        </c:ser>
        <c:dLbls>
          <c:dLblPos val="ctr"/>
          <c:showLegendKey val="0"/>
          <c:showVal val="1"/>
          <c:showCatName val="0"/>
          <c:showSerName val="0"/>
          <c:showPercent val="0"/>
          <c:showBubbleSize val="0"/>
        </c:dLbls>
        <c:gapWidth val="150"/>
        <c:overlap val="100"/>
        <c:axId val="323498496"/>
        <c:axId val="322828480"/>
      </c:barChart>
      <c:catAx>
        <c:axId val="323498496"/>
        <c:scaling>
          <c:orientation val="minMax"/>
        </c:scaling>
        <c:delete val="1"/>
        <c:axPos val="l"/>
        <c:numFmt formatCode="General" sourceLinked="1"/>
        <c:majorTickMark val="none"/>
        <c:minorTickMark val="none"/>
        <c:tickLblPos val="nextTo"/>
        <c:crossAx val="322828480"/>
        <c:crosses val="autoZero"/>
        <c:auto val="1"/>
        <c:lblAlgn val="ctr"/>
        <c:lblOffset val="100"/>
        <c:noMultiLvlLbl val="0"/>
      </c:catAx>
      <c:valAx>
        <c:axId val="322828480"/>
        <c:scaling>
          <c:orientation val="minMax"/>
          <c:min val="0"/>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3498496"/>
        <c:crosses val="autoZero"/>
        <c:crossBetween val="between"/>
      </c:valAx>
      <c:spPr>
        <a:noFill/>
        <a:ln>
          <a:noFill/>
        </a:ln>
        <a:effectLst/>
      </c:spPr>
    </c:plotArea>
    <c:legend>
      <c:legendPos val="b"/>
      <c:legendEntry>
        <c:idx val="2"/>
        <c:delete val="1"/>
      </c:legendEntry>
      <c:legendEntry>
        <c:idx val="3"/>
        <c:delete val="1"/>
      </c:legendEntry>
      <c:legendEntry>
        <c:idx val="4"/>
        <c:delete val="1"/>
      </c:legendEntry>
      <c:legendEntry>
        <c:idx val="5"/>
        <c:delete val="1"/>
      </c:legendEntry>
      <c:legendEntry>
        <c:idx val="6"/>
        <c:delete val="1"/>
      </c:legendEntry>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lgn="just">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592645958977688E-2"/>
          <c:y val="0.12902814231554388"/>
          <c:w val="0.32863914450489551"/>
          <c:h val="0.67213509769612123"/>
        </c:manualLayout>
      </c:layout>
      <c:pieChart>
        <c:varyColors val="1"/>
        <c:ser>
          <c:idx val="0"/>
          <c:order val="0"/>
          <c:explosion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9B2-407D-B515-30342AD5E55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9B2-407D-B515-30342AD5E55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9B2-407D-B515-30342AD5E55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9B2-407D-B515-30342AD5E55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9B2-407D-B515-30342AD5E55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9B2-407D-B515-30342AD5E559}"/>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Apklausa_Startuoliai!$O$37:$O$42</c:f>
              <c:strCache>
                <c:ptCount val="6"/>
                <c:pt idx="0">
                  <c:v>Į finansų institucijas (bankai, kredito unijos ir kt.)</c:v>
                </c:pt>
                <c:pt idx="1">
                  <c:v>Į akceleravimo fondus (Startup Wise Guys, 70 Ventures ir kt.)</c:v>
                </c:pt>
                <c:pt idx="2">
                  <c:v>Į rizikos kapitalo fondus</c:v>
                </c:pt>
                <c:pt idx="3">
                  <c:v>Į verslo angelus</c:v>
                </c:pt>
                <c:pt idx="4">
                  <c:v>Į įstaigas administruojančias ES struktūrinių fondų paramą ir/ar į valstybės institucijas dėl subsidijų</c:v>
                </c:pt>
                <c:pt idx="5">
                  <c:v>Į mokslo institucijas (universitetai, neuniversitetinės aukštosios mokyklos, tyrimų centrai, mokslo institutai)</c:v>
                </c:pt>
              </c:strCache>
            </c:strRef>
          </c:cat>
          <c:val>
            <c:numRef>
              <c:f>Apklausa_Startuoliai!$Q$37:$Q$42</c:f>
              <c:numCache>
                <c:formatCode>0%</c:formatCode>
                <c:ptCount val="6"/>
                <c:pt idx="0">
                  <c:v>0.23809523809523808</c:v>
                </c:pt>
                <c:pt idx="1">
                  <c:v>0.19047619047619047</c:v>
                </c:pt>
                <c:pt idx="2">
                  <c:v>0.19047619047619047</c:v>
                </c:pt>
                <c:pt idx="3">
                  <c:v>0.14285714285714285</c:v>
                </c:pt>
                <c:pt idx="4">
                  <c:v>0.14285714285714285</c:v>
                </c:pt>
                <c:pt idx="5">
                  <c:v>9.5238095238095233E-2</c:v>
                </c:pt>
              </c:numCache>
            </c:numRef>
          </c:val>
          <c:extLst>
            <c:ext xmlns:c16="http://schemas.microsoft.com/office/drawing/2014/chart" uri="{C3380CC4-5D6E-409C-BE32-E72D297353CC}">
              <c16:uniqueId val="{0000000C-89B2-407D-B515-30342AD5E559}"/>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4077494356751285"/>
          <c:y val="3.4435990445014594E-2"/>
          <c:w val="0.57951590720966661"/>
          <c:h val="0.91489825709988493"/>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Sheet!$C$61:$C$62</c:f>
              <c:strCache>
                <c:ptCount val="2"/>
                <c:pt idx="0">
                  <c:v>Q5. Nurodykite, kuris iš teiginių apie vidutinį darbuotojų skaičių Jūsų atstovaujamos įmonės grupėje 2022 m. yra teisingas (jeigu įmonė nėra grupės dalis, tai pačioje įmonėje)</c:v>
                </c:pt>
                <c:pt idx="1">
                  <c:v>Responses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9E09-4266-8668-6B70FB31BDD9}"/>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9E09-4266-8668-6B70FB31BDD9}"/>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9E09-4266-8668-6B70FB31BDD9}"/>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9E09-4266-8668-6B70FB31BDD9}"/>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Sheet!$A$63:$B$66</c:f>
              <c:strCache>
                <c:ptCount val="4"/>
                <c:pt idx="0">
                  <c:v>Darbuotojų skaičius 1–9</c:v>
                </c:pt>
                <c:pt idx="1">
                  <c:v>Darbuotojų skaičius 10–49</c:v>
                </c:pt>
                <c:pt idx="2">
                  <c:v>Darbuotojų skaičius 50–249</c:v>
                </c:pt>
                <c:pt idx="3">
                  <c:v>Darbuotojų skaičius 250 ir daugiau</c:v>
                </c:pt>
              </c:strCache>
              <c:extLst/>
            </c:strRef>
          </c:cat>
          <c:val>
            <c:numRef>
              <c:f>Sheet!$C$63:$C$66</c:f>
              <c:numCache>
                <c:formatCode>General</c:formatCode>
                <c:ptCount val="4"/>
                <c:pt idx="0">
                  <c:v>3</c:v>
                </c:pt>
                <c:pt idx="1">
                  <c:v>6</c:v>
                </c:pt>
                <c:pt idx="2">
                  <c:v>17</c:v>
                </c:pt>
                <c:pt idx="3">
                  <c:v>12</c:v>
                </c:pt>
              </c:numCache>
            </c:numRef>
          </c:val>
          <c:extLst>
            <c:ext xmlns:c16="http://schemas.microsoft.com/office/drawing/2014/chart" uri="{C3380CC4-5D6E-409C-BE32-E72D297353CC}">
              <c16:uniqueId val="{00000008-9E09-4266-8668-6B70FB31BDD9}"/>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5D21-4AE4-99AB-06BED9702985}"/>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5D21-4AE4-99AB-06BED9702985}"/>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Sheet!$H$14:$I$14</c:f>
              <c:strCache>
                <c:ptCount val="2"/>
                <c:pt idx="0">
                  <c:v>Sostinės Lietuva</c:v>
                </c:pt>
                <c:pt idx="1">
                  <c:v>Vidurio ir Vakarų Lietuvos regionas</c:v>
                </c:pt>
              </c:strCache>
            </c:strRef>
          </c:cat>
          <c:val>
            <c:numRef>
              <c:f>Sheet!$H$15:$I$15</c:f>
              <c:numCache>
                <c:formatCode>General</c:formatCode>
                <c:ptCount val="2"/>
                <c:pt idx="0">
                  <c:v>20</c:v>
                </c:pt>
                <c:pt idx="1">
                  <c:v>50</c:v>
                </c:pt>
              </c:numCache>
            </c:numRef>
          </c:val>
          <c:extLst>
            <c:ext xmlns:c16="http://schemas.microsoft.com/office/drawing/2014/chart" uri="{C3380CC4-5D6E-409C-BE32-E72D297353CC}">
              <c16:uniqueId val="{00000004-5D21-4AE4-99AB-06BED9702985}"/>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Sheet!$C$71:$C$72</c:f>
              <c:strCache>
                <c:ptCount val="2"/>
                <c:pt idx="0">
                  <c:v>Q6. Kiek laiko Jūsų įmonė vykdo veiklą?</c:v>
                </c:pt>
                <c:pt idx="1">
                  <c:v>Responses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814A-45C4-9912-3332D2A3AE36}"/>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814A-45C4-9912-3332D2A3AE36}"/>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814A-45C4-9912-3332D2A3AE36}"/>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814A-45C4-9912-3332D2A3AE36}"/>
              </c:ext>
            </c:extLst>
          </c:dPt>
          <c:dLbls>
            <c:dLbl>
              <c:idx val="0"/>
              <c:delete val="1"/>
              <c:extLst>
                <c:ext xmlns:c15="http://schemas.microsoft.com/office/drawing/2012/chart" uri="{CE6537A1-D6FC-4f65-9D91-7224C49458BB}"/>
                <c:ext xmlns:c16="http://schemas.microsoft.com/office/drawing/2014/chart" uri="{C3380CC4-5D6E-409C-BE32-E72D297353CC}">
                  <c16:uniqueId val="{00000001-814A-45C4-9912-3332D2A3AE36}"/>
                </c:ext>
              </c:extLst>
            </c:dLbl>
            <c:dLbl>
              <c:idx val="1"/>
              <c:delete val="1"/>
              <c:extLst>
                <c:ext xmlns:c15="http://schemas.microsoft.com/office/drawing/2012/chart" uri="{CE6537A1-D6FC-4f65-9D91-7224C49458BB}"/>
                <c:ext xmlns:c16="http://schemas.microsoft.com/office/drawing/2014/chart" uri="{C3380CC4-5D6E-409C-BE32-E72D297353CC}">
                  <c16:uniqueId val="{00000003-814A-45C4-9912-3332D2A3AE36}"/>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Sheet!$A$73:$B$76</c:f>
              <c:strCache>
                <c:ptCount val="4"/>
                <c:pt idx="0">
                  <c:v>Iki 1 metų</c:v>
                </c:pt>
                <c:pt idx="1">
                  <c:v>Nuo 1 iki 3 metų</c:v>
                </c:pt>
                <c:pt idx="2">
                  <c:v>Nuo 3 iki 5 metų</c:v>
                </c:pt>
                <c:pt idx="3">
                  <c:v>Ilgiau nei 5 metus</c:v>
                </c:pt>
              </c:strCache>
              <c:extLst/>
            </c:strRef>
          </c:cat>
          <c:val>
            <c:numRef>
              <c:f>Sheet!$C$73:$C$76</c:f>
              <c:numCache>
                <c:formatCode>General</c:formatCode>
                <c:ptCount val="4"/>
                <c:pt idx="0">
                  <c:v>0</c:v>
                </c:pt>
                <c:pt idx="1">
                  <c:v>0</c:v>
                </c:pt>
                <c:pt idx="2">
                  <c:v>2</c:v>
                </c:pt>
                <c:pt idx="3">
                  <c:v>36</c:v>
                </c:pt>
              </c:numCache>
            </c:numRef>
          </c:val>
          <c:extLst>
            <c:ext xmlns:c16="http://schemas.microsoft.com/office/drawing/2014/chart" uri="{C3380CC4-5D6E-409C-BE32-E72D297353CC}">
              <c16:uniqueId val="{00000008-814A-45C4-9912-3332D2A3AE36}"/>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Sheet!$C$81:$C$82</c:f>
              <c:strCache>
                <c:ptCount val="2"/>
                <c:pt idx="0">
                  <c:v>Q7. Kalbėdami apie investicijas ir investicinius projektus, nurodykite ar šiems, ar ateinantiems keliems metams esate pasirengę investicinius projektus?</c:v>
                </c:pt>
                <c:pt idx="1">
                  <c:v>Responses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7F71-4CE4-A5F8-136F33BC1367}"/>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7F71-4CE4-A5F8-136F33BC1367}"/>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7F71-4CE4-A5F8-136F33BC1367}"/>
              </c:ext>
            </c:extLst>
          </c:dPt>
          <c:dLbls>
            <c:dLbl>
              <c:idx val="1"/>
              <c:delete val="1"/>
              <c:extLst>
                <c:ext xmlns:c15="http://schemas.microsoft.com/office/drawing/2012/chart" uri="{CE6537A1-D6FC-4f65-9D91-7224C49458BB}"/>
                <c:ext xmlns:c16="http://schemas.microsoft.com/office/drawing/2014/chart" uri="{C3380CC4-5D6E-409C-BE32-E72D297353CC}">
                  <c16:uniqueId val="{00000003-7F71-4CE4-A5F8-136F33BC1367}"/>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Sheet!$A$83:$B$85</c:f>
              <c:strCache>
                <c:ptCount val="3"/>
                <c:pt idx="0">
                  <c:v>Taip</c:v>
                </c:pt>
                <c:pt idx="1">
                  <c:v>Ne</c:v>
                </c:pt>
                <c:pt idx="2">
                  <c:v>Nežinau/ negaliu/ nenoriu atsakyti</c:v>
                </c:pt>
              </c:strCache>
              <c:extLst/>
            </c:strRef>
          </c:cat>
          <c:val>
            <c:numRef>
              <c:f>Sheet!$C$83:$C$85</c:f>
              <c:numCache>
                <c:formatCode>General</c:formatCode>
                <c:ptCount val="3"/>
                <c:pt idx="0">
                  <c:v>32</c:v>
                </c:pt>
                <c:pt idx="1">
                  <c:v>0</c:v>
                </c:pt>
                <c:pt idx="2">
                  <c:v>6</c:v>
                </c:pt>
              </c:numCache>
            </c:numRef>
          </c:val>
          <c:extLst>
            <c:ext xmlns:c16="http://schemas.microsoft.com/office/drawing/2014/chart" uri="{C3380CC4-5D6E-409C-BE32-E72D297353CC}">
              <c16:uniqueId val="{00000006-7F71-4CE4-A5F8-136F33BC1367}"/>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6598841514917393E-2"/>
          <c:y val="3.0968468468468468E-2"/>
          <c:w val="0.9262939285614209"/>
          <c:h val="0.36254810420656874"/>
        </c:manualLayout>
      </c:layout>
      <c:barChart>
        <c:barDir val="bar"/>
        <c:grouping val="percentStacked"/>
        <c:varyColors val="0"/>
        <c:ser>
          <c:idx val="0"/>
          <c:order val="0"/>
          <c:tx>
            <c:strRef>
              <c:f>Sheet!$K$92</c:f>
              <c:strCache>
                <c:ptCount val="1"/>
                <c:pt idx="0">
                  <c:v>Investicijas į mašinas ir įrenginius</c:v>
                </c:pt>
              </c:strCache>
            </c:strRef>
          </c:tx>
          <c:spPr>
            <a:solidFill>
              <a:schemeClr val="accent6"/>
            </a:solidFill>
            <a:ln>
              <a:noFill/>
            </a:ln>
            <a:effectLst/>
          </c:spPr>
          <c:invertIfNegative val="0"/>
          <c:dLbls>
            <c:numFmt formatCode="\2\2\%"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Sheet!$M$91</c:f>
              <c:strCache>
                <c:ptCount val="1"/>
                <c:pt idx="0">
                  <c:v>responses</c:v>
                </c:pt>
              </c:strCache>
            </c:strRef>
          </c:cat>
          <c:val>
            <c:numRef>
              <c:f>Sheet!$M$92</c:f>
              <c:numCache>
                <c:formatCode>General</c:formatCode>
                <c:ptCount val="1"/>
                <c:pt idx="0">
                  <c:v>25</c:v>
                </c:pt>
              </c:numCache>
            </c:numRef>
          </c:val>
          <c:extLst>
            <c:ext xmlns:c16="http://schemas.microsoft.com/office/drawing/2014/chart" uri="{C3380CC4-5D6E-409C-BE32-E72D297353CC}">
              <c16:uniqueId val="{00000000-E180-49A7-91A9-8897B466480D}"/>
            </c:ext>
          </c:extLst>
        </c:ser>
        <c:ser>
          <c:idx val="1"/>
          <c:order val="1"/>
          <c:tx>
            <c:strRef>
              <c:f>Sheet!$K$93</c:f>
              <c:strCache>
                <c:ptCount val="1"/>
                <c:pt idx="0">
                  <c:v>Investicijas į žemę, pastatus ir infrastruktūrą</c:v>
                </c:pt>
              </c:strCache>
            </c:strRef>
          </c:tx>
          <c:spPr>
            <a:solidFill>
              <a:schemeClr val="accent5"/>
            </a:solidFill>
            <a:ln>
              <a:noFill/>
            </a:ln>
            <a:effectLst/>
          </c:spPr>
          <c:invertIfNegative val="0"/>
          <c:dLbls>
            <c:numFmt formatCode="\1\5\%"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Sheet!$M$91</c:f>
              <c:strCache>
                <c:ptCount val="1"/>
                <c:pt idx="0">
                  <c:v>responses</c:v>
                </c:pt>
              </c:strCache>
            </c:strRef>
          </c:cat>
          <c:val>
            <c:numRef>
              <c:f>Sheet!$M$93</c:f>
              <c:numCache>
                <c:formatCode>General</c:formatCode>
                <c:ptCount val="1"/>
                <c:pt idx="0">
                  <c:v>17</c:v>
                </c:pt>
              </c:numCache>
            </c:numRef>
          </c:val>
          <c:extLst>
            <c:ext xmlns:c16="http://schemas.microsoft.com/office/drawing/2014/chart" uri="{C3380CC4-5D6E-409C-BE32-E72D297353CC}">
              <c16:uniqueId val="{00000001-E180-49A7-91A9-8897B466480D}"/>
            </c:ext>
          </c:extLst>
        </c:ser>
        <c:ser>
          <c:idx val="2"/>
          <c:order val="2"/>
          <c:tx>
            <c:strRef>
              <c:f>Sheet!$K$94</c:f>
              <c:strCache>
                <c:ptCount val="1"/>
                <c:pt idx="0">
                  <c:v>Investicijas į mokslinius tyrimus ir eksperimentinę plėtrą</c:v>
                </c:pt>
              </c:strCache>
            </c:strRef>
          </c:tx>
          <c:spPr>
            <a:solidFill>
              <a:schemeClr val="accent4"/>
            </a:solidFill>
            <a:ln>
              <a:noFill/>
            </a:ln>
            <a:effectLst/>
          </c:spPr>
          <c:invertIfNegative val="0"/>
          <c:dLbls>
            <c:numFmt formatCode="\1\2\%"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Sheet!$M$91</c:f>
              <c:strCache>
                <c:ptCount val="1"/>
                <c:pt idx="0">
                  <c:v>responses</c:v>
                </c:pt>
              </c:strCache>
            </c:strRef>
          </c:cat>
          <c:val>
            <c:numRef>
              <c:f>Sheet!$M$94</c:f>
              <c:numCache>
                <c:formatCode>General</c:formatCode>
                <c:ptCount val="1"/>
                <c:pt idx="0">
                  <c:v>14</c:v>
                </c:pt>
              </c:numCache>
            </c:numRef>
          </c:val>
          <c:extLst>
            <c:ext xmlns:c16="http://schemas.microsoft.com/office/drawing/2014/chart" uri="{C3380CC4-5D6E-409C-BE32-E72D297353CC}">
              <c16:uniqueId val="{00000002-E180-49A7-91A9-8897B466480D}"/>
            </c:ext>
          </c:extLst>
        </c:ser>
        <c:ser>
          <c:idx val="3"/>
          <c:order val="3"/>
          <c:tx>
            <c:strRef>
              <c:f>Sheet!$K$95</c:f>
              <c:strCache>
                <c:ptCount val="1"/>
                <c:pt idx="0">
                  <c:v>Investicijas į nematerialųjį turtą (programinė įranga, intelektinė nuosavybė, licencijos ir t.t.)</c:v>
                </c:pt>
              </c:strCache>
            </c:strRef>
          </c:tx>
          <c:spPr>
            <a:solidFill>
              <a:schemeClr val="accent6">
                <a:lumMod val="60000"/>
              </a:schemeClr>
            </a:solidFill>
            <a:ln>
              <a:noFill/>
            </a:ln>
            <a:effectLst/>
          </c:spPr>
          <c:invertIfNegative val="0"/>
          <c:dLbls>
            <c:numFmt formatCode="\1\3\%"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Sheet!$M$91</c:f>
              <c:strCache>
                <c:ptCount val="1"/>
                <c:pt idx="0">
                  <c:v>responses</c:v>
                </c:pt>
              </c:strCache>
            </c:strRef>
          </c:cat>
          <c:val>
            <c:numRef>
              <c:f>Sheet!$M$95</c:f>
              <c:numCache>
                <c:formatCode>General</c:formatCode>
                <c:ptCount val="1"/>
                <c:pt idx="0">
                  <c:v>16</c:v>
                </c:pt>
              </c:numCache>
            </c:numRef>
          </c:val>
          <c:extLst>
            <c:ext xmlns:c16="http://schemas.microsoft.com/office/drawing/2014/chart" uri="{C3380CC4-5D6E-409C-BE32-E72D297353CC}">
              <c16:uniqueId val="{00000003-E180-49A7-91A9-8897B466480D}"/>
            </c:ext>
          </c:extLst>
        </c:ser>
        <c:ser>
          <c:idx val="4"/>
          <c:order val="4"/>
          <c:tx>
            <c:strRef>
              <c:f>Sheet!$K$96</c:f>
              <c:strCache>
                <c:ptCount val="1"/>
                <c:pt idx="0">
                  <c:v>Investicijas į žmogiškąjį kapitalą (darbuotojų kvalifikacijos kėlimą, naujų darbuotojų parengimą ir t.t)</c:v>
                </c:pt>
              </c:strCache>
            </c:strRef>
          </c:tx>
          <c:spPr>
            <a:solidFill>
              <a:schemeClr val="accent5">
                <a:lumMod val="60000"/>
              </a:schemeClr>
            </a:solidFill>
            <a:ln>
              <a:noFill/>
            </a:ln>
            <a:effectLst/>
          </c:spPr>
          <c:invertIfNegative val="0"/>
          <c:dLbls>
            <c:numFmt formatCode="\1\5\%"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Sheet!$M$91</c:f>
              <c:strCache>
                <c:ptCount val="1"/>
                <c:pt idx="0">
                  <c:v>responses</c:v>
                </c:pt>
              </c:strCache>
            </c:strRef>
          </c:cat>
          <c:val>
            <c:numRef>
              <c:f>Sheet!$M$96</c:f>
              <c:numCache>
                <c:formatCode>General</c:formatCode>
                <c:ptCount val="1"/>
                <c:pt idx="0">
                  <c:v>17</c:v>
                </c:pt>
              </c:numCache>
            </c:numRef>
          </c:val>
          <c:extLst>
            <c:ext xmlns:c16="http://schemas.microsoft.com/office/drawing/2014/chart" uri="{C3380CC4-5D6E-409C-BE32-E72D297353CC}">
              <c16:uniqueId val="{00000004-E180-49A7-91A9-8897B466480D}"/>
            </c:ext>
          </c:extLst>
        </c:ser>
        <c:ser>
          <c:idx val="5"/>
          <c:order val="5"/>
          <c:tx>
            <c:strRef>
              <c:f>Sheet!$K$97</c:f>
              <c:strCache>
                <c:ptCount val="1"/>
                <c:pt idx="0">
                  <c:v>Investicijas į pažangios gamybos technologijas</c:v>
                </c:pt>
              </c:strCache>
            </c:strRef>
          </c:tx>
          <c:spPr>
            <a:solidFill>
              <a:schemeClr val="accent4">
                <a:lumMod val="60000"/>
              </a:schemeClr>
            </a:solidFill>
            <a:ln>
              <a:noFill/>
            </a:ln>
            <a:effectLst/>
          </c:spPr>
          <c:invertIfNegative val="0"/>
          <c:dLbls>
            <c:numFmt formatCode="\1\9\%"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Sheet!$M$91</c:f>
              <c:strCache>
                <c:ptCount val="1"/>
                <c:pt idx="0">
                  <c:v>responses</c:v>
                </c:pt>
              </c:strCache>
            </c:strRef>
          </c:cat>
          <c:val>
            <c:numRef>
              <c:f>Sheet!$M$97</c:f>
              <c:numCache>
                <c:formatCode>General</c:formatCode>
                <c:ptCount val="1"/>
                <c:pt idx="0">
                  <c:v>21</c:v>
                </c:pt>
              </c:numCache>
            </c:numRef>
          </c:val>
          <c:extLst>
            <c:ext xmlns:c16="http://schemas.microsoft.com/office/drawing/2014/chart" uri="{C3380CC4-5D6E-409C-BE32-E72D297353CC}">
              <c16:uniqueId val="{00000005-E180-49A7-91A9-8897B466480D}"/>
            </c:ext>
          </c:extLst>
        </c:ser>
        <c:ser>
          <c:idx val="6"/>
          <c:order val="6"/>
          <c:tx>
            <c:strRef>
              <c:f>Sheet!$K$98</c:f>
              <c:strCache>
                <c:ptCount val="1"/>
                <c:pt idx="0">
                  <c:v>Kita (įvardykite)</c:v>
                </c:pt>
              </c:strCache>
            </c:strRef>
          </c:tx>
          <c:spPr>
            <a:solidFill>
              <a:schemeClr val="accent6">
                <a:lumMod val="80000"/>
                <a:lumOff val="20000"/>
              </a:schemeClr>
            </a:solidFill>
            <a:ln>
              <a:noFill/>
            </a:ln>
            <a:effectLst/>
          </c:spPr>
          <c:invertIfNegative val="0"/>
          <c:dLbls>
            <c:numFmt formatCode="\3\%"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Sheet!$M$91</c:f>
              <c:strCache>
                <c:ptCount val="1"/>
                <c:pt idx="0">
                  <c:v>responses</c:v>
                </c:pt>
              </c:strCache>
            </c:strRef>
          </c:cat>
          <c:val>
            <c:numRef>
              <c:f>Sheet!$M$98</c:f>
              <c:numCache>
                <c:formatCode>General</c:formatCode>
                <c:ptCount val="1"/>
                <c:pt idx="0">
                  <c:v>3</c:v>
                </c:pt>
              </c:numCache>
            </c:numRef>
          </c:val>
          <c:extLst>
            <c:ext xmlns:c16="http://schemas.microsoft.com/office/drawing/2014/chart" uri="{C3380CC4-5D6E-409C-BE32-E72D297353CC}">
              <c16:uniqueId val="{00000006-E180-49A7-91A9-8897B466480D}"/>
            </c:ext>
          </c:extLst>
        </c:ser>
        <c:dLbls>
          <c:dLblPos val="ctr"/>
          <c:showLegendKey val="0"/>
          <c:showVal val="1"/>
          <c:showCatName val="0"/>
          <c:showSerName val="0"/>
          <c:showPercent val="0"/>
          <c:showBubbleSize val="0"/>
        </c:dLbls>
        <c:gapWidth val="150"/>
        <c:overlap val="100"/>
        <c:axId val="323501056"/>
        <c:axId val="323433536"/>
      </c:barChart>
      <c:catAx>
        <c:axId val="323501056"/>
        <c:scaling>
          <c:orientation val="minMax"/>
        </c:scaling>
        <c:delete val="1"/>
        <c:axPos val="l"/>
        <c:numFmt formatCode="General" sourceLinked="1"/>
        <c:majorTickMark val="none"/>
        <c:minorTickMark val="none"/>
        <c:tickLblPos val="nextTo"/>
        <c:crossAx val="323433536"/>
        <c:crosses val="autoZero"/>
        <c:auto val="1"/>
        <c:lblAlgn val="ctr"/>
        <c:lblOffset val="100"/>
        <c:noMultiLvlLbl val="0"/>
      </c:catAx>
      <c:valAx>
        <c:axId val="32343353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3501056"/>
        <c:crosses val="autoZero"/>
        <c:crossBetween val="between"/>
      </c:valAx>
      <c:spPr>
        <a:noFill/>
        <a:ln>
          <a:noFill/>
        </a:ln>
        <a:effectLst/>
      </c:spPr>
    </c:plotArea>
    <c:legend>
      <c:legendPos val="b"/>
      <c:layout>
        <c:manualLayout>
          <c:xMode val="edge"/>
          <c:yMode val="edge"/>
          <c:x val="3.0117249578678104E-2"/>
          <c:y val="0.48744036851812444"/>
          <c:w val="0.89096021360319289"/>
          <c:h val="0.47480513987884215"/>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259122240599377E-2"/>
          <c:y val="3.1695721077654518E-2"/>
          <c:w val="0.92824221653011885"/>
          <c:h val="0.32563938800259101"/>
        </c:manualLayout>
      </c:layout>
      <c:barChart>
        <c:barDir val="bar"/>
        <c:grouping val="percentStacked"/>
        <c:varyColors val="0"/>
        <c:ser>
          <c:idx val="0"/>
          <c:order val="0"/>
          <c:tx>
            <c:strRef>
              <c:f>Sheet!$I$114</c:f>
              <c:strCache>
                <c:ptCount val="1"/>
                <c:pt idx="0">
                  <c:v>Veiklos skaitmenizavimas, diegiant gamybos procesuose IT technologijas ir pan.</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Sheet!$K$112:$K$113</c:f>
              <c:strCache>
                <c:ptCount val="2"/>
                <c:pt idx="1">
                  <c:v>Responses</c:v>
                </c:pt>
              </c:strCache>
            </c:strRef>
          </c:cat>
          <c:val>
            <c:numRef>
              <c:f>Sheet!$K$114</c:f>
              <c:numCache>
                <c:formatCode>0%</c:formatCode>
                <c:ptCount val="1"/>
                <c:pt idx="0">
                  <c:v>0.17</c:v>
                </c:pt>
              </c:numCache>
            </c:numRef>
          </c:val>
          <c:extLst>
            <c:ext xmlns:c16="http://schemas.microsoft.com/office/drawing/2014/chart" uri="{C3380CC4-5D6E-409C-BE32-E72D297353CC}">
              <c16:uniqueId val="{00000000-D286-4BFF-AF58-B2FDE122D0D7}"/>
            </c:ext>
          </c:extLst>
        </c:ser>
        <c:ser>
          <c:idx val="1"/>
          <c:order val="1"/>
          <c:tx>
            <c:strRef>
              <c:f>Sheet!$I$115</c:f>
              <c:strCache>
                <c:ptCount val="1"/>
                <c:pt idx="0">
                  <c:v>Gamybos modernizavimas, atnaujinant nusidėvėjusius įrenginius ir infrastruktūrą</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Sheet!$K$112:$K$113</c:f>
              <c:strCache>
                <c:ptCount val="2"/>
                <c:pt idx="1">
                  <c:v>Responses</c:v>
                </c:pt>
              </c:strCache>
            </c:strRef>
          </c:cat>
          <c:val>
            <c:numRef>
              <c:f>Sheet!$K$115</c:f>
              <c:numCache>
                <c:formatCode>0%</c:formatCode>
                <c:ptCount val="1"/>
                <c:pt idx="0">
                  <c:v>0.15</c:v>
                </c:pt>
              </c:numCache>
            </c:numRef>
          </c:val>
          <c:extLst>
            <c:ext xmlns:c16="http://schemas.microsoft.com/office/drawing/2014/chart" uri="{C3380CC4-5D6E-409C-BE32-E72D297353CC}">
              <c16:uniqueId val="{00000001-D286-4BFF-AF58-B2FDE122D0D7}"/>
            </c:ext>
          </c:extLst>
        </c:ser>
        <c:ser>
          <c:idx val="2"/>
          <c:order val="2"/>
          <c:tx>
            <c:strRef>
              <c:f>Sheet!$I$116</c:f>
              <c:strCache>
                <c:ptCount val="1"/>
                <c:pt idx="0">
                  <c:v>Gamybos modernizavimas, diegiant pažangias technologijas gamybos procesuose</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Sheet!$K$112:$K$113</c:f>
              <c:strCache>
                <c:ptCount val="2"/>
                <c:pt idx="1">
                  <c:v>Responses</c:v>
                </c:pt>
              </c:strCache>
            </c:strRef>
          </c:cat>
          <c:val>
            <c:numRef>
              <c:f>Sheet!$K$116</c:f>
              <c:numCache>
                <c:formatCode>0%</c:formatCode>
                <c:ptCount val="1"/>
                <c:pt idx="0">
                  <c:v>0.21</c:v>
                </c:pt>
              </c:numCache>
            </c:numRef>
          </c:val>
          <c:extLst>
            <c:ext xmlns:c16="http://schemas.microsoft.com/office/drawing/2014/chart" uri="{C3380CC4-5D6E-409C-BE32-E72D297353CC}">
              <c16:uniqueId val="{00000002-D286-4BFF-AF58-B2FDE122D0D7}"/>
            </c:ext>
          </c:extLst>
        </c:ser>
        <c:ser>
          <c:idx val="3"/>
          <c:order val="3"/>
          <c:tx>
            <c:strRef>
              <c:f>Sheet!$I$117</c:f>
              <c:strCache>
                <c:ptCount val="1"/>
                <c:pt idx="0">
                  <c:v>Perėjimas link neutralios klimatui ekonomikos, diegiant aplinkosaugines inovacijas ir / ar sprendimus</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Sheet!$K$112:$K$113</c:f>
              <c:strCache>
                <c:ptCount val="2"/>
                <c:pt idx="1">
                  <c:v>Responses</c:v>
                </c:pt>
              </c:strCache>
            </c:strRef>
          </c:cat>
          <c:val>
            <c:numRef>
              <c:f>Sheet!$K$117</c:f>
              <c:numCache>
                <c:formatCode>0%</c:formatCode>
                <c:ptCount val="1"/>
                <c:pt idx="0">
                  <c:v>0.14000000000000001</c:v>
                </c:pt>
              </c:numCache>
            </c:numRef>
          </c:val>
          <c:extLst>
            <c:ext xmlns:c16="http://schemas.microsoft.com/office/drawing/2014/chart" uri="{C3380CC4-5D6E-409C-BE32-E72D297353CC}">
              <c16:uniqueId val="{00000003-D286-4BFF-AF58-B2FDE122D0D7}"/>
            </c:ext>
          </c:extLst>
        </c:ser>
        <c:ser>
          <c:idx val="4"/>
          <c:order val="4"/>
          <c:tx>
            <c:strRef>
              <c:f>Sheet!$I$118</c:f>
              <c:strCache>
                <c:ptCount val="1"/>
                <c:pt idx="0">
                  <c:v>Energetinių sąnaudų mažinimas, investuojant į energijos taupymo sprendimus, atsinaujinančius energijos išteklius ir pan.</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Sheet!$K$112:$K$113</c:f>
              <c:strCache>
                <c:ptCount val="2"/>
                <c:pt idx="1">
                  <c:v>Responses</c:v>
                </c:pt>
              </c:strCache>
            </c:strRef>
          </c:cat>
          <c:val>
            <c:numRef>
              <c:f>Sheet!$K$118</c:f>
              <c:numCache>
                <c:formatCode>0%</c:formatCode>
                <c:ptCount val="1"/>
                <c:pt idx="0">
                  <c:v>0.17</c:v>
                </c:pt>
              </c:numCache>
            </c:numRef>
          </c:val>
          <c:extLst>
            <c:ext xmlns:c16="http://schemas.microsoft.com/office/drawing/2014/chart" uri="{C3380CC4-5D6E-409C-BE32-E72D297353CC}">
              <c16:uniqueId val="{00000004-D286-4BFF-AF58-B2FDE122D0D7}"/>
            </c:ext>
          </c:extLst>
        </c:ser>
        <c:ser>
          <c:idx val="5"/>
          <c:order val="5"/>
          <c:tx>
            <c:strRef>
              <c:f>Sheet!$I$119</c:f>
              <c:strCache>
                <c:ptCount val="1"/>
                <c:pt idx="0">
                  <c:v>MTEP veiklų įgyvendinimas ir rezultatų taikymas savo įmonėje</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Sheet!$K$112:$K$113</c:f>
              <c:strCache>
                <c:ptCount val="2"/>
                <c:pt idx="1">
                  <c:v>Responses</c:v>
                </c:pt>
              </c:strCache>
            </c:strRef>
          </c:cat>
          <c:val>
            <c:numRef>
              <c:f>Sheet!$K$119</c:f>
              <c:numCache>
                <c:formatCode>0%</c:formatCode>
                <c:ptCount val="1"/>
                <c:pt idx="0">
                  <c:v>0.1</c:v>
                </c:pt>
              </c:numCache>
            </c:numRef>
          </c:val>
          <c:extLst>
            <c:ext xmlns:c16="http://schemas.microsoft.com/office/drawing/2014/chart" uri="{C3380CC4-5D6E-409C-BE32-E72D297353CC}">
              <c16:uniqueId val="{00000005-D286-4BFF-AF58-B2FDE122D0D7}"/>
            </c:ext>
          </c:extLst>
        </c:ser>
        <c:ser>
          <c:idx val="6"/>
          <c:order val="6"/>
          <c:tx>
            <c:strRef>
              <c:f>Sheet!$I$120</c:f>
              <c:strCache>
                <c:ptCount val="1"/>
                <c:pt idx="0">
                  <c:v>MTEP veiklų įgyvendinimas ir rezultatų pardavimas kitiems</c:v>
                </c:pt>
              </c:strCache>
            </c:strRef>
          </c:tx>
          <c:spPr>
            <a:solidFill>
              <a:schemeClr val="accent6">
                <a:lumMod val="80000"/>
                <a:lumOff val="2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Sheet!$K$112:$K$113</c:f>
              <c:strCache>
                <c:ptCount val="2"/>
                <c:pt idx="1">
                  <c:v>Responses</c:v>
                </c:pt>
              </c:strCache>
            </c:strRef>
          </c:cat>
          <c:val>
            <c:numRef>
              <c:f>Sheet!$K$120</c:f>
              <c:numCache>
                <c:formatCode>0%</c:formatCode>
                <c:ptCount val="1"/>
                <c:pt idx="0">
                  <c:v>0.04</c:v>
                </c:pt>
              </c:numCache>
            </c:numRef>
          </c:val>
          <c:extLst>
            <c:ext xmlns:c16="http://schemas.microsoft.com/office/drawing/2014/chart" uri="{C3380CC4-5D6E-409C-BE32-E72D297353CC}">
              <c16:uniqueId val="{00000006-D286-4BFF-AF58-B2FDE122D0D7}"/>
            </c:ext>
          </c:extLst>
        </c:ser>
        <c:ser>
          <c:idx val="7"/>
          <c:order val="7"/>
          <c:tx>
            <c:strRef>
              <c:f>Sheet!$I$121</c:f>
              <c:strCache>
                <c:ptCount val="1"/>
                <c:pt idx="0">
                  <c:v>Kita (nurodykite)</c:v>
                </c:pt>
              </c:strCache>
            </c:strRef>
          </c:tx>
          <c:spPr>
            <a:solidFill>
              <a:schemeClr val="accent5">
                <a:lumMod val="80000"/>
                <a:lumOff val="2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Sheet!$K$112:$K$113</c:f>
              <c:strCache>
                <c:ptCount val="2"/>
                <c:pt idx="1">
                  <c:v>Responses</c:v>
                </c:pt>
              </c:strCache>
            </c:strRef>
          </c:cat>
          <c:val>
            <c:numRef>
              <c:f>Sheet!$K$121</c:f>
              <c:numCache>
                <c:formatCode>0%</c:formatCode>
                <c:ptCount val="1"/>
                <c:pt idx="0">
                  <c:v>0.02</c:v>
                </c:pt>
              </c:numCache>
            </c:numRef>
          </c:val>
          <c:extLst>
            <c:ext xmlns:c16="http://schemas.microsoft.com/office/drawing/2014/chart" uri="{C3380CC4-5D6E-409C-BE32-E72D297353CC}">
              <c16:uniqueId val="{00000007-D286-4BFF-AF58-B2FDE122D0D7}"/>
            </c:ext>
          </c:extLst>
        </c:ser>
        <c:dLbls>
          <c:dLblPos val="ctr"/>
          <c:showLegendKey val="0"/>
          <c:showVal val="1"/>
          <c:showCatName val="0"/>
          <c:showSerName val="0"/>
          <c:showPercent val="0"/>
          <c:showBubbleSize val="0"/>
        </c:dLbls>
        <c:gapWidth val="150"/>
        <c:overlap val="100"/>
        <c:axId val="323499008"/>
        <c:axId val="323435264"/>
      </c:barChart>
      <c:catAx>
        <c:axId val="3234990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3435264"/>
        <c:crosses val="autoZero"/>
        <c:auto val="1"/>
        <c:lblAlgn val="ctr"/>
        <c:lblOffset val="100"/>
        <c:noMultiLvlLbl val="0"/>
      </c:catAx>
      <c:valAx>
        <c:axId val="3234352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3499008"/>
        <c:crosses val="autoZero"/>
        <c:crossBetween val="between"/>
      </c:valAx>
      <c:spPr>
        <a:noFill/>
        <a:ln>
          <a:noFill/>
        </a:ln>
        <a:effectLst/>
      </c:spPr>
    </c:plotArea>
    <c:legend>
      <c:legendPos val="b"/>
      <c:layout>
        <c:manualLayout>
          <c:xMode val="edge"/>
          <c:yMode val="edge"/>
          <c:x val="7.3191474054010316E-2"/>
          <c:y val="0.44355677266317806"/>
          <c:w val="0.85361705189197934"/>
          <c:h val="0.55578693280478964"/>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6297119972143704"/>
          <c:y val="8.7984605234321944E-3"/>
          <c:w val="0.59298023491503349"/>
          <c:h val="0.83261402262151174"/>
        </c:manualLayout>
      </c:layout>
      <c:barChart>
        <c:barDir val="bar"/>
        <c:grouping val="percentStacked"/>
        <c:varyColors val="0"/>
        <c:ser>
          <c:idx val="0"/>
          <c:order val="0"/>
          <c:tx>
            <c:strRef>
              <c:f>Sheet!$U$127</c:f>
              <c:strCache>
                <c:ptCount val="1"/>
                <c:pt idx="0">
                  <c:v>iki 1 mln. Eur.</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Sheet!$T$128:$T$133</c:f>
              <c:strCache>
                <c:ptCount val="6"/>
                <c:pt idx="0">
                  <c:v>Investicijas į mašinas ir įrenginius</c:v>
                </c:pt>
                <c:pt idx="1">
                  <c:v>Investicijas į žemę, pastatus ir infrastruktūrą</c:v>
                </c:pt>
                <c:pt idx="2">
                  <c:v>Investicijas į mokslinius tyrimus ir eksperimentinę plėtrą</c:v>
                </c:pt>
                <c:pt idx="3">
                  <c:v>Investicijas į nematerialųjį turtą</c:v>
                </c:pt>
                <c:pt idx="4">
                  <c:v>Investicijas į žmogiškąjį kapitalą</c:v>
                </c:pt>
                <c:pt idx="5">
                  <c:v>Investicijas į pažangios gamybos technologijas</c:v>
                </c:pt>
              </c:strCache>
            </c:strRef>
          </c:cat>
          <c:val>
            <c:numRef>
              <c:f>Sheet!$U$128:$U$133</c:f>
              <c:numCache>
                <c:formatCode>0%</c:formatCode>
                <c:ptCount val="6"/>
                <c:pt idx="0">
                  <c:v>0.15</c:v>
                </c:pt>
                <c:pt idx="1">
                  <c:v>0.08</c:v>
                </c:pt>
                <c:pt idx="2">
                  <c:v>0.15</c:v>
                </c:pt>
                <c:pt idx="3">
                  <c:v>0.18</c:v>
                </c:pt>
                <c:pt idx="4">
                  <c:v>0.22</c:v>
                </c:pt>
                <c:pt idx="5">
                  <c:v>0.19</c:v>
                </c:pt>
              </c:numCache>
            </c:numRef>
          </c:val>
          <c:extLst>
            <c:ext xmlns:c16="http://schemas.microsoft.com/office/drawing/2014/chart" uri="{C3380CC4-5D6E-409C-BE32-E72D297353CC}">
              <c16:uniqueId val="{00000000-BD08-4E36-9A67-8269A30F8449}"/>
            </c:ext>
          </c:extLst>
        </c:ser>
        <c:ser>
          <c:idx val="1"/>
          <c:order val="1"/>
          <c:tx>
            <c:strRef>
              <c:f>Sheet!$V$127</c:f>
              <c:strCache>
                <c:ptCount val="1"/>
                <c:pt idx="0">
                  <c:v>1 - 10 mln. Eur.</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Sheet!$T$128:$T$133</c:f>
              <c:strCache>
                <c:ptCount val="6"/>
                <c:pt idx="0">
                  <c:v>Investicijas į mašinas ir įrenginius</c:v>
                </c:pt>
                <c:pt idx="1">
                  <c:v>Investicijas į žemę, pastatus ir infrastruktūrą</c:v>
                </c:pt>
                <c:pt idx="2">
                  <c:v>Investicijas į mokslinius tyrimus ir eksperimentinę plėtrą</c:v>
                </c:pt>
                <c:pt idx="3">
                  <c:v>Investicijas į nematerialųjį turtą</c:v>
                </c:pt>
                <c:pt idx="4">
                  <c:v>Investicijas į žmogiškąjį kapitalą</c:v>
                </c:pt>
                <c:pt idx="5">
                  <c:v>Investicijas į pažangios gamybos technologijas</c:v>
                </c:pt>
              </c:strCache>
            </c:strRef>
          </c:cat>
          <c:val>
            <c:numRef>
              <c:f>Sheet!$V$128:$V$133</c:f>
              <c:numCache>
                <c:formatCode>0%</c:formatCode>
                <c:ptCount val="6"/>
                <c:pt idx="0">
                  <c:v>0.37</c:v>
                </c:pt>
                <c:pt idx="1">
                  <c:v>0.22</c:v>
                </c:pt>
                <c:pt idx="2">
                  <c:v>7.0000000000000007E-2</c:v>
                </c:pt>
                <c:pt idx="3">
                  <c:v>0.11</c:v>
                </c:pt>
                <c:pt idx="4">
                  <c:v>7.0000000000000007E-2</c:v>
                </c:pt>
                <c:pt idx="5">
                  <c:v>0.11</c:v>
                </c:pt>
              </c:numCache>
            </c:numRef>
          </c:val>
          <c:extLst>
            <c:ext xmlns:c16="http://schemas.microsoft.com/office/drawing/2014/chart" uri="{C3380CC4-5D6E-409C-BE32-E72D297353CC}">
              <c16:uniqueId val="{00000001-BD08-4E36-9A67-8269A30F8449}"/>
            </c:ext>
          </c:extLst>
        </c:ser>
        <c:ser>
          <c:idx val="2"/>
          <c:order val="2"/>
          <c:tx>
            <c:strRef>
              <c:f>Sheet!$W$127</c:f>
              <c:strCache>
                <c:ptCount val="1"/>
                <c:pt idx="0">
                  <c:v>Daugiau nei 10 mln. Eur.</c:v>
                </c:pt>
              </c:strCache>
            </c:strRef>
          </c:tx>
          <c:spPr>
            <a:solidFill>
              <a:schemeClr val="accent3"/>
            </a:solidFill>
            <a:ln>
              <a:noFill/>
            </a:ln>
            <a:effectLst/>
          </c:spPr>
          <c:invertIfNegative val="0"/>
          <c:dLbls>
            <c:dLbl>
              <c:idx val="4"/>
              <c:delete val="1"/>
              <c:extLst>
                <c:ext xmlns:c15="http://schemas.microsoft.com/office/drawing/2012/chart" uri="{CE6537A1-D6FC-4f65-9D91-7224C49458BB}"/>
                <c:ext xmlns:c16="http://schemas.microsoft.com/office/drawing/2014/chart" uri="{C3380CC4-5D6E-409C-BE32-E72D297353CC}">
                  <c16:uniqueId val="{00000002-BD08-4E36-9A67-8269A30F8449}"/>
                </c:ext>
              </c:extLst>
            </c:dLbl>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Sheet!$T$128:$T$133</c:f>
              <c:strCache>
                <c:ptCount val="6"/>
                <c:pt idx="0">
                  <c:v>Investicijas į mašinas ir įrenginius</c:v>
                </c:pt>
                <c:pt idx="1">
                  <c:v>Investicijas į žemę, pastatus ir infrastruktūrą</c:v>
                </c:pt>
                <c:pt idx="2">
                  <c:v>Investicijas į mokslinius tyrimus ir eksperimentinę plėtrą</c:v>
                </c:pt>
                <c:pt idx="3">
                  <c:v>Investicijas į nematerialųjį turtą</c:v>
                </c:pt>
                <c:pt idx="4">
                  <c:v>Investicijas į žmogiškąjį kapitalą</c:v>
                </c:pt>
                <c:pt idx="5">
                  <c:v>Investicijas į pažangios gamybos technologijas</c:v>
                </c:pt>
              </c:strCache>
            </c:strRef>
          </c:cat>
          <c:val>
            <c:numRef>
              <c:f>Sheet!$W$128:$W$133</c:f>
              <c:numCache>
                <c:formatCode>0%</c:formatCode>
                <c:ptCount val="6"/>
                <c:pt idx="0">
                  <c:v>0.3</c:v>
                </c:pt>
                <c:pt idx="1">
                  <c:v>0.25</c:v>
                </c:pt>
                <c:pt idx="2">
                  <c:v>0.15</c:v>
                </c:pt>
                <c:pt idx="3">
                  <c:v>0.05</c:v>
                </c:pt>
                <c:pt idx="4">
                  <c:v>0</c:v>
                </c:pt>
                <c:pt idx="5">
                  <c:v>0.25</c:v>
                </c:pt>
              </c:numCache>
            </c:numRef>
          </c:val>
          <c:extLst>
            <c:ext xmlns:c16="http://schemas.microsoft.com/office/drawing/2014/chart" uri="{C3380CC4-5D6E-409C-BE32-E72D297353CC}">
              <c16:uniqueId val="{00000003-BD08-4E36-9A67-8269A30F8449}"/>
            </c:ext>
          </c:extLst>
        </c:ser>
        <c:dLbls>
          <c:dLblPos val="ctr"/>
          <c:showLegendKey val="0"/>
          <c:showVal val="1"/>
          <c:showCatName val="0"/>
          <c:showSerName val="0"/>
          <c:showPercent val="0"/>
          <c:showBubbleSize val="0"/>
        </c:dLbls>
        <c:gapWidth val="150"/>
        <c:overlap val="100"/>
        <c:axId val="329441280"/>
        <c:axId val="329310784"/>
      </c:barChart>
      <c:catAx>
        <c:axId val="3294412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9310784"/>
        <c:crosses val="autoZero"/>
        <c:auto val="1"/>
        <c:lblAlgn val="ctr"/>
        <c:lblOffset val="100"/>
        <c:noMultiLvlLbl val="0"/>
      </c:catAx>
      <c:valAx>
        <c:axId val="3293107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9441280"/>
        <c:crosses val="autoZero"/>
        <c:crossBetween val="between"/>
      </c:valAx>
      <c:spPr>
        <a:noFill/>
        <a:ln>
          <a:noFill/>
        </a:ln>
        <a:effectLst/>
      </c:spPr>
    </c:plotArea>
    <c:legend>
      <c:legendPos val="b"/>
      <c:layout>
        <c:manualLayout>
          <c:xMode val="edge"/>
          <c:yMode val="edge"/>
          <c:x val="0.16803826062518279"/>
          <c:y val="0.92379220823730002"/>
          <c:w val="0.65977324011091265"/>
          <c:h val="7.6207791762699956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Sheet!$C$175:$C$176</c:f>
              <c:strCache>
                <c:ptCount val="2"/>
                <c:pt idx="0">
                  <c:v>Q16. Kokie veiksniai riboja išorinio finansavimo prieinamumą?</c:v>
                </c:pt>
                <c:pt idx="1">
                  <c:v>Responses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4B86-40B6-88A9-119725B8EFFC}"/>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4B86-40B6-88A9-119725B8EFFC}"/>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4B86-40B6-88A9-119725B8EFFC}"/>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Sheet!$A$177:$B$179</c:f>
              <c:strCache>
                <c:ptCount val="3"/>
                <c:pt idx="0">
                  <c:v>Per didelė finansavimo kaina (palūkanos, garantijos mokestis)</c:v>
                </c:pt>
                <c:pt idx="1">
                  <c:v>Per didelė reikalaujama nuosavų lėšų dalis</c:v>
                </c:pt>
                <c:pt idx="2">
                  <c:v>Didelis finansavimo suteikimui reikalingų dokumentų kiekis</c:v>
                </c:pt>
              </c:strCache>
              <c:extLst/>
            </c:strRef>
          </c:cat>
          <c:val>
            <c:numRef>
              <c:f>Sheet!$C$177:$C$179</c:f>
              <c:numCache>
                <c:formatCode>General</c:formatCode>
                <c:ptCount val="3"/>
                <c:pt idx="0">
                  <c:v>2</c:v>
                </c:pt>
                <c:pt idx="1">
                  <c:v>2</c:v>
                </c:pt>
                <c:pt idx="2">
                  <c:v>1</c:v>
                </c:pt>
              </c:numCache>
            </c:numRef>
          </c:val>
          <c:extLst>
            <c:ext xmlns:c16="http://schemas.microsoft.com/office/drawing/2014/chart" uri="{C3380CC4-5D6E-409C-BE32-E72D297353CC}">
              <c16:uniqueId val="{00000006-4B86-40B6-88A9-119725B8EFFC}"/>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961935415007431E-2"/>
          <c:y val="7.9992566347369745E-2"/>
          <c:w val="0.91398339806064388"/>
          <c:h val="0.48586220745023995"/>
        </c:manualLayout>
      </c:layout>
      <c:barChart>
        <c:barDir val="bar"/>
        <c:grouping val="percentStacked"/>
        <c:varyColors val="0"/>
        <c:ser>
          <c:idx val="0"/>
          <c:order val="0"/>
          <c:tx>
            <c:strRef>
              <c:f>Sheet!$H$234</c:f>
              <c:strCache>
                <c:ptCount val="1"/>
                <c:pt idx="0">
                  <c:v>Įmonės finansinė padėtis labai suprastės</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Sheet!$I$232:$I$233</c:f>
              <c:strCache>
                <c:ptCount val="2"/>
                <c:pt idx="1">
                  <c:v>Responses</c:v>
                </c:pt>
              </c:strCache>
            </c:strRef>
          </c:cat>
          <c:val>
            <c:numRef>
              <c:f>Sheet!$I$234</c:f>
              <c:numCache>
                <c:formatCode>0%</c:formatCode>
                <c:ptCount val="1"/>
                <c:pt idx="0">
                  <c:v>0.03</c:v>
                </c:pt>
              </c:numCache>
            </c:numRef>
          </c:val>
          <c:extLst>
            <c:ext xmlns:c16="http://schemas.microsoft.com/office/drawing/2014/chart" uri="{C3380CC4-5D6E-409C-BE32-E72D297353CC}">
              <c16:uniqueId val="{00000000-D213-4E9D-A365-D9F47EBA125D}"/>
            </c:ext>
          </c:extLst>
        </c:ser>
        <c:ser>
          <c:idx val="1"/>
          <c:order val="1"/>
          <c:tx>
            <c:strRef>
              <c:f>Sheet!$H$235</c:f>
              <c:strCache>
                <c:ptCount val="1"/>
                <c:pt idx="0">
                  <c:v>Įmonės finansinė padėtis suprastės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Sheet!$I$232:$I$233</c:f>
              <c:strCache>
                <c:ptCount val="2"/>
                <c:pt idx="1">
                  <c:v>Responses</c:v>
                </c:pt>
              </c:strCache>
            </c:strRef>
          </c:cat>
          <c:val>
            <c:numRef>
              <c:f>Sheet!$I$235</c:f>
              <c:numCache>
                <c:formatCode>0%</c:formatCode>
                <c:ptCount val="1"/>
                <c:pt idx="0">
                  <c:v>0.1</c:v>
                </c:pt>
              </c:numCache>
            </c:numRef>
          </c:val>
          <c:extLst>
            <c:ext xmlns:c16="http://schemas.microsoft.com/office/drawing/2014/chart" uri="{C3380CC4-5D6E-409C-BE32-E72D297353CC}">
              <c16:uniqueId val="{00000001-D213-4E9D-A365-D9F47EBA125D}"/>
            </c:ext>
          </c:extLst>
        </c:ser>
        <c:ser>
          <c:idx val="2"/>
          <c:order val="2"/>
          <c:tx>
            <c:strRef>
              <c:f>Sheet!$H$236</c:f>
              <c:strCache>
                <c:ptCount val="1"/>
                <c:pt idx="0">
                  <c:v>Įmonės finansinė padėtis nepasikeis</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Sheet!$I$232:$I$233</c:f>
              <c:strCache>
                <c:ptCount val="2"/>
                <c:pt idx="1">
                  <c:v>Responses</c:v>
                </c:pt>
              </c:strCache>
            </c:strRef>
          </c:cat>
          <c:val>
            <c:numRef>
              <c:f>Sheet!$I$236</c:f>
              <c:numCache>
                <c:formatCode>0%</c:formatCode>
                <c:ptCount val="1"/>
                <c:pt idx="0">
                  <c:v>0.28999999999999998</c:v>
                </c:pt>
              </c:numCache>
            </c:numRef>
          </c:val>
          <c:extLst>
            <c:ext xmlns:c16="http://schemas.microsoft.com/office/drawing/2014/chart" uri="{C3380CC4-5D6E-409C-BE32-E72D297353CC}">
              <c16:uniqueId val="{00000002-D213-4E9D-A365-D9F47EBA125D}"/>
            </c:ext>
          </c:extLst>
        </c:ser>
        <c:ser>
          <c:idx val="3"/>
          <c:order val="3"/>
          <c:tx>
            <c:strRef>
              <c:f>Sheet!$H$237</c:f>
              <c:strCache>
                <c:ptCount val="1"/>
                <c:pt idx="0">
                  <c:v>Įmonės finansinė padėtis pagerės</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Sheet!$I$232:$I$233</c:f>
              <c:strCache>
                <c:ptCount val="2"/>
                <c:pt idx="1">
                  <c:v>Responses</c:v>
                </c:pt>
              </c:strCache>
            </c:strRef>
          </c:cat>
          <c:val>
            <c:numRef>
              <c:f>Sheet!$I$237</c:f>
              <c:numCache>
                <c:formatCode>0%</c:formatCode>
                <c:ptCount val="1"/>
                <c:pt idx="0">
                  <c:v>0.42</c:v>
                </c:pt>
              </c:numCache>
            </c:numRef>
          </c:val>
          <c:extLst>
            <c:ext xmlns:c16="http://schemas.microsoft.com/office/drawing/2014/chart" uri="{C3380CC4-5D6E-409C-BE32-E72D297353CC}">
              <c16:uniqueId val="{00000003-D213-4E9D-A365-D9F47EBA125D}"/>
            </c:ext>
          </c:extLst>
        </c:ser>
        <c:ser>
          <c:idx val="4"/>
          <c:order val="4"/>
          <c:tx>
            <c:strRef>
              <c:f>Sheet!$H$238</c:f>
              <c:strCache>
                <c:ptCount val="1"/>
                <c:pt idx="0">
                  <c:v>Įmonės finansinė padėtis labai pagerės</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Sheet!$I$232:$I$233</c:f>
              <c:strCache>
                <c:ptCount val="2"/>
                <c:pt idx="1">
                  <c:v>Responses</c:v>
                </c:pt>
              </c:strCache>
            </c:strRef>
          </c:cat>
          <c:val>
            <c:numRef>
              <c:f>Sheet!$I$238</c:f>
              <c:numCache>
                <c:formatCode>0%</c:formatCode>
                <c:ptCount val="1"/>
                <c:pt idx="0">
                  <c:v>0.03</c:v>
                </c:pt>
              </c:numCache>
            </c:numRef>
          </c:val>
          <c:extLst>
            <c:ext xmlns:c16="http://schemas.microsoft.com/office/drawing/2014/chart" uri="{C3380CC4-5D6E-409C-BE32-E72D297353CC}">
              <c16:uniqueId val="{00000004-D213-4E9D-A365-D9F47EBA125D}"/>
            </c:ext>
          </c:extLst>
        </c:ser>
        <c:ser>
          <c:idx val="5"/>
          <c:order val="5"/>
          <c:tx>
            <c:strRef>
              <c:f>Sheet!$H$239</c:f>
              <c:strCache>
                <c:ptCount val="1"/>
                <c:pt idx="0">
                  <c:v>Nežinau / negaliu atsakyti</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Sheet!$I$232:$I$233</c:f>
              <c:strCache>
                <c:ptCount val="2"/>
                <c:pt idx="1">
                  <c:v>Responses</c:v>
                </c:pt>
              </c:strCache>
            </c:strRef>
          </c:cat>
          <c:val>
            <c:numRef>
              <c:f>Sheet!$I$239</c:f>
              <c:numCache>
                <c:formatCode>0%</c:formatCode>
                <c:ptCount val="1"/>
                <c:pt idx="0">
                  <c:v>0.13</c:v>
                </c:pt>
              </c:numCache>
            </c:numRef>
          </c:val>
          <c:extLst>
            <c:ext xmlns:c16="http://schemas.microsoft.com/office/drawing/2014/chart" uri="{C3380CC4-5D6E-409C-BE32-E72D297353CC}">
              <c16:uniqueId val="{00000005-D213-4E9D-A365-D9F47EBA125D}"/>
            </c:ext>
          </c:extLst>
        </c:ser>
        <c:dLbls>
          <c:dLblPos val="ctr"/>
          <c:showLegendKey val="0"/>
          <c:showVal val="1"/>
          <c:showCatName val="0"/>
          <c:showSerName val="0"/>
          <c:showPercent val="0"/>
          <c:showBubbleSize val="0"/>
        </c:dLbls>
        <c:gapWidth val="150"/>
        <c:overlap val="100"/>
        <c:axId val="329443328"/>
        <c:axId val="329313664"/>
      </c:barChart>
      <c:catAx>
        <c:axId val="329443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9313664"/>
        <c:crosses val="autoZero"/>
        <c:auto val="1"/>
        <c:lblAlgn val="ctr"/>
        <c:lblOffset val="100"/>
        <c:noMultiLvlLbl val="0"/>
      </c:catAx>
      <c:valAx>
        <c:axId val="3293136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9443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Sheet!$B$245</c:f>
              <c:strCache>
                <c:ptCount val="1"/>
                <c:pt idx="0">
                  <c:v>Bankroto rizika liks nepakitusi</c:v>
                </c:pt>
              </c:strCache>
            </c:strRef>
          </c:tx>
          <c:spPr>
            <a:solidFill>
              <a:schemeClr val="accent6"/>
            </a:solidFill>
            <a:ln>
              <a:noFill/>
            </a:ln>
            <a:effectLst/>
          </c:spPr>
          <c:invertIfNegative val="0"/>
          <c:dLbls>
            <c:numFmt formatCode="\7\7\%"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Sheet!$A$246</c:f>
              <c:numCache>
                <c:formatCode>General</c:formatCode>
                <c:ptCount val="1"/>
                <c:pt idx="0">
                  <c:v>1</c:v>
                </c:pt>
              </c:numCache>
            </c:numRef>
          </c:cat>
          <c:val>
            <c:numRef>
              <c:f>Sheet!$B$246</c:f>
              <c:numCache>
                <c:formatCode>General</c:formatCode>
                <c:ptCount val="1"/>
                <c:pt idx="0">
                  <c:v>10</c:v>
                </c:pt>
              </c:numCache>
            </c:numRef>
          </c:val>
          <c:extLst>
            <c:ext xmlns:c16="http://schemas.microsoft.com/office/drawing/2014/chart" uri="{C3380CC4-5D6E-409C-BE32-E72D297353CC}">
              <c16:uniqueId val="{00000000-F405-4984-8614-63E8D3E45D7A}"/>
            </c:ext>
          </c:extLst>
        </c:ser>
        <c:ser>
          <c:idx val="1"/>
          <c:order val="1"/>
          <c:tx>
            <c:strRef>
              <c:f>Sheet!$C$245</c:f>
              <c:strCache>
                <c:ptCount val="1"/>
                <c:pt idx="0">
                  <c:v>Bankroto rizika tik šiek tiek padidės</c:v>
                </c:pt>
              </c:strCache>
            </c:strRef>
          </c:tx>
          <c:spPr>
            <a:solidFill>
              <a:schemeClr val="accent5"/>
            </a:solidFill>
            <a:ln>
              <a:noFill/>
            </a:ln>
            <a:effectLst/>
          </c:spPr>
          <c:invertIfNegative val="0"/>
          <c:dLbls>
            <c:numFmt formatCode="\8\%"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Sheet!$A$246</c:f>
              <c:numCache>
                <c:formatCode>General</c:formatCode>
                <c:ptCount val="1"/>
                <c:pt idx="0">
                  <c:v>1</c:v>
                </c:pt>
              </c:numCache>
            </c:numRef>
          </c:cat>
          <c:val>
            <c:numRef>
              <c:f>Sheet!$C$246</c:f>
              <c:numCache>
                <c:formatCode>General</c:formatCode>
                <c:ptCount val="1"/>
                <c:pt idx="0">
                  <c:v>1</c:v>
                </c:pt>
              </c:numCache>
            </c:numRef>
          </c:val>
          <c:extLst>
            <c:ext xmlns:c16="http://schemas.microsoft.com/office/drawing/2014/chart" uri="{C3380CC4-5D6E-409C-BE32-E72D297353CC}">
              <c16:uniqueId val="{00000001-F405-4984-8614-63E8D3E45D7A}"/>
            </c:ext>
          </c:extLst>
        </c:ser>
        <c:ser>
          <c:idx val="2"/>
          <c:order val="2"/>
          <c:tx>
            <c:strRef>
              <c:f>Sheet!$D$245</c:f>
              <c:strCache>
                <c:ptCount val="1"/>
                <c:pt idx="0">
                  <c:v>Bankroto rizika vidutiniškai padidės</c:v>
                </c:pt>
              </c:strCache>
            </c:strRef>
          </c:tx>
          <c:spPr>
            <a:solidFill>
              <a:schemeClr val="accent4"/>
            </a:solidFill>
            <a:ln>
              <a:noFill/>
            </a:ln>
            <a:effectLst/>
          </c:spPr>
          <c:invertIfNegative val="0"/>
          <c:dLbls>
            <c:delete val="1"/>
          </c:dLbls>
          <c:cat>
            <c:numRef>
              <c:f>Sheet!$A$246</c:f>
              <c:numCache>
                <c:formatCode>General</c:formatCode>
                <c:ptCount val="1"/>
                <c:pt idx="0">
                  <c:v>1</c:v>
                </c:pt>
              </c:numCache>
            </c:numRef>
          </c:cat>
          <c:val>
            <c:numRef>
              <c:f>Sheet!$D$246</c:f>
              <c:numCache>
                <c:formatCode>General</c:formatCode>
                <c:ptCount val="1"/>
                <c:pt idx="0">
                  <c:v>0</c:v>
                </c:pt>
              </c:numCache>
            </c:numRef>
          </c:val>
          <c:extLst>
            <c:ext xmlns:c16="http://schemas.microsoft.com/office/drawing/2014/chart" uri="{C3380CC4-5D6E-409C-BE32-E72D297353CC}">
              <c16:uniqueId val="{00000002-F405-4984-8614-63E8D3E45D7A}"/>
            </c:ext>
          </c:extLst>
        </c:ser>
        <c:ser>
          <c:idx val="3"/>
          <c:order val="3"/>
          <c:tx>
            <c:strRef>
              <c:f>Sheet!$E$245</c:f>
              <c:strCache>
                <c:ptCount val="1"/>
                <c:pt idx="0">
                  <c:v>Bankroto rizika reikšmingai padidės</c:v>
                </c:pt>
              </c:strCache>
            </c:strRef>
          </c:tx>
          <c:spPr>
            <a:solidFill>
              <a:schemeClr val="accent6">
                <a:lumMod val="60000"/>
              </a:schemeClr>
            </a:solidFill>
            <a:ln>
              <a:noFill/>
            </a:ln>
            <a:effectLst/>
          </c:spPr>
          <c:invertIfNegative val="0"/>
          <c:dLbls>
            <c:numFmt formatCode="\1\5\%"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Sheet!$A$246</c:f>
              <c:numCache>
                <c:formatCode>General</c:formatCode>
                <c:ptCount val="1"/>
                <c:pt idx="0">
                  <c:v>1</c:v>
                </c:pt>
              </c:numCache>
            </c:numRef>
          </c:cat>
          <c:val>
            <c:numRef>
              <c:f>Sheet!$E$246</c:f>
              <c:numCache>
                <c:formatCode>General</c:formatCode>
                <c:ptCount val="1"/>
                <c:pt idx="0">
                  <c:v>2</c:v>
                </c:pt>
              </c:numCache>
            </c:numRef>
          </c:val>
          <c:extLst>
            <c:ext xmlns:c16="http://schemas.microsoft.com/office/drawing/2014/chart" uri="{C3380CC4-5D6E-409C-BE32-E72D297353CC}">
              <c16:uniqueId val="{00000003-F405-4984-8614-63E8D3E45D7A}"/>
            </c:ext>
          </c:extLst>
        </c:ser>
        <c:ser>
          <c:idx val="4"/>
          <c:order val="4"/>
          <c:tx>
            <c:strRef>
              <c:f>Sheet!$F$245</c:f>
              <c:strCache>
                <c:ptCount val="1"/>
                <c:pt idx="0">
                  <c:v>Bankroto rizika labai reikšmingai padidės</c:v>
                </c:pt>
              </c:strCache>
            </c:strRef>
          </c:tx>
          <c:spPr>
            <a:solidFill>
              <a:schemeClr val="accent5">
                <a:lumMod val="60000"/>
              </a:schemeClr>
            </a:solidFill>
            <a:ln>
              <a:noFill/>
            </a:ln>
            <a:effectLst/>
          </c:spPr>
          <c:invertIfNegative val="0"/>
          <c:dLbls>
            <c:delete val="1"/>
          </c:dLbls>
          <c:cat>
            <c:numRef>
              <c:f>Sheet!$A$246</c:f>
              <c:numCache>
                <c:formatCode>General</c:formatCode>
                <c:ptCount val="1"/>
                <c:pt idx="0">
                  <c:v>1</c:v>
                </c:pt>
              </c:numCache>
            </c:numRef>
          </c:cat>
          <c:val>
            <c:numRef>
              <c:f>Sheet!$F$246</c:f>
              <c:numCache>
                <c:formatCode>General</c:formatCode>
                <c:ptCount val="1"/>
                <c:pt idx="0">
                  <c:v>0</c:v>
                </c:pt>
              </c:numCache>
            </c:numRef>
          </c:val>
          <c:extLst>
            <c:ext xmlns:c16="http://schemas.microsoft.com/office/drawing/2014/chart" uri="{C3380CC4-5D6E-409C-BE32-E72D297353CC}">
              <c16:uniqueId val="{00000004-F405-4984-8614-63E8D3E45D7A}"/>
            </c:ext>
          </c:extLst>
        </c:ser>
        <c:ser>
          <c:idx val="5"/>
          <c:order val="5"/>
          <c:tx>
            <c:strRef>
              <c:f>Sheet!$G$245</c:f>
              <c:strCache>
                <c:ptCount val="1"/>
                <c:pt idx="0">
                  <c:v>Įmonė tikėtina, kad bankrutuos</c:v>
                </c:pt>
              </c:strCache>
            </c:strRef>
          </c:tx>
          <c:spPr>
            <a:solidFill>
              <a:schemeClr val="accent4">
                <a:lumMod val="60000"/>
              </a:schemeClr>
            </a:solidFill>
            <a:ln>
              <a:noFill/>
            </a:ln>
            <a:effectLst/>
          </c:spPr>
          <c:invertIfNegative val="0"/>
          <c:dLbls>
            <c:delete val="1"/>
          </c:dLbls>
          <c:cat>
            <c:numRef>
              <c:f>Sheet!$A$246</c:f>
              <c:numCache>
                <c:formatCode>General</c:formatCode>
                <c:ptCount val="1"/>
                <c:pt idx="0">
                  <c:v>1</c:v>
                </c:pt>
              </c:numCache>
            </c:numRef>
          </c:cat>
          <c:val>
            <c:numRef>
              <c:f>Sheet!$G$246</c:f>
              <c:numCache>
                <c:formatCode>General</c:formatCode>
                <c:ptCount val="1"/>
                <c:pt idx="0">
                  <c:v>0</c:v>
                </c:pt>
              </c:numCache>
            </c:numRef>
          </c:val>
          <c:extLst>
            <c:ext xmlns:c16="http://schemas.microsoft.com/office/drawing/2014/chart" uri="{C3380CC4-5D6E-409C-BE32-E72D297353CC}">
              <c16:uniqueId val="{00000005-F405-4984-8614-63E8D3E45D7A}"/>
            </c:ext>
          </c:extLst>
        </c:ser>
        <c:ser>
          <c:idx val="6"/>
          <c:order val="6"/>
          <c:tx>
            <c:strRef>
              <c:f>Sheet!$H$245</c:f>
              <c:strCache>
                <c:ptCount val="1"/>
                <c:pt idx="0">
                  <c:v>Nežinau / negaliu atsakyti</c:v>
                </c:pt>
              </c:strCache>
            </c:strRef>
          </c:tx>
          <c:spPr>
            <a:solidFill>
              <a:schemeClr val="accent6">
                <a:lumMod val="80000"/>
                <a:lumOff val="20000"/>
              </a:schemeClr>
            </a:solidFill>
            <a:ln>
              <a:noFill/>
            </a:ln>
            <a:effectLst/>
          </c:spPr>
          <c:invertIfNegative val="0"/>
          <c:dLbls>
            <c:delete val="1"/>
          </c:dLbls>
          <c:cat>
            <c:numRef>
              <c:f>Sheet!$A$246</c:f>
              <c:numCache>
                <c:formatCode>General</c:formatCode>
                <c:ptCount val="1"/>
                <c:pt idx="0">
                  <c:v>1</c:v>
                </c:pt>
              </c:numCache>
            </c:numRef>
          </c:cat>
          <c:val>
            <c:numRef>
              <c:f>Sheet!$H$246</c:f>
              <c:numCache>
                <c:formatCode>General</c:formatCode>
                <c:ptCount val="1"/>
                <c:pt idx="0">
                  <c:v>0</c:v>
                </c:pt>
              </c:numCache>
            </c:numRef>
          </c:val>
          <c:extLst>
            <c:ext xmlns:c16="http://schemas.microsoft.com/office/drawing/2014/chart" uri="{C3380CC4-5D6E-409C-BE32-E72D297353CC}">
              <c16:uniqueId val="{00000006-F405-4984-8614-63E8D3E45D7A}"/>
            </c:ext>
          </c:extLst>
        </c:ser>
        <c:dLbls>
          <c:dLblPos val="ctr"/>
          <c:showLegendKey val="0"/>
          <c:showVal val="1"/>
          <c:showCatName val="0"/>
          <c:showSerName val="0"/>
          <c:showPercent val="0"/>
          <c:showBubbleSize val="0"/>
        </c:dLbls>
        <c:gapWidth val="150"/>
        <c:overlap val="100"/>
        <c:axId val="329743360"/>
        <c:axId val="329315392"/>
      </c:barChart>
      <c:catAx>
        <c:axId val="329743360"/>
        <c:scaling>
          <c:orientation val="minMax"/>
        </c:scaling>
        <c:delete val="1"/>
        <c:axPos val="l"/>
        <c:numFmt formatCode="General" sourceLinked="1"/>
        <c:majorTickMark val="none"/>
        <c:minorTickMark val="none"/>
        <c:tickLblPos val="nextTo"/>
        <c:crossAx val="329315392"/>
        <c:crosses val="autoZero"/>
        <c:auto val="1"/>
        <c:lblAlgn val="ctr"/>
        <c:lblOffset val="100"/>
        <c:noMultiLvlLbl val="0"/>
      </c:catAx>
      <c:valAx>
        <c:axId val="3293153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9743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7434297867547"/>
          <c:y val="0.14420813456303294"/>
          <c:w val="0.33773376924665488"/>
          <c:h val="0.6901243936417373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215-46DA-A509-CE2A29CFD65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215-46DA-A509-CE2A29CFD65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215-46DA-A509-CE2A29CFD65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215-46DA-A509-CE2A29CFD65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215-46DA-A509-CE2A29CFD65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215-46DA-A509-CE2A29CFD659}"/>
              </c:ext>
            </c:extLst>
          </c:dPt>
          <c:dLbls>
            <c:dLbl>
              <c:idx val="3"/>
              <c:layout>
                <c:manualLayout>
                  <c:x val="4.8914704983185571E-2"/>
                  <c:y val="-8.870490833826148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215-46DA-A509-CE2A29CFD659}"/>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extLst>
          </c:dLbls>
          <c:cat>
            <c:strRef>
              <c:f>MTEP!$H$3:$H$8</c:f>
              <c:strCache>
                <c:ptCount val="6"/>
                <c:pt idx="0">
                  <c:v>&lt; 25 000</c:v>
                </c:pt>
                <c:pt idx="1">
                  <c:v>25 001 - 50 000</c:v>
                </c:pt>
                <c:pt idx="2">
                  <c:v>50 001 - 150 000</c:v>
                </c:pt>
                <c:pt idx="3">
                  <c:v>150 001 - 300 000</c:v>
                </c:pt>
                <c:pt idx="4">
                  <c:v>300 001 - 1 500 000</c:v>
                </c:pt>
                <c:pt idx="5">
                  <c:v>&gt; 1 500 000</c:v>
                </c:pt>
              </c:strCache>
            </c:strRef>
          </c:cat>
          <c:val>
            <c:numRef>
              <c:f>MTEP!$J$3:$J$8</c:f>
              <c:numCache>
                <c:formatCode>0.0%</c:formatCode>
                <c:ptCount val="6"/>
                <c:pt idx="0">
                  <c:v>8.5714285714285715E-2</c:v>
                </c:pt>
                <c:pt idx="1">
                  <c:v>0.11428571428571428</c:v>
                </c:pt>
                <c:pt idx="2">
                  <c:v>8.5714285714285715E-2</c:v>
                </c:pt>
                <c:pt idx="3">
                  <c:v>0.34285714285714286</c:v>
                </c:pt>
                <c:pt idx="4">
                  <c:v>0.22857142857142856</c:v>
                </c:pt>
                <c:pt idx="5">
                  <c:v>0.14285714285714285</c:v>
                </c:pt>
              </c:numCache>
            </c:numRef>
          </c:val>
          <c:extLst>
            <c:ext xmlns:c16="http://schemas.microsoft.com/office/drawing/2014/chart" uri="{C3380CC4-5D6E-409C-BE32-E72D297353CC}">
              <c16:uniqueId val="{0000000C-C215-46DA-A509-CE2A29CFD659}"/>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layout>
        <c:manualLayout>
          <c:xMode val="edge"/>
          <c:yMode val="edge"/>
          <c:x val="0.59265527177085775"/>
          <c:y val="0.235883548523458"/>
          <c:w val="0.26656939970730514"/>
          <c:h val="0.53157035724553758"/>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Startuoliai!$S$2</c:f>
              <c:strCache>
                <c:ptCount val="1"/>
                <c:pt idx="0">
                  <c:v>Panaudota lėšų suma, mln. Eur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Startuoliai!$R$3:$R$12</c:f>
              <c:strCache>
                <c:ptCount val="10"/>
                <c:pt idx="0">
                  <c:v>Ko-investicinis fondas I</c:v>
                </c:pt>
                <c:pt idx="1">
                  <c:v>Ko-investicinis fondas II</c:v>
                </c:pt>
                <c:pt idx="2">
                  <c:v>Akceleravimo fondas</c:v>
                </c:pt>
                <c:pt idx="3">
                  <c:v>Bendrai su verslo angelais investuojantis fondas</c:v>
                </c:pt>
                <c:pt idx="4">
                  <c:v>Ankstyvos stadijos ir plėtros fondas I</c:v>
                </c:pt>
                <c:pt idx="5">
                  <c:v>Ankstyvosios stadijos ir plėtros fondas II</c:v>
                </c:pt>
                <c:pt idx="6">
                  <c:v>Plėtros fondas I</c:v>
                </c:pt>
                <c:pt idx="7">
                  <c:v>Plėtros fondas II</c:v>
                </c:pt>
                <c:pt idx="8">
                  <c:v>Subsidijos verslo pradžiai</c:v>
                </c:pt>
                <c:pt idx="9">
                  <c:v>Verslumo skatinimas 2014-2020</c:v>
                </c:pt>
              </c:strCache>
            </c:strRef>
          </c:cat>
          <c:val>
            <c:numRef>
              <c:f>Startuoliai!$S$3:$S$12</c:f>
              <c:numCache>
                <c:formatCode>#,##0.00</c:formatCode>
                <c:ptCount val="10"/>
                <c:pt idx="0">
                  <c:v>0.52169679999999996</c:v>
                </c:pt>
                <c:pt idx="1">
                  <c:v>3.0604659999999999</c:v>
                </c:pt>
                <c:pt idx="2">
                  <c:v>4.5186916100000003</c:v>
                </c:pt>
                <c:pt idx="3">
                  <c:v>0.78717400000000004</c:v>
                </c:pt>
                <c:pt idx="4">
                  <c:v>3.4669336199999998</c:v>
                </c:pt>
                <c:pt idx="5">
                  <c:v>2.154191</c:v>
                </c:pt>
                <c:pt idx="6">
                  <c:v>2.6452119999999999</c:v>
                </c:pt>
                <c:pt idx="7">
                  <c:v>0</c:v>
                </c:pt>
                <c:pt idx="8">
                  <c:v>6.1312280000000001</c:v>
                </c:pt>
                <c:pt idx="9">
                  <c:v>19.467624109999999</c:v>
                </c:pt>
              </c:numCache>
            </c:numRef>
          </c:val>
          <c:extLst>
            <c:ext xmlns:c16="http://schemas.microsoft.com/office/drawing/2014/chart" uri="{C3380CC4-5D6E-409C-BE32-E72D297353CC}">
              <c16:uniqueId val="{00000000-95A3-4FAE-A9A8-2A1AE5BE555D}"/>
            </c:ext>
          </c:extLst>
        </c:ser>
        <c:ser>
          <c:idx val="1"/>
          <c:order val="1"/>
          <c:tx>
            <c:strRef>
              <c:f>Startuoliai!$T$2</c:f>
              <c:strCache>
                <c:ptCount val="1"/>
                <c:pt idx="0">
                  <c:v>Skirta lėšų suma, mln. Eur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Startuoliai!$R$3:$R$12</c:f>
              <c:strCache>
                <c:ptCount val="10"/>
                <c:pt idx="0">
                  <c:v>Ko-investicinis fondas I</c:v>
                </c:pt>
                <c:pt idx="1">
                  <c:v>Ko-investicinis fondas II</c:v>
                </c:pt>
                <c:pt idx="2">
                  <c:v>Akceleravimo fondas</c:v>
                </c:pt>
                <c:pt idx="3">
                  <c:v>Bendrai su verslo angelais investuojantis fondas</c:v>
                </c:pt>
                <c:pt idx="4">
                  <c:v>Ankstyvos stadijos ir plėtros fondas I</c:v>
                </c:pt>
                <c:pt idx="5">
                  <c:v>Ankstyvosios stadijos ir plėtros fondas II</c:v>
                </c:pt>
                <c:pt idx="6">
                  <c:v>Plėtros fondas I</c:v>
                </c:pt>
                <c:pt idx="7">
                  <c:v>Plėtros fondas II</c:v>
                </c:pt>
                <c:pt idx="8">
                  <c:v>Subsidijos verslo pradžiai</c:v>
                </c:pt>
                <c:pt idx="9">
                  <c:v>Verslumo skatinimas 2014-2020</c:v>
                </c:pt>
              </c:strCache>
            </c:strRef>
          </c:cat>
          <c:val>
            <c:numRef>
              <c:f>Startuoliai!$T$3:$T$12</c:f>
              <c:numCache>
                <c:formatCode>#,##0.00</c:formatCode>
                <c:ptCount val="10"/>
                <c:pt idx="0">
                  <c:v>11</c:v>
                </c:pt>
                <c:pt idx="1">
                  <c:v>11.6</c:v>
                </c:pt>
                <c:pt idx="2">
                  <c:v>14.48</c:v>
                </c:pt>
                <c:pt idx="3">
                  <c:v>11</c:v>
                </c:pt>
                <c:pt idx="4">
                  <c:v>13.8</c:v>
                </c:pt>
                <c:pt idx="5">
                  <c:v>14.8</c:v>
                </c:pt>
                <c:pt idx="6">
                  <c:v>15.6</c:v>
                </c:pt>
                <c:pt idx="7">
                  <c:v>17.399999999999999</c:v>
                </c:pt>
                <c:pt idx="8">
                  <c:v>8</c:v>
                </c:pt>
                <c:pt idx="9">
                  <c:v>24.546803000000001</c:v>
                </c:pt>
              </c:numCache>
            </c:numRef>
          </c:val>
          <c:extLst>
            <c:ext xmlns:c16="http://schemas.microsoft.com/office/drawing/2014/chart" uri="{C3380CC4-5D6E-409C-BE32-E72D297353CC}">
              <c16:uniqueId val="{00000001-95A3-4FAE-A9A8-2A1AE5BE555D}"/>
            </c:ext>
          </c:extLst>
        </c:ser>
        <c:dLbls>
          <c:dLblPos val="outEnd"/>
          <c:showLegendKey val="0"/>
          <c:showVal val="1"/>
          <c:showCatName val="0"/>
          <c:showSerName val="0"/>
          <c:showPercent val="0"/>
          <c:showBubbleSize val="0"/>
        </c:dLbls>
        <c:gapWidth val="182"/>
        <c:axId val="137516544"/>
        <c:axId val="276750912"/>
      </c:barChart>
      <c:catAx>
        <c:axId val="137516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6750912"/>
        <c:crosses val="autoZero"/>
        <c:auto val="1"/>
        <c:lblAlgn val="ctr"/>
        <c:lblOffset val="100"/>
        <c:noMultiLvlLbl val="0"/>
      </c:catAx>
      <c:valAx>
        <c:axId val="276750912"/>
        <c:scaling>
          <c:orientation val="minMax"/>
        </c:scaling>
        <c:delete val="0"/>
        <c:axPos val="b"/>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3751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039761334181054"/>
          <c:y val="8.8709837994388627E-2"/>
          <c:w val="0.28148546649060174"/>
          <c:h val="0.78136482939632557"/>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238-41F0-95A7-662357A5075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238-41F0-95A7-662357A5075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238-41F0-95A7-662357A5075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238-41F0-95A7-662357A5075E}"/>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Apklausa_Startuoliai!$P$45:$P$48</c:f>
              <c:strCache>
                <c:ptCount val="4"/>
                <c:pt idx="0">
                  <c:v>&lt; 25 000</c:v>
                </c:pt>
                <c:pt idx="1">
                  <c:v>25 001 - 50 000</c:v>
                </c:pt>
                <c:pt idx="2">
                  <c:v>300 001 - 1 500 000</c:v>
                </c:pt>
                <c:pt idx="3">
                  <c:v>&gt; 1 500 000</c:v>
                </c:pt>
              </c:strCache>
            </c:strRef>
          </c:cat>
          <c:val>
            <c:numRef>
              <c:f>Apklausa_Startuoliai!$R$45:$R$48</c:f>
              <c:numCache>
                <c:formatCode>0%</c:formatCode>
                <c:ptCount val="4"/>
                <c:pt idx="0">
                  <c:v>0.25</c:v>
                </c:pt>
                <c:pt idx="1">
                  <c:v>0.25</c:v>
                </c:pt>
                <c:pt idx="2">
                  <c:v>0.375</c:v>
                </c:pt>
                <c:pt idx="3">
                  <c:v>0.125</c:v>
                </c:pt>
              </c:numCache>
            </c:numRef>
          </c:val>
          <c:extLst>
            <c:ext xmlns:c16="http://schemas.microsoft.com/office/drawing/2014/chart" uri="{C3380CC4-5D6E-409C-BE32-E72D297353CC}">
              <c16:uniqueId val="{00000008-F238-41F0-95A7-662357A5075E}"/>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57099704928188322"/>
          <c:y val="0.27903887485762391"/>
          <c:w val="0.34040755775093329"/>
          <c:h val="0.50698490813648289"/>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027875165239377E-2"/>
          <c:y val="5.8047493403693931E-2"/>
          <c:w val="0.91203156174821209"/>
          <c:h val="0.46498452205347685"/>
        </c:manualLayout>
      </c:layout>
      <c:barChart>
        <c:barDir val="col"/>
        <c:grouping val="clustered"/>
        <c:varyColors val="0"/>
        <c:ser>
          <c:idx val="0"/>
          <c:order val="0"/>
          <c:tx>
            <c:strRef>
              <c:f>MTEP!$C$8</c:f>
              <c:strCache>
                <c:ptCount val="1"/>
                <c:pt idx="0">
                  <c:v>Panaudota ES SF suma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MTEP!$B$9:$B$12</c:f>
              <c:strCache>
                <c:ptCount val="4"/>
                <c:pt idx="0">
                  <c:v>Intelektas. Bendri mokslo–verslo projektai</c:v>
                </c:pt>
                <c:pt idx="1">
                  <c:v>Inostartas</c:v>
                </c:pt>
                <c:pt idx="2">
                  <c:v>Intelektas LT-2</c:v>
                </c:pt>
                <c:pt idx="3">
                  <c:v>Eksperimentas</c:v>
                </c:pt>
              </c:strCache>
            </c:strRef>
          </c:cat>
          <c:val>
            <c:numRef>
              <c:f>MTEP!$C$9:$C$12</c:f>
              <c:numCache>
                <c:formatCode>0.00</c:formatCode>
                <c:ptCount val="4"/>
                <c:pt idx="0">
                  <c:v>147.326312</c:v>
                </c:pt>
                <c:pt idx="1">
                  <c:v>8.4025210000000001</c:v>
                </c:pt>
                <c:pt idx="2">
                  <c:v>12.457447</c:v>
                </c:pt>
                <c:pt idx="3">
                  <c:v>153.70400699999999</c:v>
                </c:pt>
              </c:numCache>
            </c:numRef>
          </c:val>
          <c:extLst>
            <c:ext xmlns:c16="http://schemas.microsoft.com/office/drawing/2014/chart" uri="{C3380CC4-5D6E-409C-BE32-E72D297353CC}">
              <c16:uniqueId val="{00000000-F369-464C-87AC-1FFA3339BA79}"/>
            </c:ext>
          </c:extLst>
        </c:ser>
        <c:ser>
          <c:idx val="1"/>
          <c:order val="1"/>
          <c:tx>
            <c:strRef>
              <c:f>MTEP!$D$8</c:f>
              <c:strCache>
                <c:ptCount val="1"/>
                <c:pt idx="0">
                  <c:v>Skirta ES SF suma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MTEP!$B$9:$B$12</c:f>
              <c:strCache>
                <c:ptCount val="4"/>
                <c:pt idx="0">
                  <c:v>Intelektas. Bendri mokslo–verslo projektai</c:v>
                </c:pt>
                <c:pt idx="1">
                  <c:v>Inostartas</c:v>
                </c:pt>
                <c:pt idx="2">
                  <c:v>Intelektas LT-2</c:v>
                </c:pt>
                <c:pt idx="3">
                  <c:v>Eksperimentas</c:v>
                </c:pt>
              </c:strCache>
            </c:strRef>
          </c:cat>
          <c:val>
            <c:numRef>
              <c:f>MTEP!$D$9:$D$12</c:f>
              <c:numCache>
                <c:formatCode>0.00</c:formatCode>
                <c:ptCount val="4"/>
                <c:pt idx="0">
                  <c:v>155.662565</c:v>
                </c:pt>
                <c:pt idx="1">
                  <c:v>4.5392809999999999</c:v>
                </c:pt>
                <c:pt idx="2">
                  <c:v>12.457445999999999</c:v>
                </c:pt>
                <c:pt idx="3">
                  <c:v>106.163765</c:v>
                </c:pt>
              </c:numCache>
            </c:numRef>
          </c:val>
          <c:extLst>
            <c:ext xmlns:c16="http://schemas.microsoft.com/office/drawing/2014/chart" uri="{C3380CC4-5D6E-409C-BE32-E72D297353CC}">
              <c16:uniqueId val="{00000001-F369-464C-87AC-1FFA3339BA79}"/>
            </c:ext>
          </c:extLst>
        </c:ser>
        <c:dLbls>
          <c:dLblPos val="outEnd"/>
          <c:showLegendKey val="0"/>
          <c:showVal val="1"/>
          <c:showCatName val="0"/>
          <c:showSerName val="0"/>
          <c:showPercent val="0"/>
          <c:showBubbleSize val="0"/>
        </c:dLbls>
        <c:gapWidth val="219"/>
        <c:overlap val="-27"/>
        <c:axId val="273536000"/>
        <c:axId val="276754368"/>
      </c:barChart>
      <c:catAx>
        <c:axId val="273536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6754368"/>
        <c:crosses val="autoZero"/>
        <c:auto val="1"/>
        <c:lblAlgn val="ctr"/>
        <c:lblOffset val="100"/>
        <c:noMultiLvlLbl val="0"/>
      </c:catAx>
      <c:valAx>
        <c:axId val="276754368"/>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3536000"/>
        <c:crosses val="autoZero"/>
        <c:crossBetween val="between"/>
        <c:majorUnit val="40"/>
      </c:valAx>
      <c:spPr>
        <a:noFill/>
        <a:ln>
          <a:noFill/>
        </a:ln>
        <a:effectLst/>
      </c:spPr>
    </c:plotArea>
    <c:legend>
      <c:legendPos val="b"/>
      <c:layout>
        <c:manualLayout>
          <c:xMode val="edge"/>
          <c:yMode val="edge"/>
          <c:x val="0.24013465470100909"/>
          <c:y val="0.72290902291567116"/>
          <c:w val="0.49470445756324255"/>
          <c:h val="9.2394407163484515E-2"/>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Skaitmeninimas!$C$24</c:f>
              <c:strCache>
                <c:ptCount val="1"/>
                <c:pt idx="0">
                  <c:v>Panaudota ES SF suma</c:v>
                </c:pt>
              </c:strCache>
            </c:strRef>
          </c:tx>
          <c:spPr>
            <a:solidFill>
              <a:schemeClr val="accent1"/>
            </a:solidFill>
            <a:ln>
              <a:noFill/>
            </a:ln>
            <a:effectLst/>
          </c:spPr>
          <c:invertIfNegative val="0"/>
          <c:dPt>
            <c:idx val="3"/>
            <c:invertIfNegative val="0"/>
            <c:bubble3D val="0"/>
            <c:extLst>
              <c:ext xmlns:c16="http://schemas.microsoft.com/office/drawing/2014/chart" uri="{C3380CC4-5D6E-409C-BE32-E72D297353CC}">
                <c16:uniqueId val="{00000001-B591-40B2-88C9-0317C8E62BF0}"/>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Skaitmeninimas!$B$25:$B$28</c:f>
              <c:strCache>
                <c:ptCount val="4"/>
                <c:pt idx="0">
                  <c:v>Nr. 1</c:v>
                </c:pt>
                <c:pt idx="1">
                  <c:v>Nr. 2</c:v>
                </c:pt>
                <c:pt idx="2">
                  <c:v>Nr. 3</c:v>
                </c:pt>
                <c:pt idx="3">
                  <c:v>Nr. 4</c:v>
                </c:pt>
              </c:strCache>
            </c:strRef>
          </c:cat>
          <c:val>
            <c:numRef>
              <c:f>Skaitmeninimas!$C$25:$C$28</c:f>
              <c:numCache>
                <c:formatCode>#,##0.00</c:formatCode>
                <c:ptCount val="4"/>
                <c:pt idx="0">
                  <c:v>4.5364690000000003</c:v>
                </c:pt>
                <c:pt idx="1">
                  <c:v>16.880801999999999</c:v>
                </c:pt>
                <c:pt idx="2">
                  <c:v>43.871167</c:v>
                </c:pt>
                <c:pt idx="3">
                  <c:v>41</c:v>
                </c:pt>
              </c:numCache>
            </c:numRef>
          </c:val>
          <c:extLst>
            <c:ext xmlns:c16="http://schemas.microsoft.com/office/drawing/2014/chart" uri="{C3380CC4-5D6E-409C-BE32-E72D297353CC}">
              <c16:uniqueId val="{00000002-B591-40B2-88C9-0317C8E62BF0}"/>
            </c:ext>
          </c:extLst>
        </c:ser>
        <c:ser>
          <c:idx val="1"/>
          <c:order val="1"/>
          <c:tx>
            <c:strRef>
              <c:f>Skaitmeninimas!$D$24</c:f>
              <c:strCache>
                <c:ptCount val="1"/>
                <c:pt idx="0">
                  <c:v>Skirta ES SF suma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Skaitmeninimas!$B$25:$B$28</c:f>
              <c:strCache>
                <c:ptCount val="4"/>
                <c:pt idx="0">
                  <c:v>Nr. 1</c:v>
                </c:pt>
                <c:pt idx="1">
                  <c:v>Nr. 2</c:v>
                </c:pt>
                <c:pt idx="2">
                  <c:v>Nr. 3</c:v>
                </c:pt>
                <c:pt idx="3">
                  <c:v>Nr. 4</c:v>
                </c:pt>
              </c:strCache>
            </c:strRef>
          </c:cat>
          <c:val>
            <c:numRef>
              <c:f>Skaitmeninimas!$D$25:$D$28</c:f>
              <c:numCache>
                <c:formatCode>#,##0.00</c:formatCode>
                <c:ptCount val="4"/>
                <c:pt idx="0">
                  <c:v>27.513902000000002</c:v>
                </c:pt>
                <c:pt idx="1">
                  <c:v>35</c:v>
                </c:pt>
                <c:pt idx="2">
                  <c:v>32</c:v>
                </c:pt>
                <c:pt idx="3">
                  <c:v>22</c:v>
                </c:pt>
              </c:numCache>
            </c:numRef>
          </c:val>
          <c:extLst>
            <c:ext xmlns:c16="http://schemas.microsoft.com/office/drawing/2014/chart" uri="{C3380CC4-5D6E-409C-BE32-E72D297353CC}">
              <c16:uniqueId val="{00000003-B591-40B2-88C9-0317C8E62BF0}"/>
            </c:ext>
          </c:extLst>
        </c:ser>
        <c:dLbls>
          <c:dLblPos val="outEnd"/>
          <c:showLegendKey val="0"/>
          <c:showVal val="1"/>
          <c:showCatName val="0"/>
          <c:showSerName val="0"/>
          <c:showPercent val="0"/>
          <c:showBubbleSize val="0"/>
        </c:dLbls>
        <c:gapWidth val="219"/>
        <c:overlap val="-27"/>
        <c:axId val="219076096"/>
        <c:axId val="276756096"/>
      </c:barChart>
      <c:lineChart>
        <c:grouping val="standard"/>
        <c:varyColors val="0"/>
        <c:ser>
          <c:idx val="2"/>
          <c:order val="2"/>
          <c:tx>
            <c:strRef>
              <c:f>Skaitmeninimas!$E$24</c:f>
              <c:strCache>
                <c:ptCount val="1"/>
                <c:pt idx="0">
                  <c:v>Įmonių, kurioms buvo skirta subsidija, skaičius</c:v>
                </c:pt>
              </c:strCache>
            </c:strRef>
          </c:tx>
          <c:spPr>
            <a:ln w="19050" cap="rnd" cmpd="sng" algn="ctr">
              <a:solidFill>
                <a:schemeClr val="accent3"/>
              </a:solidFill>
              <a:prstDash val="solid"/>
              <a:round/>
            </a:ln>
            <a:effectLst/>
          </c:spPr>
          <c:marker>
            <c:symbol val="none"/>
          </c:marker>
          <c:dLbls>
            <c:dLbl>
              <c:idx val="2"/>
              <c:layout>
                <c:manualLayout>
                  <c:x val="-6.3823788717461806E-3"/>
                  <c:y val="-6.5205472418781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591-40B2-88C9-0317C8E62BF0}"/>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Skaitmeninimas!$B$25:$B$28</c:f>
              <c:strCache>
                <c:ptCount val="4"/>
                <c:pt idx="0">
                  <c:v>Nr. 1</c:v>
                </c:pt>
                <c:pt idx="1">
                  <c:v>Nr. 2</c:v>
                </c:pt>
                <c:pt idx="2">
                  <c:v>Nr. 3</c:v>
                </c:pt>
                <c:pt idx="3">
                  <c:v>Nr. 4</c:v>
                </c:pt>
              </c:strCache>
            </c:strRef>
          </c:cat>
          <c:val>
            <c:numRef>
              <c:f>Skaitmeninimas!$E$25:$E$28</c:f>
              <c:numCache>
                <c:formatCode>General</c:formatCode>
                <c:ptCount val="4"/>
                <c:pt idx="0">
                  <c:v>8</c:v>
                </c:pt>
                <c:pt idx="1">
                  <c:v>48</c:v>
                </c:pt>
                <c:pt idx="2">
                  <c:v>67</c:v>
                </c:pt>
                <c:pt idx="3">
                  <c:v>62</c:v>
                </c:pt>
              </c:numCache>
            </c:numRef>
          </c:val>
          <c:smooth val="0"/>
          <c:extLst>
            <c:ext xmlns:c16="http://schemas.microsoft.com/office/drawing/2014/chart" uri="{C3380CC4-5D6E-409C-BE32-E72D297353CC}">
              <c16:uniqueId val="{00000005-B591-40B2-88C9-0317C8E62BF0}"/>
            </c:ext>
          </c:extLst>
        </c:ser>
        <c:dLbls>
          <c:showLegendKey val="0"/>
          <c:showVal val="1"/>
          <c:showCatName val="0"/>
          <c:showSerName val="0"/>
          <c:showPercent val="0"/>
          <c:showBubbleSize val="0"/>
        </c:dLbls>
        <c:marker val="1"/>
        <c:smooth val="0"/>
        <c:axId val="219078144"/>
        <c:axId val="273080896"/>
      </c:lineChart>
      <c:catAx>
        <c:axId val="219076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6756096"/>
        <c:crosses val="autoZero"/>
        <c:auto val="1"/>
        <c:lblAlgn val="ctr"/>
        <c:lblOffset val="100"/>
        <c:noMultiLvlLbl val="0"/>
      </c:catAx>
      <c:valAx>
        <c:axId val="276756096"/>
        <c:scaling>
          <c:orientation val="minMax"/>
        </c:scaling>
        <c:delete val="0"/>
        <c:axPos val="l"/>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19076096"/>
        <c:crosses val="autoZero"/>
        <c:crossBetween val="between"/>
      </c:valAx>
      <c:valAx>
        <c:axId val="273080896"/>
        <c:scaling>
          <c:orientation val="minMax"/>
        </c:scaling>
        <c:delete val="0"/>
        <c:axPos val="r"/>
        <c:numFmt formatCode="General" sourceLinked="1"/>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19078144"/>
        <c:crosses val="max"/>
        <c:crossBetween val="between"/>
      </c:valAx>
      <c:catAx>
        <c:axId val="219078144"/>
        <c:scaling>
          <c:orientation val="minMax"/>
        </c:scaling>
        <c:delete val="1"/>
        <c:axPos val="b"/>
        <c:numFmt formatCode="General" sourceLinked="1"/>
        <c:majorTickMark val="out"/>
        <c:minorTickMark val="none"/>
        <c:tickLblPos val="nextTo"/>
        <c:crossAx val="273080896"/>
        <c:crosses val="autoZero"/>
        <c:auto val="1"/>
        <c:lblAlgn val="ctr"/>
        <c:lblOffset val="100"/>
        <c:noMultiLvlLbl val="0"/>
      </c:catAx>
      <c:spPr>
        <a:noFill/>
        <a:ln>
          <a:noFill/>
        </a:ln>
        <a:effectLst/>
      </c:spPr>
    </c:plotArea>
    <c:legend>
      <c:legendPos val="b"/>
      <c:layout>
        <c:manualLayout>
          <c:xMode val="edge"/>
          <c:yMode val="edge"/>
          <c:x val="3.0877980144497319E-3"/>
          <c:y val="0.73439114824200769"/>
          <c:w val="0.99174761290027202"/>
          <c:h val="0.17245561468300397"/>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prstDash val="solid"/>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Skaitmeninimas!$C$8</c:f>
              <c:strCache>
                <c:ptCount val="1"/>
                <c:pt idx="0">
                  <c:v>Panaudota ES SF suma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Skaitmeninimas!$B$9:$B$11</c:f>
              <c:strCache>
                <c:ptCount val="3"/>
                <c:pt idx="0">
                  <c:v>Regio potencialas LT</c:v>
                </c:pt>
                <c:pt idx="1">
                  <c:v>Regio Invest LT+</c:v>
                </c:pt>
                <c:pt idx="2">
                  <c:v>Pramonės skaitmeninimas LT</c:v>
                </c:pt>
              </c:strCache>
            </c:strRef>
          </c:cat>
          <c:val>
            <c:numRef>
              <c:f>Skaitmeninimas!$C$9:$C$11</c:f>
              <c:numCache>
                <c:formatCode>0.00</c:formatCode>
                <c:ptCount val="3"/>
                <c:pt idx="0">
                  <c:v>28.990967999999999</c:v>
                </c:pt>
                <c:pt idx="1">
                  <c:v>81.006861999999998</c:v>
                </c:pt>
                <c:pt idx="2">
                  <c:v>108.9</c:v>
                </c:pt>
              </c:numCache>
            </c:numRef>
          </c:val>
          <c:extLst>
            <c:ext xmlns:c16="http://schemas.microsoft.com/office/drawing/2014/chart" uri="{C3380CC4-5D6E-409C-BE32-E72D297353CC}">
              <c16:uniqueId val="{00000000-C65E-449B-B941-C628DA290BA5}"/>
            </c:ext>
          </c:extLst>
        </c:ser>
        <c:ser>
          <c:idx val="1"/>
          <c:order val="1"/>
          <c:tx>
            <c:strRef>
              <c:f>Skaitmeninimas!$D$8</c:f>
              <c:strCache>
                <c:ptCount val="1"/>
                <c:pt idx="0">
                  <c:v>Skirta ES SF suma</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Skaitmeninimas!$B$9:$B$11</c:f>
              <c:strCache>
                <c:ptCount val="3"/>
                <c:pt idx="0">
                  <c:v>Regio potencialas LT</c:v>
                </c:pt>
                <c:pt idx="1">
                  <c:v>Regio Invest LT+</c:v>
                </c:pt>
                <c:pt idx="2">
                  <c:v>Pramonės skaitmeninimas LT</c:v>
                </c:pt>
              </c:strCache>
            </c:strRef>
          </c:cat>
          <c:val>
            <c:numRef>
              <c:f>Skaitmeninimas!$D$9:$D$11</c:f>
              <c:numCache>
                <c:formatCode>0.00</c:formatCode>
                <c:ptCount val="3"/>
                <c:pt idx="0">
                  <c:v>28.323571999999999</c:v>
                </c:pt>
                <c:pt idx="1">
                  <c:v>70.092770999999999</c:v>
                </c:pt>
                <c:pt idx="2">
                  <c:v>91.184719999999999</c:v>
                </c:pt>
              </c:numCache>
            </c:numRef>
          </c:val>
          <c:extLst>
            <c:ext xmlns:c16="http://schemas.microsoft.com/office/drawing/2014/chart" uri="{C3380CC4-5D6E-409C-BE32-E72D297353CC}">
              <c16:uniqueId val="{00000001-C65E-449B-B941-C628DA290BA5}"/>
            </c:ext>
          </c:extLst>
        </c:ser>
        <c:dLbls>
          <c:dLblPos val="outEnd"/>
          <c:showLegendKey val="0"/>
          <c:showVal val="1"/>
          <c:showCatName val="0"/>
          <c:showSerName val="0"/>
          <c:showPercent val="0"/>
          <c:showBubbleSize val="0"/>
        </c:dLbls>
        <c:gapWidth val="219"/>
        <c:overlap val="-27"/>
        <c:axId val="273145856"/>
        <c:axId val="276757248"/>
      </c:barChart>
      <c:catAx>
        <c:axId val="273145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6757248"/>
        <c:crosses val="autoZero"/>
        <c:auto val="1"/>
        <c:lblAlgn val="ctr"/>
        <c:lblOffset val="100"/>
        <c:noMultiLvlLbl val="0"/>
      </c:catAx>
      <c:valAx>
        <c:axId val="276757248"/>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3145856"/>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cdr:x>
      <cdr:y>0.85488</cdr:y>
    </cdr:from>
    <cdr:to>
      <cdr:x>1</cdr:x>
      <cdr:y>1</cdr:y>
    </cdr:to>
    <cdr:sp macro="" textlink="">
      <cdr:nvSpPr>
        <cdr:cNvPr id="3" name="Text Box 8"/>
        <cdr:cNvSpPr txBox="1"/>
      </cdr:nvSpPr>
      <cdr:spPr>
        <a:xfrm xmlns:a="http://schemas.openxmlformats.org/drawingml/2006/main">
          <a:off x="1131570" y="9095105"/>
          <a:ext cx="6112510" cy="349250"/>
        </a:xfrm>
        <a:prstGeom xmlns:a="http://schemas.openxmlformats.org/drawingml/2006/main" prst="rect">
          <a:avLst/>
        </a:prstGeom>
        <a:solidFill xmlns:a="http://schemas.openxmlformats.org/drawingml/2006/main">
          <a:prstClr val="white"/>
        </a:solidFill>
        <a:ln xmlns:a="http://schemas.openxmlformats.org/drawingml/2006/main">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indent="0" algn="just">
            <a:lnSpc>
              <a:spcPct val="115000"/>
            </a:lnSpc>
            <a:spcBef>
              <a:spcPts val="0"/>
            </a:spcBef>
            <a:spcAft>
              <a:spcPts val="1000"/>
            </a:spcAft>
          </a:pPr>
          <a:r>
            <a:rPr lang="lt-LT" sz="1100" b="0" i="1">
              <a:solidFill>
                <a:schemeClr val="tx1"/>
              </a:solidFill>
              <a:effectLst/>
              <a:latin typeface="Times New Roman" panose="02020603050405020304" pitchFamily="18" charset="0"/>
              <a:ea typeface="Times New Roman" panose="02020603050405020304" pitchFamily="18" charset="0"/>
              <a:cs typeface="Times New Roman" panose="02020603050405020304" pitchFamily="18" charset="0"/>
            </a:rPr>
            <a:t>Paveikslas Nr. 6. MTEP vykdymui skirtos ir panaudotos ES SF lėšos, mln. Eur. 2020 m. rugsėjo mėn. duomenimis</a:t>
          </a:r>
          <a:endParaRPr lang="en-US" sz="1200" b="1">
            <a:solidFill>
              <a:schemeClr val="tx1"/>
            </a:solidFill>
            <a:effectLst/>
            <a:latin typeface="Times New Roman" panose="02020603050405020304" pitchFamily="18" charset="0"/>
            <a:ea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89798-7BA8-4B3D-8E16-66EE1741EABD}">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20</TotalTime>
  <Pages>87</Pages>
  <Words>143512</Words>
  <Characters>81803</Characters>
  <Application>Microsoft Office Word</Application>
  <DocSecurity>0</DocSecurity>
  <Lines>681</Lines>
  <Paragraphs>449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PricewaterhouseCoopers</Company>
  <LinksUpToDate>false</LinksUpToDate>
  <CharactersWithSpaces>224866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Rudzenskiene</dc:creator>
  <cp:keywords/>
  <cp:lastModifiedBy>Goda Idzelytė</cp:lastModifiedBy>
  <cp:revision>8</cp:revision>
  <cp:lastPrinted>2023-09-29T09:58:00Z</cp:lastPrinted>
  <dcterms:created xsi:type="dcterms:W3CDTF">2024-07-29T06:20:00Z</dcterms:created>
  <dcterms:modified xsi:type="dcterms:W3CDTF">2024-08-01T11:59:00Z</dcterms:modified>
</cp:coreProperties>
</file>