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>JUNGTINIO PROJEKTO PROJEKTO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>pareiškėjui  nebuvo suteikta valstybės pagalba (išskyrus „de minimis“)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minimis“).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>de minimis</w:t>
      </w:r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>de minimis</w:t>
      </w:r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>de minimis</w:t>
      </w:r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08034C"/>
    <w:rsid w:val="00101256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A3EE3"/>
    <w:rsid w:val="005A6B2F"/>
    <w:rsid w:val="005F6F7E"/>
    <w:rsid w:val="0064045B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2024-12-27T08:11:00Z</dcterms:created>
  <dcterms:modified xsi:type="dcterms:W3CDTF">2024-12-27T08:11:00Z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