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1B23B90C" w:rsidR="009C40F1" w:rsidRPr="00407458"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valstybinės </w:t>
      </w:r>
      <w:r w:rsidR="00FF0CB7" w:rsidRPr="00656A0A">
        <w:rPr>
          <w:rFonts w:ascii="Times" w:hAnsi="Times" w:cs="Times"/>
          <w:kern w:val="36"/>
        </w:rPr>
        <w:t xml:space="preserve">reikšmės kelių. </w:t>
      </w:r>
      <w:r w:rsidR="00C16077" w:rsidRPr="00656A0A">
        <w:rPr>
          <w:rFonts w:ascii="Times" w:hAnsi="Times" w:cs="Times"/>
          <w:kern w:val="36"/>
        </w:rPr>
        <w:t xml:space="preserve">(Sostinės regionas, </w:t>
      </w:r>
      <w:r w:rsidR="0083614B" w:rsidRPr="00656A0A">
        <w:rPr>
          <w:rFonts w:ascii="Times" w:hAnsi="Times" w:cs="Times"/>
          <w:kern w:val="36"/>
        </w:rPr>
        <w:t xml:space="preserve">kelio </w:t>
      </w:r>
      <w:r w:rsidR="00644CAC" w:rsidRPr="00656A0A">
        <w:rPr>
          <w:rFonts w:ascii="Times" w:hAnsi="Times" w:cs="Times"/>
          <w:kern w:val="36"/>
        </w:rPr>
        <w:t xml:space="preserve">Nr. A15 Vilnius–Lyda 10–30 km </w:t>
      </w:r>
      <w:r w:rsidR="0083614B" w:rsidRPr="00656A0A">
        <w:rPr>
          <w:rFonts w:ascii="Times" w:hAnsi="Times" w:cs="Times"/>
          <w:kern w:val="36"/>
        </w:rPr>
        <w:t>ruožas</w:t>
      </w:r>
      <w:r w:rsidR="00FF0CB7" w:rsidRPr="00656A0A">
        <w:rPr>
          <w:rFonts w:ascii="Times" w:hAnsi="Times" w:cs="Times"/>
          <w:kern w:val="36"/>
        </w:rPr>
        <w:t xml:space="preserve">, didelės, </w:t>
      </w:r>
      <w:r w:rsidR="00C16077" w:rsidRPr="00656A0A">
        <w:rPr>
          <w:rFonts w:ascii="Times" w:hAnsi="Times" w:cs="Times"/>
          <w:kern w:val="36"/>
        </w:rPr>
        <w:t xml:space="preserve">vidutinės </w:t>
      </w:r>
      <w:r w:rsidR="00FF0CB7" w:rsidRPr="00656A0A">
        <w:rPr>
          <w:rFonts w:ascii="Times" w:hAnsi="Times" w:cs="Times"/>
          <w:kern w:val="36"/>
        </w:rPr>
        <w:t xml:space="preserve">ir mažos </w:t>
      </w:r>
      <w:r w:rsidR="00C16077" w:rsidRPr="00656A0A">
        <w:rPr>
          <w:rFonts w:ascii="Times" w:hAnsi="Times" w:cs="Times"/>
          <w:kern w:val="36"/>
        </w:rPr>
        <w:t>įmonės)</w:t>
      </w:r>
      <w:r w:rsidR="009C40F1" w:rsidRPr="00656A0A">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4F2DD804" w:rsidR="00D15273" w:rsidRPr="00407458" w:rsidRDefault="00D41DE2" w:rsidP="4634024A">
      <w:pPr>
        <w:jc w:val="center"/>
        <w:rPr>
          <w:rFonts w:ascii="Times" w:hAnsi="Times" w:cs="Times"/>
          <w:i/>
          <w:iCs/>
        </w:rPr>
      </w:pPr>
      <w:r w:rsidRPr="00C02B98">
        <w:rPr>
          <w:rFonts w:ascii="Times" w:hAnsi="Times" w:cs="Times"/>
          <w:b/>
          <w:bCs/>
        </w:rPr>
        <w:t>Data</w:t>
      </w:r>
      <w:r w:rsidRPr="00C02B98">
        <w:rPr>
          <w:rFonts w:ascii="Times" w:hAnsi="Times" w:cs="Times"/>
        </w:rPr>
        <w:t xml:space="preserve"> </w:t>
      </w:r>
      <w:r w:rsidR="0059195F" w:rsidRPr="00C02B98">
        <w:rPr>
          <w:rFonts w:ascii="Times" w:hAnsi="Times" w:cs="Times"/>
        </w:rPr>
        <w:t>2023-</w:t>
      </w:r>
      <w:r w:rsidR="00D719A8" w:rsidRPr="00C02B98">
        <w:rPr>
          <w:rFonts w:ascii="Times" w:hAnsi="Times" w:cs="Times"/>
        </w:rPr>
        <w:t>10</w:t>
      </w:r>
      <w:r w:rsidR="0059195F" w:rsidRPr="00C02B98">
        <w:rPr>
          <w:rFonts w:ascii="Times" w:hAnsi="Times" w:cs="Times"/>
        </w:rPr>
        <w:t>-</w:t>
      </w:r>
      <w:r w:rsidR="00D719A8" w:rsidRPr="00C02B98">
        <w:rPr>
          <w:rFonts w:ascii="Times" w:hAnsi="Times" w:cs="Times"/>
        </w:rPr>
        <w:t>1</w:t>
      </w:r>
      <w:r w:rsidR="00C02B98" w:rsidRPr="00C02B98">
        <w:rPr>
          <w:rFonts w:ascii="Times" w:hAnsi="Times" w:cs="Times"/>
        </w:rPr>
        <w:t>9</w:t>
      </w:r>
      <w:r w:rsidRPr="00C02B98">
        <w:rPr>
          <w:rFonts w:ascii="Times" w:hAnsi="Times" w:cs="Times"/>
        </w:rPr>
        <w:t xml:space="preserve"> </w:t>
      </w:r>
      <w:r w:rsidRPr="00C02B98">
        <w:rPr>
          <w:rFonts w:ascii="Times" w:hAnsi="Times" w:cs="Times"/>
          <w:b/>
          <w:bCs/>
        </w:rPr>
        <w:t>Nr</w:t>
      </w:r>
      <w:r w:rsidRPr="00407458">
        <w:rPr>
          <w:rFonts w:ascii="Times" w:hAnsi="Times" w:cs="Times"/>
          <w:b/>
          <w:bCs/>
        </w:rPr>
        <w:t>.</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656A0A">
        <w:rPr>
          <w:rFonts w:ascii="Times" w:hAnsi="Times" w:cs="Times"/>
        </w:rPr>
        <w:t>J</w:t>
      </w:r>
      <w:r w:rsidR="00C16077" w:rsidRPr="00656A0A">
        <w:rPr>
          <w:rFonts w:ascii="Times" w:hAnsi="Times" w:cs="Times"/>
        </w:rPr>
        <w:t>0</w:t>
      </w:r>
      <w:r w:rsidR="00644CAC" w:rsidRPr="00656A0A">
        <w:rPr>
          <w:rFonts w:ascii="Times" w:hAnsi="Times" w:cs="Times"/>
        </w:rPr>
        <w:t>3</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656A0A">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vMerge/>
          </w:tcPr>
          <w:p w14:paraId="5D108CD8" w14:textId="77777777" w:rsidR="00A527EB" w:rsidRPr="00407458" w:rsidRDefault="00A527EB" w:rsidP="00A527EB">
            <w:pPr>
              <w:rPr>
                <w:rFonts w:ascii="Times" w:hAnsi="Times" w:cs="Times"/>
                <w:b/>
              </w:rPr>
            </w:pPr>
          </w:p>
        </w:tc>
        <w:tc>
          <w:tcPr>
            <w:tcW w:w="9073" w:type="dxa"/>
            <w:gridSpan w:val="7"/>
          </w:tcPr>
          <w:p w14:paraId="5EF83307" w14:textId="3E413113" w:rsidR="00A527EB" w:rsidRPr="00656A0A" w:rsidRDefault="00656A0A" w:rsidP="00FF0CB7">
            <w:pPr>
              <w:rPr>
                <w:rFonts w:ascii="Calibri" w:hAnsi="Calibri" w:cs="Calibri"/>
                <w:color w:val="2E74B5" w:themeColor="accent1" w:themeShade="BF"/>
                <w:highlight w:val="yellow"/>
              </w:rPr>
            </w:pPr>
            <w:r w:rsidRPr="00656A0A">
              <w:rPr>
                <w:rFonts w:ascii="Times" w:eastAsia="Times New Roman" w:hAnsi="Times" w:cs="Times"/>
                <w:iCs/>
                <w:color w:val="2E74B5" w:themeColor="accent1" w:themeShade="BF"/>
                <w:lang w:eastAsia="lt-LT"/>
              </w:rPr>
              <w:t>200 000 Eur (du šimtai tūkstančių eurų, 00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83614B" w:rsidRPr="00407458" w14:paraId="7EB09419" w14:textId="77777777" w:rsidTr="00774C74">
        <w:trPr>
          <w:trHeight w:val="336"/>
        </w:trPr>
        <w:tc>
          <w:tcPr>
            <w:tcW w:w="816" w:type="dxa"/>
            <w:gridSpan w:val="2"/>
            <w:vMerge/>
          </w:tcPr>
          <w:p w14:paraId="62FD9AD5" w14:textId="77777777" w:rsidR="0083614B" w:rsidRPr="00407458" w:rsidRDefault="0083614B" w:rsidP="0083614B">
            <w:pPr>
              <w:rPr>
                <w:rFonts w:ascii="Times" w:hAnsi="Times" w:cs="Times"/>
                <w:b/>
              </w:rPr>
            </w:pPr>
          </w:p>
        </w:tc>
        <w:tc>
          <w:tcPr>
            <w:tcW w:w="9073" w:type="dxa"/>
            <w:gridSpan w:val="7"/>
          </w:tcPr>
          <w:p w14:paraId="3629DA83" w14:textId="2005ACCE" w:rsidR="0083614B" w:rsidRPr="00401A10" w:rsidRDefault="00774C74" w:rsidP="00774C74">
            <w:pPr>
              <w:spacing w:after="160" w:line="259" w:lineRule="auto"/>
              <w:rPr>
                <w:rFonts w:ascii="Times New Roman" w:hAnsi="Times New Roman" w:cs="Times New Roman"/>
                <w:highlight w:val="yellow"/>
                <w:lang w:val="en-US"/>
              </w:rPr>
            </w:pPr>
            <w:r w:rsidRPr="00432D2F">
              <w:rPr>
                <w:rFonts w:ascii="Times New Roman" w:hAnsi="Times New Roman" w:cs="Times New Roman"/>
                <w:color w:val="2E74B5" w:themeColor="accent1" w:themeShade="BF"/>
                <w:lang w:val="en-US"/>
              </w:rPr>
              <w:t xml:space="preserve">200 000 </w:t>
            </w:r>
            <w:proofErr w:type="spellStart"/>
            <w:r w:rsidRPr="00432D2F">
              <w:rPr>
                <w:rFonts w:ascii="Times New Roman" w:hAnsi="Times New Roman" w:cs="Times New Roman"/>
                <w:color w:val="2E74B5" w:themeColor="accent1" w:themeShade="BF"/>
                <w:lang w:val="en-US"/>
              </w:rPr>
              <w:t>Eur</w:t>
            </w:r>
            <w:proofErr w:type="spellEnd"/>
            <w:r w:rsidRPr="00432D2F">
              <w:rPr>
                <w:rFonts w:ascii="Times New Roman" w:hAnsi="Times New Roman" w:cs="Times New Roman"/>
                <w:color w:val="2E74B5" w:themeColor="accent1" w:themeShade="BF"/>
                <w:lang w:val="en-US"/>
              </w:rPr>
              <w:t xml:space="preserve"> </w:t>
            </w:r>
            <w:r w:rsidRPr="00432D2F">
              <w:rPr>
                <w:rFonts w:ascii="Times New Roman" w:hAnsi="Times New Roman" w:cs="Times New Roman"/>
                <w:iCs/>
                <w:color w:val="2E74B5" w:themeColor="accent1" w:themeShade="BF"/>
              </w:rPr>
              <w:t xml:space="preserve">(du šimtai tūkstančių eurų, </w:t>
            </w:r>
            <w:r w:rsidRPr="00432D2F">
              <w:rPr>
                <w:rFonts w:ascii="Times New Roman" w:hAnsi="Times New Roman" w:cs="Times New Roman"/>
                <w:iCs/>
                <w:color w:val="2E74B5" w:themeColor="accent1" w:themeShade="BF"/>
                <w:lang w:val="en-US"/>
              </w:rPr>
              <w:t>00</w:t>
            </w:r>
            <w:r w:rsidRPr="00432D2F">
              <w:rPr>
                <w:rFonts w:ascii="Times New Roman" w:hAnsi="Times New Roman" w:cs="Times New Roman"/>
                <w:iCs/>
                <w:color w:val="2E74B5" w:themeColor="accent1" w:themeShade="BF"/>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DA3C29" w:rsidRDefault="0083614B" w:rsidP="0083614B">
            <w:pPr>
              <w:jc w:val="both"/>
              <w:rPr>
                <w:rFonts w:ascii="Times" w:hAnsi="Times" w:cs="Times"/>
                <w:i/>
                <w:iCs/>
              </w:rPr>
            </w:pPr>
            <w:r w:rsidRPr="00DA3C29">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DA3C29" w:rsidRDefault="0083614B" w:rsidP="0083614B">
            <w:pPr>
              <w:jc w:val="both"/>
              <w:rPr>
                <w:rFonts w:ascii="Times" w:hAnsi="Times" w:cs="Times"/>
                <w:i/>
              </w:rPr>
            </w:pPr>
            <w:r w:rsidRPr="00DA3C29">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491140E0" w:rsidR="0083614B" w:rsidRPr="00407458" w:rsidRDefault="0083614B" w:rsidP="0083614B">
            <w:pPr>
              <w:shd w:val="clear" w:color="auto" w:fill="FFFFFF"/>
              <w:jc w:val="both"/>
              <w:outlineLvl w:val="0"/>
              <w:rPr>
                <w:rFonts w:ascii="Times" w:hAnsi="Times" w:cs="Times"/>
                <w:kern w:val="36"/>
              </w:rPr>
            </w:pPr>
            <w:r w:rsidRPr="00740EC5">
              <w:rPr>
                <w:rFonts w:ascii="Times" w:hAnsi="Times" w:cs="Times"/>
                <w:color w:val="2E74B5" w:themeColor="accent1" w:themeShade="BF"/>
                <w:lang w:eastAsia="lt-LT"/>
              </w:rPr>
              <w:t xml:space="preserve">Viešai prieinamos elektromobilių įkrovimo infrastruktūros įrengimas ir plėtra </w:t>
            </w:r>
            <w:r w:rsidRPr="00740EC5">
              <w:rPr>
                <w:rFonts w:ascii="Times" w:hAnsi="Times" w:cs="Times"/>
                <w:color w:val="2E74B5" w:themeColor="accent1" w:themeShade="BF"/>
                <w:kern w:val="36"/>
              </w:rPr>
              <w:t xml:space="preserve">nustatytuose ruožuose šalia TEN-T tinklui priklausančių Lietuvos Respublikos valstybinės reikšmės kelių. (Sostinės regionas, </w:t>
            </w:r>
            <w:r w:rsidR="00740EC5" w:rsidRPr="00740EC5">
              <w:rPr>
                <w:rFonts w:ascii="Times" w:hAnsi="Times" w:cs="Times"/>
                <w:color w:val="2E74B5" w:themeColor="accent1" w:themeShade="BF"/>
                <w:kern w:val="36"/>
              </w:rPr>
              <w:t>kelio Nr. A15 Vilnius–Lyda 10–30 km ruož</w:t>
            </w:r>
            <w:r w:rsidR="006A315D">
              <w:rPr>
                <w:rFonts w:ascii="Times" w:hAnsi="Times" w:cs="Times"/>
                <w:color w:val="2E74B5" w:themeColor="accent1" w:themeShade="BF"/>
                <w:kern w:val="36"/>
              </w:rPr>
              <w:t>as</w:t>
            </w:r>
            <w:r w:rsidRPr="00740EC5">
              <w:rPr>
                <w:rFonts w:ascii="Times" w:hAnsi="Times" w:cs="Times"/>
                <w:color w:val="2E74B5" w:themeColor="accent1" w:themeShade="BF"/>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29E5DD30" w:rsidR="0083614B" w:rsidRPr="00407458" w:rsidRDefault="00713B2D" w:rsidP="0083614B">
                  <w:pPr>
                    <w:jc w:val="both"/>
                    <w:rPr>
                      <w:rFonts w:ascii="Times" w:hAnsi="Times" w:cs="Times"/>
                    </w:rPr>
                  </w:pPr>
                  <w:r w:rsidRPr="00713B2D">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eastAsia="Times New Roman"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58891C7" w:rsidR="0083614B" w:rsidRPr="00407458" w:rsidRDefault="00713B2D"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27395B55" w:rsidR="0083614B" w:rsidRPr="00407458" w:rsidRDefault="0083614B" w:rsidP="0083614B">
                  <w:pPr>
                    <w:jc w:val="center"/>
                    <w:rPr>
                      <w:rFonts w:ascii="Times" w:hAnsi="Times" w:cs="Times"/>
                    </w:rPr>
                  </w:pPr>
                  <w:r w:rsidRPr="003824C1">
                    <w:rPr>
                      <w:rFonts w:ascii="Times" w:hAnsi="Times" w:cs="Times"/>
                    </w:rPr>
                    <w:t>10</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6901F0">
            <w:pPr>
              <w:tabs>
                <w:tab w:val="left" w:pos="756"/>
              </w:tabs>
              <w:ind w:firstLine="357"/>
              <w:jc w:val="both"/>
              <w:rPr>
                <w:rFonts w:ascii="Times" w:eastAsia="Times New Roman" w:hAnsi="Times" w:cs="Times"/>
                <w:b/>
                <w:bCs/>
              </w:rPr>
            </w:pPr>
            <w:r w:rsidRPr="00407458">
              <w:rPr>
                <w:rFonts w:ascii="Times" w:hAnsi="Times" w:cs="Times"/>
                <w:b/>
                <w:bCs/>
              </w:rPr>
              <w:t>T</w:t>
            </w:r>
            <w:r w:rsidRPr="00407458">
              <w:rPr>
                <w:rFonts w:ascii="Times" w:eastAsia="Times New Roman" w:hAnsi="Times" w:cs="Times"/>
                <w:b/>
                <w:bCs/>
              </w:rPr>
              <w:t>inkamos finansuoti išlaidos</w:t>
            </w:r>
          </w:p>
          <w:p w14:paraId="1486840B" w14:textId="77777777" w:rsidR="0083614B" w:rsidRPr="00407458" w:rsidRDefault="0083614B" w:rsidP="006901F0">
            <w:pPr>
              <w:pStyle w:val="Sraopastraipa"/>
              <w:numPr>
                <w:ilvl w:val="0"/>
                <w:numId w:val="37"/>
              </w:numPr>
              <w:tabs>
                <w:tab w:val="left" w:pos="756"/>
              </w:tabs>
              <w:ind w:left="0" w:firstLine="357"/>
              <w:jc w:val="both"/>
              <w:textAlignment w:val="baseline"/>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07458" w:rsidRDefault="0083614B" w:rsidP="006901F0">
            <w:pPr>
              <w:pStyle w:val="Sraopastraipa"/>
              <w:numPr>
                <w:ilvl w:val="0"/>
                <w:numId w:val="37"/>
              </w:numPr>
              <w:tabs>
                <w:tab w:val="left" w:pos="756"/>
              </w:tabs>
              <w:ind w:left="0" w:firstLine="357"/>
              <w:jc w:val="both"/>
              <w:textAlignment w:val="baseline"/>
              <w:rPr>
                <w:rFonts w:ascii="Times" w:hAnsi="Times" w:cs="Times"/>
                <w:lang w:eastAsia="lt-LT"/>
              </w:rPr>
            </w:pPr>
            <w:r w:rsidRPr="00407458">
              <w:rPr>
                <w:rFonts w:ascii="Times" w:hAnsi="Times" w:cs="Times"/>
                <w:lang w:eastAsia="lt-LT"/>
              </w:rPr>
              <w:t>Avanso mokėjimai neatliekami</w:t>
            </w:r>
          </w:p>
          <w:p w14:paraId="3D747B61" w14:textId="77777777" w:rsidR="00D12C2F" w:rsidRPr="002D5E95" w:rsidRDefault="00D12C2F" w:rsidP="006901F0">
            <w:pPr>
              <w:pStyle w:val="Sraopastraipa"/>
              <w:numPr>
                <w:ilvl w:val="0"/>
                <w:numId w:val="37"/>
              </w:numPr>
              <w:tabs>
                <w:tab w:val="left" w:pos="756"/>
              </w:tabs>
              <w:ind w:left="0" w:firstLine="357"/>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9A3C501" w14:textId="77777777" w:rsidR="00D12C2F" w:rsidRPr="002D5E95" w:rsidRDefault="00D12C2F" w:rsidP="006901F0">
            <w:pPr>
              <w:pStyle w:val="Sraopastraipa"/>
              <w:numPr>
                <w:ilvl w:val="0"/>
                <w:numId w:val="37"/>
              </w:numPr>
              <w:tabs>
                <w:tab w:val="left" w:pos="756"/>
              </w:tabs>
              <w:ind w:left="0" w:firstLine="357"/>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407458" w:rsidRDefault="0083614B" w:rsidP="006901F0">
            <w:pPr>
              <w:pStyle w:val="Sraopastraipa"/>
              <w:numPr>
                <w:ilvl w:val="0"/>
                <w:numId w:val="37"/>
              </w:numPr>
              <w:tabs>
                <w:tab w:val="left" w:pos="756"/>
              </w:tabs>
              <w:ind w:left="0" w:firstLine="357"/>
              <w:jc w:val="both"/>
              <w:textAlignment w:val="baseline"/>
              <w:rPr>
                <w:rFonts w:ascii="Times" w:hAnsi="Times" w:cs="Times"/>
                <w:lang w:eastAsia="lt-LT"/>
              </w:rPr>
            </w:pPr>
            <w:r w:rsidRPr="0040745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07458" w:rsidRDefault="0083614B" w:rsidP="006901F0">
            <w:pPr>
              <w:pStyle w:val="Sraopastraipa"/>
              <w:numPr>
                <w:ilvl w:val="0"/>
                <w:numId w:val="37"/>
              </w:numPr>
              <w:tabs>
                <w:tab w:val="left" w:pos="756"/>
              </w:tabs>
              <w:ind w:left="0" w:firstLine="357"/>
              <w:jc w:val="both"/>
              <w:textAlignment w:val="baseline"/>
              <w:rPr>
                <w:rFonts w:ascii="Times" w:hAnsi="Times" w:cs="Times"/>
                <w:lang w:eastAsia="lt-LT"/>
              </w:rPr>
            </w:pPr>
            <w:r w:rsidRPr="00407458">
              <w:rPr>
                <w:rFonts w:ascii="Times" w:hAnsi="Times" w:cs="Times"/>
                <w:lang w:eastAsia="lt-LT"/>
              </w:rPr>
              <w:t xml:space="preserve">Pridėtinės vertės mokestis nefinansuojamas. </w:t>
            </w:r>
          </w:p>
          <w:p w14:paraId="5B0A3F76" w14:textId="0CF84BFA" w:rsidR="0083614B" w:rsidRPr="00407458" w:rsidRDefault="0083614B" w:rsidP="006901F0">
            <w:pPr>
              <w:pStyle w:val="Sraopastraipa"/>
              <w:numPr>
                <w:ilvl w:val="0"/>
                <w:numId w:val="37"/>
              </w:numPr>
              <w:tabs>
                <w:tab w:val="left" w:pos="756"/>
              </w:tabs>
              <w:ind w:left="0" w:firstLine="357"/>
              <w:jc w:val="both"/>
              <w:textAlignment w:val="baseline"/>
              <w:rPr>
                <w:rFonts w:ascii="Times" w:hAnsi="Times" w:cs="Times"/>
                <w:lang w:eastAsia="lt-LT"/>
              </w:rPr>
            </w:pPr>
            <w:r w:rsidRPr="00407458">
              <w:rPr>
                <w:rFonts w:ascii="Times" w:hAnsi="Times" w:cs="Times"/>
                <w:lang w:eastAsia="lt-LT"/>
              </w:rPr>
              <w:t>Kryžminis finansavimas netaikomas.</w:t>
            </w:r>
          </w:p>
          <w:p w14:paraId="050405BE" w14:textId="77777777" w:rsidR="0083614B" w:rsidRPr="00407458" w:rsidRDefault="0083614B" w:rsidP="006901F0">
            <w:pPr>
              <w:pStyle w:val="Sraopastraipa"/>
              <w:tabs>
                <w:tab w:val="left" w:pos="756"/>
              </w:tabs>
              <w:ind w:left="0" w:firstLine="357"/>
              <w:jc w:val="both"/>
              <w:textAlignment w:val="baseline"/>
              <w:rPr>
                <w:rFonts w:ascii="Times" w:hAnsi="Times" w:cs="Times"/>
                <w:color w:val="FF0000"/>
                <w:lang w:eastAsia="lt-LT"/>
              </w:rPr>
            </w:pPr>
          </w:p>
          <w:p w14:paraId="618D96A4" w14:textId="254FE887" w:rsidR="0083614B" w:rsidRPr="00407458" w:rsidRDefault="0083614B" w:rsidP="006901F0">
            <w:pPr>
              <w:tabs>
                <w:tab w:val="left" w:pos="756"/>
              </w:tabs>
              <w:ind w:firstLine="357"/>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6901F0">
            <w:pPr>
              <w:tabs>
                <w:tab w:val="left" w:pos="756"/>
              </w:tabs>
              <w:ind w:firstLine="357"/>
              <w:jc w:val="both"/>
              <w:textAlignment w:val="baseline"/>
              <w:rPr>
                <w:rFonts w:ascii="Times" w:hAnsi="Times" w:cs="Times"/>
                <w:lang w:eastAsia="lt-LT"/>
              </w:rPr>
            </w:pPr>
          </w:p>
          <w:p w14:paraId="06BAB6B5" w14:textId="212FCBC4" w:rsidR="0083614B" w:rsidRPr="00407458" w:rsidRDefault="0083614B" w:rsidP="006901F0">
            <w:pPr>
              <w:tabs>
                <w:tab w:val="left" w:pos="756"/>
              </w:tabs>
              <w:ind w:firstLine="357"/>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6901F0">
            <w:pPr>
              <w:tabs>
                <w:tab w:val="left" w:pos="756"/>
              </w:tabs>
              <w:ind w:firstLine="357"/>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6901F0">
            <w:pPr>
              <w:tabs>
                <w:tab w:val="left" w:pos="756"/>
                <w:tab w:val="left" w:pos="1246"/>
              </w:tabs>
              <w:ind w:firstLine="357"/>
              <w:jc w:val="both"/>
              <w:rPr>
                <w:rFonts w:ascii="Times" w:hAnsi="Times" w:cs="Times"/>
                <w:color w:val="FF0000"/>
              </w:rPr>
            </w:pPr>
          </w:p>
          <w:p w14:paraId="09829AE1" w14:textId="77777777" w:rsidR="0083614B" w:rsidRPr="00407458" w:rsidRDefault="0083614B" w:rsidP="006901F0">
            <w:pPr>
              <w:tabs>
                <w:tab w:val="left" w:pos="756"/>
              </w:tabs>
              <w:ind w:firstLine="357"/>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6901F0">
            <w:pPr>
              <w:tabs>
                <w:tab w:val="left" w:pos="756"/>
              </w:tabs>
              <w:ind w:firstLine="357"/>
              <w:jc w:val="both"/>
              <w:rPr>
                <w:rFonts w:ascii="Times" w:hAnsi="Times" w:cs="Times"/>
                <w:b/>
                <w:bCs/>
              </w:rPr>
            </w:pPr>
          </w:p>
          <w:p w14:paraId="4E6CD762" w14:textId="77777777" w:rsidR="0083614B" w:rsidRPr="00E048AE" w:rsidRDefault="0083614B" w:rsidP="006901F0">
            <w:pPr>
              <w:pStyle w:val="Sraopastraipa"/>
              <w:numPr>
                <w:ilvl w:val="0"/>
                <w:numId w:val="41"/>
              </w:numPr>
              <w:tabs>
                <w:tab w:val="left" w:pos="756"/>
              </w:tabs>
              <w:ind w:left="0" w:firstLine="357"/>
              <w:jc w:val="both"/>
              <w:rPr>
                <w:rFonts w:ascii="Times" w:hAnsi="Times" w:cs="Times"/>
              </w:rPr>
            </w:pPr>
            <w:r w:rsidRPr="00E048AE">
              <w:rPr>
                <w:rFonts w:ascii="Times" w:hAnsi="Times" w:cs="Times"/>
                <w:i/>
                <w:iCs/>
              </w:rPr>
              <w:t xml:space="preserve">Iki 25 proc. (didelėms įmonėms) </w:t>
            </w:r>
            <w:r w:rsidRPr="00E048AE">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E048AE">
              <w:rPr>
                <w:rFonts w:ascii="Times" w:hAnsi="Times" w:cs="Times"/>
              </w:rPr>
              <w:t>omis</w:t>
            </w:r>
            <w:proofErr w:type="spellEnd"/>
            <w:r w:rsidRPr="00E048AE">
              <w:rPr>
                <w:rFonts w:ascii="Times" w:hAnsi="Times" w:cs="Times"/>
              </w:rPr>
              <w:t xml:space="preserve">); </w:t>
            </w:r>
          </w:p>
          <w:p w14:paraId="297C0C01" w14:textId="77777777" w:rsidR="0083614B" w:rsidRPr="00E048AE" w:rsidRDefault="0083614B" w:rsidP="006901F0">
            <w:pPr>
              <w:pStyle w:val="Sraopastraipa"/>
              <w:numPr>
                <w:ilvl w:val="0"/>
                <w:numId w:val="41"/>
              </w:numPr>
              <w:tabs>
                <w:tab w:val="left" w:pos="756"/>
              </w:tabs>
              <w:ind w:left="0" w:firstLine="357"/>
              <w:jc w:val="both"/>
              <w:rPr>
                <w:rFonts w:ascii="Times" w:hAnsi="Times" w:cs="Times"/>
              </w:rPr>
            </w:pPr>
            <w:r w:rsidRPr="00E048AE">
              <w:rPr>
                <w:rFonts w:ascii="Times" w:hAnsi="Times" w:cs="Times"/>
              </w:rPr>
              <w:t xml:space="preserve">Iki </w:t>
            </w:r>
            <w:r w:rsidRPr="00E048AE">
              <w:rPr>
                <w:rFonts w:ascii="Times" w:hAnsi="Times" w:cs="Times"/>
                <w:i/>
                <w:iCs/>
              </w:rPr>
              <w:t>45 proc. (vidutinėms įmonėms)</w:t>
            </w:r>
            <w:r w:rsidRPr="00E048AE">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E048AE">
              <w:rPr>
                <w:rFonts w:ascii="Times" w:hAnsi="Times" w:cs="Times"/>
              </w:rPr>
              <w:t>omis</w:t>
            </w:r>
            <w:proofErr w:type="spellEnd"/>
            <w:r w:rsidRPr="00E048AE">
              <w:rPr>
                <w:rFonts w:ascii="Times" w:hAnsi="Times" w:cs="Times"/>
              </w:rPr>
              <w:t>);</w:t>
            </w:r>
          </w:p>
          <w:p w14:paraId="5A1C52FF" w14:textId="4F92982D" w:rsidR="0083614B" w:rsidRPr="00407458" w:rsidRDefault="0083614B" w:rsidP="006901F0">
            <w:pPr>
              <w:pStyle w:val="Sraopastraipa"/>
              <w:numPr>
                <w:ilvl w:val="0"/>
                <w:numId w:val="41"/>
              </w:numPr>
              <w:tabs>
                <w:tab w:val="left" w:pos="756"/>
              </w:tabs>
              <w:ind w:left="0" w:firstLine="357"/>
              <w:jc w:val="both"/>
              <w:rPr>
                <w:rFonts w:ascii="Times" w:hAnsi="Times" w:cs="Times"/>
              </w:rPr>
            </w:pPr>
            <w:r w:rsidRPr="00E048AE">
              <w:rPr>
                <w:rFonts w:ascii="Times" w:hAnsi="Times" w:cs="Times"/>
                <w:i/>
                <w:iCs/>
              </w:rPr>
              <w:t xml:space="preserve">Iki 55 </w:t>
            </w:r>
            <w:proofErr w:type="spellStart"/>
            <w:r w:rsidRPr="00E048AE">
              <w:rPr>
                <w:rFonts w:ascii="Times" w:hAnsi="Times" w:cs="Times"/>
                <w:i/>
                <w:iCs/>
              </w:rPr>
              <w:t>proc</w:t>
            </w:r>
            <w:proofErr w:type="spellEnd"/>
            <w:r w:rsidRPr="00E048AE">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407458">
              <w:rPr>
                <w:rFonts w:ascii="Times" w:hAnsi="Times" w:cs="Times"/>
                <w:lang w:eastAsia="lt-LT"/>
              </w:rPr>
              <w:t>omis</w:t>
            </w:r>
            <w:proofErr w:type="spellEnd"/>
            <w:r w:rsidRPr="00407458">
              <w:rPr>
                <w:rFonts w:ascii="Times" w:hAnsi="Times" w:cs="Times"/>
                <w:lang w:eastAsia="lt-LT"/>
              </w:rPr>
              <w:t>);</w:t>
            </w:r>
          </w:p>
          <w:p w14:paraId="13F297DE" w14:textId="77777777" w:rsidR="0083614B" w:rsidRPr="00407458" w:rsidRDefault="0083614B" w:rsidP="006901F0">
            <w:pPr>
              <w:tabs>
                <w:tab w:val="left" w:pos="756"/>
                <w:tab w:val="left" w:pos="1246"/>
              </w:tabs>
              <w:ind w:firstLine="357"/>
              <w:jc w:val="both"/>
              <w:rPr>
                <w:rFonts w:ascii="Times" w:hAnsi="Times" w:cs="Times"/>
                <w:lang w:eastAsia="lt-LT"/>
              </w:rPr>
            </w:pPr>
          </w:p>
          <w:p w14:paraId="67E52F33" w14:textId="2440C3A0" w:rsidR="0083614B" w:rsidRPr="00407458" w:rsidRDefault="0083614B" w:rsidP="006901F0">
            <w:pPr>
              <w:tabs>
                <w:tab w:val="left" w:pos="756"/>
                <w:tab w:val="left" w:pos="897"/>
              </w:tabs>
              <w:ind w:firstLine="357"/>
              <w:jc w:val="both"/>
              <w:rPr>
                <w:rFonts w:ascii="Times" w:hAnsi="Times" w:cs="Times"/>
                <w:lang w:eastAsia="lt-LT"/>
              </w:rPr>
            </w:pPr>
            <w:r w:rsidRPr="00407458">
              <w:rPr>
                <w:rFonts w:ascii="Times" w:hAnsi="Times" w:cs="Times"/>
                <w:b/>
                <w:bCs/>
                <w:noProof/>
              </w:rPr>
              <w:t xml:space="preserve">Salygos </w:t>
            </w:r>
            <w:r w:rsidRPr="00407458">
              <w:rPr>
                <w:rFonts w:ascii="Times" w:hAnsi="Times" w:cs="Times"/>
                <w:b/>
                <w:bCs/>
              </w:rPr>
              <w:t xml:space="preserve"> gauti kompensaciją</w:t>
            </w:r>
          </w:p>
          <w:p w14:paraId="44AD2A32" w14:textId="77777777" w:rsidR="007B383D" w:rsidRPr="003E4AD3" w:rsidRDefault="007B383D" w:rsidP="006901F0">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423898CE" w14:textId="77777777" w:rsidR="007B383D" w:rsidRPr="003E4AD3" w:rsidRDefault="007B383D" w:rsidP="006901F0">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104AEC1C" w14:textId="77777777" w:rsidR="007B383D" w:rsidRPr="003E4AD3" w:rsidRDefault="007B383D" w:rsidP="006901F0">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25509669" w14:textId="77777777" w:rsidR="007B383D" w:rsidRPr="003E4AD3" w:rsidRDefault="007B383D" w:rsidP="006901F0">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1FA70261" w14:textId="77777777" w:rsidR="007B383D" w:rsidRPr="003E4AD3" w:rsidRDefault="007B383D" w:rsidP="006901F0">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512FA9C" w14:textId="77777777" w:rsidR="007B383D" w:rsidRPr="003E4AD3" w:rsidRDefault="007B383D" w:rsidP="006901F0">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2425156E" w14:textId="77777777" w:rsidR="007B383D" w:rsidRPr="003E4AD3" w:rsidRDefault="007B383D" w:rsidP="006901F0">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DB3DFDF" w14:textId="77777777" w:rsidR="007B383D" w:rsidRPr="003E4AD3" w:rsidRDefault="007B383D" w:rsidP="006901F0">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38A04FB8" w14:textId="77777777" w:rsidR="007B383D" w:rsidRPr="003E4AD3" w:rsidRDefault="007B383D" w:rsidP="006901F0">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791F1A49" w14:textId="77777777" w:rsidR="007B383D" w:rsidRPr="003E4AD3" w:rsidRDefault="007B383D" w:rsidP="006901F0">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3940578F" w14:textId="77777777" w:rsidR="007B383D" w:rsidRPr="003E4AD3" w:rsidRDefault="007B383D" w:rsidP="006901F0">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746BD84C" w14:textId="77777777" w:rsidR="007B383D" w:rsidRPr="003E4AD3" w:rsidRDefault="007B383D" w:rsidP="006901F0">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6855C328" w14:textId="77777777" w:rsidR="007B383D" w:rsidRPr="003E4AD3"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3D2CD6EF" w14:textId="77777777" w:rsidR="007B383D" w:rsidRPr="003E4AD3"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 xml:space="preserve">su įprastos ir (arba) vidutinės galios prieiga, turi turėti prietaisus, kurie naudoja interneto ryšį ir leidžia atlikti saugią mokėjimo operaciją, pvz., prietaisus, generuojančius specialų greitojo atsako kodą. </w:t>
            </w:r>
            <w:r w:rsidRPr="002E24EC">
              <w:rPr>
                <w:rFonts w:ascii="Times" w:hAnsi="Times" w:cs="Times"/>
                <w:color w:val="2E74B5" w:themeColor="accent1" w:themeShade="BF"/>
                <w:lang w:eastAsia="lt-LT"/>
              </w:rPr>
              <w:lastRenderedPageBreak/>
              <w:t>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C3E5CE5" w14:textId="77777777" w:rsidR="007B383D" w:rsidRPr="002D5E95"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7F7EC7BB" w14:textId="77777777" w:rsidR="007B383D" w:rsidRPr="006901F0"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6901F0">
              <w:rPr>
                <w:rFonts w:ascii="Times" w:hAnsi="Times" w:cs="Times"/>
                <w:color w:val="2E74B5" w:themeColor="accent1" w:themeShade="BF"/>
                <w:lang w:eastAsia="lt-LT"/>
              </w:rPr>
              <w:t>Elektromobilių įkrovimo stotelė su prieiga turi turėti interneto ryšio prieigą (LAN, BT, 4G ar kt.).</w:t>
            </w:r>
          </w:p>
          <w:p w14:paraId="3DC14B97" w14:textId="77777777" w:rsidR="007B383D" w:rsidRPr="006901F0"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6901F0">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3B7DC708" w14:textId="77777777" w:rsidR="007B383D" w:rsidRPr="006901F0"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6901F0">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63495C50" w14:textId="77777777" w:rsidR="007B383D" w:rsidRPr="006901F0"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6901F0">
              <w:rPr>
                <w:rFonts w:ascii="Times" w:hAnsi="Times" w:cs="Times"/>
                <w:color w:val="2E74B5" w:themeColor="accent1" w:themeShade="BF"/>
                <w:lang w:eastAsia="lt-LT"/>
              </w:rPr>
              <w:t>Įrengiant elektromobilių įkrovimo stoteles su prieiga (-</w:t>
            </w:r>
            <w:proofErr w:type="spellStart"/>
            <w:r w:rsidRPr="006901F0">
              <w:rPr>
                <w:rFonts w:ascii="Times" w:hAnsi="Times" w:cs="Times"/>
                <w:color w:val="2E74B5" w:themeColor="accent1" w:themeShade="BF"/>
                <w:lang w:eastAsia="lt-LT"/>
              </w:rPr>
              <w:t>omis</w:t>
            </w:r>
            <w:proofErr w:type="spellEnd"/>
            <w:r w:rsidRPr="006901F0">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1067642C" w14:textId="77777777" w:rsidR="007B383D" w:rsidRPr="003E4AD3" w:rsidRDefault="007B383D" w:rsidP="006901F0">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6901F0">
              <w:rPr>
                <w:rFonts w:ascii="Times" w:hAnsi="Times" w:cs="Times"/>
                <w:color w:val="2E74B5" w:themeColor="accent1" w:themeShade="BF"/>
                <w:lang w:eastAsia="lt-LT"/>
              </w:rPr>
              <w:t>Visos įrengtos elektromobilių įkrovimo stotelės su prieigomis privalo turėti Viešųjų ir pusiau viešųjų</w:t>
            </w:r>
            <w:r w:rsidRPr="003E4AD3">
              <w:rPr>
                <w:rFonts w:ascii="Times" w:hAnsi="Times" w:cs="Times"/>
                <w:color w:val="2E74B5" w:themeColor="accent1" w:themeShade="BF"/>
                <w:lang w:eastAsia="lt-LT"/>
              </w:rPr>
              <w:t xml:space="preserve"> elektromobilių įkrovimo prieigų informacinės sistemos (toliau – IS) tvarkytojo suteiktus unikalius identifikacinius kodus, būti įregistruotos IS ir neatlygintinai jai teikti statinius ir dinaminius duomenis:</w:t>
            </w:r>
          </w:p>
          <w:p w14:paraId="697AB02B" w14:textId="77777777" w:rsidR="007B383D" w:rsidRPr="003E4AD3" w:rsidRDefault="007B383D" w:rsidP="006901F0">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22C546B4" w14:textId="77777777" w:rsidR="007B383D" w:rsidRPr="00841999" w:rsidRDefault="007B383D" w:rsidP="006901F0">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5361C25" w14:textId="77777777" w:rsidR="007B383D" w:rsidRPr="003E4AD3" w:rsidRDefault="007B383D" w:rsidP="006901F0">
            <w:pPr>
              <w:tabs>
                <w:tab w:val="left" w:pos="896"/>
              </w:tabs>
              <w:ind w:firstLine="357"/>
              <w:jc w:val="both"/>
              <w:textAlignment w:val="baseline"/>
              <w:outlineLvl w:val="2"/>
              <w:rPr>
                <w:rFonts w:ascii="Times" w:hAnsi="Times" w:cs="Times"/>
                <w:color w:val="2E74B5" w:themeColor="accent1" w:themeShade="BF"/>
                <w:lang w:eastAsia="lt-LT"/>
              </w:rPr>
            </w:pPr>
            <w:r w:rsidRPr="006901F0">
              <w:rPr>
                <w:rFonts w:ascii="Times" w:hAnsi="Times" w:cs="Times"/>
                <w:color w:val="2E74B5" w:themeColor="accent1" w:themeShade="BF"/>
                <w:lang w:eastAsia="lt-LT"/>
              </w:rPr>
              <w:t xml:space="preserve">15. Elektromobilių </w:t>
            </w:r>
            <w:r w:rsidRPr="003E4AD3">
              <w:rPr>
                <w:rFonts w:ascii="Times" w:hAnsi="Times" w:cs="Times"/>
                <w:color w:val="2E74B5" w:themeColor="accent1" w:themeShade="BF"/>
                <w:lang w:eastAsia="lt-LT"/>
              </w:rPr>
              <w:t>įkrovimo stotelė su prieiga turi būti įrengta visuomenei prieinamoje vietoje.</w:t>
            </w:r>
          </w:p>
          <w:p w14:paraId="07E26620"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13749353"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7A448561"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31BDDD37"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BDC4DF0"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2DA6CA8D"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72B55F4F"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33163C9B"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771FD727"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1B8DF300"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2FAFF5FB"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lastRenderedPageBreak/>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0C7C73C1"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D71773A"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24F7A3D2"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4B546829"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002CC191" w14:textId="77777777" w:rsidR="007B383D" w:rsidRPr="002D5E95" w:rsidRDefault="007B383D" w:rsidP="006901F0">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500A94E4"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6901F0">
              <w:rPr>
                <w:rFonts w:ascii="Times" w:hAnsi="Times" w:cs="Times"/>
                <w:color w:val="2E74B5" w:themeColor="accent1" w:themeShade="BF"/>
                <w:lang w:eastAsia="lt-LT"/>
              </w:rPr>
              <w:t xml:space="preserve">19.11. elektromobilio </w:t>
            </w:r>
            <w:r w:rsidRPr="003E4AD3">
              <w:rPr>
                <w:rFonts w:ascii="Times" w:hAnsi="Times" w:cs="Times"/>
                <w:color w:val="2E74B5" w:themeColor="accent1" w:themeShade="BF"/>
                <w:lang w:eastAsia="lt-LT"/>
              </w:rPr>
              <w:t>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40FED807"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BB26DAC"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7260CE4"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69C96383" w14:textId="77777777" w:rsidR="007B383D" w:rsidRPr="002D5E95" w:rsidRDefault="007B383D" w:rsidP="006901F0">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6DFB8CE0"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6901F0">
              <w:rPr>
                <w:rFonts w:ascii="Times" w:hAnsi="Times" w:cs="Times"/>
                <w:color w:val="2E74B5" w:themeColor="accent1" w:themeShade="BF"/>
                <w:lang w:eastAsia="lt-LT"/>
              </w:rPr>
              <w:t xml:space="preserve">20. Elektromobilių </w:t>
            </w:r>
            <w:r w:rsidRPr="003E4AD3">
              <w:rPr>
                <w:rFonts w:ascii="Times" w:hAnsi="Times" w:cs="Times"/>
                <w:color w:val="2E74B5" w:themeColor="accent1" w:themeShade="BF"/>
                <w:lang w:eastAsia="lt-LT"/>
              </w:rPr>
              <w:t>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65869FB"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8E69EB8"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263DF31"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7C765FA5" w14:textId="77777777" w:rsidR="007B383D" w:rsidRPr="002D5E95" w:rsidRDefault="007B383D" w:rsidP="006901F0">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64403F17"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6901F0">
              <w:rPr>
                <w:rFonts w:ascii="Times" w:hAnsi="Times" w:cs="Times"/>
                <w:color w:val="2E74B5" w:themeColor="accent1" w:themeShade="BF"/>
                <w:lang w:eastAsia="lt-LT"/>
              </w:rPr>
              <w:t>25.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0FC142D4"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042D80F5"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0B8E47C" w14:textId="77777777" w:rsidR="007B383D" w:rsidRPr="003E4AD3" w:rsidRDefault="007B383D" w:rsidP="006901F0">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28. Jei įrengiamas atskiras elektros įvadas, JP projekto pareiškėjas turi per 12 mėnesių nuo ESO išduotų techninių prijungimo sąlygų pasirašyti su elektros operatoriumi elektros prijungimo sutartį ir apmokėti elektros prijungimo įmoką.</w:t>
            </w:r>
          </w:p>
          <w:p w14:paraId="30224CB4" w14:textId="77777777" w:rsidR="007B383D" w:rsidRPr="003E4AD3" w:rsidRDefault="007B383D" w:rsidP="006901F0">
            <w:pPr>
              <w:ind w:firstLine="357"/>
              <w:jc w:val="both"/>
              <w:textAlignment w:val="baseline"/>
              <w:outlineLvl w:val="2"/>
              <w:rPr>
                <w:rFonts w:ascii="Times New Roman" w:hAnsi="Times New Roman" w:cs="Times New Roman"/>
                <w:color w:val="2E74B5" w:themeColor="accent1" w:themeShade="BF"/>
                <w:lang w:eastAsia="lt-LT"/>
              </w:rPr>
            </w:pPr>
            <w:r w:rsidRPr="003E4AD3">
              <w:rPr>
                <w:rFonts w:ascii="Times" w:hAnsi="Times" w:cs="Times"/>
                <w:color w:val="2E74B5" w:themeColor="accent1" w:themeShade="BF"/>
                <w:lang w:eastAsia="lt-LT"/>
              </w:rPr>
              <w:t xml:space="preserve">29. </w:t>
            </w:r>
            <w:r w:rsidRPr="003E4AD3">
              <w:rPr>
                <w:rFonts w:ascii="Times New Roman" w:hAnsi="Times New Roman" w:cs="Times New Roman"/>
                <w:color w:val="2E74B5" w:themeColor="accent1" w:themeShade="BF"/>
                <w:szCs w:val="24"/>
              </w:rPr>
              <w:t>JP projektų paraiškos gali būti teikiamos tik didelės ir labai didelės galios įkrovimo prieigoms įrengti degalinėse, šalia magistralinių ir krašto kelių</w:t>
            </w:r>
            <w:r w:rsidRPr="003E4AD3">
              <w:rPr>
                <w:rFonts w:ascii="Times New Roman" w:hAnsi="Times New Roman" w:cs="Times New Roman"/>
                <w:color w:val="2E74B5" w:themeColor="accent1" w:themeShade="BF"/>
                <w:lang w:eastAsia="lt-LT"/>
              </w:rPr>
              <w:t xml:space="preserve">. </w:t>
            </w:r>
          </w:p>
          <w:p w14:paraId="2EE55F32" w14:textId="77777777" w:rsidR="007B383D" w:rsidRPr="003E4AD3" w:rsidRDefault="007B383D" w:rsidP="006901F0">
            <w:pPr>
              <w:ind w:firstLine="357"/>
              <w:jc w:val="both"/>
              <w:textAlignment w:val="baseline"/>
              <w:outlineLvl w:val="2"/>
              <w:rPr>
                <w:rFonts w:ascii="Times New Roman" w:hAnsi="Times New Roman" w:cs="Times New Roman"/>
                <w:color w:val="2E74B5" w:themeColor="accent1" w:themeShade="BF"/>
                <w:lang w:eastAsia="lt-LT"/>
              </w:rPr>
            </w:pPr>
            <w:r w:rsidRPr="003E4AD3">
              <w:rPr>
                <w:rFonts w:ascii="Times New Roman" w:hAnsi="Times New Roman" w:cs="Times New Roman"/>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3081D7C8" w14:textId="77777777" w:rsidR="007B383D" w:rsidRPr="002D5E95" w:rsidRDefault="007B383D" w:rsidP="006901F0">
            <w:pPr>
              <w:ind w:firstLine="357"/>
              <w:jc w:val="both"/>
              <w:textAlignment w:val="baseline"/>
              <w:outlineLvl w:val="2"/>
              <w:rPr>
                <w:rFonts w:ascii="Times New Roman" w:hAnsi="Times New Roman" w:cs="Times New Roman"/>
                <w:color w:val="2E74B5" w:themeColor="accent1" w:themeShade="BF"/>
                <w:lang w:eastAsia="lt-LT"/>
              </w:rPr>
            </w:pPr>
            <w:r>
              <w:rPr>
                <w:rFonts w:ascii="Times New Roman" w:hAnsi="Times New Roman" w:cs="Times New Roman"/>
                <w:color w:val="2E74B5" w:themeColor="accent1" w:themeShade="BF"/>
                <w:lang w:eastAsia="lt-LT"/>
              </w:rPr>
              <w:t>31</w:t>
            </w:r>
            <w:r w:rsidRPr="002D5E95">
              <w:rPr>
                <w:rFonts w:ascii="Times New Roman" w:hAnsi="Times New Roman" w:cs="Times New Roman"/>
                <w:color w:val="2E74B5" w:themeColor="accent1" w:themeShade="BF"/>
                <w:lang w:eastAsia="lt-LT"/>
              </w:rPr>
              <w:t xml:space="preserve">. vienos elektromobilių įkrovimo stotelės atiduodamoji galia apima visų joje esančių įkrovimo prieigų galią. </w:t>
            </w:r>
          </w:p>
          <w:p w14:paraId="003FEC9A" w14:textId="77777777" w:rsidR="007B383D" w:rsidRPr="002D5E95" w:rsidRDefault="007B383D" w:rsidP="006901F0">
            <w:pPr>
              <w:ind w:firstLine="357"/>
              <w:jc w:val="both"/>
              <w:textAlignment w:val="baseline"/>
              <w:outlineLvl w:val="2"/>
              <w:rPr>
                <w:rFonts w:ascii="Times New Roman" w:hAnsi="Times New Roman" w:cs="Times New Roman"/>
                <w:color w:val="2E74B5" w:themeColor="accent1" w:themeShade="BF"/>
                <w:lang w:eastAsia="lt-LT"/>
              </w:rPr>
            </w:pPr>
            <w:r w:rsidRPr="002D5E95">
              <w:rPr>
                <w:rFonts w:ascii="Times New Roman" w:hAnsi="Times New Roman" w:cs="Times New Roman"/>
                <w:color w:val="2E74B5" w:themeColor="accent1" w:themeShade="BF"/>
                <w:lang w:eastAsia="lt-LT"/>
              </w:rPr>
              <w:t>3</w:t>
            </w:r>
            <w:r>
              <w:rPr>
                <w:rFonts w:ascii="Times New Roman" w:hAnsi="Times New Roman" w:cs="Times New Roman"/>
                <w:color w:val="2E74B5" w:themeColor="accent1" w:themeShade="BF"/>
                <w:lang w:eastAsia="lt-LT"/>
              </w:rPr>
              <w:t>2</w:t>
            </w:r>
            <w:r w:rsidRPr="002D5E95">
              <w:rPr>
                <w:rFonts w:ascii="Times New Roman" w:hAnsi="Times New Roman" w:cs="Times New Roman"/>
                <w:color w:val="2E74B5" w:themeColor="accent1" w:themeShade="BF"/>
                <w:lang w:eastAsia="lt-LT"/>
              </w:rPr>
              <w:t>. elektromobilių įkrovimo parkas – viena arba daugiau elektromobilių įkrovimo stotelių su prieiga (-</w:t>
            </w:r>
            <w:proofErr w:type="spellStart"/>
            <w:r w:rsidRPr="002D5E95">
              <w:rPr>
                <w:rFonts w:ascii="Times New Roman" w:hAnsi="Times New Roman" w:cs="Times New Roman"/>
                <w:color w:val="2E74B5" w:themeColor="accent1" w:themeShade="BF"/>
                <w:lang w:eastAsia="lt-LT"/>
              </w:rPr>
              <w:t>omis</w:t>
            </w:r>
            <w:proofErr w:type="spellEnd"/>
            <w:r w:rsidRPr="002D5E95">
              <w:rPr>
                <w:rFonts w:ascii="Times New Roman" w:hAnsi="Times New Roman" w:cs="Times New Roman"/>
                <w:color w:val="2E74B5" w:themeColor="accent1" w:themeShade="BF"/>
                <w:lang w:eastAsia="lt-LT"/>
              </w:rPr>
              <w:t>), įrengta (-</w:t>
            </w:r>
            <w:proofErr w:type="spellStart"/>
            <w:r w:rsidRPr="002D5E95">
              <w:rPr>
                <w:rFonts w:ascii="Times New Roman" w:hAnsi="Times New Roman" w:cs="Times New Roman"/>
                <w:color w:val="2E74B5" w:themeColor="accent1" w:themeShade="BF"/>
                <w:lang w:eastAsia="lt-LT"/>
              </w:rPr>
              <w:t>os</w:t>
            </w:r>
            <w:proofErr w:type="spellEnd"/>
            <w:r w:rsidRPr="002D5E95">
              <w:rPr>
                <w:rFonts w:ascii="Times New Roman" w:hAnsi="Times New Roman" w:cs="Times New Roman"/>
                <w:color w:val="2E74B5" w:themeColor="accent1" w:themeShade="BF"/>
                <w:lang w:eastAsia="lt-LT"/>
              </w:rPr>
              <w:t xml:space="preserve">) vieno pareiškėjo vienoje konkrečioje vietoje. </w:t>
            </w:r>
          </w:p>
          <w:p w14:paraId="2F64745D" w14:textId="77777777" w:rsidR="007B383D" w:rsidRPr="002D5E95" w:rsidRDefault="007B383D" w:rsidP="006901F0">
            <w:pPr>
              <w:ind w:firstLine="357"/>
              <w:jc w:val="both"/>
              <w:textAlignment w:val="baseline"/>
              <w:outlineLvl w:val="2"/>
              <w:rPr>
                <w:rFonts w:ascii="Times New Roman" w:hAnsi="Times New Roman" w:cs="Times New Roman"/>
                <w:color w:val="2E74B5" w:themeColor="accent1" w:themeShade="BF"/>
                <w:lang w:eastAsia="lt-LT"/>
              </w:rPr>
            </w:pPr>
            <w:r w:rsidRPr="002D5E95">
              <w:rPr>
                <w:rFonts w:ascii="Times New Roman" w:hAnsi="Times New Roman" w:cs="Times New Roman"/>
                <w:color w:val="2E74B5" w:themeColor="accent1" w:themeShade="BF"/>
                <w:lang w:eastAsia="lt-LT"/>
              </w:rPr>
              <w:t>3</w:t>
            </w:r>
            <w:r>
              <w:rPr>
                <w:rFonts w:ascii="Times New Roman" w:hAnsi="Times New Roman" w:cs="Times New Roman"/>
                <w:color w:val="2E74B5" w:themeColor="accent1" w:themeShade="BF"/>
                <w:lang w:eastAsia="lt-LT"/>
              </w:rPr>
              <w:t>3</w:t>
            </w:r>
            <w:r w:rsidRPr="002D5E95">
              <w:rPr>
                <w:rFonts w:ascii="Times New Roman" w:hAnsi="Times New Roman" w:cs="Times New Roman"/>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3BD0D1E7" w14:textId="77777777" w:rsidR="007B383D" w:rsidRPr="006901F0" w:rsidRDefault="007B383D" w:rsidP="006901F0">
            <w:pPr>
              <w:ind w:firstLine="357"/>
              <w:jc w:val="both"/>
              <w:textAlignment w:val="baseline"/>
              <w:outlineLvl w:val="2"/>
              <w:rPr>
                <w:rFonts w:ascii="Times" w:hAnsi="Times" w:cs="Times"/>
                <w:color w:val="2E74B5" w:themeColor="accent1" w:themeShade="BF"/>
                <w:lang w:eastAsia="lt-LT"/>
              </w:rPr>
            </w:pPr>
            <w:r w:rsidRPr="006901F0">
              <w:rPr>
                <w:rFonts w:ascii="Times" w:hAnsi="Times" w:cs="Times"/>
                <w:color w:val="2E74B5" w:themeColor="accent1" w:themeShade="BF"/>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w:t>
            </w:r>
            <w:r w:rsidRPr="006901F0">
              <w:rPr>
                <w:rFonts w:ascii="Times" w:hAnsi="Times" w:cs="Times"/>
                <w:color w:val="2E74B5" w:themeColor="accent1" w:themeShade="BF"/>
                <w:lang w:eastAsia="lt-LT"/>
              </w:rPr>
              <w:t xml:space="preserve">nustatyto ruožo. </w:t>
            </w:r>
          </w:p>
          <w:p w14:paraId="55116308" w14:textId="77777777" w:rsidR="007B383D" w:rsidRPr="002D5E95" w:rsidRDefault="007B383D" w:rsidP="006901F0">
            <w:pPr>
              <w:ind w:firstLine="357"/>
              <w:jc w:val="both"/>
              <w:textAlignment w:val="baseline"/>
              <w:outlineLvl w:val="2"/>
              <w:rPr>
                <w:rFonts w:ascii="Times" w:hAnsi="Times" w:cs="Times"/>
                <w:lang w:eastAsia="lt-LT"/>
              </w:rPr>
            </w:pPr>
            <w:r w:rsidRPr="006901F0">
              <w:rPr>
                <w:rFonts w:ascii="Times" w:hAnsi="Times" w:cs="Times"/>
                <w:color w:val="2E74B5" w:themeColor="accent1" w:themeShade="BF"/>
                <w:lang w:eastAsia="lt-LT"/>
              </w:rPr>
              <w:t xml:space="preserve">35.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17111B20" w14:textId="77777777" w:rsidR="007B383D" w:rsidRPr="003E4AD3" w:rsidRDefault="007B383D" w:rsidP="006901F0">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6901F0">
              <w:rPr>
                <w:rFonts w:ascii="Times" w:hAnsi="Times" w:cs="Times"/>
                <w:color w:val="2E74B5" w:themeColor="accent1" w:themeShade="BF"/>
                <w:lang w:eastAsia="lt-LT"/>
              </w:rPr>
              <w:t>36.</w:t>
            </w:r>
            <w:r>
              <w:rPr>
                <w:rFonts w:ascii="Times" w:hAnsi="Times" w:cs="Times"/>
                <w:lang w:eastAsia="lt-LT"/>
              </w:rPr>
              <w:t xml:space="preserve">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064A5FB6" w14:textId="77777777" w:rsidR="007B383D" w:rsidRPr="003E4AD3" w:rsidRDefault="007B383D" w:rsidP="006901F0">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6E468EB9" w14:textId="77777777" w:rsidR="007B383D" w:rsidRPr="003E4AD3" w:rsidRDefault="007B383D" w:rsidP="006901F0">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3DE4599" w14:textId="77777777" w:rsidR="007B383D" w:rsidRPr="00C74A6F" w:rsidRDefault="007B383D" w:rsidP="006901F0">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2120B1C3" w14:textId="77777777" w:rsidR="007B383D" w:rsidRPr="003E4AD3" w:rsidRDefault="007B383D" w:rsidP="006901F0">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7E503BA3" w14:textId="77777777" w:rsidR="007B383D" w:rsidRPr="003E4AD3" w:rsidRDefault="007B383D" w:rsidP="006901F0">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3A2DAB26" w14:textId="77777777" w:rsidR="007B383D" w:rsidRDefault="007B383D" w:rsidP="006901F0">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69A9D841" w14:textId="36288CEF" w:rsidR="007B383D" w:rsidRPr="00AA5F57" w:rsidRDefault="00E51CC4" w:rsidP="006901F0">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E51CC4">
              <w:rPr>
                <w:rFonts w:ascii="Times" w:hAnsi="Times" w:cs="Times"/>
                <w:color w:val="2E74B5" w:themeColor="accent1" w:themeShade="BF"/>
                <w:lang w:eastAsia="lt-LT"/>
              </w:rPr>
              <w:t>kelio Nr. A15 Vilnius–Lyda 10–30 km ruože vienoje (pasirinktoje) kelio pusėje turi būti įrengtas ne mažiau kaip vienas elektromobilių įkrovimo parkas, kuriame įrengtos (-ų) elektromobilių įkrovimo stotelės (-</w:t>
            </w:r>
            <w:proofErr w:type="spellStart"/>
            <w:r w:rsidRPr="00E51CC4">
              <w:rPr>
                <w:rFonts w:ascii="Times" w:hAnsi="Times" w:cs="Times"/>
                <w:color w:val="2E74B5" w:themeColor="accent1" w:themeShade="BF"/>
                <w:lang w:eastAsia="lt-LT"/>
              </w:rPr>
              <w:t>ių</w:t>
            </w:r>
            <w:proofErr w:type="spellEnd"/>
            <w:r w:rsidRPr="00E51CC4">
              <w:rPr>
                <w:rFonts w:ascii="Times" w:hAnsi="Times" w:cs="Times"/>
                <w:color w:val="2E74B5" w:themeColor="accent1" w:themeShade="BF"/>
                <w:lang w:eastAsia="lt-LT"/>
              </w:rPr>
              <w:t>) su prieiga (-</w:t>
            </w:r>
            <w:proofErr w:type="spellStart"/>
            <w:r w:rsidRPr="00E51CC4">
              <w:rPr>
                <w:rFonts w:ascii="Times" w:hAnsi="Times" w:cs="Times"/>
                <w:color w:val="2E74B5" w:themeColor="accent1" w:themeShade="BF"/>
                <w:lang w:eastAsia="lt-LT"/>
              </w:rPr>
              <w:t>omis</w:t>
            </w:r>
            <w:proofErr w:type="spellEnd"/>
            <w:r w:rsidRPr="00E51CC4">
              <w:rPr>
                <w:rFonts w:ascii="Times" w:hAnsi="Times" w:cs="Times"/>
                <w:color w:val="2E74B5" w:themeColor="accent1" w:themeShade="BF"/>
                <w:lang w:eastAsia="lt-LT"/>
              </w:rPr>
              <w:t>) bendra atiduodamoji galia turi būti ne mažesnė kaip 300 kW ir įrengta ne mažiau kaip viena ne mažesnės kaip 150 kW galios įkrovimo prieiga</w:t>
            </w:r>
            <w:r>
              <w:rPr>
                <w:rFonts w:ascii="Times" w:hAnsi="Times" w:cs="Times"/>
                <w:color w:val="2E74B5" w:themeColor="accent1" w:themeShade="BF"/>
                <w:lang w:eastAsia="lt-LT"/>
              </w:rPr>
              <w:t>.</w:t>
            </w:r>
          </w:p>
          <w:p w14:paraId="496FA99F" w14:textId="27A351FE" w:rsidR="0083614B" w:rsidRPr="007B383D" w:rsidRDefault="00092E59" w:rsidP="006901F0">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K</w:t>
            </w:r>
            <w:r w:rsidRPr="00092E59">
              <w:rPr>
                <w:rFonts w:ascii="Times" w:hAnsi="Times" w:cs="Times"/>
                <w:color w:val="2E74B5" w:themeColor="accent1" w:themeShade="BF"/>
                <w:lang w:eastAsia="lt-LT"/>
              </w:rPr>
              <w:t>elio Nr. A15 Vilnius–Lyda 10–30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AA5F57">
              <w:rPr>
                <w:rFonts w:ascii="Times" w:hAnsi="Times" w:cs="Times"/>
                <w:color w:val="2E74B5" w:themeColor="accent1" w:themeShade="BF"/>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527B462D"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22 kW, bet ne didesnė arba lygi </w:t>
            </w:r>
            <w:r w:rsidRPr="00407458">
              <w:rPr>
                <w:rFonts w:ascii="Times" w:hAnsi="Times" w:cs="Times"/>
              </w:rPr>
              <w:lastRenderedPageBreak/>
              <w:t>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07458">
              <w:rPr>
                <w:rFonts w:ascii="Times" w:hAnsi="Times" w:cs="Times"/>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1"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407458">
              <w:rPr>
                <w:rFonts w:ascii="Times" w:hAnsi="Times" w:cs="Times"/>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2026 m. vasario 27 d. </w:t>
            </w:r>
          </w:p>
          <w:p w14:paraId="329E8124" w14:textId="3411C02C"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145E54B9" w:rsidR="0083614B" w:rsidRPr="00407458" w:rsidRDefault="005C4536"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0083614B" w:rsidRPr="00407458">
              <w:rPr>
                <w:rFonts w:ascii="Times" w:hAnsi="Times" w:cs="Times"/>
                <w:i/>
              </w:rPr>
              <w:t>(jei taikoma)</w:t>
            </w:r>
          </w:p>
        </w:tc>
      </w:tr>
      <w:tr w:rsidR="008F209D" w:rsidRPr="00407458" w14:paraId="507E58EE" w14:textId="77777777" w:rsidTr="511F09C8">
        <w:trPr>
          <w:trHeight w:val="300"/>
        </w:trPr>
        <w:tc>
          <w:tcPr>
            <w:tcW w:w="685" w:type="dxa"/>
            <w:vMerge/>
          </w:tcPr>
          <w:p w14:paraId="4C01E988" w14:textId="77777777" w:rsidR="008F209D" w:rsidRPr="00407458" w:rsidRDefault="008F209D" w:rsidP="008F209D">
            <w:pPr>
              <w:spacing w:after="120"/>
              <w:rPr>
                <w:rFonts w:ascii="Times" w:hAnsi="Times" w:cs="Times"/>
                <w:b/>
                <w:bCs/>
              </w:rPr>
            </w:pPr>
          </w:p>
        </w:tc>
        <w:tc>
          <w:tcPr>
            <w:tcW w:w="9204" w:type="dxa"/>
            <w:gridSpan w:val="8"/>
            <w:vAlign w:val="center"/>
          </w:tcPr>
          <w:p w14:paraId="44377ED2" w14:textId="77777777" w:rsidR="008F209D" w:rsidRPr="001A1611" w:rsidRDefault="008F209D" w:rsidP="008F209D">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200908FF" w14:textId="77777777" w:rsidR="008F209D" w:rsidRPr="001A1611" w:rsidRDefault="008F209D" w:rsidP="008F209D">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5AAD5C9" w14:textId="77777777" w:rsidR="008F209D" w:rsidRDefault="008F209D" w:rsidP="008F209D">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5D84DDE" w14:textId="77777777" w:rsidR="008F209D" w:rsidRDefault="008F209D" w:rsidP="00897C6A">
            <w:pPr>
              <w:pStyle w:val="Sraopastraipa"/>
              <w:numPr>
                <w:ilvl w:val="0"/>
                <w:numId w:val="34"/>
              </w:numPr>
              <w:tabs>
                <w:tab w:val="left" w:pos="614"/>
              </w:tabs>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66303349" w14:textId="422A85B6" w:rsidR="008F209D" w:rsidRPr="008F209D" w:rsidRDefault="008F209D" w:rsidP="00897C6A">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8F209D">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622C581A" w14:textId="2A3A7EF5" w:rsidR="008F209D" w:rsidRPr="008F209D" w:rsidRDefault="008F209D" w:rsidP="00897C6A">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8F209D">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5A3CBC74"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67169444"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6842E4A5" w14:textId="77777777" w:rsidR="008F209D" w:rsidRDefault="008F209D" w:rsidP="008F209D">
            <w:pPr>
              <w:pStyle w:val="Sraopastraipa"/>
              <w:numPr>
                <w:ilvl w:val="2"/>
                <w:numId w:val="46"/>
              </w:numPr>
              <w:tabs>
                <w:tab w:val="left" w:pos="360"/>
                <w:tab w:val="left" w:pos="759"/>
                <w:tab w:val="left" w:pos="1042"/>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694A7604" w14:textId="77777777" w:rsidR="008F209D" w:rsidRDefault="008F209D" w:rsidP="008F209D">
            <w:pPr>
              <w:pStyle w:val="Sraopastraipa"/>
              <w:numPr>
                <w:ilvl w:val="2"/>
                <w:numId w:val="46"/>
              </w:numPr>
              <w:tabs>
                <w:tab w:val="left" w:pos="360"/>
                <w:tab w:val="left" w:pos="759"/>
                <w:tab w:val="left" w:pos="1042"/>
              </w:tabs>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89E5CC1" w14:textId="77777777" w:rsidR="008F209D" w:rsidRDefault="008F209D" w:rsidP="008F209D">
            <w:pPr>
              <w:pStyle w:val="Sraopastraipa"/>
              <w:numPr>
                <w:ilvl w:val="1"/>
                <w:numId w:val="46"/>
              </w:numPr>
              <w:tabs>
                <w:tab w:val="left" w:pos="360"/>
                <w:tab w:val="left" w:pos="900"/>
              </w:tabs>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1E594822"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62310908"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E345917"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094A9163" w14:textId="77777777" w:rsidR="008F209D" w:rsidRDefault="008F209D" w:rsidP="008F209D">
            <w:pPr>
              <w:pStyle w:val="Sraopastraipa"/>
              <w:numPr>
                <w:ilvl w:val="0"/>
                <w:numId w:val="46"/>
              </w:numPr>
              <w:tabs>
                <w:tab w:val="left" w:pos="360"/>
                <w:tab w:val="left" w:pos="759"/>
              </w:tabs>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0CB84821"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4B3C034"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4EE156CB"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35CB83A9" w14:textId="77777777" w:rsidR="008F209D" w:rsidRDefault="008F209D" w:rsidP="008F209D">
            <w:pPr>
              <w:pStyle w:val="Sraopastraipa"/>
              <w:numPr>
                <w:ilvl w:val="1"/>
                <w:numId w:val="46"/>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5B86C309" w14:textId="77777777" w:rsidR="008F209D" w:rsidRDefault="008F209D" w:rsidP="008F209D">
            <w:pPr>
              <w:pStyle w:val="Sraopastraipa"/>
              <w:numPr>
                <w:ilvl w:val="0"/>
                <w:numId w:val="46"/>
              </w:numPr>
              <w:tabs>
                <w:tab w:val="left" w:pos="360"/>
                <w:tab w:val="left" w:pos="759"/>
              </w:tabs>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5BF50589" w14:textId="77777777" w:rsidR="008F209D" w:rsidRDefault="008F209D" w:rsidP="008F209D">
            <w:pPr>
              <w:pStyle w:val="Sraopastraipa"/>
              <w:numPr>
                <w:ilvl w:val="0"/>
                <w:numId w:val="46"/>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61E24DBB" w14:textId="77777777" w:rsidR="008F209D" w:rsidRDefault="008F209D" w:rsidP="008F209D">
            <w:pPr>
              <w:pStyle w:val="Sraopastraipa"/>
              <w:numPr>
                <w:ilvl w:val="0"/>
                <w:numId w:val="46"/>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pagalba negali </w:t>
            </w:r>
            <w:r w:rsidRPr="00B862F1">
              <w:rPr>
                <w:rFonts w:ascii="Times" w:hAnsi="Times" w:cs="Times"/>
                <w:color w:val="2E74B5" w:themeColor="accent1" w:themeShade="BF"/>
                <w:lang w:eastAsia="lt-LT"/>
              </w:rPr>
              <w:lastRenderedPageBreak/>
              <w:t>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41CCED87" w14:textId="77777777" w:rsidR="008F209D" w:rsidRDefault="008F209D" w:rsidP="008F209D">
            <w:pPr>
              <w:pStyle w:val="Sraopastraipa"/>
              <w:numPr>
                <w:ilvl w:val="0"/>
                <w:numId w:val="46"/>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DC131C7" w14:textId="77777777" w:rsidR="008F209D" w:rsidRPr="003B2006" w:rsidRDefault="008F209D" w:rsidP="008F209D">
            <w:pPr>
              <w:pStyle w:val="Sraopastraipa"/>
              <w:numPr>
                <w:ilvl w:val="0"/>
                <w:numId w:val="46"/>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5EBC615" w:rsidR="008F209D" w:rsidRPr="00407458" w:rsidRDefault="008F209D" w:rsidP="008F209D">
            <w:pPr>
              <w:pStyle w:val="Sraopastraipa"/>
              <w:tabs>
                <w:tab w:val="left" w:pos="614"/>
                <w:tab w:val="left" w:pos="756"/>
              </w:tabs>
              <w:ind w:left="330"/>
              <w:jc w:val="both"/>
              <w:rPr>
                <w:rFonts w:ascii="Times" w:hAnsi="Times" w:cs="Times"/>
                <w:lang w:eastAsia="lt-LT"/>
              </w:rPr>
            </w:pPr>
          </w:p>
        </w:tc>
      </w:tr>
      <w:tr w:rsidR="008F209D" w:rsidRPr="00407458" w14:paraId="58A4376D" w14:textId="77777777" w:rsidTr="511F09C8">
        <w:trPr>
          <w:trHeight w:val="300"/>
        </w:trPr>
        <w:tc>
          <w:tcPr>
            <w:tcW w:w="685" w:type="dxa"/>
            <w:vMerge w:val="restart"/>
          </w:tcPr>
          <w:p w14:paraId="773D9B9C" w14:textId="79578468" w:rsidR="008F209D" w:rsidRPr="00407458" w:rsidRDefault="008F209D" w:rsidP="008F209D">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F209D" w:rsidRPr="00407458" w:rsidRDefault="008F209D" w:rsidP="008F209D">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F209D" w:rsidRPr="00407458" w14:paraId="5D99E53D" w14:textId="77777777" w:rsidTr="511F09C8">
        <w:trPr>
          <w:trHeight w:val="300"/>
        </w:trPr>
        <w:tc>
          <w:tcPr>
            <w:tcW w:w="685" w:type="dxa"/>
            <w:vMerge/>
          </w:tcPr>
          <w:p w14:paraId="3BADB981" w14:textId="77777777" w:rsidR="008F209D" w:rsidRPr="00407458" w:rsidRDefault="008F209D" w:rsidP="008F209D">
            <w:pPr>
              <w:spacing w:after="120"/>
              <w:rPr>
                <w:rFonts w:ascii="Times" w:hAnsi="Times" w:cs="Times"/>
                <w:b/>
                <w:bCs/>
              </w:rPr>
            </w:pPr>
          </w:p>
        </w:tc>
        <w:tc>
          <w:tcPr>
            <w:tcW w:w="9204" w:type="dxa"/>
            <w:gridSpan w:val="8"/>
            <w:vAlign w:val="center"/>
          </w:tcPr>
          <w:p w14:paraId="7B73175D" w14:textId="77777777" w:rsidR="0007246A" w:rsidRPr="00407458" w:rsidRDefault="0007246A" w:rsidP="0007246A">
            <w:pPr>
              <w:pStyle w:val="Sraopastraipa"/>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95443F3" w14:textId="77777777" w:rsidR="0007246A" w:rsidRPr="00EC4BD0" w:rsidRDefault="0007246A" w:rsidP="0007246A">
            <w:pPr>
              <w:pStyle w:val="Sraopastraipa"/>
              <w:numPr>
                <w:ilvl w:val="0"/>
                <w:numId w:val="36"/>
              </w:numPr>
              <w:tabs>
                <w:tab w:val="left" w:pos="360"/>
                <w:tab w:val="left" w:pos="756"/>
              </w:tabs>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00BF69D1" w:rsidR="008F209D" w:rsidRPr="00407458" w:rsidRDefault="0007246A" w:rsidP="0007246A">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F209D" w:rsidRPr="00407458" w14:paraId="1C84D9E8" w14:textId="77777777" w:rsidTr="511F09C8">
        <w:trPr>
          <w:trHeight w:val="300"/>
        </w:trPr>
        <w:tc>
          <w:tcPr>
            <w:tcW w:w="685" w:type="dxa"/>
          </w:tcPr>
          <w:p w14:paraId="063148D8" w14:textId="0D202570" w:rsidR="008F209D" w:rsidRPr="00407458" w:rsidRDefault="008F209D" w:rsidP="008F209D">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F209D" w:rsidRPr="00407458" w:rsidRDefault="008F209D" w:rsidP="008F209D">
            <w:pPr>
              <w:spacing w:after="120"/>
              <w:rPr>
                <w:rFonts w:ascii="Times" w:hAnsi="Times" w:cs="Times"/>
                <w:b/>
              </w:rPr>
            </w:pPr>
            <w:r w:rsidRPr="00407458">
              <w:rPr>
                <w:rFonts w:ascii="Times" w:hAnsi="Times" w:cs="Times"/>
                <w:b/>
              </w:rPr>
              <w:t>Kiti reikalavimai</w:t>
            </w:r>
          </w:p>
          <w:p w14:paraId="292E8C9C" w14:textId="4A25EAE3" w:rsidR="008F209D" w:rsidRPr="00407458" w:rsidRDefault="008F209D" w:rsidP="008F209D">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F209D" w:rsidRPr="00407458" w14:paraId="60E98A04" w14:textId="77777777" w:rsidTr="511F09C8">
        <w:trPr>
          <w:trHeight w:val="300"/>
        </w:trPr>
        <w:tc>
          <w:tcPr>
            <w:tcW w:w="685" w:type="dxa"/>
            <w:vMerge w:val="restart"/>
          </w:tcPr>
          <w:p w14:paraId="54A8BDF6" w14:textId="7A744DC7" w:rsidR="008F209D" w:rsidRPr="00407458" w:rsidRDefault="008F209D" w:rsidP="008F209D">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F209D" w:rsidRPr="00407458" w:rsidRDefault="008F209D" w:rsidP="008F209D">
            <w:pPr>
              <w:spacing w:after="120"/>
              <w:rPr>
                <w:rFonts w:ascii="Times" w:hAnsi="Times" w:cs="Times"/>
                <w:b/>
              </w:rPr>
            </w:pPr>
            <w:r w:rsidRPr="00407458">
              <w:rPr>
                <w:rFonts w:ascii="Times" w:hAnsi="Times" w:cs="Times"/>
                <w:b/>
                <w:bCs/>
              </w:rPr>
              <w:t>Taikomi teisės aktai</w:t>
            </w:r>
          </w:p>
        </w:tc>
      </w:tr>
      <w:tr w:rsidR="008F209D" w:rsidRPr="00407458" w14:paraId="36D7B687" w14:textId="77777777" w:rsidTr="511F09C8">
        <w:trPr>
          <w:trHeight w:val="300"/>
        </w:trPr>
        <w:tc>
          <w:tcPr>
            <w:tcW w:w="685" w:type="dxa"/>
            <w:vMerge/>
          </w:tcPr>
          <w:p w14:paraId="2C300264" w14:textId="77777777" w:rsidR="008F209D" w:rsidRPr="00407458" w:rsidRDefault="008F209D" w:rsidP="008F209D">
            <w:pPr>
              <w:spacing w:after="120"/>
              <w:rPr>
                <w:rFonts w:ascii="Times" w:hAnsi="Times" w:cs="Times"/>
                <w:b/>
                <w:bCs/>
              </w:rPr>
            </w:pPr>
          </w:p>
        </w:tc>
        <w:tc>
          <w:tcPr>
            <w:tcW w:w="9204" w:type="dxa"/>
            <w:gridSpan w:val="8"/>
            <w:vAlign w:val="center"/>
          </w:tcPr>
          <w:p w14:paraId="711CAA93" w14:textId="230F7DDE" w:rsidR="008F209D" w:rsidRPr="00407458" w:rsidRDefault="008F209D" w:rsidP="008F209D">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407458">
              <w:rPr>
                <w:rFonts w:ascii="Times" w:hAnsi="Times" w:cs="Times"/>
              </w:rPr>
              <w:t>poveiklės</w:t>
            </w:r>
            <w:proofErr w:type="spellEnd"/>
            <w:r w:rsidRPr="00407458">
              <w:rPr>
                <w:rFonts w:ascii="Times" w:hAnsi="Times" w:cs="Times"/>
              </w:rPr>
              <w:t xml:space="preserve">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2" w:history="1">
              <w:r w:rsidRPr="00407458">
                <w:rPr>
                  <w:rStyle w:val="Hipersaitas"/>
                  <w:rFonts w:ascii="Times" w:hAnsi="Times" w:cs="Times"/>
                  <w:b/>
                  <w:bCs/>
                </w:rPr>
                <w:t>ČIA</w:t>
              </w:r>
              <w:r w:rsidRPr="00407458">
                <w:rPr>
                  <w:rStyle w:val="Hipersaitas"/>
                  <w:rFonts w:ascii="Times" w:hAnsi="Times" w:cs="Times"/>
                </w:rPr>
                <w:t>).</w:t>
              </w:r>
              <w:bookmarkStart w:id="4" w:name="_Hlk133338335"/>
            </w:hyperlink>
          </w:p>
          <w:p w14:paraId="493F8887" w14:textId="146E937C" w:rsidR="008F209D" w:rsidRPr="00407458" w:rsidRDefault="008F209D" w:rsidP="008F209D">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ipersaitas"/>
                  <w:rFonts w:ascii="Times" w:hAnsi="Times" w:cs="Times"/>
                  <w:b/>
                  <w:bCs/>
                  <w:color w:val="auto"/>
                </w:rPr>
                <w:t>ČIA</w:t>
              </w:r>
            </w:hyperlink>
            <w:r w:rsidRPr="00407458">
              <w:rPr>
                <w:rStyle w:val="Hipersaitas"/>
                <w:rFonts w:ascii="Times" w:hAnsi="Times" w:cs="Times"/>
                <w:b/>
                <w:bCs/>
                <w:color w:val="auto"/>
              </w:rPr>
              <w:t>)</w:t>
            </w:r>
            <w:r w:rsidRPr="00407458">
              <w:rPr>
                <w:rFonts w:ascii="Times" w:hAnsi="Times" w:cs="Times"/>
              </w:rPr>
              <w:t>.</w:t>
            </w:r>
          </w:p>
          <w:p w14:paraId="48D88E4B" w14:textId="78C91E9F" w:rsidR="008F209D" w:rsidRPr="00407458" w:rsidRDefault="008F209D" w:rsidP="008F209D">
            <w:pPr>
              <w:rPr>
                <w:rFonts w:ascii="Times" w:hAnsi="Times" w:cs="Times"/>
                <w:highlight w:val="yellow"/>
              </w:rPr>
            </w:pPr>
          </w:p>
        </w:tc>
      </w:tr>
      <w:tr w:rsidR="008F209D" w:rsidRPr="00407458" w14:paraId="63A93ECD" w14:textId="6D3EC35D" w:rsidTr="0096637F">
        <w:trPr>
          <w:trHeight w:val="300"/>
        </w:trPr>
        <w:tc>
          <w:tcPr>
            <w:tcW w:w="9889" w:type="dxa"/>
            <w:gridSpan w:val="9"/>
            <w:shd w:val="clear" w:color="auto" w:fill="D0CECE" w:themeFill="background2" w:themeFillShade="E6"/>
          </w:tcPr>
          <w:p w14:paraId="136CD2F2" w14:textId="651D694B" w:rsidR="008F209D" w:rsidRPr="00407458" w:rsidRDefault="008F209D" w:rsidP="008F209D">
            <w:pPr>
              <w:rPr>
                <w:rFonts w:ascii="Times" w:hAnsi="Times" w:cs="Times"/>
              </w:rPr>
            </w:pPr>
            <w:r w:rsidRPr="00407458">
              <w:rPr>
                <w:rFonts w:ascii="Times" w:eastAsia="Times New Roman" w:hAnsi="Times" w:cs="Times"/>
                <w:b/>
                <w:bCs/>
              </w:rPr>
              <w:t>3. INFORMACIJA APIE PARAIŠKOS FINANSUOTI JP PROJEKTĄ (TOLIAU – PARAIŠKA) TEIKIMĄ</w:t>
            </w:r>
          </w:p>
        </w:tc>
      </w:tr>
      <w:tr w:rsidR="008F209D" w:rsidRPr="00407458" w14:paraId="5EFB9698" w14:textId="1FF1999C" w:rsidTr="008676FC">
        <w:trPr>
          <w:trHeight w:val="300"/>
        </w:trPr>
        <w:tc>
          <w:tcPr>
            <w:tcW w:w="685" w:type="dxa"/>
          </w:tcPr>
          <w:p w14:paraId="50DAD30D" w14:textId="62D868B7" w:rsidR="008F209D" w:rsidRPr="00407458" w:rsidRDefault="008F209D" w:rsidP="008F209D">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F209D" w:rsidRPr="00407458" w:rsidRDefault="008F209D" w:rsidP="008F209D">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187B1478" w:rsidR="008F209D" w:rsidRPr="00407458" w:rsidRDefault="008F209D" w:rsidP="008F209D">
            <w:pPr>
              <w:jc w:val="center"/>
              <w:rPr>
                <w:rFonts w:ascii="Times" w:hAnsi="Times" w:cs="Times"/>
              </w:rPr>
            </w:pPr>
            <w:r w:rsidRPr="00C02B98">
              <w:rPr>
                <w:rFonts w:ascii="Times" w:eastAsia="Times New Roman" w:hAnsi="Times" w:cs="Times"/>
                <w:i/>
                <w:iCs/>
              </w:rPr>
              <w:t xml:space="preserve">2023-10-19 </w:t>
            </w:r>
            <w:r w:rsidRPr="00C02B98">
              <w:rPr>
                <w:rFonts w:ascii="Times" w:hAnsi="Times" w:cs="Times"/>
                <w:i/>
                <w:iCs/>
              </w:rPr>
              <w:t>08:00</w:t>
            </w:r>
          </w:p>
        </w:tc>
        <w:tc>
          <w:tcPr>
            <w:tcW w:w="4016" w:type="dxa"/>
            <w:gridSpan w:val="2"/>
            <w:vAlign w:val="center"/>
          </w:tcPr>
          <w:p w14:paraId="775757E5" w14:textId="68D56076" w:rsidR="008F209D" w:rsidRPr="00DC45A3" w:rsidRDefault="008F209D" w:rsidP="008F209D">
            <w:pPr>
              <w:jc w:val="both"/>
              <w:rPr>
                <w:rFonts w:ascii="Times" w:eastAsia="Times New Roman" w:hAnsi="Times" w:cs="Times"/>
                <w:i/>
                <w:iCs/>
                <w:color w:val="2E74B5" w:themeColor="accent1" w:themeShade="BF"/>
                <w:highlight w:val="green"/>
              </w:rPr>
            </w:pPr>
            <w:r w:rsidRPr="00DC45A3">
              <w:rPr>
                <w:rFonts w:ascii="Times" w:eastAsia="Times New Roman" w:hAnsi="Times" w:cs="Times"/>
                <w:i/>
                <w:iCs/>
                <w:color w:val="2E74B5" w:themeColor="accent1" w:themeShade="BF"/>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DC45A3" w:rsidRPr="00DC45A3">
              <w:rPr>
                <w:rFonts w:ascii="Times" w:eastAsia="Times New Roman" w:hAnsi="Times" w:cs="Times"/>
                <w:i/>
                <w:iCs/>
                <w:color w:val="2E74B5" w:themeColor="accent1" w:themeShade="BF"/>
              </w:rPr>
              <w:t>5.17.20</w:t>
            </w:r>
            <w:r w:rsidR="00DC45A3" w:rsidRPr="00DC45A3">
              <w:rPr>
                <w:rFonts w:ascii="Times" w:eastAsia="Times New Roman" w:hAnsi="Times" w:cs="Times"/>
                <w:i/>
                <w:iCs/>
                <w:color w:val="2E74B5" w:themeColor="accent1" w:themeShade="BF"/>
              </w:rPr>
              <w:t xml:space="preserve"> </w:t>
            </w:r>
            <w:r w:rsidRPr="00DC45A3">
              <w:rPr>
                <w:rFonts w:ascii="Times" w:eastAsia="Times New Roman" w:hAnsi="Times" w:cs="Times"/>
                <w:i/>
                <w:iCs/>
                <w:color w:val="2E74B5" w:themeColor="accent1" w:themeShade="BF"/>
              </w:rPr>
              <w:t xml:space="preserve">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w:t>
            </w:r>
            <w:r w:rsidRPr="00DC45A3">
              <w:rPr>
                <w:rFonts w:ascii="Times" w:eastAsia="Times New Roman" w:hAnsi="Times" w:cs="Times"/>
                <w:i/>
                <w:iCs/>
                <w:color w:val="2E74B5" w:themeColor="accent1" w:themeShade="BF"/>
              </w:rPr>
              <w:lastRenderedPageBreak/>
              <w:t>JP projektų, kurie būtų finansuojami skyrus papildomų lėšų ar perskirsčius atskiriems ruožams numatytas finansavimo sumas, sąrašai.</w:t>
            </w:r>
          </w:p>
        </w:tc>
      </w:tr>
      <w:tr w:rsidR="008F209D" w:rsidRPr="00407458" w14:paraId="26FEE762" w14:textId="77777777" w:rsidTr="511F09C8">
        <w:trPr>
          <w:trHeight w:val="300"/>
        </w:trPr>
        <w:tc>
          <w:tcPr>
            <w:tcW w:w="685" w:type="dxa"/>
            <w:vMerge w:val="restart"/>
          </w:tcPr>
          <w:p w14:paraId="2C50AD10" w14:textId="23361956" w:rsidR="008F209D" w:rsidRPr="00407458" w:rsidRDefault="008F209D" w:rsidP="008F209D">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F209D" w:rsidRPr="00407458" w:rsidRDefault="008F209D" w:rsidP="008F209D">
            <w:pPr>
              <w:spacing w:after="120"/>
              <w:rPr>
                <w:rFonts w:ascii="Times" w:hAnsi="Times" w:cs="Times"/>
                <w:b/>
                <w:bCs/>
              </w:rPr>
            </w:pPr>
            <w:r w:rsidRPr="00407458">
              <w:rPr>
                <w:rFonts w:ascii="Times" w:hAnsi="Times" w:cs="Times"/>
                <w:b/>
                <w:bCs/>
              </w:rPr>
              <w:t>Paraiškos rengimo ir teikimo tvarka</w:t>
            </w:r>
          </w:p>
        </w:tc>
      </w:tr>
      <w:tr w:rsidR="008F209D" w:rsidRPr="00407458" w14:paraId="74164D9B" w14:textId="77777777" w:rsidTr="00F518A9">
        <w:trPr>
          <w:trHeight w:val="556"/>
        </w:trPr>
        <w:tc>
          <w:tcPr>
            <w:tcW w:w="685" w:type="dxa"/>
            <w:vMerge/>
          </w:tcPr>
          <w:p w14:paraId="1AA0F147" w14:textId="77777777" w:rsidR="008F209D" w:rsidRPr="00407458" w:rsidRDefault="008F209D" w:rsidP="008F209D">
            <w:pPr>
              <w:spacing w:after="120"/>
              <w:rPr>
                <w:rFonts w:ascii="Times" w:hAnsi="Times" w:cs="Times"/>
                <w:b/>
                <w:bCs/>
              </w:rPr>
            </w:pPr>
          </w:p>
        </w:tc>
        <w:tc>
          <w:tcPr>
            <w:tcW w:w="9204" w:type="dxa"/>
            <w:gridSpan w:val="8"/>
          </w:tcPr>
          <w:p w14:paraId="704AAC4E" w14:textId="60D050D1" w:rsidR="008F209D" w:rsidRPr="00407458" w:rsidRDefault="008F209D" w:rsidP="008F209D">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4"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8F209D" w:rsidRPr="00407458" w:rsidRDefault="008F209D" w:rsidP="008F209D">
            <w:pPr>
              <w:rPr>
                <w:rFonts w:ascii="Times" w:eastAsia="Times New Roman" w:hAnsi="Times" w:cs="Times"/>
              </w:rPr>
            </w:pPr>
          </w:p>
          <w:p w14:paraId="2B54ED09" w14:textId="0191EDB8" w:rsidR="008F209D" w:rsidRPr="00407458" w:rsidRDefault="008F209D" w:rsidP="008F209D">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5"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16" w:history="1">
              <w:r w:rsidRPr="00407458">
                <w:rPr>
                  <w:rStyle w:val="Hipersaitas"/>
                  <w:rFonts w:ascii="Times" w:eastAsia="Times New Roman" w:hAnsi="Times" w:cs="Times"/>
                  <w:color w:val="auto"/>
                </w:rPr>
                <w:t>www.apvis.apva.lt</w:t>
              </w:r>
            </w:hyperlink>
          </w:p>
        </w:tc>
      </w:tr>
      <w:tr w:rsidR="008F209D" w:rsidRPr="00407458" w14:paraId="3518D1E2" w14:textId="77777777" w:rsidTr="511F09C8">
        <w:trPr>
          <w:trHeight w:val="300"/>
        </w:trPr>
        <w:tc>
          <w:tcPr>
            <w:tcW w:w="685" w:type="dxa"/>
            <w:vMerge w:val="restart"/>
          </w:tcPr>
          <w:p w14:paraId="1BFF6B9A" w14:textId="3AFA34C7" w:rsidR="008F209D" w:rsidRPr="00407458" w:rsidRDefault="008F209D" w:rsidP="008F209D">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F209D" w:rsidRPr="00407458" w:rsidRDefault="008F209D" w:rsidP="008F209D">
            <w:pPr>
              <w:spacing w:after="120"/>
              <w:jc w:val="both"/>
              <w:rPr>
                <w:rFonts w:ascii="Times" w:hAnsi="Times" w:cs="Times"/>
                <w:b/>
                <w:bCs/>
              </w:rPr>
            </w:pPr>
            <w:r w:rsidRPr="00407458">
              <w:rPr>
                <w:rFonts w:ascii="Times" w:hAnsi="Times" w:cs="Times"/>
                <w:b/>
                <w:bCs/>
              </w:rPr>
              <w:t>Privalomi priedai</w:t>
            </w:r>
          </w:p>
        </w:tc>
      </w:tr>
      <w:tr w:rsidR="008F209D" w:rsidRPr="00407458" w14:paraId="5DD794E7" w14:textId="77777777" w:rsidTr="511F09C8">
        <w:trPr>
          <w:trHeight w:val="300"/>
        </w:trPr>
        <w:tc>
          <w:tcPr>
            <w:tcW w:w="685" w:type="dxa"/>
            <w:vMerge/>
          </w:tcPr>
          <w:p w14:paraId="16ED844C" w14:textId="77777777" w:rsidR="008F209D" w:rsidRPr="00407458" w:rsidRDefault="008F209D" w:rsidP="008F209D">
            <w:pPr>
              <w:spacing w:after="120"/>
              <w:rPr>
                <w:rFonts w:ascii="Times" w:hAnsi="Times" w:cs="Times"/>
                <w:b/>
                <w:bCs/>
              </w:rPr>
            </w:pPr>
          </w:p>
        </w:tc>
        <w:tc>
          <w:tcPr>
            <w:tcW w:w="9204" w:type="dxa"/>
            <w:gridSpan w:val="8"/>
          </w:tcPr>
          <w:p w14:paraId="7590C857" w14:textId="1584EC73" w:rsidR="008F209D" w:rsidRPr="00407458" w:rsidRDefault="008F209D" w:rsidP="008F209D">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8F209D" w:rsidRPr="00407458" w:rsidRDefault="008F209D" w:rsidP="008F209D">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F209D" w:rsidRPr="00407458" w:rsidRDefault="008F209D" w:rsidP="008F209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w:t>
            </w:r>
            <w:proofErr w:type="spellStart"/>
            <w:r w:rsidRPr="00407458">
              <w:rPr>
                <w:rFonts w:ascii="Times" w:hAnsi="Times" w:cs="Times"/>
                <w:color w:val="auto"/>
                <w:sz w:val="22"/>
                <w:szCs w:val="22"/>
              </w:rPr>
              <w:t>us</w:t>
            </w:r>
            <w:proofErr w:type="spellEnd"/>
            <w:r w:rsidRPr="00407458">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F209D" w:rsidRPr="00407458" w:rsidRDefault="008F209D" w:rsidP="008F209D">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F209D" w:rsidRPr="00407458" w14:paraId="6F1A503F" w14:textId="77777777" w:rsidTr="511F09C8">
        <w:trPr>
          <w:trHeight w:val="300"/>
        </w:trPr>
        <w:tc>
          <w:tcPr>
            <w:tcW w:w="685" w:type="dxa"/>
            <w:vMerge w:val="restart"/>
          </w:tcPr>
          <w:p w14:paraId="0177ABF0" w14:textId="62836706" w:rsidR="008F209D" w:rsidRPr="00407458" w:rsidRDefault="008F209D" w:rsidP="008F209D">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F209D" w:rsidRPr="00407458" w:rsidRDefault="008F209D" w:rsidP="008F209D">
            <w:pPr>
              <w:spacing w:after="120"/>
              <w:jc w:val="both"/>
              <w:rPr>
                <w:rFonts w:ascii="Times" w:hAnsi="Times" w:cs="Times"/>
                <w:b/>
                <w:bCs/>
              </w:rPr>
            </w:pPr>
            <w:r w:rsidRPr="00407458">
              <w:rPr>
                <w:rFonts w:ascii="Times" w:hAnsi="Times" w:cs="Times"/>
                <w:b/>
                <w:bCs/>
              </w:rPr>
              <w:t>Kontaktiniai duomenys konsultacijoms</w:t>
            </w:r>
          </w:p>
        </w:tc>
      </w:tr>
      <w:tr w:rsidR="008F209D" w:rsidRPr="00407458" w14:paraId="19E16075" w14:textId="77777777" w:rsidTr="511F09C8">
        <w:trPr>
          <w:trHeight w:val="300"/>
        </w:trPr>
        <w:tc>
          <w:tcPr>
            <w:tcW w:w="685" w:type="dxa"/>
            <w:vMerge/>
          </w:tcPr>
          <w:p w14:paraId="35A8A117" w14:textId="77777777" w:rsidR="008F209D" w:rsidRPr="00407458" w:rsidRDefault="008F209D" w:rsidP="008F209D">
            <w:pPr>
              <w:spacing w:after="120"/>
              <w:rPr>
                <w:rFonts w:ascii="Times" w:hAnsi="Times" w:cs="Times"/>
                <w:b/>
                <w:bCs/>
              </w:rPr>
            </w:pPr>
          </w:p>
        </w:tc>
        <w:tc>
          <w:tcPr>
            <w:tcW w:w="9204" w:type="dxa"/>
            <w:gridSpan w:val="8"/>
          </w:tcPr>
          <w:p w14:paraId="30204D89" w14:textId="77777777" w:rsidR="008F209D" w:rsidRPr="00407458" w:rsidRDefault="008F209D" w:rsidP="008F209D">
            <w:pPr>
              <w:rPr>
                <w:rFonts w:ascii="Times" w:eastAsia="Times New Roman" w:hAnsi="Times" w:cs="Times"/>
                <w:b/>
                <w:bCs/>
              </w:rPr>
            </w:pPr>
            <w:r w:rsidRPr="00407458">
              <w:rPr>
                <w:rFonts w:ascii="Times" w:eastAsia="Times New Roman" w:hAnsi="Times" w:cs="Times"/>
                <w:b/>
                <w:bCs/>
              </w:rPr>
              <w:t>Informacija teikiama:</w:t>
            </w:r>
          </w:p>
          <w:p w14:paraId="624B42EE" w14:textId="359D0510" w:rsidR="008F209D" w:rsidRPr="00407458" w:rsidRDefault="008F209D" w:rsidP="008F209D">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8F209D" w:rsidRPr="00407458" w:rsidRDefault="008F209D" w:rsidP="008F209D">
            <w:pPr>
              <w:rPr>
                <w:rFonts w:ascii="Times" w:eastAsia="Times New Roman" w:hAnsi="Times" w:cs="Times"/>
              </w:rPr>
            </w:pPr>
            <w:r w:rsidRPr="00407458">
              <w:rPr>
                <w:rFonts w:ascii="Times" w:eastAsia="Times New Roman" w:hAnsi="Times" w:cs="Times"/>
              </w:rPr>
              <w:t>penktadieniais 8.00-15.45 val.;</w:t>
            </w:r>
          </w:p>
          <w:p w14:paraId="6DDEBB24" w14:textId="153044A3" w:rsidR="008F209D" w:rsidRPr="00407458" w:rsidRDefault="008F209D" w:rsidP="008F209D">
            <w:pPr>
              <w:rPr>
                <w:rFonts w:ascii="Times" w:eastAsia="Times New Roman" w:hAnsi="Times" w:cs="Times"/>
              </w:rPr>
            </w:pPr>
            <w:r w:rsidRPr="00407458">
              <w:rPr>
                <w:rFonts w:ascii="Times" w:eastAsia="Times New Roman" w:hAnsi="Times" w:cs="Times"/>
              </w:rPr>
              <w:t>pietų pertrauka 12.15-13.00 val.</w:t>
            </w:r>
          </w:p>
          <w:p w14:paraId="7CB6ADDF" w14:textId="77777777" w:rsidR="008F209D" w:rsidRPr="00407458" w:rsidRDefault="008F209D" w:rsidP="008F209D">
            <w:pPr>
              <w:rPr>
                <w:rFonts w:ascii="Times" w:eastAsia="Times New Roman" w:hAnsi="Times" w:cs="Times"/>
              </w:rPr>
            </w:pPr>
          </w:p>
          <w:p w14:paraId="3E092594" w14:textId="16872B07" w:rsidR="008F209D" w:rsidRPr="00407458" w:rsidRDefault="008F209D" w:rsidP="008F209D">
            <w:pPr>
              <w:jc w:val="both"/>
              <w:rPr>
                <w:rFonts w:ascii="Times" w:eastAsia="Times New Roman" w:hAnsi="Times" w:cs="Times"/>
              </w:rPr>
            </w:pPr>
            <w:r w:rsidRPr="00407458">
              <w:rPr>
                <w:rFonts w:ascii="Times" w:eastAsia="Times New Roman" w:hAnsi="Times" w:cs="Times"/>
              </w:rPr>
              <w:lastRenderedPageBreak/>
              <w:t xml:space="preserve">Konsultacijos teikiamos: </w:t>
            </w:r>
          </w:p>
          <w:p w14:paraId="5A9BA9F0" w14:textId="77777777" w:rsidR="00DC45A3" w:rsidRPr="00964713" w:rsidRDefault="00DC45A3" w:rsidP="00DC45A3">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Simona Kirkilienė, tel.: +370 602 86791 simona.kirkiliene@apva.lt</w:t>
            </w:r>
          </w:p>
          <w:p w14:paraId="20D33235" w14:textId="77777777" w:rsidR="00DC45A3" w:rsidRPr="00964713" w:rsidRDefault="00DC45A3" w:rsidP="00DC45A3">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 xml:space="preserve">Rasa Suzanovičienė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611</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92318 rasa.suzanoviciene@apva.lt</w:t>
            </w:r>
          </w:p>
          <w:p w14:paraId="6139E2CF" w14:textId="77777777" w:rsidR="00DC45A3" w:rsidRPr="00964713" w:rsidRDefault="00DC45A3" w:rsidP="00DC45A3">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Justė Korotkich tel.: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83745 juste.korotkich@apva.lt</w:t>
            </w:r>
          </w:p>
          <w:p w14:paraId="2138C4C4" w14:textId="04BF0AF3" w:rsidR="008F209D" w:rsidRPr="00407458" w:rsidRDefault="00DC45A3" w:rsidP="00DC45A3">
            <w:pPr>
              <w:jc w:val="both"/>
              <w:rPr>
                <w:rFonts w:ascii="Times" w:hAnsi="Times" w:cs="Times"/>
                <w:b/>
                <w:bCs/>
              </w:rPr>
            </w:pPr>
            <w:r w:rsidRPr="00964713">
              <w:rPr>
                <w:rFonts w:ascii="Times" w:eastAsia="Times New Roman" w:hAnsi="Times" w:cs="Times"/>
                <w:color w:val="2E74B5" w:themeColor="accent1" w:themeShade="BF"/>
              </w:rPr>
              <w:t xml:space="preserve">Renata Purvinienė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84164 renata.purviniene@apva.lt</w:t>
            </w:r>
          </w:p>
        </w:tc>
      </w:tr>
      <w:tr w:rsidR="008F209D" w:rsidRPr="00407458" w14:paraId="2FE52512" w14:textId="77777777" w:rsidTr="511F09C8">
        <w:trPr>
          <w:trHeight w:val="300"/>
        </w:trPr>
        <w:tc>
          <w:tcPr>
            <w:tcW w:w="685" w:type="dxa"/>
            <w:vMerge w:val="restart"/>
          </w:tcPr>
          <w:p w14:paraId="6DE0AB82" w14:textId="6E5C6301" w:rsidR="008F209D" w:rsidRPr="00407458" w:rsidRDefault="008F209D" w:rsidP="008F209D">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8F209D" w:rsidRPr="00407458" w:rsidRDefault="008F209D" w:rsidP="008F209D">
            <w:pPr>
              <w:spacing w:after="120"/>
              <w:rPr>
                <w:rFonts w:ascii="Times" w:hAnsi="Times" w:cs="Times"/>
                <w:b/>
                <w:bCs/>
              </w:rPr>
            </w:pPr>
            <w:r w:rsidRPr="00407458">
              <w:rPr>
                <w:rFonts w:ascii="Times" w:hAnsi="Times" w:cs="Times"/>
                <w:b/>
                <w:bCs/>
              </w:rPr>
              <w:t>Kita aktuali informacija</w:t>
            </w:r>
          </w:p>
        </w:tc>
      </w:tr>
      <w:tr w:rsidR="008F209D" w:rsidRPr="00407458" w14:paraId="78F16F92" w14:textId="77777777" w:rsidTr="511F09C8">
        <w:trPr>
          <w:trHeight w:val="300"/>
        </w:trPr>
        <w:tc>
          <w:tcPr>
            <w:tcW w:w="685" w:type="dxa"/>
            <w:vMerge/>
          </w:tcPr>
          <w:p w14:paraId="20E0B96B" w14:textId="77777777" w:rsidR="008F209D" w:rsidRPr="00407458" w:rsidRDefault="008F209D" w:rsidP="008F209D">
            <w:pPr>
              <w:spacing w:after="120"/>
              <w:rPr>
                <w:rFonts w:ascii="Times" w:hAnsi="Times" w:cs="Times"/>
                <w:b/>
                <w:bCs/>
              </w:rPr>
            </w:pPr>
          </w:p>
        </w:tc>
        <w:tc>
          <w:tcPr>
            <w:tcW w:w="9204" w:type="dxa"/>
            <w:gridSpan w:val="8"/>
          </w:tcPr>
          <w:p w14:paraId="4B3F5765" w14:textId="77777777" w:rsidR="008F209D" w:rsidRPr="00407458" w:rsidRDefault="008F209D" w:rsidP="008F209D">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8F209D" w:rsidRPr="00407458" w:rsidRDefault="008F209D" w:rsidP="008F209D">
            <w:pPr>
              <w:tabs>
                <w:tab w:val="left" w:pos="47"/>
                <w:tab w:val="left" w:pos="472"/>
              </w:tabs>
              <w:ind w:firstLine="472"/>
              <w:rPr>
                <w:rFonts w:ascii="Times" w:eastAsia="Times New Roman" w:hAnsi="Times" w:cs="Times"/>
                <w:i/>
                <w:iCs/>
              </w:rPr>
            </w:pPr>
          </w:p>
          <w:p w14:paraId="5A9EE59D" w14:textId="77777777" w:rsidR="008F209D" w:rsidRPr="00407458" w:rsidRDefault="008F209D" w:rsidP="008F209D">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8F209D" w:rsidRPr="00407458" w:rsidRDefault="008F209D" w:rsidP="008F209D">
            <w:pPr>
              <w:tabs>
                <w:tab w:val="left" w:pos="47"/>
                <w:tab w:val="left" w:pos="472"/>
              </w:tabs>
              <w:ind w:firstLine="472"/>
              <w:jc w:val="lowKashida"/>
              <w:rPr>
                <w:rFonts w:ascii="Times" w:eastAsia="Times New Roman" w:hAnsi="Times" w:cs="Times"/>
                <w:b/>
                <w:bCs/>
                <w:i/>
                <w:iCs/>
              </w:rPr>
            </w:pPr>
          </w:p>
          <w:p w14:paraId="31916C5B" w14:textId="0500EBE8" w:rsidR="008F209D" w:rsidRPr="00407458" w:rsidRDefault="008F209D" w:rsidP="008F209D">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F209D" w:rsidRPr="00407458" w:rsidRDefault="008F209D" w:rsidP="008F209D">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F209D" w:rsidRPr="00407458" w:rsidRDefault="008F209D" w:rsidP="008F209D">
            <w:pPr>
              <w:tabs>
                <w:tab w:val="left" w:pos="47"/>
                <w:tab w:val="left" w:pos="472"/>
              </w:tabs>
              <w:autoSpaceDE w:val="0"/>
              <w:autoSpaceDN w:val="0"/>
              <w:adjustRightInd w:val="0"/>
              <w:ind w:firstLine="472"/>
              <w:jc w:val="lowKashida"/>
              <w:rPr>
                <w:rFonts w:ascii="Times" w:hAnsi="Times" w:cs="Times"/>
              </w:rPr>
            </w:pPr>
          </w:p>
          <w:p w14:paraId="2BF1A6A6" w14:textId="722B3014" w:rsidR="008F209D" w:rsidRPr="00407458" w:rsidRDefault="008F209D" w:rsidP="008F209D">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F209D" w:rsidRPr="00407458" w:rsidRDefault="008F209D" w:rsidP="008F209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F209D" w:rsidRPr="00407458" w:rsidRDefault="008F209D" w:rsidP="008F209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F209D" w:rsidRPr="00407458" w:rsidRDefault="008F209D" w:rsidP="008F209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F209D" w:rsidRPr="00407458" w:rsidRDefault="008F209D" w:rsidP="008F209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F209D" w:rsidRPr="00407458" w:rsidRDefault="008F209D" w:rsidP="008F209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F209D" w:rsidRPr="00407458" w:rsidRDefault="008F209D" w:rsidP="008F209D">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F209D" w:rsidRPr="00407458" w:rsidRDefault="008F209D" w:rsidP="008F209D">
            <w:pPr>
              <w:tabs>
                <w:tab w:val="left" w:pos="47"/>
                <w:tab w:val="left" w:pos="472"/>
              </w:tabs>
              <w:ind w:firstLine="472"/>
              <w:jc w:val="lowKashida"/>
              <w:rPr>
                <w:rFonts w:ascii="Times" w:hAnsi="Times" w:cs="Times"/>
                <w:b/>
                <w:bCs/>
              </w:rPr>
            </w:pPr>
          </w:p>
        </w:tc>
      </w:tr>
      <w:tr w:rsidR="008F209D" w:rsidRPr="00407458" w14:paraId="324CB96A" w14:textId="77777777" w:rsidTr="511F09C8">
        <w:trPr>
          <w:trHeight w:val="300"/>
        </w:trPr>
        <w:tc>
          <w:tcPr>
            <w:tcW w:w="685" w:type="dxa"/>
            <w:vMerge w:val="restart"/>
          </w:tcPr>
          <w:p w14:paraId="2C98B5F8" w14:textId="723880DF" w:rsidR="008F209D" w:rsidRPr="00407458" w:rsidRDefault="008F209D" w:rsidP="008F209D">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F209D" w:rsidRPr="00407458" w:rsidRDefault="008F209D" w:rsidP="008F209D">
            <w:pPr>
              <w:spacing w:after="120"/>
              <w:rPr>
                <w:rFonts w:ascii="Times" w:hAnsi="Times" w:cs="Times"/>
                <w:b/>
                <w:bCs/>
              </w:rPr>
            </w:pPr>
            <w:r w:rsidRPr="00407458">
              <w:rPr>
                <w:rFonts w:ascii="Times" w:hAnsi="Times" w:cs="Times"/>
                <w:b/>
                <w:bCs/>
              </w:rPr>
              <w:t>Priedai</w:t>
            </w:r>
          </w:p>
        </w:tc>
      </w:tr>
      <w:tr w:rsidR="008F209D" w:rsidRPr="00407458" w14:paraId="7652CEBA" w14:textId="77777777" w:rsidTr="511F09C8">
        <w:trPr>
          <w:trHeight w:val="300"/>
        </w:trPr>
        <w:tc>
          <w:tcPr>
            <w:tcW w:w="685" w:type="dxa"/>
            <w:vMerge/>
          </w:tcPr>
          <w:p w14:paraId="3C9CA5D0" w14:textId="0EC55A20" w:rsidR="008F209D" w:rsidRPr="00407458" w:rsidRDefault="008F209D" w:rsidP="008F209D">
            <w:pPr>
              <w:spacing w:after="120"/>
              <w:rPr>
                <w:rFonts w:ascii="Times" w:hAnsi="Times" w:cs="Times"/>
                <w:b/>
                <w:bCs/>
              </w:rPr>
            </w:pPr>
          </w:p>
        </w:tc>
        <w:tc>
          <w:tcPr>
            <w:tcW w:w="9204" w:type="dxa"/>
            <w:gridSpan w:val="8"/>
          </w:tcPr>
          <w:p w14:paraId="1040B539" w14:textId="56596FF4" w:rsidR="008F209D" w:rsidRPr="00407458" w:rsidRDefault="008F209D" w:rsidP="008F209D">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C8A5" w14:textId="77777777" w:rsidR="006F2D19" w:rsidRDefault="006F2D19" w:rsidP="00DE54AD">
      <w:pPr>
        <w:spacing w:after="0" w:line="240" w:lineRule="auto"/>
      </w:pPr>
      <w:r>
        <w:separator/>
      </w:r>
    </w:p>
  </w:endnote>
  <w:endnote w:type="continuationSeparator" w:id="0">
    <w:p w14:paraId="07FA3540" w14:textId="77777777" w:rsidR="006F2D19" w:rsidRDefault="006F2D19" w:rsidP="00DE54AD">
      <w:pPr>
        <w:spacing w:after="0" w:line="240" w:lineRule="auto"/>
      </w:pPr>
      <w:r>
        <w:continuationSeparator/>
      </w:r>
    </w:p>
  </w:endnote>
  <w:endnote w:type="continuationNotice" w:id="1">
    <w:p w14:paraId="48EEEEF3" w14:textId="77777777" w:rsidR="006F2D19" w:rsidRDefault="006F2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5BAE" w14:textId="77777777" w:rsidR="006F2D19" w:rsidRDefault="006F2D19" w:rsidP="00DE54AD">
      <w:pPr>
        <w:spacing w:after="0" w:line="240" w:lineRule="auto"/>
      </w:pPr>
      <w:r>
        <w:separator/>
      </w:r>
    </w:p>
  </w:footnote>
  <w:footnote w:type="continuationSeparator" w:id="0">
    <w:p w14:paraId="5DC9EAE6" w14:textId="77777777" w:rsidR="006F2D19" w:rsidRDefault="006F2D19" w:rsidP="00DE54AD">
      <w:pPr>
        <w:spacing w:after="0" w:line="240" w:lineRule="auto"/>
      </w:pPr>
      <w:r>
        <w:continuationSeparator/>
      </w:r>
    </w:p>
  </w:footnote>
  <w:footnote w:type="continuationNotice" w:id="1">
    <w:p w14:paraId="4DB9AE8F" w14:textId="77777777" w:rsidR="006F2D19" w:rsidRDefault="006F2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CA5E78"/>
    <w:multiLevelType w:val="multilevel"/>
    <w:tmpl w:val="27D8D4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6.1.%3"/>
      <w:lvlJc w:val="righ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8A72D2BA"/>
    <w:lvl w:ilvl="0" w:tplc="A18E598A">
      <w:start w:val="38"/>
      <w:numFmt w:val="decimal"/>
      <w:lvlText w:val="%1."/>
      <w:lvlJc w:val="left"/>
      <w:pPr>
        <w:ind w:left="927"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772D5B"/>
    <w:multiLevelType w:val="hybridMultilevel"/>
    <w:tmpl w:val="E862A554"/>
    <w:lvl w:ilvl="0" w:tplc="20FCC8D6">
      <w:start w:val="1"/>
      <w:numFmt w:val="decimal"/>
      <w:lvlText w:val="%15.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A712A8"/>
    <w:multiLevelType w:val="multilevel"/>
    <w:tmpl w:val="F026A2E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103B8"/>
    <w:multiLevelType w:val="multilevel"/>
    <w:tmpl w:val="2BAA7F6A"/>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3"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2"/>
  </w:num>
  <w:num w:numId="7" w16cid:durableId="620459178">
    <w:abstractNumId w:val="25"/>
  </w:num>
  <w:num w:numId="8" w16cid:durableId="1174950864">
    <w:abstractNumId w:val="18"/>
  </w:num>
  <w:num w:numId="9" w16cid:durableId="822701264">
    <w:abstractNumId w:val="41"/>
  </w:num>
  <w:num w:numId="10" w16cid:durableId="512839443">
    <w:abstractNumId w:val="10"/>
  </w:num>
  <w:num w:numId="11" w16cid:durableId="1027170962">
    <w:abstractNumId w:val="2"/>
  </w:num>
  <w:num w:numId="12" w16cid:durableId="1295912029">
    <w:abstractNumId w:val="40"/>
  </w:num>
  <w:num w:numId="13" w16cid:durableId="1058942136">
    <w:abstractNumId w:val="36"/>
  </w:num>
  <w:num w:numId="14" w16cid:durableId="1125925281">
    <w:abstractNumId w:val="12"/>
  </w:num>
  <w:num w:numId="15" w16cid:durableId="1074933520">
    <w:abstractNumId w:val="43"/>
  </w:num>
  <w:num w:numId="16" w16cid:durableId="841089183">
    <w:abstractNumId w:val="29"/>
  </w:num>
  <w:num w:numId="17" w16cid:durableId="672998179">
    <w:abstractNumId w:val="33"/>
  </w:num>
  <w:num w:numId="18" w16cid:durableId="1228417636">
    <w:abstractNumId w:val="39"/>
  </w:num>
  <w:num w:numId="19" w16cid:durableId="1094084704">
    <w:abstractNumId w:val="19"/>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4"/>
  </w:num>
  <w:num w:numId="28" w16cid:durableId="99299063">
    <w:abstractNumId w:val="42"/>
  </w:num>
  <w:num w:numId="29" w16cid:durableId="1975796050">
    <w:abstractNumId w:val="6"/>
  </w:num>
  <w:num w:numId="30" w16cid:durableId="1244998158">
    <w:abstractNumId w:val="38"/>
  </w:num>
  <w:num w:numId="31" w16cid:durableId="634288044">
    <w:abstractNumId w:val="17"/>
  </w:num>
  <w:num w:numId="32" w16cid:durableId="2111851424">
    <w:abstractNumId w:val="45"/>
  </w:num>
  <w:num w:numId="33" w16cid:durableId="1731421918">
    <w:abstractNumId w:val="37"/>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1"/>
  </w:num>
  <w:num w:numId="41" w16cid:durableId="84083336">
    <w:abstractNumId w:val="27"/>
  </w:num>
  <w:num w:numId="42" w16cid:durableId="379473503">
    <w:abstractNumId w:val="23"/>
  </w:num>
  <w:num w:numId="43" w16cid:durableId="1808737219">
    <w:abstractNumId w:val="20"/>
  </w:num>
  <w:num w:numId="44" w16cid:durableId="739332297">
    <w:abstractNumId w:val="30"/>
  </w:num>
  <w:num w:numId="45" w16cid:durableId="2145266341">
    <w:abstractNumId w:val="4"/>
  </w:num>
  <w:num w:numId="46" w16cid:durableId="16164774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46A"/>
    <w:rsid w:val="00072B6D"/>
    <w:rsid w:val="000747B4"/>
    <w:rsid w:val="000770C8"/>
    <w:rsid w:val="00080EB3"/>
    <w:rsid w:val="00083E94"/>
    <w:rsid w:val="000878B4"/>
    <w:rsid w:val="00090C39"/>
    <w:rsid w:val="00092228"/>
    <w:rsid w:val="00092E59"/>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66FA"/>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87CC9"/>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994"/>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D2F"/>
    <w:rsid w:val="00356EF9"/>
    <w:rsid w:val="00360119"/>
    <w:rsid w:val="00360C91"/>
    <w:rsid w:val="00365F15"/>
    <w:rsid w:val="003668A2"/>
    <w:rsid w:val="003758AB"/>
    <w:rsid w:val="003761EA"/>
    <w:rsid w:val="00376B74"/>
    <w:rsid w:val="003824C1"/>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01A10"/>
    <w:rsid w:val="00407458"/>
    <w:rsid w:val="00414EC0"/>
    <w:rsid w:val="004155E3"/>
    <w:rsid w:val="00416C21"/>
    <w:rsid w:val="0041748C"/>
    <w:rsid w:val="00420D3D"/>
    <w:rsid w:val="004301D6"/>
    <w:rsid w:val="0043209E"/>
    <w:rsid w:val="00432D2F"/>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6E92"/>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5AB9"/>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4536"/>
    <w:rsid w:val="005D202E"/>
    <w:rsid w:val="005D44C9"/>
    <w:rsid w:val="005D46D8"/>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44CAC"/>
    <w:rsid w:val="006506CD"/>
    <w:rsid w:val="006519F4"/>
    <w:rsid w:val="00655338"/>
    <w:rsid w:val="00656A0A"/>
    <w:rsid w:val="00672B7A"/>
    <w:rsid w:val="00686B92"/>
    <w:rsid w:val="006901F0"/>
    <w:rsid w:val="006A1EE6"/>
    <w:rsid w:val="006A315D"/>
    <w:rsid w:val="006A5AD8"/>
    <w:rsid w:val="006C19E4"/>
    <w:rsid w:val="006C33EA"/>
    <w:rsid w:val="006C3FF2"/>
    <w:rsid w:val="006C65BE"/>
    <w:rsid w:val="006C6A06"/>
    <w:rsid w:val="006C72BF"/>
    <w:rsid w:val="006D0E81"/>
    <w:rsid w:val="006D588D"/>
    <w:rsid w:val="006E2626"/>
    <w:rsid w:val="006E3E9A"/>
    <w:rsid w:val="006E454F"/>
    <w:rsid w:val="006E4C9D"/>
    <w:rsid w:val="006F2D19"/>
    <w:rsid w:val="006F3C87"/>
    <w:rsid w:val="006F4C6C"/>
    <w:rsid w:val="00700419"/>
    <w:rsid w:val="00700616"/>
    <w:rsid w:val="007014E2"/>
    <w:rsid w:val="00702FC6"/>
    <w:rsid w:val="00703864"/>
    <w:rsid w:val="007041EB"/>
    <w:rsid w:val="00706D66"/>
    <w:rsid w:val="00706EC2"/>
    <w:rsid w:val="007074E8"/>
    <w:rsid w:val="00713B2D"/>
    <w:rsid w:val="00726866"/>
    <w:rsid w:val="00726B49"/>
    <w:rsid w:val="00730DAE"/>
    <w:rsid w:val="00732949"/>
    <w:rsid w:val="0073377E"/>
    <w:rsid w:val="00733978"/>
    <w:rsid w:val="007400A4"/>
    <w:rsid w:val="007403BF"/>
    <w:rsid w:val="00740EC5"/>
    <w:rsid w:val="007474E1"/>
    <w:rsid w:val="00751051"/>
    <w:rsid w:val="0075290F"/>
    <w:rsid w:val="00755000"/>
    <w:rsid w:val="00763853"/>
    <w:rsid w:val="00766108"/>
    <w:rsid w:val="00767AC7"/>
    <w:rsid w:val="00773F44"/>
    <w:rsid w:val="0077420E"/>
    <w:rsid w:val="00774C74"/>
    <w:rsid w:val="00776967"/>
    <w:rsid w:val="00785550"/>
    <w:rsid w:val="007A0B56"/>
    <w:rsid w:val="007A4B29"/>
    <w:rsid w:val="007A6B73"/>
    <w:rsid w:val="007B383D"/>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97C6A"/>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09D"/>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C5E9D"/>
    <w:rsid w:val="009D0201"/>
    <w:rsid w:val="009D038C"/>
    <w:rsid w:val="009E0D5A"/>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5F57"/>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2B98"/>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2C2F"/>
    <w:rsid w:val="00D13652"/>
    <w:rsid w:val="00D15273"/>
    <w:rsid w:val="00D2375E"/>
    <w:rsid w:val="00D238BD"/>
    <w:rsid w:val="00D26304"/>
    <w:rsid w:val="00D30383"/>
    <w:rsid w:val="00D30CD5"/>
    <w:rsid w:val="00D3214B"/>
    <w:rsid w:val="00D32304"/>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5B1A"/>
    <w:rsid w:val="00D8640C"/>
    <w:rsid w:val="00D95C0E"/>
    <w:rsid w:val="00DA14EE"/>
    <w:rsid w:val="00DA3C29"/>
    <w:rsid w:val="00DA4588"/>
    <w:rsid w:val="00DC45A3"/>
    <w:rsid w:val="00DC48DC"/>
    <w:rsid w:val="00DC4A83"/>
    <w:rsid w:val="00DC5F73"/>
    <w:rsid w:val="00DC6B81"/>
    <w:rsid w:val="00DD1498"/>
    <w:rsid w:val="00DD4F4E"/>
    <w:rsid w:val="00DD52FE"/>
    <w:rsid w:val="00DE54AD"/>
    <w:rsid w:val="00DF2E26"/>
    <w:rsid w:val="00DF79EA"/>
    <w:rsid w:val="00E02AA4"/>
    <w:rsid w:val="00E0387D"/>
    <w:rsid w:val="00E048AE"/>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1CC4"/>
    <w:rsid w:val="00E540C2"/>
    <w:rsid w:val="00E54E3F"/>
    <w:rsid w:val="00E57960"/>
    <w:rsid w:val="00E57F28"/>
    <w:rsid w:val="00E63476"/>
    <w:rsid w:val="00E66553"/>
    <w:rsid w:val="00E73776"/>
    <w:rsid w:val="00E76B70"/>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37F92"/>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A70EA"/>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www.e-tar.lt/rs/lasupplement/df5814c01fd911eeb233e8b04dc9bb3d/047313d01fe011eeb233e8b04dc9bb3d/format/ISO_PDF/"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s://apvis.apva.lt" TargetMode="External"
                 Type="http://schemas.openxmlformats.org/officeDocument/2006/relationships/hyperlink"/>
   <Relationship Id="rId15" Target="http://www.apva.lt/" TargetMode="External"
                 Type="http://schemas.openxmlformats.org/officeDocument/2006/relationships/hyperlink"/>
   <Relationship Id="rId16" Target="http://www.apvis.apva.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34258</Words>
  <Characters>19528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2025-02-12T08:38:00Z</dcterms:created>
  <dc:creator>Zita Markevičienė</dc:creator>
  <cp:lastModifiedBy>Renata Purvinienė</cp:lastModifiedBy>
  <dcterms:modified xsi:type="dcterms:W3CDTF">2025-02-12T13:54:00Z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