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11E19C45"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w:t>
      </w:r>
      <w:r w:rsidR="00FF0CB7" w:rsidRPr="00CA396E">
        <w:rPr>
          <w:rFonts w:ascii="Times" w:hAnsi="Times" w:cs="Times"/>
          <w:kern w:val="36"/>
        </w:rPr>
        <w:t xml:space="preserve">Respublikos valstybinės reikšmės kelių. </w:t>
      </w:r>
      <w:r w:rsidR="00C16077" w:rsidRPr="00CA396E">
        <w:rPr>
          <w:rFonts w:ascii="Times" w:hAnsi="Times" w:cs="Times"/>
          <w:kern w:val="36"/>
        </w:rPr>
        <w:t>(</w:t>
      </w:r>
      <w:r w:rsidR="00751814" w:rsidRPr="00CA396E">
        <w:rPr>
          <w:rFonts w:ascii="Times" w:hAnsi="Times" w:cs="Times"/>
          <w:kern w:val="36"/>
        </w:rPr>
        <w:t xml:space="preserve">Vidurio ir Vakarų Lietuvos regionas, kelio </w:t>
      </w:r>
      <w:r w:rsidR="00FA3321" w:rsidRPr="00CA396E">
        <w:rPr>
          <w:rFonts w:ascii="Times" w:hAnsi="Times" w:cs="Times"/>
          <w:kern w:val="36"/>
        </w:rPr>
        <w:t xml:space="preserve">Nr. A6 Kaunas–Zarasai–Daugpilis 40–60 </w:t>
      </w:r>
      <w:r w:rsidR="00F23A7C" w:rsidRPr="00CA396E">
        <w:rPr>
          <w:rFonts w:ascii="Times" w:hAnsi="Times" w:cs="Times"/>
          <w:kern w:val="36"/>
        </w:rPr>
        <w:t>km</w:t>
      </w:r>
      <w:r w:rsidR="00B67414" w:rsidRPr="00CA396E">
        <w:rPr>
          <w:rFonts w:ascii="Times" w:hAnsi="Times" w:cs="Times"/>
          <w:kern w:val="36"/>
        </w:rPr>
        <w:t xml:space="preserve"> ruožas</w:t>
      </w:r>
      <w:r w:rsidR="00FF0CB7" w:rsidRPr="00CA396E">
        <w:rPr>
          <w:rFonts w:ascii="Times" w:hAnsi="Times" w:cs="Times"/>
          <w:kern w:val="36"/>
        </w:rPr>
        <w:t xml:space="preserve">, didelės, </w:t>
      </w:r>
      <w:r w:rsidR="00C16077" w:rsidRPr="00CA396E">
        <w:rPr>
          <w:rFonts w:ascii="Times" w:hAnsi="Times" w:cs="Times"/>
          <w:kern w:val="36"/>
        </w:rPr>
        <w:t xml:space="preserve">vidutinės </w:t>
      </w:r>
      <w:r w:rsidR="00FF0CB7" w:rsidRPr="00CA396E">
        <w:rPr>
          <w:rFonts w:ascii="Times" w:hAnsi="Times" w:cs="Times"/>
          <w:kern w:val="36"/>
        </w:rPr>
        <w:t xml:space="preserve">ir mažos </w:t>
      </w:r>
      <w:r w:rsidR="00C16077" w:rsidRPr="00CA396E">
        <w:rPr>
          <w:rFonts w:ascii="Times" w:hAnsi="Times" w:cs="Times"/>
          <w:kern w:val="36"/>
        </w:rPr>
        <w:t>įmonės)</w:t>
      </w:r>
      <w:r w:rsidR="009C40F1" w:rsidRPr="00CA396E">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35D64514" w:rsidR="00D15273" w:rsidRPr="002A28FD" w:rsidRDefault="00D41DE2" w:rsidP="4634024A">
      <w:pPr>
        <w:jc w:val="center"/>
        <w:rPr>
          <w:rFonts w:ascii="Times" w:hAnsi="Times" w:cs="Times"/>
          <w:i/>
          <w:iCs/>
          <w:lang w:val="en-US"/>
        </w:rPr>
      </w:pPr>
      <w:r w:rsidRPr="009E6EBF">
        <w:rPr>
          <w:rFonts w:ascii="Times" w:hAnsi="Times" w:cs="Times"/>
          <w:b/>
          <w:bCs/>
        </w:rPr>
        <w:t>Data</w:t>
      </w:r>
      <w:r w:rsidRPr="009E6EBF">
        <w:rPr>
          <w:rFonts w:ascii="Times" w:hAnsi="Times" w:cs="Times"/>
        </w:rPr>
        <w:t xml:space="preserve"> </w:t>
      </w:r>
      <w:r w:rsidR="0059195F" w:rsidRPr="009E6EBF">
        <w:rPr>
          <w:rFonts w:ascii="Times" w:hAnsi="Times" w:cs="Times"/>
        </w:rPr>
        <w:t>2023-</w:t>
      </w:r>
      <w:r w:rsidR="00D719A8" w:rsidRPr="009E6EBF">
        <w:rPr>
          <w:rFonts w:ascii="Times" w:hAnsi="Times" w:cs="Times"/>
        </w:rPr>
        <w:t>10</w:t>
      </w:r>
      <w:r w:rsidR="0059195F" w:rsidRPr="009E6EBF">
        <w:rPr>
          <w:rFonts w:ascii="Times" w:hAnsi="Times" w:cs="Times"/>
        </w:rPr>
        <w:t>-</w:t>
      </w:r>
      <w:r w:rsidR="00D719A8" w:rsidRPr="009E6EBF">
        <w:rPr>
          <w:rFonts w:ascii="Times" w:hAnsi="Times" w:cs="Times"/>
        </w:rPr>
        <w:t>1</w:t>
      </w:r>
      <w:r w:rsidR="009E6EBF" w:rsidRPr="009E6EBF">
        <w:rPr>
          <w:rFonts w:ascii="Times" w:hAnsi="Times" w:cs="Times"/>
          <w:lang w:val="en-US"/>
        </w:rPr>
        <w:t>9</w:t>
      </w:r>
      <w:r w:rsidRPr="009E6EBF">
        <w:rPr>
          <w:rFonts w:ascii="Times" w:hAnsi="Times" w:cs="Times"/>
        </w:rPr>
        <w:t xml:space="preserve"> </w:t>
      </w:r>
      <w:r w:rsidRPr="009E6EBF">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CA396E">
        <w:rPr>
          <w:rFonts w:ascii="Times" w:hAnsi="Times" w:cs="Times"/>
        </w:rPr>
        <w:t>-J</w:t>
      </w:r>
      <w:r w:rsidR="00FA3321" w:rsidRPr="00CA396E">
        <w:rPr>
          <w:rFonts w:ascii="Times" w:hAnsi="Times" w:cs="Times"/>
          <w:lang w:val="en-US"/>
        </w:rPr>
        <w:t>31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CA396E">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759082C8" w:rsidR="00A527EB" w:rsidRPr="00751814" w:rsidRDefault="00CA396E" w:rsidP="00FF0CB7">
            <w:pPr>
              <w:rPr>
                <w:sz w:val="18"/>
                <w:szCs w:val="18"/>
              </w:rPr>
            </w:pPr>
            <w:r w:rsidRPr="00CA396E">
              <w:rPr>
                <w:color w:val="4472C4" w:themeColor="accent5"/>
                <w:lang w:val="fr-FR"/>
              </w:rPr>
              <w:t xml:space="preserve">200 000 Eur </w:t>
            </w:r>
            <w:r w:rsidRPr="00CA396E">
              <w:rPr>
                <w:rFonts w:ascii="Times" w:hAnsi="Times" w:cs="Times"/>
                <w:iCs/>
                <w:color w:val="4472C4" w:themeColor="accent5"/>
              </w:rPr>
              <w:t xml:space="preserve">(du šimtai tūkstančių eurų, </w:t>
            </w:r>
            <w:r w:rsidRPr="00CA396E">
              <w:rPr>
                <w:rFonts w:ascii="Times" w:hAnsi="Times" w:cs="Times"/>
                <w:iCs/>
                <w:color w:val="4472C4" w:themeColor="accent5"/>
                <w:lang w:val="fr-FR"/>
              </w:rPr>
              <w:t>00</w:t>
            </w:r>
            <w:r w:rsidRPr="00CA396E">
              <w:rPr>
                <w:rFonts w:ascii="Times" w:hAnsi="Times" w:cs="Times"/>
                <w:iCs/>
                <w:color w:val="4472C4" w:themeColor="accent5"/>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0A997318" w:rsidR="00751814" w:rsidRPr="00CA396E" w:rsidRDefault="00712415" w:rsidP="00712415">
            <w:pPr>
              <w:rPr>
                <w:lang w:val="fr-FR"/>
              </w:rPr>
            </w:pPr>
            <w:r w:rsidRPr="00CA396E">
              <w:rPr>
                <w:lang w:val="fr-FR"/>
              </w:rPr>
              <w:t xml:space="preserve">200 000 Eur </w:t>
            </w:r>
            <w:r w:rsidRPr="00CA396E">
              <w:rPr>
                <w:rFonts w:ascii="Times" w:hAnsi="Times" w:cs="Times"/>
                <w:iCs/>
              </w:rPr>
              <w:t xml:space="preserve">(du šimtai tūkstančių eurų, </w:t>
            </w:r>
            <w:r w:rsidRPr="00CA396E">
              <w:rPr>
                <w:rFonts w:ascii="Times" w:hAnsi="Times" w:cs="Times"/>
                <w:iCs/>
                <w:lang w:val="fr-FR"/>
              </w:rPr>
              <w:t>00</w:t>
            </w:r>
            <w:r w:rsidRPr="00CA396E">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407458" w:rsidRDefault="0083614B" w:rsidP="0083614B">
            <w:pPr>
              <w:jc w:val="both"/>
              <w:rPr>
                <w:rFonts w:ascii="Times" w:hAnsi="Times" w:cs="Times"/>
                <w:i/>
                <w:iCs/>
                <w:highlight w:val="yellow"/>
              </w:rPr>
            </w:pPr>
            <w:r w:rsidRPr="00CA396E">
              <w:rPr>
                <w:rFonts w:ascii="Times" w:hAnsi="Times" w:cs="Times"/>
                <w:i/>
                <w:iCs/>
              </w:rPr>
              <w:t xml:space="preserve">Didelėms įmonėms iki </w:t>
            </w:r>
            <w:r w:rsidR="00751814" w:rsidRPr="00CA396E">
              <w:rPr>
                <w:rFonts w:ascii="Times" w:hAnsi="Times" w:cs="Times"/>
                <w:i/>
                <w:iCs/>
              </w:rPr>
              <w:t>3</w:t>
            </w:r>
            <w:r w:rsidRPr="00CA396E">
              <w:rPr>
                <w:rFonts w:ascii="Times" w:hAnsi="Times" w:cs="Times"/>
                <w:i/>
                <w:iCs/>
              </w:rPr>
              <w:t xml:space="preserve">5 proc., vidutinėms įmonėms iki </w:t>
            </w:r>
            <w:r w:rsidR="00751814" w:rsidRPr="00CA396E">
              <w:rPr>
                <w:rFonts w:ascii="Times" w:hAnsi="Times" w:cs="Times"/>
                <w:i/>
                <w:iCs/>
              </w:rPr>
              <w:t>5</w:t>
            </w:r>
            <w:r w:rsidRPr="00CA396E">
              <w:rPr>
                <w:rFonts w:ascii="Times" w:hAnsi="Times" w:cs="Times"/>
                <w:i/>
                <w:iCs/>
              </w:rPr>
              <w:t xml:space="preserve">5 proc., mažoms įmonėms iki </w:t>
            </w:r>
            <w:r w:rsidR="00751814" w:rsidRPr="00CA396E">
              <w:rPr>
                <w:rFonts w:ascii="Times" w:hAnsi="Times" w:cs="Times"/>
                <w:i/>
                <w:iCs/>
              </w:rPr>
              <w:t>60</w:t>
            </w:r>
            <w:r w:rsidRPr="00CA396E">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407458" w:rsidRDefault="0083614B" w:rsidP="0083614B">
            <w:pPr>
              <w:jc w:val="both"/>
              <w:rPr>
                <w:rFonts w:ascii="Times" w:hAnsi="Times" w:cs="Times"/>
                <w:i/>
              </w:rPr>
            </w:pPr>
            <w:r w:rsidRPr="00CA396E">
              <w:rPr>
                <w:rFonts w:ascii="Times" w:hAnsi="Times" w:cs="Times"/>
                <w:i/>
                <w:iCs/>
              </w:rPr>
              <w:t xml:space="preserve">Didelėms įmonėms ne mažiau </w:t>
            </w:r>
            <w:r w:rsidR="00751814" w:rsidRPr="00CA396E">
              <w:rPr>
                <w:rFonts w:ascii="Times" w:hAnsi="Times" w:cs="Times"/>
                <w:i/>
                <w:iCs/>
              </w:rPr>
              <w:t>6</w:t>
            </w:r>
            <w:r w:rsidRPr="00CA396E">
              <w:rPr>
                <w:rFonts w:ascii="Times" w:hAnsi="Times" w:cs="Times"/>
                <w:i/>
                <w:iCs/>
              </w:rPr>
              <w:t xml:space="preserve">5 proc., vidutinėms įmonėms ne mažiau  </w:t>
            </w:r>
            <w:r w:rsidR="00751814" w:rsidRPr="00CA396E">
              <w:rPr>
                <w:rFonts w:ascii="Times" w:hAnsi="Times" w:cs="Times"/>
                <w:i/>
                <w:iCs/>
              </w:rPr>
              <w:t>4</w:t>
            </w:r>
            <w:r w:rsidRPr="00CA396E">
              <w:rPr>
                <w:rFonts w:ascii="Times" w:hAnsi="Times" w:cs="Times"/>
                <w:i/>
                <w:iCs/>
              </w:rPr>
              <w:t>5 proc., mažoms įmonėms ne mažiau 4</w:t>
            </w:r>
            <w:r w:rsidR="00751814" w:rsidRPr="00CA396E">
              <w:rPr>
                <w:rFonts w:ascii="Times" w:hAnsi="Times" w:cs="Times"/>
                <w:i/>
                <w:iCs/>
              </w:rPr>
              <w:t>0</w:t>
            </w:r>
            <w:r w:rsidRPr="00CA396E">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0920F0CA" w:rsidR="0083614B" w:rsidRPr="00407458" w:rsidRDefault="0083614B" w:rsidP="0083614B">
            <w:pPr>
              <w:shd w:val="clear" w:color="auto" w:fill="FFFFFF"/>
              <w:jc w:val="both"/>
              <w:outlineLvl w:val="0"/>
              <w:rPr>
                <w:rFonts w:ascii="Times" w:hAnsi="Times" w:cs="Times"/>
                <w:kern w:val="36"/>
              </w:rPr>
            </w:pPr>
            <w:r w:rsidRPr="00CA396E">
              <w:rPr>
                <w:rFonts w:ascii="Times" w:hAnsi="Times" w:cs="Times"/>
                <w:lang w:eastAsia="lt-LT"/>
              </w:rPr>
              <w:t xml:space="preserve">Viešai prieinamos elektromobilių įkrovimo infrastruktūros įrengimas ir plėtra </w:t>
            </w:r>
            <w:r w:rsidRPr="00CA396E">
              <w:rPr>
                <w:rFonts w:ascii="Times" w:hAnsi="Times" w:cs="Times"/>
                <w:kern w:val="36"/>
              </w:rPr>
              <w:t>nustatytuose ruožuose šalia TEN-T tinklui priklausančių Lietuvos Respublikos valstybinės reikšmės kelių. (</w:t>
            </w:r>
            <w:r w:rsidR="00751814" w:rsidRPr="00CA396E">
              <w:rPr>
                <w:rFonts w:ascii="Times" w:hAnsi="Times" w:cs="Times"/>
                <w:kern w:val="36"/>
              </w:rPr>
              <w:t>Vidurio ir Vakarų Lietuvos regionas</w:t>
            </w:r>
            <w:r w:rsidRPr="00CA396E">
              <w:rPr>
                <w:rFonts w:ascii="Times" w:hAnsi="Times" w:cs="Times"/>
                <w:kern w:val="36"/>
              </w:rPr>
              <w:t>, kelio</w:t>
            </w:r>
            <w:r w:rsidR="001B22F0" w:rsidRPr="00CA396E">
              <w:rPr>
                <w:rFonts w:ascii="Times" w:hAnsi="Times" w:cs="Times"/>
                <w:kern w:val="36"/>
              </w:rPr>
              <w:t xml:space="preserve"> </w:t>
            </w:r>
            <w:r w:rsidR="00FA3321" w:rsidRPr="00CA396E">
              <w:rPr>
                <w:rFonts w:ascii="Times" w:hAnsi="Times" w:cs="Times"/>
                <w:kern w:val="36"/>
                <w:lang w:val="es-GT"/>
              </w:rPr>
              <w:t xml:space="preserve">Nr. A6 Kaunas–Zarasai–Daugpilis 40–60 </w:t>
            </w:r>
            <w:r w:rsidR="00F23A7C" w:rsidRPr="00CA396E">
              <w:rPr>
                <w:rFonts w:ascii="Times" w:hAnsi="Times" w:cs="Times"/>
                <w:kern w:val="36"/>
              </w:rPr>
              <w:t xml:space="preserve">km </w:t>
            </w:r>
            <w:r w:rsidR="00B96B31" w:rsidRPr="00CA396E">
              <w:rPr>
                <w:rFonts w:ascii="Times" w:hAnsi="Times" w:cs="Times"/>
                <w:kern w:val="36"/>
              </w:rPr>
              <w:t>ruožas</w:t>
            </w:r>
            <w:r w:rsidRPr="00CA396E">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0B2104FA" w:rsidR="0083614B" w:rsidRPr="00407458" w:rsidRDefault="00CA396E"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4D62F2B" w:rsidR="0083614B" w:rsidRPr="00407458" w:rsidRDefault="00CA396E"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CA396E">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31011C0E"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29E2260"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579975D2"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549D4ED"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6C7A678E"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2EE39C29"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6CEAA82F" w14:textId="77777777" w:rsidR="00CA396E" w:rsidRPr="002D5E95" w:rsidRDefault="00CA396E" w:rsidP="00CA396E">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CA396E" w:rsidRDefault="0083614B" w:rsidP="00CA396E">
            <w:pPr>
              <w:tabs>
                <w:tab w:val="left" w:pos="756"/>
              </w:tabs>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CA396E" w:rsidRDefault="0083614B" w:rsidP="0083614B">
            <w:pPr>
              <w:pStyle w:val="ListParagraph"/>
              <w:numPr>
                <w:ilvl w:val="0"/>
                <w:numId w:val="41"/>
              </w:numPr>
              <w:tabs>
                <w:tab w:val="left" w:pos="756"/>
              </w:tabs>
              <w:ind w:left="0" w:firstLine="329"/>
              <w:jc w:val="both"/>
              <w:rPr>
                <w:rFonts w:ascii="Times" w:hAnsi="Times" w:cs="Times"/>
              </w:rPr>
            </w:pPr>
            <w:r w:rsidRPr="00CA396E">
              <w:rPr>
                <w:rFonts w:ascii="Times" w:hAnsi="Times" w:cs="Times"/>
                <w:i/>
                <w:iCs/>
              </w:rPr>
              <w:t xml:space="preserve">Iki </w:t>
            </w:r>
            <w:r w:rsidR="00DE4385" w:rsidRPr="00CA396E">
              <w:rPr>
                <w:rFonts w:ascii="Times" w:hAnsi="Times" w:cs="Times"/>
                <w:i/>
                <w:iCs/>
              </w:rPr>
              <w:t>3</w:t>
            </w:r>
            <w:r w:rsidRPr="00CA396E">
              <w:rPr>
                <w:rFonts w:ascii="Times" w:hAnsi="Times" w:cs="Times"/>
                <w:i/>
                <w:iCs/>
              </w:rPr>
              <w:t xml:space="preserve">5 proc. (didelėms įmonėms) </w:t>
            </w:r>
            <w:r w:rsidRPr="00CA396E">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CA396E" w:rsidRDefault="0083614B" w:rsidP="0083614B">
            <w:pPr>
              <w:pStyle w:val="ListParagraph"/>
              <w:numPr>
                <w:ilvl w:val="0"/>
                <w:numId w:val="41"/>
              </w:numPr>
              <w:tabs>
                <w:tab w:val="left" w:pos="756"/>
              </w:tabs>
              <w:ind w:left="0" w:firstLine="329"/>
              <w:jc w:val="both"/>
              <w:rPr>
                <w:rFonts w:ascii="Times" w:hAnsi="Times" w:cs="Times"/>
              </w:rPr>
            </w:pPr>
            <w:r w:rsidRPr="00CA396E">
              <w:rPr>
                <w:rFonts w:ascii="Times" w:hAnsi="Times" w:cs="Times"/>
              </w:rPr>
              <w:t xml:space="preserve">Iki </w:t>
            </w:r>
            <w:r w:rsidR="00DE4385" w:rsidRPr="00CA396E">
              <w:rPr>
                <w:rFonts w:ascii="Times" w:hAnsi="Times" w:cs="Times"/>
                <w:i/>
                <w:iCs/>
              </w:rPr>
              <w:t>5</w:t>
            </w:r>
            <w:r w:rsidRPr="00CA396E">
              <w:rPr>
                <w:rFonts w:ascii="Times" w:hAnsi="Times" w:cs="Times"/>
                <w:i/>
                <w:iCs/>
              </w:rPr>
              <w:t>5 proc. (vidutinėms įmonėms)</w:t>
            </w:r>
            <w:r w:rsidRPr="00CA396E">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CA396E">
              <w:rPr>
                <w:rFonts w:ascii="Times" w:hAnsi="Times" w:cs="Times"/>
                <w:i/>
                <w:iCs/>
              </w:rPr>
              <w:t xml:space="preserve">Iki </w:t>
            </w:r>
            <w:r w:rsidR="00DE4385" w:rsidRPr="00CA396E">
              <w:rPr>
                <w:rFonts w:ascii="Times" w:hAnsi="Times" w:cs="Times"/>
                <w:i/>
                <w:iCs/>
              </w:rPr>
              <w:t>60</w:t>
            </w:r>
            <w:r w:rsidRPr="00CA396E">
              <w:rPr>
                <w:rFonts w:ascii="Times" w:hAnsi="Times" w:cs="Times"/>
                <w:i/>
                <w:iCs/>
              </w:rPr>
              <w:t xml:space="preserve"> </w:t>
            </w:r>
            <w:proofErr w:type="spellStart"/>
            <w:r w:rsidRPr="00CA396E">
              <w:rPr>
                <w:rFonts w:ascii="Times" w:hAnsi="Times" w:cs="Times"/>
                <w:i/>
                <w:iCs/>
              </w:rPr>
              <w:t>proc</w:t>
            </w:r>
            <w:proofErr w:type="spellEnd"/>
            <w:r w:rsidRPr="00CA396E">
              <w:rPr>
                <w:rFonts w:ascii="Times" w:hAnsi="Times" w:cs="Times"/>
                <w:i/>
                <w:iCs/>
              </w:rPr>
              <w:t xml:space="preserve"> (mažoms įmonėms) </w:t>
            </w:r>
            <w:r w:rsidRPr="00CA396E">
              <w:rPr>
                <w:rFonts w:ascii="Times" w:hAnsi="Times" w:cs="Times"/>
                <w:lang w:eastAsia="lt-LT"/>
              </w:rPr>
              <w:t>Aprašo 14.1 papunktyje nurodyto FĮ-35-01, FĮ-35-03,  FĮ-35-05, FĮ-35-07, FĮ-35-09, FĮ-35-11, FĮ-35</w:t>
            </w:r>
            <w:r w:rsidRPr="00407458">
              <w:rPr>
                <w:rFonts w:ascii="Times" w:hAnsi="Times" w:cs="Times"/>
                <w:lang w:eastAsia="lt-LT"/>
              </w:rPr>
              <w:t>-13,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3919A769" w14:textId="77777777" w:rsidR="00CA396E" w:rsidRPr="003E4AD3" w:rsidRDefault="00CA396E" w:rsidP="00CA396E">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28384B53" w14:textId="77777777" w:rsidR="00CA396E" w:rsidRPr="003E4AD3" w:rsidRDefault="00CA396E" w:rsidP="00CA396E">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12AE8360" w14:textId="77777777" w:rsidR="00CA396E" w:rsidRPr="003E4AD3" w:rsidRDefault="00CA396E" w:rsidP="00CA396E">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4BF2B3A5" w14:textId="77777777" w:rsidR="00CA396E" w:rsidRPr="003E4AD3" w:rsidRDefault="00CA396E" w:rsidP="00CA396E">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38E29C81" w14:textId="77777777" w:rsidR="00CA396E" w:rsidRPr="003E4AD3" w:rsidRDefault="00CA396E" w:rsidP="00CA396E">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689AD95A" w14:textId="77777777" w:rsidR="00CA396E" w:rsidRPr="003E4AD3" w:rsidRDefault="00CA396E" w:rsidP="00CA396E">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17913F65" w14:textId="77777777" w:rsidR="00CA396E" w:rsidRPr="003E4AD3" w:rsidRDefault="00CA396E" w:rsidP="00CA396E">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3A39B62C" w14:textId="77777777" w:rsidR="00CA396E" w:rsidRPr="003E4AD3" w:rsidRDefault="00CA396E" w:rsidP="00CA396E">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530E7D77" w14:textId="77777777" w:rsidR="00CA396E" w:rsidRPr="003E4AD3" w:rsidRDefault="00CA396E" w:rsidP="00CA396E">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6DF02302" w14:textId="77777777" w:rsidR="00CA396E" w:rsidRPr="003E4AD3" w:rsidRDefault="00CA396E" w:rsidP="00CA396E">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307BE955" w14:textId="77777777" w:rsidR="00CA396E" w:rsidRPr="003E4AD3" w:rsidRDefault="00CA396E" w:rsidP="00CA396E">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xml:space="preserve">“ ir kt. jungtis), bent viena įprastos ir vidutinės galios prieigų (kai jos yra kelios) ir bent </w:t>
            </w:r>
            <w:r w:rsidRPr="003E4AD3">
              <w:rPr>
                <w:rFonts w:ascii="Times" w:hAnsi="Times" w:cs="Times"/>
                <w:color w:val="2E74B5" w:themeColor="accent1" w:themeShade="BF"/>
                <w:lang w:eastAsia="lt-LT"/>
              </w:rPr>
              <w:lastRenderedPageBreak/>
              <w:t>viena didelės ir labai didelės galios prieiga (kai jos yra kelios) privalo atitikti patvirtintus Europos Sąjungos standartus:</w:t>
            </w:r>
          </w:p>
          <w:p w14:paraId="1CB3210C" w14:textId="77777777" w:rsidR="00CA396E" w:rsidRPr="003E4AD3" w:rsidRDefault="00CA396E" w:rsidP="00CA396E">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1F07818F" w14:textId="77777777" w:rsidR="00CA396E" w:rsidRPr="003E4AD3" w:rsidRDefault="00CA396E" w:rsidP="00CA396E">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7E020743" w14:textId="77777777" w:rsidR="00CA396E" w:rsidRPr="003E4AD3" w:rsidRDefault="00CA396E" w:rsidP="00CA396E">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2EDD9E03" w14:textId="77777777" w:rsidR="00CA396E" w:rsidRPr="003E4AD3"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0703988F" w14:textId="77777777" w:rsidR="00CA396E" w:rsidRPr="002D5E95"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300053A8" w14:textId="77777777" w:rsidR="00CA396E" w:rsidRPr="003E4AD3"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1796263B" w14:textId="77777777" w:rsidR="00CA396E" w:rsidRPr="003E4AD3"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764562DF" w14:textId="77777777" w:rsidR="00CA396E"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5EEF031D" w14:textId="77777777" w:rsidR="00CA396E" w:rsidRPr="00585E3F"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1257645A" w14:textId="77777777" w:rsidR="00CA396E" w:rsidRPr="003E4AD3" w:rsidRDefault="00CA396E" w:rsidP="00CA396E">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3DB18AFD" w14:textId="77777777" w:rsidR="00CA396E" w:rsidRPr="003E4AD3" w:rsidRDefault="00CA396E" w:rsidP="00CA396E">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5F2DF1E3" w14:textId="77777777" w:rsidR="00CA396E" w:rsidRPr="00841999" w:rsidRDefault="00CA396E" w:rsidP="00CA396E">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0A5737A" w14:textId="77777777" w:rsidR="00CA396E" w:rsidRPr="003E4AD3" w:rsidRDefault="00CA396E" w:rsidP="00CA396E">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lastRenderedPageBreak/>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664BB2E9"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011B7934"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160575B1"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A80CACF"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69F165CA"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6CDADED5"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23A3732A"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5085C762"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373ECC20"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7F29B313"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7DC7DCBB"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776BE372"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10193D0"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34904EBB"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1F29304E"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0A2EF38C" w14:textId="77777777" w:rsidR="00CA396E" w:rsidRPr="002D5E95"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4641FD77"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6CA597E1"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7C08C93"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0DDA45E"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71F77021" w14:textId="77777777" w:rsidR="00CA396E" w:rsidRPr="002D5E95" w:rsidRDefault="00CA396E" w:rsidP="00CA396E">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3C9594DB"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17C5A91"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AAB51AE"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0969545C"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28D6003A" w14:textId="77777777" w:rsidR="00CA396E" w:rsidRPr="002D5E95" w:rsidRDefault="00CA396E" w:rsidP="00CA396E">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34D36A64"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2DA55672"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3AF21E45"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5800226" w14:textId="77777777" w:rsidR="00CA396E" w:rsidRPr="003E4AD3" w:rsidRDefault="00CA396E" w:rsidP="00CA396E">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4ADF57C7" w14:textId="77777777" w:rsidR="00CA396E" w:rsidRPr="003E4AD3" w:rsidRDefault="00CA396E" w:rsidP="00CA396E">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75373D63" w14:textId="77777777" w:rsidR="00CA396E" w:rsidRPr="003E4AD3" w:rsidRDefault="00CA396E" w:rsidP="00CA396E">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33B05D5" w14:textId="77777777" w:rsidR="00CA396E" w:rsidRPr="002D5E95" w:rsidRDefault="00CA396E" w:rsidP="00CA396E">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6A5BBAC8" w14:textId="77777777" w:rsidR="00CA396E" w:rsidRPr="002D5E95" w:rsidRDefault="00CA396E" w:rsidP="00CA396E">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5C1974E7" w14:textId="77777777" w:rsidR="00CA396E" w:rsidRPr="002D5E95" w:rsidRDefault="00CA396E" w:rsidP="00CA396E">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57A6B17C" w14:textId="77777777" w:rsidR="00CA396E" w:rsidRPr="002D5E95" w:rsidRDefault="00CA396E" w:rsidP="00CA396E">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30F3CDA5" w14:textId="77777777" w:rsidR="00CA396E" w:rsidRPr="002D5E95" w:rsidRDefault="00CA396E" w:rsidP="00CA396E">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w:t>
            </w:r>
            <w:r w:rsidRPr="002D5E95">
              <w:rPr>
                <w:rFonts w:ascii="Times" w:hAnsi="Times" w:cs="Times"/>
                <w:color w:val="2E74B5" w:themeColor="accent1" w:themeShade="BF"/>
                <w:lang w:eastAsia="lt-LT"/>
              </w:rPr>
              <w:lastRenderedPageBreak/>
              <w:t>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1425067D" w14:textId="77777777" w:rsidR="00CA396E" w:rsidRPr="003E4AD3" w:rsidRDefault="00CA396E" w:rsidP="00CA396E">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6B76B130" w14:textId="77777777" w:rsidR="00CA396E" w:rsidRPr="003E4AD3" w:rsidRDefault="00CA396E" w:rsidP="00CA396E">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43787F17" w14:textId="77777777" w:rsidR="00CA396E" w:rsidRPr="003E4AD3" w:rsidRDefault="00CA396E" w:rsidP="00CA396E">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0B06A8E" w14:textId="77777777" w:rsidR="00CA396E" w:rsidRPr="00C74A6F" w:rsidRDefault="00CA396E" w:rsidP="00CA396E">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0AF46ADC" w14:textId="77777777" w:rsidR="00CA396E" w:rsidRPr="003E4AD3" w:rsidRDefault="00CA396E" w:rsidP="00CA396E">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5DB41FE9" w14:textId="77777777" w:rsidR="00CA396E" w:rsidRPr="003E4AD3" w:rsidRDefault="00CA396E" w:rsidP="00CA396E">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277682A2" w14:textId="77777777" w:rsidR="00CA396E" w:rsidRDefault="00CA396E" w:rsidP="00CA396E">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E50E488" w14:textId="77777777" w:rsidR="00CA396E" w:rsidRPr="00CA396E" w:rsidRDefault="00CA396E" w:rsidP="00CA396E">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CA396E">
              <w:rPr>
                <w:rFonts w:ascii="Times" w:hAnsi="Times" w:cs="Times"/>
                <w:color w:val="2E74B5" w:themeColor="accent1" w:themeShade="BF"/>
                <w:lang w:eastAsia="lt-LT"/>
              </w:rPr>
              <w:t>Kelio Nr. A6 Kaunas–Zarasai–Daugpilis 40–60 km ruože vienoje (pasirinktoje) kelio pusėje turi būti įrengtas ne mažiau kaip vienas elektromobilių įkrovimo parkas, kuriame įrengtos (-ų) elektromobilių įkrovimo stotelės (-</w:t>
            </w:r>
            <w:proofErr w:type="spellStart"/>
            <w:r w:rsidRPr="00CA396E">
              <w:rPr>
                <w:rFonts w:ascii="Times" w:hAnsi="Times" w:cs="Times"/>
                <w:color w:val="2E74B5" w:themeColor="accent1" w:themeShade="BF"/>
                <w:lang w:eastAsia="lt-LT"/>
              </w:rPr>
              <w:t>ių</w:t>
            </w:r>
            <w:proofErr w:type="spellEnd"/>
            <w:r w:rsidRPr="00CA396E">
              <w:rPr>
                <w:rFonts w:ascii="Times" w:hAnsi="Times" w:cs="Times"/>
                <w:color w:val="2E74B5" w:themeColor="accent1" w:themeShade="BF"/>
                <w:lang w:eastAsia="lt-LT"/>
              </w:rPr>
              <w:t>) su prieiga (-</w:t>
            </w:r>
            <w:proofErr w:type="spellStart"/>
            <w:r w:rsidRPr="00CA396E">
              <w:rPr>
                <w:rFonts w:ascii="Times" w:hAnsi="Times" w:cs="Times"/>
                <w:color w:val="2E74B5" w:themeColor="accent1" w:themeShade="BF"/>
                <w:lang w:eastAsia="lt-LT"/>
              </w:rPr>
              <w:t>omis</w:t>
            </w:r>
            <w:proofErr w:type="spellEnd"/>
            <w:r w:rsidRPr="00CA396E">
              <w:rPr>
                <w:rFonts w:ascii="Times" w:hAnsi="Times" w:cs="Times"/>
                <w:color w:val="2E74B5" w:themeColor="accent1" w:themeShade="BF"/>
                <w:lang w:eastAsia="lt-LT"/>
              </w:rPr>
              <w:t>) bendra suminė galia turi būti ne mažesnė  kaip 300 kW ir įrengta ne mažiau kaip viena ne mažesnės kaip 150 kW galios įkrovimo prieiga;</w:t>
            </w:r>
          </w:p>
          <w:p w14:paraId="496FA99F" w14:textId="33C987ED" w:rsidR="0083614B" w:rsidRPr="00CA396E" w:rsidRDefault="00CA396E" w:rsidP="00CA396E">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CA396E">
              <w:rPr>
                <w:rFonts w:ascii="Times" w:hAnsi="Times" w:cs="Times"/>
                <w:color w:val="2E74B5" w:themeColor="accent1" w:themeShade="BF"/>
                <w:lang w:eastAsia="lt-LT"/>
              </w:rPr>
              <w:t>Kelio Nr. A6 Kaunas–Zarasai–Daugpilis 40–60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56E44EBD" w14:textId="77777777" w:rsidR="0083614B" w:rsidRDefault="0083614B" w:rsidP="0083614B">
            <w:pPr>
              <w:spacing w:after="60"/>
              <w:jc w:val="both"/>
              <w:rPr>
                <w:rFonts w:ascii="Times" w:hAnsi="Times" w:cs="Times"/>
                <w:b/>
                <w:bCs/>
              </w:rPr>
            </w:pPr>
            <w:r w:rsidRPr="00407458">
              <w:rPr>
                <w:rFonts w:ascii="Times" w:hAnsi="Times" w:cs="Times"/>
                <w:b/>
                <w:bCs/>
              </w:rPr>
              <w:t>Taikomi supaprastintai apmokamų išlaidų dydžiai</w:t>
            </w:r>
          </w:p>
          <w:p w14:paraId="0D99C401" w14:textId="77777777" w:rsidR="00CA396E" w:rsidRDefault="00CA396E" w:rsidP="0083614B">
            <w:pPr>
              <w:spacing w:after="60"/>
              <w:jc w:val="both"/>
              <w:rPr>
                <w:rFonts w:ascii="Times" w:hAnsi="Times" w:cs="Times"/>
                <w:b/>
                <w:bCs/>
              </w:rPr>
            </w:pPr>
          </w:p>
          <w:p w14:paraId="45F78400" w14:textId="6F38EC55" w:rsidR="00CA396E" w:rsidRPr="00407458" w:rsidRDefault="00CA396E" w:rsidP="00CA396E">
            <w:pPr>
              <w:spacing w:after="60"/>
              <w:jc w:val="both"/>
              <w:rPr>
                <w:rFonts w:ascii="Times" w:hAnsi="Times" w:cs="Times"/>
                <w:i/>
                <w:iCs/>
              </w:rPr>
            </w:pP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2011FFB1"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w:t>
            </w:r>
            <w:r w:rsidRPr="00407458">
              <w:rPr>
                <w:rFonts w:ascii="Times" w:hAnsi="Times" w:cs="Times"/>
              </w:rPr>
              <w:lastRenderedPageBreak/>
              <w:t>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w:t>
            </w:r>
            <w:r w:rsidRPr="00407458">
              <w:rPr>
                <w:rFonts w:ascii="Times" w:hAnsi="Times" w:cs="Times"/>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w:t>
            </w:r>
            <w:r w:rsidRPr="00407458">
              <w:rPr>
                <w:rFonts w:ascii="Times" w:hAnsi="Times" w:cs="Times"/>
              </w:rPr>
              <w:lastRenderedPageBreak/>
              <w:t>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w:t>
            </w:r>
            <w:r w:rsidRPr="00407458">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w:t>
            </w:r>
            <w:r w:rsidRPr="00407458">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CA396E" w:rsidRPr="00407458" w14:paraId="49CF873D" w14:textId="77777777" w:rsidTr="511F09C8">
        <w:trPr>
          <w:trHeight w:val="300"/>
        </w:trPr>
        <w:tc>
          <w:tcPr>
            <w:tcW w:w="685" w:type="dxa"/>
            <w:vMerge w:val="restart"/>
          </w:tcPr>
          <w:p w14:paraId="2EEF3EF8" w14:textId="32CAEF8B" w:rsidR="00CA396E" w:rsidRPr="00407458" w:rsidRDefault="00CA396E" w:rsidP="00CA396E">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4CE29794" w:rsidR="00CA396E" w:rsidRPr="00407458" w:rsidRDefault="00CA396E" w:rsidP="00CA396E">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CA396E" w:rsidRPr="00407458" w14:paraId="507E58EE" w14:textId="77777777" w:rsidTr="511F09C8">
        <w:trPr>
          <w:trHeight w:val="300"/>
        </w:trPr>
        <w:tc>
          <w:tcPr>
            <w:tcW w:w="685" w:type="dxa"/>
            <w:vMerge/>
          </w:tcPr>
          <w:p w14:paraId="4C01E988" w14:textId="77777777" w:rsidR="00CA396E" w:rsidRPr="00407458" w:rsidRDefault="00CA396E" w:rsidP="00CA396E">
            <w:pPr>
              <w:spacing w:after="120"/>
              <w:rPr>
                <w:rFonts w:ascii="Times" w:hAnsi="Times" w:cs="Times"/>
                <w:b/>
                <w:bCs/>
              </w:rPr>
            </w:pPr>
          </w:p>
        </w:tc>
        <w:tc>
          <w:tcPr>
            <w:tcW w:w="9204" w:type="dxa"/>
            <w:gridSpan w:val="8"/>
            <w:vAlign w:val="center"/>
          </w:tcPr>
          <w:p w14:paraId="086C9AE3" w14:textId="77777777" w:rsidR="00CA396E" w:rsidRPr="001A1611" w:rsidRDefault="00CA396E" w:rsidP="00CA396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497EB51B" w14:textId="77777777" w:rsidR="00CA396E" w:rsidRPr="001A1611" w:rsidRDefault="00CA396E" w:rsidP="00CA396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CF6B7F3" w14:textId="77777777" w:rsidR="00CA396E" w:rsidRDefault="00CA396E" w:rsidP="00CA396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3FFBA617" w14:textId="77777777" w:rsidR="00CA396E" w:rsidRDefault="00CA396E" w:rsidP="00CA396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766B7C92" w14:textId="77777777" w:rsidR="00CA396E" w:rsidRDefault="00CA396E" w:rsidP="00CA396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55991311" w14:textId="77777777" w:rsidR="00CA396E" w:rsidRDefault="00CA396E" w:rsidP="00CA396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CA396E">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7FC4DD4B" w14:textId="77777777" w:rsidR="00CA396E" w:rsidRDefault="00CA396E" w:rsidP="00CA396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CA396E">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43A76AF2" w14:textId="03C38B55" w:rsidR="00CA396E" w:rsidRPr="00CA396E" w:rsidRDefault="00CA396E" w:rsidP="00CA396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CA396E">
              <w:rPr>
                <w:rFonts w:ascii="Times" w:hAnsi="Times" w:cs="Times"/>
                <w:color w:val="2E74B5" w:themeColor="accent1" w:themeShade="BF"/>
                <w:lang w:eastAsia="lt-LT"/>
              </w:rPr>
              <w:lastRenderedPageBreak/>
              <w:t>valstybės pagalba, kurios tinkamas finansuoti išlaidas galima nustatyti ir kuriai pagal Reglamentą (ES) Nr. 651/2014 taikoma išimtis, gali būti sumuojama su:</w:t>
            </w:r>
          </w:p>
          <w:p w14:paraId="2F9ADBB2" w14:textId="77777777" w:rsidR="00CA396E" w:rsidRDefault="00CA396E" w:rsidP="00CA396E">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CA396E">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14345E97" w14:textId="4B69A990" w:rsidR="00CA396E" w:rsidRPr="00CA396E" w:rsidRDefault="00CA396E" w:rsidP="00CA396E">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CA396E">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81D808D" w14:textId="77777777" w:rsidR="00CA396E" w:rsidRDefault="00CA396E" w:rsidP="00CA396E">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5ED975D1"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789AF89"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58200817"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5FE334B8" w14:textId="77777777" w:rsidR="00CA396E" w:rsidRDefault="00CA396E" w:rsidP="00CA396E">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2A6A52EF"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4BFC575E"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2AB081FF"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5077ED1A" w14:textId="77777777" w:rsidR="00CA396E" w:rsidRDefault="00CA396E" w:rsidP="00CA396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3CFD3A4" w14:textId="77777777" w:rsidR="00CA396E" w:rsidRDefault="00CA396E" w:rsidP="00CA396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76F70235" w14:textId="77777777" w:rsidR="00CA396E" w:rsidRDefault="00CA396E" w:rsidP="00CA396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7D1C9DF7" w14:textId="77777777" w:rsidR="00CA396E" w:rsidRDefault="00CA396E" w:rsidP="00CA396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4DE51087" w14:textId="77777777" w:rsidR="00CA396E" w:rsidRDefault="00CA396E" w:rsidP="00CA396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7B7F85C" w14:textId="77777777" w:rsidR="00CA396E" w:rsidRPr="003B2006" w:rsidRDefault="00CA396E" w:rsidP="00CA396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023A0F61" w:rsidR="00CA396E" w:rsidRPr="00CA396E" w:rsidRDefault="00CA396E" w:rsidP="00CA396E">
            <w:pPr>
              <w:tabs>
                <w:tab w:val="left" w:pos="614"/>
                <w:tab w:val="left" w:pos="756"/>
              </w:tabs>
              <w:jc w:val="both"/>
              <w:rPr>
                <w:rFonts w:ascii="Times" w:hAnsi="Times" w:cs="Times"/>
                <w:lang w:eastAsia="lt-LT"/>
              </w:rPr>
            </w:pPr>
          </w:p>
        </w:tc>
      </w:tr>
      <w:tr w:rsidR="00CA396E" w:rsidRPr="00407458" w14:paraId="58A4376D" w14:textId="77777777" w:rsidTr="511F09C8">
        <w:trPr>
          <w:trHeight w:val="300"/>
        </w:trPr>
        <w:tc>
          <w:tcPr>
            <w:tcW w:w="685" w:type="dxa"/>
            <w:vMerge w:val="restart"/>
          </w:tcPr>
          <w:p w14:paraId="773D9B9C" w14:textId="79578468" w:rsidR="00CA396E" w:rsidRPr="00407458" w:rsidRDefault="00CA396E" w:rsidP="00CA396E">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CA396E" w:rsidRPr="00407458" w:rsidRDefault="00CA396E" w:rsidP="00CA396E">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CA396E" w:rsidRPr="00407458" w14:paraId="5D99E53D" w14:textId="77777777" w:rsidTr="511F09C8">
        <w:trPr>
          <w:trHeight w:val="300"/>
        </w:trPr>
        <w:tc>
          <w:tcPr>
            <w:tcW w:w="685" w:type="dxa"/>
            <w:vMerge/>
          </w:tcPr>
          <w:p w14:paraId="3BADB981" w14:textId="77777777" w:rsidR="00CA396E" w:rsidRPr="00407458" w:rsidRDefault="00CA396E" w:rsidP="00CA396E">
            <w:pPr>
              <w:spacing w:after="120"/>
              <w:rPr>
                <w:rFonts w:ascii="Times" w:hAnsi="Times" w:cs="Times"/>
                <w:b/>
                <w:bCs/>
              </w:rPr>
            </w:pPr>
          </w:p>
        </w:tc>
        <w:tc>
          <w:tcPr>
            <w:tcW w:w="9204" w:type="dxa"/>
            <w:gridSpan w:val="8"/>
            <w:vAlign w:val="center"/>
          </w:tcPr>
          <w:p w14:paraId="3CD09749" w14:textId="77777777" w:rsidR="00CA396E" w:rsidRPr="00407458" w:rsidRDefault="00CA396E" w:rsidP="00CA396E">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2948ADC1" w14:textId="77777777" w:rsidR="00CA396E" w:rsidRPr="00EC4BD0" w:rsidRDefault="00CA396E" w:rsidP="00CA396E">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43E7D9B" w:rsidR="00CA396E" w:rsidRPr="00407458" w:rsidRDefault="00CA396E" w:rsidP="00CA396E">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CA396E" w:rsidRPr="00407458" w14:paraId="1C84D9E8" w14:textId="77777777" w:rsidTr="511F09C8">
        <w:trPr>
          <w:trHeight w:val="300"/>
        </w:trPr>
        <w:tc>
          <w:tcPr>
            <w:tcW w:w="685" w:type="dxa"/>
          </w:tcPr>
          <w:p w14:paraId="063148D8" w14:textId="0D202570" w:rsidR="00CA396E" w:rsidRPr="00407458" w:rsidRDefault="00CA396E" w:rsidP="00CA396E">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CA396E" w:rsidRPr="00407458" w:rsidRDefault="00CA396E" w:rsidP="00CA396E">
            <w:pPr>
              <w:spacing w:after="120"/>
              <w:rPr>
                <w:rFonts w:ascii="Times" w:hAnsi="Times" w:cs="Times"/>
                <w:b/>
              </w:rPr>
            </w:pPr>
            <w:r w:rsidRPr="00407458">
              <w:rPr>
                <w:rFonts w:ascii="Times" w:hAnsi="Times" w:cs="Times"/>
                <w:b/>
              </w:rPr>
              <w:t>Kiti reikalavimai</w:t>
            </w:r>
          </w:p>
          <w:p w14:paraId="292E8C9C" w14:textId="4A25EAE3" w:rsidR="00CA396E" w:rsidRPr="00407458" w:rsidRDefault="00CA396E" w:rsidP="00CA396E">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A396E" w:rsidRPr="00407458" w14:paraId="60E98A04" w14:textId="77777777" w:rsidTr="511F09C8">
        <w:trPr>
          <w:trHeight w:val="300"/>
        </w:trPr>
        <w:tc>
          <w:tcPr>
            <w:tcW w:w="685" w:type="dxa"/>
            <w:vMerge w:val="restart"/>
          </w:tcPr>
          <w:p w14:paraId="54A8BDF6" w14:textId="7A744DC7" w:rsidR="00CA396E" w:rsidRPr="00407458" w:rsidRDefault="00CA396E" w:rsidP="00CA396E">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CA396E" w:rsidRPr="00407458" w:rsidRDefault="00CA396E" w:rsidP="00CA396E">
            <w:pPr>
              <w:spacing w:after="120"/>
              <w:rPr>
                <w:rFonts w:ascii="Times" w:hAnsi="Times" w:cs="Times"/>
                <w:b/>
              </w:rPr>
            </w:pPr>
            <w:r w:rsidRPr="00407458">
              <w:rPr>
                <w:rFonts w:ascii="Times" w:hAnsi="Times" w:cs="Times"/>
                <w:b/>
                <w:bCs/>
              </w:rPr>
              <w:t>Taikomi teisės aktai</w:t>
            </w:r>
          </w:p>
        </w:tc>
      </w:tr>
      <w:tr w:rsidR="00CA396E" w:rsidRPr="00407458" w14:paraId="36D7B687" w14:textId="77777777" w:rsidTr="511F09C8">
        <w:trPr>
          <w:trHeight w:val="300"/>
        </w:trPr>
        <w:tc>
          <w:tcPr>
            <w:tcW w:w="685" w:type="dxa"/>
            <w:vMerge/>
          </w:tcPr>
          <w:p w14:paraId="2C300264" w14:textId="77777777" w:rsidR="00CA396E" w:rsidRPr="00407458" w:rsidRDefault="00CA396E" w:rsidP="00CA396E">
            <w:pPr>
              <w:spacing w:after="120"/>
              <w:rPr>
                <w:rFonts w:ascii="Times" w:hAnsi="Times" w:cs="Times"/>
                <w:b/>
                <w:bCs/>
              </w:rPr>
            </w:pPr>
          </w:p>
        </w:tc>
        <w:tc>
          <w:tcPr>
            <w:tcW w:w="9204" w:type="dxa"/>
            <w:gridSpan w:val="8"/>
            <w:vAlign w:val="center"/>
          </w:tcPr>
          <w:p w14:paraId="711CAA93" w14:textId="230F7DDE" w:rsidR="00CA396E" w:rsidRPr="00407458" w:rsidRDefault="00CA396E" w:rsidP="00CA396E">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CA396E" w:rsidRPr="00407458" w:rsidRDefault="00CA396E" w:rsidP="00CA396E">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CA396E" w:rsidRPr="00407458" w:rsidRDefault="00CA396E" w:rsidP="00CA396E">
            <w:pPr>
              <w:rPr>
                <w:rFonts w:ascii="Times" w:hAnsi="Times" w:cs="Times"/>
                <w:highlight w:val="yellow"/>
              </w:rPr>
            </w:pPr>
          </w:p>
        </w:tc>
      </w:tr>
      <w:tr w:rsidR="00CA396E" w:rsidRPr="00407458" w14:paraId="63A93ECD" w14:textId="6D3EC35D" w:rsidTr="0096637F">
        <w:trPr>
          <w:trHeight w:val="300"/>
        </w:trPr>
        <w:tc>
          <w:tcPr>
            <w:tcW w:w="9889" w:type="dxa"/>
            <w:gridSpan w:val="9"/>
            <w:shd w:val="clear" w:color="auto" w:fill="D0CECE" w:themeFill="background2" w:themeFillShade="E6"/>
          </w:tcPr>
          <w:p w14:paraId="136CD2F2" w14:textId="651D694B" w:rsidR="00CA396E" w:rsidRPr="00407458" w:rsidRDefault="00CA396E" w:rsidP="00CA396E">
            <w:pPr>
              <w:rPr>
                <w:rFonts w:ascii="Times" w:hAnsi="Times" w:cs="Times"/>
              </w:rPr>
            </w:pPr>
            <w:r w:rsidRPr="00407458">
              <w:rPr>
                <w:rFonts w:ascii="Times" w:hAnsi="Times" w:cs="Times"/>
                <w:b/>
                <w:bCs/>
              </w:rPr>
              <w:t>3. INFORMACIJA APIE PARAIŠKOS FINANSUOTI JP PROJEKTĄ (TOLIAU – PARAIŠKA) TEIKIMĄ</w:t>
            </w:r>
          </w:p>
        </w:tc>
      </w:tr>
      <w:tr w:rsidR="00CA396E" w:rsidRPr="00407458" w14:paraId="5EFB9698" w14:textId="1FF1999C" w:rsidTr="008676FC">
        <w:trPr>
          <w:trHeight w:val="300"/>
        </w:trPr>
        <w:tc>
          <w:tcPr>
            <w:tcW w:w="685" w:type="dxa"/>
          </w:tcPr>
          <w:p w14:paraId="50DAD30D" w14:textId="62D868B7" w:rsidR="00CA396E" w:rsidRPr="00407458" w:rsidRDefault="00CA396E" w:rsidP="00CA396E">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CA396E" w:rsidRPr="00407458" w:rsidRDefault="00CA396E" w:rsidP="00CA396E">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02F41397" w:rsidR="00CA396E" w:rsidRPr="009E6EBF" w:rsidRDefault="00CA396E" w:rsidP="00CA396E">
            <w:pPr>
              <w:jc w:val="center"/>
              <w:rPr>
                <w:rFonts w:ascii="Times" w:hAnsi="Times" w:cs="Times"/>
              </w:rPr>
            </w:pPr>
            <w:r w:rsidRPr="009E6EBF">
              <w:rPr>
                <w:rFonts w:ascii="Times" w:hAnsi="Times" w:cs="Times"/>
                <w:i/>
                <w:iCs/>
              </w:rPr>
              <w:t>2023-10-1</w:t>
            </w:r>
            <w:r w:rsidRPr="009E6EBF">
              <w:rPr>
                <w:rFonts w:ascii="Times" w:hAnsi="Times" w:cs="Times"/>
                <w:i/>
                <w:iCs/>
                <w:lang w:val="en-US"/>
              </w:rPr>
              <w:t>9</w:t>
            </w:r>
            <w:r w:rsidRPr="009E6EBF">
              <w:rPr>
                <w:rFonts w:ascii="Times" w:hAnsi="Times" w:cs="Times"/>
                <w:i/>
                <w:iCs/>
              </w:rPr>
              <w:t xml:space="preserve"> 08:00</w:t>
            </w:r>
          </w:p>
        </w:tc>
        <w:tc>
          <w:tcPr>
            <w:tcW w:w="4016" w:type="dxa"/>
            <w:gridSpan w:val="2"/>
            <w:vAlign w:val="center"/>
          </w:tcPr>
          <w:p w14:paraId="775757E5" w14:textId="443A124C" w:rsidR="00CA396E" w:rsidRPr="00CA396E" w:rsidRDefault="00CA396E" w:rsidP="00CA396E">
            <w:pPr>
              <w:jc w:val="both"/>
              <w:rPr>
                <w:rFonts w:ascii="Times" w:hAnsi="Times" w:cs="Times"/>
                <w:i/>
                <w:iCs/>
                <w:color w:val="4472C4" w:themeColor="accent5"/>
              </w:rPr>
            </w:pPr>
            <w:r w:rsidRPr="00CA396E">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5.17.31 papunktyje nurodytam kelio ruožui nustatyta finansavimo suma arba kai dėl nepakankamo susidomėjimo kvietimu teikti paraiškas bei pateiktų JP projektų paraiškų kiekio kyla pagrįstų abejonių, kad bus nepanaudotos </w:t>
            </w:r>
            <w:r w:rsidRPr="00CA396E">
              <w:rPr>
                <w:rFonts w:ascii="Times" w:hAnsi="Times" w:cs="Times"/>
                <w:i/>
                <w:iCs/>
                <w:color w:val="4472C4" w:themeColor="accent5"/>
              </w:rPr>
              <w:lastRenderedPageBreak/>
              <w:t>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CA396E" w:rsidRPr="00407458" w14:paraId="26FEE762" w14:textId="77777777" w:rsidTr="511F09C8">
        <w:trPr>
          <w:trHeight w:val="300"/>
        </w:trPr>
        <w:tc>
          <w:tcPr>
            <w:tcW w:w="685" w:type="dxa"/>
            <w:vMerge w:val="restart"/>
          </w:tcPr>
          <w:p w14:paraId="2C50AD10" w14:textId="23361956" w:rsidR="00CA396E" w:rsidRPr="00407458" w:rsidRDefault="00CA396E" w:rsidP="00CA396E">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CA396E" w:rsidRPr="00407458" w:rsidRDefault="00CA396E" w:rsidP="00CA396E">
            <w:pPr>
              <w:spacing w:after="120"/>
              <w:rPr>
                <w:rFonts w:ascii="Times" w:hAnsi="Times" w:cs="Times"/>
                <w:b/>
                <w:bCs/>
              </w:rPr>
            </w:pPr>
            <w:r w:rsidRPr="00407458">
              <w:rPr>
                <w:rFonts w:ascii="Times" w:hAnsi="Times" w:cs="Times"/>
                <w:b/>
                <w:bCs/>
              </w:rPr>
              <w:t>Paraiškos rengimo ir teikimo tvarka</w:t>
            </w:r>
          </w:p>
        </w:tc>
      </w:tr>
      <w:tr w:rsidR="00CA396E" w:rsidRPr="00407458" w14:paraId="74164D9B" w14:textId="77777777" w:rsidTr="00F518A9">
        <w:trPr>
          <w:trHeight w:val="556"/>
        </w:trPr>
        <w:tc>
          <w:tcPr>
            <w:tcW w:w="685" w:type="dxa"/>
            <w:vMerge/>
          </w:tcPr>
          <w:p w14:paraId="1AA0F147" w14:textId="77777777" w:rsidR="00CA396E" w:rsidRPr="00407458" w:rsidRDefault="00CA396E" w:rsidP="00CA396E">
            <w:pPr>
              <w:spacing w:after="120"/>
              <w:rPr>
                <w:rFonts w:ascii="Times" w:hAnsi="Times" w:cs="Times"/>
                <w:b/>
                <w:bCs/>
              </w:rPr>
            </w:pPr>
          </w:p>
        </w:tc>
        <w:tc>
          <w:tcPr>
            <w:tcW w:w="9204" w:type="dxa"/>
            <w:gridSpan w:val="8"/>
          </w:tcPr>
          <w:p w14:paraId="704AAC4E" w14:textId="60D050D1" w:rsidR="00CA396E" w:rsidRPr="00407458" w:rsidRDefault="00CA396E" w:rsidP="00CA396E">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CA396E" w:rsidRPr="00407458" w:rsidRDefault="00CA396E" w:rsidP="00CA396E">
            <w:pPr>
              <w:rPr>
                <w:rFonts w:ascii="Times" w:hAnsi="Times" w:cs="Times"/>
              </w:rPr>
            </w:pPr>
          </w:p>
          <w:p w14:paraId="2B54ED09" w14:textId="0191EDB8" w:rsidR="00CA396E" w:rsidRPr="00407458" w:rsidRDefault="00CA396E" w:rsidP="00CA396E">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CA396E" w:rsidRPr="00407458" w14:paraId="3518D1E2" w14:textId="77777777" w:rsidTr="511F09C8">
        <w:trPr>
          <w:trHeight w:val="300"/>
        </w:trPr>
        <w:tc>
          <w:tcPr>
            <w:tcW w:w="685" w:type="dxa"/>
            <w:vMerge w:val="restart"/>
          </w:tcPr>
          <w:p w14:paraId="1BFF6B9A" w14:textId="3AFA34C7" w:rsidR="00CA396E" w:rsidRPr="00407458" w:rsidRDefault="00CA396E" w:rsidP="00CA396E">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CA396E" w:rsidRPr="00407458" w:rsidRDefault="00CA396E" w:rsidP="00CA396E">
            <w:pPr>
              <w:spacing w:after="120"/>
              <w:jc w:val="both"/>
              <w:rPr>
                <w:rFonts w:ascii="Times" w:hAnsi="Times" w:cs="Times"/>
                <w:b/>
                <w:bCs/>
              </w:rPr>
            </w:pPr>
            <w:r w:rsidRPr="00407458">
              <w:rPr>
                <w:rFonts w:ascii="Times" w:hAnsi="Times" w:cs="Times"/>
                <w:b/>
                <w:bCs/>
              </w:rPr>
              <w:t>Privalomi priedai</w:t>
            </w:r>
          </w:p>
        </w:tc>
      </w:tr>
      <w:tr w:rsidR="00CA396E" w:rsidRPr="00407458" w14:paraId="5DD794E7" w14:textId="77777777" w:rsidTr="511F09C8">
        <w:trPr>
          <w:trHeight w:val="300"/>
        </w:trPr>
        <w:tc>
          <w:tcPr>
            <w:tcW w:w="685" w:type="dxa"/>
            <w:vMerge/>
          </w:tcPr>
          <w:p w14:paraId="16ED844C" w14:textId="77777777" w:rsidR="00CA396E" w:rsidRPr="00407458" w:rsidRDefault="00CA396E" w:rsidP="00CA396E">
            <w:pPr>
              <w:spacing w:after="120"/>
              <w:rPr>
                <w:rFonts w:ascii="Times" w:hAnsi="Times" w:cs="Times"/>
                <w:b/>
                <w:bCs/>
              </w:rPr>
            </w:pPr>
          </w:p>
        </w:tc>
        <w:tc>
          <w:tcPr>
            <w:tcW w:w="9204" w:type="dxa"/>
            <w:gridSpan w:val="8"/>
          </w:tcPr>
          <w:p w14:paraId="7590C857" w14:textId="1584EC73" w:rsidR="00CA396E" w:rsidRPr="00407458" w:rsidRDefault="00CA396E" w:rsidP="00CA396E">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CA396E" w:rsidRPr="00407458" w:rsidRDefault="00CA396E" w:rsidP="00CA396E">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A396E" w:rsidRPr="00407458" w:rsidRDefault="00CA396E" w:rsidP="00CA396E">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A396E" w:rsidRPr="00407458" w:rsidRDefault="00CA396E" w:rsidP="00CA396E">
            <w:pPr>
              <w:pStyle w:val="ListParagraph"/>
              <w:numPr>
                <w:ilvl w:val="0"/>
                <w:numId w:val="15"/>
              </w:numPr>
              <w:tabs>
                <w:tab w:val="left" w:pos="756"/>
              </w:tabs>
              <w:ind w:left="47" w:firstLine="425"/>
              <w:jc w:val="both"/>
              <w:rPr>
                <w:rFonts w:ascii="Times" w:hAnsi="Times" w:cs="Times"/>
              </w:rPr>
            </w:pPr>
            <w:r w:rsidRPr="00407458">
              <w:rPr>
                <w:rFonts w:ascii="Times" w:hAnsi="Times" w:cs="Times"/>
              </w:rPr>
              <w:t xml:space="preserve">Patvirtinimas (kartu su paraiška sugeneruota deklaracija, kurią patvirtina pareiškėjas teikdamas paraišką), kad mokėjimo prašymą kompensuoti tinkamas projekto išlaidas teiks tik gavęs </w:t>
            </w:r>
            <w:r w:rsidRPr="00407458">
              <w:rPr>
                <w:rFonts w:ascii="Times" w:hAnsi="Times" w:cs="Times"/>
              </w:rPr>
              <w:lastRenderedPageBreak/>
              <w:t>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CA396E" w:rsidRPr="00407458" w14:paraId="6F1A503F" w14:textId="77777777" w:rsidTr="511F09C8">
        <w:trPr>
          <w:trHeight w:val="300"/>
        </w:trPr>
        <w:tc>
          <w:tcPr>
            <w:tcW w:w="685" w:type="dxa"/>
            <w:vMerge w:val="restart"/>
          </w:tcPr>
          <w:p w14:paraId="0177ABF0" w14:textId="62836706" w:rsidR="00CA396E" w:rsidRPr="00407458" w:rsidRDefault="00CA396E" w:rsidP="00CA396E">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CA396E" w:rsidRPr="00407458" w:rsidRDefault="00CA396E" w:rsidP="00CA396E">
            <w:pPr>
              <w:spacing w:after="120"/>
              <w:jc w:val="both"/>
              <w:rPr>
                <w:rFonts w:ascii="Times" w:hAnsi="Times" w:cs="Times"/>
                <w:b/>
                <w:bCs/>
              </w:rPr>
            </w:pPr>
            <w:r w:rsidRPr="00407458">
              <w:rPr>
                <w:rFonts w:ascii="Times" w:hAnsi="Times" w:cs="Times"/>
                <w:b/>
                <w:bCs/>
              </w:rPr>
              <w:t>Kontaktiniai duomenys konsultacijoms</w:t>
            </w:r>
          </w:p>
        </w:tc>
      </w:tr>
      <w:tr w:rsidR="00CA396E" w:rsidRPr="00407458" w14:paraId="19E16075" w14:textId="77777777" w:rsidTr="511F09C8">
        <w:trPr>
          <w:trHeight w:val="300"/>
        </w:trPr>
        <w:tc>
          <w:tcPr>
            <w:tcW w:w="685" w:type="dxa"/>
            <w:vMerge/>
          </w:tcPr>
          <w:p w14:paraId="35A8A117" w14:textId="77777777" w:rsidR="00CA396E" w:rsidRPr="00407458" w:rsidRDefault="00CA396E" w:rsidP="00CA396E">
            <w:pPr>
              <w:spacing w:after="120"/>
              <w:rPr>
                <w:rFonts w:ascii="Times" w:hAnsi="Times" w:cs="Times"/>
                <w:b/>
                <w:bCs/>
              </w:rPr>
            </w:pPr>
          </w:p>
        </w:tc>
        <w:tc>
          <w:tcPr>
            <w:tcW w:w="9204" w:type="dxa"/>
            <w:gridSpan w:val="8"/>
          </w:tcPr>
          <w:p w14:paraId="30204D89" w14:textId="77777777" w:rsidR="00CA396E" w:rsidRPr="00407458" w:rsidRDefault="00CA396E" w:rsidP="00CA396E">
            <w:pPr>
              <w:rPr>
                <w:rFonts w:ascii="Times" w:hAnsi="Times" w:cs="Times"/>
                <w:b/>
                <w:bCs/>
              </w:rPr>
            </w:pPr>
            <w:r w:rsidRPr="00407458">
              <w:rPr>
                <w:rFonts w:ascii="Times" w:hAnsi="Times" w:cs="Times"/>
                <w:b/>
                <w:bCs/>
              </w:rPr>
              <w:t>Informacija teikiama:</w:t>
            </w:r>
          </w:p>
          <w:p w14:paraId="624B42EE" w14:textId="359D0510" w:rsidR="00CA396E" w:rsidRPr="00407458" w:rsidRDefault="00CA396E" w:rsidP="00CA396E">
            <w:pPr>
              <w:rPr>
                <w:rFonts w:ascii="Times" w:hAnsi="Times" w:cs="Times"/>
              </w:rPr>
            </w:pPr>
            <w:r w:rsidRPr="00407458">
              <w:rPr>
                <w:rFonts w:ascii="Times" w:hAnsi="Times" w:cs="Times"/>
              </w:rPr>
              <w:t>pirmadieniais-ketvirtadieniais 8.00-17.00 val.;</w:t>
            </w:r>
          </w:p>
          <w:p w14:paraId="7C538D35" w14:textId="291D21CB" w:rsidR="00CA396E" w:rsidRPr="00407458" w:rsidRDefault="00CA396E" w:rsidP="00CA396E">
            <w:pPr>
              <w:rPr>
                <w:rFonts w:ascii="Times" w:hAnsi="Times" w:cs="Times"/>
              </w:rPr>
            </w:pPr>
            <w:r w:rsidRPr="00407458">
              <w:rPr>
                <w:rFonts w:ascii="Times" w:hAnsi="Times" w:cs="Times"/>
              </w:rPr>
              <w:t>penktadieniais 8.00-15.45 val.;</w:t>
            </w:r>
          </w:p>
          <w:p w14:paraId="6DDEBB24" w14:textId="153044A3" w:rsidR="00CA396E" w:rsidRPr="00407458" w:rsidRDefault="00CA396E" w:rsidP="00CA396E">
            <w:pPr>
              <w:rPr>
                <w:rFonts w:ascii="Times" w:hAnsi="Times" w:cs="Times"/>
              </w:rPr>
            </w:pPr>
            <w:r w:rsidRPr="00407458">
              <w:rPr>
                <w:rFonts w:ascii="Times" w:hAnsi="Times" w:cs="Times"/>
              </w:rPr>
              <w:t>pietų pertrauka 12.15-13.00 val.</w:t>
            </w:r>
          </w:p>
          <w:p w14:paraId="7CB6ADDF" w14:textId="77777777" w:rsidR="00CA396E" w:rsidRPr="00407458" w:rsidRDefault="00CA396E" w:rsidP="00CA396E">
            <w:pPr>
              <w:rPr>
                <w:rFonts w:ascii="Times" w:hAnsi="Times" w:cs="Times"/>
              </w:rPr>
            </w:pPr>
          </w:p>
          <w:p w14:paraId="3E092594" w14:textId="16872B07" w:rsidR="00CA396E" w:rsidRPr="00407458" w:rsidRDefault="00CA396E" w:rsidP="00CA396E">
            <w:pPr>
              <w:jc w:val="both"/>
              <w:rPr>
                <w:rFonts w:ascii="Times" w:hAnsi="Times" w:cs="Times"/>
              </w:rPr>
            </w:pPr>
            <w:r w:rsidRPr="00407458">
              <w:rPr>
                <w:rFonts w:ascii="Times" w:hAnsi="Times" w:cs="Times"/>
              </w:rPr>
              <w:t xml:space="preserve">Konsultacijos teikiamos: </w:t>
            </w:r>
          </w:p>
          <w:p w14:paraId="24DEF68E" w14:textId="77777777" w:rsidR="00CA396E" w:rsidRPr="00964713" w:rsidRDefault="00CA396E" w:rsidP="00CA396E">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18A5716B" w14:textId="77777777" w:rsidR="00CA396E" w:rsidRPr="00964713" w:rsidRDefault="00CA396E" w:rsidP="00CA396E">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1DFCC275" w14:textId="77777777" w:rsidR="00CA396E" w:rsidRPr="00964713" w:rsidRDefault="00CA396E" w:rsidP="00CA396E">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04BCB8E8" w:rsidR="00CA396E" w:rsidRPr="00407458" w:rsidRDefault="00CA396E" w:rsidP="00CA396E">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CA396E" w:rsidRPr="00407458" w14:paraId="2FE52512" w14:textId="77777777" w:rsidTr="511F09C8">
        <w:trPr>
          <w:trHeight w:val="300"/>
        </w:trPr>
        <w:tc>
          <w:tcPr>
            <w:tcW w:w="685" w:type="dxa"/>
            <w:vMerge w:val="restart"/>
          </w:tcPr>
          <w:p w14:paraId="6DE0AB82" w14:textId="6E5C6301" w:rsidR="00CA396E" w:rsidRPr="00407458" w:rsidRDefault="00CA396E" w:rsidP="00CA396E">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CA396E" w:rsidRPr="00407458" w:rsidRDefault="00CA396E" w:rsidP="00CA396E">
            <w:pPr>
              <w:spacing w:after="120"/>
              <w:rPr>
                <w:rFonts w:ascii="Times" w:hAnsi="Times" w:cs="Times"/>
                <w:b/>
                <w:bCs/>
              </w:rPr>
            </w:pPr>
            <w:r w:rsidRPr="00407458">
              <w:rPr>
                <w:rFonts w:ascii="Times" w:hAnsi="Times" w:cs="Times"/>
                <w:b/>
                <w:bCs/>
              </w:rPr>
              <w:t>Kita aktuali informacija</w:t>
            </w:r>
          </w:p>
        </w:tc>
      </w:tr>
      <w:tr w:rsidR="00CA396E" w:rsidRPr="00407458" w14:paraId="78F16F92" w14:textId="77777777" w:rsidTr="511F09C8">
        <w:trPr>
          <w:trHeight w:val="300"/>
        </w:trPr>
        <w:tc>
          <w:tcPr>
            <w:tcW w:w="685" w:type="dxa"/>
            <w:vMerge/>
          </w:tcPr>
          <w:p w14:paraId="20E0B96B" w14:textId="77777777" w:rsidR="00CA396E" w:rsidRPr="00407458" w:rsidRDefault="00CA396E" w:rsidP="00CA396E">
            <w:pPr>
              <w:spacing w:after="120"/>
              <w:rPr>
                <w:rFonts w:ascii="Times" w:hAnsi="Times" w:cs="Times"/>
                <w:b/>
                <w:bCs/>
              </w:rPr>
            </w:pPr>
          </w:p>
        </w:tc>
        <w:tc>
          <w:tcPr>
            <w:tcW w:w="9204" w:type="dxa"/>
            <w:gridSpan w:val="8"/>
          </w:tcPr>
          <w:p w14:paraId="4B3F5765" w14:textId="77777777" w:rsidR="00CA396E" w:rsidRPr="00407458" w:rsidRDefault="00CA396E" w:rsidP="00CA396E">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CA396E" w:rsidRPr="00407458" w:rsidRDefault="00CA396E" w:rsidP="00CA396E">
            <w:pPr>
              <w:tabs>
                <w:tab w:val="left" w:pos="47"/>
                <w:tab w:val="left" w:pos="472"/>
              </w:tabs>
              <w:ind w:firstLine="472"/>
              <w:rPr>
                <w:rFonts w:ascii="Times" w:hAnsi="Times" w:cs="Times"/>
                <w:i/>
                <w:iCs/>
              </w:rPr>
            </w:pPr>
          </w:p>
          <w:p w14:paraId="5A9EE59D" w14:textId="77777777" w:rsidR="00CA396E" w:rsidRPr="00407458" w:rsidRDefault="00CA396E" w:rsidP="00CA396E">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CA396E" w:rsidRPr="00407458" w:rsidRDefault="00CA396E" w:rsidP="00CA396E">
            <w:pPr>
              <w:tabs>
                <w:tab w:val="left" w:pos="47"/>
                <w:tab w:val="left" w:pos="472"/>
              </w:tabs>
              <w:ind w:firstLine="472"/>
              <w:jc w:val="lowKashida"/>
              <w:rPr>
                <w:rFonts w:ascii="Times" w:hAnsi="Times" w:cs="Times"/>
                <w:b/>
                <w:bCs/>
                <w:i/>
                <w:iCs/>
              </w:rPr>
            </w:pPr>
          </w:p>
          <w:p w14:paraId="31916C5B" w14:textId="0500EBE8" w:rsidR="00CA396E" w:rsidRPr="00407458" w:rsidRDefault="00CA396E" w:rsidP="00CA396E">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CA396E" w:rsidRPr="00407458" w:rsidRDefault="00CA396E" w:rsidP="00CA396E">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A396E" w:rsidRPr="00407458" w:rsidRDefault="00CA396E" w:rsidP="00CA396E">
            <w:pPr>
              <w:tabs>
                <w:tab w:val="left" w:pos="47"/>
                <w:tab w:val="left" w:pos="472"/>
              </w:tabs>
              <w:autoSpaceDE w:val="0"/>
              <w:autoSpaceDN w:val="0"/>
              <w:adjustRightInd w:val="0"/>
              <w:ind w:firstLine="472"/>
              <w:jc w:val="lowKashida"/>
              <w:rPr>
                <w:rFonts w:ascii="Times" w:hAnsi="Times" w:cs="Times"/>
              </w:rPr>
            </w:pPr>
          </w:p>
          <w:p w14:paraId="2BF1A6A6" w14:textId="722B3014" w:rsidR="00CA396E" w:rsidRPr="00407458" w:rsidRDefault="00CA396E" w:rsidP="00CA396E">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CA396E" w:rsidRPr="00407458" w:rsidRDefault="00CA396E" w:rsidP="00CA396E">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CA396E" w:rsidRPr="00407458" w:rsidRDefault="00CA396E" w:rsidP="00CA396E">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CA396E" w:rsidRPr="00407458" w:rsidRDefault="00CA396E" w:rsidP="00CA396E">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CA396E" w:rsidRPr="00407458" w:rsidRDefault="00CA396E" w:rsidP="00CA396E">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A396E" w:rsidRPr="00407458" w:rsidRDefault="00CA396E" w:rsidP="00CA396E">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CA396E" w:rsidRPr="00407458" w:rsidRDefault="00CA396E" w:rsidP="00CA396E">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A396E" w:rsidRPr="00407458" w:rsidRDefault="00CA396E" w:rsidP="00CA396E">
            <w:pPr>
              <w:tabs>
                <w:tab w:val="left" w:pos="47"/>
                <w:tab w:val="left" w:pos="472"/>
              </w:tabs>
              <w:ind w:firstLine="472"/>
              <w:jc w:val="lowKashida"/>
              <w:rPr>
                <w:rFonts w:ascii="Times" w:hAnsi="Times" w:cs="Times"/>
                <w:b/>
                <w:bCs/>
              </w:rPr>
            </w:pPr>
          </w:p>
        </w:tc>
      </w:tr>
      <w:tr w:rsidR="00CA396E" w:rsidRPr="00407458" w14:paraId="324CB96A" w14:textId="77777777" w:rsidTr="511F09C8">
        <w:trPr>
          <w:trHeight w:val="300"/>
        </w:trPr>
        <w:tc>
          <w:tcPr>
            <w:tcW w:w="685" w:type="dxa"/>
            <w:vMerge w:val="restart"/>
          </w:tcPr>
          <w:p w14:paraId="2C98B5F8" w14:textId="723880DF" w:rsidR="00CA396E" w:rsidRPr="00407458" w:rsidRDefault="00CA396E" w:rsidP="00CA396E">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CA396E" w:rsidRPr="00407458" w:rsidRDefault="00CA396E" w:rsidP="00CA396E">
            <w:pPr>
              <w:spacing w:after="120"/>
              <w:rPr>
                <w:rFonts w:ascii="Times" w:hAnsi="Times" w:cs="Times"/>
                <w:b/>
                <w:bCs/>
              </w:rPr>
            </w:pPr>
            <w:r w:rsidRPr="00407458">
              <w:rPr>
                <w:rFonts w:ascii="Times" w:hAnsi="Times" w:cs="Times"/>
                <w:b/>
                <w:bCs/>
              </w:rPr>
              <w:t>Priedai</w:t>
            </w:r>
          </w:p>
        </w:tc>
      </w:tr>
      <w:tr w:rsidR="00CA396E" w:rsidRPr="00407458" w14:paraId="7652CEBA" w14:textId="77777777" w:rsidTr="511F09C8">
        <w:trPr>
          <w:trHeight w:val="300"/>
        </w:trPr>
        <w:tc>
          <w:tcPr>
            <w:tcW w:w="685" w:type="dxa"/>
            <w:vMerge/>
          </w:tcPr>
          <w:p w14:paraId="3C9CA5D0" w14:textId="0EC55A20" w:rsidR="00CA396E" w:rsidRPr="00407458" w:rsidRDefault="00CA396E" w:rsidP="00CA396E">
            <w:pPr>
              <w:spacing w:after="120"/>
              <w:rPr>
                <w:rFonts w:ascii="Times" w:hAnsi="Times" w:cs="Times"/>
                <w:b/>
                <w:bCs/>
              </w:rPr>
            </w:pPr>
          </w:p>
        </w:tc>
        <w:tc>
          <w:tcPr>
            <w:tcW w:w="9204" w:type="dxa"/>
            <w:gridSpan w:val="8"/>
          </w:tcPr>
          <w:p w14:paraId="1040B539" w14:textId="56596FF4" w:rsidR="00CA396E" w:rsidRPr="00407458" w:rsidRDefault="00CA396E" w:rsidP="00CA396E">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lastRenderedPageBreak/>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41A5" w14:textId="77777777" w:rsidR="00862013" w:rsidRDefault="00862013" w:rsidP="00DE54AD">
      <w:r>
        <w:separator/>
      </w:r>
    </w:p>
  </w:endnote>
  <w:endnote w:type="continuationSeparator" w:id="0">
    <w:p w14:paraId="2AEA3A54" w14:textId="77777777" w:rsidR="00862013" w:rsidRDefault="00862013" w:rsidP="00DE54AD">
      <w:r>
        <w:continuationSeparator/>
      </w:r>
    </w:p>
  </w:endnote>
  <w:endnote w:type="continuationNotice" w:id="1">
    <w:p w14:paraId="1EA06F82" w14:textId="77777777" w:rsidR="00862013" w:rsidRDefault="00862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8DFF" w14:textId="77777777" w:rsidR="00862013" w:rsidRDefault="00862013" w:rsidP="00DE54AD">
      <w:r>
        <w:separator/>
      </w:r>
    </w:p>
  </w:footnote>
  <w:footnote w:type="continuationSeparator" w:id="0">
    <w:p w14:paraId="08BC229E" w14:textId="77777777" w:rsidR="00862013" w:rsidRDefault="00862013" w:rsidP="00DE54AD">
      <w:r>
        <w:continuationSeparator/>
      </w:r>
    </w:p>
  </w:footnote>
  <w:footnote w:type="continuationNotice" w:id="1">
    <w:p w14:paraId="7C70354D" w14:textId="77777777" w:rsidR="00862013" w:rsidRDefault="00862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1807F8"/>
    <w:multiLevelType w:val="multilevel"/>
    <w:tmpl w:val="D7569F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9D3CB1"/>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9"/>
  </w:num>
  <w:num w:numId="3" w16cid:durableId="728191877">
    <w:abstractNumId w:val="21"/>
  </w:num>
  <w:num w:numId="4" w16cid:durableId="650402837">
    <w:abstractNumId w:val="27"/>
  </w:num>
  <w:num w:numId="5" w16cid:durableId="2130926758">
    <w:abstractNumId w:val="9"/>
  </w:num>
  <w:num w:numId="6" w16cid:durableId="701520823">
    <w:abstractNumId w:val="32"/>
  </w:num>
  <w:num w:numId="7" w16cid:durableId="620459178">
    <w:abstractNumId w:val="26"/>
  </w:num>
  <w:num w:numId="8" w16cid:durableId="1174950864">
    <w:abstractNumId w:val="18"/>
  </w:num>
  <w:num w:numId="9" w16cid:durableId="822701264">
    <w:abstractNumId w:val="40"/>
  </w:num>
  <w:num w:numId="10" w16cid:durableId="512839443">
    <w:abstractNumId w:val="10"/>
  </w:num>
  <w:num w:numId="11" w16cid:durableId="1027170962">
    <w:abstractNumId w:val="2"/>
  </w:num>
  <w:num w:numId="12" w16cid:durableId="1295912029">
    <w:abstractNumId w:val="39"/>
  </w:num>
  <w:num w:numId="13" w16cid:durableId="1058942136">
    <w:abstractNumId w:val="35"/>
  </w:num>
  <w:num w:numId="14" w16cid:durableId="1125925281">
    <w:abstractNumId w:val="12"/>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19"/>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4"/>
  </w:num>
  <w:num w:numId="28" w16cid:durableId="99299063">
    <w:abstractNumId w:val="41"/>
  </w:num>
  <w:num w:numId="29" w16cid:durableId="1975796050">
    <w:abstractNumId w:val="6"/>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3"/>
  </w:num>
  <w:num w:numId="43" w16cid:durableId="388842875">
    <w:abstractNumId w:val="24"/>
  </w:num>
  <w:num w:numId="44" w16cid:durableId="1808737219">
    <w:abstractNumId w:val="20"/>
  </w:num>
  <w:num w:numId="45" w16cid:durableId="1696269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B68F9"/>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12415"/>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2013"/>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E6EBF"/>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96E"/>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34372</Words>
  <Characters>19593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2023-10-13T08:12:00Z</dcterms:created>
  <dc:creator>Zita Markevičienė</dc:creator>
  <cp:lastModifiedBy>Justė Korotkich</cp:lastModifiedBy>
  <dcterms:modified xsi:type="dcterms:W3CDTF">2025-02-13T07:54:00Z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