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A1262" w14:textId="77777777" w:rsidR="005464C1" w:rsidRDefault="005464C1">
      <w:pPr>
        <w:tabs>
          <w:tab w:val="center" w:pos="4986"/>
          <w:tab w:val="right" w:pos="9972"/>
        </w:tabs>
      </w:pPr>
    </w:p>
    <w:p w14:paraId="49900DF8" w14:textId="77777777" w:rsidR="005464C1" w:rsidRDefault="00C3222F">
      <w:pPr>
        <w:tabs>
          <w:tab w:val="left" w:pos="9214"/>
        </w:tabs>
        <w:ind w:left="2592" w:right="425" w:firstLine="5946"/>
        <w:jc w:val="right"/>
        <w:textAlignment w:val="baseline"/>
        <w:rPr>
          <w:rFonts w:ascii="Segoe UI" w:hAnsi="Segoe UI" w:cs="Segoe UI"/>
          <w:b/>
          <w:bCs/>
          <w:sz w:val="18"/>
          <w:szCs w:val="18"/>
          <w:lang w:eastAsia="lt-LT"/>
        </w:rPr>
      </w:pPr>
      <w:r>
        <w:rPr>
          <w:b/>
          <w:bCs/>
          <w:szCs w:val="24"/>
          <w:lang w:eastAsia="lt-LT"/>
        </w:rPr>
        <w:t>Projektas</w:t>
      </w:r>
    </w:p>
    <w:p w14:paraId="3674D12A" w14:textId="77777777" w:rsidR="005464C1" w:rsidRDefault="005464C1">
      <w:pPr>
        <w:tabs>
          <w:tab w:val="center" w:pos="4153"/>
          <w:tab w:val="right" w:pos="8306"/>
        </w:tabs>
        <w:jc w:val="center"/>
        <w:rPr>
          <w:szCs w:val="24"/>
        </w:rPr>
      </w:pPr>
    </w:p>
    <w:p w14:paraId="3A890B94" w14:textId="77777777" w:rsidR="005464C1" w:rsidRDefault="005464C1">
      <w:pPr>
        <w:tabs>
          <w:tab w:val="center" w:pos="4153"/>
          <w:tab w:val="right" w:pos="8306"/>
        </w:tabs>
        <w:jc w:val="center"/>
        <w:rPr>
          <w:b/>
          <w:bCs/>
          <w:szCs w:val="24"/>
        </w:rPr>
      </w:pPr>
    </w:p>
    <w:p w14:paraId="368E0602" w14:textId="77777777" w:rsidR="005464C1" w:rsidRDefault="005464C1">
      <w:pPr>
        <w:tabs>
          <w:tab w:val="center" w:pos="4153"/>
          <w:tab w:val="right" w:pos="8306"/>
        </w:tabs>
        <w:jc w:val="center"/>
        <w:rPr>
          <w:b/>
          <w:bCs/>
          <w:szCs w:val="24"/>
        </w:rPr>
      </w:pPr>
    </w:p>
    <w:p w14:paraId="01893B05" w14:textId="77777777" w:rsidR="005464C1" w:rsidRDefault="00C3222F">
      <w:pPr>
        <w:tabs>
          <w:tab w:val="center" w:pos="4153"/>
          <w:tab w:val="right" w:pos="8306"/>
        </w:tabs>
        <w:jc w:val="center"/>
        <w:rPr>
          <w:b/>
          <w:bCs/>
          <w:szCs w:val="24"/>
        </w:rPr>
      </w:pPr>
      <w:r>
        <w:rPr>
          <w:b/>
          <w:bCs/>
          <w:szCs w:val="24"/>
        </w:rPr>
        <w:t>LIETUVOS RESPUBLIKOS SVEIKATOS APSAUGOS MINISTRAS</w:t>
      </w:r>
    </w:p>
    <w:p w14:paraId="08A9DC74" w14:textId="77777777" w:rsidR="005464C1" w:rsidRDefault="005464C1">
      <w:pPr>
        <w:tabs>
          <w:tab w:val="center" w:pos="4153"/>
          <w:tab w:val="right" w:pos="8306"/>
        </w:tabs>
        <w:jc w:val="center"/>
        <w:rPr>
          <w:b/>
          <w:bCs/>
          <w:szCs w:val="24"/>
        </w:rPr>
      </w:pPr>
    </w:p>
    <w:p w14:paraId="777AF301" w14:textId="77777777" w:rsidR="005464C1" w:rsidRDefault="00C3222F">
      <w:pPr>
        <w:tabs>
          <w:tab w:val="center" w:pos="4153"/>
          <w:tab w:val="right" w:pos="8306"/>
        </w:tabs>
        <w:jc w:val="center"/>
        <w:rPr>
          <w:b/>
          <w:bCs/>
          <w:szCs w:val="24"/>
        </w:rPr>
      </w:pPr>
      <w:r>
        <w:rPr>
          <w:b/>
          <w:bCs/>
          <w:szCs w:val="24"/>
        </w:rPr>
        <w:t>ĮSAKYMAS</w:t>
      </w:r>
    </w:p>
    <w:p w14:paraId="42C960CA" w14:textId="77777777" w:rsidR="005464C1" w:rsidRDefault="00C3222F">
      <w:pPr>
        <w:jc w:val="center"/>
        <w:rPr>
          <w:b/>
          <w:bCs/>
          <w:szCs w:val="24"/>
        </w:rPr>
      </w:pPr>
      <w:r>
        <w:rPr>
          <w:b/>
          <w:bCs/>
          <w:szCs w:val="24"/>
        </w:rPr>
        <w:t>DĖL</w:t>
      </w:r>
      <w:r>
        <w:rPr>
          <w:b/>
          <w:bCs/>
          <w:color w:val="000000"/>
          <w:szCs w:val="24"/>
        </w:rPr>
        <w:t xml:space="preserve"> </w:t>
      </w:r>
      <w:r>
        <w:rPr>
          <w:b/>
          <w:caps/>
          <w:szCs w:val="24"/>
        </w:rPr>
        <w:t>LIETUVOS RESPUBLIKOS SVEIKATOS APSAUGOS MINISTRO 2022 M. GEGUŽĖS 20 D. ĮSAKYMO NR. V-988  „</w:t>
      </w:r>
      <w:r>
        <w:rPr>
          <w:b/>
          <w:bCs/>
          <w:szCs w:val="24"/>
        </w:rPr>
        <w:t xml:space="preserve">DĖL </w:t>
      </w:r>
      <w:r>
        <w:rPr>
          <w:b/>
          <w:bCs/>
          <w:caps/>
          <w:color w:val="000000"/>
          <w:szCs w:val="24"/>
          <w:lang w:eastAsia="lt-LT"/>
        </w:rPr>
        <w:t xml:space="preserve">2022–2030 METŲ PLĖTROS PROGRAMOS VALDYTOJOS LIETUVOS RESPUBLIKOS SVEIKATOS APSAUGOS MINISTERIJOS SVEIKATOS PRIEŽIŪROS KOKYBĖS IR EFEKTYVUMO </w:t>
      </w:r>
      <w:r>
        <w:rPr>
          <w:b/>
          <w:bCs/>
          <w:caps/>
          <w:szCs w:val="24"/>
          <w:lang w:eastAsia="lt-LT"/>
        </w:rPr>
        <w:t>DIDINIMO PLĖTROS PROGRAMOS PAŽANGOS PRIEMONĖS NR. 11-002-02-11-01 „GERINTI SVEIKATOS PRIEŽIŪROS PASLAUGŲ KOKYBĘ IR PRIEINAMUMĄ“ APRAŠO patvirtinimo</w:t>
      </w:r>
      <w:r>
        <w:rPr>
          <w:b/>
          <w:bCs/>
          <w:color w:val="000000"/>
          <w:szCs w:val="24"/>
        </w:rPr>
        <w:t xml:space="preserve">“ </w:t>
      </w:r>
      <w:r>
        <w:rPr>
          <w:b/>
          <w:bCs/>
          <w:caps/>
          <w:szCs w:val="24"/>
          <w:lang w:eastAsia="lt-LT"/>
        </w:rPr>
        <w:t>PAKEITIMO</w:t>
      </w:r>
    </w:p>
    <w:p w14:paraId="42930B83" w14:textId="77777777" w:rsidR="005464C1" w:rsidRDefault="005464C1">
      <w:pPr>
        <w:jc w:val="center"/>
        <w:rPr>
          <w:szCs w:val="24"/>
        </w:rPr>
      </w:pPr>
    </w:p>
    <w:p w14:paraId="1E2D6A2C" w14:textId="77777777" w:rsidR="005464C1" w:rsidRDefault="005464C1">
      <w:pPr>
        <w:jc w:val="center"/>
        <w:rPr>
          <w:szCs w:val="24"/>
        </w:rPr>
      </w:pPr>
    </w:p>
    <w:p w14:paraId="4F4EDBB2" w14:textId="77777777" w:rsidR="005464C1" w:rsidRDefault="00C3222F">
      <w:pPr>
        <w:jc w:val="center"/>
        <w:rPr>
          <w:szCs w:val="24"/>
        </w:rPr>
      </w:pPr>
      <w:r>
        <w:rPr>
          <w:szCs w:val="24"/>
        </w:rPr>
        <w:t>2025 m.                 d. Nr. V-</w:t>
      </w:r>
    </w:p>
    <w:p w14:paraId="1F4F20F8" w14:textId="77777777" w:rsidR="005464C1" w:rsidRDefault="00C3222F">
      <w:pPr>
        <w:jc w:val="center"/>
        <w:rPr>
          <w:szCs w:val="24"/>
        </w:rPr>
      </w:pPr>
      <w:r>
        <w:rPr>
          <w:szCs w:val="24"/>
        </w:rPr>
        <w:t>Vilnius</w:t>
      </w:r>
    </w:p>
    <w:p w14:paraId="39B093C0" w14:textId="77777777" w:rsidR="005464C1" w:rsidRDefault="005464C1">
      <w:pPr>
        <w:jc w:val="center"/>
        <w:rPr>
          <w:szCs w:val="24"/>
        </w:rPr>
      </w:pPr>
    </w:p>
    <w:p w14:paraId="4620F56E" w14:textId="77777777" w:rsidR="005464C1" w:rsidRDefault="005464C1">
      <w:pPr>
        <w:ind w:firstLine="62"/>
        <w:jc w:val="center"/>
        <w:rPr>
          <w:szCs w:val="24"/>
        </w:rPr>
      </w:pPr>
    </w:p>
    <w:p w14:paraId="79745E24" w14:textId="77777777" w:rsidR="005464C1" w:rsidRDefault="00C3222F">
      <w:pPr>
        <w:ind w:firstLine="851"/>
        <w:jc w:val="both"/>
        <w:rPr>
          <w:color w:val="000000"/>
          <w:szCs w:val="24"/>
        </w:rPr>
      </w:pPr>
      <w:r>
        <w:rPr>
          <w:color w:val="000000"/>
          <w:szCs w:val="24"/>
        </w:rPr>
        <w:t xml:space="preserve">P a k e i č i u 2022–2030 metų plėtros programos valdytojos </w:t>
      </w:r>
      <w:r>
        <w:rPr>
          <w:color w:val="000000"/>
          <w:szCs w:val="24"/>
        </w:rPr>
        <w:t>Lietuvos Respublikos sveikatos apsaugos ministerijos sveikatos priežiūros kokybės ir efektyvumo didinimo plėtros programos pažangos priemonės Nr. 11</w:t>
      </w:r>
      <w:r>
        <w:rPr>
          <w:caps/>
          <w:color w:val="000000"/>
          <w:szCs w:val="24"/>
        </w:rPr>
        <w:t xml:space="preserve">-002-02-11-01 </w:t>
      </w:r>
      <w:r>
        <w:rPr>
          <w:color w:val="000000"/>
          <w:szCs w:val="24"/>
        </w:rPr>
        <w:t>„Gerinti sveikatos priežiūros paslaugų kokybę ir prieinamumą“ aprašą, patvirtintą Lietuvos Respublikos sveikatos apsaugos ministro 2022 m. gegužės 20 d. įsakymu Nr. V-988 „Dėl 2022–2030 metų plėtros programos valdytojos Lietuvos Respublikos sveikatos apsaugos ministerijos sveikatos priežiūros kokybės ir efektyvumo didinimo plėtros programos pažango</w:t>
      </w:r>
      <w:r>
        <w:rPr>
          <w:color w:val="000000"/>
          <w:szCs w:val="24"/>
        </w:rPr>
        <w:t>s priemonės Nr. 11</w:t>
      </w:r>
      <w:r>
        <w:rPr>
          <w:caps/>
          <w:color w:val="000000"/>
          <w:szCs w:val="24"/>
        </w:rPr>
        <w:t xml:space="preserve">-002-02-11-01 </w:t>
      </w:r>
      <w:r>
        <w:rPr>
          <w:color w:val="000000"/>
          <w:szCs w:val="24"/>
        </w:rPr>
        <w:t>„Gerinti sveikatos priežiūros paslaugų kokybę ir prieinamumą“ aprašo patvirtinimo“:</w:t>
      </w:r>
    </w:p>
    <w:p w14:paraId="004C7B7A" w14:textId="77777777" w:rsidR="005464C1" w:rsidRDefault="00C3222F">
      <w:pPr>
        <w:ind w:left="1080" w:hanging="360"/>
        <w:jc w:val="both"/>
        <w:rPr>
          <w:color w:val="000000"/>
          <w:szCs w:val="24"/>
        </w:rPr>
      </w:pPr>
      <w:r>
        <w:rPr>
          <w:color w:val="000000"/>
          <w:szCs w:val="24"/>
        </w:rPr>
        <w:t>1.</w:t>
      </w:r>
      <w:r>
        <w:rPr>
          <w:color w:val="000000"/>
          <w:szCs w:val="24"/>
        </w:rPr>
        <w:tab/>
        <w:t xml:space="preserve">Pakeičiu III skyriaus lentelės 7.5 papunktį ir jį išdėstau taip: </w:t>
      </w:r>
    </w:p>
    <w:tbl>
      <w:tblPr>
        <w:tblW w:w="148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5"/>
        <w:gridCol w:w="479"/>
        <w:gridCol w:w="1027"/>
        <w:gridCol w:w="754"/>
        <w:gridCol w:w="860"/>
        <w:gridCol w:w="441"/>
        <w:gridCol w:w="1175"/>
        <w:gridCol w:w="1027"/>
        <w:gridCol w:w="3527"/>
        <w:gridCol w:w="1175"/>
        <w:gridCol w:w="1027"/>
        <w:gridCol w:w="1175"/>
      </w:tblGrid>
      <w:tr w:rsidR="005464C1" w14:paraId="18ADABFC" w14:textId="77777777">
        <w:trPr>
          <w:trHeight w:val="1135"/>
        </w:trPr>
        <w:tc>
          <w:tcPr>
            <w:tcW w:w="2165" w:type="dxa"/>
            <w:vMerge w:val="restart"/>
            <w:tcBorders>
              <w:top w:val="single" w:sz="4" w:space="0" w:color="auto"/>
              <w:left w:val="single" w:sz="4" w:space="0" w:color="auto"/>
              <w:right w:val="single" w:sz="4" w:space="0" w:color="auto"/>
            </w:tcBorders>
          </w:tcPr>
          <w:p w14:paraId="1129961E" w14:textId="77777777" w:rsidR="005464C1" w:rsidRDefault="00C3222F">
            <w:pPr>
              <w:rPr>
                <w:iCs/>
                <w:color w:val="000000"/>
                <w:sz w:val="20"/>
              </w:rPr>
            </w:pPr>
            <w:r>
              <w:rPr>
                <w:sz w:val="20"/>
              </w:rPr>
              <w:t>„7.5. Integruotų psichikos sveikatos paslaugų bei modelių išbandymas ir diegimas, Vidurio ir vakarų Lietuvos regionas</w:t>
            </w:r>
          </w:p>
        </w:tc>
        <w:tc>
          <w:tcPr>
            <w:tcW w:w="479" w:type="dxa"/>
            <w:vMerge w:val="restart"/>
            <w:tcBorders>
              <w:top w:val="single" w:sz="4" w:space="0" w:color="auto"/>
              <w:left w:val="single" w:sz="4" w:space="0" w:color="auto"/>
              <w:right w:val="single" w:sz="4" w:space="0" w:color="auto"/>
            </w:tcBorders>
          </w:tcPr>
          <w:p w14:paraId="0370C97B" w14:textId="77777777" w:rsidR="005464C1" w:rsidRDefault="00C3222F">
            <w:pPr>
              <w:rPr>
                <w:color w:val="000000"/>
                <w:sz w:val="20"/>
              </w:rPr>
            </w:pPr>
            <w:r>
              <w:rPr>
                <w:color w:val="000000"/>
                <w:sz w:val="20"/>
              </w:rPr>
              <w:t>I</w:t>
            </w:r>
          </w:p>
        </w:tc>
        <w:tc>
          <w:tcPr>
            <w:tcW w:w="1027" w:type="dxa"/>
            <w:vMerge w:val="restart"/>
            <w:tcBorders>
              <w:top w:val="single" w:sz="4" w:space="0" w:color="auto"/>
              <w:left w:val="single" w:sz="4" w:space="0" w:color="auto"/>
              <w:right w:val="single" w:sz="4" w:space="0" w:color="auto"/>
            </w:tcBorders>
          </w:tcPr>
          <w:p w14:paraId="18EE2798" w14:textId="77777777" w:rsidR="005464C1" w:rsidRDefault="00C3222F">
            <w:pPr>
              <w:rPr>
                <w:strike/>
                <w:color w:val="000000"/>
                <w:sz w:val="20"/>
              </w:rPr>
            </w:pPr>
            <w:r>
              <w:rPr>
                <w:sz w:val="20"/>
              </w:rPr>
              <w:t>LMB</w:t>
            </w:r>
          </w:p>
        </w:tc>
        <w:tc>
          <w:tcPr>
            <w:tcW w:w="754" w:type="dxa"/>
            <w:vMerge w:val="restart"/>
            <w:tcBorders>
              <w:top w:val="single" w:sz="4" w:space="0" w:color="auto"/>
              <w:left w:val="single" w:sz="4" w:space="0" w:color="auto"/>
              <w:right w:val="single" w:sz="4" w:space="0" w:color="auto"/>
            </w:tcBorders>
          </w:tcPr>
          <w:p w14:paraId="0371A8D4" w14:textId="77777777" w:rsidR="005464C1" w:rsidRDefault="00C3222F">
            <w:pPr>
              <w:rPr>
                <w:color w:val="000000"/>
                <w:sz w:val="20"/>
              </w:rPr>
            </w:pPr>
            <w:r>
              <w:rPr>
                <w:color w:val="000000"/>
                <w:sz w:val="20"/>
              </w:rPr>
              <w:t>P</w:t>
            </w:r>
          </w:p>
        </w:tc>
        <w:tc>
          <w:tcPr>
            <w:tcW w:w="860" w:type="dxa"/>
            <w:vMerge w:val="restart"/>
            <w:tcBorders>
              <w:top w:val="single" w:sz="4" w:space="0" w:color="auto"/>
              <w:left w:val="single" w:sz="4" w:space="0" w:color="auto"/>
              <w:right w:val="single" w:sz="4" w:space="0" w:color="auto"/>
            </w:tcBorders>
          </w:tcPr>
          <w:p w14:paraId="3A6671F0" w14:textId="77777777" w:rsidR="005464C1" w:rsidRDefault="00C3222F">
            <w:pPr>
              <w:rPr>
                <w:color w:val="000000"/>
                <w:sz w:val="20"/>
              </w:rPr>
            </w:pPr>
            <w:r>
              <w:rPr>
                <w:color w:val="000000"/>
                <w:sz w:val="20"/>
              </w:rPr>
              <w:t>Taip</w:t>
            </w:r>
          </w:p>
        </w:tc>
        <w:tc>
          <w:tcPr>
            <w:tcW w:w="441" w:type="dxa"/>
            <w:vMerge w:val="restart"/>
            <w:tcBorders>
              <w:top w:val="single" w:sz="4" w:space="0" w:color="auto"/>
              <w:left w:val="single" w:sz="4" w:space="0" w:color="auto"/>
              <w:right w:val="single" w:sz="4" w:space="0" w:color="auto"/>
            </w:tcBorders>
          </w:tcPr>
          <w:p w14:paraId="072DD492" w14:textId="77777777" w:rsidR="005464C1" w:rsidRDefault="00C3222F">
            <w:pPr>
              <w:rPr>
                <w:color w:val="000000"/>
                <w:sz w:val="20"/>
              </w:rPr>
            </w:pPr>
            <w:r>
              <w:rPr>
                <w:color w:val="000000"/>
                <w:sz w:val="20"/>
              </w:rPr>
              <w:t>D</w:t>
            </w:r>
          </w:p>
        </w:tc>
        <w:tc>
          <w:tcPr>
            <w:tcW w:w="1175" w:type="dxa"/>
            <w:tcBorders>
              <w:top w:val="single" w:sz="4" w:space="0" w:color="auto"/>
              <w:left w:val="single" w:sz="4" w:space="0" w:color="auto"/>
              <w:bottom w:val="single" w:sz="4" w:space="0" w:color="auto"/>
              <w:right w:val="single" w:sz="4" w:space="0" w:color="auto"/>
            </w:tcBorders>
          </w:tcPr>
          <w:p w14:paraId="04409C91" w14:textId="77777777" w:rsidR="005464C1" w:rsidRDefault="005464C1">
            <w:pPr>
              <w:rPr>
                <w:b/>
                <w:bCs/>
                <w:color w:val="000000"/>
                <w:sz w:val="20"/>
              </w:rPr>
            </w:pPr>
          </w:p>
          <w:p w14:paraId="3DC30AA4" w14:textId="77777777" w:rsidR="005464C1" w:rsidRDefault="00C3222F">
            <w:pPr>
              <w:rPr>
                <w:strike/>
                <w:color w:val="FF0000"/>
                <w:sz w:val="20"/>
              </w:rPr>
            </w:pPr>
            <w:r>
              <w:rPr>
                <w:color w:val="000000"/>
                <w:sz w:val="20"/>
              </w:rPr>
              <w:t>3 544,845</w:t>
            </w:r>
          </w:p>
        </w:tc>
        <w:tc>
          <w:tcPr>
            <w:tcW w:w="1027" w:type="dxa"/>
            <w:tcBorders>
              <w:top w:val="single" w:sz="4" w:space="0" w:color="auto"/>
              <w:left w:val="single" w:sz="4" w:space="0" w:color="auto"/>
              <w:bottom w:val="single" w:sz="4" w:space="0" w:color="auto"/>
              <w:right w:val="single" w:sz="4" w:space="0" w:color="auto"/>
            </w:tcBorders>
          </w:tcPr>
          <w:p w14:paraId="7E7C169B" w14:textId="77777777" w:rsidR="005464C1" w:rsidRDefault="00C3222F">
            <w:pPr>
              <w:rPr>
                <w:color w:val="000000"/>
                <w:sz w:val="20"/>
              </w:rPr>
            </w:pPr>
            <w:r>
              <w:rPr>
                <w:color w:val="000000"/>
                <w:sz w:val="20"/>
              </w:rPr>
              <w:t>2021–2027 m. IP (ESF+)</w:t>
            </w:r>
          </w:p>
          <w:p w14:paraId="797C4120" w14:textId="77777777" w:rsidR="005464C1" w:rsidRDefault="005464C1">
            <w:pPr>
              <w:rPr>
                <w:color w:val="000000"/>
                <w:sz w:val="20"/>
              </w:rPr>
            </w:pPr>
          </w:p>
        </w:tc>
        <w:tc>
          <w:tcPr>
            <w:tcW w:w="3527" w:type="dxa"/>
            <w:tcBorders>
              <w:top w:val="single" w:sz="4" w:space="0" w:color="auto"/>
              <w:left w:val="single" w:sz="4" w:space="0" w:color="auto"/>
              <w:right w:val="single" w:sz="4" w:space="0" w:color="auto"/>
            </w:tcBorders>
            <w:shd w:val="clear" w:color="auto" w:fill="auto"/>
          </w:tcPr>
          <w:p w14:paraId="2EDB5C8A" w14:textId="77777777" w:rsidR="005464C1" w:rsidRDefault="00C3222F">
            <w:pPr>
              <w:rPr>
                <w:color w:val="000000"/>
                <w:sz w:val="20"/>
              </w:rPr>
            </w:pPr>
            <w:r>
              <w:rPr>
                <w:color w:val="000000"/>
                <w:sz w:val="20"/>
              </w:rPr>
              <w:t>P – Paramą gavusių nacionalinio, regionų ar vietos lygmens viešojo administravimo ar viešąsias paslaugas teikiančių įstaigų skaičius, subjektų skaičius</w:t>
            </w:r>
          </w:p>
        </w:tc>
        <w:tc>
          <w:tcPr>
            <w:tcW w:w="1175" w:type="dxa"/>
            <w:tcBorders>
              <w:top w:val="single" w:sz="4" w:space="0" w:color="auto"/>
              <w:left w:val="single" w:sz="4" w:space="0" w:color="auto"/>
              <w:right w:val="single" w:sz="4" w:space="0" w:color="auto"/>
            </w:tcBorders>
            <w:shd w:val="clear" w:color="auto" w:fill="auto"/>
          </w:tcPr>
          <w:p w14:paraId="3079F3F9" w14:textId="77777777" w:rsidR="005464C1" w:rsidRDefault="00C3222F">
            <w:pPr>
              <w:ind w:left="-57" w:right="-57"/>
              <w:jc w:val="center"/>
              <w:rPr>
                <w:sz w:val="20"/>
              </w:rPr>
            </w:pPr>
            <w:r>
              <w:rPr>
                <w:sz w:val="20"/>
              </w:rPr>
              <w:t>11</w:t>
            </w:r>
          </w:p>
          <w:p w14:paraId="51916921" w14:textId="77777777" w:rsidR="005464C1" w:rsidRDefault="00C3222F">
            <w:pPr>
              <w:jc w:val="center"/>
              <w:rPr>
                <w:color w:val="000000"/>
                <w:sz w:val="20"/>
              </w:rPr>
            </w:pPr>
            <w:r>
              <w:rPr>
                <w:sz w:val="20"/>
              </w:rPr>
              <w:t>(2029 m.)</w:t>
            </w:r>
          </w:p>
        </w:tc>
        <w:tc>
          <w:tcPr>
            <w:tcW w:w="1027" w:type="dxa"/>
            <w:vMerge w:val="restart"/>
            <w:tcBorders>
              <w:top w:val="single" w:sz="4" w:space="0" w:color="auto"/>
              <w:left w:val="single" w:sz="4" w:space="0" w:color="auto"/>
              <w:right w:val="single" w:sz="4" w:space="0" w:color="auto"/>
            </w:tcBorders>
          </w:tcPr>
          <w:p w14:paraId="527AF060" w14:textId="77777777" w:rsidR="005464C1" w:rsidRDefault="00C3222F">
            <w:pPr>
              <w:rPr>
                <w:color w:val="000000"/>
                <w:sz w:val="20"/>
              </w:rPr>
            </w:pPr>
            <w:r>
              <w:rPr>
                <w:color w:val="000000"/>
                <w:sz w:val="20"/>
              </w:rPr>
              <w:t>CPVA</w:t>
            </w:r>
          </w:p>
        </w:tc>
        <w:tc>
          <w:tcPr>
            <w:tcW w:w="1175" w:type="dxa"/>
            <w:vMerge w:val="restart"/>
            <w:tcBorders>
              <w:top w:val="single" w:sz="4" w:space="0" w:color="auto"/>
              <w:left w:val="single" w:sz="4" w:space="0" w:color="auto"/>
              <w:right w:val="single" w:sz="4" w:space="0" w:color="auto"/>
            </w:tcBorders>
          </w:tcPr>
          <w:p w14:paraId="51648776" w14:textId="77777777" w:rsidR="005464C1" w:rsidRDefault="00C3222F">
            <w:pPr>
              <w:rPr>
                <w:color w:val="000000"/>
                <w:sz w:val="20"/>
              </w:rPr>
            </w:pPr>
            <w:r>
              <w:rPr>
                <w:color w:val="000000"/>
                <w:sz w:val="20"/>
              </w:rPr>
              <w:t xml:space="preserve">SAM“ </w:t>
            </w:r>
          </w:p>
        </w:tc>
      </w:tr>
      <w:tr w:rsidR="005464C1" w14:paraId="15B95EE4" w14:textId="77777777">
        <w:trPr>
          <w:trHeight w:val="825"/>
        </w:trPr>
        <w:tc>
          <w:tcPr>
            <w:tcW w:w="2165" w:type="dxa"/>
            <w:vMerge/>
            <w:tcBorders>
              <w:left w:val="single" w:sz="4" w:space="0" w:color="auto"/>
              <w:right w:val="single" w:sz="4" w:space="0" w:color="auto"/>
            </w:tcBorders>
          </w:tcPr>
          <w:p w14:paraId="59ABAE86" w14:textId="77777777" w:rsidR="005464C1" w:rsidRDefault="005464C1">
            <w:pPr>
              <w:rPr>
                <w:iCs/>
                <w:color w:val="000000"/>
                <w:sz w:val="20"/>
              </w:rPr>
            </w:pPr>
          </w:p>
        </w:tc>
        <w:tc>
          <w:tcPr>
            <w:tcW w:w="479" w:type="dxa"/>
            <w:vMerge/>
            <w:tcBorders>
              <w:left w:val="single" w:sz="4" w:space="0" w:color="auto"/>
              <w:right w:val="single" w:sz="4" w:space="0" w:color="auto"/>
            </w:tcBorders>
          </w:tcPr>
          <w:p w14:paraId="2A532B90" w14:textId="77777777" w:rsidR="005464C1" w:rsidRDefault="005464C1">
            <w:pPr>
              <w:rPr>
                <w:color w:val="000000"/>
                <w:sz w:val="20"/>
              </w:rPr>
            </w:pPr>
          </w:p>
        </w:tc>
        <w:tc>
          <w:tcPr>
            <w:tcW w:w="1027" w:type="dxa"/>
            <w:vMerge/>
            <w:tcBorders>
              <w:left w:val="single" w:sz="4" w:space="0" w:color="auto"/>
              <w:right w:val="single" w:sz="4" w:space="0" w:color="auto"/>
            </w:tcBorders>
          </w:tcPr>
          <w:p w14:paraId="53BB07D5" w14:textId="77777777" w:rsidR="005464C1" w:rsidRDefault="005464C1">
            <w:pPr>
              <w:rPr>
                <w:color w:val="000000"/>
                <w:sz w:val="20"/>
              </w:rPr>
            </w:pPr>
          </w:p>
        </w:tc>
        <w:tc>
          <w:tcPr>
            <w:tcW w:w="754" w:type="dxa"/>
            <w:vMerge/>
            <w:tcBorders>
              <w:left w:val="single" w:sz="4" w:space="0" w:color="auto"/>
              <w:right w:val="single" w:sz="4" w:space="0" w:color="auto"/>
            </w:tcBorders>
          </w:tcPr>
          <w:p w14:paraId="49284C06" w14:textId="77777777" w:rsidR="005464C1" w:rsidRDefault="005464C1">
            <w:pPr>
              <w:rPr>
                <w:color w:val="000000"/>
                <w:sz w:val="20"/>
              </w:rPr>
            </w:pPr>
          </w:p>
        </w:tc>
        <w:tc>
          <w:tcPr>
            <w:tcW w:w="860" w:type="dxa"/>
            <w:vMerge/>
            <w:tcBorders>
              <w:left w:val="single" w:sz="4" w:space="0" w:color="auto"/>
              <w:right w:val="single" w:sz="4" w:space="0" w:color="auto"/>
            </w:tcBorders>
          </w:tcPr>
          <w:p w14:paraId="29F94D42" w14:textId="77777777" w:rsidR="005464C1" w:rsidRDefault="005464C1">
            <w:pPr>
              <w:rPr>
                <w:color w:val="000000"/>
                <w:sz w:val="20"/>
              </w:rPr>
            </w:pPr>
          </w:p>
        </w:tc>
        <w:tc>
          <w:tcPr>
            <w:tcW w:w="441" w:type="dxa"/>
            <w:vMerge/>
            <w:tcBorders>
              <w:left w:val="single" w:sz="4" w:space="0" w:color="auto"/>
              <w:right w:val="single" w:sz="4" w:space="0" w:color="auto"/>
            </w:tcBorders>
          </w:tcPr>
          <w:p w14:paraId="5C15B6F7" w14:textId="77777777" w:rsidR="005464C1" w:rsidRDefault="005464C1">
            <w:pPr>
              <w:rPr>
                <w:color w:val="000000"/>
                <w:sz w:val="20"/>
              </w:rPr>
            </w:pPr>
          </w:p>
        </w:tc>
        <w:tc>
          <w:tcPr>
            <w:tcW w:w="1175" w:type="dxa"/>
            <w:tcBorders>
              <w:top w:val="single" w:sz="4" w:space="0" w:color="auto"/>
              <w:left w:val="single" w:sz="4" w:space="0" w:color="auto"/>
              <w:bottom w:val="single" w:sz="4" w:space="0" w:color="auto"/>
              <w:right w:val="single" w:sz="4" w:space="0" w:color="auto"/>
            </w:tcBorders>
          </w:tcPr>
          <w:p w14:paraId="48190157" w14:textId="77777777" w:rsidR="005464C1" w:rsidRDefault="005464C1">
            <w:pPr>
              <w:rPr>
                <w:color w:val="000000"/>
                <w:sz w:val="20"/>
              </w:rPr>
            </w:pPr>
          </w:p>
          <w:p w14:paraId="025537C2" w14:textId="77777777" w:rsidR="005464C1" w:rsidRDefault="00C3222F">
            <w:pPr>
              <w:rPr>
                <w:color w:val="000000"/>
                <w:sz w:val="20"/>
              </w:rPr>
            </w:pPr>
            <w:r>
              <w:rPr>
                <w:color w:val="000000"/>
                <w:sz w:val="20"/>
              </w:rPr>
              <w:t>625, 561</w:t>
            </w:r>
          </w:p>
        </w:tc>
        <w:tc>
          <w:tcPr>
            <w:tcW w:w="1027" w:type="dxa"/>
            <w:tcBorders>
              <w:top w:val="single" w:sz="4" w:space="0" w:color="auto"/>
              <w:left w:val="single" w:sz="4" w:space="0" w:color="auto"/>
              <w:bottom w:val="single" w:sz="4" w:space="0" w:color="auto"/>
              <w:right w:val="single" w:sz="4" w:space="0" w:color="auto"/>
            </w:tcBorders>
          </w:tcPr>
          <w:p w14:paraId="1A48B617" w14:textId="77777777" w:rsidR="005464C1" w:rsidRDefault="00C3222F">
            <w:pPr>
              <w:rPr>
                <w:color w:val="000000"/>
                <w:sz w:val="20"/>
              </w:rPr>
            </w:pPr>
            <w:r>
              <w:rPr>
                <w:color w:val="000000"/>
                <w:sz w:val="20"/>
              </w:rPr>
              <w:t>2021–2027 m. IP (BF)</w:t>
            </w:r>
          </w:p>
          <w:p w14:paraId="727E5510" w14:textId="77777777" w:rsidR="005464C1" w:rsidRDefault="005464C1">
            <w:pPr>
              <w:rPr>
                <w:color w:val="000000"/>
                <w:sz w:val="20"/>
              </w:rPr>
            </w:pPr>
          </w:p>
        </w:tc>
        <w:tc>
          <w:tcPr>
            <w:tcW w:w="3527" w:type="dxa"/>
            <w:tcBorders>
              <w:left w:val="single" w:sz="4" w:space="0" w:color="auto"/>
              <w:right w:val="single" w:sz="4" w:space="0" w:color="auto"/>
            </w:tcBorders>
            <w:shd w:val="clear" w:color="auto" w:fill="auto"/>
          </w:tcPr>
          <w:p w14:paraId="73924D4E" w14:textId="77777777" w:rsidR="005464C1" w:rsidRDefault="00C3222F">
            <w:pPr>
              <w:rPr>
                <w:color w:val="000000"/>
                <w:sz w:val="20"/>
              </w:rPr>
            </w:pPr>
            <w:r>
              <w:rPr>
                <w:sz w:val="20"/>
                <w:lang w:eastAsia="lt-LT"/>
              </w:rPr>
              <w:t>P – Specialistai, dalyvavę kvalifikacijos tobulinimo ar perkvalifikavimo veiklose, asmenys</w:t>
            </w:r>
          </w:p>
        </w:tc>
        <w:tc>
          <w:tcPr>
            <w:tcW w:w="1175" w:type="dxa"/>
            <w:tcBorders>
              <w:left w:val="single" w:sz="4" w:space="0" w:color="auto"/>
              <w:right w:val="single" w:sz="4" w:space="0" w:color="auto"/>
            </w:tcBorders>
            <w:shd w:val="clear" w:color="auto" w:fill="auto"/>
          </w:tcPr>
          <w:p w14:paraId="4EACAB56" w14:textId="77777777" w:rsidR="005464C1" w:rsidRDefault="00C3222F">
            <w:pPr>
              <w:ind w:left="-57" w:right="-57"/>
              <w:jc w:val="center"/>
              <w:rPr>
                <w:szCs w:val="24"/>
                <w:lang w:eastAsia="lt-LT"/>
              </w:rPr>
            </w:pPr>
            <w:r>
              <w:rPr>
                <w:sz w:val="20"/>
                <w:lang w:eastAsia="lt-LT"/>
              </w:rPr>
              <w:t>550</w:t>
            </w:r>
          </w:p>
          <w:p w14:paraId="5135E1C6" w14:textId="77777777" w:rsidR="005464C1" w:rsidRDefault="00C3222F">
            <w:pPr>
              <w:ind w:left="-57" w:right="-57"/>
              <w:jc w:val="center"/>
              <w:rPr>
                <w:szCs w:val="24"/>
                <w:lang w:eastAsia="lt-LT"/>
              </w:rPr>
            </w:pPr>
            <w:r>
              <w:rPr>
                <w:sz w:val="20"/>
                <w:lang w:eastAsia="lt-LT"/>
              </w:rPr>
              <w:t>(2029 m.)</w:t>
            </w:r>
          </w:p>
          <w:p w14:paraId="1B235979" w14:textId="77777777" w:rsidR="005464C1" w:rsidRDefault="005464C1">
            <w:pPr>
              <w:jc w:val="center"/>
              <w:rPr>
                <w:color w:val="000000"/>
                <w:sz w:val="20"/>
              </w:rPr>
            </w:pPr>
          </w:p>
        </w:tc>
        <w:tc>
          <w:tcPr>
            <w:tcW w:w="1027" w:type="dxa"/>
            <w:vMerge/>
            <w:tcBorders>
              <w:left w:val="single" w:sz="4" w:space="0" w:color="auto"/>
              <w:right w:val="single" w:sz="4" w:space="0" w:color="auto"/>
            </w:tcBorders>
          </w:tcPr>
          <w:p w14:paraId="362C4A0E" w14:textId="77777777" w:rsidR="005464C1" w:rsidRDefault="005464C1">
            <w:pPr>
              <w:rPr>
                <w:color w:val="000000"/>
                <w:szCs w:val="24"/>
              </w:rPr>
            </w:pPr>
          </w:p>
        </w:tc>
        <w:tc>
          <w:tcPr>
            <w:tcW w:w="1175" w:type="dxa"/>
            <w:vMerge/>
            <w:tcBorders>
              <w:left w:val="single" w:sz="4" w:space="0" w:color="auto"/>
              <w:right w:val="single" w:sz="4" w:space="0" w:color="auto"/>
            </w:tcBorders>
          </w:tcPr>
          <w:p w14:paraId="5C21BF6B" w14:textId="77777777" w:rsidR="005464C1" w:rsidRDefault="005464C1">
            <w:pPr>
              <w:rPr>
                <w:color w:val="000000"/>
                <w:szCs w:val="24"/>
              </w:rPr>
            </w:pPr>
          </w:p>
        </w:tc>
      </w:tr>
      <w:tr w:rsidR="005464C1" w14:paraId="5B832462" w14:textId="77777777">
        <w:trPr>
          <w:trHeight w:val="786"/>
        </w:trPr>
        <w:tc>
          <w:tcPr>
            <w:tcW w:w="2165" w:type="dxa"/>
            <w:vMerge/>
            <w:tcBorders>
              <w:left w:val="single" w:sz="4" w:space="0" w:color="auto"/>
              <w:right w:val="single" w:sz="4" w:space="0" w:color="auto"/>
            </w:tcBorders>
            <w:vAlign w:val="center"/>
          </w:tcPr>
          <w:p w14:paraId="0379FD57" w14:textId="77777777" w:rsidR="005464C1" w:rsidRDefault="005464C1">
            <w:pPr>
              <w:rPr>
                <w:color w:val="000000"/>
                <w:sz w:val="20"/>
              </w:rPr>
            </w:pPr>
          </w:p>
        </w:tc>
        <w:tc>
          <w:tcPr>
            <w:tcW w:w="479" w:type="dxa"/>
            <w:vMerge/>
            <w:tcBorders>
              <w:left w:val="single" w:sz="4" w:space="0" w:color="auto"/>
              <w:right w:val="single" w:sz="4" w:space="0" w:color="auto"/>
            </w:tcBorders>
            <w:vAlign w:val="center"/>
          </w:tcPr>
          <w:p w14:paraId="79F8A208" w14:textId="77777777" w:rsidR="005464C1" w:rsidRDefault="005464C1">
            <w:pPr>
              <w:rPr>
                <w:color w:val="000000"/>
                <w:sz w:val="20"/>
              </w:rPr>
            </w:pPr>
          </w:p>
        </w:tc>
        <w:tc>
          <w:tcPr>
            <w:tcW w:w="1027" w:type="dxa"/>
            <w:vMerge/>
            <w:tcBorders>
              <w:left w:val="single" w:sz="4" w:space="0" w:color="auto"/>
              <w:right w:val="single" w:sz="4" w:space="0" w:color="auto"/>
            </w:tcBorders>
            <w:vAlign w:val="center"/>
          </w:tcPr>
          <w:p w14:paraId="526D0C49" w14:textId="77777777" w:rsidR="005464C1" w:rsidRDefault="005464C1">
            <w:pPr>
              <w:rPr>
                <w:color w:val="000000"/>
                <w:sz w:val="20"/>
              </w:rPr>
            </w:pPr>
          </w:p>
        </w:tc>
        <w:tc>
          <w:tcPr>
            <w:tcW w:w="754" w:type="dxa"/>
            <w:vMerge/>
            <w:tcBorders>
              <w:left w:val="single" w:sz="4" w:space="0" w:color="auto"/>
              <w:right w:val="single" w:sz="4" w:space="0" w:color="auto"/>
            </w:tcBorders>
            <w:vAlign w:val="center"/>
          </w:tcPr>
          <w:p w14:paraId="3C7D1E44" w14:textId="77777777" w:rsidR="005464C1" w:rsidRDefault="005464C1">
            <w:pPr>
              <w:rPr>
                <w:color w:val="000000"/>
                <w:sz w:val="20"/>
              </w:rPr>
            </w:pPr>
          </w:p>
        </w:tc>
        <w:tc>
          <w:tcPr>
            <w:tcW w:w="860" w:type="dxa"/>
            <w:vMerge/>
            <w:tcBorders>
              <w:left w:val="single" w:sz="4" w:space="0" w:color="auto"/>
              <w:right w:val="single" w:sz="4" w:space="0" w:color="auto"/>
            </w:tcBorders>
            <w:vAlign w:val="center"/>
          </w:tcPr>
          <w:p w14:paraId="26FEF710" w14:textId="77777777" w:rsidR="005464C1" w:rsidRDefault="005464C1">
            <w:pPr>
              <w:rPr>
                <w:color w:val="000000"/>
                <w:sz w:val="20"/>
              </w:rPr>
            </w:pPr>
          </w:p>
        </w:tc>
        <w:tc>
          <w:tcPr>
            <w:tcW w:w="441" w:type="dxa"/>
            <w:vMerge/>
            <w:tcBorders>
              <w:left w:val="single" w:sz="4" w:space="0" w:color="auto"/>
              <w:right w:val="single" w:sz="4" w:space="0" w:color="auto"/>
            </w:tcBorders>
            <w:vAlign w:val="center"/>
          </w:tcPr>
          <w:p w14:paraId="1E58EAEB" w14:textId="77777777" w:rsidR="005464C1" w:rsidRDefault="005464C1">
            <w:pPr>
              <w:rPr>
                <w:color w:val="000000"/>
                <w:sz w:val="20"/>
              </w:rPr>
            </w:pPr>
          </w:p>
        </w:tc>
        <w:tc>
          <w:tcPr>
            <w:tcW w:w="1175" w:type="dxa"/>
            <w:tcBorders>
              <w:left w:val="single" w:sz="4" w:space="0" w:color="auto"/>
              <w:right w:val="single" w:sz="4" w:space="0" w:color="auto"/>
            </w:tcBorders>
            <w:vAlign w:val="center"/>
          </w:tcPr>
          <w:p w14:paraId="5439057F" w14:textId="77777777" w:rsidR="005464C1" w:rsidRDefault="005464C1">
            <w:pPr>
              <w:rPr>
                <w:color w:val="000000"/>
                <w:sz w:val="20"/>
              </w:rPr>
            </w:pPr>
          </w:p>
        </w:tc>
        <w:tc>
          <w:tcPr>
            <w:tcW w:w="1027" w:type="dxa"/>
            <w:tcBorders>
              <w:left w:val="single" w:sz="4" w:space="0" w:color="auto"/>
              <w:right w:val="single" w:sz="4" w:space="0" w:color="auto"/>
            </w:tcBorders>
            <w:vAlign w:val="center"/>
          </w:tcPr>
          <w:p w14:paraId="2A94C7F5" w14:textId="77777777" w:rsidR="005464C1" w:rsidRDefault="005464C1">
            <w:pPr>
              <w:rPr>
                <w:color w:val="000000"/>
                <w:sz w:val="20"/>
              </w:rPr>
            </w:pPr>
          </w:p>
        </w:tc>
        <w:tc>
          <w:tcPr>
            <w:tcW w:w="3527" w:type="dxa"/>
            <w:tcBorders>
              <w:top w:val="single" w:sz="4" w:space="0" w:color="auto"/>
              <w:left w:val="single" w:sz="4" w:space="0" w:color="auto"/>
              <w:bottom w:val="single" w:sz="4" w:space="0" w:color="auto"/>
              <w:right w:val="single" w:sz="4" w:space="0" w:color="auto"/>
            </w:tcBorders>
            <w:shd w:val="clear" w:color="auto" w:fill="auto"/>
          </w:tcPr>
          <w:p w14:paraId="28C7CE48" w14:textId="77777777" w:rsidR="005464C1" w:rsidRDefault="00C3222F">
            <w:pPr>
              <w:rPr>
                <w:color w:val="000000"/>
                <w:sz w:val="20"/>
              </w:rPr>
            </w:pPr>
            <w:r>
              <w:rPr>
                <w:sz w:val="20"/>
                <w:lang w:eastAsia="lt-LT"/>
              </w:rPr>
              <w:t xml:space="preserve">R – Specialistų, kurie po dalyvavimo veiklose įgijo ar patobulino </w:t>
            </w:r>
            <w:r>
              <w:rPr>
                <w:sz w:val="20"/>
                <w:lang w:eastAsia="lt-LT"/>
              </w:rPr>
              <w:t>kvalifikaciją, dalis proc.</w:t>
            </w:r>
          </w:p>
        </w:tc>
        <w:tc>
          <w:tcPr>
            <w:tcW w:w="1175" w:type="dxa"/>
            <w:tcBorders>
              <w:top w:val="single" w:sz="4" w:space="0" w:color="auto"/>
              <w:left w:val="single" w:sz="4" w:space="0" w:color="auto"/>
              <w:bottom w:val="single" w:sz="4" w:space="0" w:color="auto"/>
              <w:right w:val="single" w:sz="4" w:space="0" w:color="auto"/>
            </w:tcBorders>
            <w:shd w:val="clear" w:color="auto" w:fill="auto"/>
          </w:tcPr>
          <w:p w14:paraId="1441768D" w14:textId="77777777" w:rsidR="005464C1" w:rsidRDefault="00C3222F">
            <w:pPr>
              <w:jc w:val="center"/>
              <w:rPr>
                <w:color w:val="000000"/>
                <w:sz w:val="20"/>
              </w:rPr>
            </w:pPr>
            <w:r>
              <w:rPr>
                <w:color w:val="000000"/>
                <w:sz w:val="20"/>
              </w:rPr>
              <w:t>90</w:t>
            </w:r>
          </w:p>
          <w:p w14:paraId="2E6DC342" w14:textId="77777777" w:rsidR="005464C1" w:rsidRDefault="00C3222F">
            <w:pPr>
              <w:jc w:val="center"/>
              <w:rPr>
                <w:color w:val="000000"/>
                <w:sz w:val="20"/>
              </w:rPr>
            </w:pPr>
            <w:r>
              <w:rPr>
                <w:color w:val="000000"/>
                <w:sz w:val="20"/>
              </w:rPr>
              <w:t>(2029 m.)</w:t>
            </w:r>
          </w:p>
          <w:p w14:paraId="43E8921E" w14:textId="77777777" w:rsidR="005464C1" w:rsidRDefault="005464C1">
            <w:pPr>
              <w:jc w:val="center"/>
              <w:rPr>
                <w:color w:val="000000"/>
                <w:sz w:val="20"/>
              </w:rPr>
            </w:pPr>
          </w:p>
        </w:tc>
        <w:tc>
          <w:tcPr>
            <w:tcW w:w="1027" w:type="dxa"/>
            <w:vMerge/>
            <w:tcBorders>
              <w:left w:val="single" w:sz="4" w:space="0" w:color="auto"/>
              <w:right w:val="single" w:sz="4" w:space="0" w:color="auto"/>
            </w:tcBorders>
          </w:tcPr>
          <w:p w14:paraId="4C3A6C41" w14:textId="77777777" w:rsidR="005464C1" w:rsidRDefault="005464C1">
            <w:pPr>
              <w:rPr>
                <w:color w:val="000000"/>
                <w:szCs w:val="24"/>
              </w:rPr>
            </w:pPr>
          </w:p>
        </w:tc>
        <w:tc>
          <w:tcPr>
            <w:tcW w:w="1175" w:type="dxa"/>
            <w:vMerge/>
            <w:tcBorders>
              <w:left w:val="single" w:sz="4" w:space="0" w:color="auto"/>
              <w:right w:val="single" w:sz="4" w:space="0" w:color="auto"/>
            </w:tcBorders>
          </w:tcPr>
          <w:p w14:paraId="7857CDE8" w14:textId="77777777" w:rsidR="005464C1" w:rsidRDefault="005464C1">
            <w:pPr>
              <w:rPr>
                <w:color w:val="000000"/>
                <w:szCs w:val="24"/>
              </w:rPr>
            </w:pPr>
          </w:p>
        </w:tc>
      </w:tr>
    </w:tbl>
    <w:p w14:paraId="51179B0B" w14:textId="77777777" w:rsidR="005464C1" w:rsidRDefault="005464C1">
      <w:pPr>
        <w:jc w:val="both"/>
        <w:rPr>
          <w:color w:val="000000"/>
          <w:szCs w:val="24"/>
        </w:rPr>
      </w:pPr>
    </w:p>
    <w:p w14:paraId="11A3CDDD" w14:textId="77777777" w:rsidR="005464C1" w:rsidRDefault="00C3222F">
      <w:pPr>
        <w:ind w:left="1080" w:hanging="360"/>
        <w:jc w:val="both"/>
        <w:rPr>
          <w:color w:val="000000"/>
          <w:szCs w:val="24"/>
        </w:rPr>
      </w:pPr>
      <w:r>
        <w:rPr>
          <w:color w:val="000000"/>
          <w:szCs w:val="24"/>
        </w:rPr>
        <w:t>2.</w:t>
      </w:r>
      <w:r>
        <w:rPr>
          <w:color w:val="000000"/>
          <w:szCs w:val="24"/>
        </w:rPr>
        <w:tab/>
        <w:t xml:space="preserve">Pakeičiu III skyriaus lentelės 11.2 papunktį ir jį išdėstau taip: </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73"/>
        <w:gridCol w:w="696"/>
        <w:gridCol w:w="1536"/>
        <w:gridCol w:w="700"/>
        <w:gridCol w:w="994"/>
        <w:gridCol w:w="704"/>
        <w:gridCol w:w="1305"/>
        <w:gridCol w:w="1016"/>
        <w:gridCol w:w="2567"/>
        <w:gridCol w:w="1002"/>
        <w:gridCol w:w="1010"/>
        <w:gridCol w:w="739"/>
      </w:tblGrid>
      <w:tr w:rsidR="005464C1" w14:paraId="2AC62295" w14:textId="77777777">
        <w:trPr>
          <w:trHeight w:val="953"/>
        </w:trPr>
        <w:tc>
          <w:tcPr>
            <w:tcW w:w="2508" w:type="dxa"/>
            <w:vMerge w:val="restart"/>
            <w:tcMar>
              <w:top w:w="0" w:type="dxa"/>
              <w:left w:w="108" w:type="dxa"/>
              <w:bottom w:w="0" w:type="dxa"/>
              <w:right w:w="108" w:type="dxa"/>
            </w:tcMar>
            <w:hideMark/>
          </w:tcPr>
          <w:p w14:paraId="541D5B18" w14:textId="77777777" w:rsidR="005464C1" w:rsidRDefault="00C3222F">
            <w:pPr>
              <w:rPr>
                <w:szCs w:val="24"/>
                <w:lang w:eastAsia="lt-LT"/>
              </w:rPr>
            </w:pPr>
            <w:r>
              <w:rPr>
                <w:sz w:val="20"/>
                <w:lang w:eastAsia="lt-LT"/>
              </w:rPr>
              <w:t>„11.2. Sveikatos priežiūros  specialistų kvalifikacijos tobulinimas, Vidurio ir vakarų Lietuvos regionas</w:t>
            </w:r>
          </w:p>
        </w:tc>
        <w:tc>
          <w:tcPr>
            <w:tcW w:w="726" w:type="dxa"/>
            <w:vMerge w:val="restart"/>
            <w:tcMar>
              <w:top w:w="0" w:type="dxa"/>
              <w:left w:w="108" w:type="dxa"/>
              <w:bottom w:w="0" w:type="dxa"/>
              <w:right w:w="108" w:type="dxa"/>
            </w:tcMar>
            <w:hideMark/>
          </w:tcPr>
          <w:p w14:paraId="053C9053" w14:textId="77777777" w:rsidR="005464C1" w:rsidRDefault="00C3222F">
            <w:pPr>
              <w:rPr>
                <w:szCs w:val="24"/>
                <w:lang w:eastAsia="lt-LT"/>
              </w:rPr>
            </w:pPr>
            <w:r>
              <w:rPr>
                <w:sz w:val="20"/>
                <w:lang w:eastAsia="lt-LT"/>
              </w:rPr>
              <w:t>I</w:t>
            </w:r>
          </w:p>
        </w:tc>
        <w:tc>
          <w:tcPr>
            <w:tcW w:w="1599" w:type="dxa"/>
            <w:vMerge w:val="restart"/>
            <w:tcMar>
              <w:top w:w="0" w:type="dxa"/>
              <w:left w:w="108" w:type="dxa"/>
              <w:bottom w:w="0" w:type="dxa"/>
              <w:right w:w="108" w:type="dxa"/>
            </w:tcMar>
            <w:hideMark/>
          </w:tcPr>
          <w:p w14:paraId="7F796324" w14:textId="77777777" w:rsidR="005464C1" w:rsidRDefault="00C3222F">
            <w:pPr>
              <w:rPr>
                <w:szCs w:val="24"/>
                <w:lang w:eastAsia="lt-LT"/>
              </w:rPr>
            </w:pPr>
            <w:r>
              <w:rPr>
                <w:sz w:val="20"/>
                <w:lang w:eastAsia="lt-LT"/>
              </w:rPr>
              <w:t>SAM</w:t>
            </w:r>
          </w:p>
        </w:tc>
        <w:tc>
          <w:tcPr>
            <w:tcW w:w="727" w:type="dxa"/>
            <w:vMerge w:val="restart"/>
            <w:tcMar>
              <w:top w:w="0" w:type="dxa"/>
              <w:left w:w="108" w:type="dxa"/>
              <w:bottom w:w="0" w:type="dxa"/>
              <w:right w:w="108" w:type="dxa"/>
            </w:tcMar>
            <w:hideMark/>
          </w:tcPr>
          <w:p w14:paraId="6EDD559C" w14:textId="77777777" w:rsidR="005464C1" w:rsidRDefault="00C3222F">
            <w:pPr>
              <w:rPr>
                <w:szCs w:val="24"/>
                <w:lang w:eastAsia="lt-LT"/>
              </w:rPr>
            </w:pPr>
            <w:r>
              <w:rPr>
                <w:sz w:val="20"/>
                <w:lang w:eastAsia="lt-LT"/>
              </w:rPr>
              <w:t>P</w:t>
            </w:r>
          </w:p>
        </w:tc>
        <w:tc>
          <w:tcPr>
            <w:tcW w:w="1023" w:type="dxa"/>
            <w:vMerge w:val="restart"/>
            <w:tcMar>
              <w:top w:w="0" w:type="dxa"/>
              <w:left w:w="108" w:type="dxa"/>
              <w:bottom w:w="0" w:type="dxa"/>
              <w:right w:w="108" w:type="dxa"/>
            </w:tcMar>
            <w:hideMark/>
          </w:tcPr>
          <w:p w14:paraId="3C2A337D" w14:textId="77777777" w:rsidR="005464C1" w:rsidRDefault="00C3222F">
            <w:pPr>
              <w:rPr>
                <w:szCs w:val="24"/>
                <w:lang w:eastAsia="lt-LT"/>
              </w:rPr>
            </w:pPr>
            <w:r>
              <w:rPr>
                <w:sz w:val="20"/>
                <w:lang w:eastAsia="lt-LT"/>
              </w:rPr>
              <w:t>Taip</w:t>
            </w:r>
          </w:p>
        </w:tc>
        <w:tc>
          <w:tcPr>
            <w:tcW w:w="729" w:type="dxa"/>
            <w:vMerge w:val="restart"/>
            <w:tcMar>
              <w:top w:w="0" w:type="dxa"/>
              <w:left w:w="108" w:type="dxa"/>
              <w:bottom w:w="0" w:type="dxa"/>
              <w:right w:w="108" w:type="dxa"/>
            </w:tcMar>
            <w:hideMark/>
          </w:tcPr>
          <w:p w14:paraId="3A0618F4" w14:textId="77777777" w:rsidR="005464C1" w:rsidRDefault="00C3222F">
            <w:pPr>
              <w:rPr>
                <w:szCs w:val="24"/>
                <w:lang w:eastAsia="lt-LT"/>
              </w:rPr>
            </w:pPr>
            <w:r>
              <w:rPr>
                <w:sz w:val="20"/>
                <w:lang w:eastAsia="lt-LT"/>
              </w:rPr>
              <w:t>D</w:t>
            </w:r>
          </w:p>
        </w:tc>
        <w:tc>
          <w:tcPr>
            <w:tcW w:w="1326" w:type="dxa"/>
            <w:tcMar>
              <w:top w:w="0" w:type="dxa"/>
              <w:left w:w="108" w:type="dxa"/>
              <w:bottom w:w="0" w:type="dxa"/>
              <w:right w:w="108" w:type="dxa"/>
            </w:tcMar>
            <w:hideMark/>
          </w:tcPr>
          <w:p w14:paraId="16F81A9D" w14:textId="77777777" w:rsidR="005464C1" w:rsidRDefault="00C3222F">
            <w:pPr>
              <w:rPr>
                <w:sz w:val="20"/>
                <w:lang w:eastAsia="lt-LT"/>
              </w:rPr>
            </w:pPr>
            <w:r>
              <w:rPr>
                <w:sz w:val="20"/>
                <w:lang w:eastAsia="lt-LT"/>
              </w:rPr>
              <w:t>8 970,009</w:t>
            </w:r>
          </w:p>
        </w:tc>
        <w:tc>
          <w:tcPr>
            <w:tcW w:w="1031" w:type="dxa"/>
            <w:tcMar>
              <w:top w:w="0" w:type="dxa"/>
              <w:left w:w="108" w:type="dxa"/>
              <w:bottom w:w="0" w:type="dxa"/>
              <w:right w:w="108" w:type="dxa"/>
            </w:tcMar>
            <w:hideMark/>
          </w:tcPr>
          <w:p w14:paraId="4721C7EF" w14:textId="77777777" w:rsidR="005464C1" w:rsidRDefault="00C3222F">
            <w:pPr>
              <w:rPr>
                <w:szCs w:val="24"/>
                <w:lang w:eastAsia="lt-LT"/>
              </w:rPr>
            </w:pPr>
            <w:r>
              <w:rPr>
                <w:sz w:val="20"/>
                <w:lang w:eastAsia="lt-LT"/>
              </w:rPr>
              <w:t>2021–2027 m. IP (ESF+)</w:t>
            </w:r>
          </w:p>
        </w:tc>
        <w:tc>
          <w:tcPr>
            <w:tcW w:w="2636" w:type="dxa"/>
            <w:vMerge w:val="restart"/>
            <w:tcMar>
              <w:top w:w="0" w:type="dxa"/>
              <w:left w:w="108" w:type="dxa"/>
              <w:bottom w:w="0" w:type="dxa"/>
              <w:right w:w="108" w:type="dxa"/>
            </w:tcMar>
            <w:hideMark/>
          </w:tcPr>
          <w:p w14:paraId="75FFFFED" w14:textId="77777777" w:rsidR="005464C1" w:rsidRDefault="00C3222F">
            <w:pPr>
              <w:ind w:right="-57"/>
              <w:rPr>
                <w:szCs w:val="24"/>
                <w:lang w:eastAsia="lt-LT"/>
              </w:rPr>
            </w:pPr>
            <w:r>
              <w:rPr>
                <w:sz w:val="20"/>
                <w:lang w:eastAsia="lt-LT"/>
              </w:rPr>
              <w:t>P – Specialistai, dalyvavę kvalifikacijos tobulinimo ar perkvalifikavimo veiklose, asmenys</w:t>
            </w:r>
          </w:p>
        </w:tc>
        <w:tc>
          <w:tcPr>
            <w:tcW w:w="1029" w:type="dxa"/>
            <w:vMerge w:val="restart"/>
            <w:tcMar>
              <w:top w:w="0" w:type="dxa"/>
              <w:left w:w="108" w:type="dxa"/>
              <w:bottom w:w="0" w:type="dxa"/>
              <w:right w:w="108" w:type="dxa"/>
            </w:tcMar>
            <w:hideMark/>
          </w:tcPr>
          <w:p w14:paraId="790A1AB5" w14:textId="77777777" w:rsidR="005464C1" w:rsidRDefault="00C3222F">
            <w:pPr>
              <w:ind w:left="-57" w:right="-57"/>
              <w:jc w:val="center"/>
              <w:rPr>
                <w:sz w:val="20"/>
                <w:lang w:eastAsia="lt-LT"/>
              </w:rPr>
            </w:pPr>
            <w:r>
              <w:rPr>
                <w:sz w:val="20"/>
                <w:lang w:eastAsia="lt-LT"/>
              </w:rPr>
              <w:t>27 050</w:t>
            </w:r>
          </w:p>
          <w:p w14:paraId="13AF9C73" w14:textId="77777777" w:rsidR="005464C1" w:rsidRDefault="00C3222F">
            <w:pPr>
              <w:ind w:left="-57" w:right="-57"/>
              <w:jc w:val="center"/>
              <w:rPr>
                <w:szCs w:val="24"/>
                <w:lang w:eastAsia="lt-LT"/>
              </w:rPr>
            </w:pPr>
            <w:r>
              <w:rPr>
                <w:sz w:val="20"/>
                <w:lang w:eastAsia="lt-LT"/>
              </w:rPr>
              <w:t>(2029 m.)</w:t>
            </w:r>
          </w:p>
          <w:p w14:paraId="5311A3A5" w14:textId="77777777" w:rsidR="005464C1" w:rsidRDefault="005464C1">
            <w:pPr>
              <w:rPr>
                <w:szCs w:val="24"/>
                <w:lang w:eastAsia="lt-LT"/>
              </w:rPr>
            </w:pPr>
          </w:p>
        </w:tc>
        <w:tc>
          <w:tcPr>
            <w:tcW w:w="1029" w:type="dxa"/>
            <w:vMerge w:val="restart"/>
            <w:tcMar>
              <w:top w:w="0" w:type="dxa"/>
              <w:left w:w="108" w:type="dxa"/>
              <w:bottom w:w="0" w:type="dxa"/>
              <w:right w:w="108" w:type="dxa"/>
            </w:tcMar>
            <w:hideMark/>
          </w:tcPr>
          <w:p w14:paraId="66BFCFCC" w14:textId="77777777" w:rsidR="005464C1" w:rsidRDefault="00C3222F">
            <w:pPr>
              <w:rPr>
                <w:szCs w:val="24"/>
                <w:lang w:eastAsia="lt-LT"/>
              </w:rPr>
            </w:pPr>
            <w:r>
              <w:rPr>
                <w:sz w:val="20"/>
                <w:lang w:eastAsia="lt-LT"/>
              </w:rPr>
              <w:t>CPVA</w:t>
            </w:r>
          </w:p>
        </w:tc>
        <w:tc>
          <w:tcPr>
            <w:tcW w:w="379" w:type="dxa"/>
            <w:vMerge w:val="restart"/>
            <w:tcMar>
              <w:top w:w="0" w:type="dxa"/>
              <w:left w:w="108" w:type="dxa"/>
              <w:bottom w:w="0" w:type="dxa"/>
              <w:right w:w="108" w:type="dxa"/>
            </w:tcMar>
            <w:hideMark/>
          </w:tcPr>
          <w:p w14:paraId="6793C3A9" w14:textId="77777777" w:rsidR="005464C1" w:rsidRDefault="00C3222F">
            <w:pPr>
              <w:jc w:val="center"/>
              <w:rPr>
                <w:szCs w:val="24"/>
                <w:lang w:eastAsia="lt-LT"/>
              </w:rPr>
            </w:pPr>
            <w:r>
              <w:rPr>
                <w:color w:val="000000"/>
                <w:sz w:val="20"/>
                <w:lang w:eastAsia="lt-LT"/>
              </w:rPr>
              <w:t>SAM“</w:t>
            </w:r>
          </w:p>
        </w:tc>
      </w:tr>
      <w:tr w:rsidR="005464C1" w14:paraId="5290D708" w14:textId="77777777">
        <w:trPr>
          <w:trHeight w:val="279"/>
        </w:trPr>
        <w:tc>
          <w:tcPr>
            <w:tcW w:w="0" w:type="auto"/>
            <w:vMerge/>
            <w:vAlign w:val="center"/>
            <w:hideMark/>
          </w:tcPr>
          <w:p w14:paraId="0E296F18" w14:textId="77777777" w:rsidR="005464C1" w:rsidRDefault="005464C1">
            <w:pPr>
              <w:rPr>
                <w:szCs w:val="24"/>
                <w:lang w:eastAsia="lt-LT"/>
              </w:rPr>
            </w:pPr>
          </w:p>
        </w:tc>
        <w:tc>
          <w:tcPr>
            <w:tcW w:w="0" w:type="auto"/>
            <w:vMerge/>
            <w:vAlign w:val="center"/>
            <w:hideMark/>
          </w:tcPr>
          <w:p w14:paraId="6697B1B3" w14:textId="77777777" w:rsidR="005464C1" w:rsidRDefault="005464C1">
            <w:pPr>
              <w:rPr>
                <w:szCs w:val="24"/>
                <w:lang w:eastAsia="lt-LT"/>
              </w:rPr>
            </w:pPr>
          </w:p>
        </w:tc>
        <w:tc>
          <w:tcPr>
            <w:tcW w:w="0" w:type="auto"/>
            <w:vMerge/>
            <w:vAlign w:val="center"/>
            <w:hideMark/>
          </w:tcPr>
          <w:p w14:paraId="648912E4" w14:textId="77777777" w:rsidR="005464C1" w:rsidRDefault="005464C1">
            <w:pPr>
              <w:rPr>
                <w:szCs w:val="24"/>
                <w:lang w:eastAsia="lt-LT"/>
              </w:rPr>
            </w:pPr>
          </w:p>
        </w:tc>
        <w:tc>
          <w:tcPr>
            <w:tcW w:w="0" w:type="auto"/>
            <w:vMerge/>
            <w:vAlign w:val="center"/>
            <w:hideMark/>
          </w:tcPr>
          <w:p w14:paraId="79A6A01F" w14:textId="77777777" w:rsidR="005464C1" w:rsidRDefault="005464C1">
            <w:pPr>
              <w:rPr>
                <w:szCs w:val="24"/>
                <w:lang w:eastAsia="lt-LT"/>
              </w:rPr>
            </w:pPr>
          </w:p>
        </w:tc>
        <w:tc>
          <w:tcPr>
            <w:tcW w:w="0" w:type="auto"/>
            <w:vMerge/>
            <w:vAlign w:val="center"/>
            <w:hideMark/>
          </w:tcPr>
          <w:p w14:paraId="0859C9AA" w14:textId="77777777" w:rsidR="005464C1" w:rsidRDefault="005464C1">
            <w:pPr>
              <w:rPr>
                <w:szCs w:val="24"/>
                <w:lang w:eastAsia="lt-LT"/>
              </w:rPr>
            </w:pPr>
          </w:p>
        </w:tc>
        <w:tc>
          <w:tcPr>
            <w:tcW w:w="0" w:type="auto"/>
            <w:vMerge/>
            <w:vAlign w:val="center"/>
            <w:hideMark/>
          </w:tcPr>
          <w:p w14:paraId="779A30BB" w14:textId="77777777" w:rsidR="005464C1" w:rsidRDefault="005464C1">
            <w:pPr>
              <w:rPr>
                <w:szCs w:val="24"/>
                <w:lang w:eastAsia="lt-LT"/>
              </w:rPr>
            </w:pPr>
          </w:p>
        </w:tc>
        <w:tc>
          <w:tcPr>
            <w:tcW w:w="1326" w:type="dxa"/>
            <w:vMerge w:val="restart"/>
            <w:tcMar>
              <w:top w:w="0" w:type="dxa"/>
              <w:left w:w="108" w:type="dxa"/>
              <w:bottom w:w="0" w:type="dxa"/>
              <w:right w:w="108" w:type="dxa"/>
            </w:tcMar>
            <w:hideMark/>
          </w:tcPr>
          <w:p w14:paraId="714C7C0D" w14:textId="77777777" w:rsidR="005464C1" w:rsidRDefault="00C3222F">
            <w:pPr>
              <w:rPr>
                <w:sz w:val="20"/>
                <w:lang w:eastAsia="lt-LT"/>
              </w:rPr>
            </w:pPr>
            <w:r>
              <w:rPr>
                <w:color w:val="000000"/>
                <w:sz w:val="20"/>
                <w:lang w:eastAsia="lt-LT"/>
              </w:rPr>
              <w:t>1 582,943</w:t>
            </w:r>
          </w:p>
        </w:tc>
        <w:tc>
          <w:tcPr>
            <w:tcW w:w="1031" w:type="dxa"/>
            <w:vMerge w:val="restart"/>
            <w:tcMar>
              <w:top w:w="0" w:type="dxa"/>
              <w:left w:w="108" w:type="dxa"/>
              <w:bottom w:w="0" w:type="dxa"/>
              <w:right w:w="108" w:type="dxa"/>
            </w:tcMar>
            <w:hideMark/>
          </w:tcPr>
          <w:p w14:paraId="1E400452" w14:textId="77777777" w:rsidR="005464C1" w:rsidRDefault="00C3222F">
            <w:pPr>
              <w:rPr>
                <w:szCs w:val="24"/>
                <w:lang w:eastAsia="lt-LT"/>
              </w:rPr>
            </w:pPr>
            <w:r>
              <w:rPr>
                <w:sz w:val="20"/>
                <w:lang w:eastAsia="lt-LT"/>
              </w:rPr>
              <w:t>2021–2027 m. IP (BF)</w:t>
            </w:r>
          </w:p>
          <w:p w14:paraId="18F29289" w14:textId="77777777" w:rsidR="005464C1" w:rsidRDefault="005464C1">
            <w:pPr>
              <w:ind w:firstLine="53"/>
              <w:rPr>
                <w:szCs w:val="24"/>
                <w:lang w:eastAsia="lt-LT"/>
              </w:rPr>
            </w:pPr>
          </w:p>
        </w:tc>
        <w:tc>
          <w:tcPr>
            <w:tcW w:w="0" w:type="auto"/>
            <w:vMerge/>
            <w:vAlign w:val="center"/>
            <w:hideMark/>
          </w:tcPr>
          <w:p w14:paraId="2CEC55F5" w14:textId="77777777" w:rsidR="005464C1" w:rsidRDefault="005464C1">
            <w:pPr>
              <w:rPr>
                <w:szCs w:val="24"/>
                <w:lang w:eastAsia="lt-LT"/>
              </w:rPr>
            </w:pPr>
          </w:p>
        </w:tc>
        <w:tc>
          <w:tcPr>
            <w:tcW w:w="1029" w:type="dxa"/>
            <w:vMerge/>
            <w:vAlign w:val="center"/>
            <w:hideMark/>
          </w:tcPr>
          <w:p w14:paraId="01AA56B9" w14:textId="77777777" w:rsidR="005464C1" w:rsidRDefault="005464C1">
            <w:pPr>
              <w:rPr>
                <w:szCs w:val="24"/>
                <w:lang w:eastAsia="lt-LT"/>
              </w:rPr>
            </w:pPr>
          </w:p>
        </w:tc>
        <w:tc>
          <w:tcPr>
            <w:tcW w:w="0" w:type="auto"/>
            <w:vMerge/>
            <w:vAlign w:val="center"/>
            <w:hideMark/>
          </w:tcPr>
          <w:p w14:paraId="7ECDABF4" w14:textId="77777777" w:rsidR="005464C1" w:rsidRDefault="005464C1">
            <w:pPr>
              <w:rPr>
                <w:szCs w:val="24"/>
                <w:lang w:eastAsia="lt-LT"/>
              </w:rPr>
            </w:pPr>
          </w:p>
        </w:tc>
        <w:tc>
          <w:tcPr>
            <w:tcW w:w="379" w:type="dxa"/>
            <w:vMerge/>
            <w:vAlign w:val="center"/>
            <w:hideMark/>
          </w:tcPr>
          <w:p w14:paraId="334AAB0D" w14:textId="77777777" w:rsidR="005464C1" w:rsidRDefault="005464C1">
            <w:pPr>
              <w:rPr>
                <w:szCs w:val="24"/>
                <w:lang w:eastAsia="lt-LT"/>
              </w:rPr>
            </w:pPr>
          </w:p>
        </w:tc>
      </w:tr>
      <w:tr w:rsidR="005464C1" w14:paraId="416B8732" w14:textId="77777777">
        <w:trPr>
          <w:trHeight w:val="842"/>
        </w:trPr>
        <w:tc>
          <w:tcPr>
            <w:tcW w:w="0" w:type="auto"/>
            <w:vMerge/>
            <w:vAlign w:val="center"/>
            <w:hideMark/>
          </w:tcPr>
          <w:p w14:paraId="1996286C" w14:textId="77777777" w:rsidR="005464C1" w:rsidRDefault="005464C1">
            <w:pPr>
              <w:rPr>
                <w:szCs w:val="24"/>
                <w:lang w:eastAsia="lt-LT"/>
              </w:rPr>
            </w:pPr>
          </w:p>
        </w:tc>
        <w:tc>
          <w:tcPr>
            <w:tcW w:w="0" w:type="auto"/>
            <w:vMerge/>
            <w:vAlign w:val="center"/>
            <w:hideMark/>
          </w:tcPr>
          <w:p w14:paraId="30997AE5" w14:textId="77777777" w:rsidR="005464C1" w:rsidRDefault="005464C1">
            <w:pPr>
              <w:rPr>
                <w:szCs w:val="24"/>
                <w:lang w:eastAsia="lt-LT"/>
              </w:rPr>
            </w:pPr>
          </w:p>
        </w:tc>
        <w:tc>
          <w:tcPr>
            <w:tcW w:w="0" w:type="auto"/>
            <w:vMerge/>
            <w:vAlign w:val="center"/>
            <w:hideMark/>
          </w:tcPr>
          <w:p w14:paraId="0B0C7DDC" w14:textId="77777777" w:rsidR="005464C1" w:rsidRDefault="005464C1">
            <w:pPr>
              <w:rPr>
                <w:szCs w:val="24"/>
                <w:lang w:eastAsia="lt-LT"/>
              </w:rPr>
            </w:pPr>
          </w:p>
        </w:tc>
        <w:tc>
          <w:tcPr>
            <w:tcW w:w="0" w:type="auto"/>
            <w:vMerge/>
            <w:vAlign w:val="center"/>
            <w:hideMark/>
          </w:tcPr>
          <w:p w14:paraId="79450C27" w14:textId="77777777" w:rsidR="005464C1" w:rsidRDefault="005464C1">
            <w:pPr>
              <w:rPr>
                <w:szCs w:val="24"/>
                <w:lang w:eastAsia="lt-LT"/>
              </w:rPr>
            </w:pPr>
          </w:p>
        </w:tc>
        <w:tc>
          <w:tcPr>
            <w:tcW w:w="0" w:type="auto"/>
            <w:vMerge/>
            <w:vAlign w:val="center"/>
            <w:hideMark/>
          </w:tcPr>
          <w:p w14:paraId="68F02CF3" w14:textId="77777777" w:rsidR="005464C1" w:rsidRDefault="005464C1">
            <w:pPr>
              <w:rPr>
                <w:szCs w:val="24"/>
                <w:lang w:eastAsia="lt-LT"/>
              </w:rPr>
            </w:pPr>
          </w:p>
        </w:tc>
        <w:tc>
          <w:tcPr>
            <w:tcW w:w="0" w:type="auto"/>
            <w:vMerge/>
            <w:vAlign w:val="center"/>
            <w:hideMark/>
          </w:tcPr>
          <w:p w14:paraId="60F95EFC" w14:textId="77777777" w:rsidR="005464C1" w:rsidRDefault="005464C1">
            <w:pPr>
              <w:rPr>
                <w:szCs w:val="24"/>
                <w:lang w:eastAsia="lt-LT"/>
              </w:rPr>
            </w:pPr>
          </w:p>
        </w:tc>
        <w:tc>
          <w:tcPr>
            <w:tcW w:w="0" w:type="auto"/>
            <w:vMerge/>
            <w:vAlign w:val="center"/>
            <w:hideMark/>
          </w:tcPr>
          <w:p w14:paraId="59BDDB49" w14:textId="77777777" w:rsidR="005464C1" w:rsidRDefault="005464C1">
            <w:pPr>
              <w:rPr>
                <w:szCs w:val="24"/>
                <w:lang w:eastAsia="lt-LT"/>
              </w:rPr>
            </w:pPr>
          </w:p>
        </w:tc>
        <w:tc>
          <w:tcPr>
            <w:tcW w:w="0" w:type="auto"/>
            <w:vMerge/>
            <w:vAlign w:val="center"/>
            <w:hideMark/>
          </w:tcPr>
          <w:p w14:paraId="63927561" w14:textId="77777777" w:rsidR="005464C1" w:rsidRDefault="005464C1">
            <w:pPr>
              <w:rPr>
                <w:szCs w:val="24"/>
                <w:lang w:eastAsia="lt-LT"/>
              </w:rPr>
            </w:pPr>
          </w:p>
        </w:tc>
        <w:tc>
          <w:tcPr>
            <w:tcW w:w="2636" w:type="dxa"/>
            <w:tcMar>
              <w:top w:w="0" w:type="dxa"/>
              <w:left w:w="108" w:type="dxa"/>
              <w:bottom w:w="0" w:type="dxa"/>
              <w:right w:w="108" w:type="dxa"/>
            </w:tcMar>
            <w:hideMark/>
          </w:tcPr>
          <w:p w14:paraId="04ADFFBB" w14:textId="77777777" w:rsidR="005464C1" w:rsidRDefault="00C3222F">
            <w:pPr>
              <w:ind w:left="-57" w:right="-57"/>
              <w:rPr>
                <w:szCs w:val="24"/>
                <w:lang w:eastAsia="lt-LT"/>
              </w:rPr>
            </w:pPr>
            <w:r>
              <w:rPr>
                <w:sz w:val="20"/>
                <w:lang w:eastAsia="lt-LT"/>
              </w:rPr>
              <w:t xml:space="preserve">R – Specialistų, kurie po dalyvavimo veiklose įgijo ar </w:t>
            </w:r>
            <w:r>
              <w:rPr>
                <w:sz w:val="20"/>
                <w:lang w:eastAsia="lt-LT"/>
              </w:rPr>
              <w:t>patobulino kvalifikaciją, dalis proc.</w:t>
            </w:r>
          </w:p>
        </w:tc>
        <w:tc>
          <w:tcPr>
            <w:tcW w:w="1029" w:type="dxa"/>
            <w:tcMar>
              <w:top w:w="0" w:type="dxa"/>
              <w:left w:w="108" w:type="dxa"/>
              <w:bottom w:w="0" w:type="dxa"/>
              <w:right w:w="108" w:type="dxa"/>
            </w:tcMar>
            <w:hideMark/>
          </w:tcPr>
          <w:p w14:paraId="22385538" w14:textId="77777777" w:rsidR="005464C1" w:rsidRDefault="00C3222F">
            <w:pPr>
              <w:ind w:left="-57" w:right="-57"/>
              <w:jc w:val="center"/>
              <w:rPr>
                <w:szCs w:val="24"/>
                <w:lang w:eastAsia="lt-LT"/>
              </w:rPr>
            </w:pPr>
            <w:r>
              <w:rPr>
                <w:sz w:val="20"/>
                <w:lang w:eastAsia="lt-LT"/>
              </w:rPr>
              <w:t>90</w:t>
            </w:r>
          </w:p>
          <w:p w14:paraId="662A063B" w14:textId="77777777" w:rsidR="005464C1" w:rsidRDefault="00C3222F">
            <w:pPr>
              <w:ind w:left="-57" w:right="-57"/>
              <w:jc w:val="center"/>
              <w:rPr>
                <w:szCs w:val="24"/>
                <w:lang w:eastAsia="lt-LT"/>
              </w:rPr>
            </w:pPr>
            <w:r>
              <w:rPr>
                <w:sz w:val="20"/>
                <w:lang w:eastAsia="lt-LT"/>
              </w:rPr>
              <w:t>(2029 m.)</w:t>
            </w:r>
          </w:p>
          <w:p w14:paraId="753DEACF" w14:textId="77777777" w:rsidR="005464C1" w:rsidRDefault="005464C1">
            <w:pPr>
              <w:ind w:firstLine="53"/>
              <w:jc w:val="center"/>
              <w:rPr>
                <w:szCs w:val="24"/>
                <w:lang w:eastAsia="lt-LT"/>
              </w:rPr>
            </w:pPr>
          </w:p>
        </w:tc>
        <w:tc>
          <w:tcPr>
            <w:tcW w:w="0" w:type="auto"/>
            <w:vMerge/>
            <w:vAlign w:val="center"/>
            <w:hideMark/>
          </w:tcPr>
          <w:p w14:paraId="6365FE2F" w14:textId="77777777" w:rsidR="005464C1" w:rsidRDefault="005464C1">
            <w:pPr>
              <w:rPr>
                <w:szCs w:val="24"/>
                <w:lang w:eastAsia="lt-LT"/>
              </w:rPr>
            </w:pPr>
          </w:p>
        </w:tc>
        <w:tc>
          <w:tcPr>
            <w:tcW w:w="379" w:type="dxa"/>
            <w:vMerge/>
            <w:vAlign w:val="center"/>
            <w:hideMark/>
          </w:tcPr>
          <w:p w14:paraId="5AD53BFF" w14:textId="77777777" w:rsidR="005464C1" w:rsidRDefault="005464C1">
            <w:pPr>
              <w:rPr>
                <w:szCs w:val="24"/>
                <w:lang w:eastAsia="lt-LT"/>
              </w:rPr>
            </w:pPr>
          </w:p>
        </w:tc>
      </w:tr>
    </w:tbl>
    <w:p w14:paraId="552E4FAC" w14:textId="77777777" w:rsidR="005464C1" w:rsidRDefault="005464C1"/>
    <w:p w14:paraId="6CB35066" w14:textId="77777777" w:rsidR="005464C1" w:rsidRDefault="00C3222F">
      <w:pPr>
        <w:ind w:left="1080" w:hanging="360"/>
        <w:rPr>
          <w:color w:val="000000"/>
          <w:szCs w:val="24"/>
        </w:rPr>
      </w:pPr>
      <w:r>
        <w:rPr>
          <w:color w:val="000000"/>
          <w:szCs w:val="24"/>
        </w:rPr>
        <w:t>3.</w:t>
      </w:r>
      <w:r>
        <w:rPr>
          <w:color w:val="000000"/>
          <w:szCs w:val="24"/>
        </w:rPr>
        <w:tab/>
      </w:r>
      <w:r>
        <w:rPr>
          <w:color w:val="000000"/>
        </w:rPr>
        <w:t xml:space="preserve">Pakeičiu 29 priedo lentelę „Veiklos ar </w:t>
      </w:r>
      <w:proofErr w:type="spellStart"/>
      <w:r>
        <w:rPr>
          <w:color w:val="000000"/>
        </w:rPr>
        <w:t>poveiklės</w:t>
      </w:r>
      <w:proofErr w:type="spellEnd"/>
      <w:r>
        <w:rPr>
          <w:color w:val="000000"/>
        </w:rPr>
        <w:t>, kurioms nustatomos projektų finansavimo sąlygos“ ir ją išdėstau taip:</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53"/>
        <w:gridCol w:w="1276"/>
        <w:gridCol w:w="1066"/>
        <w:gridCol w:w="1134"/>
        <w:gridCol w:w="1202"/>
        <w:gridCol w:w="1276"/>
        <w:gridCol w:w="992"/>
        <w:gridCol w:w="1276"/>
        <w:gridCol w:w="1134"/>
        <w:gridCol w:w="1134"/>
        <w:gridCol w:w="850"/>
        <w:gridCol w:w="1134"/>
      </w:tblGrid>
      <w:tr w:rsidR="005464C1" w14:paraId="10581E62" w14:textId="77777777">
        <w:tc>
          <w:tcPr>
            <w:tcW w:w="14737" w:type="dxa"/>
            <w:gridSpan w:val="13"/>
            <w:vAlign w:val="center"/>
          </w:tcPr>
          <w:p w14:paraId="36204DDE" w14:textId="77777777" w:rsidR="005464C1" w:rsidRDefault="00C3222F">
            <w:pPr>
              <w:ind w:left="720"/>
              <w:jc w:val="center"/>
              <w:rPr>
                <w:b/>
                <w:sz w:val="22"/>
                <w:szCs w:val="22"/>
              </w:rPr>
            </w:pPr>
            <w:r>
              <w:rPr>
                <w:bCs/>
                <w:sz w:val="22"/>
                <w:szCs w:val="22"/>
              </w:rPr>
              <w:t>„</w:t>
            </w:r>
            <w:r>
              <w:rPr>
                <w:b/>
                <w:sz w:val="22"/>
                <w:szCs w:val="22"/>
              </w:rPr>
              <w:t>VEIKLOS AR POVEIKLĖS, KURIOMS NUSTATOMOS PROJEKTŲ FINANSAVIMO SĄLYGOS</w:t>
            </w:r>
          </w:p>
        </w:tc>
      </w:tr>
      <w:tr w:rsidR="005464C1" w14:paraId="218A7A7C" w14:textId="77777777">
        <w:tc>
          <w:tcPr>
            <w:tcW w:w="1110" w:type="dxa"/>
            <w:vAlign w:val="center"/>
          </w:tcPr>
          <w:p w14:paraId="1F925C30" w14:textId="77777777" w:rsidR="005464C1" w:rsidRDefault="00C3222F">
            <w:pPr>
              <w:jc w:val="center"/>
              <w:rPr>
                <w:bCs/>
                <w:sz w:val="20"/>
              </w:rPr>
            </w:pPr>
            <w:r>
              <w:rPr>
                <w:bCs/>
                <w:sz w:val="20"/>
              </w:rPr>
              <w:t xml:space="preserve">Veiklos ar </w:t>
            </w:r>
            <w:proofErr w:type="spellStart"/>
            <w:r>
              <w:rPr>
                <w:bCs/>
                <w:sz w:val="20"/>
              </w:rPr>
              <w:t>poveiklės</w:t>
            </w:r>
            <w:proofErr w:type="spellEnd"/>
            <w:r>
              <w:rPr>
                <w:bCs/>
                <w:sz w:val="20"/>
              </w:rPr>
              <w:t xml:space="preserve"> pavadini-</w:t>
            </w:r>
            <w:proofErr w:type="spellStart"/>
            <w:r>
              <w:rPr>
                <w:bCs/>
                <w:sz w:val="20"/>
              </w:rPr>
              <w:t>mas</w:t>
            </w:r>
            <w:proofErr w:type="spellEnd"/>
          </w:p>
        </w:tc>
        <w:tc>
          <w:tcPr>
            <w:tcW w:w="1153" w:type="dxa"/>
            <w:vAlign w:val="center"/>
          </w:tcPr>
          <w:p w14:paraId="4CE754F5" w14:textId="77777777" w:rsidR="005464C1" w:rsidRDefault="00C3222F">
            <w:pPr>
              <w:jc w:val="center"/>
              <w:rPr>
                <w:bCs/>
                <w:sz w:val="20"/>
              </w:rPr>
            </w:pPr>
            <w:proofErr w:type="spellStart"/>
            <w:r>
              <w:rPr>
                <w:bCs/>
                <w:sz w:val="20"/>
              </w:rPr>
              <w:t>Finansa</w:t>
            </w:r>
            <w:proofErr w:type="spellEnd"/>
            <w:r>
              <w:rPr>
                <w:bCs/>
                <w:sz w:val="20"/>
              </w:rPr>
              <w:t>-vimo šaltinis</w:t>
            </w:r>
          </w:p>
        </w:tc>
        <w:tc>
          <w:tcPr>
            <w:tcW w:w="1276" w:type="dxa"/>
            <w:vAlign w:val="center"/>
          </w:tcPr>
          <w:p w14:paraId="61B32BB2" w14:textId="77777777" w:rsidR="005464C1" w:rsidRDefault="00C3222F">
            <w:pPr>
              <w:jc w:val="center"/>
              <w:rPr>
                <w:bCs/>
                <w:sz w:val="20"/>
              </w:rPr>
            </w:pPr>
            <w:r>
              <w:rPr>
                <w:bCs/>
                <w:sz w:val="20"/>
              </w:rPr>
              <w:t xml:space="preserve">Prioritetas ar </w:t>
            </w:r>
            <w:proofErr w:type="spellStart"/>
            <w:r>
              <w:rPr>
                <w:bCs/>
                <w:sz w:val="20"/>
              </w:rPr>
              <w:t>kompo-nentas</w:t>
            </w:r>
            <w:proofErr w:type="spellEnd"/>
          </w:p>
        </w:tc>
        <w:tc>
          <w:tcPr>
            <w:tcW w:w="1066" w:type="dxa"/>
            <w:vAlign w:val="center"/>
          </w:tcPr>
          <w:p w14:paraId="31A02CB3" w14:textId="77777777" w:rsidR="005464C1" w:rsidRDefault="00C3222F">
            <w:pPr>
              <w:jc w:val="center"/>
              <w:rPr>
                <w:bCs/>
                <w:sz w:val="20"/>
              </w:rPr>
            </w:pPr>
            <w:proofErr w:type="spellStart"/>
            <w:r>
              <w:rPr>
                <w:bCs/>
                <w:sz w:val="20"/>
              </w:rPr>
              <w:t>Uždavi-nys</w:t>
            </w:r>
            <w:proofErr w:type="spellEnd"/>
            <w:r>
              <w:rPr>
                <w:bCs/>
                <w:sz w:val="20"/>
              </w:rPr>
              <w:t xml:space="preserve"> ar priemonė</w:t>
            </w:r>
          </w:p>
        </w:tc>
        <w:tc>
          <w:tcPr>
            <w:tcW w:w="1134" w:type="dxa"/>
            <w:vAlign w:val="center"/>
          </w:tcPr>
          <w:p w14:paraId="68DF8B1E" w14:textId="77777777" w:rsidR="005464C1" w:rsidRDefault="00C3222F">
            <w:pPr>
              <w:jc w:val="center"/>
              <w:rPr>
                <w:bCs/>
                <w:sz w:val="20"/>
              </w:rPr>
            </w:pPr>
            <w:r>
              <w:rPr>
                <w:bCs/>
                <w:sz w:val="20"/>
              </w:rPr>
              <w:t xml:space="preserve">Veikla ar </w:t>
            </w:r>
            <w:proofErr w:type="spellStart"/>
            <w:r>
              <w:rPr>
                <w:bCs/>
                <w:sz w:val="20"/>
              </w:rPr>
              <w:t>paprie-monė</w:t>
            </w:r>
            <w:proofErr w:type="spellEnd"/>
          </w:p>
        </w:tc>
        <w:tc>
          <w:tcPr>
            <w:tcW w:w="1202" w:type="dxa"/>
            <w:vAlign w:val="center"/>
          </w:tcPr>
          <w:p w14:paraId="62E8F1A9" w14:textId="77777777" w:rsidR="005464C1" w:rsidRDefault="00C3222F">
            <w:pPr>
              <w:jc w:val="center"/>
              <w:rPr>
                <w:bCs/>
                <w:sz w:val="20"/>
              </w:rPr>
            </w:pPr>
            <w:proofErr w:type="spellStart"/>
            <w:r>
              <w:rPr>
                <w:bCs/>
                <w:sz w:val="20"/>
              </w:rPr>
              <w:t>Interven-cinės</w:t>
            </w:r>
            <w:proofErr w:type="spellEnd"/>
            <w:r>
              <w:rPr>
                <w:bCs/>
                <w:sz w:val="20"/>
              </w:rPr>
              <w:t xml:space="preserve"> priemonės kodas</w:t>
            </w:r>
          </w:p>
        </w:tc>
        <w:tc>
          <w:tcPr>
            <w:tcW w:w="1276" w:type="dxa"/>
            <w:vAlign w:val="center"/>
          </w:tcPr>
          <w:p w14:paraId="1D8BD296" w14:textId="77777777" w:rsidR="005464C1" w:rsidRDefault="00C3222F">
            <w:pPr>
              <w:jc w:val="center"/>
              <w:rPr>
                <w:bCs/>
                <w:sz w:val="20"/>
              </w:rPr>
            </w:pPr>
            <w:r>
              <w:rPr>
                <w:bCs/>
                <w:sz w:val="20"/>
              </w:rPr>
              <w:t xml:space="preserve">Regionas, kuriam priskiriama veikla ar </w:t>
            </w:r>
            <w:proofErr w:type="spellStart"/>
            <w:r>
              <w:rPr>
                <w:bCs/>
                <w:sz w:val="20"/>
              </w:rPr>
              <w:t>poveiklė</w:t>
            </w:r>
            <w:proofErr w:type="spellEnd"/>
          </w:p>
        </w:tc>
        <w:tc>
          <w:tcPr>
            <w:tcW w:w="992" w:type="dxa"/>
            <w:vAlign w:val="center"/>
          </w:tcPr>
          <w:p w14:paraId="181A9771" w14:textId="77777777" w:rsidR="005464C1" w:rsidRDefault="00C3222F">
            <w:pPr>
              <w:jc w:val="center"/>
              <w:rPr>
                <w:bCs/>
                <w:sz w:val="20"/>
              </w:rPr>
            </w:pPr>
            <w:r>
              <w:rPr>
                <w:bCs/>
                <w:sz w:val="20"/>
              </w:rPr>
              <w:t>Paramos formos kodas</w:t>
            </w:r>
          </w:p>
        </w:tc>
        <w:tc>
          <w:tcPr>
            <w:tcW w:w="1276" w:type="dxa"/>
            <w:vAlign w:val="center"/>
          </w:tcPr>
          <w:p w14:paraId="4F308073" w14:textId="77777777" w:rsidR="005464C1" w:rsidRDefault="00C3222F">
            <w:pPr>
              <w:jc w:val="center"/>
              <w:rPr>
                <w:bCs/>
                <w:sz w:val="20"/>
              </w:rPr>
            </w:pPr>
            <w:r>
              <w:rPr>
                <w:bCs/>
                <w:sz w:val="20"/>
              </w:rPr>
              <w:t>Pagrindinės teritorinės srities kodas (-ai)</w:t>
            </w:r>
          </w:p>
        </w:tc>
        <w:tc>
          <w:tcPr>
            <w:tcW w:w="1134" w:type="dxa"/>
            <w:vAlign w:val="center"/>
          </w:tcPr>
          <w:p w14:paraId="12BC90AD" w14:textId="77777777" w:rsidR="005464C1" w:rsidRDefault="00C3222F">
            <w:pPr>
              <w:jc w:val="center"/>
              <w:rPr>
                <w:bCs/>
                <w:sz w:val="20"/>
              </w:rPr>
            </w:pPr>
            <w:proofErr w:type="spellStart"/>
            <w:r>
              <w:rPr>
                <w:bCs/>
                <w:sz w:val="20"/>
              </w:rPr>
              <w:t>Ekono</w:t>
            </w:r>
            <w:proofErr w:type="spellEnd"/>
            <w:r>
              <w:rPr>
                <w:bCs/>
                <w:sz w:val="20"/>
              </w:rPr>
              <w:t xml:space="preserve">-minės veiklos kodas </w:t>
            </w:r>
          </w:p>
          <w:p w14:paraId="6706E89B" w14:textId="77777777" w:rsidR="005464C1" w:rsidRDefault="00C3222F">
            <w:pPr>
              <w:jc w:val="center"/>
              <w:rPr>
                <w:bCs/>
                <w:sz w:val="20"/>
              </w:rPr>
            </w:pPr>
            <w:r>
              <w:rPr>
                <w:bCs/>
                <w:sz w:val="20"/>
              </w:rPr>
              <w:t>(-ai)</w:t>
            </w:r>
          </w:p>
        </w:tc>
        <w:tc>
          <w:tcPr>
            <w:tcW w:w="1134" w:type="dxa"/>
            <w:vAlign w:val="center"/>
          </w:tcPr>
          <w:p w14:paraId="0F165F26" w14:textId="77777777" w:rsidR="005464C1" w:rsidRDefault="00C3222F">
            <w:pPr>
              <w:jc w:val="center"/>
              <w:rPr>
                <w:bCs/>
                <w:sz w:val="20"/>
              </w:rPr>
            </w:pPr>
            <w:r>
              <w:rPr>
                <w:bCs/>
                <w:sz w:val="20"/>
              </w:rPr>
              <w:t>„Europos socialinio fondo +“ (toliau – ESF+) antrinių temų kodai</w:t>
            </w:r>
          </w:p>
        </w:tc>
        <w:tc>
          <w:tcPr>
            <w:tcW w:w="850" w:type="dxa"/>
            <w:vAlign w:val="center"/>
          </w:tcPr>
          <w:p w14:paraId="684CEA4D" w14:textId="77777777" w:rsidR="005464C1" w:rsidRDefault="00C3222F">
            <w:pPr>
              <w:jc w:val="center"/>
              <w:rPr>
                <w:bCs/>
                <w:sz w:val="20"/>
              </w:rPr>
            </w:pPr>
            <w:r>
              <w:rPr>
                <w:bCs/>
                <w:sz w:val="20"/>
              </w:rPr>
              <w:t>Lyčių lygybės mat-</w:t>
            </w:r>
            <w:proofErr w:type="spellStart"/>
            <w:r>
              <w:rPr>
                <w:bCs/>
                <w:sz w:val="20"/>
              </w:rPr>
              <w:t>mens</w:t>
            </w:r>
            <w:proofErr w:type="spellEnd"/>
            <w:r>
              <w:rPr>
                <w:bCs/>
                <w:sz w:val="20"/>
              </w:rPr>
              <w:t xml:space="preserve"> kodas</w:t>
            </w:r>
          </w:p>
        </w:tc>
        <w:tc>
          <w:tcPr>
            <w:tcW w:w="1134" w:type="dxa"/>
            <w:vAlign w:val="center"/>
          </w:tcPr>
          <w:p w14:paraId="69C58056" w14:textId="77777777" w:rsidR="005464C1" w:rsidRDefault="00C3222F">
            <w:pPr>
              <w:jc w:val="center"/>
              <w:rPr>
                <w:bCs/>
                <w:sz w:val="20"/>
              </w:rPr>
            </w:pPr>
            <w:proofErr w:type="spellStart"/>
            <w:r>
              <w:rPr>
                <w:bCs/>
                <w:sz w:val="20"/>
              </w:rPr>
              <w:t>Nepanau-dotos</w:t>
            </w:r>
            <w:proofErr w:type="spellEnd"/>
            <w:r>
              <w:rPr>
                <w:bCs/>
                <w:sz w:val="20"/>
              </w:rPr>
              <w:t xml:space="preserve"> </w:t>
            </w:r>
            <w:proofErr w:type="spellStart"/>
            <w:r>
              <w:rPr>
                <w:bCs/>
                <w:sz w:val="20"/>
              </w:rPr>
              <w:t>Ekono-mikos</w:t>
            </w:r>
            <w:proofErr w:type="spellEnd"/>
            <w:r>
              <w:rPr>
                <w:bCs/>
                <w:sz w:val="20"/>
              </w:rPr>
              <w:t xml:space="preserve"> gaivinimo ir atsparu-</w:t>
            </w:r>
            <w:proofErr w:type="spellStart"/>
            <w:r>
              <w:rPr>
                <w:bCs/>
                <w:sz w:val="20"/>
              </w:rPr>
              <w:t>mo</w:t>
            </w:r>
            <w:proofErr w:type="spellEnd"/>
            <w:r>
              <w:rPr>
                <w:bCs/>
                <w:sz w:val="20"/>
              </w:rPr>
              <w:t xml:space="preserve"> didinimo prie-</w:t>
            </w:r>
            <w:proofErr w:type="spellStart"/>
            <w:r>
              <w:rPr>
                <w:bCs/>
                <w:sz w:val="20"/>
              </w:rPr>
              <w:t>monės</w:t>
            </w:r>
            <w:proofErr w:type="spellEnd"/>
            <w:r>
              <w:rPr>
                <w:bCs/>
                <w:sz w:val="20"/>
              </w:rPr>
              <w:t xml:space="preserve"> lėšos</w:t>
            </w:r>
          </w:p>
          <w:p w14:paraId="58D94074" w14:textId="77777777" w:rsidR="005464C1" w:rsidRDefault="00C3222F">
            <w:pPr>
              <w:jc w:val="center"/>
              <w:rPr>
                <w:bCs/>
                <w:sz w:val="20"/>
              </w:rPr>
            </w:pPr>
            <w:r>
              <w:rPr>
                <w:bCs/>
                <w:sz w:val="20"/>
              </w:rPr>
              <w:t>(Taip / Ne)</w:t>
            </w:r>
          </w:p>
        </w:tc>
      </w:tr>
      <w:tr w:rsidR="005464C1" w14:paraId="3F19E2C4" w14:textId="77777777">
        <w:trPr>
          <w:trHeight w:val="2682"/>
        </w:trPr>
        <w:tc>
          <w:tcPr>
            <w:tcW w:w="1110" w:type="dxa"/>
            <w:tcMar>
              <w:left w:w="28" w:type="dxa"/>
              <w:right w:w="28" w:type="dxa"/>
            </w:tcMar>
            <w:vAlign w:val="center"/>
          </w:tcPr>
          <w:p w14:paraId="5889A071" w14:textId="77777777" w:rsidR="005464C1" w:rsidRDefault="00C3222F">
            <w:pPr>
              <w:rPr>
                <w:strike/>
                <w:color w:val="000000"/>
                <w:sz w:val="20"/>
              </w:rPr>
            </w:pPr>
            <w:r>
              <w:rPr>
                <w:color w:val="000000"/>
                <w:sz w:val="20"/>
              </w:rPr>
              <w:t>7.5.</w:t>
            </w:r>
          </w:p>
          <w:p w14:paraId="32DCEE23" w14:textId="77777777" w:rsidR="005464C1" w:rsidRDefault="00C3222F">
            <w:pPr>
              <w:rPr>
                <w:sz w:val="20"/>
              </w:rPr>
            </w:pPr>
            <w:r>
              <w:rPr>
                <w:color w:val="000000"/>
                <w:sz w:val="20"/>
              </w:rPr>
              <w:t>Integruotų psichikos sveikatos paslaugų bei modelių išbandymas ir diegimas, Vidurio ir vakarų Lietuvos regionas</w:t>
            </w:r>
          </w:p>
          <w:p w14:paraId="60A87B72" w14:textId="77777777" w:rsidR="005464C1" w:rsidRDefault="005464C1">
            <w:pPr>
              <w:rPr>
                <w:sz w:val="20"/>
              </w:rPr>
            </w:pPr>
          </w:p>
          <w:p w14:paraId="3A94B03D" w14:textId="77777777" w:rsidR="005464C1" w:rsidRDefault="005464C1">
            <w:pPr>
              <w:rPr>
                <w:i/>
                <w:sz w:val="22"/>
                <w:szCs w:val="22"/>
              </w:rPr>
            </w:pPr>
          </w:p>
        </w:tc>
        <w:tc>
          <w:tcPr>
            <w:tcW w:w="1153" w:type="dxa"/>
            <w:tcMar>
              <w:left w:w="28" w:type="dxa"/>
              <w:right w:w="28" w:type="dxa"/>
            </w:tcMar>
          </w:tcPr>
          <w:p w14:paraId="7539D63E" w14:textId="77777777" w:rsidR="005464C1" w:rsidRDefault="005464C1">
            <w:pPr>
              <w:jc w:val="center"/>
              <w:rPr>
                <w:iCs/>
                <w:sz w:val="20"/>
              </w:rPr>
            </w:pPr>
          </w:p>
          <w:p w14:paraId="46DD10AB" w14:textId="77777777" w:rsidR="005464C1" w:rsidRDefault="005464C1">
            <w:pPr>
              <w:jc w:val="center"/>
              <w:rPr>
                <w:iCs/>
                <w:sz w:val="20"/>
              </w:rPr>
            </w:pPr>
          </w:p>
          <w:p w14:paraId="29D54B9C" w14:textId="77777777" w:rsidR="005464C1" w:rsidRDefault="005464C1">
            <w:pPr>
              <w:jc w:val="center"/>
              <w:rPr>
                <w:iCs/>
                <w:sz w:val="20"/>
              </w:rPr>
            </w:pPr>
          </w:p>
          <w:p w14:paraId="76C27131" w14:textId="77777777" w:rsidR="005464C1" w:rsidRDefault="005464C1">
            <w:pPr>
              <w:rPr>
                <w:sz w:val="8"/>
                <w:szCs w:val="8"/>
              </w:rPr>
            </w:pPr>
          </w:p>
          <w:p w14:paraId="1C7D569F" w14:textId="77777777" w:rsidR="005464C1" w:rsidRDefault="00C3222F">
            <w:pPr>
              <w:jc w:val="center"/>
              <w:rPr>
                <w:sz w:val="20"/>
                <w:lang w:eastAsia="lt-LT"/>
              </w:rPr>
            </w:pPr>
            <w:r>
              <w:rPr>
                <w:sz w:val="20"/>
                <w:lang w:eastAsia="lt-LT"/>
              </w:rPr>
              <w:t>Europos Sąjungos fondų lėšos (toliau – ES lėšos) ir bendrojo finansavimo lėšos (toliau – BF lėšos)</w:t>
            </w:r>
          </w:p>
          <w:p w14:paraId="0F70C1F2" w14:textId="77777777" w:rsidR="005464C1" w:rsidRDefault="005464C1">
            <w:pPr>
              <w:rPr>
                <w:sz w:val="8"/>
                <w:szCs w:val="8"/>
              </w:rPr>
            </w:pPr>
          </w:p>
          <w:p w14:paraId="73CD0C85" w14:textId="77777777" w:rsidR="005464C1" w:rsidRDefault="005464C1">
            <w:pPr>
              <w:jc w:val="center"/>
              <w:rPr>
                <w:bCs/>
                <w:iCs/>
                <w:color w:val="000000"/>
                <w:sz w:val="22"/>
                <w:szCs w:val="22"/>
              </w:rPr>
            </w:pPr>
          </w:p>
          <w:p w14:paraId="1C663F95" w14:textId="77777777" w:rsidR="005464C1" w:rsidRDefault="005464C1">
            <w:pPr>
              <w:jc w:val="center"/>
              <w:rPr>
                <w:bCs/>
                <w:iCs/>
                <w:color w:val="000000"/>
                <w:sz w:val="22"/>
                <w:szCs w:val="22"/>
              </w:rPr>
            </w:pPr>
          </w:p>
          <w:p w14:paraId="19A1F4F3" w14:textId="77777777" w:rsidR="005464C1" w:rsidRDefault="005464C1">
            <w:pPr>
              <w:rPr>
                <w:iCs/>
                <w:sz w:val="20"/>
              </w:rPr>
            </w:pPr>
          </w:p>
        </w:tc>
        <w:tc>
          <w:tcPr>
            <w:tcW w:w="1276" w:type="dxa"/>
            <w:tcMar>
              <w:left w:w="28" w:type="dxa"/>
              <w:right w:w="28" w:type="dxa"/>
            </w:tcMar>
            <w:vAlign w:val="center"/>
          </w:tcPr>
          <w:p w14:paraId="753EBC21" w14:textId="77777777" w:rsidR="005464C1" w:rsidRDefault="00C3222F">
            <w:pPr>
              <w:jc w:val="center"/>
              <w:rPr>
                <w:i/>
                <w:sz w:val="20"/>
              </w:rPr>
            </w:pPr>
            <w:r>
              <w:rPr>
                <w:sz w:val="20"/>
              </w:rPr>
              <w:lastRenderedPageBreak/>
              <w:t>4</w:t>
            </w:r>
          </w:p>
        </w:tc>
        <w:tc>
          <w:tcPr>
            <w:tcW w:w="1066" w:type="dxa"/>
            <w:tcMar>
              <w:left w:w="28" w:type="dxa"/>
              <w:right w:w="28" w:type="dxa"/>
            </w:tcMar>
            <w:vAlign w:val="center"/>
          </w:tcPr>
          <w:p w14:paraId="02C4447D" w14:textId="77777777" w:rsidR="005464C1" w:rsidRDefault="00C3222F">
            <w:pPr>
              <w:jc w:val="center"/>
              <w:rPr>
                <w:sz w:val="20"/>
              </w:rPr>
            </w:pPr>
            <w:r>
              <w:rPr>
                <w:sz w:val="20"/>
              </w:rPr>
              <w:t>4.8</w:t>
            </w:r>
          </w:p>
          <w:p w14:paraId="3E8424AF" w14:textId="77777777" w:rsidR="005464C1" w:rsidRDefault="005464C1">
            <w:pPr>
              <w:jc w:val="center"/>
              <w:rPr>
                <w:sz w:val="20"/>
              </w:rPr>
            </w:pPr>
          </w:p>
        </w:tc>
        <w:tc>
          <w:tcPr>
            <w:tcW w:w="1134" w:type="dxa"/>
            <w:tcMar>
              <w:left w:w="28" w:type="dxa"/>
              <w:right w:w="28" w:type="dxa"/>
            </w:tcMar>
            <w:vAlign w:val="center"/>
          </w:tcPr>
          <w:p w14:paraId="6E802D08" w14:textId="77777777" w:rsidR="005464C1" w:rsidRDefault="00C3222F">
            <w:pPr>
              <w:jc w:val="center"/>
              <w:rPr>
                <w:sz w:val="20"/>
              </w:rPr>
            </w:pPr>
            <w:r>
              <w:rPr>
                <w:sz w:val="20"/>
              </w:rPr>
              <w:t>4.8.8</w:t>
            </w:r>
          </w:p>
          <w:p w14:paraId="464C8C7C" w14:textId="77777777" w:rsidR="005464C1" w:rsidRDefault="00C3222F">
            <w:pPr>
              <w:jc w:val="center"/>
              <w:rPr>
                <w:i/>
                <w:sz w:val="20"/>
              </w:rPr>
            </w:pPr>
            <w:r>
              <w:rPr>
                <w:sz w:val="20"/>
                <w:szCs w:val="18"/>
                <w:lang w:eastAsia="lt-LT"/>
              </w:rPr>
              <w:t xml:space="preserve">Gerinti aukštos </w:t>
            </w:r>
            <w:r>
              <w:rPr>
                <w:sz w:val="20"/>
                <w:szCs w:val="18"/>
                <w:lang w:eastAsia="lt-LT"/>
              </w:rPr>
              <w:t xml:space="preserve">kokybės </w:t>
            </w:r>
            <w:proofErr w:type="spellStart"/>
            <w:r>
              <w:rPr>
                <w:sz w:val="20"/>
                <w:szCs w:val="18"/>
                <w:lang w:eastAsia="lt-LT"/>
              </w:rPr>
              <w:t>specializuo</w:t>
            </w:r>
            <w:proofErr w:type="spellEnd"/>
            <w:r>
              <w:rPr>
                <w:sz w:val="20"/>
                <w:szCs w:val="18"/>
                <w:lang w:eastAsia="lt-LT"/>
              </w:rPr>
              <w:t>-tos sveikatos priežiūros prieinamumą</w:t>
            </w:r>
          </w:p>
        </w:tc>
        <w:tc>
          <w:tcPr>
            <w:tcW w:w="1202" w:type="dxa"/>
            <w:tcMar>
              <w:left w:w="28" w:type="dxa"/>
              <w:right w:w="28" w:type="dxa"/>
            </w:tcMar>
            <w:vAlign w:val="center"/>
          </w:tcPr>
          <w:p w14:paraId="01B63F34" w14:textId="77777777" w:rsidR="005464C1" w:rsidRDefault="00C3222F">
            <w:pPr>
              <w:jc w:val="center"/>
              <w:rPr>
                <w:sz w:val="20"/>
              </w:rPr>
            </w:pPr>
            <w:r>
              <w:rPr>
                <w:sz w:val="20"/>
              </w:rPr>
              <w:t>160</w:t>
            </w:r>
          </w:p>
        </w:tc>
        <w:tc>
          <w:tcPr>
            <w:tcW w:w="1276" w:type="dxa"/>
            <w:tcMar>
              <w:left w:w="28" w:type="dxa"/>
              <w:right w:w="28" w:type="dxa"/>
            </w:tcMar>
            <w:vAlign w:val="center"/>
          </w:tcPr>
          <w:p w14:paraId="47A34C50" w14:textId="77777777" w:rsidR="005464C1" w:rsidRDefault="00C3222F">
            <w:pPr>
              <w:jc w:val="center"/>
              <w:rPr>
                <w:i/>
                <w:sz w:val="20"/>
              </w:rPr>
            </w:pPr>
            <w:r>
              <w:rPr>
                <w:sz w:val="20"/>
              </w:rPr>
              <w:t>Vidurio ir vakarų Lietuvos regionas</w:t>
            </w:r>
          </w:p>
        </w:tc>
        <w:tc>
          <w:tcPr>
            <w:tcW w:w="992" w:type="dxa"/>
            <w:tcMar>
              <w:left w:w="28" w:type="dxa"/>
              <w:right w:w="28" w:type="dxa"/>
            </w:tcMar>
            <w:vAlign w:val="center"/>
          </w:tcPr>
          <w:p w14:paraId="5EB36929" w14:textId="77777777" w:rsidR="005464C1" w:rsidRDefault="00C3222F">
            <w:pPr>
              <w:jc w:val="center"/>
              <w:rPr>
                <w:i/>
                <w:sz w:val="20"/>
              </w:rPr>
            </w:pPr>
            <w:r>
              <w:rPr>
                <w:sz w:val="20"/>
              </w:rPr>
              <w:t>01</w:t>
            </w:r>
          </w:p>
        </w:tc>
        <w:tc>
          <w:tcPr>
            <w:tcW w:w="1276" w:type="dxa"/>
            <w:tcMar>
              <w:left w:w="28" w:type="dxa"/>
              <w:right w:w="28" w:type="dxa"/>
            </w:tcMar>
            <w:vAlign w:val="center"/>
          </w:tcPr>
          <w:p w14:paraId="23D64168" w14:textId="77777777" w:rsidR="005464C1" w:rsidRDefault="00C3222F">
            <w:pPr>
              <w:jc w:val="center"/>
              <w:rPr>
                <w:sz w:val="20"/>
              </w:rPr>
            </w:pPr>
            <w:r>
              <w:rPr>
                <w:sz w:val="20"/>
              </w:rPr>
              <w:t>33</w:t>
            </w:r>
          </w:p>
        </w:tc>
        <w:tc>
          <w:tcPr>
            <w:tcW w:w="1134" w:type="dxa"/>
            <w:tcMar>
              <w:left w:w="28" w:type="dxa"/>
              <w:right w:w="28" w:type="dxa"/>
            </w:tcMar>
            <w:vAlign w:val="center"/>
          </w:tcPr>
          <w:p w14:paraId="6D9801C1" w14:textId="77777777" w:rsidR="005464C1" w:rsidRDefault="00C3222F">
            <w:pPr>
              <w:jc w:val="center"/>
              <w:rPr>
                <w:sz w:val="20"/>
              </w:rPr>
            </w:pPr>
            <w:r>
              <w:rPr>
                <w:sz w:val="20"/>
              </w:rPr>
              <w:t>22</w:t>
            </w:r>
          </w:p>
        </w:tc>
        <w:tc>
          <w:tcPr>
            <w:tcW w:w="1134" w:type="dxa"/>
            <w:tcMar>
              <w:left w:w="28" w:type="dxa"/>
              <w:right w:w="28" w:type="dxa"/>
            </w:tcMar>
            <w:vAlign w:val="center"/>
          </w:tcPr>
          <w:p w14:paraId="7B88342F" w14:textId="77777777" w:rsidR="005464C1" w:rsidRDefault="00C3222F">
            <w:pPr>
              <w:jc w:val="center"/>
              <w:rPr>
                <w:sz w:val="20"/>
              </w:rPr>
            </w:pPr>
            <w:r>
              <w:rPr>
                <w:sz w:val="20"/>
              </w:rPr>
              <w:t>09</w:t>
            </w:r>
          </w:p>
        </w:tc>
        <w:tc>
          <w:tcPr>
            <w:tcW w:w="850" w:type="dxa"/>
            <w:tcMar>
              <w:left w:w="28" w:type="dxa"/>
              <w:right w:w="28" w:type="dxa"/>
            </w:tcMar>
            <w:vAlign w:val="center"/>
          </w:tcPr>
          <w:p w14:paraId="3346DEA5" w14:textId="77777777" w:rsidR="005464C1" w:rsidRDefault="00C3222F">
            <w:pPr>
              <w:jc w:val="center"/>
              <w:rPr>
                <w:sz w:val="20"/>
              </w:rPr>
            </w:pPr>
            <w:r>
              <w:rPr>
                <w:sz w:val="20"/>
              </w:rPr>
              <w:t>03</w:t>
            </w:r>
          </w:p>
        </w:tc>
        <w:tc>
          <w:tcPr>
            <w:tcW w:w="1134" w:type="dxa"/>
            <w:vAlign w:val="center"/>
          </w:tcPr>
          <w:p w14:paraId="40D82540" w14:textId="77777777" w:rsidR="005464C1" w:rsidRDefault="00C3222F">
            <w:pPr>
              <w:jc w:val="center"/>
              <w:rPr>
                <w:i/>
                <w:iCs/>
                <w:sz w:val="20"/>
              </w:rPr>
            </w:pPr>
            <w:r>
              <w:rPr>
                <w:sz w:val="20"/>
              </w:rPr>
              <w:t>Ne</w:t>
            </w:r>
          </w:p>
        </w:tc>
      </w:tr>
    </w:tbl>
    <w:p w14:paraId="5F1D3CDD" w14:textId="77777777" w:rsidR="005464C1" w:rsidRDefault="005464C1">
      <w:pPr>
        <w:tabs>
          <w:tab w:val="left" w:pos="993"/>
        </w:tabs>
        <w:spacing w:line="276" w:lineRule="auto"/>
        <w:jc w:val="both"/>
        <w:rPr>
          <w:color w:val="000000"/>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343"/>
        <w:gridCol w:w="3686"/>
      </w:tblGrid>
      <w:tr w:rsidR="005464C1" w14:paraId="6900F7C5" w14:textId="77777777">
        <w:trPr>
          <w:trHeight w:val="405"/>
        </w:trPr>
        <w:tc>
          <w:tcPr>
            <w:tcW w:w="3783" w:type="dxa"/>
            <w:shd w:val="clear" w:color="auto" w:fill="auto"/>
            <w:vAlign w:val="center"/>
          </w:tcPr>
          <w:p w14:paraId="7FB4C4F2" w14:textId="77777777" w:rsidR="005464C1" w:rsidRDefault="00C3222F">
            <w:pPr>
              <w:jc w:val="center"/>
              <w:rPr>
                <w:szCs w:val="24"/>
              </w:rPr>
            </w:pPr>
            <w:r>
              <w:rPr>
                <w:szCs w:val="24"/>
              </w:rPr>
              <w:t>Rodiklio pavadinimas</w:t>
            </w:r>
          </w:p>
        </w:tc>
        <w:tc>
          <w:tcPr>
            <w:tcW w:w="3784" w:type="dxa"/>
            <w:shd w:val="clear" w:color="auto" w:fill="auto"/>
            <w:vAlign w:val="center"/>
          </w:tcPr>
          <w:p w14:paraId="54F46FE0" w14:textId="77777777" w:rsidR="005464C1" w:rsidRDefault="00C3222F">
            <w:pPr>
              <w:jc w:val="center"/>
              <w:rPr>
                <w:szCs w:val="24"/>
              </w:rPr>
            </w:pPr>
            <w:r>
              <w:rPr>
                <w:szCs w:val="24"/>
              </w:rPr>
              <w:t>Rodiklio kodas</w:t>
            </w:r>
          </w:p>
        </w:tc>
        <w:tc>
          <w:tcPr>
            <w:tcW w:w="3343" w:type="dxa"/>
            <w:shd w:val="clear" w:color="auto" w:fill="auto"/>
            <w:vAlign w:val="center"/>
          </w:tcPr>
          <w:p w14:paraId="4074B6DF" w14:textId="77777777" w:rsidR="005464C1" w:rsidRDefault="00C3222F">
            <w:pPr>
              <w:jc w:val="center"/>
              <w:rPr>
                <w:szCs w:val="24"/>
              </w:rPr>
            </w:pPr>
            <w:r>
              <w:rPr>
                <w:szCs w:val="24"/>
              </w:rPr>
              <w:t>Matavimo vienetai</w:t>
            </w:r>
          </w:p>
        </w:tc>
        <w:tc>
          <w:tcPr>
            <w:tcW w:w="3686" w:type="dxa"/>
            <w:shd w:val="clear" w:color="auto" w:fill="auto"/>
            <w:vAlign w:val="center"/>
          </w:tcPr>
          <w:p w14:paraId="58986253" w14:textId="77777777" w:rsidR="005464C1" w:rsidRDefault="00C3222F">
            <w:pPr>
              <w:jc w:val="center"/>
              <w:rPr>
                <w:szCs w:val="24"/>
              </w:rPr>
            </w:pPr>
            <w:r>
              <w:rPr>
                <w:szCs w:val="24"/>
              </w:rPr>
              <w:t>Siektina reikšmė ir pasiekimo data</w:t>
            </w:r>
          </w:p>
        </w:tc>
      </w:tr>
      <w:tr w:rsidR="005464C1" w14:paraId="4E015535" w14:textId="77777777">
        <w:trPr>
          <w:trHeight w:val="416"/>
        </w:trPr>
        <w:tc>
          <w:tcPr>
            <w:tcW w:w="3783" w:type="dxa"/>
          </w:tcPr>
          <w:p w14:paraId="652E36CD" w14:textId="77777777" w:rsidR="005464C1" w:rsidRDefault="00C3222F">
            <w:pPr>
              <w:jc w:val="center"/>
              <w:rPr>
                <w:szCs w:val="24"/>
              </w:rPr>
            </w:pPr>
            <w:r>
              <w:rPr>
                <w:szCs w:val="24"/>
              </w:rPr>
              <w:t xml:space="preserve">Paramą gavusių nacionalinio, regionų ar vietos lygmens viešojo administravimo ar viešąsias paslaugas teikiančių įstaigų skaičius </w:t>
            </w:r>
          </w:p>
        </w:tc>
        <w:tc>
          <w:tcPr>
            <w:tcW w:w="3784" w:type="dxa"/>
          </w:tcPr>
          <w:p w14:paraId="38F94870" w14:textId="77777777" w:rsidR="005464C1" w:rsidRDefault="00C3222F">
            <w:pPr>
              <w:jc w:val="center"/>
            </w:pPr>
            <w:r>
              <w:rPr>
                <w:szCs w:val="24"/>
                <w:lang w:eastAsia="lt-LT"/>
              </w:rPr>
              <w:t>P.B.</w:t>
            </w:r>
            <w:r>
              <w:t>2.0518</w:t>
            </w:r>
          </w:p>
          <w:p w14:paraId="4E5CD517" w14:textId="77777777" w:rsidR="005464C1" w:rsidRDefault="00C3222F">
            <w:pPr>
              <w:jc w:val="center"/>
              <w:rPr>
                <w:szCs w:val="24"/>
                <w:lang w:eastAsia="lt-LT"/>
              </w:rPr>
            </w:pPr>
            <w:r>
              <w:rPr>
                <w:szCs w:val="24"/>
                <w:lang w:eastAsia="lt-LT"/>
              </w:rPr>
              <w:t>P-11-002-02-11-01-22</w:t>
            </w:r>
          </w:p>
          <w:p w14:paraId="5A67BC7B" w14:textId="77777777" w:rsidR="005464C1" w:rsidRDefault="005464C1">
            <w:pPr>
              <w:jc w:val="center"/>
              <w:rPr>
                <w:szCs w:val="24"/>
                <w:lang w:eastAsia="lt-LT"/>
              </w:rPr>
            </w:pPr>
          </w:p>
          <w:p w14:paraId="58B68E74" w14:textId="77777777" w:rsidR="005464C1" w:rsidRDefault="005464C1">
            <w:pPr>
              <w:jc w:val="center"/>
              <w:rPr>
                <w:szCs w:val="24"/>
                <w:lang w:eastAsia="lt-LT"/>
              </w:rPr>
            </w:pPr>
          </w:p>
        </w:tc>
        <w:tc>
          <w:tcPr>
            <w:tcW w:w="3343" w:type="dxa"/>
          </w:tcPr>
          <w:p w14:paraId="6E83D4D3" w14:textId="77777777" w:rsidR="005464C1" w:rsidRDefault="00C3222F">
            <w:pPr>
              <w:jc w:val="center"/>
              <w:rPr>
                <w:szCs w:val="24"/>
              </w:rPr>
            </w:pPr>
            <w:r>
              <w:rPr>
                <w:szCs w:val="24"/>
              </w:rPr>
              <w:t>subjektų skaičius</w:t>
            </w:r>
          </w:p>
        </w:tc>
        <w:tc>
          <w:tcPr>
            <w:tcW w:w="3686" w:type="dxa"/>
          </w:tcPr>
          <w:p w14:paraId="528896F1" w14:textId="77777777" w:rsidR="005464C1" w:rsidRDefault="00C3222F">
            <w:pPr>
              <w:jc w:val="center"/>
              <w:rPr>
                <w:szCs w:val="24"/>
                <w:lang w:val="en-US"/>
              </w:rPr>
            </w:pPr>
            <w:r>
              <w:rPr>
                <w:szCs w:val="24"/>
              </w:rPr>
              <w:t>11</w:t>
            </w:r>
          </w:p>
          <w:p w14:paraId="5D1371CB" w14:textId="77777777" w:rsidR="005464C1" w:rsidRDefault="00C3222F">
            <w:pPr>
              <w:jc w:val="center"/>
              <w:rPr>
                <w:szCs w:val="24"/>
              </w:rPr>
            </w:pPr>
            <w:r>
              <w:rPr>
                <w:szCs w:val="24"/>
              </w:rPr>
              <w:t>(2029 m.)</w:t>
            </w:r>
            <w:r>
              <w:rPr>
                <w:color w:val="FF0000"/>
                <w:szCs w:val="24"/>
              </w:rPr>
              <w:t xml:space="preserve"> </w:t>
            </w:r>
          </w:p>
        </w:tc>
      </w:tr>
      <w:tr w:rsidR="005464C1" w14:paraId="193C95AD" w14:textId="77777777">
        <w:trPr>
          <w:trHeight w:val="416"/>
        </w:trPr>
        <w:tc>
          <w:tcPr>
            <w:tcW w:w="3783" w:type="dxa"/>
          </w:tcPr>
          <w:p w14:paraId="242EB1A4" w14:textId="77777777" w:rsidR="005464C1" w:rsidRDefault="00C3222F">
            <w:pPr>
              <w:jc w:val="center"/>
              <w:rPr>
                <w:szCs w:val="24"/>
              </w:rPr>
            </w:pPr>
            <w:r>
              <w:rPr>
                <w:szCs w:val="24"/>
              </w:rPr>
              <w:t>Pacientų pasitenkinimas gautomis paslaugomis</w:t>
            </w:r>
          </w:p>
        </w:tc>
        <w:tc>
          <w:tcPr>
            <w:tcW w:w="3784" w:type="dxa"/>
          </w:tcPr>
          <w:p w14:paraId="2E619CD2" w14:textId="77777777" w:rsidR="005464C1" w:rsidRDefault="00C3222F">
            <w:pPr>
              <w:jc w:val="center"/>
              <w:rPr>
                <w:szCs w:val="24"/>
                <w:lang w:eastAsia="lt-LT"/>
              </w:rPr>
            </w:pPr>
            <w:r>
              <w:rPr>
                <w:szCs w:val="24"/>
                <w:lang w:eastAsia="lt-LT"/>
              </w:rPr>
              <w:t>R.S.2.3529</w:t>
            </w:r>
          </w:p>
          <w:p w14:paraId="71C9FFA0" w14:textId="77777777" w:rsidR="005464C1" w:rsidRDefault="00C3222F">
            <w:pPr>
              <w:jc w:val="center"/>
              <w:rPr>
                <w:szCs w:val="24"/>
                <w:lang w:eastAsia="lt-LT"/>
              </w:rPr>
            </w:pPr>
            <w:r>
              <w:rPr>
                <w:szCs w:val="24"/>
                <w:lang w:eastAsia="lt-LT"/>
              </w:rPr>
              <w:t>R-11-002-02-11-01-27</w:t>
            </w:r>
          </w:p>
        </w:tc>
        <w:tc>
          <w:tcPr>
            <w:tcW w:w="3343" w:type="dxa"/>
          </w:tcPr>
          <w:p w14:paraId="6D608712" w14:textId="77777777" w:rsidR="005464C1" w:rsidRDefault="00C3222F">
            <w:pPr>
              <w:jc w:val="center"/>
              <w:rPr>
                <w:szCs w:val="24"/>
              </w:rPr>
            </w:pPr>
            <w:r>
              <w:rPr>
                <w:szCs w:val="24"/>
              </w:rPr>
              <w:t>proc.</w:t>
            </w:r>
          </w:p>
        </w:tc>
        <w:tc>
          <w:tcPr>
            <w:tcW w:w="3686" w:type="dxa"/>
          </w:tcPr>
          <w:p w14:paraId="2B2AB7C0" w14:textId="77777777" w:rsidR="005464C1" w:rsidRDefault="00C3222F">
            <w:pPr>
              <w:jc w:val="center"/>
              <w:rPr>
                <w:szCs w:val="24"/>
              </w:rPr>
            </w:pPr>
            <w:r>
              <w:rPr>
                <w:szCs w:val="24"/>
              </w:rPr>
              <w:t>70</w:t>
            </w:r>
          </w:p>
          <w:p w14:paraId="20D7FE1E" w14:textId="77777777" w:rsidR="005464C1" w:rsidRDefault="00C3222F">
            <w:pPr>
              <w:jc w:val="center"/>
              <w:rPr>
                <w:szCs w:val="24"/>
              </w:rPr>
            </w:pPr>
            <w:r>
              <w:rPr>
                <w:szCs w:val="24"/>
              </w:rPr>
              <w:t>(2029 m.)</w:t>
            </w:r>
          </w:p>
        </w:tc>
      </w:tr>
      <w:tr w:rsidR="005464C1" w14:paraId="49FFAA16" w14:textId="77777777">
        <w:trPr>
          <w:trHeight w:val="416"/>
        </w:trPr>
        <w:tc>
          <w:tcPr>
            <w:tcW w:w="3783" w:type="dxa"/>
          </w:tcPr>
          <w:p w14:paraId="4446B9FB" w14:textId="77777777" w:rsidR="005464C1" w:rsidRDefault="00C3222F">
            <w:pPr>
              <w:jc w:val="center"/>
              <w:rPr>
                <w:szCs w:val="24"/>
              </w:rPr>
            </w:pPr>
            <w:r>
              <w:rPr>
                <w:szCs w:val="24"/>
              </w:rPr>
              <w:t>Specialistai, dalyvavę kvalifikacijos tobulinimo ar perkvalifikavimo veiklose</w:t>
            </w:r>
          </w:p>
        </w:tc>
        <w:tc>
          <w:tcPr>
            <w:tcW w:w="3784" w:type="dxa"/>
          </w:tcPr>
          <w:p w14:paraId="6859AB7F" w14:textId="77777777" w:rsidR="005464C1" w:rsidRDefault="00C3222F">
            <w:pPr>
              <w:jc w:val="center"/>
              <w:rPr>
                <w:szCs w:val="24"/>
                <w:lang w:eastAsia="lt-LT"/>
              </w:rPr>
            </w:pPr>
            <w:r>
              <w:rPr>
                <w:szCs w:val="24"/>
                <w:lang w:eastAsia="lt-LT"/>
              </w:rPr>
              <w:t>P.S.2.1520</w:t>
            </w:r>
          </w:p>
          <w:p w14:paraId="531514C2" w14:textId="77777777" w:rsidR="005464C1" w:rsidRDefault="00C3222F">
            <w:pPr>
              <w:jc w:val="center"/>
              <w:rPr>
                <w:szCs w:val="24"/>
                <w:lang w:eastAsia="lt-LT"/>
              </w:rPr>
            </w:pPr>
            <w:r>
              <w:rPr>
                <w:szCs w:val="24"/>
                <w:lang w:eastAsia="lt-LT"/>
              </w:rPr>
              <w:t>P-11-002-02-11-01-59</w:t>
            </w:r>
          </w:p>
        </w:tc>
        <w:tc>
          <w:tcPr>
            <w:tcW w:w="3343" w:type="dxa"/>
          </w:tcPr>
          <w:p w14:paraId="6ACA2659" w14:textId="77777777" w:rsidR="005464C1" w:rsidRDefault="00C3222F">
            <w:pPr>
              <w:jc w:val="center"/>
              <w:rPr>
                <w:szCs w:val="24"/>
              </w:rPr>
            </w:pPr>
            <w:r>
              <w:rPr>
                <w:szCs w:val="24"/>
              </w:rPr>
              <w:t>asmenys</w:t>
            </w:r>
          </w:p>
        </w:tc>
        <w:tc>
          <w:tcPr>
            <w:tcW w:w="3686" w:type="dxa"/>
          </w:tcPr>
          <w:p w14:paraId="682E164C" w14:textId="77777777" w:rsidR="005464C1" w:rsidRDefault="00C3222F">
            <w:pPr>
              <w:jc w:val="center"/>
              <w:rPr>
                <w:szCs w:val="24"/>
              </w:rPr>
            </w:pPr>
            <w:r>
              <w:rPr>
                <w:szCs w:val="24"/>
              </w:rPr>
              <w:t>550</w:t>
            </w:r>
          </w:p>
          <w:p w14:paraId="4B1A4616" w14:textId="77777777" w:rsidR="005464C1" w:rsidRDefault="00C3222F">
            <w:pPr>
              <w:jc w:val="center"/>
              <w:rPr>
                <w:szCs w:val="24"/>
              </w:rPr>
            </w:pPr>
            <w:r>
              <w:rPr>
                <w:szCs w:val="24"/>
              </w:rPr>
              <w:t>(2029 m.)</w:t>
            </w:r>
          </w:p>
        </w:tc>
      </w:tr>
      <w:tr w:rsidR="005464C1" w14:paraId="747A35B9" w14:textId="77777777">
        <w:trPr>
          <w:trHeight w:val="416"/>
        </w:trPr>
        <w:tc>
          <w:tcPr>
            <w:tcW w:w="3783" w:type="dxa"/>
          </w:tcPr>
          <w:p w14:paraId="702CDDA3" w14:textId="77777777" w:rsidR="005464C1" w:rsidRDefault="00C3222F">
            <w:pPr>
              <w:jc w:val="center"/>
              <w:rPr>
                <w:szCs w:val="24"/>
              </w:rPr>
            </w:pPr>
            <w:r>
              <w:rPr>
                <w:szCs w:val="24"/>
              </w:rPr>
              <w:t xml:space="preserve">Specialistų, kurie po dalyvavimo veiklose įgijo ar patobulino kvalifikaciją, dalis </w:t>
            </w:r>
          </w:p>
        </w:tc>
        <w:tc>
          <w:tcPr>
            <w:tcW w:w="3784" w:type="dxa"/>
          </w:tcPr>
          <w:p w14:paraId="043FB9A5" w14:textId="77777777" w:rsidR="005464C1" w:rsidRDefault="00C3222F">
            <w:pPr>
              <w:jc w:val="center"/>
              <w:rPr>
                <w:szCs w:val="24"/>
                <w:lang w:eastAsia="lt-LT"/>
              </w:rPr>
            </w:pPr>
            <w:r>
              <w:rPr>
                <w:szCs w:val="24"/>
                <w:lang w:eastAsia="lt-LT"/>
              </w:rPr>
              <w:t>R.S.2.3524</w:t>
            </w:r>
          </w:p>
          <w:p w14:paraId="1BC19322" w14:textId="77777777" w:rsidR="005464C1" w:rsidRDefault="00C3222F">
            <w:pPr>
              <w:jc w:val="center"/>
              <w:rPr>
                <w:szCs w:val="24"/>
                <w:lang w:eastAsia="lt-LT"/>
              </w:rPr>
            </w:pPr>
            <w:r>
              <w:rPr>
                <w:szCs w:val="24"/>
                <w:lang w:eastAsia="lt-LT"/>
              </w:rPr>
              <w:t>R-11-002-02-11-01-56</w:t>
            </w:r>
          </w:p>
        </w:tc>
        <w:tc>
          <w:tcPr>
            <w:tcW w:w="3343" w:type="dxa"/>
          </w:tcPr>
          <w:p w14:paraId="6C364EEC" w14:textId="77777777" w:rsidR="005464C1" w:rsidRDefault="00C3222F">
            <w:pPr>
              <w:jc w:val="center"/>
              <w:rPr>
                <w:szCs w:val="24"/>
              </w:rPr>
            </w:pPr>
            <w:r>
              <w:rPr>
                <w:szCs w:val="24"/>
              </w:rPr>
              <w:t>proc.</w:t>
            </w:r>
          </w:p>
        </w:tc>
        <w:tc>
          <w:tcPr>
            <w:tcW w:w="3686" w:type="dxa"/>
          </w:tcPr>
          <w:p w14:paraId="7A7EB030" w14:textId="77777777" w:rsidR="005464C1" w:rsidRDefault="00C3222F">
            <w:pPr>
              <w:jc w:val="center"/>
              <w:rPr>
                <w:szCs w:val="24"/>
              </w:rPr>
            </w:pPr>
            <w:r>
              <w:rPr>
                <w:szCs w:val="24"/>
              </w:rPr>
              <w:t>90</w:t>
            </w:r>
          </w:p>
          <w:p w14:paraId="693A1666" w14:textId="77777777" w:rsidR="005464C1" w:rsidRDefault="00C3222F">
            <w:pPr>
              <w:jc w:val="center"/>
              <w:rPr>
                <w:szCs w:val="24"/>
              </w:rPr>
            </w:pPr>
            <w:r>
              <w:rPr>
                <w:szCs w:val="24"/>
              </w:rPr>
              <w:t>(2029 m.)</w:t>
            </w:r>
          </w:p>
        </w:tc>
      </w:tr>
    </w:tbl>
    <w:p w14:paraId="0F6BDEEA" w14:textId="77777777" w:rsidR="005464C1" w:rsidRDefault="00C3222F">
      <w:pPr>
        <w:jc w:val="both"/>
        <w:rPr>
          <w:i/>
          <w:iCs/>
          <w:szCs w:val="24"/>
        </w:rPr>
      </w:pPr>
      <w:r>
        <w:rPr>
          <w:b/>
          <w:bCs/>
          <w:szCs w:val="24"/>
        </w:rPr>
        <w:t>Pastaba.</w:t>
      </w:r>
      <w:r>
        <w:rPr>
          <w:i/>
          <w:iCs/>
          <w:szCs w:val="24"/>
        </w:rPr>
        <w:t xml:space="preserve"> </w:t>
      </w:r>
      <w:r>
        <w:rPr>
          <w:szCs w:val="24"/>
        </w:rPr>
        <w:t>Pacientų pasitenkinimo gautomis paslaugomis rodiklis vykdomam projektui netaikomas ir į projekto įgyvendinimo planą ir finansavimo sutartį neįtraukiamas.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5464C1" w14:paraId="73E0E070" w14:textId="77777777">
        <w:trPr>
          <w:trHeight w:val="298"/>
        </w:trPr>
        <w:tc>
          <w:tcPr>
            <w:tcW w:w="15127" w:type="dxa"/>
          </w:tcPr>
          <w:p w14:paraId="38536F48" w14:textId="77777777" w:rsidR="005464C1" w:rsidRDefault="00C3222F">
            <w:pPr>
              <w:jc w:val="both"/>
              <w:rPr>
                <w:szCs w:val="24"/>
              </w:rPr>
            </w:pPr>
            <w:r>
              <w:rPr>
                <w:szCs w:val="24"/>
              </w:rPr>
              <w:t xml:space="preserve">Sveikatos apsaugos </w:t>
            </w:r>
            <w:r>
              <w:rPr>
                <w:szCs w:val="24"/>
              </w:rPr>
              <w:t>ministerijos (toliau – Ministerija) stebėsenos rodiklių aprašymo kortelės</w:t>
            </w:r>
          </w:p>
        </w:tc>
      </w:tr>
      <w:tr w:rsidR="005464C1" w14:paraId="02473D14" w14:textId="77777777">
        <w:trPr>
          <w:trHeight w:val="315"/>
        </w:trPr>
        <w:tc>
          <w:tcPr>
            <w:tcW w:w="15127" w:type="dxa"/>
          </w:tcPr>
          <w:p w14:paraId="150F2D3D" w14:textId="77777777" w:rsidR="005464C1" w:rsidRDefault="00C3222F">
            <w:pPr>
              <w:spacing w:line="259" w:lineRule="auto"/>
              <w:jc w:val="both"/>
              <w:rPr>
                <w:i/>
                <w:iCs/>
                <w:szCs w:val="24"/>
              </w:rPr>
            </w:pPr>
            <w:r>
              <w:rPr>
                <w:bCs/>
                <w:szCs w:val="24"/>
              </w:rPr>
              <w:t>Stebėsenos</w:t>
            </w:r>
            <w:r>
              <w:rPr>
                <w:szCs w:val="24"/>
              </w:rPr>
              <w:t xml:space="preserve"> rodiklio aprašymo kortelės skelbiamos Ministerijos interneto svetainėje https://sam.lrv.lt/lt/administracine-informacija/planavimo-dokumentai/pletros-programos/sveikatos-prieziuros-kokybes-ir-efektyvumo-didinimo-pletros-programa/priemone-nr-11-002-02-11-01-gerinti-sveikatos-prieziuros-paslaugu-kokybe-ir-prieinamuma/“</w:t>
            </w:r>
          </w:p>
        </w:tc>
      </w:tr>
    </w:tbl>
    <w:p w14:paraId="01FED96C" w14:textId="77777777" w:rsidR="005464C1" w:rsidRDefault="005464C1"/>
    <w:p w14:paraId="28E7BDB5" w14:textId="77777777" w:rsidR="005464C1" w:rsidRDefault="00C3222F">
      <w:pPr>
        <w:tabs>
          <w:tab w:val="left" w:pos="454"/>
        </w:tabs>
        <w:ind w:left="1080" w:hanging="360"/>
        <w:jc w:val="both"/>
        <w:rPr>
          <w:rFonts w:eastAsia="Aptos"/>
          <w:lang w:eastAsia="lt-LT"/>
        </w:rPr>
      </w:pPr>
      <w:r>
        <w:rPr>
          <w:rFonts w:eastAsia="Aptos"/>
          <w:color w:val="000000"/>
          <w:lang w:eastAsia="lt-LT"/>
        </w:rPr>
        <w:t>4.</w:t>
      </w:r>
      <w:r>
        <w:rPr>
          <w:rFonts w:eastAsia="Aptos"/>
          <w:color w:val="000000"/>
          <w:lang w:eastAsia="lt-LT"/>
        </w:rPr>
        <w:tab/>
      </w:r>
      <w:r>
        <w:rPr>
          <w:rFonts w:eastAsia="Aptos"/>
          <w:lang w:eastAsia="lt-LT"/>
        </w:rPr>
        <w:t>Pakeičiu 29 priedo lentelės „Specialieji finansavimo reikalavimai“ 2.1.2 papunktį ir jį išdėstau taip:</w:t>
      </w:r>
    </w:p>
    <w:p w14:paraId="5D659F71" w14:textId="77777777" w:rsidR="005464C1" w:rsidRDefault="00C3222F">
      <w:pPr>
        <w:ind w:firstLine="720"/>
        <w:jc w:val="both"/>
        <w:rPr>
          <w:szCs w:val="24"/>
        </w:rPr>
      </w:pPr>
      <w:r>
        <w:rPr>
          <w:szCs w:val="24"/>
        </w:rPr>
        <w:lastRenderedPageBreak/>
        <w:t>„2.1.2</w:t>
      </w:r>
      <w:r>
        <w:rPr>
          <w:szCs w:val="24"/>
        </w:rPr>
        <w:t>. psichologinio vertinimo instrumentams (toliau – Instrumentai), reikalingiems teikiant kokybiškas asmens sveikatos priežiūros paslaugas, analizuoti, adaptuoti naudoti Lietuvoje, standartizuoti ir Instrumentų visos komplektacijos metodinei medžiagai paruošti naudoti (įdiegti), organizuoti specialistų mokymus projekto įgyvendinimo metu adaptuotų ir standartizuotų Instrumentų metodinei medžiagai taikyti, įskaitant Instrumentų visos komplektacijos metodinės medžiagos panaudojimą mokymo procese bei asmens sveik</w:t>
      </w:r>
      <w:r>
        <w:rPr>
          <w:szCs w:val="24"/>
        </w:rPr>
        <w:t xml:space="preserve">atos priežiūros įstaigų, kurių specialistai dalyvavo mokymų veikloje, aprūpinimą Instrumentų visos komplektacijos metodine </w:t>
      </w:r>
      <w:r>
        <w:t>medžiaga</w:t>
      </w:r>
      <w:r>
        <w:rPr>
          <w:szCs w:val="24"/>
        </w:rPr>
        <w:t xml:space="preserve">: </w:t>
      </w:r>
    </w:p>
    <w:p w14:paraId="1EA28A52" w14:textId="77777777" w:rsidR="005464C1" w:rsidRDefault="00C3222F">
      <w:pPr>
        <w:ind w:firstLine="720"/>
        <w:jc w:val="both"/>
        <w:rPr>
          <w:szCs w:val="24"/>
        </w:rPr>
      </w:pPr>
      <w:r>
        <w:rPr>
          <w:szCs w:val="24"/>
        </w:rPr>
        <w:t>2.1.2.1. Instrumentų, išvardytų šio Aprašo 1 priede, analizei atlikti pagal kriterijus, nurodytus šio Aprašo 2 priede. Rezultatas – remiantis projekto metu atlikta analize, taip pat įvertinus Instrumentams adaptuoti, standartizuoti būtinus terminus ir kaštus, teisinius aspektus, atrinktas ir su Ministerija suderintas ne mažesnis kaip 2 vnt. Instrumentų sąrašas tolesnėms veikloms vykdyti;</w:t>
      </w:r>
    </w:p>
    <w:p w14:paraId="5CA11E37" w14:textId="77777777" w:rsidR="005464C1" w:rsidRDefault="00C3222F">
      <w:pPr>
        <w:ind w:firstLine="720"/>
        <w:jc w:val="both"/>
        <w:rPr>
          <w:szCs w:val="24"/>
        </w:rPr>
      </w:pPr>
      <w:r>
        <w:rPr>
          <w:szCs w:val="24"/>
        </w:rPr>
        <w:t>2.1.2.2. Instrumentams, pagal šio Aprašo 2.1.2.1 papunkčio atliktas veiklas, adaptuoti ir standartizuoti;</w:t>
      </w:r>
    </w:p>
    <w:p w14:paraId="2C110730" w14:textId="77777777" w:rsidR="005464C1" w:rsidRDefault="00C3222F">
      <w:pPr>
        <w:ind w:firstLine="720"/>
        <w:jc w:val="both"/>
        <w:rPr>
          <w:szCs w:val="24"/>
        </w:rPr>
      </w:pPr>
      <w:r>
        <w:rPr>
          <w:szCs w:val="24"/>
        </w:rPr>
        <w:t>2.1.2.3. parengti naudojimui (diegimui) pagal šio Aprašo 2.1.2.2 papunkčio veiklas kiekvieno Instrumento visos komplektacijos metodines medžiagas skaitmenine forma;</w:t>
      </w:r>
    </w:p>
    <w:p w14:paraId="244D82CC" w14:textId="77777777" w:rsidR="005464C1" w:rsidRDefault="00C3222F">
      <w:pPr>
        <w:ind w:firstLine="720"/>
        <w:jc w:val="both"/>
        <w:rPr>
          <w:szCs w:val="24"/>
        </w:rPr>
      </w:pPr>
      <w:r>
        <w:rPr>
          <w:szCs w:val="24"/>
        </w:rPr>
        <w:t>2.1.2.4. šio Aprašo 4.2 papunktyje nurodytų specialistų mokymui, naudojant projekto įgyvendinimo metu adaptuotų ir standartizuotų Instrumentų visos komplektacijos metodinę medžiagą, ir asmens sveikatos priežiūros įstaigų, kurių specialistai dalyvavo mokymų veikloje, aprūpinimui Instrumentų visos komplektacijos metodine medžiaga, kad galėtų ja naudotis tolesnėje profesinėje veikloje.“.</w:t>
      </w:r>
    </w:p>
    <w:p w14:paraId="4C9F9517" w14:textId="77777777" w:rsidR="005464C1" w:rsidRDefault="00C3222F">
      <w:pPr>
        <w:ind w:firstLine="720"/>
        <w:jc w:val="both"/>
        <w:rPr>
          <w:szCs w:val="24"/>
          <w:lang w:eastAsia="lt-LT"/>
        </w:rPr>
      </w:pPr>
      <w:r>
        <w:rPr>
          <w:szCs w:val="24"/>
          <w:lang w:eastAsia="lt-LT"/>
        </w:rPr>
        <w:t>5. Pakeičiu 29 priedo lentelės „Specialieji finansavimo reikalavimai“ 2.4 papunktį ir jį išdėstau taip:</w:t>
      </w:r>
    </w:p>
    <w:p w14:paraId="21276A0D" w14:textId="77777777" w:rsidR="005464C1" w:rsidRDefault="00C3222F">
      <w:pPr>
        <w:ind w:firstLine="720"/>
        <w:jc w:val="both"/>
      </w:pPr>
      <w:r>
        <w:t>„2.4. Projekto veiklos turi būti įgyvendintos iki 2029 m. balandžio 30 d.</w:t>
      </w:r>
      <w:r>
        <w:rPr>
          <w:color w:val="FF0000"/>
        </w:rPr>
        <w:t xml:space="preserve"> </w:t>
      </w:r>
      <w:r>
        <w:t xml:space="preserve">Prireikus projekto veiklos gali būti pratęstos PAFT nustatyta tvarka, bet ne ilgiau kaip iki 2029 m. rugpjūčio 30 d.“. </w:t>
      </w:r>
    </w:p>
    <w:p w14:paraId="001C2E46" w14:textId="77777777" w:rsidR="005464C1" w:rsidRDefault="00C3222F">
      <w:pPr>
        <w:ind w:firstLine="720"/>
        <w:jc w:val="both"/>
      </w:pPr>
      <w:r>
        <w:t>6. Pakeičiu 29 priedo lentelės „Specialieji finansavimo reikalavimai“ 2.5 papunktį ir jį išdėstau taip:</w:t>
      </w:r>
      <w:r>
        <w:rPr>
          <w:rFonts w:ascii="Aptos" w:eastAsia="Aptos" w:hAnsi="Aptos" w:cs="Aptos"/>
          <w:szCs w:val="24"/>
          <w14:ligatures w14:val="standardContextual"/>
        </w:rPr>
        <w:t xml:space="preserve"> </w:t>
      </w:r>
    </w:p>
    <w:p w14:paraId="5427D3B9" w14:textId="77777777" w:rsidR="005464C1" w:rsidRDefault="00C3222F">
      <w:pPr>
        <w:ind w:left="720"/>
        <w:jc w:val="both"/>
        <w:rPr>
          <w:b/>
          <w:bCs/>
        </w:rPr>
      </w:pPr>
      <w:r>
        <w:t>„2.5. Pareiškėjas privalo pateikti Ministerijos Psichikos sveikatos skyriui:</w:t>
      </w:r>
    </w:p>
    <w:p w14:paraId="16F24511" w14:textId="77777777" w:rsidR="005464C1" w:rsidRDefault="00C3222F">
      <w:pPr>
        <w:ind w:firstLine="720"/>
        <w:jc w:val="both"/>
      </w:pPr>
      <w:r>
        <w:t>2.5.1. šio Aprašo 2.1.2.1 papunktyje minimos analizės rezultatus ir siūlomų adaptuoti bei standartizuoti Instrumentų sąrašą ne vėliau kaip per 240 dienų nuo projekto finansavimo sutarties pasirašymo dienos. Prireikus projekto veikla gali būti pratęsta PAFT nustatyta tvarka, bet ne ilgiau kaip iki 300 dienų. Pareiškėjas raštu informuoja VšĮ Centrinę projektų valdymo agentūrą (toliau – administruojančioji institucija) apie suderintą su Ministerija Instrumentų sąrašą pagal nurodytą terminą ir pateikia prelimin</w:t>
      </w:r>
      <w:r>
        <w:t>arų Instrumentų adaptavimo ir standartizavimo veiklų grafiką;</w:t>
      </w:r>
    </w:p>
    <w:p w14:paraId="67504B68" w14:textId="77777777" w:rsidR="005464C1" w:rsidRDefault="00C3222F">
      <w:pPr>
        <w:ind w:firstLine="720"/>
        <w:jc w:val="both"/>
      </w:pPr>
      <w:r>
        <w:t>2.5.2. asmens sveikatos priežiūros įstaigų, kurių specialistus planuoja apmokyti, sąrašą, reikalingą  šio Aprašo 2.1.2.4 papunktyje minimai veiklai vykdyti. Pareiškėjas raštu informuoja administruojančiąją instituciją apie suderinto su Ministerija įstaigų sąrašo pateikimą Ministerijos Psichikos sveikatos skyriui.“</w:t>
      </w:r>
    </w:p>
    <w:p w14:paraId="0E69B165" w14:textId="77777777" w:rsidR="005464C1" w:rsidRDefault="00C3222F">
      <w:pPr>
        <w:ind w:left="1080" w:hanging="360"/>
        <w:rPr>
          <w:color w:val="000000"/>
          <w:szCs w:val="24"/>
        </w:rPr>
      </w:pPr>
      <w:r>
        <w:rPr>
          <w:color w:val="000000"/>
          <w:szCs w:val="24"/>
        </w:rPr>
        <w:t>7.</w:t>
      </w:r>
      <w:r>
        <w:rPr>
          <w:color w:val="000000"/>
          <w:szCs w:val="24"/>
        </w:rPr>
        <w:tab/>
      </w:r>
      <w:r>
        <w:rPr>
          <w:color w:val="000000"/>
        </w:rPr>
        <w:t>Pakeičiu 29 priedo lentelės „Specialieji finansavimo reikalavimai“ 2.7 papunktį ir jį išdėstau taip:</w:t>
      </w:r>
    </w:p>
    <w:p w14:paraId="07C736A7" w14:textId="77777777" w:rsidR="005464C1" w:rsidRDefault="00C3222F">
      <w:pPr>
        <w:spacing w:line="276" w:lineRule="auto"/>
        <w:ind w:firstLine="720"/>
        <w:jc w:val="both"/>
        <w:rPr>
          <w:color w:val="000000"/>
          <w:szCs w:val="24"/>
          <w:lang w:eastAsia="lt-LT"/>
        </w:rPr>
      </w:pPr>
      <w:r>
        <w:rPr>
          <w:color w:val="000000"/>
          <w:szCs w:val="24"/>
          <w:lang w:eastAsia="lt-LT"/>
        </w:rPr>
        <w:t xml:space="preserve">„2.7. Projektams įgyvendinti skiriama: </w:t>
      </w:r>
    </w:p>
    <w:tbl>
      <w:tblPr>
        <w:tblW w:w="15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583"/>
        <w:gridCol w:w="3158"/>
        <w:gridCol w:w="3322"/>
        <w:gridCol w:w="4113"/>
      </w:tblGrid>
      <w:tr w:rsidR="005464C1" w14:paraId="2A5A47AD" w14:textId="77777777">
        <w:trPr>
          <w:trHeight w:val="310"/>
        </w:trPr>
        <w:tc>
          <w:tcPr>
            <w:tcW w:w="4583" w:type="dxa"/>
            <w:tcMar>
              <w:top w:w="0" w:type="dxa"/>
              <w:left w:w="108" w:type="dxa"/>
              <w:bottom w:w="0" w:type="dxa"/>
              <w:right w:w="108" w:type="dxa"/>
            </w:tcMar>
            <w:hideMark/>
          </w:tcPr>
          <w:p w14:paraId="008858AC" w14:textId="77777777" w:rsidR="005464C1" w:rsidRDefault="00C3222F">
            <w:pPr>
              <w:spacing w:line="276" w:lineRule="auto"/>
              <w:ind w:firstLine="567"/>
              <w:jc w:val="both"/>
              <w:rPr>
                <w:color w:val="000000"/>
                <w:szCs w:val="24"/>
                <w:lang w:eastAsia="lt-LT"/>
              </w:rPr>
            </w:pPr>
            <w:r>
              <w:rPr>
                <w:color w:val="000000"/>
                <w:szCs w:val="24"/>
                <w:lang w:eastAsia="lt-LT"/>
              </w:rPr>
              <w:t>Veiklos pagal Aprašą</w:t>
            </w:r>
          </w:p>
        </w:tc>
        <w:tc>
          <w:tcPr>
            <w:tcW w:w="3158" w:type="dxa"/>
            <w:tcMar>
              <w:top w:w="0" w:type="dxa"/>
              <w:left w:w="108" w:type="dxa"/>
              <w:bottom w:w="0" w:type="dxa"/>
              <w:right w:w="108" w:type="dxa"/>
            </w:tcMar>
            <w:hideMark/>
          </w:tcPr>
          <w:p w14:paraId="09BE7436" w14:textId="77777777" w:rsidR="005464C1" w:rsidRDefault="00C3222F">
            <w:pPr>
              <w:spacing w:line="276" w:lineRule="auto"/>
              <w:ind w:firstLine="567"/>
              <w:jc w:val="both"/>
              <w:rPr>
                <w:color w:val="000000"/>
                <w:szCs w:val="24"/>
                <w:lang w:eastAsia="lt-LT"/>
              </w:rPr>
            </w:pPr>
            <w:r>
              <w:rPr>
                <w:color w:val="000000"/>
                <w:szCs w:val="24"/>
                <w:lang w:eastAsia="lt-LT"/>
              </w:rPr>
              <w:t>ES lėšos, Eur</w:t>
            </w:r>
          </w:p>
        </w:tc>
        <w:tc>
          <w:tcPr>
            <w:tcW w:w="3322" w:type="dxa"/>
            <w:tcMar>
              <w:top w:w="0" w:type="dxa"/>
              <w:left w:w="108" w:type="dxa"/>
              <w:bottom w:w="0" w:type="dxa"/>
              <w:right w:w="108" w:type="dxa"/>
            </w:tcMar>
            <w:hideMark/>
          </w:tcPr>
          <w:p w14:paraId="6A7CF828" w14:textId="77777777" w:rsidR="005464C1" w:rsidRDefault="00C3222F">
            <w:pPr>
              <w:spacing w:line="276" w:lineRule="auto"/>
              <w:ind w:firstLine="567"/>
              <w:jc w:val="both"/>
              <w:rPr>
                <w:color w:val="000000"/>
                <w:szCs w:val="24"/>
                <w:lang w:eastAsia="lt-LT"/>
              </w:rPr>
            </w:pPr>
            <w:r>
              <w:rPr>
                <w:color w:val="000000"/>
                <w:szCs w:val="24"/>
                <w:lang w:eastAsia="lt-LT"/>
              </w:rPr>
              <w:t>BF lėšos, Eur</w:t>
            </w:r>
          </w:p>
        </w:tc>
        <w:tc>
          <w:tcPr>
            <w:tcW w:w="4113" w:type="dxa"/>
            <w:tcMar>
              <w:top w:w="0" w:type="dxa"/>
              <w:left w:w="108" w:type="dxa"/>
              <w:bottom w:w="0" w:type="dxa"/>
              <w:right w:w="108" w:type="dxa"/>
            </w:tcMar>
            <w:hideMark/>
          </w:tcPr>
          <w:p w14:paraId="5749193E" w14:textId="77777777" w:rsidR="005464C1" w:rsidRDefault="00C3222F">
            <w:pPr>
              <w:spacing w:line="276" w:lineRule="auto"/>
              <w:ind w:firstLine="567"/>
              <w:jc w:val="both"/>
              <w:rPr>
                <w:color w:val="000000"/>
                <w:szCs w:val="24"/>
                <w:lang w:eastAsia="lt-LT"/>
              </w:rPr>
            </w:pPr>
            <w:r>
              <w:rPr>
                <w:color w:val="000000"/>
                <w:szCs w:val="24"/>
                <w:lang w:eastAsia="lt-LT"/>
              </w:rPr>
              <w:t>Bendra suma, Eur</w:t>
            </w:r>
          </w:p>
        </w:tc>
      </w:tr>
      <w:tr w:rsidR="005464C1" w14:paraId="7385473B" w14:textId="77777777">
        <w:trPr>
          <w:trHeight w:val="632"/>
        </w:trPr>
        <w:tc>
          <w:tcPr>
            <w:tcW w:w="4583" w:type="dxa"/>
            <w:tcMar>
              <w:top w:w="0" w:type="dxa"/>
              <w:left w:w="108" w:type="dxa"/>
              <w:bottom w:w="0" w:type="dxa"/>
              <w:right w:w="108" w:type="dxa"/>
            </w:tcMar>
            <w:hideMark/>
          </w:tcPr>
          <w:p w14:paraId="647C7DC1" w14:textId="77777777" w:rsidR="005464C1" w:rsidRDefault="00C3222F">
            <w:pPr>
              <w:spacing w:line="276" w:lineRule="auto"/>
              <w:jc w:val="both"/>
              <w:rPr>
                <w:color w:val="000000"/>
                <w:szCs w:val="24"/>
                <w:lang w:eastAsia="lt-LT"/>
              </w:rPr>
            </w:pPr>
            <w:r>
              <w:rPr>
                <w:rFonts w:eastAsia="Calibri"/>
                <w:szCs w:val="24"/>
              </w:rPr>
              <w:t>Aprašo 2.1.1–2.1.3 papunkčių veikloms</w:t>
            </w:r>
          </w:p>
        </w:tc>
        <w:tc>
          <w:tcPr>
            <w:tcW w:w="3158" w:type="dxa"/>
            <w:tcMar>
              <w:top w:w="0" w:type="dxa"/>
              <w:left w:w="108" w:type="dxa"/>
              <w:bottom w:w="0" w:type="dxa"/>
              <w:right w:w="108" w:type="dxa"/>
            </w:tcMar>
            <w:hideMark/>
          </w:tcPr>
          <w:p w14:paraId="16F14103" w14:textId="77777777" w:rsidR="005464C1" w:rsidRDefault="00C3222F">
            <w:pPr>
              <w:spacing w:line="276" w:lineRule="auto"/>
              <w:ind w:firstLine="567"/>
              <w:jc w:val="both"/>
              <w:rPr>
                <w:strike/>
                <w:color w:val="000000"/>
                <w:szCs w:val="24"/>
                <w:lang w:eastAsia="lt-LT"/>
              </w:rPr>
            </w:pPr>
            <w:r>
              <w:rPr>
                <w:color w:val="000000"/>
                <w:szCs w:val="24"/>
                <w:lang w:eastAsia="lt-LT"/>
              </w:rPr>
              <w:t>3 544 845,00</w:t>
            </w:r>
          </w:p>
        </w:tc>
        <w:tc>
          <w:tcPr>
            <w:tcW w:w="3322" w:type="dxa"/>
            <w:tcMar>
              <w:top w:w="0" w:type="dxa"/>
              <w:left w:w="108" w:type="dxa"/>
              <w:bottom w:w="0" w:type="dxa"/>
              <w:right w:w="108" w:type="dxa"/>
            </w:tcMar>
            <w:hideMark/>
          </w:tcPr>
          <w:p w14:paraId="4057D925" w14:textId="77777777" w:rsidR="005464C1" w:rsidRDefault="00C3222F">
            <w:pPr>
              <w:spacing w:line="276" w:lineRule="auto"/>
              <w:ind w:left="567"/>
              <w:jc w:val="both"/>
              <w:rPr>
                <w:strike/>
                <w:color w:val="000000"/>
                <w:szCs w:val="24"/>
                <w:lang w:eastAsia="lt-LT"/>
              </w:rPr>
            </w:pPr>
            <w:r>
              <w:rPr>
                <w:color w:val="000000"/>
                <w:szCs w:val="24"/>
                <w:lang w:eastAsia="lt-LT"/>
              </w:rPr>
              <w:t>625 561,00</w:t>
            </w:r>
          </w:p>
        </w:tc>
        <w:tc>
          <w:tcPr>
            <w:tcW w:w="4113" w:type="dxa"/>
            <w:tcMar>
              <w:top w:w="0" w:type="dxa"/>
              <w:left w:w="108" w:type="dxa"/>
              <w:bottom w:w="0" w:type="dxa"/>
              <w:right w:w="108" w:type="dxa"/>
            </w:tcMar>
            <w:hideMark/>
          </w:tcPr>
          <w:p w14:paraId="05323E1B" w14:textId="77777777" w:rsidR="005464C1" w:rsidRDefault="00C3222F">
            <w:pPr>
              <w:spacing w:line="276" w:lineRule="auto"/>
              <w:ind w:left="927"/>
              <w:jc w:val="both"/>
              <w:rPr>
                <w:strike/>
                <w:color w:val="000000"/>
                <w:szCs w:val="24"/>
                <w:lang w:eastAsia="lt-LT"/>
              </w:rPr>
            </w:pPr>
            <w:r>
              <w:rPr>
                <w:color w:val="000000"/>
                <w:szCs w:val="24"/>
                <w:lang w:eastAsia="lt-LT"/>
              </w:rPr>
              <w:t>4 170 406,00“</w:t>
            </w:r>
          </w:p>
        </w:tc>
      </w:tr>
    </w:tbl>
    <w:p w14:paraId="5B0A8FD4" w14:textId="77777777" w:rsidR="005464C1" w:rsidRDefault="005464C1"/>
    <w:p w14:paraId="3F3C9959" w14:textId="77777777" w:rsidR="005464C1" w:rsidRDefault="00C3222F">
      <w:pPr>
        <w:ind w:firstLine="720"/>
        <w:rPr>
          <w:szCs w:val="24"/>
        </w:rPr>
      </w:pPr>
      <w:r>
        <w:rPr>
          <w:szCs w:val="24"/>
        </w:rPr>
        <w:t>8.</w:t>
      </w:r>
      <w:r>
        <w:rPr>
          <w:b/>
          <w:bCs/>
          <w:szCs w:val="24"/>
        </w:rPr>
        <w:t xml:space="preserve"> </w:t>
      </w:r>
      <w:r>
        <w:rPr>
          <w:szCs w:val="24"/>
        </w:rPr>
        <w:t>Pakeičiu 29 priedo lentelės „Specialieji finansavimo reikalavimai“ 4 punktą ir jį išdėstau taip:</w:t>
      </w:r>
    </w:p>
    <w:p w14:paraId="12D3C34D" w14:textId="77777777" w:rsidR="005464C1" w:rsidRDefault="00C3222F">
      <w:pPr>
        <w:ind w:firstLine="720"/>
        <w:rPr>
          <w:szCs w:val="24"/>
        </w:rPr>
      </w:pPr>
      <w:r>
        <w:rPr>
          <w:szCs w:val="24"/>
        </w:rPr>
        <w:t>„</w:t>
      </w:r>
      <w:r>
        <w:rPr>
          <w:b/>
          <w:bCs/>
          <w:szCs w:val="24"/>
        </w:rPr>
        <w:t>4.</w:t>
      </w:r>
      <w:r>
        <w:rPr>
          <w:szCs w:val="24"/>
        </w:rPr>
        <w:t xml:space="preserve"> </w:t>
      </w:r>
      <w:r>
        <w:rPr>
          <w:b/>
          <w:szCs w:val="24"/>
        </w:rPr>
        <w:t>Projekto tikslinės grupės:</w:t>
      </w:r>
      <w:r>
        <w:rPr>
          <w:szCs w:val="24"/>
        </w:rPr>
        <w:t xml:space="preserve"> </w:t>
      </w:r>
    </w:p>
    <w:p w14:paraId="60F81DE3" w14:textId="77777777" w:rsidR="005464C1" w:rsidRDefault="00C3222F">
      <w:pPr>
        <w:tabs>
          <w:tab w:val="center" w:pos="4819"/>
          <w:tab w:val="right" w:pos="9638"/>
        </w:tabs>
        <w:ind w:left="720"/>
        <w:rPr>
          <w:szCs w:val="24"/>
        </w:rPr>
      </w:pPr>
      <w:r>
        <w:rPr>
          <w:szCs w:val="24"/>
        </w:rPr>
        <w:lastRenderedPageBreak/>
        <w:tab/>
        <w:t xml:space="preserve">4.1. Šio Aprašo 2.1.1 papunkčio veiklos – sveikatos priežiūros </w:t>
      </w:r>
      <w:r>
        <w:rPr>
          <w:szCs w:val="24"/>
        </w:rPr>
        <w:t>specialistai, šalies gyventojai,</w:t>
      </w:r>
      <w:r>
        <w:rPr>
          <w:b/>
          <w:bCs/>
          <w:szCs w:val="24"/>
        </w:rPr>
        <w:t xml:space="preserve"> </w:t>
      </w:r>
      <w:r>
        <w:rPr>
          <w:szCs w:val="24"/>
        </w:rPr>
        <w:t>projekto veiklas vykdantys specialistai.</w:t>
      </w:r>
    </w:p>
    <w:p w14:paraId="299F8128" w14:textId="77777777" w:rsidR="005464C1" w:rsidRDefault="00C3222F">
      <w:pPr>
        <w:tabs>
          <w:tab w:val="center" w:pos="4819"/>
          <w:tab w:val="right" w:pos="9638"/>
        </w:tabs>
        <w:jc w:val="both"/>
        <w:rPr>
          <w:b/>
          <w:bCs/>
          <w:szCs w:val="24"/>
        </w:rPr>
      </w:pPr>
      <w:r>
        <w:rPr>
          <w:szCs w:val="24"/>
        </w:rPr>
        <w:tab/>
        <w:t xml:space="preserve">            4.2. Šio Aprašo 2.1.2 papunkčio veiklos – šalies gyventojai, specialistai: medicinos psichologai, psichiatrai (įskaitant vaikų ir paauglių psichiatrus, psichologus), projekto veiklas vykdantys specialistai.“</w:t>
      </w:r>
    </w:p>
    <w:p w14:paraId="672AA063" w14:textId="77777777" w:rsidR="005464C1" w:rsidRDefault="00C3222F">
      <w:pPr>
        <w:tabs>
          <w:tab w:val="center" w:pos="4819"/>
          <w:tab w:val="right" w:pos="9638"/>
        </w:tabs>
        <w:ind w:firstLine="744"/>
        <w:rPr>
          <w:szCs w:val="24"/>
        </w:rPr>
      </w:pPr>
      <w:r>
        <w:rPr>
          <w:szCs w:val="24"/>
        </w:rPr>
        <w:t>9. Pakeičiu 29 priedo 1 priedą ir jį išdėstau nauja redakcija (pridedama).</w:t>
      </w:r>
    </w:p>
    <w:p w14:paraId="6957F365" w14:textId="77777777" w:rsidR="005464C1" w:rsidRDefault="005464C1">
      <w:pPr>
        <w:tabs>
          <w:tab w:val="center" w:pos="4819"/>
          <w:tab w:val="right" w:pos="9638"/>
        </w:tabs>
        <w:rPr>
          <w:szCs w:val="24"/>
        </w:rPr>
      </w:pPr>
    </w:p>
    <w:p w14:paraId="6E214613" w14:textId="77777777" w:rsidR="005464C1" w:rsidRDefault="005464C1">
      <w:pPr>
        <w:ind w:firstLine="720"/>
        <w:rPr>
          <w:szCs w:val="24"/>
        </w:rPr>
      </w:pPr>
    </w:p>
    <w:p w14:paraId="0D8A45AF" w14:textId="77777777" w:rsidR="005464C1" w:rsidRDefault="00C3222F">
      <w:pPr>
        <w:tabs>
          <w:tab w:val="center" w:pos="4819"/>
          <w:tab w:val="right" w:pos="9638"/>
        </w:tabs>
        <w:rPr>
          <w:szCs w:val="24"/>
        </w:rPr>
      </w:pPr>
      <w:r>
        <w:rPr>
          <w:szCs w:val="24"/>
        </w:rPr>
        <w:t>Sveikatos apsaugos ministras</w:t>
      </w:r>
      <w:r>
        <w:rPr>
          <w:szCs w:val="24"/>
        </w:rPr>
        <w:tab/>
      </w:r>
      <w:r>
        <w:rPr>
          <w:szCs w:val="24"/>
        </w:rPr>
        <w:tab/>
      </w:r>
    </w:p>
    <w:p w14:paraId="0CA00AF1" w14:textId="77777777" w:rsidR="005464C1" w:rsidRDefault="005464C1">
      <w:pPr>
        <w:tabs>
          <w:tab w:val="center" w:pos="4819"/>
          <w:tab w:val="right" w:pos="9638"/>
        </w:tabs>
        <w:rPr>
          <w:szCs w:val="24"/>
        </w:rPr>
      </w:pPr>
    </w:p>
    <w:p w14:paraId="72D07426" w14:textId="77777777" w:rsidR="005464C1" w:rsidRDefault="005464C1">
      <w:pPr>
        <w:tabs>
          <w:tab w:val="center" w:pos="4819"/>
          <w:tab w:val="right" w:pos="9638"/>
        </w:tabs>
        <w:rPr>
          <w:szCs w:val="24"/>
        </w:rPr>
      </w:pPr>
    </w:p>
    <w:p w14:paraId="4204C346" w14:textId="77777777" w:rsidR="005464C1" w:rsidRDefault="005464C1">
      <w:pPr>
        <w:spacing w:line="276" w:lineRule="auto"/>
        <w:jc w:val="both"/>
        <w:rPr>
          <w:color w:val="000000"/>
          <w:szCs w:val="24"/>
          <w:lang w:eastAsia="lt-LT"/>
        </w:rPr>
      </w:pPr>
    </w:p>
    <w:p w14:paraId="4BC43CCE" w14:textId="77777777" w:rsidR="005464C1" w:rsidRDefault="005464C1">
      <w:pPr>
        <w:spacing w:line="276" w:lineRule="auto"/>
        <w:jc w:val="both"/>
        <w:rPr>
          <w:color w:val="000000"/>
          <w:szCs w:val="24"/>
          <w:lang w:eastAsia="lt-LT"/>
        </w:rPr>
      </w:pPr>
    </w:p>
    <w:p w14:paraId="425D85A6" w14:textId="77777777" w:rsidR="005464C1" w:rsidRDefault="00C3222F">
      <w:pPr>
        <w:spacing w:line="276" w:lineRule="auto"/>
        <w:jc w:val="both"/>
        <w:rPr>
          <w:color w:val="000000"/>
          <w:szCs w:val="24"/>
          <w:lang w:eastAsia="lt-LT"/>
        </w:rPr>
      </w:pPr>
      <w:r>
        <w:rPr>
          <w:color w:val="000000"/>
          <w:szCs w:val="24"/>
          <w:lang w:eastAsia="lt-LT"/>
        </w:rPr>
        <w:t>V. Karalevičiūtė, tel. 0 5 266 1488, A. Blažienė, tel. 0 682 03371</w:t>
      </w:r>
    </w:p>
    <w:p w14:paraId="18DD10D7" w14:textId="77777777" w:rsidR="005464C1" w:rsidRDefault="005464C1">
      <w:pPr>
        <w:spacing w:line="276" w:lineRule="auto"/>
        <w:jc w:val="both"/>
        <w:rPr>
          <w:color w:val="000000"/>
          <w:szCs w:val="24"/>
          <w:lang w:eastAsia="lt-LT"/>
        </w:rPr>
      </w:pPr>
    </w:p>
    <w:p w14:paraId="73DBD248" w14:textId="77777777" w:rsidR="005464C1" w:rsidRDefault="00C3222F">
      <w:pPr>
        <w:ind w:left="9639"/>
      </w:pPr>
      <w:r>
        <w:t xml:space="preserve">2022–2030 metų sveikatos </w:t>
      </w:r>
      <w:r>
        <w:t>priežiūros kokybės ir efektyvumo didinimo plėtros programos pažangos priemonės Nr. 11-002-11-01 „Gerinti sveikatos priežiūros paslaugų kokybę ir prieinamumą“ projektų finansavimo sąlygų aprašo Nr. 29</w:t>
      </w:r>
    </w:p>
    <w:p w14:paraId="531F0D9D" w14:textId="77777777" w:rsidR="005464C1" w:rsidRDefault="00C3222F">
      <w:pPr>
        <w:ind w:left="9639"/>
      </w:pPr>
      <w:r>
        <w:t>1 priedas</w:t>
      </w:r>
    </w:p>
    <w:p w14:paraId="695A2ACE" w14:textId="77777777" w:rsidR="005464C1" w:rsidRDefault="005464C1">
      <w:pPr>
        <w:ind w:left="9639" w:hanging="8505"/>
      </w:pPr>
    </w:p>
    <w:p w14:paraId="43291AD2" w14:textId="77777777" w:rsidR="005464C1" w:rsidRDefault="005464C1">
      <w:pPr>
        <w:ind w:left="9639" w:hanging="8505"/>
      </w:pPr>
    </w:p>
    <w:p w14:paraId="1AF6B90B" w14:textId="77777777" w:rsidR="005464C1" w:rsidRDefault="00C3222F">
      <w:pPr>
        <w:jc w:val="center"/>
        <w:rPr>
          <w:b/>
          <w:bCs/>
        </w:rPr>
      </w:pPr>
      <w:r>
        <w:rPr>
          <w:b/>
          <w:bCs/>
        </w:rPr>
        <w:t>INSTRUMENTŲ, KURIŲ ADAPTAVIMO IR STANDARTIZAVIMO REIKALAVIMAI TURI BŪTI ĮVERTINTI, SĄRAŠAS</w:t>
      </w:r>
    </w:p>
    <w:p w14:paraId="06258ACE" w14:textId="77777777" w:rsidR="005464C1" w:rsidRDefault="005464C1">
      <w:pPr>
        <w:ind w:left="9639"/>
        <w:rPr>
          <w:szCs w:val="24"/>
        </w:rPr>
      </w:pPr>
    </w:p>
    <w:p w14:paraId="694AAFF7" w14:textId="77777777" w:rsidR="005464C1" w:rsidRDefault="00C3222F">
      <w:pPr>
        <w:spacing w:line="276" w:lineRule="auto"/>
        <w:ind w:left="720" w:hanging="360"/>
        <w:rPr>
          <w:szCs w:val="24"/>
        </w:rPr>
      </w:pPr>
      <w:r>
        <w:rPr>
          <w:szCs w:val="24"/>
        </w:rPr>
        <w:t>1.</w:t>
      </w:r>
      <w:r>
        <w:rPr>
          <w:szCs w:val="24"/>
        </w:rPr>
        <w:tab/>
        <w:t xml:space="preserve">Minesotos </w:t>
      </w:r>
      <w:proofErr w:type="spellStart"/>
      <w:r>
        <w:rPr>
          <w:szCs w:val="24"/>
        </w:rPr>
        <w:t>daugiafazis</w:t>
      </w:r>
      <w:proofErr w:type="spellEnd"/>
      <w:r>
        <w:rPr>
          <w:szCs w:val="24"/>
        </w:rPr>
        <w:t xml:space="preserve"> asmenybės aprašas-3 (MMPI-3)  (angl. </w:t>
      </w:r>
      <w:proofErr w:type="spellStart"/>
      <w:r>
        <w:rPr>
          <w:szCs w:val="24"/>
        </w:rPr>
        <w:t>Minnesota</w:t>
      </w:r>
      <w:proofErr w:type="spellEnd"/>
      <w:r>
        <w:rPr>
          <w:szCs w:val="24"/>
        </w:rPr>
        <w:t xml:space="preserve"> </w:t>
      </w:r>
      <w:proofErr w:type="spellStart"/>
      <w:r>
        <w:rPr>
          <w:szCs w:val="24"/>
        </w:rPr>
        <w:t>Multiphasic</w:t>
      </w:r>
      <w:proofErr w:type="spellEnd"/>
      <w:r>
        <w:rPr>
          <w:szCs w:val="24"/>
        </w:rPr>
        <w:t xml:space="preserve"> </w:t>
      </w:r>
      <w:proofErr w:type="spellStart"/>
      <w:r>
        <w:rPr>
          <w:szCs w:val="24"/>
        </w:rPr>
        <w:t>Personality</w:t>
      </w:r>
      <w:proofErr w:type="spellEnd"/>
      <w:r>
        <w:rPr>
          <w:szCs w:val="24"/>
        </w:rPr>
        <w:t xml:space="preserve"> Inventory-3 (MMPI-3));</w:t>
      </w:r>
    </w:p>
    <w:p w14:paraId="714D7A3C" w14:textId="77777777" w:rsidR="005464C1" w:rsidRDefault="00C3222F">
      <w:pPr>
        <w:spacing w:line="276" w:lineRule="auto"/>
        <w:ind w:left="720" w:hanging="360"/>
        <w:rPr>
          <w:szCs w:val="24"/>
        </w:rPr>
      </w:pPr>
      <w:r>
        <w:rPr>
          <w:szCs w:val="24"/>
        </w:rPr>
        <w:t>2.</w:t>
      </w:r>
      <w:r>
        <w:rPr>
          <w:szCs w:val="24"/>
        </w:rPr>
        <w:tab/>
        <w:t>Delis-</w:t>
      </w:r>
      <w:proofErr w:type="spellStart"/>
      <w:r>
        <w:rPr>
          <w:szCs w:val="24"/>
        </w:rPr>
        <w:t>Kaplan</w:t>
      </w:r>
      <w:proofErr w:type="spellEnd"/>
      <w:r>
        <w:rPr>
          <w:szCs w:val="24"/>
        </w:rPr>
        <w:t xml:space="preserve"> vykdomosios funkcijos sistema (D-KEFS)  (</w:t>
      </w:r>
      <w:proofErr w:type="spellStart"/>
      <w:r>
        <w:rPr>
          <w:szCs w:val="24"/>
        </w:rPr>
        <w:t>angl.The</w:t>
      </w:r>
      <w:proofErr w:type="spellEnd"/>
      <w:r>
        <w:rPr>
          <w:szCs w:val="24"/>
        </w:rPr>
        <w:t xml:space="preserve"> Delis-</w:t>
      </w:r>
      <w:proofErr w:type="spellStart"/>
      <w:r>
        <w:rPr>
          <w:szCs w:val="24"/>
        </w:rPr>
        <w:t>Kaplan</w:t>
      </w:r>
      <w:proofErr w:type="spellEnd"/>
      <w:r>
        <w:rPr>
          <w:szCs w:val="24"/>
        </w:rPr>
        <w:t xml:space="preserve"> </w:t>
      </w:r>
      <w:proofErr w:type="spellStart"/>
      <w:r>
        <w:rPr>
          <w:szCs w:val="24"/>
        </w:rPr>
        <w:t>Executive</w:t>
      </w:r>
      <w:proofErr w:type="spellEnd"/>
      <w:r>
        <w:rPr>
          <w:szCs w:val="24"/>
        </w:rPr>
        <w:t xml:space="preserve"> </w:t>
      </w:r>
      <w:proofErr w:type="spellStart"/>
      <w:r>
        <w:rPr>
          <w:szCs w:val="24"/>
        </w:rPr>
        <w:t>Function</w:t>
      </w:r>
      <w:proofErr w:type="spellEnd"/>
      <w:r>
        <w:rPr>
          <w:szCs w:val="24"/>
        </w:rPr>
        <w:t xml:space="preserve"> System (D-KEFS));</w:t>
      </w:r>
    </w:p>
    <w:p w14:paraId="44573207" w14:textId="77777777" w:rsidR="005464C1" w:rsidRDefault="00C3222F">
      <w:pPr>
        <w:spacing w:line="276" w:lineRule="auto"/>
        <w:ind w:left="720" w:hanging="360"/>
        <w:rPr>
          <w:szCs w:val="24"/>
        </w:rPr>
      </w:pPr>
      <w:r>
        <w:rPr>
          <w:szCs w:val="24"/>
        </w:rPr>
        <w:t>3.</w:t>
      </w:r>
      <w:r>
        <w:rPr>
          <w:szCs w:val="24"/>
        </w:rPr>
        <w:tab/>
        <w:t xml:space="preserve">Socialinio atsako skalė | Antroji leidimo versija (SRS-2) (angl. </w:t>
      </w:r>
      <w:proofErr w:type="spellStart"/>
      <w:r>
        <w:rPr>
          <w:szCs w:val="24"/>
        </w:rPr>
        <w:t>Social</w:t>
      </w:r>
      <w:proofErr w:type="spellEnd"/>
      <w:r>
        <w:rPr>
          <w:szCs w:val="24"/>
        </w:rPr>
        <w:t xml:space="preserve"> </w:t>
      </w:r>
      <w:proofErr w:type="spellStart"/>
      <w:r>
        <w:rPr>
          <w:szCs w:val="24"/>
        </w:rPr>
        <w:t>Responsiveness</w:t>
      </w:r>
      <w:proofErr w:type="spellEnd"/>
      <w:r>
        <w:rPr>
          <w:szCs w:val="24"/>
        </w:rPr>
        <w:t xml:space="preserve"> </w:t>
      </w:r>
      <w:proofErr w:type="spellStart"/>
      <w:r>
        <w:rPr>
          <w:szCs w:val="24"/>
        </w:rPr>
        <w:t>Scale</w:t>
      </w:r>
      <w:proofErr w:type="spellEnd"/>
      <w:r>
        <w:rPr>
          <w:szCs w:val="24"/>
        </w:rPr>
        <w:t xml:space="preserve"> | </w:t>
      </w:r>
      <w:proofErr w:type="spellStart"/>
      <w:r>
        <w:rPr>
          <w:szCs w:val="24"/>
        </w:rPr>
        <w:t>Second</w:t>
      </w:r>
      <w:proofErr w:type="spellEnd"/>
      <w:r>
        <w:rPr>
          <w:szCs w:val="24"/>
        </w:rPr>
        <w:t xml:space="preserve"> Edition (SRS-2));</w:t>
      </w:r>
    </w:p>
    <w:p w14:paraId="6027157A" w14:textId="77777777" w:rsidR="005464C1" w:rsidRDefault="00C3222F">
      <w:pPr>
        <w:spacing w:line="276" w:lineRule="auto"/>
        <w:ind w:left="720" w:hanging="360"/>
        <w:rPr>
          <w:szCs w:val="24"/>
        </w:rPr>
      </w:pPr>
      <w:r>
        <w:rPr>
          <w:szCs w:val="24"/>
        </w:rPr>
        <w:t>4.</w:t>
      </w:r>
      <w:r>
        <w:rPr>
          <w:szCs w:val="24"/>
        </w:rPr>
        <w:tab/>
        <w:t xml:space="preserve">Raidos ir gerovės vertinimas (DAWBA) (angl. </w:t>
      </w:r>
      <w:proofErr w:type="spellStart"/>
      <w:r>
        <w:rPr>
          <w:szCs w:val="24"/>
        </w:rPr>
        <w:t>Development</w:t>
      </w:r>
      <w:proofErr w:type="spellEnd"/>
      <w:r>
        <w:rPr>
          <w:szCs w:val="24"/>
        </w:rPr>
        <w:t xml:space="preserve"> </w:t>
      </w:r>
      <w:proofErr w:type="spellStart"/>
      <w:r>
        <w:rPr>
          <w:szCs w:val="24"/>
        </w:rPr>
        <w:t>and</w:t>
      </w:r>
      <w:proofErr w:type="spellEnd"/>
      <w:r>
        <w:rPr>
          <w:szCs w:val="24"/>
        </w:rPr>
        <w:t xml:space="preserve"> </w:t>
      </w:r>
      <w:proofErr w:type="spellStart"/>
      <w:r>
        <w:rPr>
          <w:szCs w:val="24"/>
        </w:rPr>
        <w:t>Well-Being</w:t>
      </w:r>
      <w:proofErr w:type="spellEnd"/>
      <w:r>
        <w:rPr>
          <w:szCs w:val="24"/>
        </w:rPr>
        <w:t xml:space="preserve"> </w:t>
      </w:r>
      <w:proofErr w:type="spellStart"/>
      <w:r>
        <w:rPr>
          <w:szCs w:val="24"/>
        </w:rPr>
        <w:t>Assessment</w:t>
      </w:r>
      <w:proofErr w:type="spellEnd"/>
      <w:r>
        <w:rPr>
          <w:szCs w:val="24"/>
        </w:rPr>
        <w:t xml:space="preserve"> (DAWBA));</w:t>
      </w:r>
    </w:p>
    <w:p w14:paraId="566FC87A" w14:textId="77777777" w:rsidR="005464C1" w:rsidRDefault="00C3222F">
      <w:pPr>
        <w:spacing w:line="276" w:lineRule="auto"/>
        <w:ind w:left="720" w:hanging="360"/>
        <w:rPr>
          <w:szCs w:val="24"/>
        </w:rPr>
      </w:pPr>
      <w:r>
        <w:rPr>
          <w:szCs w:val="24"/>
        </w:rPr>
        <w:t>5.</w:t>
      </w:r>
      <w:r>
        <w:rPr>
          <w:szCs w:val="24"/>
        </w:rPr>
        <w:tab/>
      </w:r>
      <w:proofErr w:type="spellStart"/>
      <w:r>
        <w:rPr>
          <w:szCs w:val="24"/>
        </w:rPr>
        <w:t>Vechslerio</w:t>
      </w:r>
      <w:proofErr w:type="spellEnd"/>
      <w:r>
        <w:rPr>
          <w:szCs w:val="24"/>
        </w:rPr>
        <w:t xml:space="preserve"> atminties skalė | Ketvirtoji versija (WMS-4) (angl. </w:t>
      </w:r>
      <w:proofErr w:type="spellStart"/>
      <w:r>
        <w:rPr>
          <w:szCs w:val="24"/>
        </w:rPr>
        <w:t>Wechsler</w:t>
      </w:r>
      <w:proofErr w:type="spellEnd"/>
      <w:r>
        <w:rPr>
          <w:szCs w:val="24"/>
        </w:rPr>
        <w:t xml:space="preserve"> </w:t>
      </w:r>
      <w:proofErr w:type="spellStart"/>
      <w:r>
        <w:rPr>
          <w:szCs w:val="24"/>
        </w:rPr>
        <w:t>Memory</w:t>
      </w:r>
      <w:proofErr w:type="spellEnd"/>
      <w:r>
        <w:rPr>
          <w:szCs w:val="24"/>
        </w:rPr>
        <w:t xml:space="preserve"> </w:t>
      </w:r>
      <w:proofErr w:type="spellStart"/>
      <w:r>
        <w:rPr>
          <w:szCs w:val="24"/>
        </w:rPr>
        <w:t>Scale</w:t>
      </w:r>
      <w:proofErr w:type="spellEnd"/>
      <w:r>
        <w:rPr>
          <w:szCs w:val="24"/>
        </w:rPr>
        <w:t xml:space="preserve"> | </w:t>
      </w:r>
      <w:proofErr w:type="spellStart"/>
      <w:r>
        <w:rPr>
          <w:szCs w:val="24"/>
        </w:rPr>
        <w:t>Fourth</w:t>
      </w:r>
      <w:proofErr w:type="spellEnd"/>
      <w:r>
        <w:rPr>
          <w:szCs w:val="24"/>
        </w:rPr>
        <w:t xml:space="preserve"> Edition (WMS-4));</w:t>
      </w:r>
    </w:p>
    <w:p w14:paraId="196AE463" w14:textId="77777777" w:rsidR="005464C1" w:rsidRDefault="00C3222F">
      <w:pPr>
        <w:spacing w:line="276" w:lineRule="auto"/>
        <w:ind w:left="720" w:hanging="360"/>
        <w:rPr>
          <w:szCs w:val="24"/>
        </w:rPr>
      </w:pPr>
      <w:r>
        <w:rPr>
          <w:szCs w:val="24"/>
        </w:rPr>
        <w:t>6.</w:t>
      </w:r>
      <w:r>
        <w:rPr>
          <w:szCs w:val="24"/>
        </w:rPr>
        <w:tab/>
      </w:r>
      <w:proofErr w:type="spellStart"/>
      <w:r>
        <w:rPr>
          <w:szCs w:val="24"/>
        </w:rPr>
        <w:t>Vechslerio</w:t>
      </w:r>
      <w:proofErr w:type="spellEnd"/>
      <w:r>
        <w:rPr>
          <w:szCs w:val="24"/>
        </w:rPr>
        <w:t xml:space="preserve"> suaugusiųjų intelekto skalė (WAIS-4);</w:t>
      </w:r>
    </w:p>
    <w:p w14:paraId="34C86B4E" w14:textId="77777777" w:rsidR="005464C1" w:rsidRDefault="00C3222F">
      <w:pPr>
        <w:spacing w:line="276" w:lineRule="auto"/>
        <w:ind w:left="720" w:hanging="360"/>
        <w:rPr>
          <w:szCs w:val="24"/>
        </w:rPr>
      </w:pPr>
      <w:r>
        <w:rPr>
          <w:szCs w:val="24"/>
        </w:rPr>
        <w:t>7.</w:t>
      </w:r>
      <w:r>
        <w:rPr>
          <w:szCs w:val="24"/>
        </w:rPr>
        <w:tab/>
      </w:r>
      <w:proofErr w:type="spellStart"/>
      <w:r>
        <w:rPr>
          <w:szCs w:val="24"/>
        </w:rPr>
        <w:t>Ritvo</w:t>
      </w:r>
      <w:proofErr w:type="spellEnd"/>
      <w:r>
        <w:rPr>
          <w:szCs w:val="24"/>
        </w:rPr>
        <w:t xml:space="preserve"> autizmo </w:t>
      </w:r>
      <w:proofErr w:type="spellStart"/>
      <w:r>
        <w:rPr>
          <w:szCs w:val="24"/>
        </w:rPr>
        <w:t>Aspergerio</w:t>
      </w:r>
      <w:proofErr w:type="spellEnd"/>
      <w:r>
        <w:rPr>
          <w:szCs w:val="24"/>
        </w:rPr>
        <w:t xml:space="preserve"> diagnostinė skalė – peržiūrėta (RAADS-R) (angl. </w:t>
      </w:r>
      <w:proofErr w:type="spellStart"/>
      <w:r>
        <w:rPr>
          <w:szCs w:val="24"/>
        </w:rPr>
        <w:t>Ritvo</w:t>
      </w:r>
      <w:proofErr w:type="spellEnd"/>
      <w:r>
        <w:rPr>
          <w:szCs w:val="24"/>
        </w:rPr>
        <w:t xml:space="preserve"> </w:t>
      </w:r>
      <w:proofErr w:type="spellStart"/>
      <w:r>
        <w:rPr>
          <w:szCs w:val="24"/>
        </w:rPr>
        <w:t>Autism</w:t>
      </w:r>
      <w:proofErr w:type="spellEnd"/>
      <w:r>
        <w:rPr>
          <w:szCs w:val="24"/>
        </w:rPr>
        <w:t xml:space="preserve"> </w:t>
      </w:r>
      <w:proofErr w:type="spellStart"/>
      <w:r>
        <w:rPr>
          <w:szCs w:val="24"/>
        </w:rPr>
        <w:t>Asperger</w:t>
      </w:r>
      <w:proofErr w:type="spellEnd"/>
      <w:r>
        <w:rPr>
          <w:szCs w:val="24"/>
        </w:rPr>
        <w:t xml:space="preserve"> </w:t>
      </w:r>
      <w:proofErr w:type="spellStart"/>
      <w:r>
        <w:rPr>
          <w:szCs w:val="24"/>
        </w:rPr>
        <w:t>Diagnostic</w:t>
      </w:r>
      <w:proofErr w:type="spellEnd"/>
      <w:r>
        <w:rPr>
          <w:szCs w:val="24"/>
        </w:rPr>
        <w:t xml:space="preserve"> </w:t>
      </w:r>
      <w:proofErr w:type="spellStart"/>
      <w:r>
        <w:rPr>
          <w:szCs w:val="24"/>
        </w:rPr>
        <w:t>Scale</w:t>
      </w:r>
      <w:proofErr w:type="spellEnd"/>
      <w:r>
        <w:rPr>
          <w:szCs w:val="24"/>
        </w:rPr>
        <w:t>–</w:t>
      </w:r>
      <w:proofErr w:type="spellStart"/>
      <w:r>
        <w:rPr>
          <w:szCs w:val="24"/>
        </w:rPr>
        <w:t>Revised</w:t>
      </w:r>
      <w:proofErr w:type="spellEnd"/>
      <w:r>
        <w:rPr>
          <w:szCs w:val="24"/>
        </w:rPr>
        <w:t xml:space="preserve"> (RAADS-R));</w:t>
      </w:r>
    </w:p>
    <w:p w14:paraId="07C951CD" w14:textId="77777777" w:rsidR="005464C1" w:rsidRDefault="00C3222F">
      <w:pPr>
        <w:spacing w:line="276" w:lineRule="auto"/>
        <w:ind w:left="720" w:hanging="360"/>
        <w:rPr>
          <w:szCs w:val="24"/>
        </w:rPr>
      </w:pPr>
      <w:r>
        <w:rPr>
          <w:szCs w:val="24"/>
        </w:rPr>
        <w:t>8.</w:t>
      </w:r>
      <w:r>
        <w:rPr>
          <w:szCs w:val="24"/>
        </w:rPr>
        <w:tab/>
        <w:t>Autizmo diagnostinė stebėjimo tvarka, Modulis 4 (ADOS 4);</w:t>
      </w:r>
    </w:p>
    <w:p w14:paraId="5153DD5E" w14:textId="77777777" w:rsidR="005464C1" w:rsidRDefault="00C3222F">
      <w:pPr>
        <w:spacing w:line="276" w:lineRule="auto"/>
        <w:ind w:left="720" w:hanging="360"/>
        <w:rPr>
          <w:szCs w:val="24"/>
        </w:rPr>
      </w:pPr>
      <w:r>
        <w:rPr>
          <w:szCs w:val="24"/>
        </w:rPr>
        <w:t>9.</w:t>
      </w:r>
      <w:r>
        <w:rPr>
          <w:szCs w:val="24"/>
        </w:rPr>
        <w:tab/>
        <w:t>Autizmo diagnostinis interviu, revizuota versija, ADI®-R, nuo 2 metų vaikų iki suaugusiųjų.</w:t>
      </w:r>
    </w:p>
    <w:p w14:paraId="19604C52" w14:textId="77777777" w:rsidR="005464C1" w:rsidRDefault="00C3222F">
      <w:pPr>
        <w:spacing w:line="276" w:lineRule="auto"/>
        <w:jc w:val="center"/>
        <w:rPr>
          <w:szCs w:val="24"/>
        </w:rPr>
      </w:pPr>
      <w:r>
        <w:rPr>
          <w:szCs w:val="24"/>
        </w:rPr>
        <w:t>____________</w:t>
      </w:r>
    </w:p>
    <w:p w14:paraId="1E5CB238" w14:textId="77777777" w:rsidR="005464C1" w:rsidRDefault="005464C1">
      <w:pPr>
        <w:spacing w:line="276" w:lineRule="auto"/>
        <w:jc w:val="both"/>
        <w:rPr>
          <w:color w:val="000000"/>
          <w:szCs w:val="24"/>
          <w:lang w:eastAsia="lt-LT"/>
        </w:rPr>
      </w:pPr>
    </w:p>
    <w:p w14:paraId="652DCC4F" w14:textId="77777777" w:rsidR="005464C1" w:rsidRDefault="005464C1">
      <w:pPr>
        <w:tabs>
          <w:tab w:val="center" w:pos="4819"/>
          <w:tab w:val="right" w:pos="9638"/>
        </w:tabs>
        <w:rPr>
          <w:szCs w:val="24"/>
        </w:rPr>
      </w:pPr>
    </w:p>
    <w:sectPr w:rsidR="005464C1">
      <w:headerReference w:type="even" r:id="rId11"/>
      <w:headerReference w:type="default" r:id="rId12"/>
      <w:footerReference w:type="even" r:id="rId13"/>
      <w:footerReference w:type="default" r:id="rId14"/>
      <w:headerReference w:type="first" r:id="rId15"/>
      <w:footerReference w:type="first" r:id="rId16"/>
      <w:pgSz w:w="16838" w:h="11906" w:orient="landscape"/>
      <w:pgMar w:top="1418" w:right="567" w:bottom="70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6D565" w14:textId="77777777" w:rsidR="005464C1" w:rsidRDefault="00C3222F">
      <w:pPr>
        <w:rPr>
          <w:sz w:val="22"/>
          <w:szCs w:val="22"/>
        </w:rPr>
      </w:pPr>
      <w:r>
        <w:rPr>
          <w:sz w:val="22"/>
          <w:szCs w:val="22"/>
        </w:rPr>
        <w:separator/>
      </w:r>
    </w:p>
  </w:endnote>
  <w:endnote w:type="continuationSeparator" w:id="0">
    <w:p w14:paraId="368D0FBD" w14:textId="77777777" w:rsidR="005464C1" w:rsidRDefault="00C3222F">
      <w:pPr>
        <w:rPr>
          <w:sz w:val="22"/>
          <w:szCs w:val="22"/>
        </w:rPr>
      </w:pPr>
      <w:r>
        <w:rPr>
          <w:sz w:val="22"/>
          <w:szCs w:val="22"/>
        </w:rPr>
        <w:continuationSeparator/>
      </w:r>
    </w:p>
  </w:endnote>
  <w:endnote w:type="continuationNotice" w:id="1">
    <w:p w14:paraId="3B82B070" w14:textId="77777777" w:rsidR="005464C1" w:rsidRDefault="005464C1">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1E6AF" w14:textId="77777777" w:rsidR="005464C1" w:rsidRDefault="005464C1">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3660E" w14:textId="77777777" w:rsidR="005464C1" w:rsidRDefault="005464C1">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0B618" w14:textId="77777777" w:rsidR="005464C1" w:rsidRDefault="005464C1">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9AD74" w14:textId="77777777" w:rsidR="005464C1" w:rsidRDefault="00C3222F">
      <w:pPr>
        <w:rPr>
          <w:sz w:val="22"/>
          <w:szCs w:val="22"/>
        </w:rPr>
      </w:pPr>
      <w:r>
        <w:rPr>
          <w:sz w:val="22"/>
          <w:szCs w:val="22"/>
        </w:rPr>
        <w:separator/>
      </w:r>
    </w:p>
  </w:footnote>
  <w:footnote w:type="continuationSeparator" w:id="0">
    <w:p w14:paraId="16E0D0CE" w14:textId="77777777" w:rsidR="005464C1" w:rsidRDefault="00C3222F">
      <w:pPr>
        <w:rPr>
          <w:sz w:val="22"/>
          <w:szCs w:val="22"/>
        </w:rPr>
      </w:pPr>
      <w:r>
        <w:rPr>
          <w:sz w:val="22"/>
          <w:szCs w:val="22"/>
        </w:rPr>
        <w:continuationSeparator/>
      </w:r>
    </w:p>
  </w:footnote>
  <w:footnote w:type="continuationNotice" w:id="1">
    <w:p w14:paraId="143B8B40" w14:textId="77777777" w:rsidR="005464C1" w:rsidRDefault="005464C1">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B221" w14:textId="77777777" w:rsidR="005464C1" w:rsidRDefault="005464C1">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F2540" w14:textId="77777777" w:rsidR="005464C1" w:rsidRDefault="00C3222F">
    <w:pPr>
      <w:tabs>
        <w:tab w:val="center" w:pos="4819"/>
        <w:tab w:val="right" w:pos="9638"/>
      </w:tabs>
      <w:jc w:val="center"/>
      <w:rPr>
        <w:szCs w:val="22"/>
      </w:rPr>
    </w:pPr>
    <w:r>
      <w:rPr>
        <w:szCs w:val="22"/>
      </w:rPr>
      <w:fldChar w:fldCharType="begin"/>
    </w:r>
    <w:r>
      <w:rPr>
        <w:szCs w:val="22"/>
      </w:rPr>
      <w:instrText>PAGE   \* MERGEFORMAT</w:instrText>
    </w:r>
    <w:r>
      <w:rPr>
        <w:szCs w:val="22"/>
      </w:rPr>
      <w:fldChar w:fldCharType="separate"/>
    </w:r>
    <w:r>
      <w:rPr>
        <w:szCs w:val="22"/>
      </w:rPr>
      <w:t>3</w:t>
    </w:r>
    <w:r>
      <w:rPr>
        <w:szCs w:val="22"/>
      </w:rPr>
      <w:fldChar w:fldCharType="end"/>
    </w:r>
  </w:p>
  <w:p w14:paraId="2054E5B0" w14:textId="77777777" w:rsidR="005464C1" w:rsidRDefault="005464C1">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3241C" w14:textId="77777777" w:rsidR="005464C1" w:rsidRDefault="005464C1">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5464C1"/>
    <w:rsid w:val="0078554E"/>
    <w:rsid w:val="00A361B0"/>
    <w:rsid w:val="00C3222F"/>
  </w:rsids>
  <m:mathPr>
    <m:mathFont m:val="Cambria Math"/>
    <m:brkBin m:val="before"/>
    <m:brkBinSub m:val="--"/>
    <m:smallFrac m:val="0"/>
    <m:dispDef/>
    <m:lMargin m:val="0"/>
    <m:rMargin m:val="0"/>
    <m:defJc m:val="centerGroup"/>
    <m:wrapIndent m:val="1440"/>
    <m:intLim m:val="subSup"/>
    <m:naryLim m:val="undOvr"/>
  </m:mathPr>
  <w:themeFontLang w:val="lt-LT" w:eastAsia="zh-TW"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D8610"/>
  <w15:docId w15:val="{968C89CE-C4FE-47CC-B5E8-6EB627086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4480">
      <w:bodyDiv w:val="1"/>
      <w:marLeft w:val="0"/>
      <w:marRight w:val="0"/>
      <w:marTop w:val="0"/>
      <w:marBottom w:val="0"/>
      <w:divBdr>
        <w:top w:val="none" w:sz="0" w:space="0" w:color="auto"/>
        <w:left w:val="none" w:sz="0" w:space="0" w:color="auto"/>
        <w:bottom w:val="none" w:sz="0" w:space="0" w:color="auto"/>
        <w:right w:val="none" w:sz="0" w:space="0" w:color="auto"/>
      </w:divBdr>
    </w:div>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70084612">
      <w:bodyDiv w:val="1"/>
      <w:marLeft w:val="0"/>
      <w:marRight w:val="0"/>
      <w:marTop w:val="0"/>
      <w:marBottom w:val="0"/>
      <w:divBdr>
        <w:top w:val="none" w:sz="0" w:space="0" w:color="auto"/>
        <w:left w:val="none" w:sz="0" w:space="0" w:color="auto"/>
        <w:bottom w:val="none" w:sz="0" w:space="0" w:color="auto"/>
        <w:right w:val="none" w:sz="0" w:space="0" w:color="auto"/>
      </w:divBdr>
    </w:div>
    <w:div w:id="204103240">
      <w:bodyDiv w:val="1"/>
      <w:marLeft w:val="0"/>
      <w:marRight w:val="0"/>
      <w:marTop w:val="0"/>
      <w:marBottom w:val="0"/>
      <w:divBdr>
        <w:top w:val="none" w:sz="0" w:space="0" w:color="auto"/>
        <w:left w:val="none" w:sz="0" w:space="0" w:color="auto"/>
        <w:bottom w:val="none" w:sz="0" w:space="0" w:color="auto"/>
        <w:right w:val="none" w:sz="0" w:space="0" w:color="auto"/>
      </w:divBdr>
    </w:div>
    <w:div w:id="248853141">
      <w:bodyDiv w:val="1"/>
      <w:marLeft w:val="0"/>
      <w:marRight w:val="0"/>
      <w:marTop w:val="0"/>
      <w:marBottom w:val="0"/>
      <w:divBdr>
        <w:top w:val="none" w:sz="0" w:space="0" w:color="auto"/>
        <w:left w:val="none" w:sz="0" w:space="0" w:color="auto"/>
        <w:bottom w:val="none" w:sz="0" w:space="0" w:color="auto"/>
        <w:right w:val="none" w:sz="0" w:space="0" w:color="auto"/>
      </w:divBdr>
    </w:div>
    <w:div w:id="263926199">
      <w:bodyDiv w:val="1"/>
      <w:marLeft w:val="0"/>
      <w:marRight w:val="0"/>
      <w:marTop w:val="0"/>
      <w:marBottom w:val="0"/>
      <w:divBdr>
        <w:top w:val="none" w:sz="0" w:space="0" w:color="auto"/>
        <w:left w:val="none" w:sz="0" w:space="0" w:color="auto"/>
        <w:bottom w:val="none" w:sz="0" w:space="0" w:color="auto"/>
        <w:right w:val="none" w:sz="0" w:space="0" w:color="auto"/>
      </w:divBdr>
    </w:div>
    <w:div w:id="285090885">
      <w:bodyDiv w:val="1"/>
      <w:marLeft w:val="0"/>
      <w:marRight w:val="0"/>
      <w:marTop w:val="0"/>
      <w:marBottom w:val="0"/>
      <w:divBdr>
        <w:top w:val="none" w:sz="0" w:space="0" w:color="auto"/>
        <w:left w:val="none" w:sz="0" w:space="0" w:color="auto"/>
        <w:bottom w:val="none" w:sz="0" w:space="0" w:color="auto"/>
        <w:right w:val="none" w:sz="0" w:space="0" w:color="auto"/>
      </w:divBdr>
    </w:div>
    <w:div w:id="395786133">
      <w:bodyDiv w:val="1"/>
      <w:marLeft w:val="0"/>
      <w:marRight w:val="0"/>
      <w:marTop w:val="0"/>
      <w:marBottom w:val="0"/>
      <w:divBdr>
        <w:top w:val="none" w:sz="0" w:space="0" w:color="auto"/>
        <w:left w:val="none" w:sz="0" w:space="0" w:color="auto"/>
        <w:bottom w:val="none" w:sz="0" w:space="0" w:color="auto"/>
        <w:right w:val="none" w:sz="0" w:space="0" w:color="auto"/>
      </w:divBdr>
      <w:divsChild>
        <w:div w:id="1012489949">
          <w:marLeft w:val="0"/>
          <w:marRight w:val="0"/>
          <w:marTop w:val="0"/>
          <w:marBottom w:val="0"/>
          <w:divBdr>
            <w:top w:val="none" w:sz="0" w:space="0" w:color="auto"/>
            <w:left w:val="none" w:sz="0" w:space="0" w:color="auto"/>
            <w:bottom w:val="none" w:sz="0" w:space="0" w:color="auto"/>
            <w:right w:val="none" w:sz="0" w:space="0" w:color="auto"/>
          </w:divBdr>
        </w:div>
        <w:div w:id="1847164387">
          <w:marLeft w:val="0"/>
          <w:marRight w:val="0"/>
          <w:marTop w:val="0"/>
          <w:marBottom w:val="0"/>
          <w:divBdr>
            <w:top w:val="none" w:sz="0" w:space="0" w:color="auto"/>
            <w:left w:val="none" w:sz="0" w:space="0" w:color="auto"/>
            <w:bottom w:val="none" w:sz="0" w:space="0" w:color="auto"/>
            <w:right w:val="none" w:sz="0" w:space="0" w:color="auto"/>
          </w:divBdr>
        </w:div>
      </w:divsChild>
    </w:div>
    <w:div w:id="451753492">
      <w:bodyDiv w:val="1"/>
      <w:marLeft w:val="0"/>
      <w:marRight w:val="0"/>
      <w:marTop w:val="0"/>
      <w:marBottom w:val="0"/>
      <w:divBdr>
        <w:top w:val="none" w:sz="0" w:space="0" w:color="auto"/>
        <w:left w:val="none" w:sz="0" w:space="0" w:color="auto"/>
        <w:bottom w:val="none" w:sz="0" w:space="0" w:color="auto"/>
        <w:right w:val="none" w:sz="0" w:space="0" w:color="auto"/>
      </w:divBdr>
    </w:div>
    <w:div w:id="458569366">
      <w:bodyDiv w:val="1"/>
      <w:marLeft w:val="0"/>
      <w:marRight w:val="0"/>
      <w:marTop w:val="0"/>
      <w:marBottom w:val="0"/>
      <w:divBdr>
        <w:top w:val="none" w:sz="0" w:space="0" w:color="auto"/>
        <w:left w:val="none" w:sz="0" w:space="0" w:color="auto"/>
        <w:bottom w:val="none" w:sz="0" w:space="0" w:color="auto"/>
        <w:right w:val="none" w:sz="0" w:space="0" w:color="auto"/>
      </w:divBdr>
    </w:div>
    <w:div w:id="475336610">
      <w:bodyDiv w:val="1"/>
      <w:marLeft w:val="0"/>
      <w:marRight w:val="0"/>
      <w:marTop w:val="0"/>
      <w:marBottom w:val="0"/>
      <w:divBdr>
        <w:top w:val="none" w:sz="0" w:space="0" w:color="auto"/>
        <w:left w:val="none" w:sz="0" w:space="0" w:color="auto"/>
        <w:bottom w:val="none" w:sz="0" w:space="0" w:color="auto"/>
        <w:right w:val="none" w:sz="0" w:space="0" w:color="auto"/>
      </w:divBdr>
    </w:div>
    <w:div w:id="712465351">
      <w:bodyDiv w:val="1"/>
      <w:marLeft w:val="0"/>
      <w:marRight w:val="0"/>
      <w:marTop w:val="0"/>
      <w:marBottom w:val="0"/>
      <w:divBdr>
        <w:top w:val="none" w:sz="0" w:space="0" w:color="auto"/>
        <w:left w:val="none" w:sz="0" w:space="0" w:color="auto"/>
        <w:bottom w:val="none" w:sz="0" w:space="0" w:color="auto"/>
        <w:right w:val="none" w:sz="0" w:space="0" w:color="auto"/>
      </w:divBdr>
    </w:div>
    <w:div w:id="758406344">
      <w:bodyDiv w:val="1"/>
      <w:marLeft w:val="0"/>
      <w:marRight w:val="0"/>
      <w:marTop w:val="0"/>
      <w:marBottom w:val="0"/>
      <w:divBdr>
        <w:top w:val="none" w:sz="0" w:space="0" w:color="auto"/>
        <w:left w:val="none" w:sz="0" w:space="0" w:color="auto"/>
        <w:bottom w:val="none" w:sz="0" w:space="0" w:color="auto"/>
        <w:right w:val="none" w:sz="0" w:space="0" w:color="auto"/>
      </w:divBdr>
    </w:div>
    <w:div w:id="855465206">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054155442">
      <w:bodyDiv w:val="1"/>
      <w:marLeft w:val="0"/>
      <w:marRight w:val="0"/>
      <w:marTop w:val="0"/>
      <w:marBottom w:val="0"/>
      <w:divBdr>
        <w:top w:val="none" w:sz="0" w:space="0" w:color="auto"/>
        <w:left w:val="none" w:sz="0" w:space="0" w:color="auto"/>
        <w:bottom w:val="none" w:sz="0" w:space="0" w:color="auto"/>
        <w:right w:val="none" w:sz="0" w:space="0" w:color="auto"/>
      </w:divBdr>
    </w:div>
    <w:div w:id="1129392904">
      <w:bodyDiv w:val="1"/>
      <w:marLeft w:val="0"/>
      <w:marRight w:val="0"/>
      <w:marTop w:val="0"/>
      <w:marBottom w:val="0"/>
      <w:divBdr>
        <w:top w:val="none" w:sz="0" w:space="0" w:color="auto"/>
        <w:left w:val="none" w:sz="0" w:space="0" w:color="auto"/>
        <w:bottom w:val="none" w:sz="0" w:space="0" w:color="auto"/>
        <w:right w:val="none" w:sz="0" w:space="0" w:color="auto"/>
      </w:divBdr>
    </w:div>
    <w:div w:id="1286736007">
      <w:bodyDiv w:val="1"/>
      <w:marLeft w:val="0"/>
      <w:marRight w:val="0"/>
      <w:marTop w:val="0"/>
      <w:marBottom w:val="0"/>
      <w:divBdr>
        <w:top w:val="none" w:sz="0" w:space="0" w:color="auto"/>
        <w:left w:val="none" w:sz="0" w:space="0" w:color="auto"/>
        <w:bottom w:val="none" w:sz="0" w:space="0" w:color="auto"/>
        <w:right w:val="none" w:sz="0" w:space="0" w:color="auto"/>
      </w:divBdr>
    </w:div>
    <w:div w:id="1342854728">
      <w:bodyDiv w:val="1"/>
      <w:marLeft w:val="0"/>
      <w:marRight w:val="0"/>
      <w:marTop w:val="0"/>
      <w:marBottom w:val="0"/>
      <w:divBdr>
        <w:top w:val="none" w:sz="0" w:space="0" w:color="auto"/>
        <w:left w:val="none" w:sz="0" w:space="0" w:color="auto"/>
        <w:bottom w:val="none" w:sz="0" w:space="0" w:color="auto"/>
        <w:right w:val="none" w:sz="0" w:space="0" w:color="auto"/>
      </w:divBdr>
    </w:div>
    <w:div w:id="1381322951">
      <w:bodyDiv w:val="1"/>
      <w:marLeft w:val="0"/>
      <w:marRight w:val="0"/>
      <w:marTop w:val="0"/>
      <w:marBottom w:val="0"/>
      <w:divBdr>
        <w:top w:val="none" w:sz="0" w:space="0" w:color="auto"/>
        <w:left w:val="none" w:sz="0" w:space="0" w:color="auto"/>
        <w:bottom w:val="none" w:sz="0" w:space="0" w:color="auto"/>
        <w:right w:val="none" w:sz="0" w:space="0" w:color="auto"/>
      </w:divBdr>
      <w:divsChild>
        <w:div w:id="205914187">
          <w:marLeft w:val="0"/>
          <w:marRight w:val="0"/>
          <w:marTop w:val="0"/>
          <w:marBottom w:val="0"/>
          <w:divBdr>
            <w:top w:val="none" w:sz="0" w:space="0" w:color="auto"/>
            <w:left w:val="none" w:sz="0" w:space="0" w:color="auto"/>
            <w:bottom w:val="none" w:sz="0" w:space="0" w:color="auto"/>
            <w:right w:val="none" w:sz="0" w:space="0" w:color="auto"/>
          </w:divBdr>
        </w:div>
        <w:div w:id="1494372254">
          <w:marLeft w:val="0"/>
          <w:marRight w:val="0"/>
          <w:marTop w:val="0"/>
          <w:marBottom w:val="0"/>
          <w:divBdr>
            <w:top w:val="none" w:sz="0" w:space="0" w:color="auto"/>
            <w:left w:val="none" w:sz="0" w:space="0" w:color="auto"/>
            <w:bottom w:val="none" w:sz="0" w:space="0" w:color="auto"/>
            <w:right w:val="none" w:sz="0" w:space="0" w:color="auto"/>
          </w:divBdr>
        </w:div>
      </w:divsChild>
    </w:div>
    <w:div w:id="1484933292">
      <w:bodyDiv w:val="1"/>
      <w:marLeft w:val="0"/>
      <w:marRight w:val="0"/>
      <w:marTop w:val="0"/>
      <w:marBottom w:val="0"/>
      <w:divBdr>
        <w:top w:val="none" w:sz="0" w:space="0" w:color="auto"/>
        <w:left w:val="none" w:sz="0" w:space="0" w:color="auto"/>
        <w:bottom w:val="none" w:sz="0" w:space="0" w:color="auto"/>
        <w:right w:val="none" w:sz="0" w:space="0" w:color="auto"/>
      </w:divBdr>
    </w:div>
    <w:div w:id="1563522558">
      <w:bodyDiv w:val="1"/>
      <w:marLeft w:val="0"/>
      <w:marRight w:val="0"/>
      <w:marTop w:val="0"/>
      <w:marBottom w:val="0"/>
      <w:divBdr>
        <w:top w:val="none" w:sz="0" w:space="0" w:color="auto"/>
        <w:left w:val="none" w:sz="0" w:space="0" w:color="auto"/>
        <w:bottom w:val="none" w:sz="0" w:space="0" w:color="auto"/>
        <w:right w:val="none" w:sz="0" w:space="0" w:color="auto"/>
      </w:divBdr>
    </w:div>
    <w:div w:id="1603684706">
      <w:bodyDiv w:val="1"/>
      <w:marLeft w:val="0"/>
      <w:marRight w:val="0"/>
      <w:marTop w:val="0"/>
      <w:marBottom w:val="0"/>
      <w:divBdr>
        <w:top w:val="none" w:sz="0" w:space="0" w:color="auto"/>
        <w:left w:val="none" w:sz="0" w:space="0" w:color="auto"/>
        <w:bottom w:val="none" w:sz="0" w:space="0" w:color="auto"/>
        <w:right w:val="none" w:sz="0" w:space="0" w:color="auto"/>
      </w:divBdr>
    </w:div>
    <w:div w:id="1719164993">
      <w:bodyDiv w:val="1"/>
      <w:marLeft w:val="0"/>
      <w:marRight w:val="0"/>
      <w:marTop w:val="0"/>
      <w:marBottom w:val="0"/>
      <w:divBdr>
        <w:top w:val="none" w:sz="0" w:space="0" w:color="auto"/>
        <w:left w:val="none" w:sz="0" w:space="0" w:color="auto"/>
        <w:bottom w:val="none" w:sz="0" w:space="0" w:color="auto"/>
        <w:right w:val="none" w:sz="0" w:space="0" w:color="auto"/>
      </w:divBdr>
    </w:div>
    <w:div w:id="1734573580">
      <w:bodyDiv w:val="1"/>
      <w:marLeft w:val="0"/>
      <w:marRight w:val="0"/>
      <w:marTop w:val="0"/>
      <w:marBottom w:val="0"/>
      <w:divBdr>
        <w:top w:val="none" w:sz="0" w:space="0" w:color="auto"/>
        <w:left w:val="none" w:sz="0" w:space="0" w:color="auto"/>
        <w:bottom w:val="none" w:sz="0" w:space="0" w:color="auto"/>
        <w:right w:val="none" w:sz="0" w:space="0" w:color="auto"/>
      </w:divBdr>
    </w:div>
    <w:div w:id="1742021874">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43088445">
      <w:bodyDiv w:val="1"/>
      <w:marLeft w:val="0"/>
      <w:marRight w:val="0"/>
      <w:marTop w:val="0"/>
      <w:marBottom w:val="0"/>
      <w:divBdr>
        <w:top w:val="none" w:sz="0" w:space="0" w:color="auto"/>
        <w:left w:val="none" w:sz="0" w:space="0" w:color="auto"/>
        <w:bottom w:val="none" w:sz="0" w:space="0" w:color="auto"/>
        <w:right w:val="none" w:sz="0" w:space="0" w:color="auto"/>
      </w:divBdr>
    </w:div>
    <w:div w:id="1847747882">
      <w:bodyDiv w:val="1"/>
      <w:marLeft w:val="0"/>
      <w:marRight w:val="0"/>
      <w:marTop w:val="0"/>
      <w:marBottom w:val="0"/>
      <w:divBdr>
        <w:top w:val="none" w:sz="0" w:space="0" w:color="auto"/>
        <w:left w:val="none" w:sz="0" w:space="0" w:color="auto"/>
        <w:bottom w:val="none" w:sz="0" w:space="0" w:color="auto"/>
        <w:right w:val="none" w:sz="0" w:space="0" w:color="auto"/>
      </w:divBdr>
    </w:div>
    <w:div w:id="1902977082">
      <w:bodyDiv w:val="1"/>
      <w:marLeft w:val="0"/>
      <w:marRight w:val="0"/>
      <w:marTop w:val="0"/>
      <w:marBottom w:val="0"/>
      <w:divBdr>
        <w:top w:val="none" w:sz="0" w:space="0" w:color="auto"/>
        <w:left w:val="none" w:sz="0" w:space="0" w:color="auto"/>
        <w:bottom w:val="none" w:sz="0" w:space="0" w:color="auto"/>
        <w:right w:val="none" w:sz="0" w:space="0" w:color="auto"/>
      </w:divBdr>
    </w:div>
    <w:div w:id="1991326259">
      <w:bodyDiv w:val="1"/>
      <w:marLeft w:val="0"/>
      <w:marRight w:val="0"/>
      <w:marTop w:val="0"/>
      <w:marBottom w:val="0"/>
      <w:divBdr>
        <w:top w:val="none" w:sz="0" w:space="0" w:color="auto"/>
        <w:left w:val="none" w:sz="0" w:space="0" w:color="auto"/>
        <w:bottom w:val="none" w:sz="0" w:space="0" w:color="auto"/>
        <w:right w:val="none" w:sz="0" w:space="0" w:color="auto"/>
      </w:divBdr>
    </w:div>
    <w:div w:id="2090886329">
      <w:bodyDiv w:val="1"/>
      <w:marLeft w:val="0"/>
      <w:marRight w:val="0"/>
      <w:marTop w:val="0"/>
      <w:marBottom w:val="0"/>
      <w:divBdr>
        <w:top w:val="none" w:sz="0" w:space="0" w:color="auto"/>
        <w:left w:val="none" w:sz="0" w:space="0" w:color="auto"/>
        <w:bottom w:val="none" w:sz="0" w:space="0" w:color="auto"/>
        <w:right w:val="none" w:sz="0" w:space="0" w:color="auto"/>
      </w:divBdr>
    </w:div>
    <w:div w:id="2122021096">
      <w:bodyDiv w:val="1"/>
      <w:marLeft w:val="0"/>
      <w:marRight w:val="0"/>
      <w:marTop w:val="0"/>
      <w:marBottom w:val="0"/>
      <w:divBdr>
        <w:top w:val="none" w:sz="0" w:space="0" w:color="auto"/>
        <w:left w:val="none" w:sz="0" w:space="0" w:color="auto"/>
        <w:bottom w:val="none" w:sz="0" w:space="0" w:color="auto"/>
        <w:right w:val="none" w:sz="0" w:space="0" w:color="auto"/>
      </w:divBdr>
    </w:div>
    <w:div w:id="21258062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Props1.xml><?xml version="1.0" encoding="utf-8"?>
<ds:datastoreItem xmlns:ds="http://schemas.openxmlformats.org/officeDocument/2006/customXml" ds:itemID="{F49D6307-EA57-401A-A3AD-5995DC19194E}">
  <ds:schemaRefs>
    <ds:schemaRef ds:uri="http://schemas.openxmlformats.org/officeDocument/2006/bibliography"/>
  </ds:schemaRefs>
</ds:datastoreItem>
</file>

<file path=customXml/itemProps2.xml><?xml version="1.0" encoding="utf-8"?>
<ds:datastoreItem xmlns:ds="http://schemas.openxmlformats.org/officeDocument/2006/customXml" ds:itemID="{6141B66D-D40F-4F66-90D4-F33056753BC4}">
  <ds:schemaRefs>
    <ds:schemaRef ds:uri="http://schemas.openxmlformats.org/officeDocument/2006/bibliography"/>
  </ds:schemaRefs>
</ds:datastoreItem>
</file>

<file path=customXml/itemProps3.xml><?xml version="1.0" encoding="utf-8"?>
<ds:datastoreItem xmlns:ds="http://schemas.openxmlformats.org/officeDocument/2006/customXml" ds:itemID="{D2DCBF2F-6D6E-4427-A820-F23C496E24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5.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6421</Words>
  <Characters>3661</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PFSA_IPP specialistų mokymai_07.27</vt:lpstr>
      <vt:lpstr>1. PFSA_IPP specialistų mokymai_07.27</vt:lpstr>
    </vt:vector>
  </TitlesOfParts>
  <Company>HP Inc.</Company>
  <LinksUpToDate>false</LinksUpToDate>
  <CharactersWithSpaces>10062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PFSA_IPP specialistų mokymai_07.27</dc:title>
  <dc:creator>Virginija Levinskienė</dc:creator>
  <cp:lastModifiedBy>Virginija Karalevičiūtė</cp:lastModifiedBy>
  <cp:revision>2</cp:revision>
  <dcterms:created xsi:type="dcterms:W3CDTF">2025-04-15T11:55:00Z</dcterms:created>
  <dcterms:modified xsi:type="dcterms:W3CDTF">2025-04-15T11:55:00Z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244;#Sveikatos projektų skyrius|5908eca3-6d57-464f-8cbe-536f81c5e307;#3308;#Procesų valdymo skyrius|1d2453fc-c175-46b4-b9fe-6151c1a059d8;#62;#Finansų skyrius|7d9d544b-d496-4126-a894-fd0e68da2d8e</vt:lpwstr>
  </property>
  <property fmtid="{D5CDD505-2E9C-101B-9397-08002B2CF9AE}" pid="5" name="ContentTypeId">
    <vt:lpwstr>0x010100D76F90AF19434866994CD715ED8FEE4200712820E1B0DE314FBCE77D75ADAD206D</vt:lpwstr>
  </property>
  <property fmtid="{D5CDD505-2E9C-101B-9397-08002B2CF9AE}" pid="6" name="DmsPermissionsUsers">
    <vt:lpwstr>743;#Justina Martinėlė;#134;#Aurima Lasickienė;#1119;#Mantas Bernotas;#1227;#Sonata Macijauskienė;#166;#Margarita Kairienė;#1089;#Rasa Mockutė;#1175;#Dalia Česlauskaitė;#1188;#Laura Jurevičienė;#758;#Toma Šukienė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true</vt:bool>
  </property>
</Properties>
</file>