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7E5A" w14:textId="77777777" w:rsidR="006C68B8" w:rsidRDefault="006C68B8">
      <w:pPr>
        <w:tabs>
          <w:tab w:val="center" w:pos="4986"/>
          <w:tab w:val="right" w:pos="9972"/>
        </w:tabs>
      </w:pPr>
    </w:p>
    <w:p w14:paraId="00F52F1F" w14:textId="77777777" w:rsidR="00822F3A" w:rsidRDefault="00822F3A">
      <w:pPr>
        <w:ind w:left="9639"/>
        <w:jc w:val="both"/>
        <w:rPr>
          <w:bCs/>
          <w:szCs w:val="24"/>
        </w:rPr>
      </w:pPr>
      <w:r>
        <w:rPr>
          <w:bCs/>
          <w:szCs w:val="24"/>
        </w:rPr>
        <w:t>2021–2030 m. plėtros programos valdytojos Lietuvos</w:t>
      </w:r>
    </w:p>
    <w:p w14:paraId="591D655E" w14:textId="77777777" w:rsidR="00822F3A" w:rsidRDefault="00822F3A">
      <w:pPr>
        <w:ind w:left="9639"/>
        <w:jc w:val="both"/>
        <w:rPr>
          <w:bCs/>
          <w:szCs w:val="24"/>
        </w:rPr>
      </w:pPr>
      <w:r>
        <w:rPr>
          <w:bCs/>
          <w:szCs w:val="24"/>
        </w:rPr>
        <w:t xml:space="preserve">Respublikos švietimo, mokslo ir sporto ministerijos </w:t>
      </w:r>
    </w:p>
    <w:p w14:paraId="57C6AE53" w14:textId="77777777" w:rsidR="00822F3A" w:rsidRDefault="00822F3A">
      <w:pPr>
        <w:ind w:left="9639"/>
        <w:jc w:val="both"/>
        <w:rPr>
          <w:bCs/>
          <w:szCs w:val="24"/>
        </w:rPr>
      </w:pPr>
      <w:r>
        <w:rPr>
          <w:bCs/>
          <w:szCs w:val="24"/>
        </w:rPr>
        <w:t xml:space="preserve">švietimo plėtros programos pažangos priemonės </w:t>
      </w:r>
    </w:p>
    <w:p w14:paraId="7C1A9006" w14:textId="77777777" w:rsidR="00822F3A" w:rsidRDefault="00822F3A">
      <w:pPr>
        <w:ind w:left="9639"/>
        <w:jc w:val="both"/>
        <w:rPr>
          <w:bCs/>
          <w:szCs w:val="24"/>
        </w:rPr>
      </w:pPr>
      <w:r>
        <w:rPr>
          <w:bCs/>
          <w:szCs w:val="24"/>
        </w:rPr>
        <w:t xml:space="preserve">Nr. 12-003-03-01-03 „Užtikrinti visiems prieinamą </w:t>
      </w:r>
    </w:p>
    <w:p w14:paraId="22142946" w14:textId="77777777" w:rsidR="006C68B8" w:rsidRDefault="00822F3A">
      <w:pPr>
        <w:ind w:left="9639"/>
        <w:jc w:val="both"/>
        <w:rPr>
          <w:szCs w:val="24"/>
        </w:rPr>
      </w:pPr>
      <w:r>
        <w:rPr>
          <w:bCs/>
          <w:szCs w:val="24"/>
        </w:rPr>
        <w:t xml:space="preserve">šiuolaikinį ugdymo turinį“ aprašo </w:t>
      </w:r>
    </w:p>
    <w:p w14:paraId="7A8015E7" w14:textId="77777777" w:rsidR="006C68B8" w:rsidRDefault="00822F3A">
      <w:pPr>
        <w:ind w:left="9639"/>
        <w:jc w:val="both"/>
        <w:rPr>
          <w:szCs w:val="24"/>
        </w:rPr>
      </w:pPr>
      <w:r>
        <w:rPr>
          <w:szCs w:val="24"/>
        </w:rPr>
        <w:t>4 priedas</w:t>
      </w:r>
    </w:p>
    <w:p w14:paraId="1ED536F5" w14:textId="77777777" w:rsidR="006C68B8" w:rsidRDefault="006C68B8">
      <w:pPr>
        <w:jc w:val="center"/>
        <w:rPr>
          <w:iCs/>
          <w:szCs w:val="24"/>
        </w:rPr>
      </w:pPr>
    </w:p>
    <w:p w14:paraId="5C8B069C" w14:textId="77777777" w:rsidR="00F13B44" w:rsidRDefault="00F13B44">
      <w:pPr>
        <w:jc w:val="center"/>
        <w:rPr>
          <w:iCs/>
          <w:szCs w:val="24"/>
        </w:rPr>
      </w:pPr>
    </w:p>
    <w:p w14:paraId="74AA082D" w14:textId="77777777" w:rsidR="006C68B8" w:rsidRPr="003C7A7B" w:rsidRDefault="00822F3A">
      <w:pPr>
        <w:jc w:val="center"/>
        <w:rPr>
          <w:b/>
        </w:rPr>
      </w:pPr>
      <w:r>
        <w:rPr>
          <w:b/>
          <w:bCs/>
          <w:szCs w:val="24"/>
        </w:rPr>
        <w:t>2021–2030 M. PLĖTROS PROGRAMOS VALDYTOJOS LIETUVOS RESPUBLIKOS ŠVIETIMO, MOKSLO IR SPORTO MINISTERIJOS ŠVIETIMO PLĖTROS PROGRAMOS PAŽANGOS PRIEMONĖS NR. 12-003-03-01-03 „UŽTIKRINTI VISIEMS PRIEINAMĄ ŠIUOLAIKINĮ UGDYMO TURINĮ“ PROJEKTŲ FINANSAVIMO SĄLYGŲ APRAŠAS NR. 4</w:t>
      </w:r>
    </w:p>
    <w:p w14:paraId="22350662" w14:textId="77777777" w:rsidR="00F13B44" w:rsidRDefault="00F13B44" w:rsidP="003C7A7B">
      <w:pPr>
        <w:jc w:val="center"/>
        <w:rPr>
          <w:b/>
          <w:bCs/>
          <w:szCs w:val="24"/>
        </w:rPr>
      </w:pPr>
    </w:p>
    <w:p w14:paraId="145AFB73" w14:textId="77777777" w:rsidR="00F13B44" w:rsidRPr="00F13B44" w:rsidRDefault="00F13B44" w:rsidP="00F13B44">
      <w:pPr>
        <w:jc w:val="center"/>
        <w:rPr>
          <w:b/>
          <w:bCs/>
          <w:szCs w:val="24"/>
        </w:rPr>
      </w:pPr>
      <w:r w:rsidRPr="00F13B44">
        <w:rPr>
          <w:b/>
          <w:bCs/>
          <w:szCs w:val="24"/>
        </w:rPr>
        <w:t>I SKYRIUS</w:t>
      </w:r>
    </w:p>
    <w:p w14:paraId="051420C5" w14:textId="016D174A" w:rsidR="00F13B44" w:rsidRDefault="00F13B44" w:rsidP="00F13B44">
      <w:pPr>
        <w:jc w:val="center"/>
        <w:rPr>
          <w:szCs w:val="24"/>
        </w:rPr>
      </w:pPr>
      <w:r w:rsidRPr="00F13B44">
        <w:rPr>
          <w:b/>
          <w:bCs/>
          <w:szCs w:val="24"/>
        </w:rPr>
        <w:t xml:space="preserve">VEIKLOS AR POVEIKLĖS, KURIOMS NUSTATOMOS PROJEKTŲ FINANSAVIMO SĄLYGOS </w:t>
      </w:r>
      <w:r w:rsidRPr="00E1081F">
        <w:rPr>
          <w:b/>
          <w:bCs/>
          <w:szCs w:val="24"/>
        </w:rPr>
        <w:t>IR JŲ RODIKLIAI</w:t>
      </w:r>
    </w:p>
    <w:p w14:paraId="3A08A8E0" w14:textId="77777777" w:rsidR="006C68B8" w:rsidRDefault="006C68B8">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04"/>
        <w:gridCol w:w="993"/>
        <w:gridCol w:w="1275"/>
        <w:gridCol w:w="993"/>
        <w:gridCol w:w="1134"/>
        <w:gridCol w:w="1111"/>
        <w:gridCol w:w="1149"/>
      </w:tblGrid>
      <w:tr w:rsidR="006C68B8" w14:paraId="2854FCEF" w14:textId="77777777">
        <w:tc>
          <w:tcPr>
            <w:tcW w:w="15155" w:type="dxa"/>
            <w:gridSpan w:val="13"/>
            <w:vAlign w:val="center"/>
          </w:tcPr>
          <w:p w14:paraId="79435D08" w14:textId="67541A3B" w:rsidR="006C68B8" w:rsidRDefault="00390418" w:rsidP="003C7A7B">
            <w:pPr>
              <w:rPr>
                <w:b/>
                <w:sz w:val="22"/>
                <w:szCs w:val="22"/>
              </w:rPr>
            </w:pPr>
            <w:r w:rsidRPr="00390418">
              <w:rPr>
                <w:b/>
                <w:sz w:val="22"/>
                <w:szCs w:val="22"/>
              </w:rPr>
              <w:t>1. Veiklos ar poveiklės, kurioms nustatomos projektų finansavimo sąlygos</w:t>
            </w:r>
          </w:p>
        </w:tc>
      </w:tr>
      <w:tr w:rsidR="006C68B8" w14:paraId="04AA4879" w14:textId="77777777">
        <w:tc>
          <w:tcPr>
            <w:tcW w:w="1110" w:type="dxa"/>
            <w:vAlign w:val="center"/>
          </w:tcPr>
          <w:p w14:paraId="5F782E92" w14:textId="77777777" w:rsidR="006C68B8" w:rsidRDefault="00822F3A">
            <w:pPr>
              <w:jc w:val="center"/>
              <w:rPr>
                <w:b/>
                <w:sz w:val="20"/>
              </w:rPr>
            </w:pPr>
            <w:r>
              <w:rPr>
                <w:b/>
                <w:sz w:val="20"/>
              </w:rPr>
              <w:t>Veiklos ar poveiklės pavadini-</w:t>
            </w:r>
            <w:proofErr w:type="spellStart"/>
            <w:r>
              <w:rPr>
                <w:b/>
                <w:sz w:val="20"/>
              </w:rPr>
              <w:t>mas</w:t>
            </w:r>
            <w:proofErr w:type="spellEnd"/>
          </w:p>
        </w:tc>
        <w:tc>
          <w:tcPr>
            <w:tcW w:w="1125" w:type="dxa"/>
            <w:vAlign w:val="center"/>
          </w:tcPr>
          <w:p w14:paraId="209F7766" w14:textId="77777777" w:rsidR="006C68B8" w:rsidRDefault="00822F3A">
            <w:pPr>
              <w:jc w:val="center"/>
              <w:rPr>
                <w:b/>
                <w:sz w:val="20"/>
              </w:rPr>
            </w:pPr>
            <w:proofErr w:type="spellStart"/>
            <w:r>
              <w:rPr>
                <w:b/>
                <w:sz w:val="20"/>
              </w:rPr>
              <w:t>Finansa</w:t>
            </w:r>
            <w:proofErr w:type="spellEnd"/>
            <w:r>
              <w:rPr>
                <w:b/>
                <w:sz w:val="20"/>
              </w:rPr>
              <w:t>-vimo šaltinis</w:t>
            </w:r>
          </w:p>
        </w:tc>
        <w:tc>
          <w:tcPr>
            <w:tcW w:w="1236" w:type="dxa"/>
            <w:vAlign w:val="center"/>
          </w:tcPr>
          <w:p w14:paraId="20B44E29" w14:textId="77777777" w:rsidR="006C68B8" w:rsidRDefault="00822F3A">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1134" w:type="dxa"/>
            <w:vAlign w:val="center"/>
          </w:tcPr>
          <w:p w14:paraId="40274706" w14:textId="77777777" w:rsidR="006C68B8" w:rsidRDefault="00822F3A">
            <w:pPr>
              <w:jc w:val="center"/>
              <w:rPr>
                <w:b/>
                <w:sz w:val="20"/>
              </w:rPr>
            </w:pPr>
            <w:proofErr w:type="spellStart"/>
            <w:r>
              <w:rPr>
                <w:b/>
                <w:bCs/>
                <w:sz w:val="20"/>
              </w:rPr>
              <w:t>Uždavi-nys</w:t>
            </w:r>
            <w:proofErr w:type="spellEnd"/>
            <w:r>
              <w:rPr>
                <w:b/>
                <w:bCs/>
                <w:sz w:val="20"/>
              </w:rPr>
              <w:t xml:space="preserve"> ar priemonė</w:t>
            </w:r>
          </w:p>
        </w:tc>
        <w:tc>
          <w:tcPr>
            <w:tcW w:w="1134" w:type="dxa"/>
            <w:vAlign w:val="center"/>
          </w:tcPr>
          <w:p w14:paraId="3DDC79A3" w14:textId="77777777" w:rsidR="006C68B8" w:rsidRDefault="00822F3A">
            <w:pPr>
              <w:jc w:val="center"/>
              <w:rPr>
                <w:b/>
                <w:sz w:val="20"/>
              </w:rPr>
            </w:pPr>
            <w:r>
              <w:rPr>
                <w:b/>
                <w:bCs/>
                <w:sz w:val="20"/>
              </w:rPr>
              <w:t xml:space="preserve">Veikla ar </w:t>
            </w:r>
            <w:proofErr w:type="spellStart"/>
            <w:r>
              <w:rPr>
                <w:b/>
                <w:bCs/>
                <w:sz w:val="20"/>
              </w:rPr>
              <w:t>paprie-monė</w:t>
            </w:r>
            <w:proofErr w:type="spellEnd"/>
          </w:p>
        </w:tc>
        <w:tc>
          <w:tcPr>
            <w:tcW w:w="1457" w:type="dxa"/>
            <w:vAlign w:val="center"/>
          </w:tcPr>
          <w:p w14:paraId="4E332E7E" w14:textId="77777777" w:rsidR="006C68B8" w:rsidRDefault="00822F3A">
            <w:pPr>
              <w:jc w:val="center"/>
              <w:rPr>
                <w:b/>
                <w:sz w:val="20"/>
              </w:rPr>
            </w:pPr>
            <w:r>
              <w:rPr>
                <w:b/>
                <w:sz w:val="20"/>
              </w:rPr>
              <w:t>Intervencinės priemonės kodas</w:t>
            </w:r>
          </w:p>
        </w:tc>
        <w:tc>
          <w:tcPr>
            <w:tcW w:w="1304" w:type="dxa"/>
            <w:vAlign w:val="center"/>
          </w:tcPr>
          <w:p w14:paraId="1C8B6E2B" w14:textId="77777777" w:rsidR="006C68B8" w:rsidRDefault="00822F3A">
            <w:pPr>
              <w:jc w:val="center"/>
              <w:rPr>
                <w:b/>
                <w:bCs/>
                <w:sz w:val="20"/>
              </w:rPr>
            </w:pPr>
            <w:r>
              <w:rPr>
                <w:b/>
                <w:sz w:val="20"/>
              </w:rPr>
              <w:t xml:space="preserve">Regionas, kuriam priskiriama veikla ar </w:t>
            </w:r>
            <w:proofErr w:type="spellStart"/>
            <w:r>
              <w:rPr>
                <w:b/>
                <w:sz w:val="20"/>
              </w:rPr>
              <w:t>poveiklė</w:t>
            </w:r>
            <w:proofErr w:type="spellEnd"/>
          </w:p>
        </w:tc>
        <w:tc>
          <w:tcPr>
            <w:tcW w:w="993" w:type="dxa"/>
            <w:vAlign w:val="center"/>
          </w:tcPr>
          <w:p w14:paraId="2C0E2BA8" w14:textId="77777777" w:rsidR="006C68B8" w:rsidRDefault="00822F3A">
            <w:pPr>
              <w:jc w:val="center"/>
              <w:rPr>
                <w:b/>
                <w:sz w:val="20"/>
              </w:rPr>
            </w:pPr>
            <w:r>
              <w:rPr>
                <w:b/>
                <w:bCs/>
                <w:sz w:val="20"/>
              </w:rPr>
              <w:t>Paramos formos kodas</w:t>
            </w:r>
          </w:p>
        </w:tc>
        <w:tc>
          <w:tcPr>
            <w:tcW w:w="1275" w:type="dxa"/>
            <w:vAlign w:val="center"/>
          </w:tcPr>
          <w:p w14:paraId="36ADA32C" w14:textId="77777777" w:rsidR="006C68B8" w:rsidRDefault="00822F3A">
            <w:pPr>
              <w:jc w:val="center"/>
              <w:rPr>
                <w:b/>
                <w:sz w:val="20"/>
              </w:rPr>
            </w:pPr>
            <w:r>
              <w:rPr>
                <w:b/>
                <w:bCs/>
                <w:sz w:val="20"/>
              </w:rPr>
              <w:t>Pagrindinės teritorinės srities kodas (-ai)</w:t>
            </w:r>
          </w:p>
        </w:tc>
        <w:tc>
          <w:tcPr>
            <w:tcW w:w="993" w:type="dxa"/>
            <w:vAlign w:val="center"/>
          </w:tcPr>
          <w:p w14:paraId="3E59B257" w14:textId="77777777" w:rsidR="006C68B8" w:rsidRDefault="00822F3A">
            <w:pPr>
              <w:jc w:val="center"/>
              <w:rPr>
                <w:b/>
                <w:bCs/>
                <w:sz w:val="20"/>
              </w:rPr>
            </w:pPr>
            <w:proofErr w:type="spellStart"/>
            <w:r>
              <w:rPr>
                <w:b/>
                <w:bCs/>
                <w:sz w:val="20"/>
              </w:rPr>
              <w:t>Ekono</w:t>
            </w:r>
            <w:proofErr w:type="spellEnd"/>
            <w:r>
              <w:rPr>
                <w:b/>
                <w:bCs/>
                <w:sz w:val="20"/>
              </w:rPr>
              <w:t xml:space="preserve">-minės veiklos kodas </w:t>
            </w:r>
          </w:p>
          <w:p w14:paraId="121B87E7" w14:textId="77777777" w:rsidR="006C68B8" w:rsidRDefault="00822F3A">
            <w:pPr>
              <w:jc w:val="center"/>
              <w:rPr>
                <w:b/>
                <w:sz w:val="20"/>
              </w:rPr>
            </w:pPr>
            <w:r>
              <w:rPr>
                <w:b/>
                <w:bCs/>
                <w:sz w:val="20"/>
              </w:rPr>
              <w:t>(-ai)</w:t>
            </w:r>
          </w:p>
        </w:tc>
        <w:tc>
          <w:tcPr>
            <w:tcW w:w="1134" w:type="dxa"/>
            <w:vAlign w:val="center"/>
          </w:tcPr>
          <w:p w14:paraId="453969A8" w14:textId="77777777" w:rsidR="006C68B8" w:rsidRDefault="00822F3A">
            <w:pPr>
              <w:jc w:val="center"/>
              <w:rPr>
                <w:b/>
                <w:bCs/>
                <w:sz w:val="20"/>
              </w:rPr>
            </w:pPr>
            <w:r>
              <w:rPr>
                <w:b/>
                <w:bCs/>
                <w:sz w:val="20"/>
              </w:rPr>
              <w:t>„Europos socialinio fondo +“ (toliau – ESF+) antrinių temų kodai</w:t>
            </w:r>
          </w:p>
        </w:tc>
        <w:tc>
          <w:tcPr>
            <w:tcW w:w="1111" w:type="dxa"/>
            <w:vAlign w:val="center"/>
          </w:tcPr>
          <w:p w14:paraId="46972979" w14:textId="77777777" w:rsidR="006C68B8" w:rsidRDefault="00822F3A">
            <w:pPr>
              <w:jc w:val="center"/>
              <w:rPr>
                <w:b/>
                <w:bCs/>
                <w:sz w:val="20"/>
              </w:rPr>
            </w:pPr>
            <w:r>
              <w:rPr>
                <w:b/>
                <w:bCs/>
                <w:sz w:val="20"/>
              </w:rPr>
              <w:t>Lyčių lygybės matmens kodas</w:t>
            </w:r>
          </w:p>
        </w:tc>
        <w:tc>
          <w:tcPr>
            <w:tcW w:w="1149" w:type="dxa"/>
            <w:vAlign w:val="center"/>
          </w:tcPr>
          <w:p w14:paraId="301EDFD3" w14:textId="77777777" w:rsidR="006C68B8" w:rsidRDefault="00822F3A">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2B7D6577" w14:textId="77777777" w:rsidR="006C68B8" w:rsidRDefault="00822F3A">
            <w:pPr>
              <w:jc w:val="center"/>
              <w:rPr>
                <w:b/>
                <w:bCs/>
                <w:sz w:val="20"/>
              </w:rPr>
            </w:pPr>
            <w:r>
              <w:rPr>
                <w:b/>
                <w:sz w:val="20"/>
              </w:rPr>
              <w:t>(Taip / Ne)</w:t>
            </w:r>
          </w:p>
        </w:tc>
      </w:tr>
      <w:tr w:rsidR="006C68B8" w14:paraId="5C96C0AE" w14:textId="77777777">
        <w:trPr>
          <w:trHeight w:val="278"/>
        </w:trPr>
        <w:tc>
          <w:tcPr>
            <w:tcW w:w="1110" w:type="dxa"/>
            <w:tcMar>
              <w:left w:w="28" w:type="dxa"/>
              <w:right w:w="28" w:type="dxa"/>
            </w:tcMar>
          </w:tcPr>
          <w:p w14:paraId="13AAECF4" w14:textId="77777777" w:rsidR="006C68B8" w:rsidRDefault="00822F3A">
            <w:pPr>
              <w:ind w:firstLine="48"/>
              <w:jc w:val="center"/>
              <w:rPr>
                <w:sz w:val="20"/>
              </w:rPr>
            </w:pPr>
            <w:r>
              <w:rPr>
                <w:sz w:val="20"/>
              </w:rPr>
              <w:t>5.1. Stiprinti u</w:t>
            </w:r>
            <w:r>
              <w:rPr>
                <w:color w:val="000000"/>
                <w:sz w:val="20"/>
              </w:rPr>
              <w:t xml:space="preserve">gdymo, atliepiančio mokinių amžių ir poreikius, kokybę </w:t>
            </w:r>
            <w:r>
              <w:rPr>
                <w:sz w:val="20"/>
              </w:rPr>
              <w:lastRenderedPageBreak/>
              <w:t>Sostinės regione</w:t>
            </w:r>
          </w:p>
        </w:tc>
        <w:tc>
          <w:tcPr>
            <w:tcW w:w="1125" w:type="dxa"/>
            <w:tcMar>
              <w:left w:w="28" w:type="dxa"/>
              <w:right w:w="28" w:type="dxa"/>
            </w:tcMar>
          </w:tcPr>
          <w:p w14:paraId="1F50F973" w14:textId="77777777" w:rsidR="006C68B8" w:rsidRDefault="00822F3A">
            <w:pPr>
              <w:jc w:val="center"/>
              <w:rPr>
                <w:sz w:val="20"/>
              </w:rPr>
            </w:pPr>
            <w:r>
              <w:rPr>
                <w:sz w:val="20"/>
              </w:rPr>
              <w:lastRenderedPageBreak/>
              <w:t>Europos Sąjungos fondų ir bendrojo finansavimo lėšos</w:t>
            </w:r>
          </w:p>
        </w:tc>
        <w:tc>
          <w:tcPr>
            <w:tcW w:w="1236" w:type="dxa"/>
            <w:tcMar>
              <w:left w:w="28" w:type="dxa"/>
              <w:right w:w="28" w:type="dxa"/>
            </w:tcMar>
          </w:tcPr>
          <w:p w14:paraId="007E7C16" w14:textId="77777777" w:rsidR="006C68B8" w:rsidRDefault="00822F3A">
            <w:pPr>
              <w:jc w:val="center"/>
              <w:rPr>
                <w:sz w:val="20"/>
              </w:rPr>
            </w:pPr>
            <w:r>
              <w:rPr>
                <w:sz w:val="20"/>
              </w:rPr>
              <w:t>4</w:t>
            </w:r>
          </w:p>
        </w:tc>
        <w:tc>
          <w:tcPr>
            <w:tcW w:w="1134" w:type="dxa"/>
            <w:tcMar>
              <w:left w:w="28" w:type="dxa"/>
              <w:right w:w="28" w:type="dxa"/>
            </w:tcMar>
          </w:tcPr>
          <w:p w14:paraId="0F6AFA2A" w14:textId="77777777" w:rsidR="006C68B8" w:rsidRDefault="00822F3A">
            <w:pPr>
              <w:jc w:val="center"/>
              <w:rPr>
                <w:sz w:val="20"/>
              </w:rPr>
            </w:pPr>
            <w:r>
              <w:rPr>
                <w:sz w:val="20"/>
              </w:rPr>
              <w:t>4.2</w:t>
            </w:r>
          </w:p>
        </w:tc>
        <w:tc>
          <w:tcPr>
            <w:tcW w:w="1134" w:type="dxa"/>
            <w:tcMar>
              <w:left w:w="28" w:type="dxa"/>
              <w:right w:w="28" w:type="dxa"/>
            </w:tcMar>
          </w:tcPr>
          <w:p w14:paraId="160BCA25" w14:textId="77777777" w:rsidR="006C68B8" w:rsidRDefault="00822F3A">
            <w:pPr>
              <w:jc w:val="center"/>
              <w:rPr>
                <w:sz w:val="20"/>
              </w:rPr>
            </w:pPr>
            <w:r>
              <w:rPr>
                <w:sz w:val="20"/>
              </w:rPr>
              <w:t xml:space="preserve">4.2.3. Ankstinti privalomojo ugdymo pradžią, kad būtų užtikrintas </w:t>
            </w:r>
            <w:r>
              <w:rPr>
                <w:sz w:val="20"/>
              </w:rPr>
              <w:lastRenderedPageBreak/>
              <w:t>spartesnis mokinių pasiekimų gerėjimas</w:t>
            </w:r>
          </w:p>
        </w:tc>
        <w:tc>
          <w:tcPr>
            <w:tcW w:w="1457" w:type="dxa"/>
            <w:tcMar>
              <w:left w:w="28" w:type="dxa"/>
              <w:right w:w="28" w:type="dxa"/>
            </w:tcMar>
          </w:tcPr>
          <w:p w14:paraId="5D56A4D9" w14:textId="77777777" w:rsidR="006C68B8" w:rsidRDefault="00822F3A">
            <w:pPr>
              <w:jc w:val="center"/>
              <w:rPr>
                <w:sz w:val="20"/>
              </w:rPr>
            </w:pPr>
            <w:r>
              <w:rPr>
                <w:sz w:val="20"/>
              </w:rPr>
              <w:lastRenderedPageBreak/>
              <w:t>149</w:t>
            </w:r>
          </w:p>
        </w:tc>
        <w:tc>
          <w:tcPr>
            <w:tcW w:w="1304" w:type="dxa"/>
            <w:tcMar>
              <w:left w:w="28" w:type="dxa"/>
              <w:right w:w="28" w:type="dxa"/>
            </w:tcMar>
          </w:tcPr>
          <w:p w14:paraId="5FFF1240" w14:textId="77777777" w:rsidR="006C68B8" w:rsidRDefault="00822F3A">
            <w:pPr>
              <w:jc w:val="center"/>
              <w:rPr>
                <w:sz w:val="20"/>
              </w:rPr>
            </w:pPr>
            <w:r>
              <w:rPr>
                <w:sz w:val="20"/>
              </w:rPr>
              <w:t>Sostinės regionas</w:t>
            </w:r>
          </w:p>
        </w:tc>
        <w:tc>
          <w:tcPr>
            <w:tcW w:w="993" w:type="dxa"/>
            <w:tcMar>
              <w:left w:w="28" w:type="dxa"/>
              <w:right w:w="28" w:type="dxa"/>
            </w:tcMar>
          </w:tcPr>
          <w:p w14:paraId="576C1BAF" w14:textId="77777777" w:rsidR="006C68B8" w:rsidRDefault="00822F3A">
            <w:pPr>
              <w:jc w:val="center"/>
              <w:rPr>
                <w:sz w:val="20"/>
              </w:rPr>
            </w:pPr>
            <w:r>
              <w:rPr>
                <w:sz w:val="20"/>
              </w:rPr>
              <w:t>01 – Dotacija</w:t>
            </w:r>
          </w:p>
        </w:tc>
        <w:tc>
          <w:tcPr>
            <w:tcW w:w="1275" w:type="dxa"/>
            <w:tcMar>
              <w:left w:w="28" w:type="dxa"/>
              <w:right w:w="28" w:type="dxa"/>
            </w:tcMar>
          </w:tcPr>
          <w:p w14:paraId="696EDAC5" w14:textId="77777777" w:rsidR="006C68B8" w:rsidRDefault="00822F3A">
            <w:pPr>
              <w:jc w:val="center"/>
              <w:rPr>
                <w:sz w:val="20"/>
              </w:rPr>
            </w:pPr>
            <w:r>
              <w:rPr>
                <w:color w:val="000000"/>
                <w:sz w:val="20"/>
                <w:shd w:val="clear" w:color="auto" w:fill="FFFFFF"/>
              </w:rPr>
              <w:t xml:space="preserve">33 – Nesiorientuojant į </w:t>
            </w:r>
            <w:proofErr w:type="spellStart"/>
            <w:r>
              <w:rPr>
                <w:color w:val="000000"/>
                <w:sz w:val="20"/>
                <w:shd w:val="clear" w:color="auto" w:fill="FFFFFF"/>
              </w:rPr>
              <w:t>teritoriškumą</w:t>
            </w:r>
            <w:proofErr w:type="spellEnd"/>
          </w:p>
        </w:tc>
        <w:tc>
          <w:tcPr>
            <w:tcW w:w="993" w:type="dxa"/>
            <w:tcMar>
              <w:left w:w="28" w:type="dxa"/>
              <w:right w:w="28" w:type="dxa"/>
            </w:tcMar>
          </w:tcPr>
          <w:p w14:paraId="5CCB9B5F" w14:textId="77777777" w:rsidR="006C68B8" w:rsidRDefault="00822F3A">
            <w:pPr>
              <w:jc w:val="center"/>
              <w:rPr>
                <w:sz w:val="20"/>
              </w:rPr>
            </w:pPr>
            <w:r>
              <w:rPr>
                <w:sz w:val="20"/>
              </w:rPr>
              <w:t>21 – Švietimas</w:t>
            </w:r>
          </w:p>
        </w:tc>
        <w:tc>
          <w:tcPr>
            <w:tcW w:w="1134" w:type="dxa"/>
            <w:tcMar>
              <w:left w:w="28" w:type="dxa"/>
              <w:right w:w="28" w:type="dxa"/>
            </w:tcMar>
          </w:tcPr>
          <w:p w14:paraId="0A146342" w14:textId="77777777" w:rsidR="006C68B8" w:rsidRDefault="00822F3A">
            <w:pPr>
              <w:jc w:val="center"/>
              <w:rPr>
                <w:iCs/>
                <w:sz w:val="20"/>
              </w:rPr>
            </w:pPr>
            <w:r>
              <w:rPr>
                <w:sz w:val="20"/>
              </w:rPr>
              <w:t>09 – Netaikoma</w:t>
            </w:r>
          </w:p>
        </w:tc>
        <w:tc>
          <w:tcPr>
            <w:tcW w:w="1111" w:type="dxa"/>
            <w:tcMar>
              <w:left w:w="28" w:type="dxa"/>
              <w:right w:w="28" w:type="dxa"/>
            </w:tcMar>
          </w:tcPr>
          <w:p w14:paraId="4B3082FD" w14:textId="77777777" w:rsidR="006C68B8" w:rsidRDefault="00822F3A">
            <w:pPr>
              <w:jc w:val="center"/>
              <w:rPr>
                <w:iCs/>
                <w:sz w:val="20"/>
              </w:rPr>
            </w:pPr>
            <w:r>
              <w:rPr>
                <w:color w:val="000000"/>
                <w:sz w:val="20"/>
                <w:shd w:val="clear" w:color="auto" w:fill="FFFFFF"/>
              </w:rPr>
              <w:t>02 – Lyčių aspekto integravimas</w:t>
            </w:r>
          </w:p>
        </w:tc>
        <w:tc>
          <w:tcPr>
            <w:tcW w:w="1149" w:type="dxa"/>
          </w:tcPr>
          <w:p w14:paraId="1F1DFD9A" w14:textId="77777777" w:rsidR="006C68B8" w:rsidRDefault="00822F3A">
            <w:pPr>
              <w:jc w:val="center"/>
              <w:rPr>
                <w:iCs/>
                <w:sz w:val="20"/>
              </w:rPr>
            </w:pPr>
            <w:r>
              <w:rPr>
                <w:iCs/>
                <w:sz w:val="20"/>
              </w:rPr>
              <w:t>Ne</w:t>
            </w:r>
          </w:p>
        </w:tc>
      </w:tr>
      <w:tr w:rsidR="009D1ED7" w14:paraId="23C1BEE2" w14:textId="77777777" w:rsidTr="003C7A7B">
        <w:tblPrEx>
          <w:tblBorders>
            <w:top w:val="none" w:sz="0" w:space="0" w:color="auto"/>
          </w:tblBorders>
        </w:tblPrEx>
        <w:trPr>
          <w:trHeight w:val="278"/>
        </w:trPr>
        <w:tc>
          <w:tcPr>
            <w:tcW w:w="1110" w:type="dxa"/>
            <w:tcMar>
              <w:left w:w="28" w:type="dxa"/>
              <w:right w:w="28" w:type="dxa"/>
            </w:tcMar>
          </w:tcPr>
          <w:p w14:paraId="33AB8D2F" w14:textId="71CA1B5F" w:rsidR="009D1ED7" w:rsidRDefault="009D1ED7" w:rsidP="009D1ED7">
            <w:pPr>
              <w:ind w:firstLine="48"/>
              <w:jc w:val="center"/>
              <w:rPr>
                <w:sz w:val="20"/>
              </w:rPr>
            </w:pPr>
            <w:r>
              <w:rPr>
                <w:sz w:val="20"/>
              </w:rPr>
              <w:t>5.2. Stiprinti u</w:t>
            </w:r>
            <w:r>
              <w:rPr>
                <w:color w:val="000000"/>
                <w:sz w:val="20"/>
              </w:rPr>
              <w:t xml:space="preserve">gdymo, atliepiančio mokinių amžių ir poreikius, kokybę </w:t>
            </w:r>
            <w:r>
              <w:rPr>
                <w:sz w:val="20"/>
              </w:rPr>
              <w:t>Vidurio ir vakarų Lietuvos regione</w:t>
            </w:r>
          </w:p>
        </w:tc>
        <w:tc>
          <w:tcPr>
            <w:tcW w:w="1125" w:type="dxa"/>
            <w:tcMar>
              <w:left w:w="28" w:type="dxa"/>
              <w:right w:w="28" w:type="dxa"/>
            </w:tcMar>
          </w:tcPr>
          <w:p w14:paraId="575405DC" w14:textId="7188F349" w:rsidR="009D1ED7" w:rsidRDefault="009D1ED7" w:rsidP="009D1ED7">
            <w:pPr>
              <w:jc w:val="center"/>
              <w:rPr>
                <w:sz w:val="20"/>
              </w:rPr>
            </w:pPr>
            <w:r>
              <w:rPr>
                <w:sz w:val="20"/>
              </w:rPr>
              <w:t>Europos Sąjungos fondų ir bendrojo finansavimo lėšos</w:t>
            </w:r>
          </w:p>
        </w:tc>
        <w:tc>
          <w:tcPr>
            <w:tcW w:w="1236" w:type="dxa"/>
            <w:tcMar>
              <w:left w:w="28" w:type="dxa"/>
              <w:right w:w="28" w:type="dxa"/>
            </w:tcMar>
          </w:tcPr>
          <w:p w14:paraId="4D71B531" w14:textId="2DEA2764" w:rsidR="009D1ED7" w:rsidRDefault="009D1ED7" w:rsidP="009D1ED7">
            <w:pPr>
              <w:jc w:val="center"/>
              <w:rPr>
                <w:sz w:val="20"/>
              </w:rPr>
            </w:pPr>
            <w:r>
              <w:rPr>
                <w:sz w:val="20"/>
              </w:rPr>
              <w:t>4</w:t>
            </w:r>
          </w:p>
        </w:tc>
        <w:tc>
          <w:tcPr>
            <w:tcW w:w="1134" w:type="dxa"/>
            <w:tcMar>
              <w:left w:w="28" w:type="dxa"/>
              <w:right w:w="28" w:type="dxa"/>
            </w:tcMar>
          </w:tcPr>
          <w:p w14:paraId="1E4104B3" w14:textId="0AF5E227" w:rsidR="009D1ED7" w:rsidRDefault="009D1ED7" w:rsidP="009D1ED7">
            <w:pPr>
              <w:jc w:val="center"/>
              <w:rPr>
                <w:sz w:val="20"/>
              </w:rPr>
            </w:pPr>
            <w:r>
              <w:rPr>
                <w:sz w:val="20"/>
              </w:rPr>
              <w:t>4.2</w:t>
            </w:r>
          </w:p>
        </w:tc>
        <w:tc>
          <w:tcPr>
            <w:tcW w:w="1134" w:type="dxa"/>
            <w:tcMar>
              <w:left w:w="28" w:type="dxa"/>
              <w:right w:w="28" w:type="dxa"/>
            </w:tcMar>
          </w:tcPr>
          <w:p w14:paraId="3F5E1015" w14:textId="15F195D6" w:rsidR="009D1ED7" w:rsidRDefault="009D1ED7" w:rsidP="009D1ED7">
            <w:pPr>
              <w:jc w:val="center"/>
              <w:rPr>
                <w:sz w:val="20"/>
              </w:rPr>
            </w:pPr>
            <w:r>
              <w:rPr>
                <w:sz w:val="20"/>
              </w:rPr>
              <w:t>4.2.3. Ankstinti privalomojo ugdymo pradžią, kad būtų užtikrintas spartesnis mokinių pasiekimų gerėjimas</w:t>
            </w:r>
          </w:p>
        </w:tc>
        <w:tc>
          <w:tcPr>
            <w:tcW w:w="1457" w:type="dxa"/>
            <w:tcMar>
              <w:left w:w="28" w:type="dxa"/>
              <w:right w:w="28" w:type="dxa"/>
            </w:tcMar>
          </w:tcPr>
          <w:p w14:paraId="169BD34B" w14:textId="700DF7E6" w:rsidR="009D1ED7" w:rsidRDefault="009D1ED7" w:rsidP="009D1ED7">
            <w:pPr>
              <w:jc w:val="center"/>
              <w:rPr>
                <w:sz w:val="20"/>
              </w:rPr>
            </w:pPr>
            <w:r>
              <w:rPr>
                <w:sz w:val="20"/>
              </w:rPr>
              <w:t>149</w:t>
            </w:r>
          </w:p>
        </w:tc>
        <w:tc>
          <w:tcPr>
            <w:tcW w:w="1304" w:type="dxa"/>
            <w:tcMar>
              <w:left w:w="28" w:type="dxa"/>
              <w:right w:w="28" w:type="dxa"/>
            </w:tcMar>
          </w:tcPr>
          <w:p w14:paraId="730599AB" w14:textId="62EC257E" w:rsidR="009D1ED7" w:rsidRDefault="009D1ED7" w:rsidP="009D1ED7">
            <w:pPr>
              <w:jc w:val="center"/>
              <w:rPr>
                <w:sz w:val="20"/>
              </w:rPr>
            </w:pPr>
            <w:r>
              <w:rPr>
                <w:sz w:val="20"/>
              </w:rPr>
              <w:t>Vidurio ir vakarų Lietuvos regionas</w:t>
            </w:r>
          </w:p>
        </w:tc>
        <w:tc>
          <w:tcPr>
            <w:tcW w:w="993" w:type="dxa"/>
            <w:tcMar>
              <w:left w:w="28" w:type="dxa"/>
              <w:right w:w="28" w:type="dxa"/>
            </w:tcMar>
          </w:tcPr>
          <w:p w14:paraId="38E52284" w14:textId="18674531" w:rsidR="009D1ED7" w:rsidRDefault="009D1ED7" w:rsidP="009D1ED7">
            <w:pPr>
              <w:jc w:val="center"/>
              <w:rPr>
                <w:sz w:val="20"/>
              </w:rPr>
            </w:pPr>
            <w:r>
              <w:rPr>
                <w:sz w:val="20"/>
              </w:rPr>
              <w:t>01 – Dotacija</w:t>
            </w:r>
          </w:p>
        </w:tc>
        <w:tc>
          <w:tcPr>
            <w:tcW w:w="1275" w:type="dxa"/>
            <w:tcMar>
              <w:left w:w="28" w:type="dxa"/>
              <w:right w:w="28" w:type="dxa"/>
            </w:tcMar>
          </w:tcPr>
          <w:p w14:paraId="496A0349" w14:textId="4CD62A4A" w:rsidR="009D1ED7" w:rsidRPr="003C7A7B" w:rsidRDefault="009D1ED7" w:rsidP="009D1ED7">
            <w:pPr>
              <w:jc w:val="center"/>
              <w:rPr>
                <w:color w:val="000000"/>
                <w:sz w:val="20"/>
                <w:shd w:val="clear" w:color="auto" w:fill="FFFFFF"/>
              </w:rPr>
            </w:pPr>
            <w:r>
              <w:rPr>
                <w:color w:val="000000"/>
                <w:sz w:val="20"/>
                <w:shd w:val="clear" w:color="auto" w:fill="FFFFFF"/>
              </w:rPr>
              <w:t xml:space="preserve">33 – Nesiorientuojant į </w:t>
            </w:r>
            <w:proofErr w:type="spellStart"/>
            <w:r>
              <w:rPr>
                <w:color w:val="000000"/>
                <w:sz w:val="20"/>
                <w:shd w:val="clear" w:color="auto" w:fill="FFFFFF"/>
              </w:rPr>
              <w:t>teritoriškumą</w:t>
            </w:r>
            <w:proofErr w:type="spellEnd"/>
          </w:p>
        </w:tc>
        <w:tc>
          <w:tcPr>
            <w:tcW w:w="993" w:type="dxa"/>
            <w:tcMar>
              <w:left w:w="28" w:type="dxa"/>
              <w:right w:w="28" w:type="dxa"/>
            </w:tcMar>
          </w:tcPr>
          <w:p w14:paraId="030CDF7D" w14:textId="4F212948" w:rsidR="009D1ED7" w:rsidRDefault="009D1ED7" w:rsidP="009D1ED7">
            <w:pPr>
              <w:jc w:val="center"/>
              <w:rPr>
                <w:sz w:val="20"/>
              </w:rPr>
            </w:pPr>
            <w:r>
              <w:rPr>
                <w:sz w:val="20"/>
              </w:rPr>
              <w:t>21 – Švietimas</w:t>
            </w:r>
          </w:p>
        </w:tc>
        <w:tc>
          <w:tcPr>
            <w:tcW w:w="1134" w:type="dxa"/>
            <w:tcMar>
              <w:left w:w="28" w:type="dxa"/>
              <w:right w:w="28" w:type="dxa"/>
            </w:tcMar>
          </w:tcPr>
          <w:p w14:paraId="1FE67B54" w14:textId="4639852D" w:rsidR="009D1ED7" w:rsidRDefault="009D1ED7" w:rsidP="009D1ED7">
            <w:pPr>
              <w:jc w:val="center"/>
              <w:rPr>
                <w:sz w:val="20"/>
              </w:rPr>
            </w:pPr>
            <w:r>
              <w:rPr>
                <w:sz w:val="20"/>
              </w:rPr>
              <w:t>09 – Netaikoma</w:t>
            </w:r>
          </w:p>
        </w:tc>
        <w:tc>
          <w:tcPr>
            <w:tcW w:w="1111" w:type="dxa"/>
            <w:tcMar>
              <w:left w:w="28" w:type="dxa"/>
              <w:right w:w="28" w:type="dxa"/>
            </w:tcMar>
          </w:tcPr>
          <w:p w14:paraId="681612D8" w14:textId="27B6D6E8" w:rsidR="009D1ED7" w:rsidRPr="003C7A7B" w:rsidRDefault="009D1ED7" w:rsidP="009D1ED7">
            <w:pPr>
              <w:jc w:val="center"/>
              <w:rPr>
                <w:color w:val="000000"/>
                <w:sz w:val="20"/>
                <w:shd w:val="clear" w:color="auto" w:fill="FFFFFF"/>
              </w:rPr>
            </w:pPr>
            <w:r>
              <w:rPr>
                <w:color w:val="000000"/>
                <w:sz w:val="20"/>
                <w:shd w:val="clear" w:color="auto" w:fill="FFFFFF"/>
              </w:rPr>
              <w:t>02 – Lyčių aspekto integravimas</w:t>
            </w:r>
          </w:p>
        </w:tc>
        <w:tc>
          <w:tcPr>
            <w:tcW w:w="1149" w:type="dxa"/>
          </w:tcPr>
          <w:p w14:paraId="31DDC455" w14:textId="2C5F47AB" w:rsidR="009D1ED7" w:rsidRDefault="009D1ED7" w:rsidP="009D1ED7">
            <w:pPr>
              <w:jc w:val="center"/>
              <w:rPr>
                <w:iCs/>
                <w:sz w:val="20"/>
              </w:rPr>
            </w:pPr>
            <w:r>
              <w:rPr>
                <w:iCs/>
                <w:sz w:val="20"/>
              </w:rPr>
              <w:t>Ne</w:t>
            </w:r>
          </w:p>
        </w:tc>
      </w:tr>
    </w:tbl>
    <w:p w14:paraId="1E6AB4D8" w14:textId="77777777" w:rsidR="006C68B8" w:rsidRPr="003C7A7B" w:rsidRDefault="006C68B8" w:rsidP="003C7A7B">
      <w:pPr>
        <w:ind w:firstLine="567"/>
        <w:jc w:val="both"/>
        <w:rPr>
          <w:b/>
          <w:i/>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61B4E" w14:paraId="325E22EC" w14:textId="77777777" w:rsidTr="002A5810">
        <w:trPr>
          <w:trHeight w:val="405"/>
        </w:trPr>
        <w:tc>
          <w:tcPr>
            <w:tcW w:w="15134" w:type="dxa"/>
            <w:gridSpan w:val="4"/>
            <w:shd w:val="clear" w:color="auto" w:fill="auto"/>
            <w:vAlign w:val="center"/>
          </w:tcPr>
          <w:p w14:paraId="0BAE2214" w14:textId="2A9C6314" w:rsidR="00161B4E" w:rsidRDefault="00161B4E" w:rsidP="00161B4E">
            <w:pPr>
              <w:rPr>
                <w:sz w:val="22"/>
                <w:szCs w:val="22"/>
              </w:rPr>
            </w:pPr>
            <w:r w:rsidRPr="00161B4E">
              <w:rPr>
                <w:b/>
                <w:sz w:val="22"/>
                <w:szCs w:val="22"/>
              </w:rPr>
              <w:t>2. Veiklos ar poveiklės rodikliai</w:t>
            </w:r>
          </w:p>
        </w:tc>
      </w:tr>
      <w:tr w:rsidR="00161B4E" w14:paraId="37CB1FDB" w14:textId="77777777" w:rsidTr="009E0BBF">
        <w:trPr>
          <w:trHeight w:val="405"/>
        </w:trPr>
        <w:tc>
          <w:tcPr>
            <w:tcW w:w="15134" w:type="dxa"/>
            <w:gridSpan w:val="4"/>
            <w:shd w:val="clear" w:color="auto" w:fill="auto"/>
            <w:vAlign w:val="center"/>
          </w:tcPr>
          <w:p w14:paraId="75898548" w14:textId="090A163A" w:rsidR="00161B4E" w:rsidRDefault="00041978" w:rsidP="00161B4E">
            <w:pPr>
              <w:rPr>
                <w:sz w:val="22"/>
                <w:szCs w:val="22"/>
              </w:rPr>
            </w:pPr>
            <w:r w:rsidRPr="00041978">
              <w:rPr>
                <w:sz w:val="22"/>
                <w:szCs w:val="22"/>
              </w:rPr>
              <w:t>5.1. Stiprinti ugdymo, atliepiančio mokinių amžių ir poreikius, kokybę Sostinės regione</w:t>
            </w:r>
          </w:p>
        </w:tc>
      </w:tr>
      <w:tr w:rsidR="006C68B8" w14:paraId="20DB4E34" w14:textId="77777777">
        <w:trPr>
          <w:trHeight w:val="405"/>
        </w:trPr>
        <w:tc>
          <w:tcPr>
            <w:tcW w:w="3783" w:type="dxa"/>
            <w:shd w:val="clear" w:color="auto" w:fill="auto"/>
            <w:vAlign w:val="center"/>
          </w:tcPr>
          <w:p w14:paraId="7EA88FF1" w14:textId="77777777" w:rsidR="006C68B8" w:rsidRDefault="00822F3A">
            <w:pPr>
              <w:jc w:val="center"/>
              <w:rPr>
                <w:sz w:val="22"/>
                <w:szCs w:val="22"/>
              </w:rPr>
            </w:pPr>
            <w:r>
              <w:rPr>
                <w:sz w:val="22"/>
                <w:szCs w:val="22"/>
              </w:rPr>
              <w:t>Rodiklio pavadinimas</w:t>
            </w:r>
          </w:p>
        </w:tc>
        <w:tc>
          <w:tcPr>
            <w:tcW w:w="3784" w:type="dxa"/>
            <w:shd w:val="clear" w:color="auto" w:fill="auto"/>
            <w:vAlign w:val="center"/>
          </w:tcPr>
          <w:p w14:paraId="23A709B6" w14:textId="77777777" w:rsidR="006C68B8" w:rsidRDefault="00822F3A">
            <w:pPr>
              <w:jc w:val="center"/>
              <w:rPr>
                <w:sz w:val="22"/>
                <w:szCs w:val="22"/>
              </w:rPr>
            </w:pPr>
            <w:r>
              <w:rPr>
                <w:sz w:val="22"/>
                <w:szCs w:val="22"/>
              </w:rPr>
              <w:t>Rodiklio kodas</w:t>
            </w:r>
          </w:p>
        </w:tc>
        <w:tc>
          <w:tcPr>
            <w:tcW w:w="3783" w:type="dxa"/>
            <w:shd w:val="clear" w:color="auto" w:fill="auto"/>
            <w:vAlign w:val="center"/>
          </w:tcPr>
          <w:p w14:paraId="5A2C5A04" w14:textId="77777777" w:rsidR="006C68B8" w:rsidRDefault="00822F3A">
            <w:pPr>
              <w:jc w:val="center"/>
              <w:rPr>
                <w:sz w:val="22"/>
                <w:szCs w:val="22"/>
              </w:rPr>
            </w:pPr>
            <w:r>
              <w:rPr>
                <w:sz w:val="22"/>
                <w:szCs w:val="22"/>
              </w:rPr>
              <w:t>Matavimo vienetai</w:t>
            </w:r>
          </w:p>
        </w:tc>
        <w:tc>
          <w:tcPr>
            <w:tcW w:w="3784" w:type="dxa"/>
            <w:shd w:val="clear" w:color="auto" w:fill="auto"/>
            <w:vAlign w:val="center"/>
          </w:tcPr>
          <w:p w14:paraId="72862F8E" w14:textId="77777777" w:rsidR="006C68B8" w:rsidRDefault="00822F3A">
            <w:pPr>
              <w:jc w:val="center"/>
              <w:rPr>
                <w:sz w:val="22"/>
                <w:szCs w:val="22"/>
              </w:rPr>
            </w:pPr>
            <w:r>
              <w:rPr>
                <w:sz w:val="22"/>
                <w:szCs w:val="22"/>
              </w:rPr>
              <w:t>Siektina reikšmė ir pasiekimo data</w:t>
            </w:r>
          </w:p>
        </w:tc>
      </w:tr>
      <w:tr w:rsidR="006C68B8" w14:paraId="40BD2EEE" w14:textId="77777777">
        <w:trPr>
          <w:trHeight w:val="405"/>
        </w:trPr>
        <w:tc>
          <w:tcPr>
            <w:tcW w:w="3783" w:type="dxa"/>
            <w:shd w:val="clear" w:color="auto" w:fill="auto"/>
            <w:vAlign w:val="center"/>
          </w:tcPr>
          <w:p w14:paraId="1853DEDC" w14:textId="77777777" w:rsidR="006C68B8" w:rsidRDefault="00822F3A">
            <w:pPr>
              <w:rPr>
                <w:sz w:val="20"/>
              </w:rPr>
            </w:pPr>
            <w:r>
              <w:rPr>
                <w:color w:val="000000"/>
                <w:sz w:val="20"/>
              </w:rPr>
              <w:t>Asmenys, turintys tretinį (ISCED 5–8 kodai) išsilavinimą</w:t>
            </w:r>
          </w:p>
        </w:tc>
        <w:tc>
          <w:tcPr>
            <w:tcW w:w="3784" w:type="dxa"/>
            <w:shd w:val="clear" w:color="auto" w:fill="auto"/>
            <w:vAlign w:val="center"/>
          </w:tcPr>
          <w:p w14:paraId="649959B6" w14:textId="77777777" w:rsidR="006C68B8" w:rsidRDefault="00822F3A">
            <w:pPr>
              <w:jc w:val="center"/>
              <w:rPr>
                <w:iCs/>
                <w:sz w:val="20"/>
                <w:lang w:eastAsia="lt-LT"/>
              </w:rPr>
            </w:pPr>
            <w:r>
              <w:rPr>
                <w:iCs/>
                <w:sz w:val="20"/>
                <w:lang w:eastAsia="lt-LT"/>
              </w:rPr>
              <w:t>P-12-003-03-01-03-03</w:t>
            </w:r>
          </w:p>
          <w:p w14:paraId="6A13995E" w14:textId="77777777" w:rsidR="006C68B8" w:rsidRDefault="00822F3A">
            <w:pPr>
              <w:jc w:val="center"/>
              <w:rPr>
                <w:sz w:val="20"/>
              </w:rPr>
            </w:pPr>
            <w:r>
              <w:rPr>
                <w:sz w:val="20"/>
              </w:rPr>
              <w:t>P.B.2.0511</w:t>
            </w:r>
          </w:p>
        </w:tc>
        <w:tc>
          <w:tcPr>
            <w:tcW w:w="3783" w:type="dxa"/>
            <w:shd w:val="clear" w:color="auto" w:fill="auto"/>
            <w:vAlign w:val="center"/>
          </w:tcPr>
          <w:p w14:paraId="0CEFADD4" w14:textId="77777777" w:rsidR="006C68B8" w:rsidRDefault="00822F3A">
            <w:pPr>
              <w:jc w:val="center"/>
              <w:rPr>
                <w:sz w:val="20"/>
              </w:rPr>
            </w:pPr>
            <w:r>
              <w:rPr>
                <w:sz w:val="20"/>
              </w:rPr>
              <w:t>Asmenys</w:t>
            </w:r>
          </w:p>
        </w:tc>
        <w:tc>
          <w:tcPr>
            <w:tcW w:w="3784" w:type="dxa"/>
            <w:shd w:val="clear" w:color="auto" w:fill="auto"/>
            <w:vAlign w:val="center"/>
          </w:tcPr>
          <w:p w14:paraId="61EC4919" w14:textId="77777777" w:rsidR="006C68B8" w:rsidRDefault="00822F3A">
            <w:pPr>
              <w:jc w:val="center"/>
              <w:rPr>
                <w:sz w:val="20"/>
              </w:rPr>
            </w:pPr>
            <w:r>
              <w:rPr>
                <w:sz w:val="20"/>
              </w:rPr>
              <w:t>1 685 (2029)</w:t>
            </w:r>
          </w:p>
        </w:tc>
      </w:tr>
      <w:tr w:rsidR="006C68B8" w14:paraId="6757C370" w14:textId="77777777">
        <w:trPr>
          <w:trHeight w:val="416"/>
        </w:trPr>
        <w:tc>
          <w:tcPr>
            <w:tcW w:w="3783" w:type="dxa"/>
          </w:tcPr>
          <w:p w14:paraId="34BE3B0D" w14:textId="77777777" w:rsidR="006C68B8" w:rsidRDefault="00822F3A">
            <w:pPr>
              <w:rPr>
                <w:i/>
                <w:iCs/>
                <w:sz w:val="20"/>
              </w:rPr>
            </w:pPr>
            <w:r>
              <w:rPr>
                <w:sz w:val="20"/>
              </w:rPr>
              <w:t>Dalyviai, pasibaigus jų dalyvavimui veiklose, įgyjantys kvalifikaciją</w:t>
            </w:r>
          </w:p>
        </w:tc>
        <w:tc>
          <w:tcPr>
            <w:tcW w:w="3784" w:type="dxa"/>
          </w:tcPr>
          <w:p w14:paraId="00EC2C5B" w14:textId="77777777" w:rsidR="006C68B8" w:rsidRDefault="00822F3A">
            <w:pPr>
              <w:jc w:val="center"/>
              <w:rPr>
                <w:iCs/>
                <w:sz w:val="20"/>
              </w:rPr>
            </w:pPr>
            <w:r>
              <w:rPr>
                <w:iCs/>
                <w:sz w:val="20"/>
              </w:rPr>
              <w:t>R-12-003-03-01-03-14</w:t>
            </w:r>
          </w:p>
          <w:p w14:paraId="7F6E4F3C" w14:textId="77777777" w:rsidR="006C68B8" w:rsidRDefault="00822F3A">
            <w:pPr>
              <w:jc w:val="center"/>
              <w:rPr>
                <w:i/>
                <w:iCs/>
                <w:sz w:val="20"/>
              </w:rPr>
            </w:pPr>
            <w:r>
              <w:rPr>
                <w:sz w:val="20"/>
              </w:rPr>
              <w:t>R.B.2.2503</w:t>
            </w:r>
          </w:p>
        </w:tc>
        <w:tc>
          <w:tcPr>
            <w:tcW w:w="3783" w:type="dxa"/>
            <w:vAlign w:val="center"/>
          </w:tcPr>
          <w:p w14:paraId="45E2A922" w14:textId="77777777" w:rsidR="006C68B8" w:rsidRDefault="00822F3A">
            <w:pPr>
              <w:jc w:val="center"/>
              <w:rPr>
                <w:sz w:val="20"/>
              </w:rPr>
            </w:pPr>
            <w:r>
              <w:rPr>
                <w:sz w:val="20"/>
              </w:rPr>
              <w:t>Asmenys</w:t>
            </w:r>
          </w:p>
        </w:tc>
        <w:tc>
          <w:tcPr>
            <w:tcW w:w="3784" w:type="dxa"/>
            <w:vAlign w:val="center"/>
          </w:tcPr>
          <w:p w14:paraId="237F57CB" w14:textId="77777777" w:rsidR="006C68B8" w:rsidRDefault="00822F3A">
            <w:pPr>
              <w:jc w:val="center"/>
              <w:rPr>
                <w:i/>
                <w:iCs/>
                <w:sz w:val="20"/>
              </w:rPr>
            </w:pPr>
            <w:r>
              <w:rPr>
                <w:sz w:val="20"/>
              </w:rPr>
              <w:t>1 430 (2029)</w:t>
            </w:r>
          </w:p>
        </w:tc>
      </w:tr>
      <w:tr w:rsidR="008E5267" w14:paraId="6AEAD3A0" w14:textId="77777777" w:rsidTr="003C7A7B">
        <w:trPr>
          <w:trHeight w:val="416"/>
        </w:trPr>
        <w:tc>
          <w:tcPr>
            <w:tcW w:w="15134" w:type="dxa"/>
            <w:gridSpan w:val="4"/>
            <w:vAlign w:val="center"/>
          </w:tcPr>
          <w:p w14:paraId="61D60781" w14:textId="7C2E9DD9" w:rsidR="008E5267" w:rsidRPr="00424A45" w:rsidRDefault="008E5267" w:rsidP="000835A5">
            <w:pPr>
              <w:rPr>
                <w:sz w:val="22"/>
                <w:szCs w:val="22"/>
              </w:rPr>
            </w:pPr>
            <w:r w:rsidRPr="003C7A7B">
              <w:rPr>
                <w:sz w:val="22"/>
                <w:szCs w:val="22"/>
              </w:rPr>
              <w:t>5.2. Stiprinti ugdymo, atliepiančio mokinių amžių ir poreikius, kokybę Vidurio ir vakarų Lietuvos regione</w:t>
            </w:r>
          </w:p>
        </w:tc>
      </w:tr>
      <w:tr w:rsidR="008E5267" w14:paraId="79058BBD" w14:textId="77777777" w:rsidTr="003C7A7B">
        <w:trPr>
          <w:trHeight w:val="416"/>
        </w:trPr>
        <w:tc>
          <w:tcPr>
            <w:tcW w:w="3783" w:type="dxa"/>
            <w:shd w:val="clear" w:color="auto" w:fill="auto"/>
            <w:vAlign w:val="center"/>
          </w:tcPr>
          <w:p w14:paraId="76250769" w14:textId="279D40B2" w:rsidR="008E5267" w:rsidRPr="003C7A7B" w:rsidRDefault="008E5267" w:rsidP="008E5267">
            <w:pPr>
              <w:jc w:val="center"/>
              <w:rPr>
                <w:sz w:val="20"/>
              </w:rPr>
            </w:pPr>
            <w:r>
              <w:rPr>
                <w:sz w:val="22"/>
                <w:szCs w:val="22"/>
              </w:rPr>
              <w:t>Rodiklio pavadinimas</w:t>
            </w:r>
          </w:p>
        </w:tc>
        <w:tc>
          <w:tcPr>
            <w:tcW w:w="3784" w:type="dxa"/>
            <w:shd w:val="clear" w:color="auto" w:fill="auto"/>
            <w:vAlign w:val="center"/>
          </w:tcPr>
          <w:p w14:paraId="059A44F4" w14:textId="56C7A29D" w:rsidR="008E5267" w:rsidRPr="003C7A7B" w:rsidRDefault="008E5267" w:rsidP="008E5267">
            <w:pPr>
              <w:jc w:val="center"/>
              <w:rPr>
                <w:sz w:val="20"/>
              </w:rPr>
            </w:pPr>
            <w:r>
              <w:rPr>
                <w:sz w:val="22"/>
                <w:szCs w:val="22"/>
              </w:rPr>
              <w:t>Rodiklio kodas</w:t>
            </w:r>
          </w:p>
        </w:tc>
        <w:tc>
          <w:tcPr>
            <w:tcW w:w="3783" w:type="dxa"/>
            <w:shd w:val="clear" w:color="auto" w:fill="auto"/>
            <w:vAlign w:val="center"/>
          </w:tcPr>
          <w:p w14:paraId="0A53F739" w14:textId="43B6327B" w:rsidR="008E5267" w:rsidRPr="003C7A7B" w:rsidRDefault="008E5267" w:rsidP="008E5267">
            <w:pPr>
              <w:jc w:val="center"/>
              <w:rPr>
                <w:sz w:val="20"/>
              </w:rPr>
            </w:pPr>
            <w:r>
              <w:rPr>
                <w:sz w:val="22"/>
                <w:szCs w:val="22"/>
              </w:rPr>
              <w:t>Matavimo vienetai</w:t>
            </w:r>
          </w:p>
        </w:tc>
        <w:tc>
          <w:tcPr>
            <w:tcW w:w="3784" w:type="dxa"/>
            <w:shd w:val="clear" w:color="auto" w:fill="auto"/>
            <w:vAlign w:val="center"/>
          </w:tcPr>
          <w:p w14:paraId="523FEA1F" w14:textId="3FBB8388" w:rsidR="008E5267" w:rsidRPr="003C7A7B" w:rsidRDefault="008E5267" w:rsidP="008E5267">
            <w:pPr>
              <w:jc w:val="center"/>
              <w:rPr>
                <w:sz w:val="20"/>
              </w:rPr>
            </w:pPr>
            <w:r>
              <w:rPr>
                <w:sz w:val="22"/>
                <w:szCs w:val="22"/>
              </w:rPr>
              <w:t>Siektina reikšmė ir pasiekimo data</w:t>
            </w:r>
          </w:p>
        </w:tc>
      </w:tr>
      <w:tr w:rsidR="00846A4B" w14:paraId="7C12A7F2" w14:textId="77777777" w:rsidTr="003C7A7B">
        <w:trPr>
          <w:trHeight w:val="416"/>
        </w:trPr>
        <w:tc>
          <w:tcPr>
            <w:tcW w:w="3783" w:type="dxa"/>
            <w:shd w:val="clear" w:color="auto" w:fill="auto"/>
            <w:vAlign w:val="center"/>
          </w:tcPr>
          <w:p w14:paraId="7F987E45" w14:textId="46E1A3A8" w:rsidR="00846A4B" w:rsidRDefault="00846A4B" w:rsidP="00846A4B">
            <w:pPr>
              <w:rPr>
                <w:sz w:val="20"/>
              </w:rPr>
            </w:pPr>
            <w:r>
              <w:rPr>
                <w:color w:val="000000"/>
                <w:sz w:val="20"/>
              </w:rPr>
              <w:t>Asmenys, turintys tretinį (ISCED 5–8 kodai) išsilavinimą</w:t>
            </w:r>
          </w:p>
        </w:tc>
        <w:tc>
          <w:tcPr>
            <w:tcW w:w="3784" w:type="dxa"/>
            <w:shd w:val="clear" w:color="auto" w:fill="auto"/>
            <w:vAlign w:val="center"/>
          </w:tcPr>
          <w:p w14:paraId="59503900" w14:textId="77777777" w:rsidR="00846A4B" w:rsidRDefault="00846A4B" w:rsidP="00846A4B">
            <w:pPr>
              <w:jc w:val="center"/>
              <w:rPr>
                <w:iCs/>
                <w:sz w:val="20"/>
                <w:lang w:eastAsia="lt-LT"/>
              </w:rPr>
            </w:pPr>
            <w:r>
              <w:rPr>
                <w:iCs/>
                <w:sz w:val="20"/>
                <w:lang w:eastAsia="lt-LT"/>
              </w:rPr>
              <w:t>P-12-003-03-01-03-03</w:t>
            </w:r>
          </w:p>
          <w:p w14:paraId="18312045" w14:textId="75A78E16" w:rsidR="00846A4B" w:rsidRDefault="00846A4B" w:rsidP="00846A4B">
            <w:pPr>
              <w:jc w:val="center"/>
              <w:rPr>
                <w:iCs/>
                <w:sz w:val="20"/>
              </w:rPr>
            </w:pPr>
            <w:r>
              <w:rPr>
                <w:sz w:val="20"/>
              </w:rPr>
              <w:t>P.B.2.0511</w:t>
            </w:r>
          </w:p>
        </w:tc>
        <w:tc>
          <w:tcPr>
            <w:tcW w:w="3783" w:type="dxa"/>
            <w:shd w:val="clear" w:color="auto" w:fill="auto"/>
            <w:vAlign w:val="center"/>
          </w:tcPr>
          <w:p w14:paraId="2FAFACA4" w14:textId="3802E112" w:rsidR="00846A4B" w:rsidRDefault="00846A4B" w:rsidP="00846A4B">
            <w:pPr>
              <w:jc w:val="center"/>
              <w:rPr>
                <w:sz w:val="20"/>
              </w:rPr>
            </w:pPr>
            <w:r>
              <w:rPr>
                <w:sz w:val="20"/>
              </w:rPr>
              <w:t>Asmenys</w:t>
            </w:r>
          </w:p>
        </w:tc>
        <w:tc>
          <w:tcPr>
            <w:tcW w:w="3784" w:type="dxa"/>
            <w:shd w:val="clear" w:color="auto" w:fill="auto"/>
            <w:vAlign w:val="center"/>
          </w:tcPr>
          <w:p w14:paraId="017EE48D" w14:textId="61814BC6" w:rsidR="00846A4B" w:rsidRDefault="00846A4B" w:rsidP="00846A4B">
            <w:pPr>
              <w:jc w:val="center"/>
              <w:rPr>
                <w:sz w:val="20"/>
              </w:rPr>
            </w:pPr>
            <w:r>
              <w:rPr>
                <w:sz w:val="20"/>
              </w:rPr>
              <w:t>4 245 (2029)</w:t>
            </w:r>
          </w:p>
        </w:tc>
      </w:tr>
      <w:tr w:rsidR="00846A4B" w14:paraId="3445A595" w14:textId="77777777">
        <w:trPr>
          <w:trHeight w:val="416"/>
        </w:trPr>
        <w:tc>
          <w:tcPr>
            <w:tcW w:w="3783" w:type="dxa"/>
          </w:tcPr>
          <w:p w14:paraId="215FA2C6" w14:textId="3844DBC6" w:rsidR="00846A4B" w:rsidRPr="003C7A7B" w:rsidRDefault="00846A4B" w:rsidP="00846A4B">
            <w:pPr>
              <w:rPr>
                <w:sz w:val="20"/>
              </w:rPr>
            </w:pPr>
            <w:r>
              <w:rPr>
                <w:sz w:val="20"/>
              </w:rPr>
              <w:t>Dalyviai, pasibaigus jų dalyvavimui veiklose, įgyjantys kvalifikaciją</w:t>
            </w:r>
          </w:p>
        </w:tc>
        <w:tc>
          <w:tcPr>
            <w:tcW w:w="3784" w:type="dxa"/>
          </w:tcPr>
          <w:p w14:paraId="44B00389" w14:textId="77777777" w:rsidR="00846A4B" w:rsidRDefault="00846A4B" w:rsidP="00846A4B">
            <w:pPr>
              <w:jc w:val="center"/>
              <w:rPr>
                <w:iCs/>
                <w:sz w:val="20"/>
              </w:rPr>
            </w:pPr>
            <w:r>
              <w:rPr>
                <w:iCs/>
                <w:sz w:val="20"/>
              </w:rPr>
              <w:t>R-12-003-03-01-03-14</w:t>
            </w:r>
          </w:p>
          <w:p w14:paraId="6CF44F35" w14:textId="2F8478FC" w:rsidR="00846A4B" w:rsidRDefault="00846A4B" w:rsidP="00846A4B">
            <w:pPr>
              <w:jc w:val="center"/>
              <w:rPr>
                <w:iCs/>
                <w:sz w:val="20"/>
              </w:rPr>
            </w:pPr>
            <w:r>
              <w:rPr>
                <w:sz w:val="20"/>
              </w:rPr>
              <w:t>R.B.2.2503</w:t>
            </w:r>
          </w:p>
        </w:tc>
        <w:tc>
          <w:tcPr>
            <w:tcW w:w="3783" w:type="dxa"/>
            <w:vAlign w:val="center"/>
          </w:tcPr>
          <w:p w14:paraId="738F96D1" w14:textId="082229B3" w:rsidR="00846A4B" w:rsidRDefault="00846A4B" w:rsidP="00846A4B">
            <w:pPr>
              <w:jc w:val="center"/>
              <w:rPr>
                <w:sz w:val="20"/>
              </w:rPr>
            </w:pPr>
            <w:r>
              <w:rPr>
                <w:sz w:val="20"/>
              </w:rPr>
              <w:t>Asmenys</w:t>
            </w:r>
          </w:p>
        </w:tc>
        <w:tc>
          <w:tcPr>
            <w:tcW w:w="3784" w:type="dxa"/>
            <w:vAlign w:val="center"/>
          </w:tcPr>
          <w:p w14:paraId="6699C5C9" w14:textId="21A67CD0" w:rsidR="00846A4B" w:rsidRPr="003C7A7B" w:rsidRDefault="00846A4B" w:rsidP="00846A4B">
            <w:pPr>
              <w:jc w:val="center"/>
              <w:rPr>
                <w:sz w:val="20"/>
              </w:rPr>
            </w:pPr>
            <w:r>
              <w:rPr>
                <w:sz w:val="20"/>
              </w:rPr>
              <w:t>3 610 (2029)</w:t>
            </w:r>
          </w:p>
        </w:tc>
      </w:tr>
    </w:tbl>
    <w:p w14:paraId="3DE4D60B" w14:textId="77777777" w:rsidR="006C68B8" w:rsidRDefault="006C68B8">
      <w:pPr>
        <w:jc w:val="both"/>
        <w:rPr>
          <w:i/>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C68B8" w14:paraId="49B31AE6" w14:textId="77777777">
        <w:trPr>
          <w:trHeight w:val="298"/>
        </w:trPr>
        <w:tc>
          <w:tcPr>
            <w:tcW w:w="15158" w:type="dxa"/>
          </w:tcPr>
          <w:p w14:paraId="0EF43572" w14:textId="4E321877" w:rsidR="006C68B8" w:rsidRDefault="00E309E9">
            <w:pPr>
              <w:jc w:val="both"/>
              <w:rPr>
                <w:szCs w:val="24"/>
              </w:rPr>
            </w:pPr>
            <w:r w:rsidRPr="008F13A5">
              <w:rPr>
                <w:b/>
                <w:bCs/>
                <w:color w:val="000000"/>
                <w:sz w:val="22"/>
                <w:szCs w:val="22"/>
              </w:rPr>
              <w:t>3. Lietuvos Respublikos švietimo, mokslo ir sporto ministerijos (toliau – Ministerija)</w:t>
            </w:r>
            <w:r w:rsidRPr="003C7A7B">
              <w:rPr>
                <w:b/>
                <w:color w:val="000000"/>
                <w:sz w:val="22"/>
              </w:rPr>
              <w:t xml:space="preserve"> stebėsenos rodiklių aprašymo kortelės</w:t>
            </w:r>
          </w:p>
        </w:tc>
      </w:tr>
      <w:tr w:rsidR="006C68B8" w14:paraId="7F408A11" w14:textId="77777777">
        <w:trPr>
          <w:trHeight w:val="315"/>
        </w:trPr>
        <w:tc>
          <w:tcPr>
            <w:tcW w:w="15158" w:type="dxa"/>
          </w:tcPr>
          <w:p w14:paraId="771BC424" w14:textId="72E17B5F" w:rsidR="00150CDD" w:rsidRPr="003C7A7B" w:rsidRDefault="00EE3806">
            <w:pPr>
              <w:rPr>
                <w:iCs/>
                <w:szCs w:val="24"/>
              </w:rPr>
            </w:pPr>
            <w:r>
              <w:rPr>
                <w:iCs/>
                <w:szCs w:val="24"/>
              </w:rPr>
              <w:t xml:space="preserve">3.1. </w:t>
            </w:r>
            <w:r w:rsidRPr="00EE3806">
              <w:rPr>
                <w:iCs/>
                <w:szCs w:val="24"/>
              </w:rPr>
              <w:t>Rodiklių skaičiavimo metodika pateikta 2021–2030 m. plėtros programos valdytojos Lietuvos Respublikos švietimo, mokslo ir sporto ministerijos švietimo plėtros programos pažangos priemonės Nr. 12-003-03-01-03 „Užtikrinti visiems prieinamą šiuolaikinį ugdymo turinį“ aprašo 6 priede.</w:t>
            </w:r>
          </w:p>
        </w:tc>
      </w:tr>
    </w:tbl>
    <w:p w14:paraId="69FDAB14" w14:textId="77777777" w:rsidR="006C68B8" w:rsidRDefault="006C68B8">
      <w:pPr>
        <w:rPr>
          <w:b/>
          <w:i/>
          <w:szCs w:val="24"/>
        </w:rPr>
      </w:pPr>
    </w:p>
    <w:p w14:paraId="7BA04438" w14:textId="77777777" w:rsidR="006A5B8F" w:rsidRPr="008F13A5" w:rsidRDefault="006A5B8F" w:rsidP="006A5B8F">
      <w:pPr>
        <w:jc w:val="center"/>
        <w:rPr>
          <w:b/>
          <w:bCs/>
          <w:szCs w:val="24"/>
        </w:rPr>
      </w:pPr>
      <w:r w:rsidRPr="008F13A5">
        <w:rPr>
          <w:b/>
          <w:bCs/>
          <w:szCs w:val="24"/>
        </w:rPr>
        <w:t>II SKYRIUS</w:t>
      </w:r>
    </w:p>
    <w:p w14:paraId="1196370C" w14:textId="4E661DA4" w:rsidR="006A5B8F" w:rsidRPr="006A5B8F" w:rsidRDefault="006A5B8F" w:rsidP="006A5B8F">
      <w:pPr>
        <w:jc w:val="center"/>
        <w:rPr>
          <w:b/>
          <w:iCs/>
          <w:szCs w:val="24"/>
        </w:rPr>
      </w:pPr>
      <w:r w:rsidRPr="008F13A5">
        <w:rPr>
          <w:b/>
          <w:szCs w:val="24"/>
        </w:rPr>
        <w:t>SPECIALIEJI FINANSAVIMO REIKALAVIMAI</w:t>
      </w:r>
    </w:p>
    <w:p w14:paraId="565B43F4" w14:textId="77777777" w:rsidR="006A5B8F" w:rsidRDefault="006A5B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C68B8" w14:paraId="2DDFFEDC" w14:textId="77777777">
        <w:tc>
          <w:tcPr>
            <w:tcW w:w="15134" w:type="dxa"/>
          </w:tcPr>
          <w:p w14:paraId="3B790C77" w14:textId="0782BC98" w:rsidR="006C68B8" w:rsidRDefault="00D55C49">
            <w:pPr>
              <w:rPr>
                <w:b/>
                <w:bCs/>
                <w:szCs w:val="24"/>
              </w:rPr>
            </w:pPr>
            <w:r w:rsidRPr="008F13A5">
              <w:rPr>
                <w:b/>
                <w:bCs/>
                <w:sz w:val="22"/>
                <w:szCs w:val="22"/>
              </w:rPr>
              <w:t>4</w:t>
            </w:r>
            <w:r w:rsidRPr="003C7A7B">
              <w:rPr>
                <w:b/>
                <w:sz w:val="22"/>
              </w:rPr>
              <w:t>. Taikomi teisės aktai</w:t>
            </w:r>
            <w:r w:rsidRPr="008F13A5">
              <w:rPr>
                <w:b/>
                <w:bCs/>
                <w:sz w:val="22"/>
                <w:szCs w:val="22"/>
              </w:rPr>
              <w:t xml:space="preserve"> </w:t>
            </w:r>
            <w:r w:rsidRPr="008F13A5">
              <w:rPr>
                <w:b/>
                <w:bCs/>
                <w:szCs w:val="24"/>
              </w:rPr>
              <w:t>ir, jei taikoma, Apraše vartojamos sąvokos</w:t>
            </w:r>
          </w:p>
        </w:tc>
      </w:tr>
      <w:tr w:rsidR="006C68B8" w14:paraId="03A29FC0" w14:textId="77777777">
        <w:tc>
          <w:tcPr>
            <w:tcW w:w="15134" w:type="dxa"/>
          </w:tcPr>
          <w:p w14:paraId="0540F84C" w14:textId="77777777" w:rsidR="006C68B8" w:rsidRDefault="00822F3A">
            <w:pPr>
              <w:jc w:val="both"/>
              <w:rPr>
                <w:iCs/>
                <w:szCs w:val="24"/>
              </w:rPr>
            </w:pPr>
            <w:r>
              <w:rPr>
                <w:iCs/>
                <w:szCs w:val="24"/>
              </w:rPr>
              <w:t>Teisės aktai, kuriais vadovaujamasi rengiant, teikiant ir vertinant projektų įgyvendinimo planą (toliau – PĮP), priimant sprendimą dėl projektų finansavimo, sudarant projektų sutartį ir įgyvendinant projektą, finansuojamą pagal 2021–2030 m. plėtros programos valdytojos Lietuvos Respublikos švietimo, mokslo ir sporto ministerijos švietimo plėtros programos pažangos priemonės Nr. 12-003-03-01-03 „Užtikrinti visiems prieinamą šiuolaikinį ugdymo turinį“ projektų finansavimo sąlygų aprašą Nr. 4 (toliau – Aprašas):</w:t>
            </w:r>
          </w:p>
          <w:p w14:paraId="28821BD5" w14:textId="2BB4C784" w:rsidR="006C68B8" w:rsidRDefault="00E419B2">
            <w:pPr>
              <w:jc w:val="both"/>
              <w:rPr>
                <w:b/>
                <w:iCs/>
                <w:szCs w:val="24"/>
              </w:rPr>
            </w:pPr>
            <w:r>
              <w:rPr>
                <w:b/>
                <w:iCs/>
                <w:szCs w:val="24"/>
              </w:rPr>
              <w:t xml:space="preserve">4.1. </w:t>
            </w:r>
            <w:r w:rsidR="00822F3A">
              <w:rPr>
                <w:b/>
                <w:iCs/>
                <w:szCs w:val="24"/>
              </w:rPr>
              <w:t>Bendrieji teisės aktai:</w:t>
            </w:r>
          </w:p>
          <w:p w14:paraId="227271E7" w14:textId="153813D7" w:rsidR="006C68B8" w:rsidRDefault="00E004AD">
            <w:pPr>
              <w:jc w:val="both"/>
              <w:rPr>
                <w:iCs/>
                <w:szCs w:val="24"/>
              </w:rPr>
            </w:pPr>
            <w:r w:rsidRPr="00C96895">
              <w:rPr>
                <w:iCs/>
                <w:szCs w:val="24"/>
              </w:rPr>
              <w:t>4.</w:t>
            </w:r>
            <w:r w:rsidR="00822F3A" w:rsidRPr="00C96895">
              <w:rPr>
                <w:iCs/>
                <w:szCs w:val="24"/>
              </w:rPr>
              <w:t xml:space="preserve">1.1. </w:t>
            </w:r>
            <w:r w:rsidR="00822F3A">
              <w:rPr>
                <w:iCs/>
                <w:szCs w:val="24"/>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(ES));</w:t>
            </w:r>
          </w:p>
          <w:p w14:paraId="1B887540" w14:textId="621F4765" w:rsidR="006C68B8" w:rsidRDefault="00E004AD">
            <w:pPr>
              <w:jc w:val="both"/>
              <w:rPr>
                <w:iCs/>
                <w:szCs w:val="24"/>
              </w:rPr>
            </w:pPr>
            <w:r>
              <w:rPr>
                <w:iCs/>
                <w:szCs w:val="24"/>
              </w:rPr>
              <w:t>4.</w:t>
            </w:r>
            <w:r w:rsidR="00822F3A">
              <w:rPr>
                <w:iCs/>
                <w:szCs w:val="24"/>
              </w:rPr>
              <w:t>1.2. 2021 m. birželio 24 d. Europos Parlamento ir Tarybos reglamentas (ES) 2021/1057, kuriuo nustatomas „Europos socialinis fondas +“ (ESF+) ir panaikinamas Reglamentas (ES) Nr. 1296/2013;</w:t>
            </w:r>
          </w:p>
          <w:p w14:paraId="5D06D2EB" w14:textId="36B61DB1" w:rsidR="006C68B8" w:rsidRDefault="00E004AD">
            <w:pPr>
              <w:jc w:val="both"/>
              <w:rPr>
                <w:iCs/>
                <w:szCs w:val="24"/>
              </w:rPr>
            </w:pPr>
            <w:r>
              <w:rPr>
                <w:iCs/>
                <w:szCs w:val="24"/>
              </w:rPr>
              <w:t>4.</w:t>
            </w:r>
            <w:r w:rsidR="00822F3A">
              <w:rPr>
                <w:iCs/>
                <w:szCs w:val="24"/>
              </w:rPr>
              <w:t>1.3.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69D663D3" w14:textId="5A1A51DD" w:rsidR="006C68B8" w:rsidRDefault="00E004AD">
            <w:pPr>
              <w:jc w:val="both"/>
              <w:rPr>
                <w:iCs/>
                <w:szCs w:val="24"/>
              </w:rPr>
            </w:pPr>
            <w:r>
              <w:rPr>
                <w:iCs/>
                <w:szCs w:val="24"/>
              </w:rPr>
              <w:t>4.</w:t>
            </w:r>
            <w:r w:rsidR="00822F3A">
              <w:rPr>
                <w:iCs/>
                <w:szCs w:val="24"/>
              </w:rPr>
              <w:t>1.4. 2021–2030 metų nacionalinis pažangos planas, patvirtintas Lietuvos Respublikos Vyriausybės 2020 m. rugsėjo 9 d. nutarimu Nr. 998 „Dėl 2021–2030 metų nacionalinio pažangos plano patvirtinimo“;</w:t>
            </w:r>
          </w:p>
          <w:p w14:paraId="60C0896A" w14:textId="6B1956A1" w:rsidR="006C68B8" w:rsidRDefault="00E004AD">
            <w:pPr>
              <w:jc w:val="both"/>
              <w:rPr>
                <w:iCs/>
                <w:szCs w:val="24"/>
              </w:rPr>
            </w:pPr>
            <w:r>
              <w:rPr>
                <w:iCs/>
                <w:szCs w:val="24"/>
              </w:rPr>
              <w:t>4.</w:t>
            </w:r>
            <w:r w:rsidR="00822F3A">
              <w:rPr>
                <w:iCs/>
                <w:szCs w:val="24"/>
              </w:rPr>
              <w:t>1.5.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556499B3" w14:textId="6BEC8A54" w:rsidR="006C68B8" w:rsidRDefault="00E004AD">
            <w:pPr>
              <w:jc w:val="both"/>
              <w:rPr>
                <w:iCs/>
                <w:szCs w:val="24"/>
              </w:rPr>
            </w:pPr>
            <w:r>
              <w:t>4.</w:t>
            </w:r>
            <w:r w:rsidR="00822F3A">
              <w:t xml:space="preserve">1.6. </w:t>
            </w:r>
            <w:r w:rsidR="00822F3A">
              <w:rPr>
                <w:iCs/>
                <w:szCs w:val="24"/>
              </w:rPr>
              <w:t xml:space="preserve">2021 m. birželio 24 d. Europos Parlamento ir Tarybos reglamentas (ES) 2021/1058 dėl Europos regioninės plėtros fondo ir Sanglaudos fondo; </w:t>
            </w:r>
          </w:p>
          <w:p w14:paraId="0F693AFA" w14:textId="135DE7A9" w:rsidR="006C68B8" w:rsidRDefault="00E004AD">
            <w:pPr>
              <w:jc w:val="both"/>
              <w:rPr>
                <w:iCs/>
                <w:szCs w:val="24"/>
              </w:rPr>
            </w:pPr>
            <w:r>
              <w:rPr>
                <w:iCs/>
                <w:szCs w:val="24"/>
              </w:rPr>
              <w:t>4.</w:t>
            </w:r>
            <w:r w:rsidR="00822F3A">
              <w:rPr>
                <w:iCs/>
                <w:szCs w:val="24"/>
              </w:rPr>
              <w:t>1.7. 2021–2027 metų Europos Sąjungos fondų investicijų programa, patvirtinta 2022 m. rugpjūčio 3 d. Europos Komisijos sprendimu Nr. C(2022) 5742;</w:t>
            </w:r>
          </w:p>
          <w:p w14:paraId="53083F38" w14:textId="00F0A99D" w:rsidR="006C68B8" w:rsidRDefault="00E004AD">
            <w:pPr>
              <w:jc w:val="both"/>
              <w:rPr>
                <w:iCs/>
                <w:szCs w:val="24"/>
              </w:rPr>
            </w:pPr>
            <w:r>
              <w:rPr>
                <w:iCs/>
                <w:szCs w:val="24"/>
              </w:rPr>
              <w:t>4.</w:t>
            </w:r>
            <w:r w:rsidR="00822F3A">
              <w:rPr>
                <w:iCs/>
                <w:szCs w:val="24"/>
              </w:rPr>
              <w:t>1.8. Strateginio valdymo metodika, patvirtinta Lietuvos Respublikos Vyriausybės 2021 m. balandžio 28 d. nutarimu Nr. 292 „Dėl Strateginio valdymo metodikos patvirtinimo“ (toliau – Strateginio valdymo metodika).</w:t>
            </w:r>
          </w:p>
          <w:p w14:paraId="7E6E1C3C" w14:textId="3C25A62D" w:rsidR="006C68B8" w:rsidRDefault="00E419B2">
            <w:pPr>
              <w:jc w:val="both"/>
              <w:rPr>
                <w:b/>
                <w:bCs/>
                <w:iCs/>
                <w:szCs w:val="24"/>
              </w:rPr>
            </w:pPr>
            <w:r>
              <w:rPr>
                <w:b/>
                <w:bCs/>
                <w:iCs/>
                <w:szCs w:val="24"/>
              </w:rPr>
              <w:t xml:space="preserve">4.2. </w:t>
            </w:r>
            <w:r w:rsidR="00822F3A">
              <w:rPr>
                <w:b/>
                <w:bCs/>
                <w:iCs/>
                <w:szCs w:val="24"/>
              </w:rPr>
              <w:t>Specialieji teisės aktai:</w:t>
            </w:r>
          </w:p>
          <w:p w14:paraId="613E2248" w14:textId="3D89DA1A" w:rsidR="006C68B8" w:rsidRDefault="003D7491">
            <w:pPr>
              <w:jc w:val="both"/>
              <w:rPr>
                <w:iCs/>
                <w:szCs w:val="24"/>
              </w:rPr>
            </w:pPr>
            <w:r w:rsidRPr="00C96895">
              <w:rPr>
                <w:iCs/>
                <w:szCs w:val="24"/>
              </w:rPr>
              <w:t>4.2.1.</w:t>
            </w:r>
            <w:r w:rsidR="00822F3A" w:rsidRPr="003C7A7B">
              <w:rPr>
                <w:color w:val="FF0000"/>
              </w:rPr>
              <w:t xml:space="preserve"> </w:t>
            </w:r>
            <w:r w:rsidR="00822F3A">
              <w:rPr>
                <w:iCs/>
                <w:szCs w:val="24"/>
              </w:rPr>
              <w:t xml:space="preserve">Lietuvos Respublikos švietimo įstatymas; </w:t>
            </w:r>
          </w:p>
          <w:p w14:paraId="0C50EC24" w14:textId="383077A2" w:rsidR="006C68B8" w:rsidRDefault="00CD5ADA">
            <w:pPr>
              <w:jc w:val="both"/>
              <w:rPr>
                <w:iCs/>
                <w:szCs w:val="24"/>
              </w:rPr>
            </w:pPr>
            <w:r>
              <w:rPr>
                <w:iCs/>
                <w:szCs w:val="24"/>
              </w:rPr>
              <w:lastRenderedPageBreak/>
              <w:t>4.2.</w:t>
            </w:r>
            <w:r w:rsidR="008A0D95">
              <w:rPr>
                <w:iCs/>
                <w:szCs w:val="24"/>
              </w:rPr>
              <w:t>2</w:t>
            </w:r>
            <w:r>
              <w:rPr>
                <w:iCs/>
                <w:szCs w:val="24"/>
              </w:rPr>
              <w:t>.</w:t>
            </w:r>
            <w:r w:rsidR="00822F3A">
              <w:rPr>
                <w:iCs/>
                <w:szCs w:val="24"/>
              </w:rPr>
              <w:t xml:space="preserve"> 2021–2030 m.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w:t>
            </w:r>
          </w:p>
          <w:p w14:paraId="177FC8B8" w14:textId="366A5B18" w:rsidR="006C68B8" w:rsidRDefault="00CD5ADA">
            <w:pPr>
              <w:jc w:val="both"/>
              <w:rPr>
                <w:szCs w:val="24"/>
                <w:lang w:eastAsia="lt-LT"/>
              </w:rPr>
            </w:pPr>
            <w:r>
              <w:rPr>
                <w:iCs/>
                <w:szCs w:val="24"/>
              </w:rPr>
              <w:t>4.2.</w:t>
            </w:r>
            <w:r w:rsidR="008A0D95">
              <w:rPr>
                <w:iCs/>
                <w:szCs w:val="24"/>
              </w:rPr>
              <w:t>3</w:t>
            </w:r>
            <w:r>
              <w:rPr>
                <w:iCs/>
                <w:szCs w:val="24"/>
              </w:rPr>
              <w:t>.</w:t>
            </w:r>
            <w:r w:rsidR="00822F3A">
              <w:rPr>
                <w:iCs/>
                <w:szCs w:val="24"/>
              </w:rPr>
              <w:t xml:space="preserve"> </w:t>
            </w:r>
            <w:r w:rsidR="00822F3A">
              <w:rPr>
                <w:color w:val="333333"/>
                <w:szCs w:val="24"/>
                <w:shd w:val="clear" w:color="auto" w:fill="FFFFFF"/>
              </w:rPr>
              <w:t xml:space="preserve">Priešmokyklinio, pradinio, pagrindinio ir vidurinio ugdymo bendrosios programos, patvirtintos </w:t>
            </w:r>
            <w:r w:rsidR="00822F3A">
              <w:rPr>
                <w:iCs/>
                <w:szCs w:val="24"/>
              </w:rPr>
              <w:t xml:space="preserve">Lietuvos Respublikos švietimo, mokslo ir sporto ministro </w:t>
            </w:r>
            <w:r w:rsidR="00822F3A">
              <w:rPr>
                <w:color w:val="333333"/>
                <w:szCs w:val="24"/>
                <w:shd w:val="clear" w:color="auto" w:fill="FFFFFF"/>
              </w:rPr>
              <w:t>2022 m. rugpjūčio 24 d. įsakymu Nr. V-1269 „Dėl Priešmokyklinio, pradinio, pagrindinio ir vidurinio ugdymo bendrųjų programų patvirtinimo“</w:t>
            </w:r>
            <w:r w:rsidR="00822F3A">
              <w:rPr>
                <w:szCs w:val="24"/>
                <w:lang w:eastAsia="lt-LT"/>
              </w:rPr>
              <w:t>;</w:t>
            </w:r>
          </w:p>
          <w:p w14:paraId="1C43F1B2" w14:textId="29357F03" w:rsidR="006C68B8" w:rsidRDefault="00CD5ADA">
            <w:pPr>
              <w:jc w:val="both"/>
              <w:rPr>
                <w:szCs w:val="24"/>
                <w:lang w:eastAsia="lt-LT"/>
              </w:rPr>
            </w:pPr>
            <w:r>
              <w:rPr>
                <w:szCs w:val="24"/>
                <w:lang w:eastAsia="lt-LT"/>
              </w:rPr>
              <w:t>4.2.</w:t>
            </w:r>
            <w:r w:rsidR="008A0D95">
              <w:rPr>
                <w:szCs w:val="24"/>
                <w:lang w:eastAsia="lt-LT"/>
              </w:rPr>
              <w:t>4</w:t>
            </w:r>
            <w:r>
              <w:rPr>
                <w:szCs w:val="24"/>
                <w:lang w:eastAsia="lt-LT"/>
              </w:rPr>
              <w:t>.</w:t>
            </w:r>
            <w:r w:rsidR="00822F3A">
              <w:rPr>
                <w:szCs w:val="24"/>
                <w:lang w:eastAsia="lt-LT"/>
              </w:rPr>
              <w:t xml:space="preserve"> Priešmokyklinio ugdymo tvarkos aprašas, patvirtintas Lietuvos Respublikos švietimo, mokslo ir sporto ministro 2013 m. lapkričio 21 d. įsakymu Nr. V-1106 „Dėl Priešmokyklinio ugdymo tvarkos aprašo patvirtinimo“;</w:t>
            </w:r>
          </w:p>
          <w:p w14:paraId="759BEBA3" w14:textId="04566106" w:rsidR="006C68B8" w:rsidRDefault="00AA5DF0">
            <w:pPr>
              <w:jc w:val="both"/>
              <w:rPr>
                <w:szCs w:val="24"/>
                <w:lang w:eastAsia="lt-LT"/>
              </w:rPr>
            </w:pPr>
            <w:r>
              <w:rPr>
                <w:szCs w:val="24"/>
                <w:lang w:eastAsia="lt-LT"/>
              </w:rPr>
              <w:t>4.2.</w:t>
            </w:r>
            <w:r w:rsidR="008A0D95">
              <w:rPr>
                <w:szCs w:val="24"/>
                <w:lang w:eastAsia="lt-LT"/>
              </w:rPr>
              <w:t>5</w:t>
            </w:r>
            <w:r>
              <w:rPr>
                <w:szCs w:val="24"/>
                <w:lang w:eastAsia="lt-LT"/>
              </w:rPr>
              <w:t>.</w:t>
            </w:r>
            <w:r w:rsidR="00822F3A">
              <w:rPr>
                <w:szCs w:val="24"/>
                <w:lang w:eastAsia="lt-LT"/>
              </w:rPr>
              <w:t xml:space="preserve"> </w:t>
            </w:r>
            <w:r w:rsidR="00AE4F9F">
              <w:rPr>
                <w:color w:val="000000"/>
                <w:szCs w:val="24"/>
              </w:rPr>
              <w:t>Bendrojo ugdymo dalykų spausdintų ir įvairių interaktyvumo lygių virtualiųjų vadovėlių ir mokymo(</w:t>
            </w:r>
            <w:proofErr w:type="spellStart"/>
            <w:r w:rsidR="00AE4F9F">
              <w:rPr>
                <w:color w:val="000000"/>
                <w:szCs w:val="24"/>
              </w:rPr>
              <w:t>si</w:t>
            </w:r>
            <w:proofErr w:type="spellEnd"/>
            <w:r w:rsidR="00AE4F9F">
              <w:rPr>
                <w:color w:val="000000"/>
                <w:szCs w:val="24"/>
              </w:rPr>
              <w:t xml:space="preserve">) priemonių atitikties teisės aktams įvertinimo ir aprūpinimo jais tvarkos aprašas, </w:t>
            </w:r>
            <w:r w:rsidR="00AE4F9F">
              <w:rPr>
                <w:szCs w:val="24"/>
                <w:lang w:eastAsia="lt-LT"/>
              </w:rPr>
              <w:t>patvirtintas Lietuvos Respublikos švietimo, mokslo ir sporto ministro 2024 m. vasario 15 d. įsakymu Nr. V-184 „Dėl Bendrojo ugdymo dalykų spausdintų ir įvairių interaktyvumo lygių virtualiųjų vadovėlių ir mokymo(</w:t>
            </w:r>
            <w:proofErr w:type="spellStart"/>
            <w:r w:rsidR="00AE4F9F">
              <w:rPr>
                <w:szCs w:val="24"/>
                <w:lang w:eastAsia="lt-LT"/>
              </w:rPr>
              <w:t>si</w:t>
            </w:r>
            <w:proofErr w:type="spellEnd"/>
            <w:r w:rsidR="00AE4F9F">
              <w:rPr>
                <w:szCs w:val="24"/>
                <w:lang w:eastAsia="lt-LT"/>
              </w:rPr>
              <w:t>) priemonių atitikties teisės aktams įvertinimo ir aprūpinimo jais tvarkos aprašo patvirtinimo“;</w:t>
            </w:r>
          </w:p>
          <w:p w14:paraId="79ABD255" w14:textId="00D4C8DF" w:rsidR="006C68B8" w:rsidRDefault="00AA5DF0">
            <w:pPr>
              <w:jc w:val="both"/>
              <w:rPr>
                <w:szCs w:val="24"/>
                <w:lang w:eastAsia="lt-LT"/>
              </w:rPr>
            </w:pPr>
            <w:r>
              <w:rPr>
                <w:szCs w:val="24"/>
                <w:lang w:eastAsia="lt-LT"/>
              </w:rPr>
              <w:t>4.2.</w:t>
            </w:r>
            <w:r w:rsidR="008A0D95">
              <w:rPr>
                <w:szCs w:val="24"/>
                <w:lang w:eastAsia="lt-LT"/>
              </w:rPr>
              <w:t>6</w:t>
            </w:r>
            <w:r>
              <w:rPr>
                <w:szCs w:val="24"/>
                <w:lang w:eastAsia="lt-LT"/>
              </w:rPr>
              <w:t>.</w:t>
            </w:r>
            <w:r w:rsidR="00822F3A">
              <w:rPr>
                <w:szCs w:val="24"/>
                <w:lang w:eastAsia="lt-LT"/>
              </w:rPr>
              <w:t xml:space="preserve"> Nuosekliojo mokymosi pagal bendrojo ugdymo programas tvarkos aprašas, patvirtintas Lietuvos Respublikos švietimo, mokslo ir sporto ministro 2005 m. balandžio 5 d. įsakymu Nr. ISAK-556 „Dėl Nuosekliojo mokymosi pagal bendrojo ugdymo programas tvarkos aprašo patvirtinimo“;</w:t>
            </w:r>
          </w:p>
          <w:p w14:paraId="4FB10C7A" w14:textId="7E2AD47F" w:rsidR="006C68B8" w:rsidRDefault="00AA5DF0">
            <w:pPr>
              <w:jc w:val="both"/>
              <w:rPr>
                <w:szCs w:val="24"/>
                <w:lang w:eastAsia="lt-LT"/>
              </w:rPr>
            </w:pPr>
            <w:r>
              <w:rPr>
                <w:szCs w:val="24"/>
                <w:lang w:eastAsia="lt-LT"/>
              </w:rPr>
              <w:t>4.2.</w:t>
            </w:r>
            <w:r w:rsidR="008A0D95">
              <w:rPr>
                <w:szCs w:val="24"/>
                <w:lang w:eastAsia="lt-LT"/>
              </w:rPr>
              <w:t>7</w:t>
            </w:r>
            <w:r>
              <w:rPr>
                <w:szCs w:val="24"/>
                <w:lang w:eastAsia="lt-LT"/>
              </w:rPr>
              <w:t>.</w:t>
            </w:r>
            <w:r w:rsidR="00822F3A">
              <w:rPr>
                <w:szCs w:val="24"/>
                <w:lang w:eastAsia="lt-LT"/>
              </w:rPr>
              <w:t xml:space="preserve"> Pradinio, pagrindinio ir vidurinio ugdymo programų aprašas, patvirtintas Lietuvos Respublikos švietimo ir mokslo ministro 2015 m. gruodžio 21 d. įsakymu Nr. V-1309 „Dėl Pradinio, pagrindinio ir vidurinio ugdymo programų aprašo patvirtinimo“;</w:t>
            </w:r>
          </w:p>
          <w:p w14:paraId="56387910" w14:textId="4C2702E6" w:rsidR="006C68B8" w:rsidRDefault="00AA5DF0">
            <w:pPr>
              <w:jc w:val="both"/>
              <w:rPr>
                <w:szCs w:val="24"/>
                <w:lang w:eastAsia="lt-LT"/>
              </w:rPr>
            </w:pPr>
            <w:r>
              <w:rPr>
                <w:szCs w:val="24"/>
                <w:lang w:eastAsia="lt-LT"/>
              </w:rPr>
              <w:t>4.2.</w:t>
            </w:r>
            <w:r w:rsidR="008A0D95">
              <w:rPr>
                <w:szCs w:val="24"/>
                <w:lang w:eastAsia="lt-LT"/>
              </w:rPr>
              <w:t>8</w:t>
            </w:r>
            <w:r>
              <w:rPr>
                <w:szCs w:val="24"/>
                <w:lang w:eastAsia="lt-LT"/>
              </w:rPr>
              <w:t>.</w:t>
            </w:r>
            <w:r w:rsidR="00822F3A">
              <w:rPr>
                <w:szCs w:val="24"/>
                <w:lang w:eastAsia="lt-LT"/>
              </w:rPr>
              <w:t xml:space="preserve"> Pradinio, pagrindinio ir vidurinio ugdymo programų aprašas, patvirtintas Lietuvos Respublikos švietimo, mokslo ir sporto ministro 2023 m. balandžio 20 d. įsakymu Nr. V-570 „Dėl Pradinio, pagrindinio ir vidurinio ugdymo programų aprašo patvirtinimo“;</w:t>
            </w:r>
          </w:p>
          <w:p w14:paraId="4F89455C" w14:textId="0FA71331" w:rsidR="006C68B8" w:rsidRDefault="00AA5DF0">
            <w:pPr>
              <w:jc w:val="both"/>
              <w:rPr>
                <w:color w:val="000000"/>
              </w:rPr>
            </w:pPr>
            <w:r>
              <w:rPr>
                <w:szCs w:val="24"/>
                <w:lang w:eastAsia="lt-LT"/>
              </w:rPr>
              <w:t>4.2.</w:t>
            </w:r>
            <w:r w:rsidR="008A0D95">
              <w:rPr>
                <w:szCs w:val="24"/>
                <w:lang w:eastAsia="lt-LT"/>
              </w:rPr>
              <w:t>9</w:t>
            </w:r>
            <w:r>
              <w:rPr>
                <w:szCs w:val="24"/>
                <w:lang w:eastAsia="lt-LT"/>
              </w:rPr>
              <w:t>.</w:t>
            </w:r>
            <w:r w:rsidR="00822F3A">
              <w:rPr>
                <w:szCs w:val="24"/>
                <w:lang w:eastAsia="lt-LT"/>
              </w:rPr>
              <w:t xml:space="preserve"> </w:t>
            </w:r>
            <w:r w:rsidR="00822F3A">
              <w:rPr>
                <w:color w:val="000000"/>
              </w:rPr>
              <w:t xml:space="preserve">2023–2024 ir 2024–2025 mokslo metų pradinio, pagrindinio ir vidurinio ugdymo programų bendrieji ugdymo planai, patvirtinti </w:t>
            </w:r>
            <w:r w:rsidR="00822F3A">
              <w:rPr>
                <w:szCs w:val="24"/>
                <w:lang w:eastAsia="lt-LT"/>
              </w:rPr>
              <w:t xml:space="preserve">Lietuvos Respublikos švietimo, mokslo ir sporto ministro 2023 m. balandžio 24 d. įsakymu Nr. V-586 „Dėl </w:t>
            </w:r>
            <w:r w:rsidR="00822F3A">
              <w:rPr>
                <w:color w:val="000000"/>
              </w:rPr>
              <w:t>2023–2024 ir 2024–2025 mokslo metų pradinio, pagrindinio ir vidurinio ugdymo programų bendrųjų ugdymo planų patvirtinimo“;</w:t>
            </w:r>
          </w:p>
          <w:p w14:paraId="6036BF80" w14:textId="1797E5EB" w:rsidR="006C68B8" w:rsidRDefault="00AA5DF0">
            <w:pPr>
              <w:jc w:val="both"/>
              <w:rPr>
                <w:color w:val="000000"/>
              </w:rPr>
            </w:pPr>
            <w:r>
              <w:rPr>
                <w:color w:val="000000"/>
              </w:rPr>
              <w:t>4.2.1</w:t>
            </w:r>
            <w:r w:rsidR="008A0D95">
              <w:rPr>
                <w:color w:val="000000"/>
              </w:rPr>
              <w:t>0</w:t>
            </w:r>
            <w:r>
              <w:rPr>
                <w:color w:val="000000"/>
              </w:rPr>
              <w:t>.</w:t>
            </w:r>
            <w:r w:rsidR="00822F3A">
              <w:rPr>
                <w:color w:val="000000"/>
              </w:rPr>
              <w:t xml:space="preserve"> Nacionalinių mokinių pasiekimų patikrinimų organizavimo ir vykdymo tvarkos aprašas, patvirtintas </w:t>
            </w:r>
            <w:r w:rsidR="00822F3A">
              <w:rPr>
                <w:szCs w:val="24"/>
                <w:lang w:eastAsia="lt-LT"/>
              </w:rPr>
              <w:t xml:space="preserve">Lietuvos Respublikos švietimo, mokslo ir sporto ministro 2017 m. sausio 4 d. įsakymu Nr. V-6 „Dėl </w:t>
            </w:r>
            <w:r w:rsidR="00822F3A">
              <w:rPr>
                <w:color w:val="000000"/>
              </w:rPr>
              <w:t>Nacionalinių mokinių pasiekimų patikrinimų organizavimo ir vykdymo tvarkos aprašo patvirtinimo“;</w:t>
            </w:r>
          </w:p>
          <w:p w14:paraId="2F5D6C9D" w14:textId="395C14CE" w:rsidR="006C68B8" w:rsidRDefault="00C96895">
            <w:pPr>
              <w:jc w:val="both"/>
              <w:rPr>
                <w:iCs/>
                <w:szCs w:val="24"/>
              </w:rPr>
            </w:pPr>
            <w:r>
              <w:rPr>
                <w:color w:val="000000"/>
              </w:rPr>
              <w:t>4.2.1</w:t>
            </w:r>
            <w:r w:rsidR="008A0D95">
              <w:rPr>
                <w:color w:val="000000"/>
              </w:rPr>
              <w:t>1</w:t>
            </w:r>
            <w:r>
              <w:rPr>
                <w:color w:val="000000"/>
              </w:rPr>
              <w:t>.</w:t>
            </w:r>
            <w:r w:rsidR="00822F3A">
              <w:rPr>
                <w:color w:val="000000"/>
              </w:rPr>
              <w:t xml:space="preserve"> Mokinių, turinčių specialiųjų ugdymosi poreikių, grupių nustatymo ir jų specialiųjų ugdymosi poreikių skirstymo į lygius tvarkos aprašas, patvirtintas Lietuvos Respublikos švietimo ir mokslo ministro, Lietuvos Respublikos sveikatos apsaugos ministro ir Lietuvos Respublikos socialinės apsaugos ir darbo ministro 2011 m. liepos 13 d. įsakymu Nr. V-1265/V-685/A1-317 „Dėl Mokinių, turinčių specialiųjų ugdymosi poreikių, grupių nustatymo ir jų specialiųjų ugdymosi poreikių skirstymo į lygius tvarkos aprašo patvirtinimo“.</w:t>
            </w:r>
          </w:p>
          <w:p w14:paraId="2E1C9815" w14:textId="77777777" w:rsidR="006C68B8" w:rsidRDefault="006C68B8">
            <w:pPr>
              <w:jc w:val="both"/>
              <w:rPr>
                <w:iCs/>
                <w:szCs w:val="24"/>
              </w:rPr>
            </w:pPr>
          </w:p>
          <w:p w14:paraId="1A031754" w14:textId="77777777" w:rsidR="006C68B8" w:rsidRDefault="00822F3A">
            <w:pPr>
              <w:jc w:val="both"/>
              <w:rPr>
                <w:i/>
                <w:iCs/>
                <w:sz w:val="22"/>
                <w:szCs w:val="22"/>
              </w:rPr>
            </w:pPr>
            <w:r>
              <w:rPr>
                <w:iCs/>
                <w:szCs w:val="24"/>
              </w:rPr>
              <w:t>Apraše vartojamos sąvokos suprantamos taip, kaip jos apibrėžtos PAFT, Lietuvos Respublikos švietimo įstatyme ir anksčiau paminėtuose teisės aktuose.</w:t>
            </w:r>
          </w:p>
        </w:tc>
      </w:tr>
      <w:tr w:rsidR="006C68B8" w14:paraId="2C98A9F5" w14:textId="77777777">
        <w:tc>
          <w:tcPr>
            <w:tcW w:w="15134" w:type="dxa"/>
          </w:tcPr>
          <w:p w14:paraId="10D73F00" w14:textId="1C96F1AA" w:rsidR="006C68B8" w:rsidRDefault="003165EC">
            <w:pPr>
              <w:rPr>
                <w:b/>
                <w:szCs w:val="24"/>
              </w:rPr>
            </w:pPr>
            <w:r w:rsidRPr="008F13A5">
              <w:rPr>
                <w:b/>
                <w:sz w:val="22"/>
                <w:szCs w:val="22"/>
              </w:rPr>
              <w:lastRenderedPageBreak/>
              <w:t>5</w:t>
            </w:r>
            <w:r w:rsidRPr="003C7A7B">
              <w:rPr>
                <w:b/>
                <w:sz w:val="22"/>
              </w:rPr>
              <w:t>. Reikalavimai projektams, pareiškėjams ir partneriams</w:t>
            </w:r>
          </w:p>
        </w:tc>
      </w:tr>
      <w:tr w:rsidR="006C68B8" w14:paraId="554BF77A" w14:textId="77777777">
        <w:tc>
          <w:tcPr>
            <w:tcW w:w="15134" w:type="dxa"/>
          </w:tcPr>
          <w:p w14:paraId="77BCF65D" w14:textId="65C1BD87" w:rsidR="006C68B8" w:rsidRDefault="00C16F96">
            <w:pPr>
              <w:jc w:val="both"/>
              <w:rPr>
                <w:iCs/>
                <w:szCs w:val="24"/>
              </w:rPr>
            </w:pPr>
            <w:r w:rsidRPr="00717E42">
              <w:rPr>
                <w:iCs/>
                <w:szCs w:val="24"/>
              </w:rPr>
              <w:t>5</w:t>
            </w:r>
            <w:r w:rsidR="00822F3A" w:rsidRPr="00717E42">
              <w:rPr>
                <w:iCs/>
                <w:szCs w:val="24"/>
              </w:rPr>
              <w:t xml:space="preserve">.1. </w:t>
            </w:r>
            <w:r w:rsidR="00822F3A">
              <w:rPr>
                <w:iCs/>
                <w:szCs w:val="24"/>
              </w:rPr>
              <w:t>Pagal Aprašą remiamos veiklos:</w:t>
            </w:r>
          </w:p>
          <w:p w14:paraId="2744503D" w14:textId="5490DBC7" w:rsidR="006C68B8" w:rsidRDefault="00C16F96">
            <w:pPr>
              <w:jc w:val="both"/>
              <w:rPr>
                <w:iCs/>
                <w:szCs w:val="24"/>
              </w:rPr>
            </w:pPr>
            <w:r>
              <w:rPr>
                <w:iCs/>
                <w:szCs w:val="24"/>
              </w:rPr>
              <w:t>5</w:t>
            </w:r>
            <w:r w:rsidR="00822F3A">
              <w:rPr>
                <w:iCs/>
                <w:szCs w:val="24"/>
              </w:rPr>
              <w:t xml:space="preserve">.1.1. </w:t>
            </w:r>
            <w:r w:rsidR="00822F3A">
              <w:rPr>
                <w:szCs w:val="24"/>
              </w:rPr>
              <w:t>Priešmokyklinio ir pradinio ugdymo mokytojų pasirengimo įgyvendinti atnaujintą ugdymo turinį gerinimas;</w:t>
            </w:r>
          </w:p>
          <w:p w14:paraId="02C6F0C8" w14:textId="544C452C" w:rsidR="006C68B8" w:rsidRDefault="00C16F96">
            <w:pPr>
              <w:jc w:val="both"/>
              <w:rPr>
                <w:szCs w:val="24"/>
              </w:rPr>
            </w:pPr>
            <w:r>
              <w:rPr>
                <w:iCs/>
                <w:szCs w:val="24"/>
              </w:rPr>
              <w:t>5</w:t>
            </w:r>
            <w:r w:rsidR="00822F3A">
              <w:rPr>
                <w:iCs/>
                <w:szCs w:val="24"/>
              </w:rPr>
              <w:t xml:space="preserve">.1.2. </w:t>
            </w:r>
            <w:r w:rsidR="00822F3A">
              <w:rPr>
                <w:szCs w:val="24"/>
              </w:rPr>
              <w:t>Didelį mokymosi potencialą turinčių mokinių atpažinimo ir ugdymo gerinimas;</w:t>
            </w:r>
          </w:p>
          <w:p w14:paraId="250FDA1C" w14:textId="0D0687B2" w:rsidR="006C68B8" w:rsidRDefault="00C16F96">
            <w:pPr>
              <w:jc w:val="both"/>
              <w:rPr>
                <w:iCs/>
                <w:szCs w:val="24"/>
              </w:rPr>
            </w:pPr>
            <w:r>
              <w:rPr>
                <w:iCs/>
                <w:szCs w:val="24"/>
              </w:rPr>
              <w:lastRenderedPageBreak/>
              <w:t>5</w:t>
            </w:r>
            <w:r w:rsidR="00822F3A">
              <w:rPr>
                <w:iCs/>
                <w:szCs w:val="24"/>
              </w:rPr>
              <w:t>.1.3. Vadovėlių, skirtų tautinėms mažumoms gimtosioms kalboms mokytis, parengimas;</w:t>
            </w:r>
          </w:p>
          <w:p w14:paraId="6C2F3984" w14:textId="4E9081EB" w:rsidR="006C68B8" w:rsidRDefault="00C16F96">
            <w:pPr>
              <w:jc w:val="both"/>
              <w:rPr>
                <w:iCs/>
                <w:szCs w:val="24"/>
              </w:rPr>
            </w:pPr>
            <w:r>
              <w:rPr>
                <w:iCs/>
                <w:szCs w:val="24"/>
              </w:rPr>
              <w:t>5</w:t>
            </w:r>
            <w:r w:rsidR="00822F3A">
              <w:rPr>
                <w:iCs/>
                <w:szCs w:val="24"/>
              </w:rPr>
              <w:t>.1.4.</w:t>
            </w:r>
            <w:r w:rsidR="00AE4F9F">
              <w:rPr>
                <w:iCs/>
              </w:rPr>
              <w:t xml:space="preserve"> Vadovėlių bendrojo ugdymo programas vykdančioms valstybės ir savivaldybių mokykloms bei profesinio mokymo įstaigoms įsigijimas;</w:t>
            </w:r>
          </w:p>
          <w:p w14:paraId="6ABE6986" w14:textId="18D4EE70" w:rsidR="006C68B8" w:rsidRDefault="00C16F96">
            <w:pPr>
              <w:jc w:val="both"/>
              <w:rPr>
                <w:iCs/>
                <w:szCs w:val="24"/>
              </w:rPr>
            </w:pPr>
            <w:r>
              <w:rPr>
                <w:iCs/>
                <w:szCs w:val="24"/>
              </w:rPr>
              <w:t>5</w:t>
            </w:r>
            <w:r w:rsidR="00822F3A">
              <w:rPr>
                <w:iCs/>
                <w:szCs w:val="24"/>
              </w:rPr>
              <w:t>.1.5. Naujų praktinių visuomeninio ugdymo ir gamtos mokslų nacionalinių mokinių pasiekimų patikrinimų (NMPP) 4 ir 8 klasėms sukūrimas ir išbandymas.</w:t>
            </w:r>
          </w:p>
          <w:p w14:paraId="25E31B2A" w14:textId="3BCBFEE7" w:rsidR="006C68B8" w:rsidRDefault="00C16F96">
            <w:pPr>
              <w:jc w:val="both"/>
              <w:rPr>
                <w:iCs/>
                <w:szCs w:val="24"/>
              </w:rPr>
            </w:pPr>
            <w:r>
              <w:rPr>
                <w:iCs/>
                <w:szCs w:val="24"/>
              </w:rPr>
              <w:t>5</w:t>
            </w:r>
            <w:r w:rsidR="00822F3A">
              <w:rPr>
                <w:iCs/>
                <w:szCs w:val="24"/>
              </w:rPr>
              <w:t>.2. Galimas pareiškėjas – Nacionalinė švietimo agentūra (toliau – pareiškėjas).</w:t>
            </w:r>
          </w:p>
          <w:p w14:paraId="1495D9CD" w14:textId="1BFEB0F2" w:rsidR="006C68B8" w:rsidRDefault="00C16F96">
            <w:pPr>
              <w:jc w:val="both"/>
              <w:rPr>
                <w:iCs/>
                <w:szCs w:val="24"/>
              </w:rPr>
            </w:pPr>
            <w:r>
              <w:rPr>
                <w:iCs/>
                <w:szCs w:val="24"/>
              </w:rPr>
              <w:t>5</w:t>
            </w:r>
            <w:r w:rsidR="00822F3A">
              <w:rPr>
                <w:iCs/>
                <w:szCs w:val="24"/>
              </w:rPr>
              <w:t>.3.</w:t>
            </w:r>
            <w:r w:rsidR="00822F3A">
              <w:rPr>
                <w:i/>
                <w:iCs/>
                <w:szCs w:val="24"/>
              </w:rPr>
              <w:t xml:space="preserve"> </w:t>
            </w:r>
            <w:r w:rsidR="00C215F8" w:rsidRPr="00C215F8">
              <w:rPr>
                <w:iCs/>
                <w:szCs w:val="24"/>
              </w:rPr>
              <w:t>Galimi projekto partneriai – valstybės ir savivaldybių bendrojo ugdymo mokyklos, viešieji juridiniai asmenys, veikiantys švietimo srityje</w:t>
            </w:r>
            <w:r w:rsidR="00822F3A">
              <w:rPr>
                <w:iCs/>
                <w:szCs w:val="24"/>
              </w:rPr>
              <w:t xml:space="preserve">. </w:t>
            </w:r>
          </w:p>
          <w:p w14:paraId="53D14225" w14:textId="1FABC583" w:rsidR="006C68B8" w:rsidRDefault="00C16F96">
            <w:pPr>
              <w:jc w:val="both"/>
              <w:rPr>
                <w:iCs/>
                <w:szCs w:val="24"/>
              </w:rPr>
            </w:pPr>
            <w:r>
              <w:rPr>
                <w:iCs/>
                <w:szCs w:val="24"/>
              </w:rPr>
              <w:t>5</w:t>
            </w:r>
            <w:r w:rsidR="00822F3A">
              <w:rPr>
                <w:iCs/>
                <w:szCs w:val="24"/>
              </w:rPr>
              <w:t xml:space="preserve">.4. Pagal Aprašą projektams įgyvendinti skiriama iki </w:t>
            </w:r>
            <w:r w:rsidR="00822F3A" w:rsidRPr="003C7A7B">
              <w:rPr>
                <w:iCs/>
                <w:szCs w:val="24"/>
              </w:rPr>
              <w:t xml:space="preserve">19 187 964 </w:t>
            </w:r>
            <w:r w:rsidR="00822F3A">
              <w:rPr>
                <w:iCs/>
                <w:szCs w:val="24"/>
              </w:rPr>
              <w:t xml:space="preserve">Eur (devyniolikos milijonų </w:t>
            </w:r>
            <w:r w:rsidR="00144138">
              <w:rPr>
                <w:iCs/>
                <w:szCs w:val="24"/>
              </w:rPr>
              <w:t xml:space="preserve">vieno </w:t>
            </w:r>
            <w:r w:rsidR="00822F3A">
              <w:rPr>
                <w:iCs/>
                <w:szCs w:val="24"/>
              </w:rPr>
              <w:t>šimto aštuoniasdešimt septynių tūkstančių devynių šimtų šešiasdešimt keturių eurų), iš kurių:</w:t>
            </w:r>
          </w:p>
          <w:p w14:paraId="1DE379E2" w14:textId="7DAEF90D" w:rsidR="006C68B8" w:rsidRDefault="00822F3A">
            <w:pPr>
              <w:jc w:val="both"/>
              <w:rPr>
                <w:iCs/>
                <w:szCs w:val="24"/>
              </w:rPr>
            </w:pPr>
            <w:r>
              <w:rPr>
                <w:iCs/>
                <w:szCs w:val="24"/>
              </w:rPr>
              <w:t>- iki 14 449 417 Eur (keturiolikos milijonų keturių šimtų keturiasdešimt devynių tūkstančių keturių šimtų septyniolikos eurų) E</w:t>
            </w:r>
            <w:r w:rsidR="00EC54EB">
              <w:rPr>
                <w:iCs/>
                <w:szCs w:val="24"/>
              </w:rPr>
              <w:t>SF</w:t>
            </w:r>
            <w:r>
              <w:rPr>
                <w:iCs/>
                <w:szCs w:val="24"/>
              </w:rPr>
              <w:t xml:space="preserve">+ lėšų, iš kurių iki 2 657 647 Eur (dviejų milijonų šešių šimtų penkiasdešimt septynių tūkstančių šešių šimtų keturiasdešimt septynių eurų) skiriama Sostinės regionui ir iki 11 791 770 Eur (vienuolikos milijonų septynių šimtų devyniasdešimt vieno tūkstančio septynių šimtų septyniasdešimt eurų) – Vidurio ir vakarų Lietuvos regionui; </w:t>
            </w:r>
          </w:p>
          <w:p w14:paraId="3AC790EB" w14:textId="3C957377" w:rsidR="006C68B8" w:rsidRDefault="00822F3A">
            <w:pPr>
              <w:jc w:val="both"/>
              <w:rPr>
                <w:iCs/>
                <w:szCs w:val="24"/>
              </w:rPr>
            </w:pPr>
            <w:r>
              <w:rPr>
                <w:iCs/>
                <w:szCs w:val="24"/>
              </w:rPr>
              <w:t>- iki 4 738 547 Eur (keturių milijonų septynių šimtų trisdešimt aštuonių tūkstančių penkių šimtų keturiasdešimt septynių eurų) Europos Sąjungos bendrojo finansavimo lėšų, iš kurių iki 2 657 647 Eur (dviejų milijonų šešių šimtų penkiasdešimt septynių tūkstančių šešių šimtų keturiasdešimt septynių eurų) skiriama Sostinės regionui ir iki 2 080 900 Eur (dviejų milijonų aštuoniasdešimt tūkstančių devynių šimtų eurų) – Vidurio ir vakarų Lietuvos regionui</w:t>
            </w:r>
            <w:r w:rsidR="005D2363">
              <w:rPr>
                <w:iCs/>
                <w:szCs w:val="24"/>
              </w:rPr>
              <w:t>.</w:t>
            </w:r>
          </w:p>
          <w:p w14:paraId="4B435BA9" w14:textId="7B74A5A8" w:rsidR="00AB68E8" w:rsidRPr="000E7392" w:rsidRDefault="0099194C">
            <w:pPr>
              <w:jc w:val="both"/>
              <w:rPr>
                <w:iCs/>
                <w:szCs w:val="24"/>
              </w:rPr>
            </w:pPr>
            <w:r w:rsidRPr="000E7392">
              <w:rPr>
                <w:iCs/>
                <w:szCs w:val="24"/>
              </w:rPr>
              <w:t>5.4</w:t>
            </w:r>
            <w:r w:rsidRPr="000E7392">
              <w:rPr>
                <w:iCs/>
                <w:szCs w:val="24"/>
                <w:vertAlign w:val="superscript"/>
              </w:rPr>
              <w:t>1</w:t>
            </w:r>
            <w:r w:rsidRPr="000E7392">
              <w:rPr>
                <w:iCs/>
                <w:szCs w:val="24"/>
              </w:rPr>
              <w:t xml:space="preserve">. </w:t>
            </w:r>
            <w:r w:rsidR="003116DC" w:rsidRPr="003C7A7B">
              <w:t xml:space="preserve">Atsižvelgiant į </w:t>
            </w:r>
            <w:r w:rsidR="00F401A1" w:rsidRPr="000E7392">
              <w:t xml:space="preserve">Pažangos priemonės aprašo </w:t>
            </w:r>
            <w:r w:rsidR="005C1FDD" w:rsidRPr="000E7392">
              <w:t>II skyrių</w:t>
            </w:r>
            <w:r w:rsidR="003116DC" w:rsidRPr="003C7A7B">
              <w:t xml:space="preserve">, pagal šį Aprašą projektams skiriama finansavimo suma gali viršyti Aprašo </w:t>
            </w:r>
            <w:r w:rsidR="00EA2431" w:rsidRPr="003C7A7B">
              <w:t>5.4</w:t>
            </w:r>
            <w:r w:rsidR="003116DC" w:rsidRPr="003C7A7B">
              <w:t xml:space="preserve"> </w:t>
            </w:r>
            <w:r w:rsidR="005D2363">
              <w:t>pa</w:t>
            </w:r>
            <w:r w:rsidR="003116DC" w:rsidRPr="003C7A7B">
              <w:t>punkt</w:t>
            </w:r>
            <w:r w:rsidR="005D2363">
              <w:t>yj</w:t>
            </w:r>
            <w:r w:rsidR="003116DC" w:rsidRPr="003C7A7B">
              <w:t>e numatomą skirti finansavimo sumą, bet ne daugiau kaip iki </w:t>
            </w:r>
            <w:r w:rsidR="002F24A7" w:rsidRPr="003C7A7B">
              <w:t>10 167 877,00</w:t>
            </w:r>
            <w:r w:rsidR="003116DC" w:rsidRPr="003C7A7B">
              <w:t> Eur (</w:t>
            </w:r>
            <w:r w:rsidR="00132AA4" w:rsidRPr="003C7A7B">
              <w:t xml:space="preserve">dešimt milijonų vieno šimto šešiasdešimt septynių tūkstančių aštuonių šimtų septyniasdešimt septynių </w:t>
            </w:r>
            <w:r w:rsidR="003116DC" w:rsidRPr="003C7A7B">
              <w:t>eurų</w:t>
            </w:r>
            <w:r w:rsidR="00651CD7" w:rsidRPr="003C7A7B">
              <w:t xml:space="preserve"> </w:t>
            </w:r>
            <w:r w:rsidR="00132AA4" w:rsidRPr="003C7A7B">
              <w:t>00</w:t>
            </w:r>
            <w:r w:rsidR="003116DC" w:rsidRPr="003C7A7B">
              <w:t xml:space="preserve"> ct)</w:t>
            </w:r>
            <w:r w:rsidR="00132AA4" w:rsidRPr="003C7A7B">
              <w:t>, iš kurių:</w:t>
            </w:r>
            <w:r w:rsidR="003116DC" w:rsidRPr="003C7A7B">
              <w:t xml:space="preserve"> </w:t>
            </w:r>
          </w:p>
          <w:p w14:paraId="1A82F568" w14:textId="5F4C6136" w:rsidR="00132AA4" w:rsidRDefault="00132AA4" w:rsidP="00132AA4">
            <w:pPr>
              <w:jc w:val="both"/>
              <w:rPr>
                <w:iCs/>
                <w:szCs w:val="24"/>
              </w:rPr>
            </w:pPr>
            <w:r>
              <w:rPr>
                <w:iCs/>
                <w:szCs w:val="24"/>
              </w:rPr>
              <w:t>- iki</w:t>
            </w:r>
            <w:r w:rsidR="00E31AE3">
              <w:rPr>
                <w:iCs/>
                <w:szCs w:val="24"/>
              </w:rPr>
              <w:t xml:space="preserve"> </w:t>
            </w:r>
            <w:r w:rsidR="00E31AE3" w:rsidRPr="003C7A7B">
              <w:rPr>
                <w:iCs/>
                <w:szCs w:val="24"/>
              </w:rPr>
              <w:t>7 656 920,00</w:t>
            </w:r>
            <w:r>
              <w:rPr>
                <w:iCs/>
                <w:szCs w:val="24"/>
              </w:rPr>
              <w:t xml:space="preserve"> Eur (</w:t>
            </w:r>
            <w:r w:rsidR="00E31AE3">
              <w:rPr>
                <w:iCs/>
                <w:szCs w:val="24"/>
              </w:rPr>
              <w:t>septynių</w:t>
            </w:r>
            <w:r>
              <w:rPr>
                <w:iCs/>
                <w:szCs w:val="24"/>
              </w:rPr>
              <w:t xml:space="preserve"> milijonų </w:t>
            </w:r>
            <w:r w:rsidR="00E31AE3">
              <w:rPr>
                <w:iCs/>
                <w:szCs w:val="24"/>
              </w:rPr>
              <w:t>šešių</w:t>
            </w:r>
            <w:r>
              <w:rPr>
                <w:iCs/>
                <w:szCs w:val="24"/>
              </w:rPr>
              <w:t xml:space="preserve"> šimtų </w:t>
            </w:r>
            <w:r w:rsidR="00E31AE3">
              <w:rPr>
                <w:iCs/>
                <w:szCs w:val="24"/>
              </w:rPr>
              <w:t>penki</w:t>
            </w:r>
            <w:r>
              <w:rPr>
                <w:iCs/>
                <w:szCs w:val="24"/>
              </w:rPr>
              <w:t xml:space="preserve">asdešimt </w:t>
            </w:r>
            <w:r w:rsidR="00E31AE3">
              <w:rPr>
                <w:iCs/>
                <w:szCs w:val="24"/>
              </w:rPr>
              <w:t xml:space="preserve">šešių </w:t>
            </w:r>
            <w:r>
              <w:rPr>
                <w:iCs/>
                <w:szCs w:val="24"/>
              </w:rPr>
              <w:t xml:space="preserve">tūkstančių </w:t>
            </w:r>
            <w:r w:rsidR="00E31AE3">
              <w:rPr>
                <w:iCs/>
                <w:szCs w:val="24"/>
              </w:rPr>
              <w:t xml:space="preserve">devynių </w:t>
            </w:r>
            <w:r>
              <w:rPr>
                <w:iCs/>
                <w:szCs w:val="24"/>
              </w:rPr>
              <w:t xml:space="preserve">šimtų </w:t>
            </w:r>
            <w:r w:rsidR="00E31AE3">
              <w:rPr>
                <w:iCs/>
                <w:szCs w:val="24"/>
              </w:rPr>
              <w:t>dvidešimt</w:t>
            </w:r>
            <w:r>
              <w:rPr>
                <w:iCs/>
                <w:szCs w:val="24"/>
              </w:rPr>
              <w:t xml:space="preserve"> eurų</w:t>
            </w:r>
            <w:r w:rsidR="00E31AE3">
              <w:rPr>
                <w:iCs/>
                <w:szCs w:val="24"/>
              </w:rPr>
              <w:t xml:space="preserve"> </w:t>
            </w:r>
            <w:r w:rsidR="00E31AE3" w:rsidRPr="003C7A7B">
              <w:rPr>
                <w:iCs/>
                <w:szCs w:val="24"/>
              </w:rPr>
              <w:t>00 ct</w:t>
            </w:r>
            <w:r>
              <w:rPr>
                <w:iCs/>
                <w:szCs w:val="24"/>
              </w:rPr>
              <w:t>) E</w:t>
            </w:r>
            <w:r w:rsidR="00EC54EB">
              <w:rPr>
                <w:iCs/>
                <w:szCs w:val="24"/>
              </w:rPr>
              <w:t>SF</w:t>
            </w:r>
            <w:r>
              <w:rPr>
                <w:iCs/>
                <w:szCs w:val="24"/>
              </w:rPr>
              <w:t xml:space="preserve">+ lėšų, iš kurių iki </w:t>
            </w:r>
            <w:r w:rsidR="00E31AE3">
              <w:rPr>
                <w:iCs/>
                <w:szCs w:val="24"/>
              </w:rPr>
              <w:t>1 408 251,00</w:t>
            </w:r>
            <w:r>
              <w:rPr>
                <w:iCs/>
                <w:szCs w:val="24"/>
              </w:rPr>
              <w:t xml:space="preserve"> Eur (</w:t>
            </w:r>
            <w:r w:rsidR="00813109">
              <w:rPr>
                <w:iCs/>
                <w:szCs w:val="24"/>
              </w:rPr>
              <w:t>vieno</w:t>
            </w:r>
            <w:r>
              <w:rPr>
                <w:iCs/>
                <w:szCs w:val="24"/>
              </w:rPr>
              <w:t xml:space="preserve"> milijon</w:t>
            </w:r>
            <w:r w:rsidR="00813109">
              <w:rPr>
                <w:iCs/>
                <w:szCs w:val="24"/>
              </w:rPr>
              <w:t>o</w:t>
            </w:r>
            <w:r>
              <w:rPr>
                <w:iCs/>
                <w:szCs w:val="24"/>
              </w:rPr>
              <w:t xml:space="preserve"> </w:t>
            </w:r>
            <w:r w:rsidR="00813109">
              <w:rPr>
                <w:iCs/>
                <w:szCs w:val="24"/>
              </w:rPr>
              <w:t>keturių</w:t>
            </w:r>
            <w:r>
              <w:rPr>
                <w:iCs/>
                <w:szCs w:val="24"/>
              </w:rPr>
              <w:t xml:space="preserve"> šimtų </w:t>
            </w:r>
            <w:r w:rsidR="00813109">
              <w:rPr>
                <w:iCs/>
                <w:szCs w:val="24"/>
              </w:rPr>
              <w:t>aštuonių</w:t>
            </w:r>
            <w:r>
              <w:rPr>
                <w:iCs/>
                <w:szCs w:val="24"/>
              </w:rPr>
              <w:t xml:space="preserve"> tūkstančių </w:t>
            </w:r>
            <w:r w:rsidR="00813109">
              <w:rPr>
                <w:iCs/>
                <w:szCs w:val="24"/>
              </w:rPr>
              <w:t>dviejų</w:t>
            </w:r>
            <w:r>
              <w:rPr>
                <w:iCs/>
                <w:szCs w:val="24"/>
              </w:rPr>
              <w:t xml:space="preserve"> šimtų </w:t>
            </w:r>
            <w:r w:rsidR="00813109">
              <w:rPr>
                <w:iCs/>
                <w:szCs w:val="24"/>
              </w:rPr>
              <w:t>penk</w:t>
            </w:r>
            <w:r>
              <w:rPr>
                <w:iCs/>
                <w:szCs w:val="24"/>
              </w:rPr>
              <w:t xml:space="preserve">iasdešimt </w:t>
            </w:r>
            <w:r w:rsidR="00813109">
              <w:rPr>
                <w:iCs/>
                <w:szCs w:val="24"/>
              </w:rPr>
              <w:t>vieno</w:t>
            </w:r>
            <w:r>
              <w:rPr>
                <w:iCs/>
                <w:szCs w:val="24"/>
              </w:rPr>
              <w:t xml:space="preserve"> eur</w:t>
            </w:r>
            <w:r w:rsidR="00813109">
              <w:rPr>
                <w:iCs/>
                <w:szCs w:val="24"/>
              </w:rPr>
              <w:t xml:space="preserve">o </w:t>
            </w:r>
            <w:r w:rsidR="00813109" w:rsidRPr="003C7A7B">
              <w:rPr>
                <w:iCs/>
                <w:szCs w:val="24"/>
              </w:rPr>
              <w:t xml:space="preserve">00 </w:t>
            </w:r>
            <w:r w:rsidR="00813109">
              <w:rPr>
                <w:iCs/>
                <w:szCs w:val="24"/>
              </w:rPr>
              <w:t>ct</w:t>
            </w:r>
            <w:r>
              <w:rPr>
                <w:iCs/>
                <w:szCs w:val="24"/>
              </w:rPr>
              <w:t xml:space="preserve">) skiriama Sostinės regionui ir iki </w:t>
            </w:r>
            <w:r w:rsidR="00E31AE3">
              <w:rPr>
                <w:iCs/>
                <w:szCs w:val="24"/>
              </w:rPr>
              <w:t>6 248 669,00</w:t>
            </w:r>
            <w:r>
              <w:rPr>
                <w:iCs/>
                <w:szCs w:val="24"/>
              </w:rPr>
              <w:t xml:space="preserve"> Eur (</w:t>
            </w:r>
            <w:r w:rsidR="00813109">
              <w:rPr>
                <w:iCs/>
                <w:szCs w:val="24"/>
              </w:rPr>
              <w:t>šešių</w:t>
            </w:r>
            <w:r>
              <w:rPr>
                <w:iCs/>
                <w:szCs w:val="24"/>
              </w:rPr>
              <w:t xml:space="preserve"> milijonų </w:t>
            </w:r>
            <w:r w:rsidR="00813109">
              <w:rPr>
                <w:iCs/>
                <w:szCs w:val="24"/>
              </w:rPr>
              <w:t xml:space="preserve">dviejų </w:t>
            </w:r>
            <w:r>
              <w:rPr>
                <w:iCs/>
                <w:szCs w:val="24"/>
              </w:rPr>
              <w:t xml:space="preserve">šimtų </w:t>
            </w:r>
            <w:r w:rsidR="00813109">
              <w:rPr>
                <w:iCs/>
                <w:szCs w:val="24"/>
              </w:rPr>
              <w:t>ketur</w:t>
            </w:r>
            <w:r>
              <w:rPr>
                <w:iCs/>
                <w:szCs w:val="24"/>
              </w:rPr>
              <w:t xml:space="preserve">iasdešimt </w:t>
            </w:r>
            <w:r w:rsidR="00813109">
              <w:rPr>
                <w:iCs/>
                <w:szCs w:val="24"/>
              </w:rPr>
              <w:t xml:space="preserve">aštuonių </w:t>
            </w:r>
            <w:r>
              <w:rPr>
                <w:iCs/>
                <w:szCs w:val="24"/>
              </w:rPr>
              <w:t>tūkstanči</w:t>
            </w:r>
            <w:r w:rsidR="00813109">
              <w:rPr>
                <w:iCs/>
                <w:szCs w:val="24"/>
              </w:rPr>
              <w:t>ų</w:t>
            </w:r>
            <w:r>
              <w:rPr>
                <w:iCs/>
                <w:szCs w:val="24"/>
              </w:rPr>
              <w:t xml:space="preserve"> </w:t>
            </w:r>
            <w:r w:rsidR="00813109">
              <w:rPr>
                <w:iCs/>
                <w:szCs w:val="24"/>
              </w:rPr>
              <w:t>šešių</w:t>
            </w:r>
            <w:r>
              <w:rPr>
                <w:iCs/>
                <w:szCs w:val="24"/>
              </w:rPr>
              <w:t xml:space="preserve"> šimtų </w:t>
            </w:r>
            <w:r w:rsidR="00813109">
              <w:rPr>
                <w:iCs/>
                <w:szCs w:val="24"/>
              </w:rPr>
              <w:t>šeš</w:t>
            </w:r>
            <w:r>
              <w:rPr>
                <w:iCs/>
                <w:szCs w:val="24"/>
              </w:rPr>
              <w:t xml:space="preserve">iasdešimt </w:t>
            </w:r>
            <w:r w:rsidR="00813109">
              <w:rPr>
                <w:iCs/>
                <w:szCs w:val="24"/>
              </w:rPr>
              <w:t xml:space="preserve">devynių </w:t>
            </w:r>
            <w:r>
              <w:rPr>
                <w:iCs/>
                <w:szCs w:val="24"/>
              </w:rPr>
              <w:t>eurų</w:t>
            </w:r>
            <w:r w:rsidR="00813109">
              <w:rPr>
                <w:iCs/>
                <w:szCs w:val="24"/>
              </w:rPr>
              <w:t xml:space="preserve"> </w:t>
            </w:r>
            <w:r w:rsidR="00813109" w:rsidRPr="003C7A7B">
              <w:rPr>
                <w:iCs/>
                <w:szCs w:val="24"/>
              </w:rPr>
              <w:t>00 ct</w:t>
            </w:r>
            <w:r>
              <w:rPr>
                <w:iCs/>
                <w:szCs w:val="24"/>
              </w:rPr>
              <w:t xml:space="preserve">) – Vidurio ir vakarų Lietuvos regionui; </w:t>
            </w:r>
          </w:p>
          <w:p w14:paraId="32AB9D6E" w14:textId="39FD5C8D" w:rsidR="00132AA4" w:rsidRPr="00132AA4" w:rsidRDefault="00132AA4">
            <w:pPr>
              <w:jc w:val="both"/>
              <w:rPr>
                <w:iCs/>
                <w:szCs w:val="24"/>
              </w:rPr>
            </w:pPr>
            <w:r>
              <w:rPr>
                <w:iCs/>
                <w:szCs w:val="24"/>
              </w:rPr>
              <w:t xml:space="preserve">- iki </w:t>
            </w:r>
            <w:r w:rsidR="00D660CD">
              <w:rPr>
                <w:iCs/>
                <w:szCs w:val="24"/>
              </w:rPr>
              <w:t>2 510 957,00</w:t>
            </w:r>
            <w:r>
              <w:rPr>
                <w:iCs/>
                <w:szCs w:val="24"/>
              </w:rPr>
              <w:t xml:space="preserve"> Eur (</w:t>
            </w:r>
            <w:r w:rsidR="006739EB">
              <w:rPr>
                <w:iCs/>
                <w:szCs w:val="24"/>
              </w:rPr>
              <w:t xml:space="preserve">dviejų </w:t>
            </w:r>
            <w:r>
              <w:rPr>
                <w:iCs/>
                <w:szCs w:val="24"/>
              </w:rPr>
              <w:t xml:space="preserve">milijonų </w:t>
            </w:r>
            <w:r w:rsidR="006739EB">
              <w:rPr>
                <w:iCs/>
                <w:szCs w:val="24"/>
              </w:rPr>
              <w:t>penkių</w:t>
            </w:r>
            <w:r>
              <w:rPr>
                <w:iCs/>
                <w:szCs w:val="24"/>
              </w:rPr>
              <w:t xml:space="preserve"> šimtų </w:t>
            </w:r>
            <w:r w:rsidR="006739EB">
              <w:rPr>
                <w:iCs/>
                <w:szCs w:val="24"/>
              </w:rPr>
              <w:t>dešimt</w:t>
            </w:r>
            <w:r>
              <w:rPr>
                <w:iCs/>
                <w:szCs w:val="24"/>
              </w:rPr>
              <w:t xml:space="preserve"> tūkstančių </w:t>
            </w:r>
            <w:r w:rsidR="006739EB">
              <w:rPr>
                <w:iCs/>
                <w:szCs w:val="24"/>
              </w:rPr>
              <w:t xml:space="preserve">devynių </w:t>
            </w:r>
            <w:r>
              <w:rPr>
                <w:iCs/>
                <w:szCs w:val="24"/>
              </w:rPr>
              <w:t xml:space="preserve">šimtų </w:t>
            </w:r>
            <w:r w:rsidR="006739EB">
              <w:rPr>
                <w:iCs/>
                <w:szCs w:val="24"/>
              </w:rPr>
              <w:t>penk</w:t>
            </w:r>
            <w:r>
              <w:rPr>
                <w:iCs/>
                <w:szCs w:val="24"/>
              </w:rPr>
              <w:t>iasdešimt septynių eurų</w:t>
            </w:r>
            <w:r w:rsidR="006739EB" w:rsidRPr="003C7A7B">
              <w:rPr>
                <w:iCs/>
                <w:szCs w:val="24"/>
              </w:rPr>
              <w:t xml:space="preserve"> 00 </w:t>
            </w:r>
            <w:r w:rsidR="006739EB">
              <w:rPr>
                <w:iCs/>
                <w:szCs w:val="24"/>
              </w:rPr>
              <w:t>ct</w:t>
            </w:r>
            <w:r>
              <w:rPr>
                <w:iCs/>
                <w:szCs w:val="24"/>
              </w:rPr>
              <w:t xml:space="preserve">) Europos Sąjungos bendrojo finansavimo lėšų, iš kurių iki </w:t>
            </w:r>
            <w:r w:rsidR="00D660CD">
              <w:rPr>
                <w:iCs/>
                <w:szCs w:val="24"/>
              </w:rPr>
              <w:t xml:space="preserve">1 408 251,00 Eur (vieno milijono keturių šimtų aštuonių tūkstančių dviejų šimtų penkiasdešimt vieno euro </w:t>
            </w:r>
            <w:r w:rsidR="00D660CD" w:rsidRPr="003C7A7B">
              <w:rPr>
                <w:iCs/>
                <w:szCs w:val="24"/>
              </w:rPr>
              <w:t xml:space="preserve">00 </w:t>
            </w:r>
            <w:r w:rsidR="00D660CD">
              <w:rPr>
                <w:iCs/>
                <w:szCs w:val="24"/>
              </w:rPr>
              <w:t>ct) skiriama Sostinės regionui</w:t>
            </w:r>
            <w:r>
              <w:rPr>
                <w:iCs/>
                <w:szCs w:val="24"/>
              </w:rPr>
              <w:t xml:space="preserve"> ir iki </w:t>
            </w:r>
            <w:r w:rsidR="001E2627">
              <w:rPr>
                <w:iCs/>
                <w:szCs w:val="24"/>
              </w:rPr>
              <w:t>1 102 706,00</w:t>
            </w:r>
            <w:r>
              <w:rPr>
                <w:iCs/>
                <w:szCs w:val="24"/>
              </w:rPr>
              <w:t xml:space="preserve"> Eur (</w:t>
            </w:r>
            <w:r w:rsidR="00DB2E98">
              <w:rPr>
                <w:iCs/>
                <w:szCs w:val="24"/>
              </w:rPr>
              <w:t>vieno</w:t>
            </w:r>
            <w:r>
              <w:rPr>
                <w:iCs/>
                <w:szCs w:val="24"/>
              </w:rPr>
              <w:t xml:space="preserve"> milijon</w:t>
            </w:r>
            <w:r w:rsidR="00DB2E98">
              <w:rPr>
                <w:iCs/>
                <w:szCs w:val="24"/>
              </w:rPr>
              <w:t>o</w:t>
            </w:r>
            <w:r>
              <w:rPr>
                <w:iCs/>
                <w:szCs w:val="24"/>
              </w:rPr>
              <w:t xml:space="preserve"> </w:t>
            </w:r>
            <w:r w:rsidR="00DB2E98">
              <w:rPr>
                <w:iCs/>
                <w:szCs w:val="24"/>
              </w:rPr>
              <w:t xml:space="preserve">vieno šimto dviejų </w:t>
            </w:r>
            <w:r>
              <w:rPr>
                <w:iCs/>
                <w:szCs w:val="24"/>
              </w:rPr>
              <w:t xml:space="preserve">tūkstančių </w:t>
            </w:r>
            <w:r w:rsidR="00DB2E98">
              <w:rPr>
                <w:iCs/>
                <w:szCs w:val="24"/>
              </w:rPr>
              <w:t>septynių</w:t>
            </w:r>
            <w:r>
              <w:rPr>
                <w:iCs/>
                <w:szCs w:val="24"/>
              </w:rPr>
              <w:t xml:space="preserve"> šimtų </w:t>
            </w:r>
            <w:r w:rsidR="00DB2E98">
              <w:rPr>
                <w:iCs/>
                <w:szCs w:val="24"/>
              </w:rPr>
              <w:t xml:space="preserve">šešių </w:t>
            </w:r>
            <w:r>
              <w:rPr>
                <w:iCs/>
                <w:szCs w:val="24"/>
              </w:rPr>
              <w:t>eurų</w:t>
            </w:r>
            <w:r w:rsidR="00DB2E98">
              <w:rPr>
                <w:iCs/>
                <w:szCs w:val="24"/>
              </w:rPr>
              <w:t xml:space="preserve"> </w:t>
            </w:r>
            <w:r w:rsidR="00DB2E98" w:rsidRPr="003C7A7B">
              <w:rPr>
                <w:iCs/>
                <w:szCs w:val="24"/>
              </w:rPr>
              <w:t>00 ct</w:t>
            </w:r>
            <w:r>
              <w:rPr>
                <w:iCs/>
                <w:szCs w:val="24"/>
              </w:rPr>
              <w:t>) – Vidurio ir vakarų Lietuvos regionui;</w:t>
            </w:r>
          </w:p>
          <w:p w14:paraId="150F5B98" w14:textId="11EC1A79" w:rsidR="006C68B8" w:rsidRDefault="00C16F96">
            <w:pPr>
              <w:jc w:val="both"/>
              <w:rPr>
                <w:iCs/>
                <w:szCs w:val="22"/>
              </w:rPr>
            </w:pPr>
            <w:r>
              <w:rPr>
                <w:iCs/>
                <w:szCs w:val="24"/>
              </w:rPr>
              <w:t>5</w:t>
            </w:r>
            <w:r w:rsidR="00822F3A">
              <w:rPr>
                <w:iCs/>
                <w:szCs w:val="24"/>
              </w:rPr>
              <w:t xml:space="preserve">.5. </w:t>
            </w:r>
            <w:r w:rsidR="00822F3A">
              <w:rPr>
                <w:iCs/>
                <w:szCs w:val="22"/>
              </w:rPr>
              <w:t>Didžiausia galima projektų finansuojamoji dalis sudaro 100 proc. visų tinkamų finansuoti projekto išlaidų. Nuosavu įnašu prisidėti nereikalaujama. Pareiškėjas ir (arba) partneris savo iniciatyva ir savo, ir (arba) kitų šaltinių lėšomis gali prisidėti prie projekto įgyvendinimo. Projekto tinkamų finansuoti išlaidų dalis, kurios nepadengia projektui skiriamo finansavimo lėšos, turi būti finansuojama iš projekto vykdytojo ir (ar) partnerio (-</w:t>
            </w:r>
            <w:proofErr w:type="spellStart"/>
            <w:r w:rsidR="00822F3A">
              <w:rPr>
                <w:iCs/>
                <w:szCs w:val="22"/>
              </w:rPr>
              <w:t>ių</w:t>
            </w:r>
            <w:proofErr w:type="spellEnd"/>
            <w:r w:rsidR="00822F3A">
              <w:rPr>
                <w:iCs/>
                <w:szCs w:val="22"/>
              </w:rPr>
              <w:t>) lėšų.</w:t>
            </w:r>
          </w:p>
          <w:p w14:paraId="09398FFE" w14:textId="5130971B" w:rsidR="006C68B8" w:rsidRDefault="00C16F96">
            <w:pPr>
              <w:jc w:val="both"/>
              <w:rPr>
                <w:iCs/>
                <w:szCs w:val="22"/>
              </w:rPr>
            </w:pPr>
            <w:r>
              <w:rPr>
                <w:iCs/>
                <w:szCs w:val="24"/>
              </w:rPr>
              <w:t>5</w:t>
            </w:r>
            <w:r w:rsidR="00822F3A">
              <w:rPr>
                <w:iCs/>
                <w:szCs w:val="24"/>
              </w:rPr>
              <w:t xml:space="preserve">.6. Projektai gali būti įgyvendinami visoje Lietuvos Respublikos teritorijoje (Sostinės regione ir Vidurio ir vakarų Lietuvos regione) arba ne Lietuvos Respublikoje, jei vykdant projekto veiklas sukurti produktai, rezultatai ir nauda atitenka Lietuvos Respublikai. Įgyvendinant vieną projektą bendrai Sostinės ir Vidurio ir vakarų Lietuvos regionuose, projekto išlaidos Aprašo </w:t>
            </w:r>
            <w:r w:rsidR="008B4062" w:rsidRPr="003C7A7B">
              <w:rPr>
                <w:iCs/>
                <w:szCs w:val="24"/>
              </w:rPr>
              <w:t>5</w:t>
            </w:r>
            <w:r w:rsidR="00822F3A" w:rsidRPr="007572BA">
              <w:t>.1</w:t>
            </w:r>
            <w:r w:rsidR="00822F3A" w:rsidRPr="007572BA">
              <w:rPr>
                <w:iCs/>
                <w:szCs w:val="24"/>
              </w:rPr>
              <w:t xml:space="preserve"> </w:t>
            </w:r>
            <w:r w:rsidR="00822F3A">
              <w:rPr>
                <w:iCs/>
                <w:szCs w:val="24"/>
              </w:rPr>
              <w:t>papunktyje nurodytoms veikloms paskirstomos tokiu santykiu: Sostinės regionui – 27,7 proc. ir Vidurio ir vakarų Lietuvos regionui – 72,3 proc.</w:t>
            </w:r>
          </w:p>
          <w:p w14:paraId="0055B87A" w14:textId="5021D15B" w:rsidR="006C68B8" w:rsidRDefault="00C16F96">
            <w:pPr>
              <w:jc w:val="both"/>
              <w:rPr>
                <w:iCs/>
                <w:szCs w:val="24"/>
              </w:rPr>
            </w:pPr>
            <w:r>
              <w:rPr>
                <w:iCs/>
                <w:szCs w:val="24"/>
              </w:rPr>
              <w:t>5</w:t>
            </w:r>
            <w:r w:rsidR="00822F3A">
              <w:rPr>
                <w:iCs/>
                <w:szCs w:val="24"/>
              </w:rPr>
              <w:t xml:space="preserve">.7. Projektas turi atitikti projekto bendruosius atrankos kriterijus, nustatytus PAFT 2 priede. </w:t>
            </w:r>
          </w:p>
          <w:p w14:paraId="7392D272" w14:textId="3C697523" w:rsidR="006C68B8" w:rsidRDefault="00C16F96">
            <w:pPr>
              <w:jc w:val="both"/>
              <w:rPr>
                <w:iCs/>
                <w:szCs w:val="24"/>
              </w:rPr>
            </w:pPr>
            <w:r>
              <w:rPr>
                <w:iCs/>
                <w:szCs w:val="24"/>
              </w:rPr>
              <w:lastRenderedPageBreak/>
              <w:t>5</w:t>
            </w:r>
            <w:r w:rsidR="00822F3A">
              <w:rPr>
                <w:iCs/>
                <w:szCs w:val="24"/>
              </w:rPr>
              <w:t xml:space="preserve">.8. Projekto veiklos turi būti baigtos įgyvendinti per 36 (trisdešimt šešis) mėnesius nuo projekto sutarties įsigaliojimo. Prireikus projekto veiklos gali būti pratęstos pagrįstam laikotarpiui, bet ne vėliau kaip iki 2029 m. rugpjūčio 31 d. </w:t>
            </w:r>
          </w:p>
          <w:p w14:paraId="62A04D1C" w14:textId="34BF9AD4" w:rsidR="006C68B8" w:rsidRDefault="002E1410">
            <w:pPr>
              <w:jc w:val="both"/>
              <w:rPr>
                <w:iCs/>
                <w:szCs w:val="24"/>
              </w:rPr>
            </w:pPr>
            <w:r>
              <w:rPr>
                <w:iCs/>
                <w:szCs w:val="24"/>
              </w:rPr>
              <w:t>5</w:t>
            </w:r>
            <w:r w:rsidR="00822F3A">
              <w:rPr>
                <w:iCs/>
                <w:szCs w:val="24"/>
              </w:rPr>
              <w:t>.9. Pareiškėjas, prieš teikdamas PĮP Administruojančiai institucijai, turi jį suderinti su Lietuvos Respublikos švietimo, mokslo ir sporto ministerija (toliau – Ministerija),</w:t>
            </w:r>
            <w:r w:rsidR="00822F3A">
              <w:t xml:space="preserve"> </w:t>
            </w:r>
            <w:r w:rsidR="00822F3A">
              <w:rPr>
                <w:iCs/>
                <w:szCs w:val="24"/>
              </w:rPr>
              <w:t xml:space="preserve">pateikdamas projektinį pasiūlymą, užpildytą pagal Lietuvos Respublikos švietimo, mokslo ir sporto ministerijos 2021–2027 metų Europos Sąjungos fondų investicijų programos ir Ekonomikos gaivinimo ir atsparumo didinimo plano „Naujos kartos Lietuva“ administravimo procedūrų aprašo, patvirtinto Lietuvos Respublikos švietimo, mokslo ir sporto ministro 2023 m. sausio 4 d. įsakymu Nr. V-22 „Dėl Lietuvos Respublikos švietimo, mokslo ir sporto ministerijos 2021–2027 metų Europos Sąjungos fondų investicijų programos ir ekonomikos gaivinimo ir atsparumo didinimo plano „Naujos kartos Lietuva“ administravimo procedūrų aprašo patvirtinimo“, priedą. </w:t>
            </w:r>
          </w:p>
          <w:p w14:paraId="3ABB1067" w14:textId="35A38C0F" w:rsidR="006C68B8" w:rsidRDefault="002E1410">
            <w:pPr>
              <w:jc w:val="both"/>
              <w:rPr>
                <w:iCs/>
                <w:szCs w:val="24"/>
              </w:rPr>
            </w:pPr>
            <w:r>
              <w:rPr>
                <w:iCs/>
                <w:szCs w:val="24"/>
              </w:rPr>
              <w:t>5</w:t>
            </w:r>
            <w:r w:rsidR="00822F3A">
              <w:rPr>
                <w:iCs/>
                <w:szCs w:val="24"/>
              </w:rPr>
              <w:t>.10. Projekto vykdytojas privalo įgyvendinti privalomas matomumo ir informavimo apie projektą veiksmų priemones, nustatytas PAFT.</w:t>
            </w:r>
          </w:p>
          <w:p w14:paraId="3571021B" w14:textId="5E40FB81" w:rsidR="006C68B8" w:rsidRDefault="002E1410">
            <w:pPr>
              <w:jc w:val="both"/>
              <w:rPr>
                <w:iCs/>
                <w:szCs w:val="24"/>
              </w:rPr>
            </w:pPr>
            <w:r>
              <w:rPr>
                <w:iCs/>
                <w:szCs w:val="24"/>
              </w:rPr>
              <w:t>5</w:t>
            </w:r>
            <w:r w:rsidR="00822F3A">
              <w:rPr>
                <w:iCs/>
                <w:szCs w:val="24"/>
              </w:rPr>
              <w:t xml:space="preserve">.11. Kartu su PĮP turi būti pateikta: </w:t>
            </w:r>
          </w:p>
          <w:p w14:paraId="4B6A929C" w14:textId="7DFD7ED1" w:rsidR="006C68B8" w:rsidRDefault="002E1410">
            <w:pPr>
              <w:jc w:val="both"/>
              <w:rPr>
                <w:iCs/>
                <w:szCs w:val="24"/>
              </w:rPr>
            </w:pPr>
            <w:r>
              <w:rPr>
                <w:iCs/>
                <w:szCs w:val="24"/>
              </w:rPr>
              <w:t>5</w:t>
            </w:r>
            <w:r w:rsidR="00822F3A">
              <w:rPr>
                <w:iCs/>
                <w:szCs w:val="24"/>
              </w:rPr>
              <w:t>.11.1. partnerių deklaracijos pagal PAFT 1 priedo 1 priedą;</w:t>
            </w:r>
          </w:p>
          <w:p w14:paraId="52874B7A" w14:textId="00F71AE8" w:rsidR="006C68B8" w:rsidRDefault="002E1410">
            <w:pPr>
              <w:jc w:val="both"/>
              <w:rPr>
                <w:iCs/>
                <w:szCs w:val="24"/>
              </w:rPr>
            </w:pPr>
            <w:r>
              <w:rPr>
                <w:iCs/>
                <w:szCs w:val="24"/>
              </w:rPr>
              <w:t>5</w:t>
            </w:r>
            <w:r w:rsidR="00822F3A">
              <w:rPr>
                <w:iCs/>
                <w:szCs w:val="24"/>
              </w:rPr>
              <w:t>.11.2. informacija apie projekto biudžeto paskirstymą pagal pareiškėjus ir partnerius, vadovaujantis PAFT 1 priedo 2 priedu;</w:t>
            </w:r>
          </w:p>
          <w:p w14:paraId="2B677B3C" w14:textId="22CFD6E1" w:rsidR="006C68B8" w:rsidRDefault="002E1410">
            <w:pPr>
              <w:jc w:val="both"/>
              <w:rPr>
                <w:iCs/>
                <w:szCs w:val="24"/>
              </w:rPr>
            </w:pPr>
            <w:r>
              <w:rPr>
                <w:iCs/>
                <w:szCs w:val="24"/>
              </w:rPr>
              <w:t>5</w:t>
            </w:r>
            <w:r w:rsidR="00822F3A">
              <w:rPr>
                <w:iCs/>
                <w:szCs w:val="24"/>
              </w:rPr>
              <w:t>.11.3. dokumentai, pagrindžiantys projekto išlaidų pagrįstumą (sudarytos sutartys, komerciniai pasiūlymai, nuorodos į rinkoje esančias kainas), išlaidų skaičiavimai;</w:t>
            </w:r>
          </w:p>
          <w:p w14:paraId="3BEF8690" w14:textId="1A7329BE" w:rsidR="006C68B8" w:rsidRDefault="002E1410">
            <w:pPr>
              <w:jc w:val="both"/>
              <w:rPr>
                <w:iCs/>
                <w:szCs w:val="24"/>
              </w:rPr>
            </w:pPr>
            <w:r>
              <w:rPr>
                <w:iCs/>
                <w:szCs w:val="24"/>
              </w:rPr>
              <w:t>5</w:t>
            </w:r>
            <w:r w:rsidR="00822F3A">
              <w:rPr>
                <w:iCs/>
                <w:szCs w:val="24"/>
              </w:rPr>
              <w:t>.11.4. projekto atitiktį bendriesiems projektų atrankos kriterijams, nurodytiems PAFT 2 priede, patvirtinantys dokumentai.</w:t>
            </w:r>
          </w:p>
          <w:p w14:paraId="6F0A0D03" w14:textId="4F151F3F" w:rsidR="006C68B8" w:rsidRDefault="002E1410">
            <w:pPr>
              <w:jc w:val="both"/>
              <w:rPr>
                <w:iCs/>
                <w:szCs w:val="24"/>
              </w:rPr>
            </w:pPr>
            <w:r>
              <w:rPr>
                <w:iCs/>
                <w:szCs w:val="24"/>
              </w:rPr>
              <w:t>5</w:t>
            </w:r>
            <w:r w:rsidR="00822F3A">
              <w:rPr>
                <w:iCs/>
                <w:szCs w:val="24"/>
              </w:rPr>
              <w:t>.12. Projektai atrenkami planavimo būdu.</w:t>
            </w:r>
          </w:p>
          <w:p w14:paraId="6FA22FF6" w14:textId="785CA570" w:rsidR="006C68B8" w:rsidRDefault="002E1410">
            <w:pPr>
              <w:jc w:val="both"/>
              <w:rPr>
                <w:iCs/>
                <w:szCs w:val="24"/>
              </w:rPr>
            </w:pPr>
            <w:r>
              <w:rPr>
                <w:iCs/>
                <w:szCs w:val="24"/>
              </w:rPr>
              <w:t>5</w:t>
            </w:r>
            <w:r w:rsidR="00822F3A">
              <w:rPr>
                <w:iCs/>
                <w:szCs w:val="24"/>
              </w:rPr>
              <w:t>.13. Taikant Reglamento (ES) 63 straipsnio 3 dalies nuostatą dėl ESF+ projektų, tinkama tikslinė grupė ar jos dalis ir su veiksmais susijusios išlaidos, esant pagrįstam poreikiui, gali būti priskiriamos vienam iš regionų, neatsižvelgiant į tai, kuriame regione asmenys gyvena ar dirba, su sąlyga, kad veiksmas padeda siekti konkrečių programos tikslų.</w:t>
            </w:r>
          </w:p>
          <w:p w14:paraId="3C16E495" w14:textId="1543B147" w:rsidR="006C68B8" w:rsidRDefault="002E1410">
            <w:pPr>
              <w:jc w:val="both"/>
              <w:rPr>
                <w:i/>
                <w:iCs/>
                <w:sz w:val="22"/>
                <w:szCs w:val="22"/>
              </w:rPr>
            </w:pPr>
            <w:r>
              <w:rPr>
                <w:iCs/>
                <w:szCs w:val="24"/>
              </w:rPr>
              <w:t>5</w:t>
            </w:r>
            <w:r w:rsidR="00822F3A">
              <w:rPr>
                <w:iCs/>
                <w:szCs w:val="24"/>
              </w:rPr>
              <w:t xml:space="preserve">.14. Planuojant projektą, lėšos ir rodikliai turi būti aiškiai atskirti į atskiras projekto </w:t>
            </w:r>
            <w:proofErr w:type="spellStart"/>
            <w:r w:rsidR="00822F3A">
              <w:rPr>
                <w:iCs/>
                <w:szCs w:val="24"/>
              </w:rPr>
              <w:t>poveikles</w:t>
            </w:r>
            <w:proofErr w:type="spellEnd"/>
            <w:r w:rsidR="00822F3A">
              <w:rPr>
                <w:iCs/>
                <w:szCs w:val="24"/>
              </w:rPr>
              <w:t xml:space="preserve"> pagal regioną ir intervencinę priemonės sritį.</w:t>
            </w:r>
          </w:p>
        </w:tc>
      </w:tr>
      <w:tr w:rsidR="006C68B8" w14:paraId="6D7C47E6" w14:textId="77777777">
        <w:tc>
          <w:tcPr>
            <w:tcW w:w="15134" w:type="dxa"/>
          </w:tcPr>
          <w:p w14:paraId="5E61EADF" w14:textId="60F4A05F" w:rsidR="006C68B8" w:rsidRDefault="00240C19">
            <w:pPr>
              <w:jc w:val="both"/>
              <w:rPr>
                <w:iCs/>
                <w:szCs w:val="24"/>
              </w:rPr>
            </w:pPr>
            <w:r>
              <w:rPr>
                <w:b/>
                <w:szCs w:val="24"/>
              </w:rPr>
              <w:lastRenderedPageBreak/>
              <w:t>6</w:t>
            </w:r>
            <w:r w:rsidR="00822F3A">
              <w:rPr>
                <w:b/>
                <w:szCs w:val="24"/>
              </w:rPr>
              <w:t>.</w:t>
            </w:r>
            <w:r w:rsidR="00822F3A">
              <w:rPr>
                <w:szCs w:val="24"/>
              </w:rPr>
              <w:t xml:space="preserve"> </w:t>
            </w:r>
            <w:r w:rsidR="00822F3A">
              <w:rPr>
                <w:b/>
                <w:szCs w:val="24"/>
              </w:rPr>
              <w:t>Reikalavimai jungtinio projekto projektams ir jungtinio projekto projektų pareiškėjams</w:t>
            </w:r>
          </w:p>
        </w:tc>
      </w:tr>
      <w:tr w:rsidR="006C68B8" w14:paraId="3336EA82" w14:textId="77777777">
        <w:trPr>
          <w:trHeight w:val="304"/>
        </w:trPr>
        <w:tc>
          <w:tcPr>
            <w:tcW w:w="15134" w:type="dxa"/>
          </w:tcPr>
          <w:p w14:paraId="53DF290E" w14:textId="77777777" w:rsidR="006C68B8" w:rsidRDefault="00822F3A">
            <w:pPr>
              <w:jc w:val="both"/>
              <w:rPr>
                <w:iCs/>
                <w:sz w:val="22"/>
                <w:szCs w:val="22"/>
              </w:rPr>
            </w:pPr>
            <w:r>
              <w:rPr>
                <w:iCs/>
                <w:szCs w:val="22"/>
              </w:rPr>
              <w:t>Netaikoma.</w:t>
            </w:r>
          </w:p>
        </w:tc>
      </w:tr>
      <w:tr w:rsidR="006C68B8" w14:paraId="1857A3D8" w14:textId="77777777">
        <w:trPr>
          <w:trHeight w:val="285"/>
        </w:trPr>
        <w:tc>
          <w:tcPr>
            <w:tcW w:w="15134" w:type="dxa"/>
          </w:tcPr>
          <w:p w14:paraId="5CCF50B2" w14:textId="23B94377" w:rsidR="006C68B8" w:rsidRDefault="00240C19">
            <w:pPr>
              <w:rPr>
                <w:b/>
                <w:szCs w:val="24"/>
              </w:rPr>
            </w:pPr>
            <w:r>
              <w:rPr>
                <w:b/>
                <w:szCs w:val="24"/>
              </w:rPr>
              <w:t>7</w:t>
            </w:r>
            <w:r w:rsidR="00822F3A">
              <w:rPr>
                <w:b/>
                <w:szCs w:val="24"/>
              </w:rPr>
              <w:t>. Projekto tikslinės grupės</w:t>
            </w:r>
          </w:p>
        </w:tc>
      </w:tr>
      <w:tr w:rsidR="006C68B8" w14:paraId="638E60C3" w14:textId="77777777">
        <w:trPr>
          <w:trHeight w:val="285"/>
        </w:trPr>
        <w:tc>
          <w:tcPr>
            <w:tcW w:w="15134" w:type="dxa"/>
          </w:tcPr>
          <w:p w14:paraId="75354D83" w14:textId="155DF5BD" w:rsidR="006C68B8" w:rsidRDefault="00717E42">
            <w:pPr>
              <w:jc w:val="both"/>
              <w:rPr>
                <w:szCs w:val="24"/>
              </w:rPr>
            </w:pPr>
            <w:r w:rsidRPr="00717E42">
              <w:rPr>
                <w:szCs w:val="24"/>
              </w:rPr>
              <w:t>7</w:t>
            </w:r>
            <w:r w:rsidR="00822F3A" w:rsidRPr="00717E42">
              <w:rPr>
                <w:szCs w:val="24"/>
              </w:rPr>
              <w:t xml:space="preserve">.1. </w:t>
            </w:r>
            <w:r w:rsidR="00822F3A">
              <w:rPr>
                <w:szCs w:val="24"/>
              </w:rPr>
              <w:t>Galimos projekto tikslinės grupės – mokytojai, švietimo pagalbos specialistai, mokyklų vadovai, mokyklos bendruomenė, mokiniai ir ugdytiniai, tyrėjai, Nacionalinės švietimo agentūros darbuotojai:</w:t>
            </w:r>
          </w:p>
          <w:p w14:paraId="18EB95B3" w14:textId="50A90E67" w:rsidR="006C68B8" w:rsidRDefault="00717E42">
            <w:pPr>
              <w:jc w:val="both"/>
              <w:rPr>
                <w:szCs w:val="24"/>
              </w:rPr>
            </w:pPr>
            <w:r>
              <w:rPr>
                <w:szCs w:val="24"/>
              </w:rPr>
              <w:t>7</w:t>
            </w:r>
            <w:r w:rsidR="00822F3A">
              <w:rPr>
                <w:szCs w:val="24"/>
              </w:rPr>
              <w:t>.1.1. mokytojų tikslinės grupės poreikiai – sustiprinti kompetencijas diegti atnaujintą ugdymo turinį, gebėti savarankiškai planuoti veiklas, efektyviai parinkti 30 proc. laisvo ugdymo turinio mokiniams;</w:t>
            </w:r>
          </w:p>
          <w:p w14:paraId="20DAB84A" w14:textId="009A6ED9" w:rsidR="006C68B8" w:rsidRDefault="00717E42">
            <w:pPr>
              <w:jc w:val="both"/>
              <w:rPr>
                <w:szCs w:val="24"/>
              </w:rPr>
            </w:pPr>
            <w:r>
              <w:rPr>
                <w:szCs w:val="24"/>
              </w:rPr>
              <w:t>7</w:t>
            </w:r>
            <w:r w:rsidR="00822F3A">
              <w:rPr>
                <w:szCs w:val="24"/>
              </w:rPr>
              <w:t xml:space="preserve">.1.2. švietimo pagalbos specialistų tikslinės grupės poreikiai – sustiprinti kompetencijas atpažinti vaikų, gabių ir turinčių didelį mokymosi potencialą, gebėjimus ir įgyti žinių, kaip taikyti skaitmeninį gebėjimų atpažinimo įrankį; </w:t>
            </w:r>
          </w:p>
          <w:p w14:paraId="01DCB492" w14:textId="3F9B1DC0" w:rsidR="006C68B8" w:rsidRDefault="00717E42">
            <w:pPr>
              <w:jc w:val="both"/>
              <w:rPr>
                <w:szCs w:val="24"/>
              </w:rPr>
            </w:pPr>
            <w:r>
              <w:rPr>
                <w:szCs w:val="24"/>
              </w:rPr>
              <w:t>7</w:t>
            </w:r>
            <w:r w:rsidR="00822F3A">
              <w:rPr>
                <w:szCs w:val="24"/>
              </w:rPr>
              <w:t>.1.3. mokyklų vadovų tikslinės grupės poreikiai – kuo sparčiau pastebėti mokinių pasiekimų atotrūkius ir suteikti reikiamą mokymosi pagalbą, daugiau dėmesio skiriant asmens individualiam mokymo(</w:t>
            </w:r>
            <w:proofErr w:type="spellStart"/>
            <w:r w:rsidR="00822F3A">
              <w:rPr>
                <w:szCs w:val="24"/>
              </w:rPr>
              <w:t>si</w:t>
            </w:r>
            <w:proofErr w:type="spellEnd"/>
            <w:r w:rsidR="00822F3A">
              <w:rPr>
                <w:szCs w:val="24"/>
              </w:rPr>
              <w:t>) planui ir jo personalizuotam mokymui(</w:t>
            </w:r>
            <w:proofErr w:type="spellStart"/>
            <w:r w:rsidR="00822F3A">
              <w:rPr>
                <w:szCs w:val="24"/>
              </w:rPr>
              <w:t>si</w:t>
            </w:r>
            <w:proofErr w:type="spellEnd"/>
            <w:r w:rsidR="00822F3A">
              <w:rPr>
                <w:szCs w:val="24"/>
              </w:rPr>
              <w:t xml:space="preserve">);  </w:t>
            </w:r>
          </w:p>
          <w:p w14:paraId="0B07F5AC" w14:textId="3CD11AF4" w:rsidR="006C68B8" w:rsidRDefault="00717E42">
            <w:pPr>
              <w:jc w:val="both"/>
              <w:rPr>
                <w:szCs w:val="24"/>
              </w:rPr>
            </w:pPr>
            <w:r>
              <w:rPr>
                <w:szCs w:val="24"/>
              </w:rPr>
              <w:t>7</w:t>
            </w:r>
            <w:r w:rsidR="00822F3A">
              <w:rPr>
                <w:szCs w:val="24"/>
              </w:rPr>
              <w:t>.1.4. mokyklos bendruomenės tikslinės grupės poreikiai – sudaryti lygiavertes sąlygas kokybiškam ugdymui;</w:t>
            </w:r>
          </w:p>
          <w:p w14:paraId="4B68768B" w14:textId="3D03DD87" w:rsidR="006C68B8" w:rsidRDefault="00717E42">
            <w:pPr>
              <w:jc w:val="both"/>
              <w:rPr>
                <w:szCs w:val="24"/>
              </w:rPr>
            </w:pPr>
            <w:r>
              <w:rPr>
                <w:szCs w:val="24"/>
              </w:rPr>
              <w:lastRenderedPageBreak/>
              <w:t>7</w:t>
            </w:r>
            <w:r w:rsidR="00822F3A">
              <w:rPr>
                <w:szCs w:val="24"/>
              </w:rPr>
              <w:t xml:space="preserve">.1.5. mokinių ir ugdytinių tikslinės grupės poreikiai – sustiprinti socialines-emocines kompetencijas; </w:t>
            </w:r>
          </w:p>
          <w:p w14:paraId="01987FAB" w14:textId="58566A8B" w:rsidR="006C68B8" w:rsidRDefault="00717E42">
            <w:pPr>
              <w:jc w:val="both"/>
              <w:rPr>
                <w:szCs w:val="24"/>
              </w:rPr>
            </w:pPr>
            <w:r>
              <w:rPr>
                <w:szCs w:val="24"/>
              </w:rPr>
              <w:t>7</w:t>
            </w:r>
            <w:r w:rsidR="00822F3A">
              <w:rPr>
                <w:szCs w:val="24"/>
              </w:rPr>
              <w:t>.1.6. tyrėjų tikslinės grupės poreikiai – stiprinti mokyklos bendruomenės praktinių ir teorinių žinių, ugdymo tikslų, turinio įgyvendinimo ir pasiekimų vertinimo dermę;</w:t>
            </w:r>
          </w:p>
          <w:p w14:paraId="52666AC2" w14:textId="064242EC" w:rsidR="006C68B8" w:rsidRDefault="00717E42">
            <w:pPr>
              <w:jc w:val="both"/>
              <w:rPr>
                <w:szCs w:val="24"/>
              </w:rPr>
            </w:pPr>
            <w:r>
              <w:rPr>
                <w:szCs w:val="24"/>
              </w:rPr>
              <w:t>7</w:t>
            </w:r>
            <w:r w:rsidR="00822F3A">
              <w:rPr>
                <w:szCs w:val="24"/>
              </w:rPr>
              <w:t>.1.7. Nacionalinės švietimo agentūros darbuotojų tikslinės grupės poreikiai – išmokyti mokytojus kurti užduotis, galinčias sudaryti sąlygas mokiniams pademonstruoti savo žinias, gebėjimus ir vertybines nuostatas bei kelti kompetenciją šioje srityje.</w:t>
            </w:r>
          </w:p>
          <w:p w14:paraId="178850BF" w14:textId="5B74BC6B" w:rsidR="006C68B8" w:rsidRDefault="00717E42" w:rsidP="0041122B">
            <w:pPr>
              <w:rPr>
                <w:sz w:val="22"/>
                <w:szCs w:val="22"/>
              </w:rPr>
            </w:pPr>
            <w:r>
              <w:rPr>
                <w:szCs w:val="24"/>
                <w:lang w:eastAsia="lt-LT"/>
              </w:rPr>
              <w:t>7</w:t>
            </w:r>
            <w:r w:rsidR="00822F3A">
              <w:rPr>
                <w:szCs w:val="24"/>
                <w:lang w:eastAsia="lt-LT"/>
              </w:rPr>
              <w:t>.2</w:t>
            </w:r>
            <w:r w:rsidR="00E74684">
              <w:rPr>
                <w:szCs w:val="24"/>
                <w:lang w:eastAsia="lt-LT"/>
              </w:rPr>
              <w:t>.</w:t>
            </w:r>
            <w:r w:rsidR="00822F3A">
              <w:rPr>
                <w:szCs w:val="24"/>
                <w:lang w:eastAsia="lt-LT"/>
              </w:rPr>
              <w:t xml:space="preserve"> Projekto tikslinės grupės administravimas bus vykdomas, vadovaujantis Projekto dalyvių informacijos administravimo instrukcija, kuri yra skelbiama adresu https://www.esinvesticijos.lt/dokumentai/projekto-dalyviu-informacijos-administravimo-instrukcija.</w:t>
            </w:r>
          </w:p>
        </w:tc>
      </w:tr>
      <w:tr w:rsidR="006C68B8" w14:paraId="23CCC075" w14:textId="77777777">
        <w:trPr>
          <w:trHeight w:val="285"/>
        </w:trPr>
        <w:tc>
          <w:tcPr>
            <w:tcW w:w="15134" w:type="dxa"/>
          </w:tcPr>
          <w:p w14:paraId="68230D93" w14:textId="2FDC9348" w:rsidR="006C68B8" w:rsidRDefault="00A17FDA">
            <w:pPr>
              <w:rPr>
                <w:sz w:val="22"/>
                <w:szCs w:val="22"/>
              </w:rPr>
            </w:pPr>
            <w:r>
              <w:rPr>
                <w:b/>
                <w:szCs w:val="24"/>
              </w:rPr>
              <w:lastRenderedPageBreak/>
              <w:t>8</w:t>
            </w:r>
            <w:r w:rsidR="00822F3A">
              <w:rPr>
                <w:szCs w:val="24"/>
              </w:rPr>
              <w:t xml:space="preserve">. </w:t>
            </w:r>
            <w:r w:rsidR="00822F3A">
              <w:rPr>
                <w:b/>
                <w:szCs w:val="24"/>
              </w:rPr>
              <w:t>Horizontaliųjų principų (toliau – HP) reikalavimai</w:t>
            </w:r>
          </w:p>
        </w:tc>
      </w:tr>
      <w:tr w:rsidR="006C68B8" w14:paraId="023DDDDB" w14:textId="77777777">
        <w:tc>
          <w:tcPr>
            <w:tcW w:w="15134" w:type="dxa"/>
          </w:tcPr>
          <w:p w14:paraId="01000C3E" w14:textId="3C0B0F91" w:rsidR="006C68B8" w:rsidRDefault="00717E42">
            <w:pPr>
              <w:jc w:val="both"/>
              <w:rPr>
                <w:iCs/>
                <w:szCs w:val="24"/>
              </w:rPr>
            </w:pPr>
            <w:r w:rsidRPr="00717E42">
              <w:rPr>
                <w:iCs/>
                <w:szCs w:val="24"/>
              </w:rPr>
              <w:t>8</w:t>
            </w:r>
            <w:r w:rsidR="00822F3A" w:rsidRPr="00717E42">
              <w:rPr>
                <w:iCs/>
                <w:szCs w:val="24"/>
              </w:rPr>
              <w:t xml:space="preserve">.1. </w:t>
            </w:r>
            <w:r w:rsidR="00822F3A">
              <w:rPr>
                <w:iCs/>
                <w:szCs w:val="24"/>
              </w:rPr>
              <w:t>Projekte negali būti numatyta:</w:t>
            </w:r>
          </w:p>
          <w:p w14:paraId="79E261CA" w14:textId="0F61026C" w:rsidR="006C68B8" w:rsidRDefault="00717E42">
            <w:pPr>
              <w:jc w:val="both"/>
              <w:rPr>
                <w:iCs/>
                <w:szCs w:val="24"/>
              </w:rPr>
            </w:pPr>
            <w:r>
              <w:rPr>
                <w:iCs/>
                <w:szCs w:val="24"/>
              </w:rPr>
              <w:t>8</w:t>
            </w:r>
            <w:r w:rsidR="00822F3A">
              <w:rPr>
                <w:iCs/>
                <w:szCs w:val="24"/>
              </w:rPr>
              <w:t xml:space="preserve">.1.1. apribojimų, kurie turėtų neigiamą poveikį lygių galimybių ir nediskriminavimo lyties, rasės, tautybės, pilietybės, kalbos, kilmės, socialinės padėties, tikėjimo, religijos ar įsitikinimų, pažiūrų, amžiaus, negalios, lytinės orientacijos, etninės priklausomybės ar kitais pagrindais principui įgyvendinti; </w:t>
            </w:r>
          </w:p>
          <w:p w14:paraId="7CCE7638" w14:textId="17A6AD6C" w:rsidR="006C68B8" w:rsidRDefault="00717E42">
            <w:pPr>
              <w:jc w:val="both"/>
              <w:rPr>
                <w:iCs/>
                <w:szCs w:val="24"/>
              </w:rPr>
            </w:pPr>
            <w:r>
              <w:rPr>
                <w:iCs/>
                <w:szCs w:val="24"/>
              </w:rPr>
              <w:t>8</w:t>
            </w:r>
            <w:r w:rsidR="00822F3A">
              <w:rPr>
                <w:iCs/>
                <w:szCs w:val="24"/>
              </w:rPr>
              <w:t xml:space="preserve">.1.2. veiksmų, kurie turėtų neigiamą poveikį darnaus vystymosi principui įgyvendinti. </w:t>
            </w:r>
          </w:p>
          <w:p w14:paraId="179A470B" w14:textId="7057C6F2" w:rsidR="006C68B8" w:rsidRDefault="00717E42">
            <w:pPr>
              <w:jc w:val="both"/>
              <w:rPr>
                <w:iCs/>
                <w:szCs w:val="24"/>
              </w:rPr>
            </w:pPr>
            <w:r>
              <w:rPr>
                <w:iCs/>
                <w:szCs w:val="24"/>
              </w:rPr>
              <w:t>8</w:t>
            </w:r>
            <w:r w:rsidR="00822F3A">
              <w:rPr>
                <w:iCs/>
                <w:szCs w:val="24"/>
              </w:rPr>
              <w:t>.2. Projekte turi būti numatyta:</w:t>
            </w:r>
          </w:p>
          <w:p w14:paraId="14A43ED9" w14:textId="72783363" w:rsidR="006C68B8" w:rsidRDefault="00717E42">
            <w:pPr>
              <w:jc w:val="both"/>
              <w:rPr>
                <w:iCs/>
                <w:szCs w:val="24"/>
              </w:rPr>
            </w:pPr>
            <w:r>
              <w:rPr>
                <w:iCs/>
                <w:szCs w:val="24"/>
              </w:rPr>
              <w:t>8</w:t>
            </w:r>
            <w:r w:rsidR="00822F3A">
              <w:rPr>
                <w:iCs/>
                <w:szCs w:val="24"/>
              </w:rPr>
              <w:t xml:space="preserve">.2.1. organizuodamas mokymo veiklas, projekto vykdytojas prieš projekto veiklos įgyvendinimą turi 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pan.); </w:t>
            </w:r>
          </w:p>
          <w:p w14:paraId="7C0BDA1A" w14:textId="08585860" w:rsidR="006C68B8" w:rsidRDefault="00717E42">
            <w:pPr>
              <w:jc w:val="both"/>
              <w:rPr>
                <w:iCs/>
                <w:szCs w:val="24"/>
              </w:rPr>
            </w:pPr>
            <w:r>
              <w:rPr>
                <w:iCs/>
                <w:szCs w:val="24"/>
              </w:rPr>
              <w:t>8</w:t>
            </w:r>
            <w:r w:rsidR="00822F3A">
              <w:rPr>
                <w:iCs/>
                <w:szCs w:val="24"/>
              </w:rPr>
              <w:t>.2.2. įgyvendinant projektų veiklas, į jų turinį, kur tai įmanoma, turi būti įtraukiami lygių galimybių ir lyčių lygybės aspektai;</w:t>
            </w:r>
          </w:p>
          <w:p w14:paraId="6DBB1E64" w14:textId="404314A5" w:rsidR="006C68B8" w:rsidRDefault="00717E42">
            <w:pPr>
              <w:jc w:val="both"/>
              <w:rPr>
                <w:iCs/>
                <w:szCs w:val="24"/>
              </w:rPr>
            </w:pPr>
            <w:r>
              <w:rPr>
                <w:iCs/>
                <w:szCs w:val="24"/>
              </w:rPr>
              <w:t>8</w:t>
            </w:r>
            <w:r w:rsidR="00822F3A">
              <w:rPr>
                <w:iCs/>
                <w:szCs w:val="24"/>
              </w:rPr>
              <w:t>.2.3. projektų veiklos, jų turinys ir galimi produktai turi būti organizuojami ir kuriami laikantis universalaus dizaino ir inovatyvumo (kūrybingumo) principų (pvz.: prieinamumo, lankstumo, paprasto ir intuityvaus naudojimo, tolerancijos klaidoms ir kt.);</w:t>
            </w:r>
          </w:p>
          <w:p w14:paraId="3E89C16A" w14:textId="687BD980" w:rsidR="006C68B8" w:rsidRDefault="00717E42">
            <w:pPr>
              <w:jc w:val="both"/>
              <w:rPr>
                <w:iCs/>
                <w:szCs w:val="24"/>
              </w:rPr>
            </w:pPr>
            <w:r>
              <w:rPr>
                <w:iCs/>
                <w:szCs w:val="24"/>
              </w:rPr>
              <w:t>8</w:t>
            </w:r>
            <w:r w:rsidR="00822F3A">
              <w:rPr>
                <w:iCs/>
                <w:szCs w:val="24"/>
              </w:rPr>
              <w:t>.2.4. projektas turi prisidėti prie Jungtinių Tautų 70-ojoje sesijoje 2015 m. rugsėjo 25 d. priimtos Generalinės Asamblėjos rezoliucijos „Keiskime mūsų pasaulį: Darnaus vystymosi darbotvarkė iki 2030 m.“ 4 tikslo „Užtikrinti visa apimantį ir lygiavertį kokybišką švietimą ir skatinti visą gyvenimą trunkantį mokymąsi“ 4.1 uždavinio „Iki 2030 metų užtikrinti, kad visos mergaitės ir berniukai įgytų nemokamą, lygiavertį ir kokybišką pradinį ir vidurinį išsilavinimą, suteikiantį galimybę pasiekti atitinkamų ir veiksmingų mokymosi rezultatų“ įgyvendinimo.</w:t>
            </w:r>
          </w:p>
          <w:p w14:paraId="45CDC651" w14:textId="7254025A" w:rsidR="006C68B8" w:rsidRDefault="00717E42">
            <w:pPr>
              <w:jc w:val="both"/>
              <w:rPr>
                <w:i/>
                <w:iCs/>
                <w:sz w:val="22"/>
                <w:szCs w:val="22"/>
              </w:rPr>
            </w:pPr>
            <w:r>
              <w:rPr>
                <w:iCs/>
                <w:szCs w:val="24"/>
              </w:rPr>
              <w:t>8</w:t>
            </w:r>
            <w:r w:rsidR="00822F3A">
              <w:rPr>
                <w:iCs/>
                <w:szCs w:val="24"/>
              </w:rPr>
              <w:t>.3.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tc>
      </w:tr>
      <w:tr w:rsidR="006C68B8" w14:paraId="0FA36ED7" w14:textId="77777777">
        <w:tc>
          <w:tcPr>
            <w:tcW w:w="15134" w:type="dxa"/>
          </w:tcPr>
          <w:p w14:paraId="1A74D887" w14:textId="1BEB2465" w:rsidR="006C68B8" w:rsidRDefault="007D751F">
            <w:pPr>
              <w:spacing w:line="259" w:lineRule="auto"/>
              <w:jc w:val="both"/>
              <w:rPr>
                <w:b/>
                <w:iCs/>
                <w:szCs w:val="24"/>
              </w:rPr>
            </w:pPr>
            <w:r>
              <w:rPr>
                <w:b/>
                <w:iCs/>
                <w:szCs w:val="24"/>
              </w:rPr>
              <w:t>9</w:t>
            </w:r>
            <w:r w:rsidR="00822F3A">
              <w:rPr>
                <w:b/>
                <w:iCs/>
                <w:szCs w:val="24"/>
              </w:rPr>
              <w:t>. Europos Sąjungos pagrindinių teisių chartijos (toliau – Chartija) reikalavimai</w:t>
            </w:r>
          </w:p>
        </w:tc>
      </w:tr>
      <w:tr w:rsidR="006C68B8" w14:paraId="2A059E76" w14:textId="77777777">
        <w:tc>
          <w:tcPr>
            <w:tcW w:w="15134" w:type="dxa"/>
          </w:tcPr>
          <w:p w14:paraId="0BDFF6A4" w14:textId="76B44A77" w:rsidR="006C68B8" w:rsidRDefault="00822F3A">
            <w:pPr>
              <w:jc w:val="both"/>
              <w:rPr>
                <w:i/>
                <w:iCs/>
                <w:sz w:val="22"/>
                <w:szCs w:val="22"/>
              </w:rPr>
            </w:pPr>
            <w:r>
              <w:rPr>
                <w:bCs/>
                <w:szCs w:val="24"/>
              </w:rPr>
              <w:t xml:space="preserve">Veiklos ir poveiklės atitinka Europos Sąjungos pagrindinių teisių chartijos nuostatas pagal 2016 m. liepos 23 d. Europos Komisijos pranešimą – Rekomendacijų, kaip užtikrinti, kad būtų laikomasi Europos Sąjungos pagrindinių teisių chartijos nuostatų skirstant Europos struktūrinių ir investicinių fondų (ESI fondų) paramą (2016/C 269/01), III priedą. Pagrindiniai Chartijos nuostatų laikymuisi taikomi reikalavimai aprašyti šio </w:t>
            </w:r>
            <w:r w:rsidRPr="00366ABB">
              <w:t xml:space="preserve">Aprašo </w:t>
            </w:r>
            <w:r w:rsidR="00366ABB" w:rsidRPr="003C7A7B">
              <w:t>8</w:t>
            </w:r>
            <w:r w:rsidRPr="00366ABB">
              <w:t xml:space="preserve">.1 ir </w:t>
            </w:r>
            <w:r w:rsidR="00366ABB" w:rsidRPr="003C7A7B">
              <w:t>8</w:t>
            </w:r>
            <w:r w:rsidRPr="00366ABB">
              <w:t xml:space="preserve">.2 </w:t>
            </w:r>
            <w:r>
              <w:rPr>
                <w:bCs/>
                <w:szCs w:val="24"/>
              </w:rPr>
              <w:t>papunkčiuose.</w:t>
            </w:r>
          </w:p>
        </w:tc>
      </w:tr>
      <w:tr w:rsidR="006C68B8" w14:paraId="025C147E" w14:textId="77777777">
        <w:tc>
          <w:tcPr>
            <w:tcW w:w="15134" w:type="dxa"/>
          </w:tcPr>
          <w:p w14:paraId="349CE724" w14:textId="7D999C01" w:rsidR="006C68B8" w:rsidRDefault="007D751F">
            <w:pPr>
              <w:rPr>
                <w:b/>
                <w:szCs w:val="24"/>
              </w:rPr>
            </w:pPr>
            <w:r>
              <w:rPr>
                <w:b/>
                <w:szCs w:val="24"/>
              </w:rPr>
              <w:lastRenderedPageBreak/>
              <w:t>10</w:t>
            </w:r>
            <w:r w:rsidR="00822F3A">
              <w:rPr>
                <w:b/>
                <w:szCs w:val="24"/>
              </w:rPr>
              <w:t>. Apskritis, kurioje gali būti įgyvendinami projektai</w:t>
            </w:r>
          </w:p>
        </w:tc>
      </w:tr>
      <w:tr w:rsidR="006C68B8" w14:paraId="65CEA8A8" w14:textId="77777777">
        <w:tc>
          <w:tcPr>
            <w:tcW w:w="15134" w:type="dxa"/>
          </w:tcPr>
          <w:p w14:paraId="218AD308" w14:textId="77777777" w:rsidR="006C68B8" w:rsidRDefault="00822F3A">
            <w:pPr>
              <w:jc w:val="both"/>
              <w:rPr>
                <w:i/>
                <w:sz w:val="22"/>
                <w:szCs w:val="22"/>
              </w:rPr>
            </w:pPr>
            <w:r>
              <w:rPr>
                <w:iCs/>
                <w:szCs w:val="22"/>
              </w:rPr>
              <w:t>Netaikoma.</w:t>
            </w:r>
          </w:p>
        </w:tc>
      </w:tr>
      <w:tr w:rsidR="006C68B8" w14:paraId="7911F150" w14:textId="77777777">
        <w:tc>
          <w:tcPr>
            <w:tcW w:w="15134" w:type="dxa"/>
          </w:tcPr>
          <w:p w14:paraId="44292234" w14:textId="0902DE68" w:rsidR="006C68B8" w:rsidRDefault="007D751F">
            <w:pPr>
              <w:jc w:val="both"/>
              <w:rPr>
                <w:szCs w:val="24"/>
              </w:rPr>
            </w:pPr>
            <w:r>
              <w:rPr>
                <w:b/>
                <w:szCs w:val="24"/>
              </w:rPr>
              <w:t>11</w:t>
            </w:r>
            <w:r w:rsidR="00822F3A">
              <w:rPr>
                <w:b/>
                <w:szCs w:val="24"/>
              </w:rPr>
              <w:t>.</w:t>
            </w:r>
            <w:r w:rsidR="00822F3A">
              <w:rPr>
                <w:szCs w:val="24"/>
              </w:rPr>
              <w:t xml:space="preserve"> </w:t>
            </w:r>
            <w:r w:rsidR="00822F3A">
              <w:rPr>
                <w:b/>
                <w:szCs w:val="24"/>
              </w:rPr>
              <w:t>Reikalavimai valstybės pagalbai (kurie nėra nurodyti kituose Aprašo punktuose)</w:t>
            </w:r>
          </w:p>
        </w:tc>
      </w:tr>
      <w:tr w:rsidR="006C68B8" w14:paraId="2C5118D4" w14:textId="77777777">
        <w:tc>
          <w:tcPr>
            <w:tcW w:w="15134" w:type="dxa"/>
          </w:tcPr>
          <w:p w14:paraId="5404A5D4" w14:textId="76FFADC1" w:rsidR="007820D5" w:rsidRDefault="0087128E">
            <w:pPr>
              <w:jc w:val="both"/>
              <w:rPr>
                <w:iCs/>
                <w:szCs w:val="24"/>
              </w:rPr>
            </w:pPr>
            <w:r w:rsidRPr="0087128E">
              <w:rPr>
                <w:iCs/>
                <w:szCs w:val="24"/>
              </w:rPr>
              <w:t>11</w:t>
            </w:r>
            <w:r w:rsidR="00822F3A" w:rsidRPr="0087128E">
              <w:rPr>
                <w:iCs/>
                <w:szCs w:val="24"/>
              </w:rPr>
              <w:t xml:space="preserve">.1. </w:t>
            </w:r>
            <w:r w:rsidR="007820D5" w:rsidRPr="007820D5">
              <w:rPr>
                <w:iCs/>
                <w:szCs w:val="24"/>
              </w:rPr>
              <w:t xml:space="preserve">Pagal Aprašą valstybės pagalba, kaip ji apibrėžta Sutarties dėl Europos Sąjungos veikimo 107 straipsnyje, ir </w:t>
            </w:r>
            <w:r w:rsidR="007820D5" w:rsidRPr="003C7A7B">
              <w:rPr>
                <w:i/>
                <w:szCs w:val="24"/>
              </w:rPr>
              <w:t>de minimis</w:t>
            </w:r>
            <w:r w:rsidR="007820D5" w:rsidRPr="007820D5">
              <w:rPr>
                <w:iCs/>
                <w:szCs w:val="24"/>
              </w:rPr>
              <w:t xml:space="preserve"> pagalba, kuri atitinka 2023 m. gruodžio 13 d. Komisijos reglamento (ES) Nr. 2023/2831 dėl Sutarties dėl Europos Sąjungos veikimo 107 ir 108 straipsnių taikymo </w:t>
            </w:r>
            <w:r w:rsidR="007820D5" w:rsidRPr="003C7A7B">
              <w:rPr>
                <w:i/>
                <w:szCs w:val="24"/>
              </w:rPr>
              <w:t>de minimis</w:t>
            </w:r>
            <w:r w:rsidR="007820D5" w:rsidRPr="007820D5">
              <w:rPr>
                <w:iCs/>
                <w:szCs w:val="24"/>
              </w:rPr>
              <w:t xml:space="preserve"> pagalbai nuostatas, neteikiama.</w:t>
            </w:r>
          </w:p>
          <w:p w14:paraId="474E9258" w14:textId="757A95B0" w:rsidR="006C68B8" w:rsidRDefault="0087128E">
            <w:pPr>
              <w:jc w:val="both"/>
              <w:rPr>
                <w:i/>
                <w:iCs/>
                <w:sz w:val="22"/>
                <w:szCs w:val="22"/>
              </w:rPr>
            </w:pPr>
            <w:r>
              <w:rPr>
                <w:iCs/>
                <w:szCs w:val="24"/>
              </w:rPr>
              <w:t>11</w:t>
            </w:r>
            <w:r w:rsidR="00822F3A">
              <w:rPr>
                <w:iCs/>
                <w:szCs w:val="24"/>
              </w:rPr>
              <w:t>.2. Pagal Aprašą valstybės pagalba, kuri atitinka 2014 m. birželio 17 d. Komisijos reglamento (ES) Nr. 651/2014, kuriuo tam tikrų kategorijų pagalba skelbiama suderinama su vidaus rinka taikant Sutarties 107 ir 108 straipsnius, neteikiama.</w:t>
            </w:r>
          </w:p>
        </w:tc>
      </w:tr>
      <w:tr w:rsidR="006C68B8" w14:paraId="6FD2543A" w14:textId="77777777">
        <w:tc>
          <w:tcPr>
            <w:tcW w:w="15134" w:type="dxa"/>
          </w:tcPr>
          <w:p w14:paraId="3E325535" w14:textId="7ACD8376" w:rsidR="006C68B8" w:rsidRDefault="002205E6">
            <w:pPr>
              <w:ind w:left="426" w:hanging="426"/>
              <w:jc w:val="both"/>
              <w:rPr>
                <w:szCs w:val="24"/>
              </w:rPr>
            </w:pPr>
            <w:r>
              <w:rPr>
                <w:b/>
                <w:szCs w:val="24"/>
              </w:rPr>
              <w:t>12</w:t>
            </w:r>
            <w:r w:rsidR="00822F3A">
              <w:rPr>
                <w:b/>
                <w:szCs w:val="24"/>
              </w:rPr>
              <w:t>.</w:t>
            </w:r>
            <w:r w:rsidR="00822F3A">
              <w:rPr>
                <w:szCs w:val="24"/>
              </w:rPr>
              <w:t xml:space="preserve"> </w:t>
            </w:r>
            <w:r w:rsidR="00822F3A">
              <w:rPr>
                <w:b/>
                <w:szCs w:val="24"/>
              </w:rPr>
              <w:t>Projektų atrankos kriterijai</w:t>
            </w:r>
          </w:p>
          <w:p w14:paraId="2BFBA414" w14:textId="77777777" w:rsidR="006C68B8" w:rsidRDefault="00822F3A">
            <w:pPr>
              <w:jc w:val="both"/>
              <w:rPr>
                <w:i/>
                <w:szCs w:val="24"/>
              </w:rPr>
            </w:pPr>
            <w:r>
              <w:t xml:space="preserve">(Kiekvienas projektas turi atitikti </w:t>
            </w:r>
            <w:r>
              <w:rPr>
                <w:iCs/>
                <w:szCs w:val="24"/>
              </w:rPr>
              <w:t>PAFT</w:t>
            </w:r>
            <w:r>
              <w:rPr>
                <w:iCs/>
                <w:color w:val="000000"/>
              </w:rPr>
              <w:t xml:space="preserve"> 2 priede nustatytus projektų bendruosius atrankos kriterijus.)</w:t>
            </w:r>
          </w:p>
        </w:tc>
      </w:tr>
      <w:tr w:rsidR="006C68B8" w14:paraId="676CD285" w14:textId="77777777">
        <w:trPr>
          <w:trHeight w:val="272"/>
        </w:trPr>
        <w:tc>
          <w:tcPr>
            <w:tcW w:w="15134" w:type="dxa"/>
          </w:tcPr>
          <w:p w14:paraId="72F6216A" w14:textId="77777777" w:rsidR="006C68B8" w:rsidRDefault="00822F3A">
            <w:pPr>
              <w:jc w:val="both"/>
              <w:rPr>
                <w:i/>
                <w:sz w:val="22"/>
                <w:szCs w:val="22"/>
              </w:rPr>
            </w:pPr>
            <w:r>
              <w:rPr>
                <w:szCs w:val="24"/>
              </w:rPr>
              <w:t>Specialieji ir prioritetiniai projektų atrankos kriterijai nėra nustatomi.</w:t>
            </w:r>
          </w:p>
        </w:tc>
      </w:tr>
      <w:tr w:rsidR="006C68B8" w14:paraId="7EE5105B" w14:textId="77777777">
        <w:trPr>
          <w:trHeight w:val="309"/>
        </w:trPr>
        <w:tc>
          <w:tcPr>
            <w:tcW w:w="15134" w:type="dxa"/>
          </w:tcPr>
          <w:p w14:paraId="54D531A0" w14:textId="39392FE4" w:rsidR="006C68B8" w:rsidRDefault="00822F3A">
            <w:pPr>
              <w:jc w:val="both"/>
              <w:rPr>
                <w:i/>
                <w:szCs w:val="22"/>
              </w:rPr>
            </w:pPr>
            <w:r>
              <w:rPr>
                <w:b/>
                <w:szCs w:val="22"/>
              </w:rPr>
              <w:t>1</w:t>
            </w:r>
            <w:r w:rsidR="002205E6">
              <w:rPr>
                <w:b/>
                <w:szCs w:val="22"/>
              </w:rPr>
              <w:t>3</w:t>
            </w:r>
            <w:r>
              <w:rPr>
                <w:b/>
                <w:szCs w:val="22"/>
              </w:rPr>
              <w:t>.</w:t>
            </w:r>
            <w:r>
              <w:rPr>
                <w:szCs w:val="22"/>
              </w:rPr>
              <w:t xml:space="preserve"> </w:t>
            </w:r>
            <w:r>
              <w:rPr>
                <w:b/>
                <w:szCs w:val="22"/>
              </w:rPr>
              <w:t>Jungtinio projekto projektų atrankos kriterijai (</w:t>
            </w:r>
            <w:r>
              <w:rPr>
                <w:b/>
                <w:i/>
                <w:szCs w:val="22"/>
              </w:rPr>
              <w:t>pildoma tik jungtiniam projektui)</w:t>
            </w:r>
          </w:p>
          <w:p w14:paraId="11DDA3E4" w14:textId="77777777" w:rsidR="006C68B8" w:rsidRDefault="00822F3A">
            <w:pPr>
              <w:jc w:val="both"/>
              <w:rPr>
                <w:i/>
                <w:sz w:val="22"/>
                <w:szCs w:val="22"/>
              </w:rPr>
            </w:pPr>
            <w:r>
              <w:t xml:space="preserve">(Kiekvienas jungtinio projekto projektas turi atitikti </w:t>
            </w:r>
            <w:r>
              <w:rPr>
                <w:iCs/>
                <w:szCs w:val="24"/>
              </w:rPr>
              <w:t>PAFT</w:t>
            </w:r>
            <w:r>
              <w:rPr>
                <w:iCs/>
                <w:color w:val="000000"/>
              </w:rPr>
              <w:t xml:space="preserve"> 2 priede nustatytus projektų bendruosius atrankos kriterijus.)</w:t>
            </w:r>
          </w:p>
        </w:tc>
      </w:tr>
      <w:tr w:rsidR="006C68B8" w14:paraId="15779056" w14:textId="77777777">
        <w:trPr>
          <w:trHeight w:val="288"/>
        </w:trPr>
        <w:tc>
          <w:tcPr>
            <w:tcW w:w="15134" w:type="dxa"/>
          </w:tcPr>
          <w:p w14:paraId="34B16B8B" w14:textId="77777777" w:rsidR="006C68B8" w:rsidRDefault="00822F3A">
            <w:pPr>
              <w:jc w:val="both"/>
              <w:rPr>
                <w:i/>
                <w:sz w:val="22"/>
                <w:szCs w:val="22"/>
              </w:rPr>
            </w:pPr>
            <w:r>
              <w:rPr>
                <w:bCs/>
                <w:szCs w:val="22"/>
              </w:rPr>
              <w:t>Netaikoma.</w:t>
            </w:r>
          </w:p>
        </w:tc>
      </w:tr>
      <w:tr w:rsidR="006C68B8" w14:paraId="50358F06" w14:textId="77777777">
        <w:tc>
          <w:tcPr>
            <w:tcW w:w="15134" w:type="dxa"/>
          </w:tcPr>
          <w:p w14:paraId="26E8E8BE" w14:textId="61EF1891" w:rsidR="006C68B8" w:rsidRDefault="00822F3A">
            <w:pPr>
              <w:rPr>
                <w:szCs w:val="24"/>
              </w:rPr>
            </w:pPr>
            <w:r>
              <w:rPr>
                <w:b/>
                <w:szCs w:val="24"/>
              </w:rPr>
              <w:t>1</w:t>
            </w:r>
            <w:r w:rsidR="002205E6">
              <w:rPr>
                <w:b/>
                <w:szCs w:val="24"/>
              </w:rPr>
              <w:t>4</w:t>
            </w:r>
            <w:r>
              <w:rPr>
                <w:b/>
                <w:szCs w:val="24"/>
              </w:rPr>
              <w:t>.</w:t>
            </w:r>
            <w:r>
              <w:rPr>
                <w:szCs w:val="24"/>
              </w:rPr>
              <w:t xml:space="preserve"> </w:t>
            </w:r>
            <w:r>
              <w:rPr>
                <w:b/>
                <w:szCs w:val="24"/>
              </w:rPr>
              <w:t>Reikalavimai įgyvendinus projektų veiklas</w:t>
            </w:r>
          </w:p>
        </w:tc>
      </w:tr>
      <w:tr w:rsidR="006C68B8" w14:paraId="2FADF2AB" w14:textId="77777777">
        <w:tc>
          <w:tcPr>
            <w:tcW w:w="15134" w:type="dxa"/>
          </w:tcPr>
          <w:p w14:paraId="31BCB664" w14:textId="77777777" w:rsidR="006C68B8" w:rsidRDefault="00822F3A">
            <w:pPr>
              <w:jc w:val="both"/>
              <w:rPr>
                <w:szCs w:val="22"/>
              </w:rPr>
            </w:pPr>
            <w:r>
              <w:rPr>
                <w:szCs w:val="22"/>
              </w:rPr>
              <w:t xml:space="preserve">Papildomi reikalavimai įgyvendinus projektų veiklas, nei numatyta </w:t>
            </w:r>
            <w:r>
              <w:rPr>
                <w:iCs/>
                <w:szCs w:val="22"/>
              </w:rPr>
              <w:t>Administravimo</w:t>
            </w:r>
            <w:r>
              <w:rPr>
                <w:iCs/>
                <w:szCs w:val="24"/>
              </w:rPr>
              <w:t xml:space="preserve"> </w:t>
            </w:r>
            <w:r>
              <w:rPr>
                <w:szCs w:val="22"/>
              </w:rPr>
              <w:t xml:space="preserve">taisyklėse ir </w:t>
            </w:r>
            <w:r>
              <w:rPr>
                <w:iCs/>
                <w:szCs w:val="24"/>
              </w:rPr>
              <w:t>PAFT</w:t>
            </w:r>
            <w:r>
              <w:rPr>
                <w:iCs/>
                <w:szCs w:val="22"/>
              </w:rPr>
              <w:t>, netaikomi</w:t>
            </w:r>
            <w:r>
              <w:rPr>
                <w:szCs w:val="22"/>
              </w:rPr>
              <w:t>.</w:t>
            </w:r>
          </w:p>
        </w:tc>
      </w:tr>
      <w:tr w:rsidR="006C68B8" w14:paraId="1841BBD3" w14:textId="77777777">
        <w:tc>
          <w:tcPr>
            <w:tcW w:w="15134" w:type="dxa"/>
          </w:tcPr>
          <w:p w14:paraId="3F4369E1" w14:textId="2C8E4B3E" w:rsidR="006C68B8" w:rsidRDefault="00822F3A">
            <w:pPr>
              <w:rPr>
                <w:szCs w:val="24"/>
              </w:rPr>
            </w:pPr>
            <w:r>
              <w:rPr>
                <w:b/>
                <w:szCs w:val="24"/>
              </w:rPr>
              <w:t>1</w:t>
            </w:r>
            <w:r w:rsidR="002205E6">
              <w:rPr>
                <w:b/>
                <w:szCs w:val="24"/>
              </w:rPr>
              <w:t>5</w:t>
            </w:r>
            <w:r>
              <w:rPr>
                <w:b/>
                <w:szCs w:val="24"/>
              </w:rPr>
              <w:t>.</w:t>
            </w:r>
            <w:r>
              <w:rPr>
                <w:szCs w:val="24"/>
              </w:rPr>
              <w:t xml:space="preserve"> </w:t>
            </w:r>
            <w:r>
              <w:rPr>
                <w:b/>
                <w:szCs w:val="24"/>
              </w:rPr>
              <w:t>Kiti reikalavimai</w:t>
            </w:r>
            <w:r w:rsidR="004D27E8">
              <w:rPr>
                <w:b/>
                <w:szCs w:val="24"/>
              </w:rPr>
              <w:t xml:space="preserve"> </w:t>
            </w:r>
            <w:r w:rsidR="004D27E8" w:rsidRPr="008F13A5">
              <w:rPr>
                <w:b/>
                <w:sz w:val="22"/>
                <w:szCs w:val="22"/>
              </w:rPr>
              <w:t>šiam Aprašui</w:t>
            </w:r>
          </w:p>
        </w:tc>
      </w:tr>
      <w:tr w:rsidR="006C68B8" w14:paraId="2AEACD5B" w14:textId="77777777">
        <w:tc>
          <w:tcPr>
            <w:tcW w:w="15134" w:type="dxa"/>
          </w:tcPr>
          <w:p w14:paraId="2CCF5463" w14:textId="37DB0C60" w:rsidR="006C68B8" w:rsidRDefault="00822F3A">
            <w:pPr>
              <w:tabs>
                <w:tab w:val="left" w:pos="1134"/>
              </w:tabs>
              <w:jc w:val="both"/>
              <w:rPr>
                <w:szCs w:val="24"/>
              </w:rPr>
            </w:pPr>
            <w:r w:rsidRPr="00B263E2">
              <w:rPr>
                <w:szCs w:val="24"/>
              </w:rPr>
              <w:t>1</w:t>
            </w:r>
            <w:r w:rsidR="00B263E2" w:rsidRPr="00B263E2">
              <w:rPr>
                <w:szCs w:val="24"/>
              </w:rPr>
              <w:t>5</w:t>
            </w:r>
            <w:r w:rsidRPr="00B263E2">
              <w:rPr>
                <w:szCs w:val="24"/>
              </w:rPr>
              <w:t xml:space="preserve">.1. </w:t>
            </w:r>
            <w:r>
              <w:rPr>
                <w:szCs w:val="24"/>
              </w:rPr>
              <w:t xml:space="preserve">Administruojanti institucija turi informuoti Ministeriją, jeigu vertinimo metu nustatyta, kad pareiškėjo pateiktas PĮP neatitinka šio </w:t>
            </w:r>
            <w:r w:rsidRPr="000D5734">
              <w:t xml:space="preserve">Aprašo </w:t>
            </w:r>
            <w:r w:rsidR="000D5734" w:rsidRPr="003C7A7B">
              <w:t>5</w:t>
            </w:r>
            <w:r w:rsidRPr="000D5734">
              <w:t xml:space="preserve">.9 </w:t>
            </w:r>
            <w:r>
              <w:rPr>
                <w:szCs w:val="24"/>
              </w:rPr>
              <w:t xml:space="preserve">papunkčio. </w:t>
            </w:r>
          </w:p>
          <w:p w14:paraId="28E51F6D" w14:textId="697686BB" w:rsidR="006C68B8" w:rsidRDefault="00822F3A">
            <w:pPr>
              <w:tabs>
                <w:tab w:val="left" w:pos="1134"/>
              </w:tabs>
              <w:jc w:val="both"/>
              <w:rPr>
                <w:i/>
                <w:sz w:val="22"/>
                <w:szCs w:val="22"/>
              </w:rPr>
            </w:pPr>
            <w:r>
              <w:rPr>
                <w:szCs w:val="24"/>
              </w:rPr>
              <w:t>1</w:t>
            </w:r>
            <w:r w:rsidR="00B263E2">
              <w:rPr>
                <w:szCs w:val="24"/>
              </w:rPr>
              <w:t>5</w:t>
            </w:r>
            <w:r>
              <w:rPr>
                <w:szCs w:val="24"/>
              </w:rPr>
              <w:t>.2. Projekto įgyvendinimo priežiūrai užtikrinti ir iškilusiems projekto įgyvendinimo klausimams spręsti Ministerija gali sudaryti Projektų priežiūros komitetą.</w:t>
            </w:r>
          </w:p>
          <w:p w14:paraId="78F35AAE" w14:textId="031B9532" w:rsidR="006C68B8" w:rsidRDefault="00822F3A">
            <w:pPr>
              <w:tabs>
                <w:tab w:val="left" w:pos="1134"/>
              </w:tabs>
              <w:jc w:val="both"/>
              <w:rPr>
                <w:i/>
                <w:sz w:val="22"/>
                <w:szCs w:val="22"/>
              </w:rPr>
            </w:pPr>
            <w:r>
              <w:rPr>
                <w:szCs w:val="24"/>
              </w:rPr>
              <w:t>1</w:t>
            </w:r>
            <w:r w:rsidR="00B263E2">
              <w:rPr>
                <w:szCs w:val="24"/>
              </w:rPr>
              <w:t>5</w:t>
            </w:r>
            <w:r>
              <w:rPr>
                <w:szCs w:val="24"/>
              </w:rPr>
              <w:t>.3. Įgyvendindamas projektą, kurio vertė viršija 10 000 000 (dešimt milijonų) Eur, projekto vykdytojas turi surengti komunikacinį renginį ar veiklą, laiku įtraukdamas Europos Komisiją ir vadovaujančiąją instituciją.</w:t>
            </w:r>
          </w:p>
        </w:tc>
      </w:tr>
    </w:tbl>
    <w:p w14:paraId="21D1F0F1" w14:textId="77777777" w:rsidR="00217ACE" w:rsidRDefault="00217ACE"/>
    <w:p w14:paraId="3BE142BA" w14:textId="77777777" w:rsidR="00201CFB" w:rsidRDefault="00201CFB" w:rsidP="00201CFB">
      <w:pPr>
        <w:jc w:val="center"/>
        <w:rPr>
          <w:b/>
          <w:szCs w:val="24"/>
        </w:rPr>
      </w:pPr>
      <w:r w:rsidRPr="0066497F">
        <w:rPr>
          <w:b/>
          <w:szCs w:val="24"/>
        </w:rPr>
        <w:t>III SKYRIUS</w:t>
      </w:r>
    </w:p>
    <w:p w14:paraId="2F620EA2" w14:textId="4BC9BCDA" w:rsidR="00201CFB" w:rsidRDefault="00201CFB" w:rsidP="00201CFB">
      <w:pPr>
        <w:jc w:val="center"/>
      </w:pPr>
      <w:r>
        <w:rPr>
          <w:b/>
          <w:szCs w:val="24"/>
        </w:rPr>
        <w:t>IŠLAIDŲ TINKAMUMO FINANSUOTI REIKALAVIMAI</w:t>
      </w:r>
    </w:p>
    <w:p w14:paraId="03F4EEB5" w14:textId="77777777" w:rsidR="00201CFB" w:rsidRDefault="00201CFB"/>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C68B8" w14:paraId="33929D8E" w14:textId="77777777">
        <w:tc>
          <w:tcPr>
            <w:tcW w:w="15134" w:type="dxa"/>
          </w:tcPr>
          <w:p w14:paraId="113B860F" w14:textId="752B8F61" w:rsidR="006C68B8" w:rsidRDefault="00822F3A">
            <w:pPr>
              <w:jc w:val="both"/>
              <w:rPr>
                <w:b/>
                <w:szCs w:val="24"/>
              </w:rPr>
            </w:pPr>
            <w:r>
              <w:rPr>
                <w:b/>
                <w:szCs w:val="24"/>
              </w:rPr>
              <w:t>1</w:t>
            </w:r>
            <w:r w:rsidR="00CE0F38">
              <w:rPr>
                <w:b/>
                <w:szCs w:val="24"/>
              </w:rPr>
              <w:t>6</w:t>
            </w:r>
            <w:r>
              <w:rPr>
                <w:b/>
                <w:szCs w:val="24"/>
              </w:rPr>
              <w:t>. Išlaidų tinkamumo finansuoti reikalavimai</w:t>
            </w:r>
          </w:p>
        </w:tc>
      </w:tr>
      <w:tr w:rsidR="006C68B8" w14:paraId="7029481B" w14:textId="77777777">
        <w:tc>
          <w:tcPr>
            <w:tcW w:w="15134" w:type="dxa"/>
          </w:tcPr>
          <w:p w14:paraId="1AB31B97" w14:textId="06F1B7CD" w:rsidR="006C68B8" w:rsidRDefault="00822F3A">
            <w:pPr>
              <w:jc w:val="both"/>
              <w:rPr>
                <w:iCs/>
                <w:szCs w:val="22"/>
              </w:rPr>
            </w:pPr>
            <w:r w:rsidRPr="00B263E2">
              <w:rPr>
                <w:iCs/>
                <w:szCs w:val="22"/>
              </w:rPr>
              <w:t>1</w:t>
            </w:r>
            <w:r w:rsidR="00B263E2" w:rsidRPr="00B263E2">
              <w:rPr>
                <w:iCs/>
                <w:szCs w:val="22"/>
              </w:rPr>
              <w:t>6</w:t>
            </w:r>
            <w:r w:rsidRPr="00B263E2">
              <w:rPr>
                <w:iCs/>
                <w:szCs w:val="22"/>
              </w:rPr>
              <w:t xml:space="preserve">.1. </w:t>
            </w:r>
            <w:r>
              <w:rPr>
                <w:iCs/>
                <w:szCs w:val="22"/>
              </w:rPr>
              <w:t>Tinkamos finansuoti išlaidos apima:</w:t>
            </w:r>
          </w:p>
          <w:p w14:paraId="643642E0" w14:textId="5A4A2624" w:rsidR="006C68B8" w:rsidRDefault="00822F3A">
            <w:pPr>
              <w:jc w:val="both"/>
              <w:rPr>
                <w:iCs/>
                <w:szCs w:val="22"/>
              </w:rPr>
            </w:pPr>
            <w:r>
              <w:rPr>
                <w:iCs/>
                <w:szCs w:val="22"/>
              </w:rPr>
              <w:t>1</w:t>
            </w:r>
            <w:r w:rsidR="00B263E2">
              <w:rPr>
                <w:iCs/>
                <w:szCs w:val="22"/>
              </w:rPr>
              <w:t>6</w:t>
            </w:r>
            <w:r>
              <w:rPr>
                <w:iCs/>
                <w:szCs w:val="22"/>
              </w:rPr>
              <w:t>.1.1. kvalifikacijos tobulinimo ir mokymų išlaidos; </w:t>
            </w:r>
          </w:p>
          <w:p w14:paraId="10B06F1C" w14:textId="24A06126" w:rsidR="006C68B8" w:rsidRDefault="00822F3A">
            <w:pPr>
              <w:jc w:val="both"/>
              <w:rPr>
                <w:iCs/>
                <w:szCs w:val="22"/>
              </w:rPr>
            </w:pPr>
            <w:r>
              <w:rPr>
                <w:iCs/>
                <w:szCs w:val="22"/>
              </w:rPr>
              <w:t>1</w:t>
            </w:r>
            <w:r w:rsidR="00B263E2">
              <w:rPr>
                <w:iCs/>
                <w:szCs w:val="22"/>
              </w:rPr>
              <w:t>6</w:t>
            </w:r>
            <w:r>
              <w:rPr>
                <w:iCs/>
                <w:szCs w:val="22"/>
              </w:rPr>
              <w:t>.1.2. vadovėlių, gamtos ir visuomeninių mokslų praktinio NMPP išbandymui skirtos įrangos įsigijimo išlaidos;</w:t>
            </w:r>
          </w:p>
          <w:p w14:paraId="5BA32F94" w14:textId="36A63ACD" w:rsidR="006C68B8" w:rsidRDefault="00822F3A">
            <w:pPr>
              <w:jc w:val="both"/>
              <w:rPr>
                <w:iCs/>
                <w:szCs w:val="22"/>
              </w:rPr>
            </w:pPr>
            <w:r>
              <w:rPr>
                <w:iCs/>
                <w:szCs w:val="22"/>
              </w:rPr>
              <w:t>1</w:t>
            </w:r>
            <w:r w:rsidR="00B263E2">
              <w:rPr>
                <w:iCs/>
                <w:szCs w:val="22"/>
              </w:rPr>
              <w:t>6</w:t>
            </w:r>
            <w:r>
              <w:rPr>
                <w:iCs/>
                <w:szCs w:val="22"/>
              </w:rPr>
              <w:t>.1.3. išlaidos švietimo ekspertų paslaugoms; </w:t>
            </w:r>
          </w:p>
          <w:p w14:paraId="1E6539A1" w14:textId="56452162" w:rsidR="006C68B8" w:rsidRDefault="00822F3A">
            <w:pPr>
              <w:jc w:val="both"/>
              <w:rPr>
                <w:iCs/>
                <w:szCs w:val="22"/>
              </w:rPr>
            </w:pPr>
            <w:r>
              <w:rPr>
                <w:iCs/>
                <w:szCs w:val="22"/>
              </w:rPr>
              <w:lastRenderedPageBreak/>
              <w:t>1</w:t>
            </w:r>
            <w:r w:rsidR="00B263E2">
              <w:rPr>
                <w:iCs/>
                <w:szCs w:val="22"/>
              </w:rPr>
              <w:t>6</w:t>
            </w:r>
            <w:r>
              <w:rPr>
                <w:iCs/>
                <w:szCs w:val="22"/>
              </w:rPr>
              <w:t>.1.4. renginių organizavimo išlaidos; </w:t>
            </w:r>
          </w:p>
          <w:p w14:paraId="2C608871" w14:textId="71AAB11B" w:rsidR="006C68B8" w:rsidRDefault="00822F3A">
            <w:pPr>
              <w:jc w:val="both"/>
              <w:rPr>
                <w:iCs/>
                <w:szCs w:val="22"/>
              </w:rPr>
            </w:pPr>
            <w:r>
              <w:rPr>
                <w:iCs/>
                <w:szCs w:val="22"/>
              </w:rPr>
              <w:t>1</w:t>
            </w:r>
            <w:r w:rsidR="00B263E2">
              <w:rPr>
                <w:iCs/>
                <w:szCs w:val="22"/>
              </w:rPr>
              <w:t>6</w:t>
            </w:r>
            <w:r>
              <w:rPr>
                <w:iCs/>
                <w:szCs w:val="22"/>
              </w:rPr>
              <w:t>.1.5. darbo užmokesčio projekto veiklas vykdantiems darbuotojams išlaidos; </w:t>
            </w:r>
          </w:p>
          <w:p w14:paraId="0E5F1E50" w14:textId="4734E264" w:rsidR="006C68B8" w:rsidRDefault="00822F3A">
            <w:pPr>
              <w:jc w:val="both"/>
              <w:rPr>
                <w:iCs/>
                <w:szCs w:val="22"/>
              </w:rPr>
            </w:pPr>
            <w:r>
              <w:rPr>
                <w:iCs/>
                <w:szCs w:val="22"/>
              </w:rPr>
              <w:t>1</w:t>
            </w:r>
            <w:r w:rsidR="00B263E2">
              <w:rPr>
                <w:iCs/>
                <w:szCs w:val="22"/>
              </w:rPr>
              <w:t>6</w:t>
            </w:r>
            <w:r>
              <w:rPr>
                <w:iCs/>
                <w:szCs w:val="22"/>
              </w:rPr>
              <w:t>.1.6. projekto veikloms įgyvendinti būtinos įrangos nuomos išlaidos; </w:t>
            </w:r>
          </w:p>
          <w:p w14:paraId="721A8C92" w14:textId="272E14FA" w:rsidR="006C68B8" w:rsidRDefault="00822F3A">
            <w:pPr>
              <w:jc w:val="both"/>
              <w:rPr>
                <w:iCs/>
                <w:szCs w:val="22"/>
              </w:rPr>
            </w:pPr>
            <w:r>
              <w:rPr>
                <w:iCs/>
                <w:szCs w:val="22"/>
              </w:rPr>
              <w:t>1</w:t>
            </w:r>
            <w:r w:rsidR="00B263E2">
              <w:rPr>
                <w:iCs/>
                <w:szCs w:val="22"/>
              </w:rPr>
              <w:t>6</w:t>
            </w:r>
            <w:r>
              <w:rPr>
                <w:iCs/>
                <w:szCs w:val="22"/>
              </w:rPr>
              <w:t>.1.7. projekto veiklas vykdančių darbuotojų ir projekto veiklų dalyvių komandiruočių ir kelionių išlaidos;  </w:t>
            </w:r>
          </w:p>
          <w:p w14:paraId="7F8FAF00" w14:textId="103A4E87" w:rsidR="006C68B8" w:rsidRDefault="00822F3A">
            <w:pPr>
              <w:jc w:val="both"/>
              <w:rPr>
                <w:iCs/>
                <w:szCs w:val="22"/>
              </w:rPr>
            </w:pPr>
            <w:r>
              <w:rPr>
                <w:iCs/>
                <w:szCs w:val="22"/>
              </w:rPr>
              <w:t>1</w:t>
            </w:r>
            <w:r w:rsidR="00B263E2">
              <w:rPr>
                <w:iCs/>
                <w:szCs w:val="22"/>
              </w:rPr>
              <w:t>6</w:t>
            </w:r>
            <w:r>
              <w:rPr>
                <w:iCs/>
                <w:szCs w:val="22"/>
              </w:rPr>
              <w:t>.1.8. privalomų projektų matomumo ir informavimo apie projektus priemonių pagal PAFT 340 ir 341 punktus išlaidos</w:t>
            </w:r>
            <w:r w:rsidR="004E42B7">
              <w:rPr>
                <w:iCs/>
                <w:szCs w:val="22"/>
              </w:rPr>
              <w:t>;</w:t>
            </w:r>
          </w:p>
          <w:p w14:paraId="46399DD8" w14:textId="0C3B7B08" w:rsidR="006C68B8" w:rsidRDefault="00822F3A">
            <w:pPr>
              <w:jc w:val="both"/>
              <w:rPr>
                <w:iCs/>
                <w:szCs w:val="22"/>
              </w:rPr>
            </w:pPr>
            <w:r>
              <w:rPr>
                <w:iCs/>
                <w:szCs w:val="22"/>
              </w:rPr>
              <w:t>1</w:t>
            </w:r>
            <w:r w:rsidR="00B263E2">
              <w:rPr>
                <w:iCs/>
                <w:szCs w:val="22"/>
              </w:rPr>
              <w:t>6</w:t>
            </w:r>
            <w:r>
              <w:rPr>
                <w:iCs/>
                <w:szCs w:val="22"/>
              </w:rPr>
              <w:t>.1.9. papildomos PĮP numatytos projektų matomumo ir informavimo apie projektus priemonių išlaidos; </w:t>
            </w:r>
          </w:p>
          <w:p w14:paraId="2B693146" w14:textId="009C366F" w:rsidR="006C68B8" w:rsidRDefault="00822F3A">
            <w:pPr>
              <w:jc w:val="both"/>
              <w:rPr>
                <w:iCs/>
                <w:szCs w:val="22"/>
              </w:rPr>
            </w:pPr>
            <w:r>
              <w:rPr>
                <w:iCs/>
                <w:szCs w:val="22"/>
              </w:rPr>
              <w:t>1</w:t>
            </w:r>
            <w:r w:rsidR="00B263E2">
              <w:rPr>
                <w:iCs/>
                <w:szCs w:val="22"/>
              </w:rPr>
              <w:t>6</w:t>
            </w:r>
            <w:r>
              <w:rPr>
                <w:iCs/>
                <w:szCs w:val="22"/>
              </w:rPr>
              <w:t xml:space="preserve">.1.10. netiesioginės išlaidos ir išlaidos pagal fiksuotąsias projekto išlaidų normas, numatytos </w:t>
            </w:r>
            <w:r w:rsidRPr="003C7A7B">
              <w:rPr>
                <w:iCs/>
                <w:szCs w:val="22"/>
              </w:rPr>
              <w:t>Aprašo 1</w:t>
            </w:r>
            <w:r w:rsidR="00C65312" w:rsidRPr="003C7A7B">
              <w:rPr>
                <w:iCs/>
                <w:szCs w:val="22"/>
              </w:rPr>
              <w:t>7</w:t>
            </w:r>
            <w:r w:rsidRPr="003C7A7B">
              <w:rPr>
                <w:iCs/>
                <w:szCs w:val="22"/>
              </w:rPr>
              <w:t xml:space="preserve"> punkte</w:t>
            </w:r>
            <w:r>
              <w:rPr>
                <w:iCs/>
                <w:szCs w:val="22"/>
              </w:rPr>
              <w:t>; </w:t>
            </w:r>
          </w:p>
          <w:p w14:paraId="7D94210B" w14:textId="1E05BF7E" w:rsidR="006C68B8" w:rsidRDefault="00822F3A">
            <w:pPr>
              <w:jc w:val="both"/>
              <w:rPr>
                <w:iCs/>
                <w:szCs w:val="22"/>
              </w:rPr>
            </w:pPr>
            <w:r>
              <w:rPr>
                <w:iCs/>
                <w:szCs w:val="22"/>
              </w:rPr>
              <w:t>1</w:t>
            </w:r>
            <w:r w:rsidR="00B263E2">
              <w:rPr>
                <w:iCs/>
                <w:szCs w:val="22"/>
              </w:rPr>
              <w:t>6</w:t>
            </w:r>
            <w:r>
              <w:rPr>
                <w:iCs/>
                <w:szCs w:val="22"/>
              </w:rPr>
              <w:t>.1.11. kitos projekto veikloms įgyvendinti ir tikslams pasiekti būtinos ir pagrįstos išlaidos.</w:t>
            </w:r>
          </w:p>
          <w:p w14:paraId="36C4A24D" w14:textId="7C04A970" w:rsidR="006C68B8" w:rsidRDefault="00822F3A">
            <w:pPr>
              <w:jc w:val="both"/>
              <w:rPr>
                <w:iCs/>
                <w:szCs w:val="22"/>
              </w:rPr>
            </w:pPr>
            <w:r>
              <w:rPr>
                <w:iCs/>
                <w:szCs w:val="22"/>
              </w:rPr>
              <w:t>1</w:t>
            </w:r>
            <w:r w:rsidR="00B263E2">
              <w:rPr>
                <w:iCs/>
                <w:szCs w:val="22"/>
              </w:rPr>
              <w:t>6</w:t>
            </w:r>
            <w:r>
              <w:rPr>
                <w:iCs/>
                <w:szCs w:val="22"/>
              </w:rPr>
              <w:t>.2. Planuojamos išlaidos turi atitikti PAFT išdėstytus projektų išlaidoms taikomus reikalavimus.</w:t>
            </w:r>
          </w:p>
          <w:p w14:paraId="30932ED4" w14:textId="47917BFD" w:rsidR="006C68B8" w:rsidRDefault="00822F3A">
            <w:pPr>
              <w:jc w:val="both"/>
              <w:rPr>
                <w:iCs/>
                <w:szCs w:val="22"/>
              </w:rPr>
            </w:pPr>
            <w:r>
              <w:rPr>
                <w:iCs/>
                <w:szCs w:val="22"/>
              </w:rPr>
              <w:t>1</w:t>
            </w:r>
            <w:r w:rsidR="00B263E2">
              <w:rPr>
                <w:iCs/>
                <w:szCs w:val="22"/>
              </w:rPr>
              <w:t>6</w:t>
            </w:r>
            <w:r>
              <w:rPr>
                <w:iCs/>
                <w:szCs w:val="22"/>
              </w:rPr>
              <w:t>.3. Visos išlaidos turi būti pagrįstos ir būtinos projekto veikloms įgyvendinti ir tikslams pasiekti.</w:t>
            </w:r>
          </w:p>
          <w:p w14:paraId="1978401A" w14:textId="615EBAE6" w:rsidR="006C68B8" w:rsidRDefault="00822F3A">
            <w:pPr>
              <w:jc w:val="both"/>
              <w:rPr>
                <w:iCs/>
                <w:szCs w:val="22"/>
              </w:rPr>
            </w:pPr>
            <w:r>
              <w:rPr>
                <w:iCs/>
                <w:szCs w:val="22"/>
              </w:rPr>
              <w:t>1</w:t>
            </w:r>
            <w:r w:rsidR="00B263E2">
              <w:rPr>
                <w:iCs/>
                <w:szCs w:val="22"/>
              </w:rPr>
              <w:t>6</w:t>
            </w:r>
            <w:r>
              <w:rPr>
                <w:iCs/>
                <w:szCs w:val="22"/>
              </w:rPr>
              <w:t xml:space="preserve">.4. Projektų išlaidos gali būti patirtos iki projekto sutarties pasirašymo, jei tai neprieštarauja PAFT 294 punkto nuostatoms. </w:t>
            </w:r>
          </w:p>
          <w:p w14:paraId="353FEB0E" w14:textId="2AE1C168" w:rsidR="006C68B8" w:rsidRDefault="00822F3A">
            <w:pPr>
              <w:rPr>
                <w:szCs w:val="24"/>
                <w:lang w:eastAsia="lt-LT"/>
              </w:rPr>
            </w:pPr>
            <w:r>
              <w:rPr>
                <w:iCs/>
                <w:szCs w:val="22"/>
                <w:lang w:eastAsia="lt-LT"/>
              </w:rPr>
              <w:t>1</w:t>
            </w:r>
            <w:r w:rsidR="00B263E2">
              <w:rPr>
                <w:iCs/>
                <w:szCs w:val="22"/>
                <w:lang w:eastAsia="lt-LT"/>
              </w:rPr>
              <w:t>6</w:t>
            </w:r>
            <w:r>
              <w:rPr>
                <w:iCs/>
                <w:szCs w:val="22"/>
                <w:lang w:eastAsia="lt-LT"/>
              </w:rPr>
              <w:t xml:space="preserve">.5. </w:t>
            </w:r>
            <w:r>
              <w:rPr>
                <w:szCs w:val="24"/>
                <w:lang w:eastAsia="lt-LT"/>
              </w:rPr>
              <w:t>Projekto vykdytojui, vadovaujantis PAFT numatytomis sąlygomis, gali būti mokamas avansas</w:t>
            </w:r>
            <w:r>
              <w:rPr>
                <w:iCs/>
                <w:szCs w:val="22"/>
                <w:lang w:eastAsia="lt-LT"/>
              </w:rPr>
              <w:t>.</w:t>
            </w:r>
          </w:p>
        </w:tc>
      </w:tr>
    </w:tbl>
    <w:p w14:paraId="4870572C" w14:textId="77777777" w:rsidR="00463AC0" w:rsidRDefault="00463AC0"/>
    <w:p w14:paraId="2F5BC253" w14:textId="77777777" w:rsidR="00463AC0" w:rsidRPr="00463AC0" w:rsidRDefault="00463AC0" w:rsidP="00463AC0">
      <w:pPr>
        <w:jc w:val="center"/>
        <w:rPr>
          <w:b/>
        </w:rPr>
      </w:pPr>
      <w:r w:rsidRPr="00463AC0">
        <w:rPr>
          <w:b/>
        </w:rPr>
        <w:t>IV SKYRIUS</w:t>
      </w:r>
    </w:p>
    <w:p w14:paraId="0FD8F0A7" w14:textId="6E3AAEDC" w:rsidR="00463AC0" w:rsidRDefault="00463AC0" w:rsidP="00463AC0">
      <w:pPr>
        <w:jc w:val="center"/>
      </w:pPr>
      <w:r w:rsidRPr="00463AC0">
        <w:rPr>
          <w:b/>
        </w:rPr>
        <w:t>SUPAPRASTINTAI APMOKAMŲ IŠLAIDŲ DYDŽIAI</w:t>
      </w:r>
    </w:p>
    <w:p w14:paraId="3BE75F1D" w14:textId="77777777" w:rsidR="00463AC0" w:rsidRDefault="00463AC0"/>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C68B8" w14:paraId="3A8CA95B" w14:textId="77777777">
        <w:trPr>
          <w:trHeight w:val="349"/>
        </w:trPr>
        <w:tc>
          <w:tcPr>
            <w:tcW w:w="15134" w:type="dxa"/>
          </w:tcPr>
          <w:p w14:paraId="7AC033B5" w14:textId="13313CBF" w:rsidR="006C68B8" w:rsidRDefault="00822F3A">
            <w:pPr>
              <w:jc w:val="both"/>
              <w:rPr>
                <w:szCs w:val="24"/>
              </w:rPr>
            </w:pPr>
            <w:r>
              <w:rPr>
                <w:b/>
                <w:szCs w:val="24"/>
              </w:rPr>
              <w:t>1</w:t>
            </w:r>
            <w:r w:rsidR="00463AC0">
              <w:rPr>
                <w:b/>
                <w:szCs w:val="24"/>
              </w:rPr>
              <w:t>7</w:t>
            </w:r>
            <w:r>
              <w:rPr>
                <w:b/>
                <w:szCs w:val="24"/>
              </w:rPr>
              <w:t>.</w:t>
            </w:r>
            <w:r>
              <w:rPr>
                <w:szCs w:val="24"/>
              </w:rPr>
              <w:t xml:space="preserve"> </w:t>
            </w:r>
            <w:r>
              <w:rPr>
                <w:b/>
                <w:szCs w:val="24"/>
              </w:rPr>
              <w:t xml:space="preserve">Projektų veiklų </w:t>
            </w:r>
            <w:r w:rsidRPr="00EE41A0">
              <w:rPr>
                <w:b/>
                <w:szCs w:val="24"/>
              </w:rPr>
              <w:t xml:space="preserve">ir jungtinio projekto projektų </w:t>
            </w:r>
            <w:r>
              <w:rPr>
                <w:b/>
                <w:szCs w:val="24"/>
              </w:rPr>
              <w:t>įgyvendinimui taikomi supaprastintai apmokamų išlaidų dydžiai</w:t>
            </w:r>
          </w:p>
        </w:tc>
      </w:tr>
      <w:tr w:rsidR="006C68B8" w14:paraId="6BAAFE6F" w14:textId="77777777">
        <w:tc>
          <w:tcPr>
            <w:tcW w:w="15134" w:type="dxa"/>
          </w:tcPr>
          <w:p w14:paraId="4149D29D" w14:textId="010FB431" w:rsidR="00866E3D" w:rsidRPr="00866E3D" w:rsidRDefault="00866E3D" w:rsidP="00866E3D">
            <w:pPr>
              <w:overflowPunct w:val="0"/>
              <w:jc w:val="both"/>
              <w:textAlignment w:val="baseline"/>
              <w:rPr>
                <w:szCs w:val="24"/>
                <w:lang w:eastAsia="lt-LT"/>
              </w:rPr>
            </w:pPr>
            <w:r w:rsidRPr="00B263E2">
              <w:rPr>
                <w:szCs w:val="24"/>
                <w:lang w:eastAsia="lt-LT"/>
              </w:rPr>
              <w:t>1</w:t>
            </w:r>
            <w:r w:rsidR="00B263E2" w:rsidRPr="00B263E2">
              <w:rPr>
                <w:szCs w:val="24"/>
                <w:lang w:eastAsia="lt-LT"/>
              </w:rPr>
              <w:t>7</w:t>
            </w:r>
            <w:r w:rsidRPr="00B263E2">
              <w:rPr>
                <w:szCs w:val="24"/>
                <w:lang w:eastAsia="lt-LT"/>
              </w:rPr>
              <w:t xml:space="preserve">.1. </w:t>
            </w:r>
            <w:r w:rsidRPr="00866E3D">
              <w:rPr>
                <w:szCs w:val="24"/>
                <w:lang w:eastAsia="lt-LT"/>
              </w:rPr>
              <w:t>Supaprastintai apmokamos išlaidos yra tinkamos finansuoti, jei galimybė jas apmokėti supaprastintai iš anksto (iki projekto sutarties sudarymo) yra įtraukta į Supaprastintai apmokamų išlaidų dydžių registrą, skelbiamą ESFA interneto svetainės Metodinės pagalbos centro skiltyje „Metodinės pagalbos centras | Europos socialinio fondo agentūra“ (</w:t>
            </w:r>
            <w:proofErr w:type="spellStart"/>
            <w:r w:rsidRPr="00866E3D">
              <w:rPr>
                <w:szCs w:val="24"/>
                <w:lang w:eastAsia="lt-LT"/>
              </w:rPr>
              <w:t>esf.lt</w:t>
            </w:r>
            <w:proofErr w:type="spellEnd"/>
            <w:r w:rsidRPr="00866E3D">
              <w:rPr>
                <w:szCs w:val="24"/>
                <w:lang w:eastAsia="lt-LT"/>
              </w:rPr>
              <w:t>).</w:t>
            </w:r>
          </w:p>
          <w:p w14:paraId="4821A09C" w14:textId="27E358D3" w:rsidR="00866E3D" w:rsidRPr="00866E3D" w:rsidRDefault="00866E3D" w:rsidP="00866E3D">
            <w:pPr>
              <w:overflowPunct w:val="0"/>
              <w:jc w:val="both"/>
              <w:textAlignment w:val="baseline"/>
              <w:rPr>
                <w:szCs w:val="24"/>
                <w:lang w:eastAsia="lt-LT"/>
              </w:rPr>
            </w:pPr>
            <w:r w:rsidRPr="00866E3D">
              <w:rPr>
                <w:szCs w:val="24"/>
                <w:lang w:eastAsia="lt-LT"/>
              </w:rPr>
              <w:t>1</w:t>
            </w:r>
            <w:r w:rsidR="00B263E2">
              <w:rPr>
                <w:szCs w:val="24"/>
                <w:lang w:eastAsia="lt-LT"/>
              </w:rPr>
              <w:t>7</w:t>
            </w:r>
            <w:r w:rsidRPr="00866E3D">
              <w:rPr>
                <w:szCs w:val="24"/>
                <w:lang w:eastAsia="lt-LT"/>
              </w:rPr>
              <w:t xml:space="preserve">.2. Supaprastintai apmokamų išlaidų dydžiai gali būti įtraukti ir po projektų sutarčių pasirašymo nuo 2020 m. vasario 1 d. iki 2026 m. rugpjūčio 31 d. </w:t>
            </w:r>
            <w:r w:rsidR="00BA7702" w:rsidRPr="00866E3D">
              <w:rPr>
                <w:szCs w:val="24"/>
                <w:lang w:eastAsia="lt-LT"/>
              </w:rPr>
              <w:t>laikotarpiu</w:t>
            </w:r>
            <w:r w:rsidR="00BA7702">
              <w:rPr>
                <w:szCs w:val="24"/>
                <w:lang w:eastAsia="lt-LT"/>
              </w:rPr>
              <w:t>.</w:t>
            </w:r>
          </w:p>
          <w:p w14:paraId="4D1B56C4" w14:textId="7761CEFB" w:rsidR="00866E3D" w:rsidRDefault="00866E3D" w:rsidP="00866E3D">
            <w:pPr>
              <w:overflowPunct w:val="0"/>
              <w:jc w:val="both"/>
              <w:textAlignment w:val="baseline"/>
              <w:rPr>
                <w:szCs w:val="24"/>
                <w:lang w:eastAsia="lt-LT"/>
              </w:rPr>
            </w:pPr>
            <w:r w:rsidRPr="00866E3D">
              <w:rPr>
                <w:szCs w:val="24"/>
                <w:lang w:eastAsia="lt-LT"/>
              </w:rPr>
              <w:t>1</w:t>
            </w:r>
            <w:r w:rsidR="00B263E2">
              <w:rPr>
                <w:szCs w:val="24"/>
                <w:lang w:eastAsia="lt-LT"/>
              </w:rPr>
              <w:t>7</w:t>
            </w:r>
            <w:r w:rsidRPr="00866E3D">
              <w:rPr>
                <w:szCs w:val="24"/>
                <w:lang w:eastAsia="lt-LT"/>
              </w:rPr>
              <w:t>.3. 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3C48DB09" w14:textId="7B3A48FC" w:rsidR="00630D1C" w:rsidRDefault="00630D1C" w:rsidP="00866E3D">
            <w:pPr>
              <w:overflowPunct w:val="0"/>
              <w:jc w:val="both"/>
              <w:textAlignment w:val="baseline"/>
              <w:rPr>
                <w:szCs w:val="24"/>
                <w:lang w:eastAsia="lt-LT"/>
              </w:rPr>
            </w:pPr>
            <w:r w:rsidRPr="00630D1C">
              <w:rPr>
                <w:szCs w:val="24"/>
                <w:lang w:eastAsia="lt-LT"/>
              </w:rPr>
              <w:t xml:space="preserve">17.4. </w:t>
            </w:r>
            <w:r w:rsidRPr="00630D1C">
              <w:rPr>
                <w:bCs/>
                <w:szCs w:val="24"/>
                <w:lang w:eastAsia="lt-LT"/>
              </w:rPr>
              <w:t>Pagal Aprašą taikomi šie fiksuotieji dydžiai:</w:t>
            </w:r>
          </w:p>
          <w:tbl>
            <w:tblPr>
              <w:tblW w:w="14481" w:type="dxa"/>
              <w:tblLayout w:type="fixed"/>
              <w:tblCellMar>
                <w:left w:w="0" w:type="dxa"/>
                <w:right w:w="0" w:type="dxa"/>
              </w:tblCellMar>
              <w:tblLook w:val="04A0" w:firstRow="1" w:lastRow="0" w:firstColumn="1" w:lastColumn="0" w:noHBand="0" w:noVBand="1"/>
            </w:tblPr>
            <w:tblGrid>
              <w:gridCol w:w="2432"/>
              <w:gridCol w:w="1843"/>
              <w:gridCol w:w="1559"/>
              <w:gridCol w:w="2551"/>
              <w:gridCol w:w="6096"/>
            </w:tblGrid>
            <w:tr w:rsidR="00866E3D" w:rsidRPr="00866E3D" w14:paraId="4F7DAE05" w14:textId="77777777" w:rsidTr="00866E3D">
              <w:tc>
                <w:tcPr>
                  <w:tcW w:w="14481"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8AA574" w14:textId="77777777" w:rsidR="00463AC0" w:rsidRPr="003C7A7B" w:rsidRDefault="00866E3D" w:rsidP="003C7A7B">
                  <w:pPr>
                    <w:overflowPunct w:val="0"/>
                    <w:jc w:val="both"/>
                    <w:textAlignment w:val="baseline"/>
                    <w:rPr>
                      <w:szCs w:val="24"/>
                      <w:lang w:eastAsia="lt-LT"/>
                    </w:rPr>
                  </w:pPr>
                  <w:r w:rsidRPr="003C7A7B">
                    <w:rPr>
                      <w:rFonts w:ascii="Segoe UI Symbol" w:hAnsi="Segoe UI Symbol"/>
                      <w:b/>
                      <w:bCs/>
                      <w:sz w:val="22"/>
                      <w:szCs w:val="22"/>
                      <w:lang w:eastAsia="lt-LT"/>
                    </w:rPr>
                    <w:t>☐</w:t>
                  </w:r>
                  <w:r w:rsidRPr="003C7A7B">
                    <w:rPr>
                      <w:b/>
                      <w:bCs/>
                      <w:sz w:val="22"/>
                      <w:szCs w:val="22"/>
                      <w:lang w:eastAsia="lt-LT"/>
                    </w:rPr>
                    <w:t xml:space="preserve"> Indeksuojama</w:t>
                  </w:r>
                </w:p>
                <w:p w14:paraId="1F1DA633" w14:textId="3A9894A1" w:rsidR="00866E3D" w:rsidRPr="00866E3D" w:rsidRDefault="00866E3D" w:rsidP="003C7A7B">
                  <w:pPr>
                    <w:overflowPunct w:val="0"/>
                    <w:spacing w:after="100" w:afterAutospacing="1"/>
                    <w:jc w:val="both"/>
                    <w:textAlignment w:val="baseline"/>
                    <w:rPr>
                      <w:szCs w:val="24"/>
                      <w:lang w:eastAsia="lt-LT"/>
                    </w:rPr>
                  </w:pPr>
                  <w:r w:rsidRPr="003C7A7B">
                    <w:rPr>
                      <w:rFonts w:ascii="Segoe UI Symbol" w:hAnsi="Segoe UI Symbol"/>
                      <w:b/>
                      <w:bCs/>
                      <w:sz w:val="22"/>
                      <w:szCs w:val="22"/>
                      <w:lang w:eastAsia="lt-LT"/>
                    </w:rPr>
                    <w:t>☒</w:t>
                  </w:r>
                  <w:r w:rsidRPr="003C7A7B">
                    <w:rPr>
                      <w:b/>
                      <w:bCs/>
                      <w:sz w:val="22"/>
                      <w:szCs w:val="22"/>
                      <w:lang w:eastAsia="lt-LT"/>
                    </w:rPr>
                    <w:t xml:space="preserve"> Neindeksuojama</w:t>
                  </w:r>
                </w:p>
              </w:tc>
            </w:tr>
            <w:tr w:rsidR="00866E3D" w:rsidRPr="00866E3D" w14:paraId="7070C8C2"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89D833"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b/>
                      <w:bCs/>
                      <w:sz w:val="22"/>
                      <w:szCs w:val="22"/>
                      <w:lang w:eastAsia="lt-LT"/>
                    </w:rPr>
                    <w:t xml:space="preserve">Veiklos ir (ar) išlaidos, kurioms taikomi supaprastintai </w:t>
                  </w:r>
                  <w:r w:rsidRPr="00866E3D">
                    <w:rPr>
                      <w:b/>
                      <w:bCs/>
                      <w:sz w:val="22"/>
                      <w:szCs w:val="22"/>
                      <w:lang w:eastAsia="lt-LT"/>
                    </w:rPr>
                    <w:lastRenderedPageBreak/>
                    <w:t>apmokamų išlaidų dydžiai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7E2F5"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b/>
                      <w:bCs/>
                      <w:sz w:val="22"/>
                      <w:szCs w:val="22"/>
                      <w:lang w:eastAsia="lt-LT"/>
                    </w:rPr>
                    <w:lastRenderedPageBreak/>
                    <w:t>Supaprastintai apmokamų išlaidų dydžio kodas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AC751"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b/>
                      <w:bCs/>
                      <w:sz w:val="22"/>
                      <w:szCs w:val="22"/>
                      <w:lang w:eastAsia="lt-LT"/>
                    </w:rPr>
                    <w:t>Supaprastintai apmokamų išlaidų dydžio versija</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D4113"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b/>
                      <w:bCs/>
                      <w:sz w:val="22"/>
                      <w:szCs w:val="22"/>
                      <w:lang w:eastAsia="lt-LT"/>
                    </w:rPr>
                    <w:t>Supaprastintai apmokamų išlaidų dydžio pavadinimas</w:t>
                  </w:r>
                </w:p>
              </w:tc>
              <w:tc>
                <w:tcPr>
                  <w:tcW w:w="6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636CB"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b/>
                      <w:bCs/>
                      <w:sz w:val="22"/>
                      <w:szCs w:val="22"/>
                      <w:lang w:eastAsia="lt-LT"/>
                    </w:rPr>
                    <w:t>Papildoma informacija</w:t>
                  </w:r>
                </w:p>
              </w:tc>
            </w:tr>
            <w:tr w:rsidR="00866E3D" w:rsidRPr="00866E3D" w14:paraId="62393E61"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D2B177" w14:textId="77777777" w:rsidR="00866E3D" w:rsidRPr="00866E3D" w:rsidRDefault="00866E3D" w:rsidP="003C7A7B">
                  <w:pPr>
                    <w:overflowPunct w:val="0"/>
                    <w:spacing w:before="100" w:beforeAutospacing="1" w:after="100" w:afterAutospacing="1"/>
                    <w:jc w:val="center"/>
                    <w:textAlignment w:val="baseline"/>
                    <w:rPr>
                      <w:szCs w:val="24"/>
                      <w:lang w:eastAsia="lt-LT"/>
                    </w:rPr>
                  </w:pPr>
                  <w:r w:rsidRPr="00866E3D">
                    <w:rPr>
                      <w:sz w:val="22"/>
                      <w:szCs w:val="22"/>
                      <w:lang w:eastAsia="lt-LT"/>
                    </w:rPr>
                    <w:t>Netiesioginės išlaidos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AEEE6C9"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FN-01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A18B4F1"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60E24835"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Iki 7 proc. netiesioginių išlaidų fiksuotoji norma</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63F8FE1B"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Netiesioginės projekto išlaidos skaičiuojamos nuo tinkamų finansuoti tiesioginių projekto išlaidų.</w:t>
                  </w:r>
                </w:p>
              </w:tc>
            </w:tr>
            <w:tr w:rsidR="00866E3D" w:rsidRPr="00866E3D" w14:paraId="2D3AE396"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AF0A5"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Privalomoms projektų matomumo ir informavimo apie projektus priemonėms pagal PAFT 340 ir 341 punktus taikoma fiksuotoji suma (FS)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98EC8E1"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FS-01-02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5BD1888"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2630D79"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Įgyvendintų privalomų matomumo ir informavimo priemonių apie Europos Sąjungos fondų investicijų veiklas fiksuotoji suma, pirmojo rinkinio FS su PVM</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4D089C4B"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Fiksuotąją sumą sudaro visų pirmojo privalomų matomumo ir informavimo priemonių rinkinio išlaidos, kai:</w:t>
                  </w:r>
                </w:p>
                <w:p w14:paraId="5E60D212"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4367DACD"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0241B149"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c) visuomenei arba dalyviams skirtuose dokumentuose ir komunikacijos medžiagoje, susijusioje su veiksmo įgyvendinimu, gerai matomai pateiktas pareiškimas, kuriame akcentuojama gaunama ES parama.</w:t>
                  </w:r>
                </w:p>
              </w:tc>
            </w:tr>
            <w:tr w:rsidR="00866E3D" w:rsidRPr="00866E3D" w14:paraId="154ECF8F"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39AF76"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Privalomoms projektų matomumo ir informavimo apie projektus priemonėms pagal PAFT 340 ir 341 punktus taikoma fiksuotoji suma (FS) be PVM</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B0D14AB"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FS-01-01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FDE8C96"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67C40D43"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Įgyvendintų privalomų matomumo ir informavimo priemonių apie Europos Sąjungos fondų investicijų veiklas fiksuotoji suma, pirmojo rinkinio FS be PVM</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673DBB13"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Fiksuotąją sumą sudaro visų pirmojo privalomų matomumo ir informavimo priemonių rinkinio išlaidos, kai:</w:t>
                  </w:r>
                </w:p>
                <w:p w14:paraId="463EABC8"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6D50F65D"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lastRenderedPageBreak/>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56083E67"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c) visuomenei arba dalyviams skirtuose dokumentuose ir komunikacijos medžiagoje, susijusioje su veiksmo įgyvendinimu, gerai matomai pateiktas pareiškimas, kuriame akcentuojama gaunama ES parama.</w:t>
                  </w:r>
                </w:p>
              </w:tc>
            </w:tr>
            <w:tr w:rsidR="00866E3D" w:rsidRPr="00866E3D" w14:paraId="7A87E64E"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D6822"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lastRenderedPageBreak/>
                    <w:t>Projektą vykdančio personalo darbo užmokesčio išlaidų dalis per mėnesį, skirta kasmetinėms atostogoms, kuri apskaičiuojama nuo tinkamų finansuoti faktiškai patirtų darbo užmokesčio išlaidų už faktiškai dirbtą laiką (8,63 proc.)</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510A941"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FN-05-01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B3A18B3"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ED26F0F"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Fiksuotoji norma taikoma, kai priklauso 20 darbo dienų (toliau – d. d.) (jeigu dirbama 5 d. d. per savaitę) arba 24 d. d. (jeigu dirbama 6 d. d. per savaitę) kasmetinių atostogų</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39FB58BC"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Projektą vykdančio personalo darbo užmokesčio išlaidos už kasmetines atostogas, kurios apskaičiuojamos nuo tinkamų finansuoti faktiškai patirtų vykdančiojo personalo darbo užmokesčio išlaidų.</w:t>
                  </w:r>
                </w:p>
              </w:tc>
            </w:tr>
            <w:tr w:rsidR="00866E3D" w:rsidRPr="00866E3D" w14:paraId="2A02786B"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B3F83"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Darbo užmokesčio išlaidų dalis per mėnesį, skirta kasmetinėms atostogoms, kuri apskaičiuojama nuo tinkamų finansuoti faktiškai patirtų darbo užmokesčio išlaidų už faktiškai dirbtą laiką (10,44 proc.)</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0E06420"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FN-05-02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B6DE9CD"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2AF56EE"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Fiksuotoji norma taikoma, kai priklauso nuo 21 iki 25 d. d. (jeigu dirbama 5 d. d. per savaitę) arba nuo 25 iki 30 d. d. (jeigu dirbama 6 d. d. per savaitę) kasmetinių atostogų</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5BA6D33B"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Projektą vykdančio personalo darbo užmokesčio išlaidos už kasmetines atostogas, kurios apskaičiuojamos nuo tinkamų finansuoti faktiškai patirtų vykdančiojo personalo darbo užmokesčio išlaidų.</w:t>
                  </w:r>
                </w:p>
              </w:tc>
            </w:tr>
            <w:tr w:rsidR="00866E3D" w:rsidRPr="00866E3D" w14:paraId="13EA8959"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D26F9F"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 xml:space="preserve">Darbo užmokesčio išlaidų dalis per mėnesį, </w:t>
                  </w:r>
                  <w:r w:rsidRPr="00866E3D">
                    <w:rPr>
                      <w:sz w:val="22"/>
                      <w:szCs w:val="22"/>
                      <w:lang w:eastAsia="lt-LT"/>
                    </w:rPr>
                    <w:lastRenderedPageBreak/>
                    <w:t>skirta kasmetinėms atostogoms, kuri apskaičiuojama nuo tinkamų finansuoti faktiškai patirtų darbo užmokesčio išlaidų už faktiškai dirbtą laiką (12,35 proc.)</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310FCEF"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lastRenderedPageBreak/>
                    <w:t>FN-05-03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DC40BF5"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50B7325"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 xml:space="preserve">Fiksuotoji norma taikoma, kai priklauso nuo 26 iki </w:t>
                  </w:r>
                  <w:r w:rsidRPr="00866E3D">
                    <w:rPr>
                      <w:sz w:val="22"/>
                      <w:szCs w:val="22"/>
                      <w:lang w:eastAsia="lt-LT"/>
                    </w:rPr>
                    <w:lastRenderedPageBreak/>
                    <w:t>30 d. d. (jeigu dirbama 5 d. d. per savaitę) arba nuo 31 iki 36 d. d. (jeigu dirbama 6 d. d. per savaitę) kasmetinių atostogų</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134D34AD"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lastRenderedPageBreak/>
                    <w:t xml:space="preserve">Projektą vykdančio personalo darbo užmokesčio išlaidos už kasmetines atostogas, kurios apskaičiuojamos nuo tinkamų </w:t>
                  </w:r>
                  <w:r w:rsidRPr="00866E3D">
                    <w:rPr>
                      <w:sz w:val="22"/>
                      <w:szCs w:val="22"/>
                      <w:lang w:eastAsia="lt-LT"/>
                    </w:rPr>
                    <w:lastRenderedPageBreak/>
                    <w:t>finansuoti faktiškai patirtų vykdančiojo personalo darbo užmokesčio išlaidų.</w:t>
                  </w:r>
                </w:p>
              </w:tc>
            </w:tr>
            <w:tr w:rsidR="00866E3D" w:rsidRPr="00866E3D" w14:paraId="749FC701"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3CD29"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lastRenderedPageBreak/>
                    <w:t>Darbo užmokesčio išlaidų dalis per mėnesį, skirta kasmetinėms atostogoms, kuri apskaičiuojama nuo tinkamų finansuoti faktiškai patirtų darbo užmokesčio išlaidų už faktiškai dirbtą laiką (14,99 proc.)</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2026FB7"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FN-05-04</w:t>
                  </w:r>
                </w:p>
                <w:p w14:paraId="4284A6CF"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600192E"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CD2EC93"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Fiksuotoji norma taikoma, kai priklauso nuo 31 iki 36 d. d. (jeigu dirbama 5 d. d. per savaitę) arba nuo 37 iki 42 d. d. (jeigu dirbama 6 d. d. per savaitę) kasmetinių atostogų</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42CAAEC6"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Projektą vykdančio personalo darbo užmokesčio išlaidos už kasmetines atostogas, kurios apskaičiuojamos nuo tinkamų finansuoti faktiškai patirtų vykdančiojo personalo darbo užmokesčio išlaidų.</w:t>
                  </w:r>
                </w:p>
              </w:tc>
            </w:tr>
            <w:tr w:rsidR="00866E3D" w:rsidRPr="00866E3D" w14:paraId="20ABB209"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A272D7"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Darbo užmokesčio išlaidų dalis per mėnesį, skirta kasmetinėms atostogoms, kuri apskaičiuojama nuo tinkamų finansuoti faktiškai patirtų darbo užmokesčio išlaidų už faktiškai dirbtą laiką (17,25 proc.)</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31C7726"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FN-05-05</w:t>
                  </w:r>
                </w:p>
                <w:p w14:paraId="5613CCDD"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0A70EE1"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3F2AA5A"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Fiksuotoji norma, taikoma, kai priklauso nuo 37 iki 39 d. d. (jeigu dirbama 5 d. d. per savaitę) arba nuo 43 iki 47 d. d. (jeigu dirbama 6 d. d. per savaitę) kasmetinių atostogų</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7F7E05A6"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Projektą vykdančio personalo darbo užmokesčio išlaidos už kasmetines atostogas, kurios apskaičiuojamos nuo tinkamų finansuoti faktiškai patirtų vykdančiojo personalo darbo užmokesčio išlaidų.</w:t>
                  </w:r>
                </w:p>
              </w:tc>
            </w:tr>
            <w:tr w:rsidR="00866E3D" w:rsidRPr="00866E3D" w14:paraId="0432985D"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9B924"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 xml:space="preserve">Darbo užmokesčio išlaidų dalis per mėnesį, skirta kasmetinėms atostogoms, kuri apskaičiuojama nuo tinkamų finansuoti faktiškai patirtų darbo </w:t>
                  </w:r>
                  <w:r w:rsidRPr="00866E3D">
                    <w:rPr>
                      <w:sz w:val="22"/>
                      <w:szCs w:val="22"/>
                      <w:lang w:eastAsia="lt-LT"/>
                    </w:rPr>
                    <w:lastRenderedPageBreak/>
                    <w:t>užmokesčio išlaidų už faktiškai dirbtą laiką (18,89 proc.)</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CA08AEC"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lastRenderedPageBreak/>
                    <w:t>FN-05-06</w:t>
                  </w:r>
                </w:p>
                <w:p w14:paraId="75FE487D"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72FCB90"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FA1195F"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Fiksuotoji norma taikoma, kai priklauso 40 d. d. (jeigu dirbama 5 d. d. per savaitę) arba 48 d. d. (jeigu dirbama 6 d. d. per savaitę) kasmetinių atostogų</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225724FC"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Projektą vykdančio personalo darbo užmokesčio išlaidos už kasmetines atostogas, kurios apskaičiuojamos nuo tinkamų finansuoti faktiškai patirtų vykdančiojo personalo darbo užmokesčio išlaidų.</w:t>
                  </w:r>
                </w:p>
              </w:tc>
            </w:tr>
            <w:tr w:rsidR="00866E3D" w:rsidRPr="00866E3D" w14:paraId="7B810B5B"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BDFD5"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Darbo užmokesčio išlaidų dalis per mėnesį, skirta kasmetinėms atostogoms, kuri apskaičiuojama nuo tinkamų finansuoti faktiškai patirtų darbo užmokesčio išlaidų už faktiškai dirbtą laiką (20,02 proc.)</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696C31F"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FN-05-07</w:t>
                  </w:r>
                </w:p>
                <w:p w14:paraId="10C866D0"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31CF86D"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97356A6"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Fiksuotoji norma taikoma, kai priklauso nuo 41 d. d. (jeigu dirbama 5 d. d. per savaitę) arba nuo 49 d. d. (jeigu dirbama 6 d. d. per savaitę) kasmetinių atostogų</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18CFEB42"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Projektą vykdančio personalo darbo užmokesčio išlaidos už kasmetines atostogas, kurios apskaičiuojamos nuo tinkamų finansuoti faktiškai patirtų vykdančiojo personalo darbo užmokesčio išlaidų.</w:t>
                  </w:r>
                </w:p>
              </w:tc>
            </w:tr>
            <w:tr w:rsidR="00866E3D" w:rsidRPr="00866E3D" w14:paraId="282B9C0A"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D8DBC"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Tarpmiestinių kelionių Lietuvoje išlaidos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7531985"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FĮ-22-02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A06F44F"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67D7513D"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Kelionių išlaidų Lietuvoje fiksuotasis vieneto įkainis su PVM</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4A54897F"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 </w:t>
                  </w:r>
                </w:p>
              </w:tc>
            </w:tr>
            <w:tr w:rsidR="00866E3D" w:rsidRPr="00866E3D" w14:paraId="55CDE01C"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DE960"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Projekto dalyvio ir (arba) projektą vykdančio personalo kelionė į užsienį</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CBED521"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FĮ-57-01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00310E1"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0AB62EE"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Projekto dalyvio ir (arba) projektą vykdančio personalo kelionės į užsienį fiksuotasis vieneto įkainis, atsižvelgiant į kelionės atstumą, kai kelionės į vieną pusę atstumas neviršija 99 km</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49FEFA1C"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Fiksuotieji vieneto įkainiai taikomi projekto dalyvio ir (arba) projektą vykdančio personalo vieno asmens kelionės į užsienį, t. y. vykimo į užsienį ir grįžimo iš jo, išlaidoms.</w:t>
                  </w:r>
                </w:p>
              </w:tc>
            </w:tr>
            <w:tr w:rsidR="00866E3D" w:rsidRPr="00866E3D" w14:paraId="36889171"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B729B"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Projekto dalyvio ir (arba) projektą vykdančio personalo kelionė į užsienį</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6087561"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FĮ-57-02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D8BF89C"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DCD4194"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Projekto dalyvio ir (arba) projektą vykdančio personalo kelionės į užsienį fiksuotasis vieneto įkainis, atsižvelgiant į kelionės atstumą, kai kelionės į vieną pusę atstumas siekia nuo 100 km iki 499 km</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06599A7E"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Fiksuotieji vieneto įkainiai taikomi projekto dalyvio ir (arba) projektą vykdančio personalo vieno asmens kelionės į užsienį, t. y. vykimo į užsienį ir grįžimo iš jo, išlaidoms.</w:t>
                  </w:r>
                </w:p>
              </w:tc>
            </w:tr>
            <w:tr w:rsidR="00866E3D" w:rsidRPr="00866E3D" w14:paraId="14525281"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406256"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lastRenderedPageBreak/>
                    <w:t>Projekto dalyvio ir (arba) projektą vykdančio personalo kelionė į užsienį</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1093F41"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FĮ-57-03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ACC7B6D"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1A7E422"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Projekto dalyvio ir (arba) projektą vykdančio personalo kelionės į užsienį fiksuotasis vieneto įkainis, atsižvelgiant į kelionės atstumą, kai kelionės į vieną pusę atstumas siekia nuo 500 km iki 1 999 km</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40E7B688"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Fiksuotieji vieneto įkainiai taikomi projekto dalyvio ir (arba) projektą vykdančio personalo vieno asmens kelionės į užsienį, t. y. vykimo į užsienį ir grįžimo iš jo, išlaidoms.</w:t>
                  </w:r>
                </w:p>
              </w:tc>
            </w:tr>
            <w:tr w:rsidR="00866E3D" w:rsidRPr="00866E3D" w14:paraId="5CD3415E"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3E333"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Projekto dalyvio ir (arba) projektą vykdančio personalo kelionė į užsienį</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29FE82E"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FĮ-57-04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B9AFF94"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44BCCEC"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Projekto dalyvio ir (arba) projektą vykdančio personalo kelionės į užsienį fiksuotasis vieneto įkainis, atsižvelgiant į kelionės atstumą, kai kelionės į vieną pusę atstumas siekia nuo 2 000 km iki 2 999 km</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5B0152D3"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Fiksuotieji vieneto įkainiai taikomi projekto dalyvio ir (arba) projektą vykdančio personalo vieno asmens kelionės į užsienį, t. y. vykimo į užsienį ir grįžimo iš jo, išlaidoms.</w:t>
                  </w:r>
                </w:p>
              </w:tc>
            </w:tr>
            <w:tr w:rsidR="00866E3D" w:rsidRPr="00866E3D" w14:paraId="1FB9A43C"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7F8F63"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Projekto dalyvio ir (arba) projektą vykdančio personalo kelionė į užsienį</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BAC9371"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FĮ-57-05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6A14505"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63E1AB07"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Projekto dalyvio ir (arba) projektą vykdančio personalo kelionės į užsienį fiksuotasis vieneto įkainis, atsižvelgiant į kelionės atstumą, kai kelionės į vieną pusę atstumas siekia nuo 3 000 km iki 3 999 km</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636B200E"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Fiksuotieji vieneto įkainiai taikomi projekto dalyvio ir (arba) projektą vykdančio personalo vieno asmens kelionės į užsienį, t. y. vykimo į užsienį ir grįžimo iš jo, išlaidoms.</w:t>
                  </w:r>
                </w:p>
              </w:tc>
            </w:tr>
            <w:tr w:rsidR="00866E3D" w:rsidRPr="00866E3D" w14:paraId="4EE69141"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E61E6"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Projekto dalyvio ir (arba) projektą vykdančio personalo kelionė į užsienį</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15E6EB4"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FĮ-57-06</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EC9A112"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834F36D"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 xml:space="preserve">Projekto dalyvio ir (arba) projektą vykdančio personalo kelionės į užsienį fiksuotasis vieneto įkainis, atsižvelgiant į kelionės atstumą, kai kelionės į vieną pusę </w:t>
                  </w:r>
                  <w:r w:rsidRPr="00866E3D">
                    <w:rPr>
                      <w:sz w:val="22"/>
                      <w:szCs w:val="22"/>
                      <w:lang w:eastAsia="lt-LT"/>
                    </w:rPr>
                    <w:lastRenderedPageBreak/>
                    <w:t>atstumas siekia nuo 4 000 km iki 7 999 km</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626B714D"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lastRenderedPageBreak/>
                    <w:t>Fiksuotieji vieneto įkainiai taikomi projekto dalyvio ir (arba) projektą vykdančio personalo vieno asmens kelionės į užsienį, t. y. vykimo į užsienį ir grįžimo iš jo, išlaidoms.</w:t>
                  </w:r>
                </w:p>
              </w:tc>
            </w:tr>
            <w:tr w:rsidR="00866E3D" w:rsidRPr="00866E3D" w14:paraId="2CBEAFEC"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F553C"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Projekto dalyvio ir (arba) projektą vykdančio personalo kelionė į užsienį</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A55CAD8"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FĮ-57-07</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853979C"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9EC1F06"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Projekto dalyvio ir (arba) projektą vykdančio personalo kelionės į užsienį fiksuotasis vieneto įkainis, atsižvelgiant į kelionės atstumą, kai kelionės į vieną pusę atstumas siekia 8 000 km ir daugiau</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726F23D6"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Fiksuotieji vieneto įkainiai taikomi projekto dalyvio ir (arba) projektą vykdančio personalo vieno asmens kelionės į užsienį, t. y. vykimo į užsienį ir grįžimo iš jo, išlaidoms.</w:t>
                  </w:r>
                </w:p>
              </w:tc>
            </w:tr>
            <w:tr w:rsidR="00866E3D" w:rsidRPr="00866E3D" w14:paraId="7EC6D731"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FA8DB"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Projekto dalyvio ir (arba) projektą vykdančio personalo kelionė į užsienį</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8ADB546"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FĮ-57-08</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B0FFE7E"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FA30D3B"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Ekologiškų kelionių atveju projekto dalyvio ir (arba) projektą vykdančio personalo kelionės į užsienį fiksuotasis vieneto įkainis, atsižvelgiant į kelionės atstumą, kai kelionės į vieną pusę atstumas siekia nuo 100 km iki 499 km</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7D3F41A8"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Fiksuotieji vieneto įkainiai taikomi projekto dalyvio ir (arba) projektą vykdančio personalo vieno asmens kelionės į užsienį, t. y. vykimo į užsienį ir grįžimo iš jo, išlaidoms.</w:t>
                  </w:r>
                </w:p>
              </w:tc>
            </w:tr>
            <w:tr w:rsidR="00866E3D" w:rsidRPr="00866E3D" w14:paraId="26603A32"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A7B19"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Projekto dalyvio ir (arba) projektą vykdančio personalo kelionė į užsienį</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7913125"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FĮ-57-09</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81721B8"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A75826A"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Ekologiškų kelionių atveju projekto dalyvio ir (arba) projektą vykdančio personalo kelionės į užsienį fiksuotasis vieneto įkainis, atsižvelgiant į kelionės atstumą, kai kelionės į vieną pusę atstumas siekia nuo 500 km iki 1 999 km</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5918C591"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Fiksuotieji vieneto įkainiai taikomi projekto dalyvio ir (arba) projektą vykdančio personalo vieno asmens kelionės į užsienį, t. y. vykimo į užsienį ir grįžimo iš jo, išlaidoms.</w:t>
                  </w:r>
                </w:p>
              </w:tc>
            </w:tr>
            <w:tr w:rsidR="00866E3D" w:rsidRPr="00866E3D" w14:paraId="69A51CC4"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566EE"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Projekto dalyvio ir (arba) projektą vykdančio personalo kelionė į užsienį</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86A9F56"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FĮ-57-10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D6F8F24"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BD33D4F"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 xml:space="preserve">Ekologiškų kelionių atveju projekto dalyvio ir (arba) projektą vykdančio personalo kelionės į </w:t>
                  </w:r>
                  <w:r w:rsidRPr="00866E3D">
                    <w:rPr>
                      <w:sz w:val="22"/>
                      <w:szCs w:val="22"/>
                      <w:lang w:eastAsia="lt-LT"/>
                    </w:rPr>
                    <w:lastRenderedPageBreak/>
                    <w:t>užsienį fiksuotasis vieneto įkainis, atsižvelgiant į kelionės atstumą, kai kelionės į vieną pusę atstumas siekia nuo 2 000 km iki 2 999 km</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11E3C263"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lastRenderedPageBreak/>
                    <w:t>Fiksuotieji vieneto įkainiai taikomi projekto dalyvio ir (arba) projektą vykdančio personalo vieno asmens kelionės į užsienį, t. y. vykimo į užsienį ir grįžimo iš jo, išlaidoms.</w:t>
                  </w:r>
                </w:p>
              </w:tc>
            </w:tr>
            <w:tr w:rsidR="00866E3D" w:rsidRPr="00866E3D" w14:paraId="58699C94"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4D6C02"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Projekto dalyvio ir (arba) projektą vykdančio personalo kelionė į užsienį</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B357CA3"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FĮ-57-11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DFB796B"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36DCF9E"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Ekologiškų kelionių atveju projekto dalyvio ir (arba) projektą vykdančio personalo kelionės į užsienį fiksuotasis vieneto įkainis, atsižvelgiant į kelionės atstumą, kai kelionės į vieną pusę atstumas siekia nuo 3 000 km iki 3 999 km</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66C2C0C1"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Fiksuotieji vieneto įkainiai taikomi projekto dalyvio ir (arba) projektą vykdančio personalo vieno asmens kelionės į užsienį, t. y. vykimo į užsienį ir grįžimo iš jo, išlaidoms.</w:t>
                  </w:r>
                </w:p>
              </w:tc>
            </w:tr>
            <w:tr w:rsidR="00866E3D" w:rsidRPr="00866E3D" w14:paraId="6BC15A33"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8CC41" w14:textId="77777777" w:rsidR="00866E3D" w:rsidRPr="00866E3D" w:rsidRDefault="00866E3D" w:rsidP="00866E3D">
                  <w:pPr>
                    <w:spacing w:before="100" w:beforeAutospacing="1" w:after="100" w:afterAutospacing="1"/>
                    <w:jc w:val="center"/>
                    <w:rPr>
                      <w:szCs w:val="24"/>
                      <w:lang w:eastAsia="lt-LT"/>
                    </w:rPr>
                  </w:pPr>
                  <w:r w:rsidRPr="00866E3D">
                    <w:rPr>
                      <w:sz w:val="22"/>
                      <w:szCs w:val="22"/>
                      <w:lang w:eastAsia="lt-LT"/>
                    </w:rPr>
                    <w:t>Darbuotojo komandiruotė į užsienio valstybę (-</w:t>
                  </w:r>
                  <w:proofErr w:type="spellStart"/>
                  <w:r w:rsidRPr="00866E3D">
                    <w:rPr>
                      <w:sz w:val="22"/>
                      <w:szCs w:val="22"/>
                      <w:lang w:eastAsia="lt-LT"/>
                    </w:rPr>
                    <w:t>es</w:t>
                  </w:r>
                  <w:proofErr w:type="spellEnd"/>
                  <w:r w:rsidRPr="00866E3D">
                    <w:rPr>
                      <w:sz w:val="22"/>
                      <w:szCs w:val="22"/>
                      <w:lang w:eastAsia="lt-LT"/>
                    </w:rPr>
                    <w:t>)</w:t>
                  </w:r>
                </w:p>
                <w:p w14:paraId="74B0C86E"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D06169A"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FĮ-56-01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D9DE87D"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DECD562"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Darbuotojo vienos dienos, praleistos komandiruotėje, fiksuotasis vieneto įkainis (kai komandiruotė trunka dvi ir daugiau dienų), kai vykstama į šalį, nustatytą 1-oje šalių grupėje</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21C2DF81" w14:textId="77777777" w:rsidR="00866E3D" w:rsidRPr="00866E3D" w:rsidRDefault="00866E3D" w:rsidP="00866E3D">
                  <w:pPr>
                    <w:spacing w:before="100" w:beforeAutospacing="1" w:after="100" w:afterAutospacing="1"/>
                    <w:jc w:val="center"/>
                    <w:rPr>
                      <w:szCs w:val="24"/>
                      <w:lang w:eastAsia="lt-LT"/>
                    </w:rPr>
                  </w:pPr>
                  <w:r w:rsidRPr="00866E3D">
                    <w:rPr>
                      <w:sz w:val="22"/>
                      <w:szCs w:val="22"/>
                      <w:lang w:eastAsia="lt-LT"/>
                    </w:rPr>
                    <w:t>1 šalių grupė: Rumunija; Bulgarijos Respublika; Latvijos Respublika; Maltos Respublika; Kroatijos Respublika; Estijos Respublika; Lenkijos Respublika.</w:t>
                  </w:r>
                </w:p>
                <w:p w14:paraId="4C05159B" w14:textId="77777777" w:rsidR="00866E3D" w:rsidRPr="00866E3D" w:rsidRDefault="00866E3D" w:rsidP="00866E3D">
                  <w:pPr>
                    <w:spacing w:before="100" w:beforeAutospacing="1" w:after="100" w:afterAutospacing="1"/>
                    <w:jc w:val="center"/>
                    <w:rPr>
                      <w:szCs w:val="24"/>
                      <w:lang w:eastAsia="lt-LT"/>
                    </w:rPr>
                  </w:pPr>
                  <w:r w:rsidRPr="00866E3D">
                    <w:rPr>
                      <w:sz w:val="22"/>
                      <w:szCs w:val="22"/>
                      <w:lang w:eastAsia="lt-LT"/>
                    </w:rPr>
                    <w:t> </w:t>
                  </w:r>
                </w:p>
                <w:p w14:paraId="7A1AA88E"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 </w:t>
                  </w:r>
                </w:p>
              </w:tc>
            </w:tr>
            <w:tr w:rsidR="00866E3D" w:rsidRPr="00866E3D" w14:paraId="20EA6E20"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AE583A"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Darbuotojo komandiruotė į užsienio valstybę (-</w:t>
                  </w:r>
                  <w:proofErr w:type="spellStart"/>
                  <w:r w:rsidRPr="00866E3D">
                    <w:rPr>
                      <w:sz w:val="22"/>
                      <w:szCs w:val="22"/>
                      <w:lang w:eastAsia="lt-LT"/>
                    </w:rPr>
                    <w:t>es</w:t>
                  </w:r>
                  <w:proofErr w:type="spellEnd"/>
                  <w:r w:rsidRPr="00866E3D">
                    <w:rPr>
                      <w:sz w:val="22"/>
                      <w:szCs w:val="22"/>
                      <w:lang w:eastAsia="lt-LT"/>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27B9319"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FĮ-56-02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9C6DA75"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CB79312"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Darbuotojo vienos dienos, praleistos komandiruotėje, fiksuotasis vieneto įkainis (kai komandiruotė trunka dvi ir daugiau dienų), kai vykstama į šalį, nustatytą 2-oje šalių grupėje</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6991FED7"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2 šalių grupė: Graikijos Respublika; Portugalijos Respublika; Slovėnijos Respublika; Kipro Respublika; Vengrija; Slovakijos Respublika.</w:t>
                  </w:r>
                </w:p>
              </w:tc>
            </w:tr>
            <w:tr w:rsidR="00866E3D" w:rsidRPr="00866E3D" w14:paraId="22E26C9A"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F8A4E"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Darbuotojo komandiruotė į užsienio valstybę (-</w:t>
                  </w:r>
                  <w:proofErr w:type="spellStart"/>
                  <w:r w:rsidRPr="00866E3D">
                    <w:rPr>
                      <w:sz w:val="22"/>
                      <w:szCs w:val="22"/>
                      <w:lang w:eastAsia="lt-LT"/>
                    </w:rPr>
                    <w:t>es</w:t>
                  </w:r>
                  <w:proofErr w:type="spellEnd"/>
                  <w:r w:rsidRPr="00866E3D">
                    <w:rPr>
                      <w:sz w:val="22"/>
                      <w:szCs w:val="22"/>
                      <w:lang w:eastAsia="lt-LT"/>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9B9B386"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FĮ-56-03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428BF59"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A417E7E"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 xml:space="preserve">Darbuotojo vienos dienos, praleistos komandiruotėje, fiksuotasis vieneto įkainis (kai komandiruotė trunka dvi ir daugiau dienų), kai </w:t>
                  </w:r>
                  <w:r w:rsidRPr="00866E3D">
                    <w:rPr>
                      <w:sz w:val="22"/>
                      <w:szCs w:val="22"/>
                      <w:lang w:eastAsia="lt-LT"/>
                    </w:rPr>
                    <w:lastRenderedPageBreak/>
                    <w:t>vykstama į šalį, nustatytą 3-ioje šalių grupėje</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5D9E7459"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lastRenderedPageBreak/>
                    <w:t>3 šalių grupė: Nyderlandų Karalystė; Čekijos Respublika; Ispanijos Karalystė; Austrijos Respublika; Airija; Suomijos Respublika; Italijos Respublika; Prancūzijos Respublika; Vokietijos Federacinė Respublika; Belgijos Karalystė; Švedijos Karalystė.</w:t>
                  </w:r>
                </w:p>
              </w:tc>
            </w:tr>
            <w:tr w:rsidR="00866E3D" w:rsidRPr="00866E3D" w14:paraId="34B747D7"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D037F"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Darbuotojo komandiruotė į užsienio valstybę (-</w:t>
                  </w:r>
                  <w:proofErr w:type="spellStart"/>
                  <w:r w:rsidRPr="00866E3D">
                    <w:rPr>
                      <w:sz w:val="22"/>
                      <w:szCs w:val="22"/>
                      <w:lang w:eastAsia="lt-LT"/>
                    </w:rPr>
                    <w:t>es</w:t>
                  </w:r>
                  <w:proofErr w:type="spellEnd"/>
                  <w:r w:rsidRPr="00866E3D">
                    <w:rPr>
                      <w:sz w:val="22"/>
                      <w:szCs w:val="22"/>
                      <w:lang w:eastAsia="lt-LT"/>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82BF7C6"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FĮ-56-04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9CD628F"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74AFCE9"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Darbuotojo vienos dienos, praleistos komandiruotėje, fiksuotasis vieneto įkainis (kai komandiruotė trunka dvi ir daugiau dienų), kai vykstama į šalį, nustatytą 4-oje šalių grupėje</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72D56550" w14:textId="77777777" w:rsidR="00866E3D" w:rsidRPr="00866E3D" w:rsidRDefault="00866E3D" w:rsidP="00866E3D">
                  <w:pPr>
                    <w:spacing w:before="100" w:beforeAutospacing="1" w:after="100" w:afterAutospacing="1"/>
                    <w:jc w:val="center"/>
                    <w:rPr>
                      <w:szCs w:val="24"/>
                      <w:lang w:eastAsia="lt-LT"/>
                    </w:rPr>
                  </w:pPr>
                  <w:r w:rsidRPr="00866E3D">
                    <w:rPr>
                      <w:sz w:val="22"/>
                      <w:szCs w:val="22"/>
                      <w:lang w:eastAsia="lt-LT"/>
                    </w:rPr>
                    <w:t>4 šalių grupė: Danijos Karalystė.</w:t>
                  </w:r>
                </w:p>
                <w:p w14:paraId="7F9C92C3"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 </w:t>
                  </w:r>
                </w:p>
              </w:tc>
            </w:tr>
            <w:tr w:rsidR="00866E3D" w:rsidRPr="00866E3D" w14:paraId="65177184"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BC677"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Darbuotojo komandiruotė į užsienio valstybę (-</w:t>
                  </w:r>
                  <w:proofErr w:type="spellStart"/>
                  <w:r w:rsidRPr="00866E3D">
                    <w:rPr>
                      <w:sz w:val="22"/>
                      <w:szCs w:val="22"/>
                      <w:lang w:eastAsia="lt-LT"/>
                    </w:rPr>
                    <w:t>es</w:t>
                  </w:r>
                  <w:proofErr w:type="spellEnd"/>
                  <w:r w:rsidRPr="00866E3D">
                    <w:rPr>
                      <w:sz w:val="22"/>
                      <w:szCs w:val="22"/>
                      <w:lang w:eastAsia="lt-LT"/>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409A862"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FĮ-56-05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18D99D6"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0535F3E"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Darbuotojo vienos dienos, praleistos komandiruotėje, fiksuotasis vieneto įkainis (kai komandiruotė trunka dvi ir daugiau dienų), kai vykstama į šalį, nustatytą 5-oje šalių grupėje</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19797F5A"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5 šalių grupė: Liuksemburgo Didžioji Hercogystė.</w:t>
                  </w:r>
                </w:p>
              </w:tc>
            </w:tr>
            <w:tr w:rsidR="00866E3D" w:rsidRPr="00866E3D" w14:paraId="38A1991F"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ACAA5"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Darbuotojo komandiruotė į užsienio valstybę (-</w:t>
                  </w:r>
                  <w:proofErr w:type="spellStart"/>
                  <w:r w:rsidRPr="00866E3D">
                    <w:rPr>
                      <w:sz w:val="22"/>
                      <w:szCs w:val="22"/>
                      <w:lang w:eastAsia="lt-LT"/>
                    </w:rPr>
                    <w:t>es</w:t>
                  </w:r>
                  <w:proofErr w:type="spellEnd"/>
                  <w:r w:rsidRPr="00866E3D">
                    <w:rPr>
                      <w:sz w:val="22"/>
                      <w:szCs w:val="22"/>
                      <w:lang w:eastAsia="lt-LT"/>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EED0B5C"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FĮ-56-06</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6D9A614"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6C54F6B"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Darbuotojo komandiruotės fiksuotasis vieneto įkainis (kai komandiruotė trunka vieną dieną), kai vykstama į šalį, nustatytą 6-oje grupėje</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2A8482FB"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6 grupė: Rumunija; Bulgarijos Respublika; Kroatijos Respublika; Latvijos Respublika.</w:t>
                  </w:r>
                </w:p>
              </w:tc>
            </w:tr>
            <w:tr w:rsidR="00866E3D" w:rsidRPr="00866E3D" w14:paraId="62FB2A73"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7C0E1C"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Darbuotojo komandiruotė į užsienio valstybę (-</w:t>
                  </w:r>
                  <w:proofErr w:type="spellStart"/>
                  <w:r w:rsidRPr="00866E3D">
                    <w:rPr>
                      <w:sz w:val="22"/>
                      <w:szCs w:val="22"/>
                      <w:lang w:eastAsia="lt-LT"/>
                    </w:rPr>
                    <w:t>es</w:t>
                  </w:r>
                  <w:proofErr w:type="spellEnd"/>
                  <w:r w:rsidRPr="00866E3D">
                    <w:rPr>
                      <w:sz w:val="22"/>
                      <w:szCs w:val="22"/>
                      <w:lang w:eastAsia="lt-LT"/>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4360576"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FĮ-56-07</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77C7009"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BE2DFF6"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Darbuotojo komandiruotės fiksuotasis vieneto įkainis (kai komandiruotė trunka vieną dieną), kai vykstama į šalį, nustatytą 7-oje grupėje</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29B6C047"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7 grupė: Estijos Respublika; Slovėnijos Respublika; Lenkijos Respublika; Vengrija; Čekijos Respublika; Slovakijos Respublika; Graikijos Respublika; Portugalijos Respublika.</w:t>
                  </w:r>
                </w:p>
              </w:tc>
            </w:tr>
            <w:tr w:rsidR="00866E3D" w:rsidRPr="00866E3D" w14:paraId="00D98587"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9862A1"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Darbuotojo komandiruotė į užsienio valstybę (-</w:t>
                  </w:r>
                  <w:proofErr w:type="spellStart"/>
                  <w:r w:rsidRPr="00866E3D">
                    <w:rPr>
                      <w:sz w:val="22"/>
                      <w:szCs w:val="22"/>
                      <w:lang w:eastAsia="lt-LT"/>
                    </w:rPr>
                    <w:t>es</w:t>
                  </w:r>
                  <w:proofErr w:type="spellEnd"/>
                  <w:r w:rsidRPr="00866E3D">
                    <w:rPr>
                      <w:sz w:val="22"/>
                      <w:szCs w:val="22"/>
                      <w:lang w:eastAsia="lt-LT"/>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90CA70F"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FĮ-56-08</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571CBDC"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9A66F7F"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 xml:space="preserve">Darbuotojo komandiruotės fiksuotasis vieneto įkainis (kai komandiruotė trunka vieną dieną), kai </w:t>
                  </w:r>
                  <w:r w:rsidRPr="00866E3D">
                    <w:rPr>
                      <w:sz w:val="22"/>
                      <w:szCs w:val="22"/>
                      <w:lang w:eastAsia="lt-LT"/>
                    </w:rPr>
                    <w:lastRenderedPageBreak/>
                    <w:t>vykstama į šalį, nustatytą 8-oje grupėje</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211013EF"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lastRenderedPageBreak/>
                    <w:t>8 grupė: Ispanijos Karalystė; Maltos Respublika; Belgijos Karalystė; Liuksemburgo Didžioji Hercogystė; Kipro Respublika; Vokietijos Federacinė Respublika; Austrijos Respublika; Italijos Respublika; Prancūzijos Respublika; Nyderlandų Karalystė; Švedijos Karalystė.</w:t>
                  </w:r>
                </w:p>
              </w:tc>
            </w:tr>
            <w:tr w:rsidR="00866E3D" w:rsidRPr="00866E3D" w14:paraId="569C23D9"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44D62"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Darbuotojo komandiruotė į užsienio valstybę (-</w:t>
                  </w:r>
                  <w:proofErr w:type="spellStart"/>
                  <w:r w:rsidRPr="00866E3D">
                    <w:rPr>
                      <w:sz w:val="22"/>
                      <w:szCs w:val="22"/>
                      <w:lang w:eastAsia="lt-LT"/>
                    </w:rPr>
                    <w:t>es</w:t>
                  </w:r>
                  <w:proofErr w:type="spellEnd"/>
                  <w:r w:rsidRPr="00866E3D">
                    <w:rPr>
                      <w:sz w:val="22"/>
                      <w:szCs w:val="22"/>
                      <w:lang w:eastAsia="lt-LT"/>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8796B10"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FĮ-56-09</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50D2E93"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5C092D3"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Darbuotojo komandiruotės fiksuotasis vieneto įkainis (kai komandiruotė trunka vieną dieną), kai vykstama į šalį, nustatytą 9-oje grupėje</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67CD5ED3" w14:textId="77777777" w:rsidR="00866E3D" w:rsidRPr="00866E3D" w:rsidRDefault="00866E3D" w:rsidP="00866E3D">
                  <w:pPr>
                    <w:spacing w:before="100" w:beforeAutospacing="1" w:after="100" w:afterAutospacing="1"/>
                    <w:jc w:val="center"/>
                    <w:rPr>
                      <w:szCs w:val="24"/>
                      <w:lang w:eastAsia="lt-LT"/>
                    </w:rPr>
                  </w:pPr>
                  <w:r w:rsidRPr="00866E3D">
                    <w:rPr>
                      <w:sz w:val="22"/>
                      <w:szCs w:val="22"/>
                      <w:lang w:eastAsia="lt-LT"/>
                    </w:rPr>
                    <w:t>9 grupė: Airija; Suomijos Respublika.</w:t>
                  </w:r>
                </w:p>
                <w:p w14:paraId="4CBBAB01"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 </w:t>
                  </w:r>
                </w:p>
              </w:tc>
            </w:tr>
            <w:tr w:rsidR="00866E3D" w:rsidRPr="00866E3D" w14:paraId="2C7213CC"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8178B"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Darbuotojo komandiruotė į užsienio valstybę (-</w:t>
                  </w:r>
                  <w:proofErr w:type="spellStart"/>
                  <w:r w:rsidRPr="00866E3D">
                    <w:rPr>
                      <w:sz w:val="22"/>
                      <w:szCs w:val="22"/>
                      <w:lang w:eastAsia="lt-LT"/>
                    </w:rPr>
                    <w:t>es</w:t>
                  </w:r>
                  <w:proofErr w:type="spellEnd"/>
                  <w:r w:rsidRPr="00866E3D">
                    <w:rPr>
                      <w:sz w:val="22"/>
                      <w:szCs w:val="22"/>
                      <w:lang w:eastAsia="lt-LT"/>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A4C15ED"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FĮ-56-10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3F1E42F"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1CBDD08"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Darbuotojo komandiruotės fiksuotasis vieneto įkainis (kai komandiruotė trunka vieną dieną), kai vykstama į šalį, nustatytą 10-oje grupėje</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24EB3C6C" w14:textId="77777777" w:rsidR="00866E3D" w:rsidRPr="00866E3D" w:rsidRDefault="00866E3D" w:rsidP="00866E3D">
                  <w:pPr>
                    <w:spacing w:before="100" w:beforeAutospacing="1" w:after="100" w:afterAutospacing="1"/>
                    <w:jc w:val="center"/>
                    <w:rPr>
                      <w:szCs w:val="24"/>
                      <w:lang w:eastAsia="lt-LT"/>
                    </w:rPr>
                  </w:pPr>
                  <w:r w:rsidRPr="00866E3D">
                    <w:rPr>
                      <w:sz w:val="22"/>
                      <w:szCs w:val="22"/>
                      <w:lang w:eastAsia="lt-LT"/>
                    </w:rPr>
                    <w:t>10 grupė: Danijos Karalystė.</w:t>
                  </w:r>
                </w:p>
                <w:p w14:paraId="6F79BDC5"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 </w:t>
                  </w:r>
                </w:p>
              </w:tc>
            </w:tr>
            <w:tr w:rsidR="00866E3D" w:rsidRPr="00866E3D" w14:paraId="448AB4C9"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E3BDF"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Fiksuotasis vieneto įkainis, taikomas vadovėlio, parengto pagal atnaujintas bendrojo ugdymo bendrąsias programas, dalių įsigijimo išlaidoms padengti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2FBADC8"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FĮ-59-01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C46AE57"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E9B33E5"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Fiksuotasis vieneto įkainis už vadovėlio, parengto pagal atnaujintas bendrojo ugdymo bendrąsias programas, vienos dalies, skirtos pradiniam ugdymui, įsigijimą, kai vadovėlį sudaro iki 2 dalių imtinai, be PVM</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6322AE6F"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 </w:t>
                  </w:r>
                </w:p>
              </w:tc>
            </w:tr>
            <w:tr w:rsidR="00866E3D" w:rsidRPr="00866E3D" w14:paraId="69C8D3C0"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466268"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Fiksuotasis vieneto įkainis, taikomas vadovėlio, parengto pagal atnaujintas bendrojo ugdymo bendrąsias programas, dalių įsigijimo išlaidoms padengti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F39EC06"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FĮ-59-02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C207D84"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57C1AE8"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Fiksuotasis vieneto įkainis už vadovėlio, parengto pagal atnaujintas bendrojo ugdymo bendrąsias programas, vienos dalies, skirtos pradiniam ugdymui, įsigijimą, kai vadovėlį sudaro iki 2 dalių imtinai, su PVM</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5520E39D"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 </w:t>
                  </w:r>
                </w:p>
              </w:tc>
            </w:tr>
            <w:tr w:rsidR="00866E3D" w:rsidRPr="00866E3D" w14:paraId="54073E84"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706529"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lastRenderedPageBreak/>
                    <w:t>Fiksuotasis vieneto įkainis, taikomas vadovėlio, parengto pagal atnaujintas bendrojo ugdymo bendrąsias programas, dalių įsigijimo išlaidoms padengti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AE5ABC3"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FĮ-59-03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7FB37D4"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B99675A"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Fiksuotasis vieneto įkainis už vadovėlio, parengto pagal atnaujintas bendrojo ugdymo bendrąsias programas, vienos dalies, skirtos pradiniam ugdymui, įsigijimą, kai vadovėlį sudaro 3 dalys ir daugiau, be PVM</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571ECF65"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 </w:t>
                  </w:r>
                </w:p>
              </w:tc>
            </w:tr>
            <w:tr w:rsidR="00866E3D" w:rsidRPr="00866E3D" w14:paraId="71034B6A"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62C37"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Fiksuotasis vieneto įkainis, taikomas vadovėlio, parengto pagal atnaujintas bendrojo ugdymo bendrąsias programas, dalių įsigijimo išlaidoms padengti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30B00C9"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FĮ-59-04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82A11CF"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0FA1687"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Fiksuotasis vieneto įkainis už vadovėlio, parengto pagal atnaujintas bendrojo ugdymo bendrąsias programas, vienos dalies, skirtos pradiniam ugdymui, įsigijimą, kai vadovėlį sudaro 3 dalys ir daugiau, su PVM</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553F1B33"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 </w:t>
                  </w:r>
                </w:p>
              </w:tc>
            </w:tr>
            <w:tr w:rsidR="00866E3D" w:rsidRPr="00866E3D" w14:paraId="7DBF5247"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1242F"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Fiksuotasis vieneto įkainis, taikomas vadovėlio, parengto pagal atnaujintas bendrojo ugdymo bendrąsias programas, dalių įsigijimo išlaidoms padengti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D85F085"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FĮ-59-05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6690929"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6916AD9"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Fiksuotasis vieneto įkainis už vadovėlio, parengto pagal atnaujintas bendrojo ugdymo bendrąsias programas, vienos dalies, skirtos pagrindiniam ir viduriniam ugdymui, įsigijimą, be PVM</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03BCD18A" w14:textId="77777777" w:rsidR="00866E3D" w:rsidRPr="00866E3D" w:rsidRDefault="00866E3D" w:rsidP="00866E3D">
                  <w:pPr>
                    <w:overflowPunct w:val="0"/>
                    <w:spacing w:before="100" w:beforeAutospacing="1" w:after="100" w:afterAutospacing="1"/>
                    <w:jc w:val="both"/>
                    <w:textAlignment w:val="baseline"/>
                    <w:rPr>
                      <w:szCs w:val="24"/>
                      <w:lang w:eastAsia="lt-LT"/>
                    </w:rPr>
                  </w:pPr>
                  <w:r w:rsidRPr="00866E3D">
                    <w:rPr>
                      <w:sz w:val="22"/>
                      <w:szCs w:val="22"/>
                      <w:lang w:eastAsia="lt-LT"/>
                    </w:rPr>
                    <w:t> </w:t>
                  </w:r>
                </w:p>
              </w:tc>
            </w:tr>
            <w:tr w:rsidR="00866E3D" w:rsidRPr="00866E3D" w14:paraId="2008F44A" w14:textId="77777777" w:rsidTr="00866E3D">
              <w:tc>
                <w:tcPr>
                  <w:tcW w:w="2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6202"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Fiksuotasis vieneto įkainis, taikomas vadovėlio, parengto pagal atnaujintas bendrojo ugdymo bendrąsias programas, dalių įsigijimo išlaidoms padengti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BF0B614"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FĮ-59-06</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C85DE73"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01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6B3E308"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Fiksuotasis vieneto įkainis už vadovėlio, parengto pagal atnaujintas bendrojo ugdymo bendrąsias programas, vienos dalies, skirtos pagrindiniam ir viduriniam ugdymui, įsigijimą, su PVM“</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14:paraId="2E196A1F" w14:textId="77777777" w:rsidR="00866E3D" w:rsidRPr="00866E3D" w:rsidRDefault="00866E3D" w:rsidP="00866E3D">
                  <w:pPr>
                    <w:overflowPunct w:val="0"/>
                    <w:spacing w:before="100" w:beforeAutospacing="1" w:after="100" w:afterAutospacing="1"/>
                    <w:jc w:val="center"/>
                    <w:textAlignment w:val="baseline"/>
                    <w:rPr>
                      <w:szCs w:val="24"/>
                      <w:lang w:eastAsia="lt-LT"/>
                    </w:rPr>
                  </w:pPr>
                  <w:r w:rsidRPr="00866E3D">
                    <w:rPr>
                      <w:sz w:val="22"/>
                      <w:szCs w:val="22"/>
                      <w:lang w:eastAsia="lt-LT"/>
                    </w:rPr>
                    <w:t> </w:t>
                  </w:r>
                </w:p>
              </w:tc>
            </w:tr>
          </w:tbl>
          <w:p w14:paraId="4E13E0FC" w14:textId="77777777" w:rsidR="006C68B8" w:rsidRDefault="006C68B8">
            <w:pPr>
              <w:jc w:val="both"/>
              <w:rPr>
                <w:i/>
                <w:iCs/>
                <w:sz w:val="22"/>
                <w:szCs w:val="22"/>
              </w:rPr>
            </w:pPr>
          </w:p>
        </w:tc>
      </w:tr>
    </w:tbl>
    <w:p w14:paraId="19EFCED4" w14:textId="77777777" w:rsidR="006C68B8" w:rsidRDefault="006C68B8">
      <w:pPr>
        <w:rPr>
          <w:sz w:val="18"/>
          <w:szCs w:val="18"/>
        </w:rPr>
      </w:pPr>
    </w:p>
    <w:p w14:paraId="1FDE6113" w14:textId="77777777" w:rsidR="006C68B8" w:rsidRDefault="00822F3A" w:rsidP="00822F3A">
      <w:pPr>
        <w:spacing w:line="276" w:lineRule="auto"/>
        <w:jc w:val="center"/>
      </w:pPr>
      <w:r>
        <w:rPr>
          <w:rFonts w:eastAsia="Calibri"/>
          <w:szCs w:val="24"/>
        </w:rPr>
        <w:lastRenderedPageBreak/>
        <w:t>________________</w:t>
      </w:r>
    </w:p>
    <w:p w14:paraId="641C36F0" w14:textId="77777777" w:rsidR="00822F3A" w:rsidRDefault="00822F3A">
      <w:pPr>
        <w:ind w:left="9639"/>
        <w:jc w:val="both"/>
        <w:sectPr w:rsidR="00822F3A">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567" w:bottom="1134" w:left="1134" w:header="567" w:footer="567" w:gutter="0"/>
          <w:pgNumType w:start="1"/>
          <w:cols w:space="1296"/>
          <w:titlePg/>
          <w:docGrid w:linePitch="360"/>
        </w:sectPr>
      </w:pPr>
    </w:p>
    <w:p w14:paraId="29749325" w14:textId="77777777" w:rsidR="00822F3A" w:rsidRDefault="00822F3A">
      <w:pPr>
        <w:ind w:left="9639"/>
        <w:jc w:val="both"/>
        <w:rPr>
          <w:szCs w:val="24"/>
          <w:lang w:eastAsia="lt-LT"/>
        </w:rPr>
      </w:pPr>
      <w:r>
        <w:rPr>
          <w:szCs w:val="24"/>
          <w:lang w:eastAsia="lt-LT"/>
        </w:rPr>
        <w:lastRenderedPageBreak/>
        <w:t xml:space="preserve">4 priedo „2021–2030 m. plėtros programos valdytojos </w:t>
      </w:r>
    </w:p>
    <w:p w14:paraId="783DB2E0" w14:textId="77777777" w:rsidR="00822F3A" w:rsidRDefault="00822F3A">
      <w:pPr>
        <w:ind w:left="9639"/>
        <w:jc w:val="both"/>
        <w:rPr>
          <w:szCs w:val="24"/>
          <w:lang w:eastAsia="lt-LT"/>
        </w:rPr>
      </w:pPr>
      <w:r>
        <w:rPr>
          <w:szCs w:val="24"/>
          <w:lang w:eastAsia="lt-LT"/>
        </w:rPr>
        <w:t xml:space="preserve">Lietuvos Respublikos švietimo, mokslo ir sporto </w:t>
      </w:r>
    </w:p>
    <w:p w14:paraId="720443AB" w14:textId="77777777" w:rsidR="00822F3A" w:rsidRDefault="00822F3A">
      <w:pPr>
        <w:ind w:left="9639"/>
        <w:jc w:val="both"/>
        <w:rPr>
          <w:szCs w:val="24"/>
          <w:lang w:eastAsia="lt-LT"/>
        </w:rPr>
      </w:pPr>
      <w:r>
        <w:rPr>
          <w:szCs w:val="24"/>
          <w:lang w:eastAsia="lt-LT"/>
        </w:rPr>
        <w:t xml:space="preserve">ministerijos švietimo plėtros programos pažangos </w:t>
      </w:r>
    </w:p>
    <w:p w14:paraId="28A4E08C" w14:textId="77777777" w:rsidR="00822F3A" w:rsidRDefault="00822F3A">
      <w:pPr>
        <w:ind w:left="9639"/>
        <w:jc w:val="both"/>
        <w:rPr>
          <w:szCs w:val="24"/>
          <w:lang w:eastAsia="lt-LT"/>
        </w:rPr>
      </w:pPr>
      <w:r>
        <w:rPr>
          <w:szCs w:val="24"/>
          <w:lang w:eastAsia="lt-LT"/>
        </w:rPr>
        <w:t>priemonės Nr. 12-003-03-01-03 „Užtikrinti visiems</w:t>
      </w:r>
    </w:p>
    <w:p w14:paraId="58472437" w14:textId="77777777" w:rsidR="00822F3A" w:rsidRDefault="00822F3A">
      <w:pPr>
        <w:ind w:left="9639"/>
        <w:jc w:val="both"/>
        <w:rPr>
          <w:szCs w:val="24"/>
          <w:lang w:eastAsia="lt-LT"/>
        </w:rPr>
      </w:pPr>
      <w:r>
        <w:rPr>
          <w:szCs w:val="24"/>
          <w:lang w:eastAsia="lt-LT"/>
        </w:rPr>
        <w:t xml:space="preserve">prieinamą šiuolaikinį ugdymo turinį“ projektų </w:t>
      </w:r>
    </w:p>
    <w:p w14:paraId="3C452527" w14:textId="77777777" w:rsidR="006C68B8" w:rsidRDefault="00822F3A">
      <w:pPr>
        <w:ind w:left="9639"/>
        <w:jc w:val="both"/>
        <w:rPr>
          <w:szCs w:val="24"/>
          <w:lang w:eastAsia="lt-LT"/>
        </w:rPr>
      </w:pPr>
      <w:r>
        <w:rPr>
          <w:szCs w:val="24"/>
          <w:lang w:eastAsia="lt-LT"/>
        </w:rPr>
        <w:t>finansavimo sąlygų aprašo Nr. 4“</w:t>
      </w:r>
    </w:p>
    <w:p w14:paraId="43AF1479" w14:textId="77777777" w:rsidR="006C68B8" w:rsidRDefault="00822F3A">
      <w:pPr>
        <w:ind w:left="9639"/>
        <w:jc w:val="both"/>
        <w:rPr>
          <w:szCs w:val="24"/>
        </w:rPr>
      </w:pPr>
      <w:r>
        <w:rPr>
          <w:szCs w:val="24"/>
        </w:rPr>
        <w:t>priedas</w:t>
      </w:r>
    </w:p>
    <w:p w14:paraId="2EB12E7D" w14:textId="77777777" w:rsidR="006C68B8" w:rsidRDefault="006C68B8">
      <w:pPr>
        <w:jc w:val="center"/>
        <w:rPr>
          <w:i/>
          <w:iCs/>
          <w:szCs w:val="24"/>
        </w:rPr>
      </w:pPr>
    </w:p>
    <w:p w14:paraId="5E5144A7" w14:textId="77777777" w:rsidR="006C68B8" w:rsidRDefault="006C68B8">
      <w:pPr>
        <w:jc w:val="center"/>
        <w:rPr>
          <w:rFonts w:eastAsia="Calibri"/>
          <w:b/>
          <w:bCs/>
          <w:szCs w:val="24"/>
        </w:rPr>
      </w:pPr>
    </w:p>
    <w:p w14:paraId="6EC3B34D" w14:textId="77777777" w:rsidR="006C68B8" w:rsidRDefault="00822F3A">
      <w:pPr>
        <w:jc w:val="center"/>
        <w:rPr>
          <w:rFonts w:eastAsia="Calibri"/>
          <w:b/>
          <w:bCs/>
          <w:szCs w:val="24"/>
        </w:rPr>
      </w:pPr>
      <w:r>
        <w:rPr>
          <w:rFonts w:eastAsia="Calibri"/>
          <w:b/>
          <w:bCs/>
          <w:szCs w:val="24"/>
        </w:rPr>
        <w:t xml:space="preserve">PROJEKTO (ĮSKAITANT JUNGTINĮ PROJEKTĄ) ATITIKTIES REIKŠMINGOS ŽALOS NEDARYMO HORIZONTALIAJAM PRINCIPUI VERTINIMO REIKALAVIMŲ </w:t>
      </w:r>
      <w:r w:rsidRPr="000E7392">
        <w:rPr>
          <w:rFonts w:eastAsia="Calibri"/>
          <w:b/>
        </w:rPr>
        <w:t>APRAŠAS</w:t>
      </w:r>
    </w:p>
    <w:p w14:paraId="64C27BBE" w14:textId="77777777" w:rsidR="006C68B8" w:rsidRDefault="006C68B8">
      <w:pPr>
        <w:jc w:val="center"/>
        <w:rPr>
          <w:rFonts w:eastAsia="Calibri"/>
          <w:b/>
          <w:bCs/>
          <w:szCs w:val="24"/>
        </w:rPr>
      </w:pPr>
    </w:p>
    <w:p w14:paraId="14122216" w14:textId="0505C3F5" w:rsidR="006C68B8" w:rsidRDefault="00822F3A">
      <w:pPr>
        <w:spacing w:line="276" w:lineRule="auto"/>
        <w:jc w:val="both"/>
        <w:rPr>
          <w:rFonts w:eastAsia="Calibri"/>
          <w:bCs/>
          <w:szCs w:val="24"/>
        </w:rPr>
      </w:pPr>
      <w:r>
        <w:rPr>
          <w:rFonts w:eastAsia="Calibri"/>
          <w:bCs/>
          <w:szCs w:val="24"/>
        </w:rPr>
        <w:t>Finansavimo šaltinis, pagal kurį finansuojamas projektas:</w:t>
      </w:r>
    </w:p>
    <w:p w14:paraId="16B2555A" w14:textId="77777777" w:rsidR="006C68B8" w:rsidRDefault="00822F3A">
      <w:pPr>
        <w:spacing w:line="276" w:lineRule="auto"/>
        <w:jc w:val="both"/>
        <w:rPr>
          <w:rFonts w:eastAsia="Calibri"/>
          <w:bCs/>
          <w:szCs w:val="24"/>
        </w:rPr>
      </w:pPr>
      <w:r>
        <w:sym w:font="Wingdings 2" w:char="00A3"/>
      </w:r>
      <w:r>
        <w:t xml:space="preserve"> </w:t>
      </w:r>
      <w:r>
        <w:rPr>
          <w:rFonts w:eastAsia="Calibri"/>
          <w:bCs/>
          <w:szCs w:val="24"/>
        </w:rPr>
        <w:t>Ekonomikos gaivinimo ir atsparumo didinimo priemonė (toliau – EGADP)</w:t>
      </w:r>
    </w:p>
    <w:p w14:paraId="52810961" w14:textId="77777777" w:rsidR="006C68B8" w:rsidRDefault="00822F3A">
      <w:pPr>
        <w:spacing w:line="276" w:lineRule="auto"/>
        <w:jc w:val="both"/>
        <w:rPr>
          <w:rFonts w:eastAsia="Calibri"/>
          <w:bCs/>
          <w:szCs w:val="24"/>
        </w:rPr>
      </w:pPr>
      <w:r>
        <w:rPr>
          <w:rFonts w:ascii="MS Gothic" w:eastAsia="MS Gothic" w:hAnsi="MS Gothic"/>
        </w:rPr>
        <w:t>☒</w:t>
      </w:r>
      <w:r>
        <w:t xml:space="preserve"> Europos Sąjungos fondų i</w:t>
      </w:r>
      <w:r>
        <w:rPr>
          <w:rFonts w:eastAsia="Calibri"/>
          <w:bCs/>
          <w:szCs w:val="24"/>
        </w:rPr>
        <w:t>nvesticijų programa (toliau – ESIP)</w:t>
      </w:r>
    </w:p>
    <w:p w14:paraId="3B51A41B" w14:textId="77777777" w:rsidR="006C68B8" w:rsidRDefault="006C68B8">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633"/>
        <w:gridCol w:w="5331"/>
      </w:tblGrid>
      <w:tr w:rsidR="006C68B8" w14:paraId="75D1FC77" w14:textId="77777777">
        <w:tc>
          <w:tcPr>
            <w:tcW w:w="4885" w:type="dxa"/>
          </w:tcPr>
          <w:p w14:paraId="46117FCB" w14:textId="77777777" w:rsidR="006C68B8" w:rsidRDefault="00822F3A">
            <w:pPr>
              <w:jc w:val="center"/>
              <w:rPr>
                <w:rFonts w:eastAsia="Calibri"/>
                <w:b/>
                <w:szCs w:val="24"/>
              </w:rPr>
            </w:pPr>
            <w:r>
              <w:rPr>
                <w:rFonts w:eastAsia="Calibri"/>
                <w:b/>
                <w:szCs w:val="24"/>
              </w:rPr>
              <w:t>Aplinkos tikslai</w:t>
            </w:r>
          </w:p>
        </w:tc>
        <w:tc>
          <w:tcPr>
            <w:tcW w:w="4633" w:type="dxa"/>
            <w:tcBorders>
              <w:bottom w:val="single" w:sz="4" w:space="0" w:color="auto"/>
            </w:tcBorders>
          </w:tcPr>
          <w:p w14:paraId="28605C60" w14:textId="77777777" w:rsidR="006C68B8" w:rsidRDefault="00822F3A">
            <w:pPr>
              <w:jc w:val="center"/>
              <w:rPr>
                <w:rFonts w:eastAsia="Calibri"/>
                <w:b/>
                <w:szCs w:val="24"/>
              </w:rPr>
            </w:pPr>
            <w:r>
              <w:rPr>
                <w:rFonts w:eastAsia="Calibri"/>
                <w:b/>
                <w:szCs w:val="24"/>
              </w:rPr>
              <w:t>Su Europos Komisija suderintas pagrindimas</w:t>
            </w:r>
          </w:p>
        </w:tc>
        <w:tc>
          <w:tcPr>
            <w:tcW w:w="5331" w:type="dxa"/>
          </w:tcPr>
          <w:p w14:paraId="13C4893F" w14:textId="77777777" w:rsidR="006C68B8" w:rsidRDefault="00822F3A">
            <w:pPr>
              <w:jc w:val="center"/>
              <w:rPr>
                <w:rFonts w:eastAsia="Calibri"/>
                <w:i/>
                <w:sz w:val="20"/>
              </w:rPr>
            </w:pPr>
            <w:r>
              <w:rPr>
                <w:rFonts w:eastAsia="Calibri"/>
                <w:b/>
                <w:szCs w:val="24"/>
              </w:rPr>
              <w:t>Pagrindimo dokumentai</w:t>
            </w:r>
          </w:p>
        </w:tc>
      </w:tr>
      <w:tr w:rsidR="006C68B8" w14:paraId="73704172" w14:textId="77777777">
        <w:tc>
          <w:tcPr>
            <w:tcW w:w="4885" w:type="dxa"/>
            <w:tcBorders>
              <w:right w:val="single" w:sz="4" w:space="0" w:color="auto"/>
            </w:tcBorders>
          </w:tcPr>
          <w:p w14:paraId="13CF657B" w14:textId="77777777" w:rsidR="006C68B8" w:rsidRDefault="00822F3A">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33" w:type="dxa"/>
            <w:tcBorders>
              <w:top w:val="single" w:sz="4" w:space="0" w:color="auto"/>
              <w:left w:val="single" w:sz="4" w:space="0" w:color="auto"/>
              <w:bottom w:val="single" w:sz="4" w:space="0" w:color="auto"/>
              <w:right w:val="single" w:sz="4" w:space="0" w:color="auto"/>
            </w:tcBorders>
          </w:tcPr>
          <w:p w14:paraId="1674EA17" w14:textId="77777777" w:rsidR="006C68B8" w:rsidRDefault="00822F3A">
            <w:pPr>
              <w:jc w:val="both"/>
            </w:pPr>
            <w:r>
              <w:t xml:space="preserve">Bus investuojama į privalomojo ugdymo pradžios ankstinimą, adaptuojant, ikimokyklinio, priešmokyklinio ir pradinio ugdymo programas, turinį, metodus, taip skatinant ankstesnę ir didesnę </w:t>
            </w:r>
            <w:proofErr w:type="spellStart"/>
            <w:r>
              <w:t>įtrauktį</w:t>
            </w:r>
            <w:proofErr w:type="spellEnd"/>
            <w:r>
              <w:t xml:space="preserve"> į ikimokyklinį ugdymą kaimo vietovėse, numatant kompleksines priemones, didinant visuomenės ir bendruomenių įsitraukimą bei vykdant tėvų švietimą. Šie veiksmai (veiklos) (dėl savo pobūdžio) neturės jokio neigiamo tiesioginio ar netiesioginio poveikio klimato kaitos švelninimo tikslui, nes nenumatoma, kad įgyvendinant veiklas galėtų būti ŠESD išsiskyrimas.</w:t>
            </w:r>
          </w:p>
        </w:tc>
        <w:tc>
          <w:tcPr>
            <w:tcW w:w="5331" w:type="dxa"/>
            <w:tcBorders>
              <w:left w:val="single" w:sz="4" w:space="0" w:color="auto"/>
            </w:tcBorders>
          </w:tcPr>
          <w:p w14:paraId="1E4535FF" w14:textId="77777777" w:rsidR="006C68B8" w:rsidRDefault="00822F3A">
            <w:pPr>
              <w:jc w:val="both"/>
            </w:pPr>
            <w:r>
              <w:t>Netaikoma. Numatomos veiklos neturi neigiamo poveikio, todėl papildomi dokumentai neteikiami.</w:t>
            </w:r>
          </w:p>
          <w:p w14:paraId="60352F9B" w14:textId="77777777" w:rsidR="006C68B8" w:rsidRDefault="006C68B8">
            <w:pPr>
              <w:tabs>
                <w:tab w:val="left" w:pos="589"/>
              </w:tabs>
              <w:jc w:val="both"/>
              <w:rPr>
                <w:rFonts w:eastAsia="Calibri"/>
                <w:i/>
                <w:sz w:val="20"/>
              </w:rPr>
            </w:pPr>
          </w:p>
        </w:tc>
      </w:tr>
      <w:tr w:rsidR="006C68B8" w14:paraId="2246278D" w14:textId="77777777">
        <w:tc>
          <w:tcPr>
            <w:tcW w:w="4885" w:type="dxa"/>
            <w:tcBorders>
              <w:right w:val="single" w:sz="4" w:space="0" w:color="auto"/>
            </w:tcBorders>
          </w:tcPr>
          <w:p w14:paraId="348BA116" w14:textId="77777777" w:rsidR="006C68B8" w:rsidRDefault="00822F3A">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33" w:type="dxa"/>
            <w:tcBorders>
              <w:top w:val="single" w:sz="4" w:space="0" w:color="auto"/>
              <w:left w:val="single" w:sz="4" w:space="0" w:color="auto"/>
              <w:bottom w:val="single" w:sz="4" w:space="0" w:color="auto"/>
              <w:right w:val="single" w:sz="4" w:space="0" w:color="auto"/>
            </w:tcBorders>
          </w:tcPr>
          <w:p w14:paraId="6BAF8768" w14:textId="77777777" w:rsidR="006C68B8" w:rsidRDefault="00822F3A">
            <w:pPr>
              <w:jc w:val="both"/>
              <w:rPr>
                <w:szCs w:val="24"/>
              </w:rPr>
            </w:pPr>
            <w:r>
              <w:rPr>
                <w:color w:val="000000"/>
                <w:szCs w:val="24"/>
                <w:shd w:val="clear" w:color="auto" w:fill="FFFFFF"/>
              </w:rPr>
              <w:t xml:space="preserve">Bus investuojama į privalomojo ugdymo pradžios ankstinimą, adaptuojant, </w:t>
            </w:r>
            <w:r>
              <w:rPr>
                <w:color w:val="000000"/>
                <w:szCs w:val="24"/>
                <w:shd w:val="clear" w:color="auto" w:fill="FFFFFF"/>
              </w:rPr>
              <w:lastRenderedPageBreak/>
              <w:t xml:space="preserve">ikimokyklinio, priešmokyklinio ir pradinio ugdymo programas, turinį, metodus, taip skatinant ankstesnę ir didesnę </w:t>
            </w:r>
            <w:proofErr w:type="spellStart"/>
            <w:r>
              <w:rPr>
                <w:color w:val="000000"/>
                <w:szCs w:val="24"/>
                <w:shd w:val="clear" w:color="auto" w:fill="FFFFFF"/>
              </w:rPr>
              <w:t>įtrauktį</w:t>
            </w:r>
            <w:proofErr w:type="spellEnd"/>
            <w:r>
              <w:rPr>
                <w:color w:val="000000"/>
                <w:szCs w:val="24"/>
                <w:shd w:val="clear" w:color="auto" w:fill="FFFFFF"/>
              </w:rPr>
              <w:t xml:space="preserve"> į ikimokyklinį ugdymą kaimo vietovėse, numatant kompleksines priemones, didinant visuomenės ir bendruomenių įsitraukimą bei vykdant tėvų švietimą.</w:t>
            </w:r>
            <w:r>
              <w:rPr>
                <w:rFonts w:ascii="Calibri" w:hAnsi="Calibri" w:cs="Calibri"/>
                <w:color w:val="000000"/>
                <w:szCs w:val="24"/>
                <w:shd w:val="clear" w:color="auto" w:fill="FFFFFF"/>
              </w:rPr>
              <w:t xml:space="preserve"> </w:t>
            </w:r>
            <w:r>
              <w:rPr>
                <w:color w:val="000000"/>
                <w:szCs w:val="24"/>
                <w:shd w:val="clear" w:color="auto" w:fill="FFFFFF"/>
              </w:rPr>
              <w:t>Šie veiksmai (veiklos) (dėl savo pobūdžio) neturės jokio neigiamo tiesioginio ar netiesioginio poveikio prisitaikymo prie klimato kaitos tikslui,</w:t>
            </w:r>
            <w:r>
              <w:rPr>
                <w:rFonts w:ascii="Calibri" w:hAnsi="Calibri" w:cs="Calibri"/>
                <w:color w:val="000000"/>
                <w:szCs w:val="24"/>
                <w:shd w:val="clear" w:color="auto" w:fill="FFFFFF"/>
              </w:rPr>
              <w:t xml:space="preserve"> </w:t>
            </w:r>
            <w:r>
              <w:rPr>
                <w:color w:val="000000"/>
                <w:szCs w:val="24"/>
                <w:shd w:val="clear" w:color="auto" w:fill="FFFFFF"/>
              </w:rPr>
              <w:t>nes neplanuojamos kurti jokios infrastruktūros potvynių zonoje. </w:t>
            </w:r>
          </w:p>
        </w:tc>
        <w:tc>
          <w:tcPr>
            <w:tcW w:w="5331" w:type="dxa"/>
            <w:tcBorders>
              <w:left w:val="single" w:sz="4" w:space="0" w:color="auto"/>
            </w:tcBorders>
          </w:tcPr>
          <w:p w14:paraId="47EA8662" w14:textId="77777777" w:rsidR="006C68B8" w:rsidRDefault="00822F3A">
            <w:pPr>
              <w:jc w:val="both"/>
            </w:pPr>
            <w:r>
              <w:lastRenderedPageBreak/>
              <w:t>Netaikoma. Numatomos veiklos neturi neigiamo poveikio, todėl papildomi dokumentai neteikiami.</w:t>
            </w:r>
          </w:p>
          <w:p w14:paraId="0B324322" w14:textId="77777777" w:rsidR="006C68B8" w:rsidRDefault="006C68B8">
            <w:pPr>
              <w:jc w:val="both"/>
              <w:rPr>
                <w:rFonts w:eastAsia="Calibri"/>
                <w:b/>
                <w:szCs w:val="24"/>
              </w:rPr>
            </w:pPr>
          </w:p>
        </w:tc>
      </w:tr>
      <w:tr w:rsidR="006C68B8" w14:paraId="6B205A60" w14:textId="77777777">
        <w:tc>
          <w:tcPr>
            <w:tcW w:w="4885" w:type="dxa"/>
            <w:tcBorders>
              <w:right w:val="single" w:sz="4" w:space="0" w:color="auto"/>
            </w:tcBorders>
          </w:tcPr>
          <w:p w14:paraId="78680889" w14:textId="77777777" w:rsidR="006C68B8" w:rsidRDefault="00822F3A">
            <w:pPr>
              <w:tabs>
                <w:tab w:val="left" w:pos="289"/>
              </w:tabs>
              <w:ind w:firstLine="5"/>
              <w:jc w:val="both"/>
              <w:rPr>
                <w:rFonts w:eastAsia="Calibri"/>
                <w:szCs w:val="24"/>
              </w:rPr>
            </w:pPr>
            <w:r>
              <w:rPr>
                <w:rFonts w:eastAsia="Calibri"/>
                <w:szCs w:val="24"/>
              </w:rPr>
              <w:lastRenderedPageBreak/>
              <w:t>3.</w:t>
            </w:r>
            <w:r>
              <w:rPr>
                <w:rFonts w:eastAsia="Calibri"/>
                <w:szCs w:val="24"/>
              </w:rPr>
              <w:tab/>
              <w:t>Tausus vandens ir jūrų išteklių naudojimas ir apsauga</w:t>
            </w:r>
          </w:p>
        </w:tc>
        <w:tc>
          <w:tcPr>
            <w:tcW w:w="4633" w:type="dxa"/>
            <w:tcBorders>
              <w:top w:val="single" w:sz="4" w:space="0" w:color="auto"/>
              <w:left w:val="single" w:sz="4" w:space="0" w:color="auto"/>
              <w:bottom w:val="single" w:sz="4" w:space="0" w:color="auto"/>
              <w:right w:val="single" w:sz="4" w:space="0" w:color="auto"/>
            </w:tcBorders>
          </w:tcPr>
          <w:p w14:paraId="4A1C7870" w14:textId="77777777" w:rsidR="006C68B8" w:rsidRDefault="00822F3A">
            <w:pPr>
              <w:jc w:val="both"/>
              <w:rPr>
                <w:color w:val="000000"/>
                <w:sz w:val="22"/>
                <w:szCs w:val="22"/>
              </w:rPr>
            </w:pPr>
            <w:r>
              <w:t xml:space="preserve">Bus investuojama į privalomojo ugdymo pradžios ankstinimą, adaptuojant, ikimokyklinio, priešmokyklinio ir pradinio ugdymo programas, turinį, metodus, taip skatinant ankstesnę ir didesnę </w:t>
            </w:r>
            <w:proofErr w:type="spellStart"/>
            <w:r>
              <w:t>įtrauktį</w:t>
            </w:r>
            <w:proofErr w:type="spellEnd"/>
            <w:r>
              <w:t xml:space="preserve"> į ikimokyklinį ugdymą kaimo vietovėse, numatant kompleksines priemones, didinant visuomenės ir bendruomenių įsitraukimą bei vykdant tėvų švietimą. Šie veiksmai (veiklos) (dėl savo pobūdžio) neturės jokio neigiamo tiesioginio ir netiesioginio poveikio šiam aplinkos tikslui.</w:t>
            </w:r>
          </w:p>
        </w:tc>
        <w:tc>
          <w:tcPr>
            <w:tcW w:w="5331" w:type="dxa"/>
            <w:tcBorders>
              <w:left w:val="single" w:sz="4" w:space="0" w:color="auto"/>
            </w:tcBorders>
          </w:tcPr>
          <w:p w14:paraId="41454684" w14:textId="77777777" w:rsidR="006C68B8" w:rsidRDefault="00822F3A">
            <w:pPr>
              <w:jc w:val="both"/>
            </w:pPr>
            <w:r>
              <w:t>Netaikoma. Numatomos veiklos neturi neigiamo poveikio, todėl papildomi dokumentai neteikiami.</w:t>
            </w:r>
          </w:p>
          <w:p w14:paraId="19AF0A06" w14:textId="77777777" w:rsidR="006C68B8" w:rsidRDefault="006C68B8">
            <w:pPr>
              <w:jc w:val="both"/>
              <w:rPr>
                <w:rFonts w:eastAsia="Calibri"/>
                <w:bCs/>
                <w:szCs w:val="24"/>
              </w:rPr>
            </w:pPr>
          </w:p>
        </w:tc>
      </w:tr>
      <w:tr w:rsidR="006C68B8" w14:paraId="5DF9B740" w14:textId="77777777">
        <w:tc>
          <w:tcPr>
            <w:tcW w:w="4885" w:type="dxa"/>
            <w:tcBorders>
              <w:right w:val="single" w:sz="4" w:space="0" w:color="auto"/>
            </w:tcBorders>
          </w:tcPr>
          <w:p w14:paraId="5337F8AE" w14:textId="77777777" w:rsidR="006C68B8" w:rsidRDefault="00822F3A">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33" w:type="dxa"/>
            <w:tcBorders>
              <w:top w:val="single" w:sz="4" w:space="0" w:color="auto"/>
              <w:left w:val="single" w:sz="4" w:space="0" w:color="auto"/>
              <w:bottom w:val="single" w:sz="4" w:space="0" w:color="auto"/>
              <w:right w:val="single" w:sz="4" w:space="0" w:color="auto"/>
            </w:tcBorders>
          </w:tcPr>
          <w:p w14:paraId="254C02F4" w14:textId="77777777" w:rsidR="006C68B8" w:rsidRDefault="00822F3A">
            <w:pPr>
              <w:jc w:val="both"/>
              <w:rPr>
                <w:szCs w:val="22"/>
              </w:rPr>
            </w:pPr>
            <w:r>
              <w:t xml:space="preserve">Bus investuojama į privalomojo ugdymo pradžios ankstinimą, adaptuojant, ikimokyklinio, priešmokyklinio ir pradinio ugdymo programas, turinį, metodus, taip skatinant ankstesnę ir didesnę </w:t>
            </w:r>
            <w:proofErr w:type="spellStart"/>
            <w:r>
              <w:t>įtrauktį</w:t>
            </w:r>
            <w:proofErr w:type="spellEnd"/>
            <w:r>
              <w:t xml:space="preserve"> į ikimokyklinį ugdymą kaimo vietovėse, numatant kompleksines priemones, didinant visuomenės ir bendruomenių įsitraukimą bei vykdant tėvų švietimą. Šie veiksmai (veiklos) (dėl savo pobūdžio) neturės jokio neigiamo </w:t>
            </w:r>
            <w:r>
              <w:lastRenderedPageBreak/>
              <w:t>tiesioginio ir netiesioginio poveikio šiam aplinkos tikslui.</w:t>
            </w:r>
          </w:p>
        </w:tc>
        <w:tc>
          <w:tcPr>
            <w:tcW w:w="5331" w:type="dxa"/>
            <w:tcBorders>
              <w:left w:val="single" w:sz="4" w:space="0" w:color="auto"/>
            </w:tcBorders>
          </w:tcPr>
          <w:p w14:paraId="701A1903" w14:textId="77777777" w:rsidR="006C68B8" w:rsidRDefault="00822F3A">
            <w:pPr>
              <w:jc w:val="both"/>
            </w:pPr>
            <w:r>
              <w:lastRenderedPageBreak/>
              <w:t>Netaikoma. Numatomos veiklos neturi neigiamo poveikio, todėl papildomi dokumentai neteikiami.</w:t>
            </w:r>
          </w:p>
          <w:p w14:paraId="343E8825" w14:textId="77777777" w:rsidR="006C68B8" w:rsidRDefault="006C68B8">
            <w:pPr>
              <w:jc w:val="both"/>
              <w:rPr>
                <w:rFonts w:eastAsia="Calibri"/>
                <w:szCs w:val="24"/>
              </w:rPr>
            </w:pPr>
          </w:p>
        </w:tc>
      </w:tr>
      <w:tr w:rsidR="006C68B8" w14:paraId="79E4C9E8" w14:textId="77777777">
        <w:tc>
          <w:tcPr>
            <w:tcW w:w="4885" w:type="dxa"/>
            <w:tcBorders>
              <w:right w:val="single" w:sz="4" w:space="0" w:color="auto"/>
            </w:tcBorders>
          </w:tcPr>
          <w:p w14:paraId="4FF7FAD9" w14:textId="77777777" w:rsidR="006C68B8" w:rsidRDefault="00822F3A">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33" w:type="dxa"/>
            <w:tcBorders>
              <w:top w:val="single" w:sz="4" w:space="0" w:color="auto"/>
              <w:left w:val="single" w:sz="4" w:space="0" w:color="auto"/>
              <w:bottom w:val="single" w:sz="4" w:space="0" w:color="auto"/>
              <w:right w:val="single" w:sz="4" w:space="0" w:color="auto"/>
            </w:tcBorders>
          </w:tcPr>
          <w:p w14:paraId="775F468C" w14:textId="77777777" w:rsidR="006C68B8" w:rsidRDefault="00822F3A">
            <w:pPr>
              <w:jc w:val="both"/>
              <w:rPr>
                <w:color w:val="000000"/>
                <w:sz w:val="22"/>
                <w:szCs w:val="22"/>
              </w:rPr>
            </w:pPr>
            <w:r>
              <w:t xml:space="preserve">Bus investuojama į privalomojo ugdymo pradžios ankstinimą, adaptuojant, ikimokyklinio, priešmokyklinio ir pradinio ugdymo programas, turinį, metodus, taip skatinant ankstesnę ir didesnę </w:t>
            </w:r>
            <w:proofErr w:type="spellStart"/>
            <w:r>
              <w:t>įtrauktį</w:t>
            </w:r>
            <w:proofErr w:type="spellEnd"/>
            <w:r>
              <w:t xml:space="preserve"> į ikimokyklinį ugdymą kaimo vietovėse, numatant kompleksines priemones, didinant visuomenės ir bendruomenių įsitraukimą bei vykdant tėvų švietimą. Šie veiksmai (veiklos) (dėl savo pobūdžio) neturės jokio neigiamo tiesioginio ir netiesioginio poveikio šiam aplinkos tikslui.</w:t>
            </w:r>
          </w:p>
        </w:tc>
        <w:tc>
          <w:tcPr>
            <w:tcW w:w="5331" w:type="dxa"/>
            <w:tcBorders>
              <w:left w:val="single" w:sz="4" w:space="0" w:color="auto"/>
            </w:tcBorders>
          </w:tcPr>
          <w:p w14:paraId="1D226265" w14:textId="77777777" w:rsidR="006C68B8" w:rsidRDefault="00822F3A">
            <w:pPr>
              <w:jc w:val="both"/>
            </w:pPr>
            <w:r>
              <w:t>Netaikoma. Numatomos veiklos neturi neigiamo poveikio, todėl papildomi dokumentai neteikiami.</w:t>
            </w:r>
          </w:p>
          <w:p w14:paraId="4B258825" w14:textId="77777777" w:rsidR="006C68B8" w:rsidRDefault="006C68B8">
            <w:pPr>
              <w:jc w:val="both"/>
              <w:rPr>
                <w:rFonts w:eastAsia="Calibri"/>
                <w:szCs w:val="24"/>
              </w:rPr>
            </w:pPr>
          </w:p>
        </w:tc>
      </w:tr>
      <w:tr w:rsidR="006C68B8" w14:paraId="55316E26" w14:textId="77777777">
        <w:tc>
          <w:tcPr>
            <w:tcW w:w="4885" w:type="dxa"/>
            <w:tcBorders>
              <w:right w:val="single" w:sz="4" w:space="0" w:color="auto"/>
            </w:tcBorders>
          </w:tcPr>
          <w:p w14:paraId="5922BAA6" w14:textId="77777777" w:rsidR="006C68B8" w:rsidRDefault="00822F3A">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33" w:type="dxa"/>
            <w:tcBorders>
              <w:top w:val="single" w:sz="4" w:space="0" w:color="auto"/>
              <w:left w:val="single" w:sz="4" w:space="0" w:color="auto"/>
              <w:bottom w:val="single" w:sz="4" w:space="0" w:color="auto"/>
              <w:right w:val="single" w:sz="4" w:space="0" w:color="auto"/>
            </w:tcBorders>
          </w:tcPr>
          <w:p w14:paraId="245F4567" w14:textId="77777777" w:rsidR="006C68B8" w:rsidRDefault="00822F3A">
            <w:pPr>
              <w:jc w:val="both"/>
              <w:rPr>
                <w:color w:val="000000"/>
                <w:sz w:val="22"/>
                <w:szCs w:val="22"/>
              </w:rPr>
            </w:pPr>
            <w:r>
              <w:t xml:space="preserve">Bus investuojama į privalomojo ugdymo pradžios ankstinimą, adaptuojant, ikimokyklinio, priešmokyklinio ir pradinio ugdymo programas, turinį, metodus, taip skatinant ankstesnę ir didesnę </w:t>
            </w:r>
            <w:proofErr w:type="spellStart"/>
            <w:r>
              <w:t>įtrauktį</w:t>
            </w:r>
            <w:proofErr w:type="spellEnd"/>
            <w:r>
              <w:t xml:space="preserve"> į ikimokyklinį ugdymą kaimo vietovėse, numatant kompleksines priemones, didinant visuomenės ir bendruomenių įsitraukimą bei vykdant tėvų švietimą. Šie veiksmai (veiklos) (dėl savo pobūdžio) neturės jokio neigiamo tiesioginio ir netiesioginio poveikio šiam aplinkos tikslui. </w:t>
            </w:r>
          </w:p>
        </w:tc>
        <w:tc>
          <w:tcPr>
            <w:tcW w:w="5331" w:type="dxa"/>
            <w:tcBorders>
              <w:left w:val="single" w:sz="4" w:space="0" w:color="auto"/>
            </w:tcBorders>
          </w:tcPr>
          <w:p w14:paraId="75F644C0" w14:textId="77777777" w:rsidR="006C68B8" w:rsidRDefault="00822F3A">
            <w:pPr>
              <w:jc w:val="both"/>
            </w:pPr>
            <w:r>
              <w:t>Netaikoma. Numatomos veiklos neturi neigiamo poveikio, todėl papildomi dokumentai neteikiami.</w:t>
            </w:r>
          </w:p>
          <w:p w14:paraId="03B86CC5" w14:textId="77777777" w:rsidR="006C68B8" w:rsidRDefault="006C68B8">
            <w:pPr>
              <w:jc w:val="both"/>
              <w:rPr>
                <w:rFonts w:eastAsia="Calibri"/>
                <w:szCs w:val="24"/>
              </w:rPr>
            </w:pPr>
          </w:p>
        </w:tc>
      </w:tr>
    </w:tbl>
    <w:p w14:paraId="645B8490" w14:textId="77777777" w:rsidR="006C68B8" w:rsidRDefault="006C68B8"/>
    <w:p w14:paraId="25F98392" w14:textId="77777777" w:rsidR="006C68B8" w:rsidRDefault="00822F3A">
      <w:pPr>
        <w:spacing w:line="276" w:lineRule="auto"/>
        <w:jc w:val="center"/>
        <w:rPr>
          <w:szCs w:val="24"/>
        </w:rPr>
      </w:pPr>
      <w:r>
        <w:rPr>
          <w:rFonts w:ascii="Calibri" w:eastAsia="Calibri" w:hAnsi="Calibri"/>
          <w:sz w:val="22"/>
          <w:szCs w:val="22"/>
          <w:u w:val="single"/>
        </w:rPr>
        <w:t>________________</w:t>
      </w:r>
    </w:p>
    <w:sectPr w:rsidR="006C68B8" w:rsidSect="00822F3A">
      <w:pgSz w:w="16838" w:h="11906" w:orient="landscape"/>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0D810" w14:textId="77777777" w:rsidR="0000092C" w:rsidRDefault="0000092C">
      <w:pPr>
        <w:rPr>
          <w:sz w:val="22"/>
          <w:szCs w:val="22"/>
        </w:rPr>
      </w:pPr>
      <w:r>
        <w:rPr>
          <w:sz w:val="22"/>
          <w:szCs w:val="22"/>
        </w:rPr>
        <w:separator/>
      </w:r>
    </w:p>
  </w:endnote>
  <w:endnote w:type="continuationSeparator" w:id="0">
    <w:p w14:paraId="6B5B3E88" w14:textId="77777777" w:rsidR="0000092C" w:rsidRDefault="0000092C">
      <w:pPr>
        <w:rPr>
          <w:sz w:val="22"/>
          <w:szCs w:val="22"/>
        </w:rPr>
      </w:pPr>
      <w:r>
        <w:rPr>
          <w:sz w:val="22"/>
          <w:szCs w:val="22"/>
        </w:rPr>
        <w:continuationSeparator/>
      </w:r>
    </w:p>
  </w:endnote>
  <w:endnote w:type="continuationNotice" w:id="1">
    <w:p w14:paraId="5350A636" w14:textId="77777777" w:rsidR="0000092C" w:rsidRDefault="0000092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6E90" w14:textId="77777777" w:rsidR="006C68B8" w:rsidRDefault="006C68B8">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578" w14:textId="77777777" w:rsidR="006C68B8" w:rsidRDefault="006C68B8">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E5A1" w14:textId="77777777" w:rsidR="006C68B8" w:rsidRDefault="006C68B8">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06E7A" w14:textId="77777777" w:rsidR="0000092C" w:rsidRDefault="0000092C">
      <w:pPr>
        <w:rPr>
          <w:sz w:val="22"/>
          <w:szCs w:val="22"/>
        </w:rPr>
      </w:pPr>
      <w:r>
        <w:rPr>
          <w:sz w:val="22"/>
          <w:szCs w:val="22"/>
        </w:rPr>
        <w:separator/>
      </w:r>
    </w:p>
  </w:footnote>
  <w:footnote w:type="continuationSeparator" w:id="0">
    <w:p w14:paraId="0B3840AD" w14:textId="77777777" w:rsidR="0000092C" w:rsidRDefault="0000092C">
      <w:pPr>
        <w:rPr>
          <w:sz w:val="22"/>
          <w:szCs w:val="22"/>
        </w:rPr>
      </w:pPr>
      <w:r>
        <w:rPr>
          <w:sz w:val="22"/>
          <w:szCs w:val="22"/>
        </w:rPr>
        <w:continuationSeparator/>
      </w:r>
    </w:p>
  </w:footnote>
  <w:footnote w:type="continuationNotice" w:id="1">
    <w:p w14:paraId="4A73E003" w14:textId="77777777" w:rsidR="0000092C" w:rsidRDefault="0000092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C8B0" w14:textId="77777777" w:rsidR="006C68B8" w:rsidRDefault="006C68B8">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481640"/>
      <w:docPartObj>
        <w:docPartGallery w:val="Page Numbers (Top of Page)"/>
        <w:docPartUnique/>
      </w:docPartObj>
    </w:sdtPr>
    <w:sdtEndPr/>
    <w:sdtContent>
      <w:p w14:paraId="60F7B913" w14:textId="77777777" w:rsidR="00822F3A" w:rsidRDefault="00822F3A">
        <w:pPr>
          <w:pStyle w:val="Antrats"/>
          <w:jc w:val="center"/>
        </w:pPr>
        <w:r>
          <w:fldChar w:fldCharType="begin"/>
        </w:r>
        <w:r>
          <w:instrText>PAGE   \* MERGEFORMAT</w:instrText>
        </w:r>
        <w:r>
          <w:fldChar w:fldCharType="separate"/>
        </w:r>
        <w:r w:rsidR="00AE4F9F">
          <w:rPr>
            <w:noProof/>
          </w:rPr>
          <w:t>6</w:t>
        </w:r>
        <w:r>
          <w:fldChar w:fldCharType="end"/>
        </w:r>
      </w:p>
    </w:sdtContent>
  </w:sdt>
  <w:p w14:paraId="1A83F887" w14:textId="77777777" w:rsidR="006C68B8" w:rsidRDefault="006C68B8">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alias w:val="Pavadinimas"/>
      <w:tag w:val=""/>
      <w:id w:val="1116400235"/>
      <w:placeholder>
        <w:docPart w:val="D958F70AADC0404CB57B1EE9B6AA5757"/>
      </w:placeholder>
      <w:dataBinding w:prefixMappings="xmlns:ns0='http://purl.org/dc/elements/1.1/' xmlns:ns1='http://schemas.openxmlformats.org/package/2006/metadata/core-properties' " w:xpath="/ns1:coreProperties[1]/ns0:title[1]" w:storeItemID="{6C3C8BC8-F283-45AE-878A-BAB7291924A1}"/>
      <w:text/>
    </w:sdtPr>
    <w:sdtEndPr/>
    <w:sdtContent>
      <w:p w14:paraId="786DFF42" w14:textId="4C3E99FD" w:rsidR="00E01898" w:rsidRDefault="00E01898">
        <w:pPr>
          <w:pStyle w:val="Antrats"/>
          <w:tabs>
            <w:tab w:val="clear" w:pos="4680"/>
            <w:tab w:val="clear" w:pos="9360"/>
          </w:tabs>
          <w:jc w:val="right"/>
          <w:rPr>
            <w:color w:val="7F7F7F" w:themeColor="text1" w:themeTint="80"/>
          </w:rPr>
        </w:pPr>
        <w:r>
          <w:rPr>
            <w:color w:val="7F7F7F" w:themeColor="text1" w:themeTint="80"/>
          </w:rPr>
          <w:t>Projektas</w:t>
        </w:r>
      </w:p>
    </w:sdtContent>
  </w:sdt>
  <w:p w14:paraId="6EDD2C65" w14:textId="77777777" w:rsidR="006C68B8" w:rsidRDefault="006C68B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92C"/>
    <w:rsid w:val="00032591"/>
    <w:rsid w:val="00041978"/>
    <w:rsid w:val="000835A5"/>
    <w:rsid w:val="000C5593"/>
    <w:rsid w:val="000D5734"/>
    <w:rsid w:val="000E1A51"/>
    <w:rsid w:val="000E7392"/>
    <w:rsid w:val="000F1591"/>
    <w:rsid w:val="001067B4"/>
    <w:rsid w:val="00132AA4"/>
    <w:rsid w:val="00144138"/>
    <w:rsid w:val="00150CDD"/>
    <w:rsid w:val="00161B4E"/>
    <w:rsid w:val="001640DC"/>
    <w:rsid w:val="00165D1B"/>
    <w:rsid w:val="001A04AA"/>
    <w:rsid w:val="001B0080"/>
    <w:rsid w:val="001E2627"/>
    <w:rsid w:val="00201CFB"/>
    <w:rsid w:val="00217ACE"/>
    <w:rsid w:val="002205E6"/>
    <w:rsid w:val="00240C19"/>
    <w:rsid w:val="002E1410"/>
    <w:rsid w:val="002F24A7"/>
    <w:rsid w:val="002F68C3"/>
    <w:rsid w:val="002F75FC"/>
    <w:rsid w:val="003116DC"/>
    <w:rsid w:val="003165EC"/>
    <w:rsid w:val="003260C1"/>
    <w:rsid w:val="00350135"/>
    <w:rsid w:val="00366ABB"/>
    <w:rsid w:val="0038520B"/>
    <w:rsid w:val="00390418"/>
    <w:rsid w:val="00393EA6"/>
    <w:rsid w:val="003A300C"/>
    <w:rsid w:val="003B3948"/>
    <w:rsid w:val="003C7A7B"/>
    <w:rsid w:val="003D1C54"/>
    <w:rsid w:val="003D7491"/>
    <w:rsid w:val="003E1E16"/>
    <w:rsid w:val="0041122B"/>
    <w:rsid w:val="00424A45"/>
    <w:rsid w:val="00433C8D"/>
    <w:rsid w:val="00441DB0"/>
    <w:rsid w:val="00463AC0"/>
    <w:rsid w:val="00492E9B"/>
    <w:rsid w:val="004D27E8"/>
    <w:rsid w:val="004E42B7"/>
    <w:rsid w:val="004F178B"/>
    <w:rsid w:val="00502385"/>
    <w:rsid w:val="00553F92"/>
    <w:rsid w:val="005A40CC"/>
    <w:rsid w:val="005C1FDD"/>
    <w:rsid w:val="005D2363"/>
    <w:rsid w:val="005F7C8C"/>
    <w:rsid w:val="00630D1C"/>
    <w:rsid w:val="00641AE2"/>
    <w:rsid w:val="00651CD7"/>
    <w:rsid w:val="0066497F"/>
    <w:rsid w:val="006739EB"/>
    <w:rsid w:val="006876DD"/>
    <w:rsid w:val="00693CD3"/>
    <w:rsid w:val="006A5B8F"/>
    <w:rsid w:val="006C68B8"/>
    <w:rsid w:val="006E3485"/>
    <w:rsid w:val="00717E42"/>
    <w:rsid w:val="00753EF1"/>
    <w:rsid w:val="007572BA"/>
    <w:rsid w:val="00775916"/>
    <w:rsid w:val="007820D5"/>
    <w:rsid w:val="007C37BE"/>
    <w:rsid w:val="007D751F"/>
    <w:rsid w:val="00813109"/>
    <w:rsid w:val="00822F3A"/>
    <w:rsid w:val="00846A4B"/>
    <w:rsid w:val="00866E3D"/>
    <w:rsid w:val="0087128E"/>
    <w:rsid w:val="008A0D95"/>
    <w:rsid w:val="008B4062"/>
    <w:rsid w:val="008C4E1E"/>
    <w:rsid w:val="008E5267"/>
    <w:rsid w:val="0098611C"/>
    <w:rsid w:val="0099194C"/>
    <w:rsid w:val="00997DE6"/>
    <w:rsid w:val="009C1954"/>
    <w:rsid w:val="009C1E1D"/>
    <w:rsid w:val="009C3E7C"/>
    <w:rsid w:val="009D1ED7"/>
    <w:rsid w:val="009D212F"/>
    <w:rsid w:val="009F25EC"/>
    <w:rsid w:val="00A05E4E"/>
    <w:rsid w:val="00A17FDA"/>
    <w:rsid w:val="00A23D1A"/>
    <w:rsid w:val="00A27751"/>
    <w:rsid w:val="00A27965"/>
    <w:rsid w:val="00A361B0"/>
    <w:rsid w:val="00A85EBD"/>
    <w:rsid w:val="00AA5DF0"/>
    <w:rsid w:val="00AB68E8"/>
    <w:rsid w:val="00AE4F9F"/>
    <w:rsid w:val="00B13182"/>
    <w:rsid w:val="00B24BE4"/>
    <w:rsid w:val="00B263E2"/>
    <w:rsid w:val="00B91B29"/>
    <w:rsid w:val="00BA118D"/>
    <w:rsid w:val="00BA7702"/>
    <w:rsid w:val="00BB0C78"/>
    <w:rsid w:val="00BB2ED5"/>
    <w:rsid w:val="00BB7912"/>
    <w:rsid w:val="00C16F96"/>
    <w:rsid w:val="00C17F13"/>
    <w:rsid w:val="00C215F8"/>
    <w:rsid w:val="00C33BF3"/>
    <w:rsid w:val="00C65312"/>
    <w:rsid w:val="00C72BCF"/>
    <w:rsid w:val="00C9054E"/>
    <w:rsid w:val="00C96895"/>
    <w:rsid w:val="00CD5ADA"/>
    <w:rsid w:val="00CE0F38"/>
    <w:rsid w:val="00D03768"/>
    <w:rsid w:val="00D528D9"/>
    <w:rsid w:val="00D550B1"/>
    <w:rsid w:val="00D55C49"/>
    <w:rsid w:val="00D660CD"/>
    <w:rsid w:val="00D73E86"/>
    <w:rsid w:val="00D96D12"/>
    <w:rsid w:val="00DB2E98"/>
    <w:rsid w:val="00DB7053"/>
    <w:rsid w:val="00DB70DC"/>
    <w:rsid w:val="00DD6047"/>
    <w:rsid w:val="00DE0B04"/>
    <w:rsid w:val="00E004AD"/>
    <w:rsid w:val="00E01898"/>
    <w:rsid w:val="00E1081F"/>
    <w:rsid w:val="00E11E4C"/>
    <w:rsid w:val="00E154A3"/>
    <w:rsid w:val="00E309E9"/>
    <w:rsid w:val="00E31AE3"/>
    <w:rsid w:val="00E342A6"/>
    <w:rsid w:val="00E419B2"/>
    <w:rsid w:val="00E74684"/>
    <w:rsid w:val="00EA0618"/>
    <w:rsid w:val="00EA2431"/>
    <w:rsid w:val="00EC54EB"/>
    <w:rsid w:val="00EE3806"/>
    <w:rsid w:val="00EE41A0"/>
    <w:rsid w:val="00EF0702"/>
    <w:rsid w:val="00F13B44"/>
    <w:rsid w:val="00F401A1"/>
    <w:rsid w:val="00F523F5"/>
    <w:rsid w:val="00FA1585"/>
    <w:rsid w:val="00FA5AF0"/>
    <w:rsid w:val="00FF02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2D287"/>
  <w15:docId w15:val="{8B0D9D1C-A041-4784-BFAC-F40989B2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759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7759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822F3A"/>
    <w:rPr>
      <w:color w:val="808080"/>
    </w:rPr>
  </w:style>
  <w:style w:type="paragraph" w:styleId="Pataisymai">
    <w:name w:val="Revision"/>
    <w:hidden/>
    <w:semiHidden/>
    <w:rsid w:val="00DB7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324239910">
      <w:bodyDiv w:val="1"/>
      <w:marLeft w:val="0"/>
      <w:marRight w:val="0"/>
      <w:marTop w:val="0"/>
      <w:marBottom w:val="0"/>
      <w:divBdr>
        <w:top w:val="none" w:sz="0" w:space="0" w:color="auto"/>
        <w:left w:val="none" w:sz="0" w:space="0" w:color="auto"/>
        <w:bottom w:val="none" w:sz="0" w:space="0" w:color="auto"/>
        <w:right w:val="none" w:sz="0" w:space="0" w:color="auto"/>
      </w:divBdr>
      <w:divsChild>
        <w:div w:id="1403798915">
          <w:marLeft w:val="0"/>
          <w:marRight w:val="0"/>
          <w:marTop w:val="0"/>
          <w:marBottom w:val="0"/>
          <w:divBdr>
            <w:top w:val="none" w:sz="0" w:space="0" w:color="auto"/>
            <w:left w:val="none" w:sz="0" w:space="0" w:color="auto"/>
            <w:bottom w:val="none" w:sz="0" w:space="0" w:color="auto"/>
            <w:right w:val="none" w:sz="0" w:space="0" w:color="auto"/>
          </w:divBdr>
        </w:div>
      </w:divsChild>
    </w:div>
    <w:div w:id="1480267216">
      <w:bodyDiv w:val="1"/>
      <w:marLeft w:val="0"/>
      <w:marRight w:val="0"/>
      <w:marTop w:val="0"/>
      <w:marBottom w:val="0"/>
      <w:divBdr>
        <w:top w:val="none" w:sz="0" w:space="0" w:color="auto"/>
        <w:left w:val="none" w:sz="0" w:space="0" w:color="auto"/>
        <w:bottom w:val="none" w:sz="0" w:space="0" w:color="auto"/>
        <w:right w:val="none" w:sz="0" w:space="0" w:color="auto"/>
      </w:divBdr>
      <w:divsChild>
        <w:div w:id="1467354362">
          <w:marLeft w:val="0"/>
          <w:marRight w:val="0"/>
          <w:marTop w:val="0"/>
          <w:marBottom w:val="0"/>
          <w:divBdr>
            <w:top w:val="none" w:sz="0" w:space="0" w:color="auto"/>
            <w:left w:val="none" w:sz="0" w:space="0" w:color="auto"/>
            <w:bottom w:val="none" w:sz="0" w:space="0" w:color="auto"/>
            <w:right w:val="none" w:sz="0" w:space="0" w:color="auto"/>
          </w:divBdr>
        </w:div>
      </w:divsChild>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35481193">
      <w:bodyDiv w:val="1"/>
      <w:marLeft w:val="0"/>
      <w:marRight w:val="0"/>
      <w:marTop w:val="0"/>
      <w:marBottom w:val="0"/>
      <w:divBdr>
        <w:top w:val="none" w:sz="0" w:space="0" w:color="auto"/>
        <w:left w:val="none" w:sz="0" w:space="0" w:color="auto"/>
        <w:bottom w:val="none" w:sz="0" w:space="0" w:color="auto"/>
        <w:right w:val="none" w:sz="0" w:space="0" w:color="auto"/>
      </w:divBdr>
    </w:div>
    <w:div w:id="193898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glossary/document.xml"
                 Type="http://schemas.openxmlformats.org/officeDocument/2006/relationships/glossaryDocument"/>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58F70AADC0404CB57B1EE9B6AA5757"/>
        <w:category>
          <w:name w:val="Bendrosios nuostatos"/>
          <w:gallery w:val="placeholder"/>
        </w:category>
        <w:types>
          <w:type w:val="bbPlcHdr"/>
        </w:types>
        <w:behaviors>
          <w:behavior w:val="content"/>
        </w:behaviors>
        <w:guid w:val="{21167F3B-2E86-47FE-9C69-E8C3AD271555}"/>
      </w:docPartPr>
      <w:docPartBody>
        <w:p w:rsidR="000230DF" w:rsidRDefault="000230DF" w:rsidP="000230DF">
          <w:pPr>
            <w:pStyle w:val="D958F70AADC0404CB57B1EE9B6AA5757"/>
          </w:pPr>
          <w:r>
            <w:rPr>
              <w:color w:val="7F7F7F" w:themeColor="text1" w:themeTint="80"/>
            </w:rPr>
            <w:t>[Dokumento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DF"/>
    <w:rsid w:val="000230DF"/>
    <w:rsid w:val="00191FEE"/>
    <w:rsid w:val="00350135"/>
    <w:rsid w:val="00C33BF3"/>
    <w:rsid w:val="00C72BCF"/>
    <w:rsid w:val="00C9054E"/>
    <w:rsid w:val="00EA677D"/>
    <w:rsid w:val="00FA15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958F70AADC0404CB57B1EE9B6AA5757">
    <w:name w:val="D958F70AADC0404CB57B1EE9B6AA5757"/>
    <w:rsid w:val="000230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7947E-32F8-4F18-9549-C759F839605C}">
  <ds:schemaRefs>
    <ds:schemaRef ds:uri="http://schemas.openxmlformats.org/officeDocument/2006/bibliography"/>
  </ds:schemaRefs>
</ds:datastoreItem>
</file>

<file path=customXml/itemProps2.xml><?xml version="1.0" encoding="utf-8"?>
<ds:datastoreItem xmlns:ds="http://schemas.openxmlformats.org/officeDocument/2006/customXml" ds:itemID="{A18555A6-7937-4AB1-86FC-7B7D81199670}">
  <ds:schemaRefs>
    <ds:schemaRef ds:uri="http://schemas.openxmlformats.org/officeDocument/2006/bibliography"/>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22</Pages>
  <Words>30768</Words>
  <Characters>17538</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48210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2024-08-19T06:10:00Z</dcterms:created>
  <dc:creator>Virginija Levinskienė</dc:creator>
  <cp:lastModifiedBy>Miciuvienė Rita | ŠMSM</cp:lastModifiedBy>
  <cp:lastPrinted>2023-11-28T09:57:00Z</cp:lastPrinted>
  <dcterms:modified xsi:type="dcterms:W3CDTF">2025-04-03T10:45:00Z</dcterms:modified>
  <cp:revision>66</cp:revision>
  <dc:title>Projektas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