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0800" w14:textId="1773C4B8" w:rsidR="002C6667" w:rsidRPr="003E79B9" w:rsidRDefault="002C6667" w:rsidP="003A6DA2">
      <w:pPr>
        <w:ind w:left="6480"/>
        <w:jc w:val="right"/>
        <w:rPr>
          <w:rFonts w:ascii="Times New Roman" w:hAnsi="Times New Roman" w:cs="Times New Roman"/>
          <w:b/>
          <w:szCs w:val="24"/>
          <w:lang w:eastAsia="lt-LT"/>
        </w:rPr>
      </w:pPr>
      <w:bookmarkStart w:id="0" w:name="_Hlk184207500"/>
      <w:r w:rsidRPr="003E79B9">
        <w:rPr>
          <w:rFonts w:ascii="Times New Roman" w:hAnsi="Times New Roman" w:cs="Times New Roman"/>
          <w:szCs w:val="24"/>
        </w:rPr>
        <w:t>Projektų administravimo ir finansavimo taisyklių 2 pried</w:t>
      </w:r>
      <w:r w:rsidR="00CC5D54" w:rsidRPr="003E79B9">
        <w:rPr>
          <w:rFonts w:ascii="Times New Roman" w:hAnsi="Times New Roman" w:cs="Times New Roman"/>
          <w:szCs w:val="24"/>
        </w:rPr>
        <w:t xml:space="preserve">o </w:t>
      </w:r>
      <w:r w:rsidR="005D1861" w:rsidRPr="003E79B9">
        <w:rPr>
          <w:rFonts w:ascii="Times New Roman" w:hAnsi="Times New Roman" w:cs="Times New Roman"/>
          <w:szCs w:val="24"/>
        </w:rPr>
        <w:t>keičiam</w:t>
      </w:r>
      <w:r w:rsidR="00BC71FD">
        <w:rPr>
          <w:rFonts w:ascii="Times New Roman" w:hAnsi="Times New Roman" w:cs="Times New Roman"/>
          <w:szCs w:val="24"/>
        </w:rPr>
        <w:t>ų</w:t>
      </w:r>
      <w:r w:rsidR="00CC5D54" w:rsidRPr="003E79B9">
        <w:rPr>
          <w:rFonts w:ascii="Times New Roman" w:hAnsi="Times New Roman" w:cs="Times New Roman"/>
          <w:szCs w:val="24"/>
        </w:rPr>
        <w:t xml:space="preserve"> dali</w:t>
      </w:r>
      <w:r w:rsidR="00BC71FD">
        <w:rPr>
          <w:rFonts w:ascii="Times New Roman" w:hAnsi="Times New Roman" w:cs="Times New Roman"/>
          <w:szCs w:val="24"/>
        </w:rPr>
        <w:t>ų</w:t>
      </w:r>
      <w:r w:rsidR="00CC5D54" w:rsidRPr="003E79B9">
        <w:rPr>
          <w:rFonts w:ascii="Times New Roman" w:hAnsi="Times New Roman" w:cs="Times New Roman"/>
          <w:szCs w:val="24"/>
        </w:rPr>
        <w:t xml:space="preserve"> lyginamasis variantas</w:t>
      </w:r>
    </w:p>
    <w:bookmarkEnd w:id="0"/>
    <w:p w14:paraId="06C12781" w14:textId="424C58F8" w:rsidR="000E0C79" w:rsidRPr="003E79B9" w:rsidRDefault="002C6667" w:rsidP="002C6667">
      <w:pPr>
        <w:ind w:firstLine="680"/>
        <w:jc w:val="center"/>
        <w:rPr>
          <w:rFonts w:ascii="Times New Roman" w:hAnsi="Times New Roman" w:cs="Times New Roman"/>
          <w:b/>
          <w:szCs w:val="24"/>
        </w:rPr>
      </w:pPr>
      <w:r w:rsidRPr="003E79B9">
        <w:rPr>
          <w:rFonts w:ascii="Times New Roman" w:hAnsi="Times New Roman" w:cs="Times New Roman"/>
          <w:b/>
          <w:szCs w:val="24"/>
          <w:lang w:eastAsia="lt-LT"/>
        </w:rPr>
        <w:t xml:space="preserve">PROJEKTŲ </w:t>
      </w:r>
      <w:r w:rsidRPr="003E79B9">
        <w:rPr>
          <w:rFonts w:ascii="Times New Roman" w:hAnsi="Times New Roman" w:cs="Times New Roman"/>
          <w:b/>
          <w:szCs w:val="24"/>
        </w:rPr>
        <w:t>BENDRŲJŲ ATRANKOS KRITERIJŲ SĄRAŠAS IR JŲ VERTINIMO METODIKA</w:t>
      </w:r>
    </w:p>
    <w:p w14:paraId="5CA1478B" w14:textId="3ED09CFC" w:rsidR="002C6667" w:rsidRPr="003E79B9" w:rsidRDefault="002C6667" w:rsidP="002C6667">
      <w:pPr>
        <w:rPr>
          <w:rFonts w:ascii="Times New Roman" w:hAnsi="Times New Roman" w:cs="Times New Roman"/>
          <w:bCs/>
          <w:szCs w:val="24"/>
        </w:rPr>
      </w:pPr>
      <w:r w:rsidRPr="003E79B9">
        <w:rPr>
          <w:rFonts w:ascii="Times New Roman" w:hAnsi="Times New Roman" w:cs="Times New Roman"/>
          <w:bCs/>
          <w:szCs w:val="24"/>
        </w:rPr>
        <w:t>&lt;...&gt;</w:t>
      </w:r>
    </w:p>
    <w:tbl>
      <w:tblPr>
        <w:tblW w:w="10332"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4002"/>
        <w:gridCol w:w="943"/>
      </w:tblGrid>
      <w:tr w:rsidR="00342455" w:rsidRPr="003E79B9" w14:paraId="73787F15" w14:textId="77777777" w:rsidTr="006F0E92">
        <w:tc>
          <w:tcPr>
            <w:tcW w:w="5387" w:type="dxa"/>
            <w:gridSpan w:val="2"/>
            <w:vMerge w:val="restart"/>
            <w:shd w:val="clear" w:color="auto" w:fill="C1E4F5" w:themeFill="accent1" w:themeFillTint="33"/>
            <w:vAlign w:val="center"/>
          </w:tcPr>
          <w:p w14:paraId="0DDFFA7F" w14:textId="77777777" w:rsidR="00342455" w:rsidRPr="003E79B9" w:rsidRDefault="00342455" w:rsidP="003B7A0A">
            <w:pPr>
              <w:jc w:val="center"/>
              <w:rPr>
                <w:rFonts w:ascii="Times New Roman" w:hAnsi="Times New Roman" w:cs="Times New Roman"/>
                <w:szCs w:val="24"/>
                <w:highlight w:val="yellow"/>
              </w:rPr>
            </w:pPr>
            <w:r w:rsidRPr="003E79B9">
              <w:rPr>
                <w:rFonts w:ascii="Times New Roman" w:hAnsi="Times New Roman" w:cs="Times New Roman"/>
                <w:szCs w:val="24"/>
              </w:rPr>
              <w:t>Bendrasis atrankos kriterijus, jo vertinimo aspektas (-ai)</w:t>
            </w:r>
          </w:p>
        </w:tc>
        <w:tc>
          <w:tcPr>
            <w:tcW w:w="4945" w:type="dxa"/>
            <w:gridSpan w:val="2"/>
            <w:shd w:val="clear" w:color="auto" w:fill="C1E4F5" w:themeFill="accent1" w:themeFillTint="33"/>
            <w:vAlign w:val="center"/>
          </w:tcPr>
          <w:p w14:paraId="64999866" w14:textId="77777777" w:rsidR="00342455" w:rsidRPr="003E79B9" w:rsidRDefault="00342455" w:rsidP="003B7A0A">
            <w:pPr>
              <w:jc w:val="center"/>
              <w:rPr>
                <w:rFonts w:ascii="Times New Roman" w:hAnsi="Times New Roman" w:cs="Times New Roman"/>
                <w:szCs w:val="24"/>
                <w:highlight w:val="yellow"/>
              </w:rPr>
            </w:pPr>
            <w:r w:rsidRPr="003E79B9">
              <w:rPr>
                <w:rFonts w:ascii="Times New Roman" w:hAnsi="Times New Roman" w:cs="Times New Roman"/>
                <w:szCs w:val="24"/>
                <w:lang w:eastAsia="lt-LT"/>
              </w:rPr>
              <w:t>Bendrojo atrankos kriterijaus vertinimo aspekto vertinimas</w:t>
            </w:r>
          </w:p>
        </w:tc>
      </w:tr>
      <w:tr w:rsidR="006F0E92" w:rsidRPr="003E79B9" w14:paraId="1DB13CEA" w14:textId="77777777" w:rsidTr="006F0E92">
        <w:tc>
          <w:tcPr>
            <w:tcW w:w="5387" w:type="dxa"/>
            <w:gridSpan w:val="2"/>
            <w:vMerge/>
            <w:shd w:val="clear" w:color="auto" w:fill="C1E4F5" w:themeFill="accent1" w:themeFillTint="33"/>
          </w:tcPr>
          <w:p w14:paraId="70B03665" w14:textId="77777777" w:rsidR="00342455" w:rsidRPr="003E79B9" w:rsidRDefault="00342455" w:rsidP="003B7A0A">
            <w:pPr>
              <w:jc w:val="center"/>
              <w:rPr>
                <w:rFonts w:ascii="Times New Roman" w:hAnsi="Times New Roman" w:cs="Times New Roman"/>
                <w:szCs w:val="24"/>
                <w:highlight w:val="yellow"/>
              </w:rPr>
            </w:pPr>
          </w:p>
        </w:tc>
        <w:tc>
          <w:tcPr>
            <w:tcW w:w="4002" w:type="dxa"/>
            <w:shd w:val="clear" w:color="auto" w:fill="C1E4F5" w:themeFill="accent1" w:themeFillTint="33"/>
            <w:vAlign w:val="center"/>
          </w:tcPr>
          <w:p w14:paraId="3323C4F1" w14:textId="77777777" w:rsidR="00342455" w:rsidRPr="003E79B9" w:rsidRDefault="00342455" w:rsidP="003B7A0A">
            <w:pPr>
              <w:jc w:val="center"/>
              <w:rPr>
                <w:rFonts w:ascii="Times New Roman" w:hAnsi="Times New Roman" w:cs="Times New Roman"/>
                <w:szCs w:val="24"/>
                <w:highlight w:val="yellow"/>
                <w:lang w:eastAsia="lt-LT"/>
              </w:rPr>
            </w:pPr>
            <w:r w:rsidRPr="003E79B9">
              <w:rPr>
                <w:rFonts w:ascii="Times New Roman" w:hAnsi="Times New Roman" w:cs="Times New Roman"/>
                <w:szCs w:val="24"/>
                <w:lang w:eastAsia="lt-LT"/>
              </w:rPr>
              <w:t>Taip / Ne / Netaikoma / Taip su išlyga</w:t>
            </w:r>
          </w:p>
        </w:tc>
        <w:tc>
          <w:tcPr>
            <w:tcW w:w="943" w:type="dxa"/>
            <w:shd w:val="clear" w:color="auto" w:fill="C1E4F5" w:themeFill="accent1" w:themeFillTint="33"/>
            <w:vAlign w:val="center"/>
          </w:tcPr>
          <w:p w14:paraId="7E471BF3" w14:textId="4D57F90C" w:rsidR="00342455" w:rsidRPr="003E79B9" w:rsidRDefault="00342455" w:rsidP="003B7A0A">
            <w:pPr>
              <w:jc w:val="center"/>
              <w:rPr>
                <w:rFonts w:ascii="Times New Roman" w:hAnsi="Times New Roman" w:cs="Times New Roman"/>
                <w:bCs/>
                <w:szCs w:val="24"/>
                <w:lang w:eastAsia="lt-LT"/>
              </w:rPr>
            </w:pPr>
            <w:proofErr w:type="spellStart"/>
            <w:r w:rsidRPr="003E79B9">
              <w:rPr>
                <w:rFonts w:ascii="Times New Roman" w:hAnsi="Times New Roman" w:cs="Times New Roman"/>
                <w:bCs/>
                <w:szCs w:val="24"/>
                <w:lang w:eastAsia="lt-LT"/>
              </w:rPr>
              <w:t>Komen</w:t>
            </w:r>
            <w:proofErr w:type="spellEnd"/>
            <w:r w:rsidRPr="003E79B9">
              <w:rPr>
                <w:rFonts w:ascii="Times New Roman" w:hAnsi="Times New Roman" w:cs="Times New Roman"/>
                <w:bCs/>
                <w:szCs w:val="24"/>
                <w:lang w:eastAsia="lt-LT"/>
              </w:rPr>
              <w:t>-tarai</w:t>
            </w:r>
          </w:p>
          <w:p w14:paraId="090847A5" w14:textId="32A8A4C5" w:rsidR="00342455" w:rsidRPr="003E79B9" w:rsidRDefault="00342455" w:rsidP="003B7A0A">
            <w:pPr>
              <w:jc w:val="center"/>
              <w:rPr>
                <w:rFonts w:ascii="Times New Roman" w:hAnsi="Times New Roman" w:cs="Times New Roman"/>
                <w:b/>
                <w:bCs/>
                <w:szCs w:val="24"/>
                <w:highlight w:val="yellow"/>
                <w:lang w:eastAsia="lt-LT"/>
              </w:rPr>
            </w:pPr>
          </w:p>
        </w:tc>
      </w:tr>
      <w:tr w:rsidR="00342455" w:rsidRPr="003E79B9" w14:paraId="76A415E0" w14:textId="359D2F96" w:rsidTr="006F0E92">
        <w:trPr>
          <w:trHeight w:val="561"/>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B3D4F" w14:textId="2C512E96" w:rsidR="00342455" w:rsidRPr="003E79B9" w:rsidRDefault="00342455" w:rsidP="00500D4B">
            <w:pPr>
              <w:rPr>
                <w:rFonts w:ascii="Times New Roman" w:hAnsi="Times New Roman" w:cs="Times New Roman"/>
              </w:rPr>
            </w:pPr>
            <w:r w:rsidRPr="003E79B9">
              <w:rPr>
                <w:rFonts w:ascii="Times New Roman" w:hAnsi="Times New Roman" w:cs="Times New Roman"/>
              </w:rPr>
              <w:t>„</w:t>
            </w:r>
            <w:r w:rsidR="0068185D">
              <w:rPr>
                <w:rFonts w:ascii="Times New Roman" w:hAnsi="Times New Roman" w:cs="Times New Roman"/>
              </w:rPr>
              <w:t>2.4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BE947" w14:textId="163B0D70" w:rsidR="00342455" w:rsidRPr="0068185D" w:rsidRDefault="0068185D" w:rsidP="00500D4B">
            <w:pPr>
              <w:rPr>
                <w:rFonts w:ascii="Times New Roman" w:hAnsi="Times New Roman" w:cs="Times New Roman"/>
              </w:rPr>
            </w:pPr>
            <w:r w:rsidRPr="0068185D">
              <w:rPr>
                <w:rFonts w:ascii="Times New Roman" w:hAnsi="Times New Roman" w:cs="Times New Roman"/>
                <w:szCs w:val="24"/>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2021 m. vasario 15 d. sprendimu Nr. SWD (2021) 24, numatytą politinę sritį</w:t>
            </w:r>
            <w:r w:rsidRPr="0068185D">
              <w:rPr>
                <w:rFonts w:ascii="Times New Roman" w:hAnsi="Times New Roman" w:cs="Times New Roman"/>
                <w:strike/>
                <w:szCs w:val="24"/>
              </w:rPr>
              <w:t>, horizontalųjį veiksmą</w:t>
            </w:r>
            <w:r w:rsidRPr="0068185D">
              <w:rPr>
                <w:rFonts w:ascii="Times New Roman" w:hAnsi="Times New Roman" w:cs="Times New Roman"/>
                <w:szCs w:val="24"/>
              </w:rPr>
              <w:t xml:space="preserve"> ar įgyvendinimo pavyzdį.</w:t>
            </w: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61943" w14:textId="304AECE0" w:rsidR="00342455" w:rsidRPr="0068185D" w:rsidRDefault="0068185D" w:rsidP="00500D4B">
            <w:pPr>
              <w:rPr>
                <w:rFonts w:ascii="Times New Roman" w:hAnsi="Times New Roman" w:cs="Times New Roman"/>
                <w:iCs/>
              </w:rPr>
            </w:pPr>
            <w:r w:rsidRPr="0068185D">
              <w:rPr>
                <w:rFonts w:ascii="Times New Roman" w:hAnsi="Times New Roman" w:cs="Times New Roman"/>
                <w:i/>
                <w:color w:val="7F7F7F"/>
                <w:szCs w:val="24"/>
              </w:rPr>
              <w:t xml:space="preserve">(Taikoma, kai toks reikalavimas nustatytas PFSA, o kai įgyvendinami </w:t>
            </w:r>
            <w:proofErr w:type="spellStart"/>
            <w:r w:rsidRPr="0068185D">
              <w:rPr>
                <w:rFonts w:ascii="Times New Roman" w:hAnsi="Times New Roman" w:cs="Times New Roman"/>
                <w:i/>
                <w:color w:val="7F7F7F"/>
                <w:szCs w:val="24"/>
              </w:rPr>
              <w:t>RPPl</w:t>
            </w:r>
            <w:proofErr w:type="spellEnd"/>
            <w:r w:rsidRPr="0068185D">
              <w:rPr>
                <w:rFonts w:ascii="Times New Roman" w:hAnsi="Times New Roman" w:cs="Times New Roman"/>
                <w:i/>
                <w:color w:val="7F7F7F"/>
                <w:szCs w:val="24"/>
              </w:rPr>
              <w:t xml:space="preserve"> projektai, – Gairėse)</w:t>
            </w:r>
            <w:r w:rsidR="00D32D22" w:rsidRPr="00D32D22">
              <w:rPr>
                <w:rFonts w:ascii="Times New Roman" w:hAnsi="Times New Roman" w:cs="Times New Roman"/>
                <w:iCs/>
                <w:szCs w:val="24"/>
              </w:rPr>
              <w:t>“.</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376F6C" w14:textId="77777777" w:rsidR="00342455" w:rsidRPr="003E79B9" w:rsidRDefault="00342455" w:rsidP="00500D4B">
            <w:pPr>
              <w:rPr>
                <w:rFonts w:ascii="Times New Roman" w:hAnsi="Times New Roman" w:cs="Times New Roman"/>
                <w:i/>
              </w:rPr>
            </w:pPr>
          </w:p>
        </w:tc>
      </w:tr>
    </w:tbl>
    <w:p w14:paraId="701603A1" w14:textId="77777777" w:rsidR="000601D4" w:rsidRDefault="000601D4">
      <w:pPr>
        <w:rPr>
          <w:rFonts w:ascii="Times New Roman" w:hAnsi="Times New Roman" w:cs="Times New Roman"/>
          <w:bCs/>
          <w:szCs w:val="24"/>
        </w:rPr>
      </w:pPr>
    </w:p>
    <w:p w14:paraId="7A5F50C0" w14:textId="62BFB880" w:rsidR="00272431" w:rsidRDefault="002C6667">
      <w:pPr>
        <w:rPr>
          <w:rFonts w:ascii="Times New Roman" w:hAnsi="Times New Roman" w:cs="Times New Roman"/>
          <w:bCs/>
          <w:szCs w:val="24"/>
        </w:rPr>
      </w:pPr>
      <w:r w:rsidRPr="003E79B9">
        <w:rPr>
          <w:rFonts w:ascii="Times New Roman" w:hAnsi="Times New Roman" w:cs="Times New Roman"/>
          <w:bCs/>
          <w:szCs w:val="24"/>
        </w:rPr>
        <w:t>&lt;...&gt;</w:t>
      </w:r>
    </w:p>
    <w:tbl>
      <w:tblPr>
        <w:tblStyle w:val="TableGrid"/>
        <w:tblW w:w="0" w:type="auto"/>
        <w:tblInd w:w="-714" w:type="dxa"/>
        <w:tblLook w:val="04A0" w:firstRow="1" w:lastRow="0" w:firstColumn="1" w:lastColumn="0" w:noHBand="0" w:noVBand="1"/>
      </w:tblPr>
      <w:tblGrid>
        <w:gridCol w:w="851"/>
        <w:gridCol w:w="4536"/>
        <w:gridCol w:w="4111"/>
        <w:gridCol w:w="844"/>
      </w:tblGrid>
      <w:tr w:rsidR="0068185D" w:rsidRPr="00D30B5B" w14:paraId="27EA7964" w14:textId="77777777" w:rsidTr="0068185D">
        <w:tc>
          <w:tcPr>
            <w:tcW w:w="851" w:type="dxa"/>
          </w:tcPr>
          <w:p w14:paraId="0C234E27" w14:textId="5E573A44" w:rsidR="0068185D" w:rsidRPr="00D30B5B" w:rsidRDefault="00D32D22">
            <w:pPr>
              <w:rPr>
                <w:rFonts w:ascii="Times New Roman" w:hAnsi="Times New Roman" w:cs="Times New Roman"/>
                <w:bCs/>
              </w:rPr>
            </w:pPr>
            <w:r>
              <w:rPr>
                <w:rFonts w:ascii="Times New Roman" w:hAnsi="Times New Roman" w:cs="Times New Roman"/>
                <w:bCs/>
              </w:rPr>
              <w:t>„</w:t>
            </w:r>
            <w:r w:rsidR="0068185D" w:rsidRPr="00D30B5B">
              <w:rPr>
                <w:rFonts w:ascii="Times New Roman" w:hAnsi="Times New Roman" w:cs="Times New Roman"/>
                <w:bCs/>
              </w:rPr>
              <w:t>4.2</w:t>
            </w:r>
          </w:p>
        </w:tc>
        <w:tc>
          <w:tcPr>
            <w:tcW w:w="4536" w:type="dxa"/>
          </w:tcPr>
          <w:p w14:paraId="4179E01A" w14:textId="517230EA" w:rsidR="0068185D" w:rsidRPr="00D30B5B" w:rsidRDefault="0068185D">
            <w:pPr>
              <w:rPr>
                <w:rFonts w:ascii="Times New Roman" w:hAnsi="Times New Roman" w:cs="Times New Roman"/>
                <w:bCs/>
              </w:rPr>
            </w:pPr>
            <w:r w:rsidRPr="00D30B5B">
              <w:rPr>
                <w:rFonts w:ascii="Times New Roman" w:hAnsi="Times New Roman" w:cs="Times New Roman"/>
              </w:rPr>
              <w:t>Pareiškėjui ir partneriui (-</w:t>
            </w:r>
            <w:proofErr w:type="spellStart"/>
            <w:r w:rsidRPr="00D30B5B">
              <w:rPr>
                <w:rFonts w:ascii="Times New Roman" w:hAnsi="Times New Roman" w:cs="Times New Roman"/>
              </w:rPr>
              <w:t>iams</w:t>
            </w:r>
            <w:proofErr w:type="spellEnd"/>
            <w:r w:rsidRPr="00D30B5B">
              <w:rPr>
                <w:rFonts w:ascii="Times New Roman" w:hAnsi="Times New Roman" w:cs="Times New Roman"/>
              </w:rPr>
              <w:t>) nėra apribojimų gauti finansavimą (</w:t>
            </w:r>
            <w:r w:rsidRPr="00D30B5B">
              <w:rPr>
                <w:rFonts w:ascii="Times New Roman" w:hAnsi="Times New Roman" w:cs="Times New Roman"/>
                <w:i/>
              </w:rPr>
              <w:t xml:space="preserve">vertinant atitiktį šiam kriterijui vadovaujamasi pareiškėjo ir partnerio pateiktomis deklaracijomis. </w:t>
            </w:r>
            <w:r w:rsidRPr="00D30B5B">
              <w:rPr>
                <w:rFonts w:ascii="Times New Roman" w:hAnsi="Times New Roman" w:cs="Times New Roman"/>
                <w:i/>
                <w:strike/>
              </w:rPr>
              <w:t>Pareiškėjo</w:t>
            </w:r>
            <w:r w:rsidRPr="00D30B5B">
              <w:rPr>
                <w:rFonts w:ascii="Times New Roman" w:hAnsi="Times New Roman" w:cs="Times New Roman"/>
                <w:i/>
              </w:rPr>
              <w:t xml:space="preserve"> </w:t>
            </w:r>
            <w:r w:rsidRPr="00D32D22">
              <w:rPr>
                <w:rFonts w:ascii="Times New Roman" w:hAnsi="Times New Roman" w:cs="Times New Roman"/>
                <w:b/>
                <w:bCs/>
                <w:i/>
                <w:color w:val="FF0000"/>
              </w:rPr>
              <w:t>Pareiškėjų</w:t>
            </w:r>
            <w:r w:rsidRPr="00D30B5B">
              <w:rPr>
                <w:rFonts w:ascii="Times New Roman" w:hAnsi="Times New Roman" w:cs="Times New Roman"/>
                <w:i/>
              </w:rPr>
              <w:t xml:space="preserve"> ir </w:t>
            </w:r>
            <w:r w:rsidRPr="00D30B5B">
              <w:rPr>
                <w:rFonts w:ascii="Times New Roman" w:hAnsi="Times New Roman" w:cs="Times New Roman"/>
                <w:i/>
                <w:strike/>
              </w:rPr>
              <w:t>partnerio</w:t>
            </w:r>
            <w:r w:rsidRPr="00D30B5B">
              <w:rPr>
                <w:rFonts w:ascii="Times New Roman" w:hAnsi="Times New Roman" w:cs="Times New Roman"/>
                <w:i/>
              </w:rPr>
              <w:t xml:space="preserve"> </w:t>
            </w:r>
            <w:r w:rsidRPr="00D32D22">
              <w:rPr>
                <w:rFonts w:ascii="Times New Roman" w:hAnsi="Times New Roman" w:cs="Times New Roman"/>
                <w:b/>
                <w:bCs/>
                <w:i/>
                <w:color w:val="FF0000"/>
              </w:rPr>
              <w:t>partnerių</w:t>
            </w:r>
            <w:r w:rsidRPr="00D30B5B">
              <w:rPr>
                <w:rFonts w:ascii="Times New Roman" w:hAnsi="Times New Roman" w:cs="Times New Roman"/>
                <w:i/>
              </w:rPr>
              <w:t xml:space="preserve"> deklaracijose pateiktų teiginių dėl šiame papunktyje nurodytų apribojimų tikrumas tikrinamas atrankos būdu. Tikrinimo imtis turi būti sudaroma </w:t>
            </w:r>
            <w:r w:rsidRPr="00D30B5B">
              <w:rPr>
                <w:rFonts w:ascii="Times New Roman" w:hAnsi="Times New Roman" w:cs="Times New Roman"/>
                <w:i/>
                <w:strike/>
              </w:rPr>
              <w:t>derinant rizika grįstos ir atsitiktinės (ne mažiau kaip 5 procentai) atrankos metodus</w:t>
            </w:r>
            <w:r w:rsidRPr="00D30B5B">
              <w:rPr>
                <w:rFonts w:ascii="Times New Roman" w:hAnsi="Times New Roman" w:cs="Times New Roman"/>
                <w:i/>
              </w:rPr>
              <w:t xml:space="preserve"> </w:t>
            </w:r>
            <w:r w:rsidRPr="00D32D22">
              <w:rPr>
                <w:rFonts w:ascii="Times New Roman" w:hAnsi="Times New Roman" w:cs="Times New Roman"/>
                <w:b/>
                <w:bCs/>
                <w:i/>
                <w:color w:val="FF0000"/>
              </w:rPr>
              <w:t>iš ekspertiniu būdu atrinktų rizikingų deklaracijų ir atsitiktiniu būdu atrinktų (bendrai ne mažiau kaip 5 procentai) deklaracijų</w:t>
            </w:r>
            <w:r w:rsidRPr="00D32D22">
              <w:rPr>
                <w:rFonts w:ascii="Times New Roman" w:hAnsi="Times New Roman" w:cs="Times New Roman"/>
                <w:color w:val="FF0000"/>
              </w:rPr>
              <w:t>:</w:t>
            </w:r>
          </w:p>
        </w:tc>
        <w:tc>
          <w:tcPr>
            <w:tcW w:w="4111" w:type="dxa"/>
          </w:tcPr>
          <w:p w14:paraId="7B972D46" w14:textId="77777777" w:rsidR="0068185D" w:rsidRPr="00D30B5B" w:rsidRDefault="0068185D">
            <w:pPr>
              <w:rPr>
                <w:rFonts w:ascii="Times New Roman" w:hAnsi="Times New Roman" w:cs="Times New Roman"/>
                <w:bCs/>
              </w:rPr>
            </w:pPr>
          </w:p>
        </w:tc>
        <w:tc>
          <w:tcPr>
            <w:tcW w:w="844" w:type="dxa"/>
          </w:tcPr>
          <w:p w14:paraId="71B0D50E" w14:textId="77777777" w:rsidR="0068185D" w:rsidRPr="00D30B5B" w:rsidRDefault="0068185D">
            <w:pPr>
              <w:rPr>
                <w:rFonts w:ascii="Times New Roman" w:hAnsi="Times New Roman" w:cs="Times New Roman"/>
                <w:bCs/>
              </w:rPr>
            </w:pPr>
          </w:p>
        </w:tc>
      </w:tr>
      <w:tr w:rsidR="0068185D" w:rsidRPr="00D30B5B" w14:paraId="5705F7BE" w14:textId="77777777" w:rsidTr="0068185D">
        <w:tc>
          <w:tcPr>
            <w:tcW w:w="851" w:type="dxa"/>
          </w:tcPr>
          <w:p w14:paraId="2EF71A52" w14:textId="7E1B53DB" w:rsidR="0068185D" w:rsidRPr="00D30B5B" w:rsidRDefault="0068185D">
            <w:pPr>
              <w:rPr>
                <w:rFonts w:ascii="Times New Roman" w:hAnsi="Times New Roman" w:cs="Times New Roman"/>
                <w:bCs/>
              </w:rPr>
            </w:pPr>
            <w:r w:rsidRPr="00D30B5B">
              <w:rPr>
                <w:rFonts w:ascii="Times New Roman" w:hAnsi="Times New Roman" w:cs="Times New Roman"/>
                <w:bCs/>
              </w:rPr>
              <w:t>4.2.1</w:t>
            </w:r>
          </w:p>
        </w:tc>
        <w:tc>
          <w:tcPr>
            <w:tcW w:w="4536" w:type="dxa"/>
          </w:tcPr>
          <w:p w14:paraId="58B9751C" w14:textId="7EFCB1EE" w:rsidR="0068185D" w:rsidRPr="00D30B5B" w:rsidRDefault="0068185D">
            <w:pPr>
              <w:rPr>
                <w:rFonts w:ascii="Times New Roman" w:hAnsi="Times New Roman" w:cs="Times New Roman"/>
              </w:rPr>
            </w:pPr>
            <w:r w:rsidRPr="00D30B5B">
              <w:rPr>
                <w:rFonts w:ascii="Times New Roman" w:hAnsi="Times New Roman" w:cs="Times New Roman"/>
              </w:rPr>
              <w:t>pareiškėjui ir partneriui (-</w:t>
            </w:r>
            <w:proofErr w:type="spellStart"/>
            <w:r w:rsidRPr="00D30B5B">
              <w:rPr>
                <w:rFonts w:ascii="Times New Roman" w:hAnsi="Times New Roman" w:cs="Times New Roman"/>
              </w:rPr>
              <w:t>iams</w:t>
            </w:r>
            <w:proofErr w:type="spellEnd"/>
            <w:r w:rsidRPr="00D30B5B">
              <w:rPr>
                <w:rFonts w:ascii="Times New Roman" w:hAnsi="Times New Roman" w:cs="Times New Roman"/>
              </w:rPr>
              <w:t xml:space="preserve">), kurie yra juridiniai asmenys, nėra iškelta byla dėl bankroto arba jis (jie) nėra likviduojamas (-i), nėra priimtas kreditorių susirinkimo nutarimas bankroto procedūras vykdyti ne teismo tvarka (ši nuostata netaikoma biudžetinėms įstaigoms). </w:t>
            </w:r>
            <w:r w:rsidRPr="00D30B5B">
              <w:rPr>
                <w:rFonts w:ascii="Times New Roman" w:hAnsi="Times New Roman" w:cs="Times New Roman"/>
              </w:rPr>
              <w:lastRenderedPageBreak/>
              <w:t>Pareiškėjui ir partneriui (-</w:t>
            </w:r>
            <w:proofErr w:type="spellStart"/>
            <w:r w:rsidRPr="00D30B5B">
              <w:rPr>
                <w:rFonts w:ascii="Times New Roman" w:hAnsi="Times New Roman" w:cs="Times New Roman"/>
              </w:rPr>
              <w:t>iams</w:t>
            </w:r>
            <w:proofErr w:type="spellEnd"/>
            <w:r w:rsidRPr="00D30B5B">
              <w:rPr>
                <w:rFonts w:ascii="Times New Roman" w:hAnsi="Times New Roman" w:cs="Times New Roman"/>
              </w:rPr>
              <w:t>), kurie yra juridiniai asmenys, t. y. vadovui, naudos gavėjui, kaip jis apibrėžtas Lietuvos Respublikos pinigų plovimo ir teroristų finansavimo prevencijos įstatymo 2 straipsnio 14 dalyje (toliau – naudos gavėjas), ar savininkui, ūkinės bendrijos tikrajam nariui (-</w:t>
            </w:r>
            <w:proofErr w:type="spellStart"/>
            <w:r w:rsidRPr="00D30B5B">
              <w:rPr>
                <w:rFonts w:ascii="Times New Roman" w:hAnsi="Times New Roman" w:cs="Times New Roman"/>
              </w:rPr>
              <w:t>iams</w:t>
            </w:r>
            <w:proofErr w:type="spellEnd"/>
            <w:r w:rsidRPr="00D30B5B">
              <w:rPr>
                <w:rFonts w:ascii="Times New Roman" w:hAnsi="Times New Roman" w:cs="Times New Roman"/>
              </w:rPr>
              <w:t>) ar mažosios bendrijos atstovui (-</w:t>
            </w:r>
            <w:proofErr w:type="spellStart"/>
            <w:r w:rsidRPr="00D30B5B">
              <w:rPr>
                <w:rFonts w:ascii="Times New Roman" w:hAnsi="Times New Roman" w:cs="Times New Roman"/>
              </w:rPr>
              <w:t>ams</w:t>
            </w:r>
            <w:proofErr w:type="spellEnd"/>
            <w:r w:rsidRPr="00D30B5B">
              <w:rPr>
                <w:rFonts w:ascii="Times New Roman" w:hAnsi="Times New Roman" w:cs="Times New Roman"/>
              </w:rPr>
              <w:t>), turinčiam (-</w:t>
            </w:r>
            <w:proofErr w:type="spellStart"/>
            <w:r w:rsidRPr="00D30B5B">
              <w:rPr>
                <w:rFonts w:ascii="Times New Roman" w:hAnsi="Times New Roman" w:cs="Times New Roman"/>
              </w:rPr>
              <w:t>iems</w:t>
            </w:r>
            <w:proofErr w:type="spellEnd"/>
            <w:r w:rsidRPr="00D30B5B">
              <w:rPr>
                <w:rFonts w:ascii="Times New Roman" w:hAnsi="Times New Roman" w:cs="Times New Roman"/>
              </w:rPr>
              <w:t xml:space="preserve">) teisę juridinio asmens vardu sudaryti sandorį, ar finansinę apskaitą (toliau – apskaita) tvarkančiam asmeniui (asmenims), ar kitam (kitiems) asmeniui (asmenims), turinčiam (-tiems) teisę surašyti ir pasirašyti pareiškėjo </w:t>
            </w:r>
            <w:r w:rsidRPr="00D32D22">
              <w:rPr>
                <w:rFonts w:ascii="Times New Roman" w:hAnsi="Times New Roman" w:cs="Times New Roman"/>
                <w:b/>
                <w:bCs/>
                <w:color w:val="FF0000"/>
              </w:rPr>
              <w:t>ir partnerio (-</w:t>
            </w:r>
            <w:proofErr w:type="spellStart"/>
            <w:r w:rsidRPr="00D32D22">
              <w:rPr>
                <w:rFonts w:ascii="Times New Roman" w:hAnsi="Times New Roman" w:cs="Times New Roman"/>
                <w:b/>
                <w:bCs/>
                <w:color w:val="FF0000"/>
              </w:rPr>
              <w:t>ių</w:t>
            </w:r>
            <w:proofErr w:type="spellEnd"/>
            <w:r w:rsidRPr="00D32D22">
              <w:rPr>
                <w:rFonts w:ascii="Times New Roman" w:hAnsi="Times New Roman" w:cs="Times New Roman"/>
                <w:b/>
                <w:bCs/>
                <w:color w:val="FF0000"/>
              </w:rPr>
              <w:t>)</w:t>
            </w:r>
            <w:r w:rsidRPr="00D30B5B">
              <w:rPr>
                <w:rFonts w:ascii="Times New Roman" w:hAnsi="Times New Roman" w:cs="Times New Roman"/>
              </w:rPr>
              <w:t xml:space="preserve"> apskaitos dokumentus, arba jungtinio projekto </w:t>
            </w:r>
            <w:proofErr w:type="spellStart"/>
            <w:r w:rsidRPr="00D30B5B">
              <w:rPr>
                <w:rFonts w:ascii="Times New Roman" w:hAnsi="Times New Roman" w:cs="Times New Roman"/>
              </w:rPr>
              <w:t>projekto</w:t>
            </w:r>
            <w:proofErr w:type="spellEnd"/>
            <w:r w:rsidRPr="00D30B5B">
              <w:rPr>
                <w:rFonts w:ascii="Times New Roman" w:hAnsi="Times New Roman" w:cs="Times New Roman"/>
              </w:rPr>
              <w:t xml:space="preserve"> pareiškėjui, kuris yra fizinis asmuo, nėra pradėtas ikiteisminis tyrimas dėl ūkinės ir (arba) ekonominės veiklos. Jungtinio projekto </w:t>
            </w:r>
            <w:proofErr w:type="spellStart"/>
            <w:r w:rsidRPr="00D30B5B">
              <w:rPr>
                <w:rFonts w:ascii="Times New Roman" w:hAnsi="Times New Roman" w:cs="Times New Roman"/>
              </w:rPr>
              <w:t>projekto</w:t>
            </w:r>
            <w:proofErr w:type="spellEnd"/>
            <w:r w:rsidRPr="00D30B5B">
              <w:rPr>
                <w:rFonts w:ascii="Times New Roman" w:hAnsi="Times New Roman" w:cs="Times New Roman"/>
              </w:rPr>
              <w:t xml:space="preserve"> pareiškėjui, kuris yra fizinis asmuo, nėra iškelta byla dėl bankroto;</w:t>
            </w:r>
          </w:p>
        </w:tc>
        <w:tc>
          <w:tcPr>
            <w:tcW w:w="4111" w:type="dxa"/>
          </w:tcPr>
          <w:p w14:paraId="5DCE8B49" w14:textId="6194ADB8" w:rsidR="0068185D" w:rsidRPr="00D30B5B" w:rsidRDefault="0068185D">
            <w:pPr>
              <w:rPr>
                <w:rFonts w:ascii="Times New Roman" w:hAnsi="Times New Roman" w:cs="Times New Roman"/>
                <w:bCs/>
              </w:rPr>
            </w:pPr>
            <w:r w:rsidRPr="00D30B5B">
              <w:rPr>
                <w:rFonts w:ascii="Times New Roman" w:hAnsi="Times New Roman" w:cs="Times New Roman"/>
                <w:i/>
                <w:color w:val="808080"/>
                <w:lang w:eastAsia="lt-LT"/>
              </w:rPr>
              <w:lastRenderedPageBreak/>
              <w:t xml:space="preserve">(Vertinama projekto įgyvendinimo plano vertinimo metu nuo projekto įgyvendinimo plano pateikimo dienos nepažeidžiant Projektų administravimo ir finansavimo taisyklių, patvirtintų Lietuvos Respublikos finansų ministro 2022 m. birželio 22 d. </w:t>
            </w:r>
            <w:r w:rsidRPr="00D30B5B">
              <w:rPr>
                <w:rFonts w:ascii="Times New Roman" w:hAnsi="Times New Roman" w:cs="Times New Roman"/>
                <w:i/>
                <w:color w:val="808080"/>
                <w:lang w:eastAsia="lt-LT"/>
              </w:rPr>
              <w:lastRenderedPageBreak/>
              <w:t>įsakymu Nr. 1K-237 „Dėl 2021–2027 metų Europos Sąjungos fondų investicijų programos ir Ekonomikos gaivinimo ir atsparumo didinimo plano „Naujos kartos Lietuva“ įgyvendinimo“ (toliau –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r w:rsidR="000601D4" w:rsidRPr="000601D4">
              <w:rPr>
                <w:rFonts w:ascii="Times New Roman" w:hAnsi="Times New Roman" w:cs="Times New Roman"/>
                <w:iCs/>
                <w:lang w:eastAsia="lt-LT"/>
              </w:rPr>
              <w:t>“.</w:t>
            </w:r>
          </w:p>
        </w:tc>
        <w:tc>
          <w:tcPr>
            <w:tcW w:w="844" w:type="dxa"/>
          </w:tcPr>
          <w:p w14:paraId="57C260BC" w14:textId="77777777" w:rsidR="0068185D" w:rsidRPr="00D30B5B" w:rsidRDefault="0068185D">
            <w:pPr>
              <w:rPr>
                <w:rFonts w:ascii="Times New Roman" w:hAnsi="Times New Roman" w:cs="Times New Roman"/>
                <w:bCs/>
              </w:rPr>
            </w:pPr>
          </w:p>
        </w:tc>
      </w:tr>
    </w:tbl>
    <w:p w14:paraId="362A91CB" w14:textId="77777777" w:rsidR="0068185D" w:rsidRDefault="0068185D">
      <w:pPr>
        <w:rPr>
          <w:rFonts w:ascii="Times New Roman" w:hAnsi="Times New Roman" w:cs="Times New Roman"/>
          <w:bCs/>
          <w:szCs w:val="24"/>
        </w:rPr>
      </w:pPr>
    </w:p>
    <w:p w14:paraId="0E350C50" w14:textId="01D96C09" w:rsidR="000601D4" w:rsidRDefault="000601D4">
      <w:pPr>
        <w:rPr>
          <w:rFonts w:ascii="Times New Roman" w:hAnsi="Times New Roman" w:cs="Times New Roman"/>
          <w:bCs/>
          <w:szCs w:val="24"/>
        </w:rPr>
      </w:pPr>
      <w:r>
        <w:rPr>
          <w:rFonts w:ascii="Times New Roman" w:hAnsi="Times New Roman" w:cs="Times New Roman"/>
          <w:bCs/>
          <w:szCs w:val="24"/>
        </w:rPr>
        <w:t>&lt;...&gt;</w:t>
      </w:r>
    </w:p>
    <w:tbl>
      <w:tblPr>
        <w:tblStyle w:val="TableGrid"/>
        <w:tblW w:w="0" w:type="auto"/>
        <w:tblInd w:w="-714" w:type="dxa"/>
        <w:tblLook w:val="04A0" w:firstRow="1" w:lastRow="0" w:firstColumn="1" w:lastColumn="0" w:noHBand="0" w:noVBand="1"/>
      </w:tblPr>
      <w:tblGrid>
        <w:gridCol w:w="779"/>
        <w:gridCol w:w="4608"/>
        <w:gridCol w:w="4111"/>
        <w:gridCol w:w="844"/>
      </w:tblGrid>
      <w:tr w:rsidR="000601D4" w:rsidRPr="00D30B5B" w14:paraId="7F1AA057" w14:textId="6F395BF4" w:rsidTr="000601D4">
        <w:tc>
          <w:tcPr>
            <w:tcW w:w="779" w:type="dxa"/>
          </w:tcPr>
          <w:p w14:paraId="1D251195" w14:textId="59AE8FF2" w:rsidR="000601D4" w:rsidRPr="00D30B5B" w:rsidRDefault="000601D4" w:rsidP="0033738F">
            <w:pPr>
              <w:rPr>
                <w:rFonts w:ascii="Times New Roman" w:hAnsi="Times New Roman" w:cs="Times New Roman"/>
                <w:bCs/>
              </w:rPr>
            </w:pPr>
            <w:r>
              <w:rPr>
                <w:rFonts w:ascii="Times New Roman" w:hAnsi="Times New Roman" w:cs="Times New Roman"/>
                <w:bCs/>
              </w:rPr>
              <w:t>„4</w:t>
            </w:r>
            <w:r w:rsidRPr="00D30B5B">
              <w:rPr>
                <w:rFonts w:ascii="Times New Roman" w:hAnsi="Times New Roman" w:cs="Times New Roman"/>
                <w:bCs/>
              </w:rPr>
              <w:t>.2.3</w:t>
            </w:r>
          </w:p>
        </w:tc>
        <w:tc>
          <w:tcPr>
            <w:tcW w:w="4608" w:type="dxa"/>
          </w:tcPr>
          <w:p w14:paraId="3220428B" w14:textId="77777777" w:rsidR="000601D4" w:rsidRPr="00D30B5B" w:rsidRDefault="000601D4" w:rsidP="0033738F">
            <w:pPr>
              <w:rPr>
                <w:rFonts w:ascii="Times New Roman" w:hAnsi="Times New Roman" w:cs="Times New Roman"/>
              </w:rPr>
            </w:pPr>
            <w:r w:rsidRPr="00D30B5B">
              <w:rPr>
                <w:rFonts w:ascii="Times New Roman" w:hAnsi="Times New Roman" w:cs="Times New Roman"/>
                <w:color w:val="000000"/>
                <w:shd w:val="clear" w:color="auto" w:fill="FFFFFF"/>
              </w:rPr>
              <w:t>pareiškėjas ir partneris (-</w:t>
            </w:r>
            <w:proofErr w:type="spellStart"/>
            <w:r w:rsidRPr="00D30B5B">
              <w:rPr>
                <w:rFonts w:ascii="Times New Roman" w:hAnsi="Times New Roman" w:cs="Times New Roman"/>
                <w:color w:val="000000"/>
                <w:shd w:val="clear" w:color="auto" w:fill="FFFFFF"/>
              </w:rPr>
              <w:t>iai</w:t>
            </w:r>
            <w:proofErr w:type="spellEnd"/>
            <w:r w:rsidRPr="00D30B5B">
              <w:rPr>
                <w:rFonts w:ascii="Times New Roman" w:hAnsi="Times New Roman" w:cs="Times New Roman"/>
                <w:color w:val="000000"/>
                <w:shd w:val="clear" w:color="auto" w:fill="FFFFFF"/>
              </w:rPr>
              <w:t>) neturi neišnykusio arba nepanaikinto teistumo arba dėl pareiškėjo ir partnerio (-</w:t>
            </w:r>
            <w:proofErr w:type="spellStart"/>
            <w:r w:rsidRPr="00D30B5B">
              <w:rPr>
                <w:rFonts w:ascii="Times New Roman" w:hAnsi="Times New Roman" w:cs="Times New Roman"/>
                <w:color w:val="000000"/>
                <w:shd w:val="clear" w:color="auto" w:fill="FFFFFF"/>
              </w:rPr>
              <w:t>ių</w:t>
            </w:r>
            <w:proofErr w:type="spellEnd"/>
            <w:r w:rsidRPr="00D30B5B">
              <w:rPr>
                <w:rFonts w:ascii="Times New Roman" w:hAnsi="Times New Roman" w:cs="Times New Roman"/>
                <w:color w:val="000000"/>
                <w:shd w:val="clear" w:color="auto" w:fill="FFFFFF"/>
              </w:rPr>
              <w:t>) per pastaruosius 5 metus nebuvo priimtas ir įsiteisėjęs apkaltinamasis teismo nuosprendis dėl neteisėtos veiklos, kenkiančios Lietuvos Respublikos ir (arba) Europos Sąjungos finansiniams interesams, t. y. pareiškėjas ir partneris (-</w:t>
            </w:r>
            <w:proofErr w:type="spellStart"/>
            <w:r w:rsidRPr="00D30B5B">
              <w:rPr>
                <w:rFonts w:ascii="Times New Roman" w:hAnsi="Times New Roman" w:cs="Times New Roman"/>
                <w:color w:val="000000"/>
                <w:shd w:val="clear" w:color="auto" w:fill="FFFFFF"/>
              </w:rPr>
              <w:t>iai</w:t>
            </w:r>
            <w:proofErr w:type="spellEnd"/>
            <w:r w:rsidRPr="00D30B5B">
              <w:rPr>
                <w:rFonts w:ascii="Times New Roman" w:hAnsi="Times New Roman" w:cs="Times New Roman"/>
                <w:color w:val="000000"/>
                <w:shd w:val="clear" w:color="auto" w:fill="FFFFFF"/>
              </w:rPr>
              <w:t>), kurie yra fiziniai asmenys, arba pareiškėjo ir partnerio (-</w:t>
            </w:r>
            <w:proofErr w:type="spellStart"/>
            <w:r w:rsidRPr="00D30B5B">
              <w:rPr>
                <w:rFonts w:ascii="Times New Roman" w:hAnsi="Times New Roman" w:cs="Times New Roman"/>
                <w:color w:val="000000"/>
                <w:shd w:val="clear" w:color="auto" w:fill="FFFFFF"/>
              </w:rPr>
              <w:t>ių</w:t>
            </w:r>
            <w:proofErr w:type="spellEnd"/>
            <w:r w:rsidRPr="00D30B5B">
              <w:rPr>
                <w:rFonts w:ascii="Times New Roman" w:hAnsi="Times New Roman" w:cs="Times New Roman"/>
                <w:color w:val="000000"/>
                <w:shd w:val="clear" w:color="auto" w:fill="FFFFFF"/>
              </w:rPr>
              <w:t>), kurie yra juridiniai asmenys, vadovas, naudos gavėjas ar savininkas, ūkinės bendrijos tikrasis narys (-</w:t>
            </w:r>
            <w:proofErr w:type="spellStart"/>
            <w:r w:rsidRPr="00D30B5B">
              <w:rPr>
                <w:rFonts w:ascii="Times New Roman" w:hAnsi="Times New Roman" w:cs="Times New Roman"/>
                <w:color w:val="000000"/>
                <w:shd w:val="clear" w:color="auto" w:fill="FFFFFF"/>
              </w:rPr>
              <w:t>iai</w:t>
            </w:r>
            <w:proofErr w:type="spellEnd"/>
            <w:r w:rsidRPr="00D30B5B">
              <w:rPr>
                <w:rFonts w:ascii="Times New Roman" w:hAnsi="Times New Roman" w:cs="Times New Roman"/>
                <w:color w:val="000000"/>
                <w:shd w:val="clear" w:color="auto" w:fill="FFFFFF"/>
              </w:rPr>
              <w:t>) ar mažosios bendrijos atstovas (-ai), turintis (-</w:t>
            </w:r>
            <w:proofErr w:type="spellStart"/>
            <w:r w:rsidRPr="00D30B5B">
              <w:rPr>
                <w:rFonts w:ascii="Times New Roman" w:hAnsi="Times New Roman" w:cs="Times New Roman"/>
                <w:color w:val="000000"/>
                <w:shd w:val="clear" w:color="auto" w:fill="FFFFFF"/>
              </w:rPr>
              <w:t>ys</w:t>
            </w:r>
            <w:proofErr w:type="spellEnd"/>
            <w:r w:rsidRPr="00D30B5B">
              <w:rPr>
                <w:rFonts w:ascii="Times New Roman" w:hAnsi="Times New Roman" w:cs="Times New Roman"/>
                <w:color w:val="000000"/>
                <w:shd w:val="clear" w:color="auto" w:fill="FFFFFF"/>
              </w:rPr>
              <w:t>) teisę juridinio asmens vardu sudaryti sandorį, ar apskaitą tvarkantis asmuo (asmenys), ar kitas (kiti) asmuo (asmenys), turintis (-</w:t>
            </w:r>
            <w:proofErr w:type="spellStart"/>
            <w:r w:rsidRPr="00D30B5B">
              <w:rPr>
                <w:rFonts w:ascii="Times New Roman" w:hAnsi="Times New Roman" w:cs="Times New Roman"/>
                <w:color w:val="000000"/>
                <w:shd w:val="clear" w:color="auto" w:fill="FFFFFF"/>
              </w:rPr>
              <w:t>ys</w:t>
            </w:r>
            <w:proofErr w:type="spellEnd"/>
            <w:r w:rsidRPr="00D30B5B">
              <w:rPr>
                <w:rFonts w:ascii="Times New Roman" w:hAnsi="Times New Roman" w:cs="Times New Roman"/>
                <w:color w:val="000000"/>
                <w:shd w:val="clear" w:color="auto" w:fill="FFFFFF"/>
              </w:rPr>
              <w:t xml:space="preserve">) teisę surašyti ir pasirašyti pareiškėjo </w:t>
            </w:r>
            <w:r w:rsidRPr="00D32D22">
              <w:rPr>
                <w:rFonts w:ascii="Times New Roman" w:hAnsi="Times New Roman" w:cs="Times New Roman"/>
                <w:b/>
                <w:bCs/>
                <w:color w:val="FF0000"/>
                <w:shd w:val="clear" w:color="auto" w:fill="FFFFFF"/>
              </w:rPr>
              <w:t>ir partnerio (-</w:t>
            </w:r>
            <w:proofErr w:type="spellStart"/>
            <w:r w:rsidRPr="00D32D22">
              <w:rPr>
                <w:rFonts w:ascii="Times New Roman" w:hAnsi="Times New Roman" w:cs="Times New Roman"/>
                <w:b/>
                <w:bCs/>
                <w:color w:val="FF0000"/>
                <w:shd w:val="clear" w:color="auto" w:fill="FFFFFF"/>
              </w:rPr>
              <w:t>ių</w:t>
            </w:r>
            <w:proofErr w:type="spellEnd"/>
            <w:r w:rsidRPr="00D32D22">
              <w:rPr>
                <w:rFonts w:ascii="Times New Roman" w:hAnsi="Times New Roman" w:cs="Times New Roman"/>
                <w:color w:val="FF0000"/>
                <w:shd w:val="clear" w:color="auto" w:fill="FFFFFF"/>
              </w:rPr>
              <w:t>)</w:t>
            </w:r>
            <w:r w:rsidRPr="00D30B5B">
              <w:rPr>
                <w:rFonts w:ascii="Times New Roman" w:hAnsi="Times New Roman" w:cs="Times New Roman"/>
                <w:color w:val="000000"/>
                <w:shd w:val="clear" w:color="auto" w:fill="FFFFFF"/>
              </w:rPr>
              <w:t xml:space="preserve"> apskaitos dokumentus, neturi neišnykusio arba nepanaikinto teistumo arba dėl pareiškėjo ir partnerio (-</w:t>
            </w:r>
            <w:proofErr w:type="spellStart"/>
            <w:r w:rsidRPr="00D30B5B">
              <w:rPr>
                <w:rFonts w:ascii="Times New Roman" w:hAnsi="Times New Roman" w:cs="Times New Roman"/>
                <w:color w:val="000000"/>
                <w:shd w:val="clear" w:color="auto" w:fill="FFFFFF"/>
              </w:rPr>
              <w:t>ių</w:t>
            </w:r>
            <w:proofErr w:type="spellEnd"/>
            <w:r w:rsidRPr="00D30B5B">
              <w:rPr>
                <w:rFonts w:ascii="Times New Roman" w:hAnsi="Times New Roman" w:cs="Times New Roman"/>
                <w:color w:val="000000"/>
                <w:shd w:val="clear" w:color="auto" w:fill="FFFFFF"/>
              </w:rPr>
              <w:t xml:space="preserve">)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w:t>
            </w:r>
            <w:r w:rsidRPr="00D30B5B">
              <w:rPr>
                <w:rFonts w:ascii="Times New Roman" w:hAnsi="Times New Roman" w:cs="Times New Roman"/>
                <w:color w:val="000000"/>
                <w:shd w:val="clear" w:color="auto" w:fill="FFFFFF"/>
              </w:rPr>
              <w:lastRenderedPageBreak/>
              <w:t>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2 dalyje;</w:t>
            </w:r>
          </w:p>
        </w:tc>
        <w:tc>
          <w:tcPr>
            <w:tcW w:w="4111" w:type="dxa"/>
          </w:tcPr>
          <w:p w14:paraId="1AA597EE" w14:textId="77777777" w:rsidR="000601D4" w:rsidRPr="00D30B5B" w:rsidRDefault="000601D4" w:rsidP="0033738F">
            <w:pPr>
              <w:rPr>
                <w:rFonts w:ascii="Times New Roman" w:hAnsi="Times New Roman" w:cs="Times New Roman"/>
                <w:color w:val="000000"/>
                <w:lang w:eastAsia="ko-KR"/>
              </w:rPr>
            </w:pPr>
            <w:r w:rsidRPr="00D30B5B">
              <w:rPr>
                <w:rFonts w:ascii="Times New Roman" w:hAnsi="Times New Roman" w:cs="Times New Roman"/>
                <w:i/>
                <w:iCs/>
                <w:color w:val="808080"/>
                <w:lang w:eastAsia="ko-KR"/>
              </w:rPr>
              <w:lastRenderedPageBreak/>
              <w:t>(Netaikoma biudžetinėms įstaigoms ir asmenims, kuriems Lietuvos Respublikos, Europos Sąjungos arba kitos valstybės, išskyrus Rusijos Federaciją ir Baltarusijos Respubliką, teisės aktų nustatyta tvarka taikomas nepriekaištingos reputacijos reikalavimas.</w:t>
            </w:r>
          </w:p>
          <w:p w14:paraId="5DC2393C" w14:textId="709DD648" w:rsidR="000601D4" w:rsidRPr="00D30B5B" w:rsidRDefault="000601D4" w:rsidP="0033738F">
            <w:pPr>
              <w:rPr>
                <w:rFonts w:ascii="Times New Roman" w:hAnsi="Times New Roman" w:cs="Times New Roman"/>
                <w:bCs/>
              </w:rPr>
            </w:pPr>
            <w:r w:rsidRPr="00D30B5B">
              <w:rPr>
                <w:rFonts w:ascii="Times New Roman" w:hAnsi="Times New Roman" w:cs="Times New Roman"/>
                <w:i/>
                <w:iCs/>
                <w:color w:val="808080"/>
                <w:lang w:eastAsia="ko-KR"/>
              </w:rPr>
              <w:t>Vertinama projekto įgyvendinimo plano vertinimo metu nuo projekto įgyvendinimo plano pateikimo dienos, nepažeidžiant PAFT 48 punkto nuostatų. Pakartotinai nevertinama, jei kriterijus buvo įvertintas projektui suteikiant pažangumo ženklą arba projektas atrinktas, bet nefinansuotas</w:t>
            </w:r>
            <w:r w:rsidRPr="00D30B5B">
              <w:rPr>
                <w:rFonts w:ascii="Times New Roman" w:hAnsi="Times New Roman" w:cs="Times New Roman"/>
                <w:b/>
                <w:bCs/>
                <w:i/>
                <w:iCs/>
                <w:color w:val="808080"/>
                <w:lang w:eastAsia="ko-KR"/>
              </w:rPr>
              <w:t> </w:t>
            </w:r>
            <w:r w:rsidRPr="00D30B5B">
              <w:rPr>
                <w:rFonts w:ascii="Times New Roman" w:hAnsi="Times New Roman" w:cs="Times New Roman"/>
                <w:i/>
                <w:iCs/>
                <w:color w:val="808080"/>
                <w:lang w:eastAsia="ko-KR"/>
              </w:rPr>
              <w:t>arba bendrai finansuojamas pagal programą „Europos horizontas“, įskaitant Europos atominės energijos bendrijos mokslinių tyrimų ir mokymo programą, papildančią programą „Europos horizontas“, nepažeidžiant PAFT 48 punkto nuostatų)</w:t>
            </w:r>
            <w:r w:rsidRPr="000601D4">
              <w:rPr>
                <w:rFonts w:ascii="Times New Roman" w:hAnsi="Times New Roman" w:cs="Times New Roman"/>
                <w:lang w:eastAsia="ko-KR"/>
              </w:rPr>
              <w:t>“.</w:t>
            </w:r>
          </w:p>
        </w:tc>
        <w:tc>
          <w:tcPr>
            <w:tcW w:w="844" w:type="dxa"/>
          </w:tcPr>
          <w:p w14:paraId="068988C5" w14:textId="77777777" w:rsidR="000601D4" w:rsidRPr="00D30B5B" w:rsidRDefault="000601D4" w:rsidP="0033738F">
            <w:pPr>
              <w:rPr>
                <w:rFonts w:ascii="Times New Roman" w:hAnsi="Times New Roman" w:cs="Times New Roman"/>
                <w:i/>
                <w:iCs/>
                <w:color w:val="808080"/>
                <w:lang w:eastAsia="ko-KR"/>
              </w:rPr>
            </w:pPr>
          </w:p>
        </w:tc>
      </w:tr>
    </w:tbl>
    <w:p w14:paraId="10A8E2A2" w14:textId="77777777" w:rsidR="000601D4" w:rsidRDefault="000601D4">
      <w:pPr>
        <w:rPr>
          <w:rFonts w:ascii="Times New Roman" w:hAnsi="Times New Roman" w:cs="Times New Roman"/>
          <w:bCs/>
          <w:szCs w:val="24"/>
        </w:rPr>
      </w:pPr>
    </w:p>
    <w:p w14:paraId="1430AB01" w14:textId="68AE91ED" w:rsidR="000601D4" w:rsidRDefault="000601D4">
      <w:pPr>
        <w:rPr>
          <w:rFonts w:ascii="Times New Roman" w:hAnsi="Times New Roman" w:cs="Times New Roman"/>
          <w:bCs/>
          <w:szCs w:val="24"/>
        </w:rPr>
      </w:pPr>
      <w:r>
        <w:rPr>
          <w:rFonts w:ascii="Times New Roman" w:hAnsi="Times New Roman" w:cs="Times New Roman"/>
          <w:bCs/>
          <w:szCs w:val="24"/>
        </w:rPr>
        <w:t>&lt;...&gt;</w:t>
      </w:r>
    </w:p>
    <w:tbl>
      <w:tblPr>
        <w:tblStyle w:val="TableGrid"/>
        <w:tblW w:w="0" w:type="auto"/>
        <w:tblInd w:w="-714" w:type="dxa"/>
        <w:tblLook w:val="04A0" w:firstRow="1" w:lastRow="0" w:firstColumn="1" w:lastColumn="0" w:noHBand="0" w:noVBand="1"/>
      </w:tblPr>
      <w:tblGrid>
        <w:gridCol w:w="879"/>
        <w:gridCol w:w="4533"/>
        <w:gridCol w:w="4091"/>
        <w:gridCol w:w="839"/>
      </w:tblGrid>
      <w:tr w:rsidR="000601D4" w:rsidRPr="00D30B5B" w14:paraId="05049272" w14:textId="16008287" w:rsidTr="000601D4">
        <w:tc>
          <w:tcPr>
            <w:tcW w:w="827" w:type="dxa"/>
          </w:tcPr>
          <w:p w14:paraId="1A86AEA5" w14:textId="30F5DA2D" w:rsidR="000601D4" w:rsidRPr="00D30B5B" w:rsidRDefault="000601D4" w:rsidP="0033738F">
            <w:pPr>
              <w:rPr>
                <w:rFonts w:ascii="Times New Roman" w:hAnsi="Times New Roman" w:cs="Times New Roman"/>
                <w:strike/>
              </w:rPr>
            </w:pPr>
            <w:r w:rsidRPr="000601D4">
              <w:rPr>
                <w:rFonts w:ascii="Times New Roman" w:hAnsi="Times New Roman" w:cs="Times New Roman"/>
              </w:rPr>
              <w:t>„</w:t>
            </w:r>
            <w:r w:rsidRPr="00D30B5B">
              <w:rPr>
                <w:rFonts w:ascii="Times New Roman" w:hAnsi="Times New Roman" w:cs="Times New Roman"/>
                <w:strike/>
              </w:rPr>
              <w:t>4.2.4</w:t>
            </w:r>
            <w:r w:rsidRPr="00D30B5B">
              <w:rPr>
                <w:rFonts w:ascii="Times New Roman" w:hAnsi="Times New Roman" w:cs="Times New Roman"/>
                <w:strike/>
                <w:vertAlign w:val="superscript"/>
              </w:rPr>
              <w:t>1</w:t>
            </w:r>
            <w:r w:rsidRPr="00D30B5B">
              <w:rPr>
                <w:rFonts w:ascii="Times New Roman" w:hAnsi="Times New Roman" w:cs="Times New Roman"/>
                <w:strike/>
              </w:rPr>
              <w:t>.</w:t>
            </w:r>
          </w:p>
          <w:p w14:paraId="3BE6BAA5" w14:textId="77777777" w:rsidR="000601D4" w:rsidRPr="00D30B5B" w:rsidRDefault="000601D4" w:rsidP="0033738F">
            <w:pPr>
              <w:rPr>
                <w:rFonts w:ascii="Times New Roman" w:hAnsi="Times New Roman" w:cs="Times New Roman"/>
                <w:bCs/>
              </w:rPr>
            </w:pPr>
            <w:r w:rsidRPr="00D32D22">
              <w:rPr>
                <w:rFonts w:ascii="Times New Roman" w:hAnsi="Times New Roman" w:cs="Times New Roman"/>
                <w:b/>
                <w:bCs/>
                <w:color w:val="FF0000"/>
              </w:rPr>
              <w:t>4.2.5.</w:t>
            </w:r>
          </w:p>
        </w:tc>
        <w:tc>
          <w:tcPr>
            <w:tcW w:w="4560" w:type="dxa"/>
          </w:tcPr>
          <w:p w14:paraId="1D932974" w14:textId="77777777" w:rsidR="000601D4" w:rsidRPr="00D30B5B" w:rsidRDefault="000601D4" w:rsidP="0033738F">
            <w:pPr>
              <w:tabs>
                <w:tab w:val="left" w:pos="1134"/>
                <w:tab w:val="left" w:pos="1560"/>
              </w:tabs>
              <w:jc w:val="both"/>
              <w:rPr>
                <w:rFonts w:ascii="Times New Roman" w:hAnsi="Times New Roman" w:cs="Times New Roman"/>
              </w:rPr>
            </w:pPr>
            <w:r w:rsidRPr="00D30B5B">
              <w:rPr>
                <w:rFonts w:ascii="Times New Roman" w:hAnsi="Times New Roman" w:cs="Times New Roman"/>
              </w:rPr>
              <w:t>pareiškėjo ir partnerio (-</w:t>
            </w:r>
            <w:proofErr w:type="spellStart"/>
            <w:r w:rsidRPr="00D30B5B">
              <w:rPr>
                <w:rFonts w:ascii="Times New Roman" w:hAnsi="Times New Roman" w:cs="Times New Roman"/>
              </w:rPr>
              <w:t>ių</w:t>
            </w:r>
            <w:proofErr w:type="spellEnd"/>
            <w:r w:rsidRPr="00D30B5B">
              <w:rPr>
                <w:rFonts w:ascii="Times New Roman" w:hAnsi="Times New Roman" w:cs="Times New Roman"/>
              </w:rPr>
              <w:t xml:space="preserve">) planuojamos veiklos nėra tokios veiklos, kurias vykdant būtų pažeisti investicijų tęstinumo reikalavimai </w:t>
            </w:r>
            <w:r w:rsidRPr="00D30B5B">
              <w:rPr>
                <w:rFonts w:ascii="Times New Roman" w:hAnsi="Times New Roman" w:cs="Times New Roman"/>
                <w:color w:val="000000"/>
              </w:rPr>
              <w:t>ta apimtimi, kokia nustatyta valstybės pagalbos taisyklėse ir PFSA,</w:t>
            </w:r>
            <w:r w:rsidRPr="00D30B5B">
              <w:rPr>
                <w:rFonts w:ascii="Times New Roman" w:hAnsi="Times New Roman" w:cs="Times New Roman"/>
              </w:rPr>
              <w:t xml:space="preserve"> </w:t>
            </w:r>
            <w:r w:rsidRPr="00D30B5B">
              <w:rPr>
                <w:rFonts w:ascii="Times New Roman" w:hAnsi="Times New Roman" w:cs="Times New Roman"/>
                <w:color w:val="000000"/>
              </w:rPr>
              <w:t xml:space="preserve">o kai įgyvendinami </w:t>
            </w:r>
            <w:proofErr w:type="spellStart"/>
            <w:r w:rsidRPr="00D30B5B">
              <w:rPr>
                <w:rFonts w:ascii="Times New Roman" w:hAnsi="Times New Roman" w:cs="Times New Roman"/>
                <w:color w:val="000000"/>
              </w:rPr>
              <w:t>RPPl</w:t>
            </w:r>
            <w:proofErr w:type="spellEnd"/>
            <w:r w:rsidRPr="00D30B5B">
              <w:rPr>
                <w:rFonts w:ascii="Times New Roman" w:hAnsi="Times New Roman" w:cs="Times New Roman"/>
                <w:color w:val="000000"/>
              </w:rPr>
              <w:t xml:space="preserve"> projektai, – Gairėse;</w:t>
            </w:r>
          </w:p>
          <w:p w14:paraId="31AA14FE" w14:textId="77777777" w:rsidR="000601D4" w:rsidRPr="00D30B5B" w:rsidRDefault="000601D4" w:rsidP="0033738F">
            <w:pPr>
              <w:rPr>
                <w:rFonts w:ascii="Times New Roman" w:hAnsi="Times New Roman" w:cs="Times New Roman"/>
                <w:color w:val="000000"/>
                <w:shd w:val="clear" w:color="auto" w:fill="FFFFFF"/>
              </w:rPr>
            </w:pPr>
          </w:p>
        </w:tc>
        <w:tc>
          <w:tcPr>
            <w:tcW w:w="4111" w:type="dxa"/>
          </w:tcPr>
          <w:p w14:paraId="64F4238C" w14:textId="77777777" w:rsidR="000601D4" w:rsidRPr="00D30B5B" w:rsidRDefault="000601D4" w:rsidP="0033738F">
            <w:pPr>
              <w:rPr>
                <w:rFonts w:ascii="Times New Roman" w:hAnsi="Times New Roman" w:cs="Times New Roman"/>
                <w:i/>
                <w:iCs/>
                <w:color w:val="808080"/>
                <w:lang w:eastAsia="ko-KR"/>
              </w:rPr>
            </w:pPr>
            <w:r w:rsidRPr="00D30B5B">
              <w:rPr>
                <w:rFonts w:ascii="Times New Roman" w:hAnsi="Times New Roman" w:cs="Times New Roman"/>
                <w:i/>
                <w:color w:val="808080"/>
                <w:lang w:eastAsia="lt-LT"/>
              </w:rPr>
              <w:t xml:space="preserve">(Taikoma EGADP </w:t>
            </w:r>
            <w:r w:rsidRPr="00D30B5B">
              <w:rPr>
                <w:rFonts w:ascii="Times New Roman" w:hAnsi="Times New Roman" w:cs="Times New Roman"/>
                <w:i/>
                <w:color w:val="808080"/>
              </w:rPr>
              <w:t>lėšomis, nepanaudotomis EGADP lėšomis arba kitomis valstybės biudžeto lėšomis, skirtomis projektams, įgyvendinamiems iš ES lėšų, bendrai finansuoti, finansuojamiems</w:t>
            </w:r>
            <w:r w:rsidRPr="00D30B5B">
              <w:rPr>
                <w:rFonts w:ascii="Times New Roman" w:hAnsi="Times New Roman" w:cs="Times New Roman"/>
                <w:i/>
                <w:color w:val="808080"/>
                <w:lang w:eastAsia="lt-LT"/>
              </w:rPr>
              <w:t xml:space="preserve"> projektams, kai, vadovaujantis PAFT 248.1 papunkčiu, valstybės pagalbos taisyklėse ir PFSA nustatyti investicijų tęstinumo reikalavimai, nepažeidžiant PAFT 48 punkto nuostatų)</w:t>
            </w:r>
          </w:p>
        </w:tc>
        <w:tc>
          <w:tcPr>
            <w:tcW w:w="844" w:type="dxa"/>
          </w:tcPr>
          <w:p w14:paraId="2C9C27D9" w14:textId="77777777" w:rsidR="000601D4" w:rsidRPr="00D30B5B" w:rsidRDefault="000601D4" w:rsidP="0033738F">
            <w:pPr>
              <w:rPr>
                <w:rFonts w:ascii="Times New Roman" w:hAnsi="Times New Roman" w:cs="Times New Roman"/>
                <w:i/>
                <w:color w:val="808080"/>
                <w:lang w:eastAsia="lt-LT"/>
              </w:rPr>
            </w:pPr>
          </w:p>
        </w:tc>
      </w:tr>
      <w:tr w:rsidR="000601D4" w:rsidRPr="00D30B5B" w14:paraId="126EAB2C" w14:textId="7DB16926" w:rsidTr="000601D4">
        <w:tc>
          <w:tcPr>
            <w:tcW w:w="827" w:type="dxa"/>
          </w:tcPr>
          <w:p w14:paraId="1B72D810" w14:textId="77777777" w:rsidR="000601D4" w:rsidRPr="00D30B5B" w:rsidRDefault="000601D4" w:rsidP="0033738F">
            <w:pPr>
              <w:rPr>
                <w:rFonts w:ascii="Times New Roman" w:hAnsi="Times New Roman" w:cs="Times New Roman"/>
                <w:strike/>
              </w:rPr>
            </w:pPr>
            <w:r w:rsidRPr="00D30B5B">
              <w:rPr>
                <w:rFonts w:ascii="Times New Roman" w:hAnsi="Times New Roman" w:cs="Times New Roman"/>
                <w:strike/>
              </w:rPr>
              <w:t>4.2.5.</w:t>
            </w:r>
          </w:p>
          <w:p w14:paraId="1FD79D94" w14:textId="77777777" w:rsidR="000601D4" w:rsidRPr="00D30B5B" w:rsidRDefault="000601D4" w:rsidP="0033738F">
            <w:pPr>
              <w:rPr>
                <w:rFonts w:ascii="Times New Roman" w:hAnsi="Times New Roman" w:cs="Times New Roman"/>
                <w:bCs/>
              </w:rPr>
            </w:pPr>
            <w:r w:rsidRPr="00D32D22">
              <w:rPr>
                <w:rFonts w:ascii="Times New Roman" w:hAnsi="Times New Roman" w:cs="Times New Roman"/>
                <w:b/>
                <w:bCs/>
                <w:color w:val="FF0000"/>
              </w:rPr>
              <w:t>4.2.6.</w:t>
            </w:r>
          </w:p>
        </w:tc>
        <w:tc>
          <w:tcPr>
            <w:tcW w:w="4560" w:type="dxa"/>
          </w:tcPr>
          <w:p w14:paraId="2DC50059" w14:textId="77777777" w:rsidR="000601D4" w:rsidRPr="00D30B5B" w:rsidRDefault="000601D4" w:rsidP="0033738F">
            <w:pPr>
              <w:rPr>
                <w:rFonts w:ascii="Times New Roman" w:hAnsi="Times New Roman" w:cs="Times New Roman"/>
                <w:color w:val="000000"/>
                <w:shd w:val="clear" w:color="auto" w:fill="FFFFFF"/>
              </w:rPr>
            </w:pPr>
            <w:r w:rsidRPr="00D30B5B">
              <w:rPr>
                <w:rFonts w:ascii="Times New Roman" w:eastAsia="Aptos" w:hAnsi="Times New Roman" w:cs="Times New Roman"/>
              </w:rPr>
              <w:t>per 2 metus iki projekto įgyvendinimo plano pateikimo pareiškėjas ir partneris nėra perkėlę (kaip apibrėžta 2014 m. birželio 17 d. Komisijos reglamento (ES) Nr. 651/2014, kuriuo tam tikrų kategorijų pagalba skelbiama suderinama su vidaus rinka taikant Sutarties 107 ir 108 straipsnius, su visais pakeitimais 2 straipsnio 61a punkte</w:t>
            </w:r>
            <w:r w:rsidRPr="00D30B5B">
              <w:rPr>
                <w:rFonts w:ascii="Times New Roman" w:eastAsia="Aptos" w:hAnsi="Times New Roman" w:cs="Times New Roman"/>
                <w:strike/>
              </w:rPr>
              <w:t xml:space="preserve"> ir 14 straipsnio 16 dalyje</w:t>
            </w:r>
            <w:r w:rsidRPr="00D30B5B">
              <w:rPr>
                <w:rFonts w:ascii="Times New Roman" w:eastAsia="Aptos" w:hAnsi="Times New Roman" w:cs="Times New Roman"/>
              </w:rPr>
              <w:t xml:space="preserve">) projekto </w:t>
            </w:r>
            <w:r w:rsidRPr="00D30B5B">
              <w:rPr>
                <w:rFonts w:ascii="Times New Roman" w:eastAsia="Aptos" w:hAnsi="Times New Roman" w:cs="Times New Roman"/>
              </w:rPr>
              <w:lastRenderedPageBreak/>
              <w:t xml:space="preserve">įgyvendinimo plane nurodytai veiklai tapačios veiklos arba jos dalies ar panašios veiklos iš kitoje Europos ekonominės erdvės valstybėje esančios įmonės į Lietuvos Respublikoje esančią įmonę, kuriai prašoma suteikti finansavimą, </w:t>
            </w:r>
            <w:r w:rsidRPr="00D30B5B">
              <w:rPr>
                <w:rFonts w:ascii="Times New Roman" w:eastAsia="Aptos" w:hAnsi="Times New Roman" w:cs="Times New Roman"/>
                <w:strike/>
              </w:rPr>
              <w:t>ir</w:t>
            </w:r>
            <w:r w:rsidRPr="00D30B5B">
              <w:rPr>
                <w:rFonts w:ascii="Times New Roman" w:eastAsia="Aptos" w:hAnsi="Times New Roman" w:cs="Times New Roman"/>
              </w:rPr>
              <w:t xml:space="preserve"> </w:t>
            </w:r>
            <w:r w:rsidRPr="00D32D22">
              <w:rPr>
                <w:rFonts w:ascii="Times New Roman" w:eastAsia="Aptos" w:hAnsi="Times New Roman" w:cs="Times New Roman"/>
                <w:b/>
                <w:bCs/>
                <w:color w:val="FF0000"/>
              </w:rPr>
              <w:t>o kai pareiškėjui ar partneriui teikiama regioninė investicinė pagalba pagal Reglamento (ES) Nr. 651/2014 14 straipsnį</w:t>
            </w:r>
            <w:r w:rsidRPr="00D32D22">
              <w:rPr>
                <w:rFonts w:ascii="Times New Roman" w:eastAsia="Aptos" w:hAnsi="Times New Roman" w:cs="Times New Roman"/>
                <w:color w:val="FF0000"/>
              </w:rPr>
              <w:t xml:space="preserve">, </w:t>
            </w:r>
            <w:r w:rsidRPr="00D32D22">
              <w:rPr>
                <w:rFonts w:ascii="Times New Roman" w:eastAsia="Aptos" w:hAnsi="Times New Roman" w:cs="Times New Roman"/>
                <w:b/>
                <w:bCs/>
                <w:color w:val="FF0000"/>
              </w:rPr>
              <w:t>papildomai</w:t>
            </w:r>
            <w:r w:rsidRPr="00D30B5B">
              <w:rPr>
                <w:rFonts w:ascii="Times New Roman" w:eastAsia="Aptos" w:hAnsi="Times New Roman" w:cs="Times New Roman"/>
              </w:rPr>
              <w:t xml:space="preserve"> įsipareigoja to nedaryti projekto įgyvendinimo metu bei 2 metus po projekto įgyvendinimo pabaigos, kai įgyvendinami jungtinio projekto projektai, – jungtinio projekto įgyvendinimo metu bei 2 metus po jungtinio projekto įgyvendinimo pabaigos</w:t>
            </w:r>
            <w:r w:rsidRPr="00D30B5B">
              <w:rPr>
                <w:rFonts w:ascii="Times New Roman" w:eastAsia="Aptos" w:hAnsi="Times New Roman" w:cs="Times New Roman"/>
                <w:strike/>
              </w:rPr>
              <w:t>;</w:t>
            </w:r>
            <w:r w:rsidRPr="00D32D22">
              <w:rPr>
                <w:rFonts w:ascii="Times New Roman" w:eastAsia="Aptos" w:hAnsi="Times New Roman" w:cs="Times New Roman"/>
                <w:b/>
                <w:bCs/>
                <w:color w:val="FF0000"/>
              </w:rPr>
              <w:t>,</w:t>
            </w:r>
            <w:r w:rsidRPr="00D30B5B">
              <w:rPr>
                <w:rFonts w:ascii="Times New Roman" w:eastAsia="Aptos" w:hAnsi="Times New Roman" w:cs="Times New Roman"/>
                <w:b/>
                <w:bCs/>
              </w:rPr>
              <w:t xml:space="preserve"> </w:t>
            </w:r>
            <w:r w:rsidRPr="00D32D22">
              <w:rPr>
                <w:rFonts w:ascii="Times New Roman" w:eastAsia="Aptos" w:hAnsi="Times New Roman" w:cs="Times New Roman"/>
                <w:b/>
                <w:bCs/>
                <w:color w:val="FF0000"/>
              </w:rPr>
              <w:t>kaip tai nustatyta Reglamento (ES) Nr. 651/2014 14 straipsnio 16 dalyje. Šiame punkte įmonė suprantama kaip ekonominę veiklą vykdantis subjektas, kad ir koks būtų jo teisinis statusas, t. y. taip, kaip ši sąvoka apibrėžta Reglamento (ES) Nr. 651/2014 I priedo 1 straipsnyje.</w:t>
            </w:r>
          </w:p>
        </w:tc>
        <w:tc>
          <w:tcPr>
            <w:tcW w:w="4111" w:type="dxa"/>
          </w:tcPr>
          <w:p w14:paraId="79AB180A" w14:textId="77777777" w:rsidR="000601D4" w:rsidRPr="00D32D22" w:rsidRDefault="000601D4" w:rsidP="0033738F">
            <w:pPr>
              <w:rPr>
                <w:rFonts w:ascii="Times New Roman" w:eastAsia="MS Mincho" w:hAnsi="Times New Roman" w:cs="Times New Roman"/>
                <w:b/>
                <w:bCs/>
                <w:i/>
                <w:color w:val="FF0000"/>
                <w:lang w:eastAsia="lt-LT"/>
              </w:rPr>
            </w:pPr>
            <w:r w:rsidRPr="00D32D22">
              <w:rPr>
                <w:rFonts w:ascii="Times New Roman" w:eastAsia="MS Mincho" w:hAnsi="Times New Roman" w:cs="Times New Roman"/>
                <w:b/>
                <w:bCs/>
                <w:i/>
                <w:color w:val="FF0000"/>
                <w:lang w:eastAsia="lt-LT"/>
              </w:rPr>
              <w:lastRenderedPageBreak/>
              <w:t>(Reikalavimai taikomi pareiškėjams ir partneriams, kuriems finansavimas skiriamas iš ESF investicijų programos lėšų, kaip ekonominę veiklą vykdantiems subjektams,</w:t>
            </w:r>
            <w:r w:rsidRPr="00D32D22">
              <w:rPr>
                <w:rFonts w:ascii="Times New Roman" w:eastAsia="MS Mincho" w:hAnsi="Times New Roman" w:cs="Times New Roman"/>
                <w:color w:val="FF0000"/>
                <w:lang w:eastAsia="lt-LT"/>
              </w:rPr>
              <w:t xml:space="preserve"> </w:t>
            </w:r>
            <w:r w:rsidRPr="00D32D22">
              <w:rPr>
                <w:rFonts w:ascii="Times New Roman" w:eastAsia="MS Mincho" w:hAnsi="Times New Roman" w:cs="Times New Roman"/>
                <w:b/>
                <w:bCs/>
                <w:i/>
                <w:color w:val="FF0000"/>
                <w:lang w:eastAsia="lt-LT"/>
              </w:rPr>
              <w:t>kad ir koks būtų jų teisinis statusas.</w:t>
            </w:r>
          </w:p>
          <w:p w14:paraId="33C6434D" w14:textId="77777777" w:rsidR="000601D4" w:rsidRPr="00D32D22" w:rsidRDefault="000601D4" w:rsidP="0033738F">
            <w:pPr>
              <w:rPr>
                <w:rFonts w:ascii="Times New Roman" w:eastAsia="MS Mincho" w:hAnsi="Times New Roman" w:cs="Times New Roman"/>
                <w:b/>
                <w:bCs/>
                <w:i/>
                <w:color w:val="FF0000"/>
                <w:lang w:eastAsia="lt-LT"/>
              </w:rPr>
            </w:pPr>
            <w:r w:rsidRPr="00D32D22">
              <w:rPr>
                <w:rFonts w:ascii="Times New Roman" w:eastAsia="MS Mincho" w:hAnsi="Times New Roman" w:cs="Times New Roman"/>
                <w:b/>
                <w:bCs/>
                <w:i/>
                <w:color w:val="FF0000"/>
                <w:lang w:eastAsia="lt-LT"/>
              </w:rPr>
              <w:t xml:space="preserve">Reikalavimai taikomi ir projektams, finansuojamiems iš EGADP lėšų, kai </w:t>
            </w:r>
            <w:r w:rsidRPr="00D32D22">
              <w:rPr>
                <w:rFonts w:ascii="Times New Roman" w:eastAsia="MS Mincho" w:hAnsi="Times New Roman" w:cs="Times New Roman"/>
                <w:b/>
                <w:bCs/>
                <w:i/>
                <w:color w:val="FF0000"/>
                <w:lang w:eastAsia="lt-LT"/>
              </w:rPr>
              <w:lastRenderedPageBreak/>
              <w:t>pareiškėjui ir partneriui teikiama regioninė investicinė pagalba pagal Reglamento (ES) Nr. 651/2014 14 straipsnį.)</w:t>
            </w:r>
          </w:p>
          <w:p w14:paraId="5810AAA0" w14:textId="77777777" w:rsidR="000601D4" w:rsidRPr="00D30B5B" w:rsidRDefault="000601D4" w:rsidP="0033738F">
            <w:pPr>
              <w:rPr>
                <w:rFonts w:ascii="Times New Roman" w:hAnsi="Times New Roman" w:cs="Times New Roman"/>
                <w:i/>
                <w:iCs/>
                <w:color w:val="808080"/>
                <w:lang w:eastAsia="ko-KR"/>
              </w:rPr>
            </w:pPr>
            <w:r w:rsidRPr="00D30B5B">
              <w:rPr>
                <w:rFonts w:ascii="Times New Roman" w:eastAsia="MS Mincho" w:hAnsi="Times New Roman" w:cs="Times New Roman"/>
                <w:i/>
                <w:strike/>
                <w:color w:val="808080" w:themeColor="background1" w:themeShade="80"/>
                <w:lang w:eastAsia="lt-LT"/>
              </w:rPr>
              <w:t xml:space="preserve">(Reikalavimas taikomas, kai projektui teikiama valstybės pagalba (įskaitant „de </w:t>
            </w:r>
            <w:proofErr w:type="spellStart"/>
            <w:r w:rsidRPr="00D30B5B">
              <w:rPr>
                <w:rFonts w:ascii="Times New Roman" w:eastAsia="MS Mincho" w:hAnsi="Times New Roman" w:cs="Times New Roman"/>
                <w:i/>
                <w:strike/>
                <w:color w:val="808080" w:themeColor="background1" w:themeShade="80"/>
                <w:lang w:eastAsia="lt-LT"/>
              </w:rPr>
              <w:t>minimis</w:t>
            </w:r>
            <w:proofErr w:type="spellEnd"/>
            <w:r w:rsidRPr="00D30B5B">
              <w:rPr>
                <w:rFonts w:ascii="Times New Roman" w:eastAsia="MS Mincho" w:hAnsi="Times New Roman" w:cs="Times New Roman"/>
                <w:i/>
                <w:strike/>
                <w:color w:val="808080" w:themeColor="background1" w:themeShade="80"/>
                <w:lang w:eastAsia="lt-LT"/>
              </w:rPr>
              <w:t>“ pagalbą). Netaikoma, jei projektui suteiktas pažangumo ženklas arba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p>
        </w:tc>
        <w:tc>
          <w:tcPr>
            <w:tcW w:w="844" w:type="dxa"/>
          </w:tcPr>
          <w:p w14:paraId="1A1BD549" w14:textId="77777777" w:rsidR="000601D4" w:rsidRPr="00D32D22" w:rsidRDefault="000601D4" w:rsidP="0033738F">
            <w:pPr>
              <w:rPr>
                <w:rFonts w:ascii="Times New Roman" w:eastAsia="MS Mincho" w:hAnsi="Times New Roman" w:cs="Times New Roman"/>
                <w:b/>
                <w:bCs/>
                <w:i/>
                <w:color w:val="FF0000"/>
                <w:lang w:eastAsia="lt-LT"/>
              </w:rPr>
            </w:pPr>
          </w:p>
        </w:tc>
      </w:tr>
      <w:tr w:rsidR="000601D4" w:rsidRPr="00D30B5B" w14:paraId="51CC2558" w14:textId="38D21C60" w:rsidTr="000601D4">
        <w:tc>
          <w:tcPr>
            <w:tcW w:w="827" w:type="dxa"/>
          </w:tcPr>
          <w:p w14:paraId="3AA971CE" w14:textId="77777777" w:rsidR="000601D4" w:rsidRPr="00D30B5B" w:rsidRDefault="000601D4" w:rsidP="0033738F">
            <w:pPr>
              <w:rPr>
                <w:rFonts w:ascii="Times New Roman" w:hAnsi="Times New Roman" w:cs="Times New Roman"/>
                <w:strike/>
              </w:rPr>
            </w:pPr>
            <w:r w:rsidRPr="00D30B5B">
              <w:rPr>
                <w:rFonts w:ascii="Times New Roman" w:hAnsi="Times New Roman" w:cs="Times New Roman"/>
                <w:strike/>
              </w:rPr>
              <w:t xml:space="preserve">4.2.6. </w:t>
            </w:r>
          </w:p>
          <w:p w14:paraId="117FB5DE" w14:textId="77777777" w:rsidR="000601D4" w:rsidRPr="00D30B5B" w:rsidRDefault="000601D4" w:rsidP="0033738F">
            <w:pPr>
              <w:rPr>
                <w:rFonts w:ascii="Times New Roman" w:hAnsi="Times New Roman" w:cs="Times New Roman"/>
                <w:bCs/>
              </w:rPr>
            </w:pPr>
            <w:r w:rsidRPr="00D32D22">
              <w:rPr>
                <w:rFonts w:ascii="Times New Roman" w:hAnsi="Times New Roman" w:cs="Times New Roman"/>
                <w:b/>
                <w:bCs/>
                <w:color w:val="FF0000"/>
              </w:rPr>
              <w:t>4.2.7.</w:t>
            </w:r>
          </w:p>
        </w:tc>
        <w:tc>
          <w:tcPr>
            <w:tcW w:w="4560" w:type="dxa"/>
          </w:tcPr>
          <w:p w14:paraId="6B70CACE" w14:textId="77777777" w:rsidR="000601D4" w:rsidRPr="00D30B5B" w:rsidRDefault="000601D4" w:rsidP="0033738F">
            <w:pPr>
              <w:rPr>
                <w:rFonts w:ascii="Times New Roman" w:hAnsi="Times New Roman" w:cs="Times New Roman"/>
                <w:color w:val="000000"/>
                <w:shd w:val="clear" w:color="auto" w:fill="FFFFFF"/>
              </w:rPr>
            </w:pPr>
            <w:r w:rsidRPr="00D30B5B">
              <w:rPr>
                <w:rFonts w:ascii="Times New Roman" w:hAnsi="Times New Roman" w:cs="Times New Roman"/>
              </w:rPr>
              <w:t>pareiškėjui ir partneriui (-</w:t>
            </w:r>
            <w:proofErr w:type="spellStart"/>
            <w:r w:rsidRPr="00D30B5B">
              <w:rPr>
                <w:rFonts w:ascii="Times New Roman" w:hAnsi="Times New Roman" w:cs="Times New Roman"/>
              </w:rPr>
              <w:t>iams</w:t>
            </w:r>
            <w:proofErr w:type="spellEnd"/>
            <w:r w:rsidRPr="00D30B5B">
              <w:rPr>
                <w:rFonts w:ascii="Times New Roman" w:hAnsi="Times New Roman" w:cs="Times New Roman"/>
              </w:rPr>
              <w:t>) nėra taikomas apribojimas (iki 5 metų) neskirti Europos Sąjungos finansinės paramos dėl trečiųjų šalių piliečių nelegalaus įdarbinimo</w:t>
            </w:r>
            <w:r w:rsidRPr="00D32D22">
              <w:rPr>
                <w:rFonts w:ascii="Times New Roman" w:hAnsi="Times New Roman" w:cs="Times New Roman"/>
                <w:b/>
                <w:bCs/>
                <w:color w:val="FF0000"/>
              </w:rPr>
              <w:t>, kaip nustatyta Lietuvos Respublikos užimtumo įstatymo 56 straipsnio 1 dalies 2 punkte ir 5 dalies 2 punkte</w:t>
            </w:r>
            <w:r w:rsidRPr="00D32D22">
              <w:rPr>
                <w:rFonts w:ascii="Times New Roman" w:hAnsi="Times New Roman" w:cs="Times New Roman"/>
                <w:color w:val="FF0000"/>
              </w:rPr>
              <w:t>;</w:t>
            </w:r>
          </w:p>
        </w:tc>
        <w:tc>
          <w:tcPr>
            <w:tcW w:w="4111" w:type="dxa"/>
          </w:tcPr>
          <w:p w14:paraId="612133C6" w14:textId="77777777" w:rsidR="000601D4" w:rsidRPr="00D30B5B" w:rsidRDefault="000601D4" w:rsidP="0033738F">
            <w:pPr>
              <w:rPr>
                <w:rFonts w:ascii="Times New Roman" w:hAnsi="Times New Roman" w:cs="Times New Roman"/>
                <w:i/>
                <w:iCs/>
                <w:color w:val="808080"/>
                <w:lang w:eastAsia="ko-KR"/>
              </w:rPr>
            </w:pPr>
            <w:r w:rsidRPr="00D30B5B">
              <w:rPr>
                <w:rFonts w:ascii="Times New Roman" w:hAnsi="Times New Roman" w:cs="Times New Roman"/>
                <w:i/>
                <w:color w:val="808080"/>
                <w:lang w:eastAsia="lt-LT"/>
              </w:rPr>
              <w:t>(Netaikoma viešiesiems juridiniams asmenims. Vertinama projekto įgyvendinimo plano vertinimo metu nuo projekto įgyvendinimo plano pateikimo dienos, nepažeidžiant PAFT 48 punkto nuostatų)</w:t>
            </w:r>
            <w:r w:rsidRPr="00D30B5B">
              <w:rPr>
                <w:rFonts w:ascii="Times New Roman" w:hAnsi="Times New Roman" w:cs="Times New Roman"/>
                <w:iCs/>
                <w:lang w:eastAsia="lt-LT"/>
              </w:rPr>
              <w:t>“.</w:t>
            </w:r>
          </w:p>
        </w:tc>
        <w:tc>
          <w:tcPr>
            <w:tcW w:w="844" w:type="dxa"/>
          </w:tcPr>
          <w:p w14:paraId="6F9753F5" w14:textId="77777777" w:rsidR="000601D4" w:rsidRPr="00D30B5B" w:rsidRDefault="000601D4" w:rsidP="0033738F">
            <w:pPr>
              <w:rPr>
                <w:rFonts w:ascii="Times New Roman" w:hAnsi="Times New Roman" w:cs="Times New Roman"/>
                <w:i/>
                <w:color w:val="808080"/>
                <w:lang w:eastAsia="lt-LT"/>
              </w:rPr>
            </w:pPr>
          </w:p>
        </w:tc>
      </w:tr>
    </w:tbl>
    <w:p w14:paraId="6C625733" w14:textId="77777777" w:rsidR="000601D4" w:rsidRDefault="000601D4">
      <w:pPr>
        <w:rPr>
          <w:rFonts w:ascii="Times New Roman" w:hAnsi="Times New Roman" w:cs="Times New Roman"/>
          <w:bCs/>
          <w:szCs w:val="24"/>
        </w:rPr>
      </w:pPr>
    </w:p>
    <w:p w14:paraId="4AB794AB" w14:textId="77777777" w:rsidR="00D30B5B" w:rsidRPr="003E79B9" w:rsidRDefault="00D30B5B" w:rsidP="00D30B5B">
      <w:pPr>
        <w:rPr>
          <w:rFonts w:ascii="Times New Roman" w:hAnsi="Times New Roman" w:cs="Times New Roman"/>
          <w:bCs/>
          <w:szCs w:val="24"/>
        </w:rPr>
      </w:pPr>
      <w:r w:rsidRPr="003E79B9">
        <w:rPr>
          <w:rFonts w:ascii="Times New Roman" w:hAnsi="Times New Roman" w:cs="Times New Roman"/>
          <w:bCs/>
          <w:szCs w:val="24"/>
        </w:rPr>
        <w:t>&lt;...&gt;</w:t>
      </w:r>
    </w:p>
    <w:tbl>
      <w:tblPr>
        <w:tblStyle w:val="TableGrid"/>
        <w:tblW w:w="0" w:type="auto"/>
        <w:tblInd w:w="-714" w:type="dxa"/>
        <w:tblLook w:val="04A0" w:firstRow="1" w:lastRow="0" w:firstColumn="1" w:lastColumn="0" w:noHBand="0" w:noVBand="1"/>
      </w:tblPr>
      <w:tblGrid>
        <w:gridCol w:w="993"/>
        <w:gridCol w:w="4394"/>
        <w:gridCol w:w="4111"/>
        <w:gridCol w:w="844"/>
      </w:tblGrid>
      <w:tr w:rsidR="00D30B5B" w:rsidRPr="00D30B5B" w14:paraId="65F0850C" w14:textId="77777777" w:rsidTr="00D30B5B">
        <w:tc>
          <w:tcPr>
            <w:tcW w:w="993" w:type="dxa"/>
          </w:tcPr>
          <w:p w14:paraId="7BADED8D" w14:textId="42C5C0A3" w:rsidR="00D30B5B" w:rsidRPr="00D30B5B" w:rsidRDefault="00D30B5B">
            <w:pPr>
              <w:rPr>
                <w:rFonts w:ascii="Times New Roman" w:hAnsi="Times New Roman" w:cs="Times New Roman"/>
                <w:bCs/>
                <w:szCs w:val="24"/>
              </w:rPr>
            </w:pPr>
            <w:r w:rsidRPr="00D30B5B">
              <w:rPr>
                <w:rFonts w:ascii="Times New Roman" w:hAnsi="Times New Roman" w:cs="Times New Roman"/>
                <w:bCs/>
                <w:szCs w:val="24"/>
              </w:rPr>
              <w:t>„4.5</w:t>
            </w:r>
          </w:p>
        </w:tc>
        <w:tc>
          <w:tcPr>
            <w:tcW w:w="4394" w:type="dxa"/>
          </w:tcPr>
          <w:p w14:paraId="5A7F35C7" w14:textId="29E2CFE2" w:rsidR="00D30B5B" w:rsidRPr="00D30B5B" w:rsidRDefault="00D30B5B">
            <w:pPr>
              <w:rPr>
                <w:rFonts w:ascii="Times New Roman" w:hAnsi="Times New Roman" w:cs="Times New Roman"/>
                <w:bCs/>
                <w:szCs w:val="24"/>
              </w:rPr>
            </w:pPr>
            <w:r w:rsidRPr="00D30B5B">
              <w:rPr>
                <w:rFonts w:ascii="Times New Roman" w:hAnsi="Times New Roman" w:cs="Times New Roman"/>
              </w:rPr>
              <w:t>Užtikrintas finansinis projekto (veiklų) rezultatų tęstinumas</w:t>
            </w:r>
            <w:r w:rsidRPr="00D30B5B">
              <w:rPr>
                <w:rFonts w:ascii="Times New Roman" w:hAnsi="Times New Roman" w:cs="Times New Roman"/>
                <w:strike/>
              </w:rPr>
              <w:t>.</w:t>
            </w:r>
            <w:r w:rsidRPr="00D32D22">
              <w:rPr>
                <w:rFonts w:ascii="Times New Roman" w:hAnsi="Times New Roman" w:cs="Times New Roman"/>
                <w:b/>
                <w:bCs/>
                <w:color w:val="FF0000"/>
              </w:rPr>
              <w:t>,</w:t>
            </w:r>
            <w:r w:rsidRPr="00D32D22">
              <w:rPr>
                <w:rFonts w:ascii="Times New Roman" w:hAnsi="Times New Roman" w:cs="Times New Roman"/>
                <w:color w:val="FF0000"/>
              </w:rPr>
              <w:t xml:space="preserve"> </w:t>
            </w:r>
            <w:r w:rsidRPr="00D32D22">
              <w:rPr>
                <w:rFonts w:ascii="Times New Roman" w:hAnsi="Times New Roman" w:cs="Times New Roman"/>
                <w:b/>
                <w:bCs/>
                <w:color w:val="FF0000"/>
              </w:rPr>
              <w:t xml:space="preserve">kaip jis suprantamas pagal </w:t>
            </w:r>
            <w:r w:rsidRPr="00D32D22">
              <w:rPr>
                <w:rFonts w:ascii="Times New Roman" w:hAnsi="Times New Roman" w:cs="Times New Roman"/>
                <w:b/>
                <w:bCs/>
                <w:iCs/>
                <w:color w:val="FF0000"/>
                <w:szCs w:val="24"/>
              </w:rPr>
              <w:t xml:space="preserve">2024 m. rugsėjo 23 d. Europos Parlamento ir Tarybos reglamento (ES, Euratomas) 2024/2509 dėl Sąjungos bendrajam biudžetui taikomų finansinių taisyklių </w:t>
            </w:r>
            <w:r w:rsidRPr="00D32D22">
              <w:rPr>
                <w:rFonts w:ascii="Times New Roman" w:hAnsi="Times New Roman" w:cs="Times New Roman"/>
                <w:b/>
                <w:bCs/>
                <w:color w:val="FF0000"/>
              </w:rPr>
              <w:t>201 straipsnio 2 dalį.</w:t>
            </w:r>
          </w:p>
        </w:tc>
        <w:tc>
          <w:tcPr>
            <w:tcW w:w="4111" w:type="dxa"/>
          </w:tcPr>
          <w:p w14:paraId="5D3F015C" w14:textId="2E70C8E1" w:rsidR="00D30B5B" w:rsidRPr="00D30B5B" w:rsidRDefault="00D30B5B">
            <w:pPr>
              <w:rPr>
                <w:rFonts w:ascii="Times New Roman" w:hAnsi="Times New Roman" w:cs="Times New Roman"/>
                <w:bCs/>
                <w:szCs w:val="24"/>
              </w:rPr>
            </w:pPr>
            <w:r w:rsidRPr="00D30B5B">
              <w:rPr>
                <w:rFonts w:ascii="Times New Roman" w:hAnsi="Times New Roman" w:cs="Times New Roman"/>
                <w:i/>
                <w:color w:val="808080" w:themeColor="background1" w:themeShade="80"/>
                <w:szCs w:val="24"/>
              </w:rPr>
              <w:t xml:space="preserve">Netaikoma, kai pagal PFSA, o kai įgyvendinami </w:t>
            </w:r>
            <w:proofErr w:type="spellStart"/>
            <w:r w:rsidRPr="00D30B5B">
              <w:rPr>
                <w:rFonts w:ascii="Times New Roman" w:hAnsi="Times New Roman" w:cs="Times New Roman"/>
                <w:i/>
                <w:color w:val="808080" w:themeColor="background1" w:themeShade="80"/>
                <w:szCs w:val="24"/>
              </w:rPr>
              <w:t>RPPl</w:t>
            </w:r>
            <w:proofErr w:type="spellEnd"/>
            <w:r w:rsidRPr="00D30B5B">
              <w:rPr>
                <w:rFonts w:ascii="Times New Roman" w:hAnsi="Times New Roman" w:cs="Times New Roman"/>
                <w:i/>
                <w:color w:val="808080" w:themeColor="background1" w:themeShade="80"/>
                <w:szCs w:val="24"/>
              </w:rPr>
              <w:t xml:space="preserve"> projektai, – Gaires nėra reikalavimo užtikrinti finansinį projekto veiklų tęstinumą. </w:t>
            </w:r>
            <w:r w:rsidRPr="00D32D22">
              <w:rPr>
                <w:rFonts w:ascii="Times New Roman" w:hAnsi="Times New Roman" w:cs="Times New Roman"/>
                <w:b/>
                <w:bCs/>
                <w:i/>
                <w:color w:val="FF0000"/>
                <w:szCs w:val="24"/>
              </w:rPr>
              <w:t>Nevertinama, kai skiriama mažesnė nei 60 000 eurų arba šiai sumai lygi skiriamo finansavimo suma.</w:t>
            </w:r>
            <w:r w:rsidRPr="00D32D22">
              <w:rPr>
                <w:rFonts w:ascii="Times New Roman" w:hAnsi="Times New Roman" w:cs="Times New Roman"/>
                <w:i/>
                <w:color w:val="FF0000"/>
                <w:szCs w:val="24"/>
              </w:rPr>
              <w:t xml:space="preserve"> </w:t>
            </w:r>
            <w:r w:rsidRPr="00D30B5B">
              <w:rPr>
                <w:rFonts w:ascii="Times New Roman" w:hAnsi="Times New Roman" w:cs="Times New Roman"/>
                <w:i/>
                <w:color w:val="808080" w:themeColor="background1" w:themeShade="80"/>
                <w:szCs w:val="24"/>
              </w:rPr>
              <w:t>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r w:rsidRPr="00D30B5B">
              <w:rPr>
                <w:rFonts w:ascii="Times New Roman" w:hAnsi="Times New Roman" w:cs="Times New Roman"/>
                <w:iCs/>
                <w:szCs w:val="24"/>
              </w:rPr>
              <w:t>“.</w:t>
            </w:r>
          </w:p>
        </w:tc>
        <w:tc>
          <w:tcPr>
            <w:tcW w:w="844" w:type="dxa"/>
          </w:tcPr>
          <w:p w14:paraId="5524201B" w14:textId="77777777" w:rsidR="00D30B5B" w:rsidRPr="00D30B5B" w:rsidRDefault="00D30B5B">
            <w:pPr>
              <w:rPr>
                <w:rFonts w:ascii="Times New Roman" w:hAnsi="Times New Roman" w:cs="Times New Roman"/>
                <w:bCs/>
                <w:szCs w:val="24"/>
              </w:rPr>
            </w:pPr>
          </w:p>
        </w:tc>
      </w:tr>
    </w:tbl>
    <w:p w14:paraId="2A0CDE44" w14:textId="77777777" w:rsidR="00D30B5B" w:rsidRDefault="00D30B5B">
      <w:pPr>
        <w:rPr>
          <w:rFonts w:ascii="Times New Roman" w:hAnsi="Times New Roman" w:cs="Times New Roman"/>
          <w:bCs/>
          <w:szCs w:val="24"/>
        </w:rPr>
      </w:pPr>
    </w:p>
    <w:p w14:paraId="5228B852" w14:textId="77777777" w:rsidR="00D30B5B" w:rsidRPr="003E79B9" w:rsidRDefault="00D30B5B" w:rsidP="00D30B5B">
      <w:pPr>
        <w:rPr>
          <w:rFonts w:ascii="Times New Roman" w:hAnsi="Times New Roman" w:cs="Times New Roman"/>
          <w:bCs/>
          <w:szCs w:val="24"/>
        </w:rPr>
      </w:pPr>
      <w:r w:rsidRPr="003E79B9">
        <w:rPr>
          <w:rFonts w:ascii="Times New Roman" w:hAnsi="Times New Roman" w:cs="Times New Roman"/>
          <w:bCs/>
          <w:szCs w:val="24"/>
        </w:rPr>
        <w:t>&lt;...&gt;</w:t>
      </w:r>
    </w:p>
    <w:p w14:paraId="0B8ABBA9" w14:textId="732938B9" w:rsidR="00D30B5B" w:rsidRPr="00D30B5B" w:rsidRDefault="00D30B5B" w:rsidP="00D30B5B">
      <w:pPr>
        <w:ind w:firstLine="567"/>
        <w:jc w:val="both"/>
        <w:rPr>
          <w:rFonts w:ascii="Times New Roman" w:hAnsi="Times New Roman" w:cs="Times New Roman"/>
          <w:iCs/>
          <w:szCs w:val="24"/>
        </w:rPr>
      </w:pPr>
      <w:r w:rsidRPr="00D30B5B">
        <w:rPr>
          <w:rFonts w:ascii="Times New Roman" w:hAnsi="Times New Roman" w:cs="Times New Roman"/>
          <w:bCs/>
          <w:szCs w:val="24"/>
        </w:rPr>
        <w:t>„</w:t>
      </w:r>
      <w:r w:rsidRPr="00D30B5B">
        <w:rPr>
          <w:rFonts w:ascii="Times New Roman" w:hAnsi="Times New Roman" w:cs="Times New Roman"/>
          <w:b/>
          <w:szCs w:val="24"/>
        </w:rPr>
        <w:t>Pastaba.</w:t>
      </w:r>
      <w:r w:rsidRPr="00D30B5B">
        <w:rPr>
          <w:rFonts w:ascii="Times New Roman" w:hAnsi="Times New Roman" w:cs="Times New Roman"/>
          <w:szCs w:val="24"/>
        </w:rPr>
        <w:t xml:space="preserve"> Lentelės 4.2.1–4.2.3 papunkčiuose </w:t>
      </w:r>
      <w:r w:rsidRPr="00D30B5B">
        <w:rPr>
          <w:rFonts w:ascii="Times New Roman" w:hAnsi="Times New Roman" w:cs="Times New Roman"/>
          <w:iCs/>
          <w:szCs w:val="24"/>
        </w:rPr>
        <w:t xml:space="preserve">nurodytų asmenų duomenys tvarkomi vykdant </w:t>
      </w:r>
      <w:r w:rsidRPr="00D30B5B">
        <w:rPr>
          <w:rFonts w:ascii="Times New Roman" w:hAnsi="Times New Roman" w:cs="Times New Roman"/>
          <w:iCs/>
          <w:strike/>
          <w:szCs w:val="24"/>
        </w:rPr>
        <w:t>2024 m. rugsėjo 23 d. Europos Parlamento ir Tarybos reglamento</w:t>
      </w:r>
      <w:r w:rsidRPr="00D30B5B">
        <w:rPr>
          <w:rFonts w:ascii="Times New Roman" w:hAnsi="Times New Roman" w:cs="Times New Roman"/>
          <w:iCs/>
          <w:szCs w:val="24"/>
        </w:rPr>
        <w:t xml:space="preserve"> </w:t>
      </w:r>
      <w:proofErr w:type="spellStart"/>
      <w:r w:rsidRPr="00D32D22">
        <w:rPr>
          <w:rFonts w:ascii="Times New Roman" w:hAnsi="Times New Roman" w:cs="Times New Roman"/>
          <w:b/>
          <w:bCs/>
          <w:iCs/>
          <w:color w:val="FF0000"/>
          <w:szCs w:val="24"/>
        </w:rPr>
        <w:t>Reglamento</w:t>
      </w:r>
      <w:proofErr w:type="spellEnd"/>
      <w:r w:rsidRPr="00D30B5B">
        <w:rPr>
          <w:rFonts w:ascii="Times New Roman" w:hAnsi="Times New Roman" w:cs="Times New Roman"/>
          <w:iCs/>
          <w:szCs w:val="24"/>
        </w:rPr>
        <w:t xml:space="preserve"> (ES, Euratomas) 2024/2509 </w:t>
      </w:r>
      <w:r w:rsidRPr="00D30B5B">
        <w:rPr>
          <w:rFonts w:ascii="Times New Roman" w:hAnsi="Times New Roman" w:cs="Times New Roman"/>
          <w:iCs/>
          <w:strike/>
          <w:szCs w:val="24"/>
        </w:rPr>
        <w:t>dėl Sąjungos bendrajam biudžetui taikomų finansinių taisyklių</w:t>
      </w:r>
      <w:r w:rsidRPr="00D30B5B">
        <w:rPr>
          <w:rFonts w:ascii="Times New Roman" w:hAnsi="Times New Roman" w:cs="Times New Roman"/>
          <w:b/>
          <w:bCs/>
          <w:iCs/>
          <w:szCs w:val="24"/>
        </w:rPr>
        <w:t xml:space="preserve"> </w:t>
      </w:r>
      <w:r w:rsidRPr="00D30B5B">
        <w:rPr>
          <w:rFonts w:ascii="Times New Roman" w:hAnsi="Times New Roman" w:cs="Times New Roman"/>
          <w:iCs/>
          <w:szCs w:val="24"/>
        </w:rPr>
        <w:t>138 straipsnio 1 dalyje nustatytą pareigą.</w:t>
      </w:r>
      <w:r>
        <w:rPr>
          <w:rFonts w:ascii="Times New Roman" w:hAnsi="Times New Roman" w:cs="Times New Roman"/>
          <w:iCs/>
          <w:szCs w:val="24"/>
        </w:rPr>
        <w:t>“</w:t>
      </w:r>
    </w:p>
    <w:p w14:paraId="06359F30" w14:textId="77777777" w:rsidR="00D30B5B" w:rsidRPr="003E79B9" w:rsidRDefault="00D30B5B">
      <w:pPr>
        <w:rPr>
          <w:rFonts w:ascii="Times New Roman" w:hAnsi="Times New Roman" w:cs="Times New Roman"/>
          <w:bCs/>
          <w:szCs w:val="24"/>
        </w:rPr>
      </w:pPr>
    </w:p>
    <w:sectPr w:rsidR="00D30B5B" w:rsidRPr="003E79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E3A9" w14:textId="77777777" w:rsidR="00107E40" w:rsidRDefault="00107E40" w:rsidP="00FF34A3">
      <w:pPr>
        <w:spacing w:after="0" w:line="240" w:lineRule="auto"/>
      </w:pPr>
      <w:r>
        <w:separator/>
      </w:r>
    </w:p>
  </w:endnote>
  <w:endnote w:type="continuationSeparator" w:id="0">
    <w:p w14:paraId="4AE2AE13" w14:textId="77777777" w:rsidR="00107E40" w:rsidRDefault="00107E40" w:rsidP="00FF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83EC" w14:textId="77777777" w:rsidR="00107E40" w:rsidRDefault="00107E40" w:rsidP="00FF34A3">
      <w:pPr>
        <w:spacing w:after="0" w:line="240" w:lineRule="auto"/>
      </w:pPr>
      <w:r>
        <w:separator/>
      </w:r>
    </w:p>
  </w:footnote>
  <w:footnote w:type="continuationSeparator" w:id="0">
    <w:p w14:paraId="0436A7B9" w14:textId="77777777" w:rsidR="00107E40" w:rsidRDefault="00107E40" w:rsidP="00FF3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563"/>
    <w:multiLevelType w:val="hybridMultilevel"/>
    <w:tmpl w:val="DC622610"/>
    <w:lvl w:ilvl="0" w:tplc="230CE6E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6C58C0"/>
    <w:multiLevelType w:val="hybridMultilevel"/>
    <w:tmpl w:val="892CD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5772A4"/>
    <w:multiLevelType w:val="hybridMultilevel"/>
    <w:tmpl w:val="DBAAB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B6325"/>
    <w:multiLevelType w:val="hybridMultilevel"/>
    <w:tmpl w:val="C6507C92"/>
    <w:lvl w:ilvl="0" w:tplc="4F9CA72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C444DA"/>
    <w:multiLevelType w:val="hybridMultilevel"/>
    <w:tmpl w:val="719E4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4960398">
    <w:abstractNumId w:val="0"/>
  </w:num>
  <w:num w:numId="2" w16cid:durableId="1482963039">
    <w:abstractNumId w:val="1"/>
  </w:num>
  <w:num w:numId="3" w16cid:durableId="1472137352">
    <w:abstractNumId w:val="4"/>
  </w:num>
  <w:num w:numId="4" w16cid:durableId="384185492">
    <w:abstractNumId w:val="3"/>
  </w:num>
  <w:num w:numId="5" w16cid:durableId="152817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4B"/>
    <w:rsid w:val="00011856"/>
    <w:rsid w:val="000169CD"/>
    <w:rsid w:val="000325AB"/>
    <w:rsid w:val="00055C86"/>
    <w:rsid w:val="000601D4"/>
    <w:rsid w:val="00060F02"/>
    <w:rsid w:val="00071EAE"/>
    <w:rsid w:val="0007622E"/>
    <w:rsid w:val="0008104C"/>
    <w:rsid w:val="000829E4"/>
    <w:rsid w:val="000A3079"/>
    <w:rsid w:val="000B2DBD"/>
    <w:rsid w:val="000B40CB"/>
    <w:rsid w:val="000D2273"/>
    <w:rsid w:val="000E0C79"/>
    <w:rsid w:val="000E1C5A"/>
    <w:rsid w:val="00107E40"/>
    <w:rsid w:val="00126C36"/>
    <w:rsid w:val="00150948"/>
    <w:rsid w:val="00177445"/>
    <w:rsid w:val="00177B4C"/>
    <w:rsid w:val="00183A2D"/>
    <w:rsid w:val="00185937"/>
    <w:rsid w:val="001A3573"/>
    <w:rsid w:val="001B1D82"/>
    <w:rsid w:val="001E3A7A"/>
    <w:rsid w:val="001E4F7A"/>
    <w:rsid w:val="001F4675"/>
    <w:rsid w:val="001F529F"/>
    <w:rsid w:val="00210520"/>
    <w:rsid w:val="002142F1"/>
    <w:rsid w:val="002220AE"/>
    <w:rsid w:val="00232314"/>
    <w:rsid w:val="00232C1B"/>
    <w:rsid w:val="00236AE7"/>
    <w:rsid w:val="0026425D"/>
    <w:rsid w:val="00272431"/>
    <w:rsid w:val="00282D9F"/>
    <w:rsid w:val="002909EE"/>
    <w:rsid w:val="002A203F"/>
    <w:rsid w:val="002C6667"/>
    <w:rsid w:val="002E4FCF"/>
    <w:rsid w:val="002E75EC"/>
    <w:rsid w:val="00313EB0"/>
    <w:rsid w:val="00342455"/>
    <w:rsid w:val="00344886"/>
    <w:rsid w:val="003451BD"/>
    <w:rsid w:val="00350998"/>
    <w:rsid w:val="00355802"/>
    <w:rsid w:val="00364C48"/>
    <w:rsid w:val="003761A7"/>
    <w:rsid w:val="003800AD"/>
    <w:rsid w:val="00396661"/>
    <w:rsid w:val="003A6DA2"/>
    <w:rsid w:val="003B003F"/>
    <w:rsid w:val="003E2E10"/>
    <w:rsid w:val="003E79B9"/>
    <w:rsid w:val="003F14FD"/>
    <w:rsid w:val="003F407F"/>
    <w:rsid w:val="00431B38"/>
    <w:rsid w:val="00472839"/>
    <w:rsid w:val="00492BB8"/>
    <w:rsid w:val="004A6E22"/>
    <w:rsid w:val="004B3A0B"/>
    <w:rsid w:val="004C6D2E"/>
    <w:rsid w:val="004D1761"/>
    <w:rsid w:val="004D1814"/>
    <w:rsid w:val="004D5107"/>
    <w:rsid w:val="004E0A30"/>
    <w:rsid w:val="00500D4B"/>
    <w:rsid w:val="0051442C"/>
    <w:rsid w:val="00540ADA"/>
    <w:rsid w:val="00542E8F"/>
    <w:rsid w:val="0055052C"/>
    <w:rsid w:val="00555D05"/>
    <w:rsid w:val="00557D89"/>
    <w:rsid w:val="00557D98"/>
    <w:rsid w:val="0056158E"/>
    <w:rsid w:val="00580A6F"/>
    <w:rsid w:val="00593E09"/>
    <w:rsid w:val="005A0915"/>
    <w:rsid w:val="005A7DE9"/>
    <w:rsid w:val="005D1861"/>
    <w:rsid w:val="005D4C27"/>
    <w:rsid w:val="005E3190"/>
    <w:rsid w:val="005F3F07"/>
    <w:rsid w:val="00610242"/>
    <w:rsid w:val="00610621"/>
    <w:rsid w:val="00646C38"/>
    <w:rsid w:val="0067198D"/>
    <w:rsid w:val="00673949"/>
    <w:rsid w:val="0068185D"/>
    <w:rsid w:val="0069404D"/>
    <w:rsid w:val="006978E0"/>
    <w:rsid w:val="006B16A5"/>
    <w:rsid w:val="006B284F"/>
    <w:rsid w:val="006C1737"/>
    <w:rsid w:val="006E77B5"/>
    <w:rsid w:val="006F0E92"/>
    <w:rsid w:val="00720C10"/>
    <w:rsid w:val="00724467"/>
    <w:rsid w:val="00727AAD"/>
    <w:rsid w:val="00752E79"/>
    <w:rsid w:val="00767468"/>
    <w:rsid w:val="00797C5D"/>
    <w:rsid w:val="007A5F07"/>
    <w:rsid w:val="007B75BC"/>
    <w:rsid w:val="007B7CF4"/>
    <w:rsid w:val="007E53A1"/>
    <w:rsid w:val="008062FD"/>
    <w:rsid w:val="00806791"/>
    <w:rsid w:val="00835055"/>
    <w:rsid w:val="008369B2"/>
    <w:rsid w:val="0083787C"/>
    <w:rsid w:val="00845BED"/>
    <w:rsid w:val="00847710"/>
    <w:rsid w:val="00865213"/>
    <w:rsid w:val="00876EA7"/>
    <w:rsid w:val="00892C8B"/>
    <w:rsid w:val="008A3B15"/>
    <w:rsid w:val="008A75E0"/>
    <w:rsid w:val="008C506D"/>
    <w:rsid w:val="008E2CC1"/>
    <w:rsid w:val="008E6250"/>
    <w:rsid w:val="009067FE"/>
    <w:rsid w:val="00957517"/>
    <w:rsid w:val="00983737"/>
    <w:rsid w:val="00994BB4"/>
    <w:rsid w:val="00997158"/>
    <w:rsid w:val="009B17A6"/>
    <w:rsid w:val="009D59C0"/>
    <w:rsid w:val="009E4DCB"/>
    <w:rsid w:val="009F54B0"/>
    <w:rsid w:val="00A239AC"/>
    <w:rsid w:val="00A31718"/>
    <w:rsid w:val="00A3686A"/>
    <w:rsid w:val="00A569E0"/>
    <w:rsid w:val="00A717D9"/>
    <w:rsid w:val="00A835B2"/>
    <w:rsid w:val="00A95ABB"/>
    <w:rsid w:val="00AA612C"/>
    <w:rsid w:val="00AC45FB"/>
    <w:rsid w:val="00AE69B2"/>
    <w:rsid w:val="00B05B51"/>
    <w:rsid w:val="00B17AD0"/>
    <w:rsid w:val="00B53645"/>
    <w:rsid w:val="00B571AF"/>
    <w:rsid w:val="00B644F4"/>
    <w:rsid w:val="00B771C2"/>
    <w:rsid w:val="00B77B5A"/>
    <w:rsid w:val="00BB6052"/>
    <w:rsid w:val="00BB7FF9"/>
    <w:rsid w:val="00BC2CC5"/>
    <w:rsid w:val="00BC4814"/>
    <w:rsid w:val="00BC71FD"/>
    <w:rsid w:val="00BD41AC"/>
    <w:rsid w:val="00BE0CE9"/>
    <w:rsid w:val="00BE1BFF"/>
    <w:rsid w:val="00BE4E88"/>
    <w:rsid w:val="00BE5970"/>
    <w:rsid w:val="00BF779B"/>
    <w:rsid w:val="00C009A1"/>
    <w:rsid w:val="00C02260"/>
    <w:rsid w:val="00C2487E"/>
    <w:rsid w:val="00C24E16"/>
    <w:rsid w:val="00C35576"/>
    <w:rsid w:val="00C515EB"/>
    <w:rsid w:val="00C624AE"/>
    <w:rsid w:val="00C66F9D"/>
    <w:rsid w:val="00C7039E"/>
    <w:rsid w:val="00C77E63"/>
    <w:rsid w:val="00CB2B9D"/>
    <w:rsid w:val="00CB2BE0"/>
    <w:rsid w:val="00CC5D54"/>
    <w:rsid w:val="00CC6090"/>
    <w:rsid w:val="00CD5965"/>
    <w:rsid w:val="00CD6160"/>
    <w:rsid w:val="00CE059C"/>
    <w:rsid w:val="00D047B9"/>
    <w:rsid w:val="00D073EA"/>
    <w:rsid w:val="00D07D3E"/>
    <w:rsid w:val="00D2705A"/>
    <w:rsid w:val="00D30B5B"/>
    <w:rsid w:val="00D32D22"/>
    <w:rsid w:val="00D52095"/>
    <w:rsid w:val="00D67264"/>
    <w:rsid w:val="00D8271B"/>
    <w:rsid w:val="00D84FD9"/>
    <w:rsid w:val="00D8644B"/>
    <w:rsid w:val="00DA6C87"/>
    <w:rsid w:val="00DA77B6"/>
    <w:rsid w:val="00DC2928"/>
    <w:rsid w:val="00E02327"/>
    <w:rsid w:val="00E064E4"/>
    <w:rsid w:val="00E06A9A"/>
    <w:rsid w:val="00E17B56"/>
    <w:rsid w:val="00E33033"/>
    <w:rsid w:val="00E405C1"/>
    <w:rsid w:val="00E424D2"/>
    <w:rsid w:val="00E43206"/>
    <w:rsid w:val="00E46224"/>
    <w:rsid w:val="00E9056F"/>
    <w:rsid w:val="00E943E9"/>
    <w:rsid w:val="00E965A1"/>
    <w:rsid w:val="00EB0AFF"/>
    <w:rsid w:val="00EB2671"/>
    <w:rsid w:val="00EB456D"/>
    <w:rsid w:val="00EB7D8C"/>
    <w:rsid w:val="00ED2663"/>
    <w:rsid w:val="00EE259B"/>
    <w:rsid w:val="00EF42A9"/>
    <w:rsid w:val="00F00722"/>
    <w:rsid w:val="00F06DFF"/>
    <w:rsid w:val="00F14232"/>
    <w:rsid w:val="00F24B3E"/>
    <w:rsid w:val="00F24E39"/>
    <w:rsid w:val="00F32EF7"/>
    <w:rsid w:val="00F337F6"/>
    <w:rsid w:val="00F447BC"/>
    <w:rsid w:val="00F554E8"/>
    <w:rsid w:val="00F8020C"/>
    <w:rsid w:val="00F84556"/>
    <w:rsid w:val="00F85C98"/>
    <w:rsid w:val="00FC309D"/>
    <w:rsid w:val="00FE526E"/>
    <w:rsid w:val="00FE5E28"/>
    <w:rsid w:val="00FE68D6"/>
    <w:rsid w:val="00FF3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BBD5"/>
  <w15:chartTrackingRefBased/>
  <w15:docId w15:val="{15DF2F23-A53E-43F9-B202-CFC44F97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D4B"/>
    <w:rPr>
      <w:rFonts w:eastAsiaTheme="majorEastAsia" w:cstheme="majorBidi"/>
      <w:color w:val="272727" w:themeColor="text1" w:themeTint="D8"/>
    </w:rPr>
  </w:style>
  <w:style w:type="paragraph" w:styleId="Title">
    <w:name w:val="Title"/>
    <w:basedOn w:val="Normal"/>
    <w:next w:val="Normal"/>
    <w:link w:val="TitleChar"/>
    <w:uiPriority w:val="10"/>
    <w:qFormat/>
    <w:rsid w:val="00500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D4B"/>
    <w:pPr>
      <w:spacing w:before="160"/>
      <w:jc w:val="center"/>
    </w:pPr>
    <w:rPr>
      <w:i/>
      <w:iCs/>
      <w:color w:val="404040" w:themeColor="text1" w:themeTint="BF"/>
    </w:rPr>
  </w:style>
  <w:style w:type="character" w:customStyle="1" w:styleId="QuoteChar">
    <w:name w:val="Quote Char"/>
    <w:basedOn w:val="DefaultParagraphFont"/>
    <w:link w:val="Quote"/>
    <w:uiPriority w:val="29"/>
    <w:rsid w:val="00500D4B"/>
    <w:rPr>
      <w:i/>
      <w:iCs/>
      <w:color w:val="404040" w:themeColor="text1" w:themeTint="BF"/>
    </w:rPr>
  </w:style>
  <w:style w:type="paragraph" w:styleId="ListParagraph">
    <w:name w:val="List Paragraph"/>
    <w:aliases w:val="Teksto skyrius,ERP-List Paragraph,List Paragraph11,Bullet EY,List Paragraph1,Dot pt,F5 List Paragraph,No Spacing1,List Paragraph Char Char Char,Indicator Text,Colorful List - Accent 11,Numbered Para 1,Bullet 1,Bullet Points,MAIN CONTENT"/>
    <w:basedOn w:val="Normal"/>
    <w:link w:val="ListParagraphChar"/>
    <w:uiPriority w:val="34"/>
    <w:qFormat/>
    <w:rsid w:val="00500D4B"/>
    <w:pPr>
      <w:ind w:left="720"/>
      <w:contextualSpacing/>
    </w:pPr>
  </w:style>
  <w:style w:type="character" w:styleId="IntenseEmphasis">
    <w:name w:val="Intense Emphasis"/>
    <w:basedOn w:val="DefaultParagraphFont"/>
    <w:uiPriority w:val="21"/>
    <w:qFormat/>
    <w:rsid w:val="00500D4B"/>
    <w:rPr>
      <w:i/>
      <w:iCs/>
      <w:color w:val="0F4761" w:themeColor="accent1" w:themeShade="BF"/>
    </w:rPr>
  </w:style>
  <w:style w:type="paragraph" w:styleId="IntenseQuote">
    <w:name w:val="Intense Quote"/>
    <w:basedOn w:val="Normal"/>
    <w:next w:val="Normal"/>
    <w:link w:val="IntenseQuoteChar"/>
    <w:uiPriority w:val="30"/>
    <w:qFormat/>
    <w:rsid w:val="00500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D4B"/>
    <w:rPr>
      <w:i/>
      <w:iCs/>
      <w:color w:val="0F4761" w:themeColor="accent1" w:themeShade="BF"/>
    </w:rPr>
  </w:style>
  <w:style w:type="character" w:styleId="IntenseReference">
    <w:name w:val="Intense Reference"/>
    <w:basedOn w:val="DefaultParagraphFont"/>
    <w:uiPriority w:val="32"/>
    <w:qFormat/>
    <w:rsid w:val="00500D4B"/>
    <w:rPr>
      <w:b/>
      <w:bCs/>
      <w:smallCaps/>
      <w:color w:val="0F4761" w:themeColor="accent1" w:themeShade="BF"/>
      <w:spacing w:val="5"/>
    </w:rPr>
  </w:style>
  <w:style w:type="character" w:styleId="CommentReference">
    <w:name w:val="annotation reference"/>
    <w:basedOn w:val="DefaultParagraphFont"/>
    <w:uiPriority w:val="99"/>
    <w:semiHidden/>
    <w:unhideWhenUsed/>
    <w:rsid w:val="00FE5E28"/>
    <w:rPr>
      <w:sz w:val="16"/>
      <w:szCs w:val="16"/>
    </w:rPr>
  </w:style>
  <w:style w:type="paragraph" w:styleId="CommentText">
    <w:name w:val="annotation text"/>
    <w:basedOn w:val="Normal"/>
    <w:link w:val="CommentTextChar"/>
    <w:uiPriority w:val="99"/>
    <w:unhideWhenUsed/>
    <w:rsid w:val="00FE5E28"/>
    <w:pPr>
      <w:spacing w:line="240" w:lineRule="auto"/>
    </w:pPr>
    <w:rPr>
      <w:sz w:val="20"/>
      <w:szCs w:val="20"/>
    </w:rPr>
  </w:style>
  <w:style w:type="character" w:customStyle="1" w:styleId="CommentTextChar">
    <w:name w:val="Comment Text Char"/>
    <w:basedOn w:val="DefaultParagraphFont"/>
    <w:link w:val="CommentText"/>
    <w:uiPriority w:val="99"/>
    <w:rsid w:val="00FE5E28"/>
    <w:rPr>
      <w:sz w:val="20"/>
      <w:szCs w:val="20"/>
    </w:rPr>
  </w:style>
  <w:style w:type="paragraph" w:styleId="CommentSubject">
    <w:name w:val="annotation subject"/>
    <w:basedOn w:val="CommentText"/>
    <w:next w:val="CommentText"/>
    <w:link w:val="CommentSubjectChar"/>
    <w:uiPriority w:val="99"/>
    <w:semiHidden/>
    <w:unhideWhenUsed/>
    <w:rsid w:val="00FE5E28"/>
    <w:rPr>
      <w:b/>
      <w:bCs/>
    </w:rPr>
  </w:style>
  <w:style w:type="character" w:customStyle="1" w:styleId="CommentSubjectChar">
    <w:name w:val="Comment Subject Char"/>
    <w:basedOn w:val="CommentTextChar"/>
    <w:link w:val="CommentSubject"/>
    <w:uiPriority w:val="99"/>
    <w:semiHidden/>
    <w:rsid w:val="00FE5E28"/>
    <w:rPr>
      <w:b/>
      <w:bCs/>
      <w:sz w:val="20"/>
      <w:szCs w:val="20"/>
    </w:rPr>
  </w:style>
  <w:style w:type="paragraph" w:styleId="Revision">
    <w:name w:val="Revision"/>
    <w:hidden/>
    <w:uiPriority w:val="99"/>
    <w:semiHidden/>
    <w:rsid w:val="00D07D3E"/>
    <w:pPr>
      <w:spacing w:after="0" w:line="240" w:lineRule="auto"/>
    </w:pPr>
  </w:style>
  <w:style w:type="paragraph" w:styleId="FootnoteText">
    <w:name w:val="footnote text"/>
    <w:basedOn w:val="Normal"/>
    <w:link w:val="FootnoteTextChar"/>
    <w:uiPriority w:val="99"/>
    <w:semiHidden/>
    <w:unhideWhenUsed/>
    <w:rsid w:val="00FF3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4A3"/>
    <w:rPr>
      <w:sz w:val="20"/>
      <w:szCs w:val="20"/>
    </w:rPr>
  </w:style>
  <w:style w:type="character" w:styleId="FootnoteReference">
    <w:name w:val="footnote reference"/>
    <w:basedOn w:val="DefaultParagraphFont"/>
    <w:uiPriority w:val="99"/>
    <w:semiHidden/>
    <w:unhideWhenUsed/>
    <w:rsid w:val="00FF34A3"/>
    <w:rPr>
      <w:vertAlign w:val="superscript"/>
    </w:rPr>
  </w:style>
  <w:style w:type="table" w:styleId="TableGrid">
    <w:name w:val="Table Grid"/>
    <w:basedOn w:val="TableNormal"/>
    <w:uiPriority w:val="39"/>
    <w:rsid w:val="0068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C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6C36"/>
  </w:style>
  <w:style w:type="paragraph" w:styleId="Footer">
    <w:name w:val="footer"/>
    <w:basedOn w:val="Normal"/>
    <w:link w:val="FooterChar"/>
    <w:uiPriority w:val="99"/>
    <w:unhideWhenUsed/>
    <w:rsid w:val="00126C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6C36"/>
  </w:style>
  <w:style w:type="character" w:customStyle="1" w:styleId="ListParagraphChar">
    <w:name w:val="List Paragraph Char"/>
    <w:aliases w:val="Teksto skyrius Char,ERP-List Paragraph Char,List Paragraph11 Char,Bullet EY Char,List Paragraph1 Char,Dot pt Char,F5 List Paragraph Char,No Spacing1 Char,List Paragraph Char Char Char Char,Indicator Text Char,Numbered Para 1 Char"/>
    <w:link w:val="ListParagraph"/>
    <w:uiPriority w:val="34"/>
    <w:qFormat/>
    <w:locked/>
    <w:rsid w:val="00AA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304">
      <w:bodyDiv w:val="1"/>
      <w:marLeft w:val="0"/>
      <w:marRight w:val="0"/>
      <w:marTop w:val="0"/>
      <w:marBottom w:val="0"/>
      <w:divBdr>
        <w:top w:val="none" w:sz="0" w:space="0" w:color="auto"/>
        <w:left w:val="none" w:sz="0" w:space="0" w:color="auto"/>
        <w:bottom w:val="none" w:sz="0" w:space="0" w:color="auto"/>
        <w:right w:val="none" w:sz="0" w:space="0" w:color="auto"/>
      </w:divBdr>
    </w:div>
    <w:div w:id="249002706">
      <w:bodyDiv w:val="1"/>
      <w:marLeft w:val="0"/>
      <w:marRight w:val="0"/>
      <w:marTop w:val="0"/>
      <w:marBottom w:val="0"/>
      <w:divBdr>
        <w:top w:val="none" w:sz="0" w:space="0" w:color="auto"/>
        <w:left w:val="none" w:sz="0" w:space="0" w:color="auto"/>
        <w:bottom w:val="none" w:sz="0" w:space="0" w:color="auto"/>
        <w:right w:val="none" w:sz="0" w:space="0" w:color="auto"/>
      </w:divBdr>
    </w:div>
    <w:div w:id="313150001">
      <w:bodyDiv w:val="1"/>
      <w:marLeft w:val="0"/>
      <w:marRight w:val="0"/>
      <w:marTop w:val="0"/>
      <w:marBottom w:val="0"/>
      <w:divBdr>
        <w:top w:val="none" w:sz="0" w:space="0" w:color="auto"/>
        <w:left w:val="none" w:sz="0" w:space="0" w:color="auto"/>
        <w:bottom w:val="none" w:sz="0" w:space="0" w:color="auto"/>
        <w:right w:val="none" w:sz="0" w:space="0" w:color="auto"/>
      </w:divBdr>
    </w:div>
    <w:div w:id="337344588">
      <w:bodyDiv w:val="1"/>
      <w:marLeft w:val="0"/>
      <w:marRight w:val="0"/>
      <w:marTop w:val="0"/>
      <w:marBottom w:val="0"/>
      <w:divBdr>
        <w:top w:val="none" w:sz="0" w:space="0" w:color="auto"/>
        <w:left w:val="none" w:sz="0" w:space="0" w:color="auto"/>
        <w:bottom w:val="none" w:sz="0" w:space="0" w:color="auto"/>
        <w:right w:val="none" w:sz="0" w:space="0" w:color="auto"/>
      </w:divBdr>
    </w:div>
    <w:div w:id="474638833">
      <w:bodyDiv w:val="1"/>
      <w:marLeft w:val="0"/>
      <w:marRight w:val="0"/>
      <w:marTop w:val="0"/>
      <w:marBottom w:val="0"/>
      <w:divBdr>
        <w:top w:val="none" w:sz="0" w:space="0" w:color="auto"/>
        <w:left w:val="none" w:sz="0" w:space="0" w:color="auto"/>
        <w:bottom w:val="none" w:sz="0" w:space="0" w:color="auto"/>
        <w:right w:val="none" w:sz="0" w:space="0" w:color="auto"/>
      </w:divBdr>
    </w:div>
    <w:div w:id="510949652">
      <w:bodyDiv w:val="1"/>
      <w:marLeft w:val="0"/>
      <w:marRight w:val="0"/>
      <w:marTop w:val="0"/>
      <w:marBottom w:val="0"/>
      <w:divBdr>
        <w:top w:val="none" w:sz="0" w:space="0" w:color="auto"/>
        <w:left w:val="none" w:sz="0" w:space="0" w:color="auto"/>
        <w:bottom w:val="none" w:sz="0" w:space="0" w:color="auto"/>
        <w:right w:val="none" w:sz="0" w:space="0" w:color="auto"/>
      </w:divBdr>
    </w:div>
    <w:div w:id="559638851">
      <w:bodyDiv w:val="1"/>
      <w:marLeft w:val="0"/>
      <w:marRight w:val="0"/>
      <w:marTop w:val="0"/>
      <w:marBottom w:val="0"/>
      <w:divBdr>
        <w:top w:val="none" w:sz="0" w:space="0" w:color="auto"/>
        <w:left w:val="none" w:sz="0" w:space="0" w:color="auto"/>
        <w:bottom w:val="none" w:sz="0" w:space="0" w:color="auto"/>
        <w:right w:val="none" w:sz="0" w:space="0" w:color="auto"/>
      </w:divBdr>
    </w:div>
    <w:div w:id="564989883">
      <w:bodyDiv w:val="1"/>
      <w:marLeft w:val="0"/>
      <w:marRight w:val="0"/>
      <w:marTop w:val="0"/>
      <w:marBottom w:val="0"/>
      <w:divBdr>
        <w:top w:val="none" w:sz="0" w:space="0" w:color="auto"/>
        <w:left w:val="none" w:sz="0" w:space="0" w:color="auto"/>
        <w:bottom w:val="none" w:sz="0" w:space="0" w:color="auto"/>
        <w:right w:val="none" w:sz="0" w:space="0" w:color="auto"/>
      </w:divBdr>
    </w:div>
    <w:div w:id="641889509">
      <w:bodyDiv w:val="1"/>
      <w:marLeft w:val="0"/>
      <w:marRight w:val="0"/>
      <w:marTop w:val="0"/>
      <w:marBottom w:val="0"/>
      <w:divBdr>
        <w:top w:val="none" w:sz="0" w:space="0" w:color="auto"/>
        <w:left w:val="none" w:sz="0" w:space="0" w:color="auto"/>
        <w:bottom w:val="none" w:sz="0" w:space="0" w:color="auto"/>
        <w:right w:val="none" w:sz="0" w:space="0" w:color="auto"/>
      </w:divBdr>
    </w:div>
    <w:div w:id="878779590">
      <w:bodyDiv w:val="1"/>
      <w:marLeft w:val="0"/>
      <w:marRight w:val="0"/>
      <w:marTop w:val="0"/>
      <w:marBottom w:val="0"/>
      <w:divBdr>
        <w:top w:val="none" w:sz="0" w:space="0" w:color="auto"/>
        <w:left w:val="none" w:sz="0" w:space="0" w:color="auto"/>
        <w:bottom w:val="none" w:sz="0" w:space="0" w:color="auto"/>
        <w:right w:val="none" w:sz="0" w:space="0" w:color="auto"/>
      </w:divBdr>
    </w:div>
    <w:div w:id="1326011477">
      <w:bodyDiv w:val="1"/>
      <w:marLeft w:val="0"/>
      <w:marRight w:val="0"/>
      <w:marTop w:val="0"/>
      <w:marBottom w:val="0"/>
      <w:divBdr>
        <w:top w:val="none" w:sz="0" w:space="0" w:color="auto"/>
        <w:left w:val="none" w:sz="0" w:space="0" w:color="auto"/>
        <w:bottom w:val="none" w:sz="0" w:space="0" w:color="auto"/>
        <w:right w:val="none" w:sz="0" w:space="0" w:color="auto"/>
      </w:divBdr>
    </w:div>
    <w:div w:id="1518349050">
      <w:bodyDiv w:val="1"/>
      <w:marLeft w:val="0"/>
      <w:marRight w:val="0"/>
      <w:marTop w:val="0"/>
      <w:marBottom w:val="0"/>
      <w:divBdr>
        <w:top w:val="none" w:sz="0" w:space="0" w:color="auto"/>
        <w:left w:val="none" w:sz="0" w:space="0" w:color="auto"/>
        <w:bottom w:val="none" w:sz="0" w:space="0" w:color="auto"/>
        <w:right w:val="none" w:sz="0" w:space="0" w:color="auto"/>
      </w:divBdr>
    </w:div>
    <w:div w:id="1621958706">
      <w:bodyDiv w:val="1"/>
      <w:marLeft w:val="0"/>
      <w:marRight w:val="0"/>
      <w:marTop w:val="0"/>
      <w:marBottom w:val="0"/>
      <w:divBdr>
        <w:top w:val="none" w:sz="0" w:space="0" w:color="auto"/>
        <w:left w:val="none" w:sz="0" w:space="0" w:color="auto"/>
        <w:bottom w:val="none" w:sz="0" w:space="0" w:color="auto"/>
        <w:right w:val="none" w:sz="0" w:space="0" w:color="auto"/>
      </w:divBdr>
    </w:div>
    <w:div w:id="18632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8E28-2FB8-4B5A-9A70-14BE7DD2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7449</Words>
  <Characters>4247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Kiznevičiūtė</dc:creator>
  <cp:keywords/>
  <dc:description/>
  <cp:lastModifiedBy>Lina Mechoncevė</cp:lastModifiedBy>
  <cp:revision>21</cp:revision>
  <dcterms:created xsi:type="dcterms:W3CDTF">2025-03-27T10:04:00Z</dcterms:created>
  <dcterms:modified xsi:type="dcterms:W3CDTF">2025-04-11T08:24:00Z</dcterms:modified>
</cp:coreProperties>
</file>