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B11" w:rsidRDefault="00FC2B11">
      <w:pPr>
        <w:tabs>
          <w:tab w:val="center" w:pos="4819"/>
          <w:tab w:val="right" w:pos="9638"/>
        </w:tabs>
        <w:rPr>
          <w:sz w:val="22"/>
          <w:szCs w:val="22"/>
        </w:rPr>
      </w:pPr>
    </w:p>
    <w:p w:rsidR="00FC2B11" w:rsidRDefault="00FC2B11">
      <w:pPr>
        <w:tabs>
          <w:tab w:val="center" w:pos="4819"/>
          <w:tab w:val="right" w:pos="9638"/>
        </w:tabs>
        <w:jc w:val="center"/>
        <w:rPr>
          <w:sz w:val="22"/>
          <w:szCs w:val="22"/>
        </w:rPr>
      </w:pPr>
    </w:p>
    <w:p w:rsidR="00FC2B11" w:rsidRDefault="00FC2B11">
      <w:pPr>
        <w:tabs>
          <w:tab w:val="center" w:pos="4819"/>
          <w:tab w:val="right" w:pos="9638"/>
        </w:tabs>
        <w:rPr>
          <w:sz w:val="22"/>
          <w:szCs w:val="22"/>
        </w:rPr>
      </w:pPr>
    </w:p>
    <w:p w:rsidR="00FC2B11" w:rsidRDefault="00A25547">
      <w:pPr>
        <w:ind w:left="8931"/>
        <w:jc w:val="both"/>
        <w:textAlignment w:val="baseline"/>
        <w:rPr>
          <w:color w:val="000000"/>
          <w:szCs w:val="24"/>
          <w:lang w:eastAsia="lt-LT"/>
        </w:rPr>
      </w:pPr>
      <w:r>
        <w:rPr>
          <w:color w:val="000000"/>
          <w:szCs w:val="24"/>
          <w:lang w:eastAsia="lt-LT"/>
        </w:rPr>
        <w:t>2 priedo „2021–2030 m. plėtros programos valdytojos Lietuvos Respublikos švietimo, mokslo ir sporto ministerijos Švietimo plėtros programos pažangos priemonės Nr. 12-003-03-04-03 „Sukurti rinkos poreikius atliepiančią profesinio ugdymo sistemą“ projektų finansavimo sąlygų aprašo Nr. 2“</w:t>
      </w:r>
    </w:p>
    <w:p w:rsidR="00FC2B11" w:rsidRDefault="00A25547">
      <w:pPr>
        <w:ind w:left="8931"/>
        <w:jc w:val="both"/>
        <w:textAlignment w:val="baseline"/>
        <w:rPr>
          <w:color w:val="000000"/>
          <w:szCs w:val="24"/>
          <w:lang w:eastAsia="lt-LT"/>
        </w:rPr>
      </w:pPr>
      <w:bookmarkStart w:id="0" w:name="_GoBack"/>
      <w:bookmarkEnd w:id="0"/>
      <w:r>
        <w:rPr>
          <w:color w:val="000000"/>
          <w:szCs w:val="24"/>
          <w:lang w:eastAsia="lt-LT"/>
        </w:rPr>
        <w:t>priedas</w:t>
      </w:r>
    </w:p>
    <w:p w:rsidR="00FC2B11" w:rsidRDefault="00FC2B11">
      <w:pPr>
        <w:rPr>
          <w:i/>
          <w:iCs/>
          <w:szCs w:val="24"/>
        </w:rPr>
      </w:pPr>
    </w:p>
    <w:p w:rsidR="00FC2B11" w:rsidRDefault="00FC2B11">
      <w:pPr>
        <w:rPr>
          <w:i/>
          <w:iCs/>
          <w:szCs w:val="24"/>
        </w:rPr>
      </w:pPr>
    </w:p>
    <w:p w:rsidR="00FC2B11" w:rsidRDefault="00FC2B11">
      <w:pPr>
        <w:jc w:val="center"/>
        <w:rPr>
          <w:rFonts w:eastAsia="Calibri"/>
          <w:b/>
          <w:bCs/>
          <w:szCs w:val="24"/>
        </w:rPr>
      </w:pPr>
    </w:p>
    <w:p w:rsidR="00FC2B11" w:rsidRDefault="00A25547">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rsidR="00FC2B11" w:rsidRDefault="00FC2B11">
      <w:pPr>
        <w:jc w:val="center"/>
        <w:rPr>
          <w:rFonts w:eastAsia="Calibri"/>
          <w:b/>
          <w:bCs/>
          <w:szCs w:val="24"/>
        </w:rPr>
      </w:pPr>
    </w:p>
    <w:p w:rsidR="00FC2B11" w:rsidRDefault="00A2554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rsidR="00FC2B11" w:rsidRDefault="00A2554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rsidR="00FC2B11" w:rsidRDefault="00A25547">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rsidR="00FC2B11" w:rsidRDefault="00FC2B11">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4"/>
        <w:gridCol w:w="5330"/>
      </w:tblGrid>
      <w:tr w:rsidR="00FC2B11">
        <w:tc>
          <w:tcPr>
            <w:tcW w:w="4933" w:type="dxa"/>
          </w:tcPr>
          <w:p w:rsidR="00FC2B11" w:rsidRDefault="00A25547">
            <w:pPr>
              <w:jc w:val="center"/>
              <w:rPr>
                <w:rFonts w:eastAsia="Calibri"/>
                <w:b/>
                <w:szCs w:val="24"/>
              </w:rPr>
            </w:pPr>
            <w:r>
              <w:rPr>
                <w:rFonts w:eastAsia="Calibri"/>
                <w:b/>
                <w:szCs w:val="24"/>
              </w:rPr>
              <w:t>Aplinkos tikslai</w:t>
            </w:r>
          </w:p>
          <w:p w:rsidR="00FC2B11" w:rsidRDefault="00A25547">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78" w:type="dxa"/>
          </w:tcPr>
          <w:p w:rsidR="00FC2B11" w:rsidRDefault="00A25547">
            <w:pPr>
              <w:jc w:val="center"/>
              <w:rPr>
                <w:rFonts w:eastAsia="Calibri"/>
                <w:b/>
                <w:szCs w:val="24"/>
              </w:rPr>
            </w:pPr>
            <w:r>
              <w:rPr>
                <w:rFonts w:eastAsia="Calibri"/>
                <w:b/>
                <w:szCs w:val="24"/>
              </w:rPr>
              <w:t>Pagrindimas</w:t>
            </w:r>
          </w:p>
          <w:p w:rsidR="00FC2B11" w:rsidRDefault="00A25547">
            <w:pPr>
              <w:jc w:val="both"/>
              <w:rPr>
                <w:rFonts w:eastAsia="Calibri"/>
                <w:b/>
                <w:szCs w:val="24"/>
              </w:rPr>
            </w:pPr>
            <w:r>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5387" w:type="dxa"/>
          </w:tcPr>
          <w:p w:rsidR="00FC2B11" w:rsidRDefault="00A25547">
            <w:pPr>
              <w:jc w:val="center"/>
              <w:rPr>
                <w:rFonts w:eastAsia="Calibri"/>
                <w:i/>
                <w:sz w:val="20"/>
              </w:rPr>
            </w:pPr>
            <w:r>
              <w:rPr>
                <w:rFonts w:eastAsia="Calibri"/>
                <w:b/>
                <w:szCs w:val="24"/>
              </w:rPr>
              <w:t>Pagrindimo dokumentai</w:t>
            </w:r>
          </w:p>
          <w:p w:rsidR="00FC2B11" w:rsidRDefault="00A25547">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FC2B11">
        <w:tc>
          <w:tcPr>
            <w:tcW w:w="4933" w:type="dxa"/>
          </w:tcPr>
          <w:p w:rsidR="00FC2B11" w:rsidRDefault="00A2554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rsidR="00FC2B11" w:rsidRDefault="00A25547">
            <w:pPr>
              <w:jc w:val="both"/>
              <w:rPr>
                <w:rFonts w:eastAsia="Calibri"/>
                <w:szCs w:val="24"/>
              </w:rPr>
            </w:pPr>
            <w:r>
              <w:rPr>
                <w:rFonts w:eastAsia="Calibri"/>
                <w:szCs w:val="24"/>
              </w:rPr>
              <w:t xml:space="preserve">Vertinama, kad planuojama įgyvendinti priemonė neturi jokio numatomo poveikio šiam aplinkos tikslui arba numatomas jos poveikis yra nereikšmingas, t. y. neplanuojama, kad įgyvendinama priemonė prisidės prie išmetamų šiltnamio efektą sukeliančių dujų (ŠESD) išsiskyrimo. Planuojama priemonės veikla (pagal savo pobūdį) neturi jokio tiesioginio ar </w:t>
            </w:r>
            <w:r>
              <w:rPr>
                <w:rFonts w:eastAsia="Calibri"/>
                <w:szCs w:val="24"/>
              </w:rPr>
              <w:lastRenderedPageBreak/>
              <w:t xml:space="preserve">netiesioginio neigiamo poveikio šiam aplinkos tikslui. Bus teikiama parama profesinio mokymo įstaigoms, kurios vykdys mokinių paktinį mokymą sektoriniuose praktinio mokymo centruose. Ši veikla neturės jokio neigiamo tiesioginio ar netiesioginio poveikio klimato kaitos švelninimo tikslui, nes nenumatoma, kad įgyvendinant veiklas galėtų būti ŠESD išsiskyrimas.    </w:t>
            </w:r>
          </w:p>
        </w:tc>
        <w:tc>
          <w:tcPr>
            <w:tcW w:w="5387" w:type="dxa"/>
          </w:tcPr>
          <w:p w:rsidR="00FC2B11" w:rsidRDefault="00A25547">
            <w:pPr>
              <w:tabs>
                <w:tab w:val="left" w:pos="589"/>
              </w:tabs>
              <w:jc w:val="both"/>
              <w:rPr>
                <w:rFonts w:eastAsia="Calibri"/>
                <w:szCs w:val="24"/>
              </w:rPr>
            </w:pPr>
            <w:r>
              <w:rPr>
                <w:rFonts w:eastAsia="Calibri"/>
                <w:szCs w:val="24"/>
              </w:rPr>
              <w:lastRenderedPageBreak/>
              <w:t>Netaikoma, nes priemonės veikla apima ir yra nukreipta į mokinių praktinį mokymą sektoriniuose praktinio mokymo centruose.</w:t>
            </w:r>
          </w:p>
        </w:tc>
      </w:tr>
      <w:tr w:rsidR="00FC2B11">
        <w:tc>
          <w:tcPr>
            <w:tcW w:w="4933" w:type="dxa"/>
          </w:tcPr>
          <w:p w:rsidR="00FC2B11" w:rsidRDefault="00A2554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rsidR="00FC2B11" w:rsidRDefault="00A25547">
            <w:pPr>
              <w:jc w:val="both"/>
              <w:rPr>
                <w:rFonts w:eastAsia="Calibri"/>
              </w:rPr>
            </w:pPr>
            <w:r>
              <w:rPr>
                <w:rFonts w:eastAsia="Calibri"/>
              </w:rPr>
              <w:t>Vertinama, kad planuojama įgyvendinti priemonė neturi jokio numatomo poveikio šiam aplinkos tikslui arba numatomas jos poveikis yra nereikšmingas, t. y. neplanuojama, kad įgyvendinama priemonė didina neigiamą dabartinio ir ateities klimato poveikį ar daro neigiamą poveikį žmonėms, gamtai ar turtui: priemonės veiklos (pagal savo pobūdį) neturi jokio tiesioginio ar netiesioginio neigiamo poveikio šiam aplinkos tikslui.</w:t>
            </w:r>
          </w:p>
        </w:tc>
        <w:tc>
          <w:tcPr>
            <w:tcW w:w="5387" w:type="dxa"/>
          </w:tcPr>
          <w:p w:rsidR="00FC2B11" w:rsidRDefault="00A25547">
            <w:pPr>
              <w:tabs>
                <w:tab w:val="left" w:pos="589"/>
              </w:tabs>
              <w:jc w:val="both"/>
              <w:rPr>
                <w:rFonts w:eastAsia="Calibri"/>
                <w:szCs w:val="24"/>
              </w:rPr>
            </w:pPr>
            <w:r>
              <w:rPr>
                <w:rFonts w:eastAsia="Calibri"/>
                <w:szCs w:val="24"/>
              </w:rPr>
              <w:t>Netaikoma, nes priemonės veikla apima ir yra nukreipta į mokinių praktinį mokymą sektoriniuose praktinio mokymo centruose.</w:t>
            </w:r>
          </w:p>
          <w:p w:rsidR="00FC2B11" w:rsidRDefault="00FC2B11">
            <w:pPr>
              <w:jc w:val="both"/>
              <w:rPr>
                <w:rFonts w:eastAsia="Calibri"/>
                <w:b/>
                <w:bCs/>
              </w:rPr>
            </w:pPr>
          </w:p>
        </w:tc>
      </w:tr>
      <w:tr w:rsidR="00FC2B11">
        <w:tc>
          <w:tcPr>
            <w:tcW w:w="4933" w:type="dxa"/>
          </w:tcPr>
          <w:p w:rsidR="00FC2B11" w:rsidRDefault="00A2554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rsidR="00FC2B11" w:rsidRDefault="00A25547">
            <w:pPr>
              <w:jc w:val="both"/>
              <w:rPr>
                <w:rFonts w:eastAsia="Calibri"/>
                <w:b/>
                <w:bCs/>
              </w:rPr>
            </w:pPr>
            <w:r>
              <w:rPr>
                <w:rFonts w:eastAsia="Calibri"/>
              </w:rPr>
              <w:t>Vertinama, kad planuojama įgyvendinti priemonė neturi jokio numatomo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jokia infrastruktūra, kuri galėtų turėti poveikį tausiam vandens ir jūrų išteklių naudojimui: veiklos (pagal savo pobūdį) neturi jokio tiesioginio ar netiesioginio neigiamo poveikio šiam aplinkos tikslui.</w:t>
            </w:r>
            <w:r>
              <w:rPr>
                <w:rFonts w:eastAsia="Calibri"/>
                <w:b/>
                <w:bCs/>
              </w:rPr>
              <w:t xml:space="preserve">  </w:t>
            </w:r>
          </w:p>
        </w:tc>
        <w:tc>
          <w:tcPr>
            <w:tcW w:w="5387" w:type="dxa"/>
          </w:tcPr>
          <w:p w:rsidR="00FC2B11" w:rsidRDefault="00A25547">
            <w:pPr>
              <w:tabs>
                <w:tab w:val="left" w:pos="589"/>
              </w:tabs>
              <w:jc w:val="both"/>
              <w:rPr>
                <w:rFonts w:eastAsia="Calibri"/>
                <w:szCs w:val="24"/>
              </w:rPr>
            </w:pPr>
            <w:r>
              <w:rPr>
                <w:rFonts w:eastAsia="Calibri"/>
                <w:szCs w:val="24"/>
              </w:rPr>
              <w:t>Netaikoma, nes priemonės veikla apima ir yra nukreipta į mokinių praktinį mokymą sektoriniuose praktinio mokymo centruose.</w:t>
            </w:r>
          </w:p>
          <w:p w:rsidR="00FC2B11" w:rsidRDefault="00FC2B11">
            <w:pPr>
              <w:jc w:val="both"/>
              <w:rPr>
                <w:rFonts w:eastAsia="Calibri"/>
              </w:rPr>
            </w:pPr>
          </w:p>
        </w:tc>
      </w:tr>
      <w:tr w:rsidR="00FC2B11">
        <w:tc>
          <w:tcPr>
            <w:tcW w:w="4933" w:type="dxa"/>
          </w:tcPr>
          <w:p w:rsidR="00FC2B11" w:rsidRDefault="00A2554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rsidR="00FC2B11" w:rsidRDefault="00A25547">
            <w:pPr>
              <w:jc w:val="both"/>
              <w:rPr>
                <w:rFonts w:eastAsia="Calibri"/>
              </w:rPr>
            </w:pPr>
            <w:r>
              <w:rPr>
                <w:rFonts w:eastAsia="Calibri"/>
              </w:rPr>
              <w:t xml:space="preserve">Vertinama, kad planuojama įgyvendinti  priemonė neturi jokio numatomo poveikio šiam aplinkos tikslui arba numatomas jos </w:t>
            </w:r>
            <w:r>
              <w:rPr>
                <w:rFonts w:eastAsia="Calibri"/>
              </w:rPr>
              <w:lastRenderedPageBreak/>
              <w:t xml:space="preserve">poveikis yra nereikšmingas, kadangi įgyvendinant reformas ir investicijas nenumatoma kurti infrastruktūros, kuri daro žalą žiedinei ekonomikai, įskaitant atliekų prevenciją ir perdirbimą: veiklos (pagal savo pobūdį) neturi jokio tiesioginio ar netiesioginio neigiamo poveikio šiam aplinkos tikslui.  </w:t>
            </w:r>
          </w:p>
        </w:tc>
        <w:tc>
          <w:tcPr>
            <w:tcW w:w="5387" w:type="dxa"/>
          </w:tcPr>
          <w:p w:rsidR="00FC2B11" w:rsidRDefault="00A25547">
            <w:pPr>
              <w:tabs>
                <w:tab w:val="left" w:pos="589"/>
              </w:tabs>
              <w:jc w:val="both"/>
              <w:rPr>
                <w:rFonts w:eastAsia="Calibri"/>
                <w:szCs w:val="24"/>
              </w:rPr>
            </w:pPr>
            <w:r>
              <w:rPr>
                <w:rFonts w:eastAsia="Calibri"/>
                <w:szCs w:val="24"/>
              </w:rPr>
              <w:lastRenderedPageBreak/>
              <w:t>Netaikoma, nes priemonės veikla apima ir yra nukreipta į mokinių praktinį mokymą sektoriniuose praktinio mokymo centruose.</w:t>
            </w:r>
          </w:p>
          <w:p w:rsidR="00FC2B11" w:rsidRDefault="00FC2B11">
            <w:pPr>
              <w:jc w:val="both"/>
              <w:rPr>
                <w:rFonts w:eastAsia="Calibri"/>
              </w:rPr>
            </w:pPr>
          </w:p>
        </w:tc>
      </w:tr>
      <w:tr w:rsidR="00FC2B11">
        <w:tc>
          <w:tcPr>
            <w:tcW w:w="4933" w:type="dxa"/>
          </w:tcPr>
          <w:p w:rsidR="00FC2B11" w:rsidRDefault="00A25547">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4678" w:type="dxa"/>
          </w:tcPr>
          <w:p w:rsidR="00FC2B11" w:rsidRDefault="00A25547">
            <w:pPr>
              <w:jc w:val="both"/>
              <w:rPr>
                <w:rFonts w:eastAsia="Calibri"/>
              </w:rPr>
            </w:pPr>
            <w:r>
              <w:rPr>
                <w:rFonts w:eastAsia="Calibri"/>
              </w:rPr>
              <w:t xml:space="preserve">Vertinama, kad planuojama įgyvendinti priemonė neturi jokio numatomo poveikio šiam aplinkos tikslui arba numatomas jos poveikis yra nereikšmingas, t. 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rsidR="00FC2B11" w:rsidRDefault="00A25547">
            <w:pPr>
              <w:tabs>
                <w:tab w:val="left" w:pos="589"/>
              </w:tabs>
              <w:jc w:val="both"/>
              <w:rPr>
                <w:rFonts w:eastAsia="Calibri"/>
                <w:szCs w:val="24"/>
              </w:rPr>
            </w:pPr>
            <w:r>
              <w:rPr>
                <w:rFonts w:eastAsia="Calibri"/>
                <w:szCs w:val="24"/>
              </w:rPr>
              <w:t>Netaikoma, nes priemonės veikla apima ir yra nukreipta į mokinių praktinį mokymą sektoriniuose praktinio mokymo centruose.</w:t>
            </w:r>
          </w:p>
          <w:p w:rsidR="00FC2B11" w:rsidRDefault="00FC2B11">
            <w:pPr>
              <w:jc w:val="both"/>
              <w:rPr>
                <w:rFonts w:eastAsia="Calibri"/>
              </w:rPr>
            </w:pPr>
          </w:p>
        </w:tc>
      </w:tr>
      <w:tr w:rsidR="00FC2B11">
        <w:tc>
          <w:tcPr>
            <w:tcW w:w="4933" w:type="dxa"/>
          </w:tcPr>
          <w:p w:rsidR="00FC2B11" w:rsidRDefault="00A2554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rsidR="00FC2B11" w:rsidRDefault="00A25547">
            <w:pPr>
              <w:jc w:val="both"/>
              <w:rPr>
                <w:rFonts w:eastAsia="Calibri"/>
              </w:rPr>
            </w:pPr>
            <w:r>
              <w:rPr>
                <w:rFonts w:eastAsia="Calibri"/>
              </w:rPr>
              <w:t xml:space="preserve">Vertinama, kad planuojama įgyvendinti priemonė neturi jokio numatomo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w:t>
            </w:r>
          </w:p>
        </w:tc>
        <w:tc>
          <w:tcPr>
            <w:tcW w:w="5387" w:type="dxa"/>
          </w:tcPr>
          <w:p w:rsidR="00FC2B11" w:rsidRDefault="00A25547">
            <w:pPr>
              <w:tabs>
                <w:tab w:val="left" w:pos="589"/>
              </w:tabs>
              <w:jc w:val="both"/>
              <w:rPr>
                <w:rFonts w:eastAsia="Calibri"/>
                <w:szCs w:val="24"/>
              </w:rPr>
            </w:pPr>
            <w:r>
              <w:rPr>
                <w:rFonts w:eastAsia="Calibri"/>
                <w:szCs w:val="24"/>
              </w:rPr>
              <w:t>Netaikoma, nes priemonės veikla apima ir yra nukreipta į mokinių praktinį mokymą sektoriniuose praktinio mokymo centruose.</w:t>
            </w:r>
          </w:p>
          <w:p w:rsidR="00FC2B11" w:rsidRDefault="00FC2B11">
            <w:pPr>
              <w:jc w:val="both"/>
              <w:rPr>
                <w:rFonts w:eastAsia="Calibri"/>
              </w:rPr>
            </w:pPr>
          </w:p>
        </w:tc>
      </w:tr>
    </w:tbl>
    <w:p w:rsidR="00FC2B11" w:rsidRDefault="00FC2B11"/>
    <w:p w:rsidR="00FC2B11" w:rsidRDefault="00A25547">
      <w:pPr>
        <w:spacing w:line="276" w:lineRule="auto"/>
        <w:jc w:val="center"/>
        <w:rPr>
          <w:sz w:val="22"/>
          <w:szCs w:val="22"/>
          <w:u w:val="single"/>
        </w:rPr>
      </w:pPr>
      <w:r>
        <w:rPr>
          <w:rFonts w:ascii="Calibri" w:eastAsia="Calibri" w:hAnsi="Calibri"/>
          <w:sz w:val="22"/>
          <w:szCs w:val="22"/>
          <w:u w:val="single"/>
        </w:rPr>
        <w:t>________________</w:t>
      </w:r>
    </w:p>
    <w:sectPr w:rsidR="00FC2B11">
      <w:headerReference w:type="even" r:id="rId10"/>
      <w:headerReference w:type="default" r:id="rId11"/>
      <w:footerReference w:type="even" r:id="rId12"/>
      <w:footerReference w:type="default" r:id="rId13"/>
      <w:headerReference w:type="first" r:id="rId14"/>
      <w:footerReference w:type="first" r:id="rId15"/>
      <w:pgSz w:w="16838" w:h="11906" w:orient="landscape"/>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F7A" w:rsidRDefault="007E3F7A">
      <w:pPr>
        <w:rPr>
          <w:sz w:val="22"/>
          <w:szCs w:val="22"/>
        </w:rPr>
      </w:pPr>
      <w:r>
        <w:rPr>
          <w:sz w:val="22"/>
          <w:szCs w:val="22"/>
        </w:rPr>
        <w:separator/>
      </w:r>
    </w:p>
  </w:endnote>
  <w:endnote w:type="continuationSeparator" w:id="0">
    <w:p w:rsidR="007E3F7A" w:rsidRDefault="007E3F7A">
      <w:pPr>
        <w:rPr>
          <w:sz w:val="22"/>
          <w:szCs w:val="22"/>
        </w:rPr>
      </w:pPr>
      <w:r>
        <w:rPr>
          <w:sz w:val="22"/>
          <w:szCs w:val="22"/>
        </w:rPr>
        <w:continuationSeparator/>
      </w:r>
    </w:p>
  </w:endnote>
  <w:endnote w:type="continuationNotice" w:id="1">
    <w:p w:rsidR="007E3F7A" w:rsidRDefault="007E3F7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11" w:rsidRDefault="00FC2B1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11" w:rsidRDefault="00FC2B1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11" w:rsidRDefault="00FC2B1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F7A" w:rsidRDefault="007E3F7A">
      <w:pPr>
        <w:rPr>
          <w:sz w:val="22"/>
          <w:szCs w:val="22"/>
        </w:rPr>
      </w:pPr>
      <w:r>
        <w:rPr>
          <w:sz w:val="22"/>
          <w:szCs w:val="22"/>
        </w:rPr>
        <w:separator/>
      </w:r>
    </w:p>
  </w:footnote>
  <w:footnote w:type="continuationSeparator" w:id="0">
    <w:p w:rsidR="007E3F7A" w:rsidRDefault="007E3F7A">
      <w:pPr>
        <w:rPr>
          <w:sz w:val="22"/>
          <w:szCs w:val="22"/>
        </w:rPr>
      </w:pPr>
      <w:r>
        <w:rPr>
          <w:sz w:val="22"/>
          <w:szCs w:val="22"/>
        </w:rPr>
        <w:continuationSeparator/>
      </w:r>
    </w:p>
  </w:footnote>
  <w:footnote w:type="continuationNotice" w:id="1">
    <w:p w:rsidR="007E3F7A" w:rsidRDefault="007E3F7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11" w:rsidRDefault="00FC2B1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11" w:rsidRDefault="00A2554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91638">
      <w:rPr>
        <w:noProof/>
        <w:szCs w:val="22"/>
      </w:rPr>
      <w:t>3</w:t>
    </w:r>
    <w:r>
      <w:rPr>
        <w:szCs w:val="22"/>
      </w:rPr>
      <w:fldChar w:fldCharType="end"/>
    </w:r>
  </w:p>
  <w:p w:rsidR="00FC2B11" w:rsidRDefault="00FC2B1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11" w:rsidRDefault="00FC2B1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10199"/>
    <w:rsid w:val="00503F30"/>
    <w:rsid w:val="007E3F7A"/>
    <w:rsid w:val="00991638"/>
    <w:rsid w:val="00A25547"/>
    <w:rsid w:val="00A361B0"/>
    <w:rsid w:val="00FC2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5AF6"/>
  <w15:docId w15:val="{FB74BFB2-CF0D-4923-A37C-4F239C17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3DD18-7913-4DE2-B598-A73BCBE45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5C7FD179-B08B-40C5-9FFC-60913D5E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3484</Words>
  <Characters>1986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3e1d31e2-2458-4869-8b14-05f021f14d95</vt:lpstr>
    </vt:vector>
  </TitlesOfParts>
  <Company>HP Inc.</Company>
  <LinksUpToDate>false</LinksUpToDate>
  <CharactersWithSpaces>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2025-05-05T13:12:00Z</dcterms:created>
  <dc:creator>Virginija Levinskienė</dc:creator>
  <cp:lastModifiedBy>Gervienė Giedrė | ŠMSM</cp:lastModifiedBy>
  <dcterms:modified xsi:type="dcterms:W3CDTF">2025-05-14T11:03:00Z</dcterms:modified>
  <cp:revision>3</cp:revision>
  <dc:title>3e1d31e2-2458-4869-8b14-05f021f14d95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