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FF652" w14:textId="77777777" w:rsidR="006C43F2" w:rsidRDefault="006C43F2">
      <w:pPr>
        <w:tabs>
          <w:tab w:val="center" w:pos="4986"/>
          <w:tab w:val="right" w:pos="9972"/>
        </w:tabs>
        <w:suppressAutoHyphens/>
      </w:pPr>
      <w:bookmarkStart w:id="0" w:name="_GoBack"/>
      <w:bookmarkEnd w:id="0"/>
    </w:p>
    <w:p w14:paraId="7F772146" w14:textId="1D32880B" w:rsidR="006C43F2" w:rsidRDefault="000F2108">
      <w:pPr>
        <w:suppressAutoHyphens/>
        <w:ind w:left="9639"/>
        <w:jc w:val="both"/>
        <w:rPr>
          <w:bCs/>
          <w:szCs w:val="24"/>
        </w:rPr>
      </w:pPr>
      <w:r>
        <w:rPr>
          <w:bCs/>
          <w:szCs w:val="24"/>
        </w:rPr>
        <w:t xml:space="preserve">2022–2030 m. plėtros programos valdytojos Lietuvos Respublikos švietimo, mokslo ir sporto ministerijos mokslo plėtros programos pažangos priemonės </w:t>
      </w:r>
      <w:r w:rsidR="00BD218E">
        <w:rPr>
          <w:bCs/>
          <w:szCs w:val="24"/>
        </w:rPr>
        <w:t xml:space="preserve">                 </w:t>
      </w:r>
      <w:r>
        <w:rPr>
          <w:bCs/>
          <w:szCs w:val="24"/>
        </w:rPr>
        <w:t>Nr. 12-001-01-02-01 „Stiprinti inovacijų ekosistemas mokslo centruose“</w:t>
      </w:r>
      <w:r w:rsidR="007D4092">
        <w:rPr>
          <w:bCs/>
          <w:szCs w:val="24"/>
        </w:rPr>
        <w:t xml:space="preserve"> aprašo</w:t>
      </w:r>
    </w:p>
    <w:p w14:paraId="7F772147" w14:textId="77777777" w:rsidR="006C43F2" w:rsidRDefault="000F2108">
      <w:pPr>
        <w:suppressAutoHyphens/>
        <w:ind w:left="9639"/>
        <w:jc w:val="both"/>
        <w:rPr>
          <w:szCs w:val="24"/>
        </w:rPr>
      </w:pPr>
      <w:r>
        <w:rPr>
          <w:szCs w:val="24"/>
        </w:rPr>
        <w:t>17 priedas</w:t>
      </w:r>
    </w:p>
    <w:p w14:paraId="7F772148" w14:textId="77777777" w:rsidR="006C43F2" w:rsidRDefault="006C43F2">
      <w:pPr>
        <w:suppressAutoHyphens/>
        <w:jc w:val="center"/>
        <w:rPr>
          <w:iCs/>
          <w:szCs w:val="24"/>
        </w:rPr>
      </w:pPr>
    </w:p>
    <w:p w14:paraId="7F772149" w14:textId="77777777" w:rsidR="006C43F2" w:rsidRDefault="000F2108">
      <w:pPr>
        <w:suppressAutoHyphens/>
        <w:jc w:val="center"/>
        <w:rPr>
          <w:b/>
          <w:szCs w:val="24"/>
        </w:rPr>
      </w:pPr>
      <w:r>
        <w:rPr>
          <w:b/>
          <w:szCs w:val="24"/>
        </w:rPr>
        <w:t>2022–2030 M. PLĖTROS PROGRAMOS VALDYTOJOS LIETUVOS RESPUBLIKOS ŠVIETIMO, MOKSLO IR SPORTO MINISTERIJOS MOKSLO PLĖTROS PROGRAMOS PAŽANGOS PRIEMONĖS NR. 12-001-01-02-01 „STIPRINTI INOVACIJŲ EKOSISTEMAS MOKSLO CENTRUOSE“ PROJEKTŲ FINANSAVIMO SĄLYGŲ APRAŠAS NR. 16</w:t>
      </w:r>
    </w:p>
    <w:p w14:paraId="7F77214A" w14:textId="77777777" w:rsidR="006C43F2" w:rsidRDefault="006C43F2">
      <w:pPr>
        <w:suppressAutoHyphens/>
        <w:rPr>
          <w:bCs/>
          <w:i/>
          <w:szCs w:val="24"/>
        </w:rPr>
      </w:pPr>
    </w:p>
    <w:p w14:paraId="7F77214B" w14:textId="77777777" w:rsidR="006C43F2" w:rsidRDefault="000F2108">
      <w:pPr>
        <w:suppressAutoHyphens/>
        <w:spacing w:line="254" w:lineRule="auto"/>
        <w:jc w:val="center"/>
        <w:rPr>
          <w:b/>
          <w:bCs/>
        </w:rPr>
      </w:pPr>
      <w:r>
        <w:rPr>
          <w:b/>
          <w:bCs/>
        </w:rPr>
        <w:t>I SKYRIUS</w:t>
      </w:r>
    </w:p>
    <w:p w14:paraId="7F77214C" w14:textId="77777777" w:rsidR="006C43F2" w:rsidRDefault="000F2108">
      <w:pPr>
        <w:suppressAutoHyphens/>
        <w:spacing w:line="254" w:lineRule="auto"/>
        <w:jc w:val="center"/>
        <w:rPr>
          <w:b/>
          <w:bCs/>
        </w:rPr>
      </w:pPr>
      <w:r>
        <w:rPr>
          <w:b/>
          <w:bCs/>
        </w:rPr>
        <w:t>VEIKLOS AR POVEIKLĖS, KURIOMS NUSTATOMOS PROJEKTŲ FINANSAVIMO SĄLYGOS IR JŲ RODIKLIAI</w:t>
      </w:r>
    </w:p>
    <w:p w14:paraId="7F77214D" w14:textId="77777777" w:rsidR="006C43F2" w:rsidRDefault="006C43F2">
      <w:pPr>
        <w:suppressAutoHyphens/>
        <w:spacing w:line="254" w:lineRule="auto"/>
        <w:jc w:val="center"/>
        <w:rPr>
          <w:b/>
          <w:szCs w:val="24"/>
        </w:rPr>
      </w:pPr>
    </w:p>
    <w:tbl>
      <w:tblPr>
        <w:tblW w:w="15155" w:type="dxa"/>
        <w:tblLayout w:type="fixed"/>
        <w:tblCellMar>
          <w:left w:w="10" w:type="dxa"/>
          <w:right w:w="10" w:type="dxa"/>
        </w:tblCellMar>
        <w:tblLook w:val="04A0" w:firstRow="1" w:lastRow="0" w:firstColumn="1" w:lastColumn="0" w:noHBand="0" w:noVBand="1"/>
      </w:tblPr>
      <w:tblGrid>
        <w:gridCol w:w="1555"/>
        <w:gridCol w:w="992"/>
        <w:gridCol w:w="924"/>
        <w:gridCol w:w="1134"/>
        <w:gridCol w:w="1134"/>
        <w:gridCol w:w="1457"/>
        <w:gridCol w:w="1344"/>
        <w:gridCol w:w="1080"/>
        <w:gridCol w:w="1344"/>
        <w:gridCol w:w="1051"/>
        <w:gridCol w:w="1132"/>
        <w:gridCol w:w="859"/>
        <w:gridCol w:w="1149"/>
      </w:tblGrid>
      <w:tr w:rsidR="006C43F2" w14:paraId="7F77214F" w14:textId="77777777">
        <w:tc>
          <w:tcPr>
            <w:tcW w:w="1515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4E" w14:textId="3130E520" w:rsidR="006C43F2" w:rsidRDefault="000F2108">
            <w:pPr>
              <w:suppressAutoHyphens/>
              <w:ind w:left="720" w:hanging="360"/>
              <w:jc w:val="both"/>
              <w:rPr>
                <w:b/>
                <w:sz w:val="22"/>
                <w:szCs w:val="22"/>
              </w:rPr>
            </w:pPr>
            <w:r>
              <w:rPr>
                <w:b/>
                <w:sz w:val="22"/>
                <w:szCs w:val="22"/>
              </w:rPr>
              <w:t>1.</w:t>
            </w:r>
            <w:r>
              <w:rPr>
                <w:b/>
                <w:sz w:val="22"/>
                <w:szCs w:val="22"/>
              </w:rPr>
              <w:tab/>
              <w:t>Veiklos ar poveiklės, kurioms nustatomos projektų finansavimo sąlygos</w:t>
            </w:r>
          </w:p>
        </w:tc>
      </w:tr>
      <w:tr w:rsidR="006C43F2" w14:paraId="7F77215F"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0" w14:textId="42219540" w:rsidR="006C43F2" w:rsidRDefault="000F2108">
            <w:pPr>
              <w:suppressAutoHyphens/>
              <w:jc w:val="center"/>
            </w:pPr>
            <w:r>
              <w:rPr>
                <w:b/>
                <w:sz w:val="22"/>
                <w:szCs w:val="22"/>
              </w:rPr>
              <w:t xml:space="preserve">Veiklos ar poveiklės </w:t>
            </w:r>
            <w:r>
              <w:rPr>
                <w:b/>
                <w:color w:val="000000"/>
                <w:sz w:val="22"/>
                <w:szCs w:val="22"/>
              </w:rPr>
              <w:t xml:space="preserve">numeris ir </w:t>
            </w:r>
            <w:r>
              <w:rPr>
                <w:b/>
                <w:sz w:val="22"/>
                <w:szCs w:val="22"/>
              </w:rPr>
              <w:t>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1" w14:textId="402EFAA0" w:rsidR="006C43F2" w:rsidRDefault="000F2108" w:rsidP="00313F0E">
            <w:pPr>
              <w:suppressAutoHyphens/>
              <w:ind w:right="-104" w:hanging="108"/>
              <w:jc w:val="center"/>
              <w:rPr>
                <w:b/>
                <w:sz w:val="22"/>
                <w:szCs w:val="22"/>
              </w:rPr>
            </w:pPr>
            <w:r>
              <w:rPr>
                <w:b/>
                <w:sz w:val="22"/>
                <w:szCs w:val="22"/>
              </w:rPr>
              <w:t>Finansavimo šaltinis</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2" w14:textId="0F3ED3D3" w:rsidR="006C43F2" w:rsidRDefault="000F2108">
            <w:pPr>
              <w:suppressAutoHyphens/>
              <w:jc w:val="center"/>
              <w:rPr>
                <w:b/>
                <w:sz w:val="22"/>
                <w:szCs w:val="22"/>
              </w:rPr>
            </w:pPr>
            <w:r>
              <w:rPr>
                <w:b/>
                <w:sz w:val="22"/>
                <w:szCs w:val="22"/>
              </w:rPr>
              <w:t>Prioritetas ar komponentas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3" w14:textId="77777777" w:rsidR="006C43F2" w:rsidRDefault="000F2108">
            <w:pPr>
              <w:suppressAutoHyphens/>
              <w:jc w:val="center"/>
              <w:rPr>
                <w:b/>
                <w:sz w:val="22"/>
                <w:szCs w:val="22"/>
              </w:rPr>
            </w:pPr>
            <w:r>
              <w:rPr>
                <w:b/>
                <w:sz w:val="22"/>
                <w:szCs w:val="22"/>
              </w:rPr>
              <w:t>Uždavi-nys ar priemonė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4" w14:textId="77777777" w:rsidR="006C43F2" w:rsidRDefault="000F2108">
            <w:pPr>
              <w:suppressAutoHyphens/>
              <w:jc w:val="center"/>
              <w:rPr>
                <w:b/>
                <w:sz w:val="22"/>
                <w:szCs w:val="22"/>
              </w:rPr>
            </w:pPr>
            <w:r>
              <w:rPr>
                <w:b/>
                <w:sz w:val="22"/>
                <w:szCs w:val="22"/>
              </w:rPr>
              <w:t>Veikla ar paprie-monė</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5" w14:textId="77777777" w:rsidR="006C43F2" w:rsidRDefault="000F2108">
            <w:pPr>
              <w:suppressAutoHyphens/>
              <w:jc w:val="center"/>
              <w:rPr>
                <w:b/>
                <w:sz w:val="22"/>
                <w:szCs w:val="22"/>
              </w:rPr>
            </w:pPr>
            <w:r>
              <w:rPr>
                <w:b/>
                <w:sz w:val="22"/>
                <w:szCs w:val="22"/>
              </w:rPr>
              <w:t>Intervencinės priemonės kodas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6" w14:textId="77777777" w:rsidR="006C43F2" w:rsidRDefault="000F2108">
            <w:pPr>
              <w:suppressAutoHyphens/>
              <w:jc w:val="center"/>
              <w:rPr>
                <w:b/>
                <w:sz w:val="22"/>
                <w:szCs w:val="22"/>
              </w:rPr>
            </w:pPr>
            <w:r>
              <w:rPr>
                <w:b/>
                <w:sz w:val="22"/>
                <w:szCs w:val="22"/>
              </w:rPr>
              <w:t>Regionas, kuriam priskiriama veikla ar poveiklė</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7" w14:textId="77777777" w:rsidR="006C43F2" w:rsidRDefault="000F2108">
            <w:pPr>
              <w:suppressAutoHyphens/>
              <w:jc w:val="center"/>
              <w:rPr>
                <w:b/>
                <w:sz w:val="22"/>
                <w:szCs w:val="22"/>
              </w:rPr>
            </w:pPr>
            <w:r>
              <w:rPr>
                <w:b/>
                <w:sz w:val="22"/>
                <w:szCs w:val="22"/>
              </w:rPr>
              <w:t>Paramos formos kodas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8" w14:textId="77777777" w:rsidR="006C43F2" w:rsidRDefault="000F2108">
            <w:pPr>
              <w:suppressAutoHyphens/>
              <w:jc w:val="center"/>
              <w:rPr>
                <w:b/>
                <w:sz w:val="22"/>
                <w:szCs w:val="22"/>
              </w:rPr>
            </w:pPr>
            <w:r>
              <w:rPr>
                <w:b/>
                <w:sz w:val="22"/>
                <w:szCs w:val="22"/>
              </w:rPr>
              <w:t>Pagrindinės teritorinės srities kodas (-ai)</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9" w14:textId="77777777" w:rsidR="006C43F2" w:rsidRDefault="000F2108">
            <w:pPr>
              <w:suppressAutoHyphens/>
              <w:jc w:val="center"/>
              <w:rPr>
                <w:b/>
                <w:sz w:val="22"/>
                <w:szCs w:val="22"/>
              </w:rPr>
            </w:pPr>
            <w:r>
              <w:rPr>
                <w:b/>
                <w:sz w:val="22"/>
                <w:szCs w:val="22"/>
              </w:rPr>
              <w:t xml:space="preserve">Ekono-minės veiklos kodas </w:t>
            </w:r>
          </w:p>
          <w:p w14:paraId="7F77215A" w14:textId="77777777" w:rsidR="006C43F2" w:rsidRDefault="000F2108">
            <w:pPr>
              <w:suppressAutoHyphens/>
              <w:jc w:val="center"/>
              <w:rPr>
                <w:b/>
                <w:sz w:val="22"/>
                <w:szCs w:val="22"/>
              </w:rPr>
            </w:pPr>
            <w:r>
              <w:rPr>
                <w:b/>
                <w:sz w:val="22"/>
                <w:szCs w:val="22"/>
              </w:rPr>
              <w:t>(-ai)</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B" w14:textId="77777777" w:rsidR="006C43F2" w:rsidRDefault="000F2108">
            <w:pPr>
              <w:suppressAutoHyphens/>
              <w:jc w:val="center"/>
              <w:rPr>
                <w:b/>
                <w:sz w:val="22"/>
                <w:szCs w:val="22"/>
              </w:rPr>
            </w:pPr>
            <w:r>
              <w:rPr>
                <w:b/>
                <w:sz w:val="22"/>
                <w:szCs w:val="22"/>
              </w:rPr>
              <w:t>„Europos socialinio fondo +“ (toliau – ESF+) antrinių temų kodai</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C" w14:textId="77777777" w:rsidR="006C43F2" w:rsidRDefault="000F2108">
            <w:pPr>
              <w:suppressAutoHyphens/>
              <w:jc w:val="center"/>
              <w:rPr>
                <w:b/>
                <w:sz w:val="22"/>
                <w:szCs w:val="22"/>
              </w:rPr>
            </w:pPr>
            <w:r>
              <w:rPr>
                <w:b/>
                <w:sz w:val="22"/>
                <w:szCs w:val="22"/>
              </w:rPr>
              <w:t>Lyčių lygybės mat-mens kodas</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5D" w14:textId="77777777" w:rsidR="006C43F2" w:rsidRDefault="000F2108">
            <w:pPr>
              <w:suppressAutoHyphens/>
              <w:jc w:val="center"/>
              <w:rPr>
                <w:b/>
                <w:sz w:val="22"/>
                <w:szCs w:val="22"/>
              </w:rPr>
            </w:pPr>
            <w:r>
              <w:rPr>
                <w:b/>
                <w:sz w:val="22"/>
                <w:szCs w:val="22"/>
              </w:rPr>
              <w:t>Nepanau-dotos Ekonomi-kos gaivinimo ir atsparumo didinimo priemonės lėšos</w:t>
            </w:r>
          </w:p>
          <w:p w14:paraId="7F77215E" w14:textId="77777777" w:rsidR="006C43F2" w:rsidRDefault="000F2108">
            <w:pPr>
              <w:suppressAutoHyphens/>
              <w:jc w:val="center"/>
              <w:rPr>
                <w:b/>
                <w:sz w:val="22"/>
                <w:szCs w:val="22"/>
              </w:rPr>
            </w:pPr>
            <w:r>
              <w:rPr>
                <w:b/>
                <w:sz w:val="22"/>
                <w:szCs w:val="22"/>
              </w:rPr>
              <w:t>(Taip / Ne)</w:t>
            </w:r>
          </w:p>
        </w:tc>
      </w:tr>
      <w:tr w:rsidR="006C43F2" w14:paraId="7F77216D" w14:textId="77777777">
        <w:trPr>
          <w:trHeight w:val="278"/>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754052" w14:textId="009895BA" w:rsidR="006C43F2" w:rsidRDefault="000F2108">
            <w:pPr>
              <w:suppressAutoHyphens/>
              <w:ind w:firstLine="48"/>
              <w:jc w:val="center"/>
              <w:rPr>
                <w:sz w:val="22"/>
                <w:szCs w:val="22"/>
              </w:rPr>
            </w:pPr>
            <w:r>
              <w:rPr>
                <w:sz w:val="22"/>
                <w:szCs w:val="22"/>
              </w:rPr>
              <w:t>2.</w:t>
            </w:r>
            <w:r w:rsidR="00F162C2">
              <w:rPr>
                <w:sz w:val="22"/>
                <w:szCs w:val="22"/>
              </w:rPr>
              <w:t>7</w:t>
            </w:r>
            <w:r w:rsidR="001F72A9">
              <w:rPr>
                <w:sz w:val="22"/>
                <w:szCs w:val="22"/>
              </w:rPr>
              <w:t>.</w:t>
            </w:r>
          </w:p>
          <w:p w14:paraId="7F772160" w14:textId="21639AF8" w:rsidR="00F162C2" w:rsidRPr="00F162C2" w:rsidRDefault="00F162C2">
            <w:pPr>
              <w:suppressAutoHyphens/>
              <w:ind w:firstLine="48"/>
              <w:jc w:val="center"/>
              <w:rPr>
                <w:sz w:val="22"/>
                <w:szCs w:val="22"/>
              </w:rPr>
            </w:pPr>
            <w:r w:rsidRPr="008B3769">
              <w:rPr>
                <w:sz w:val="22"/>
                <w:szCs w:val="22"/>
              </w:rPr>
              <w:t xml:space="preserve">Parama laboratorijų įrangai ir MTEP </w:t>
            </w:r>
            <w:r w:rsidRPr="008B3769">
              <w:rPr>
                <w:sz w:val="22"/>
                <w:szCs w:val="22"/>
              </w:rPr>
              <w:lastRenderedPageBreak/>
              <w:t>infrastruktūrai atnaujinti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1" w14:textId="77777777" w:rsidR="006C43F2" w:rsidRDefault="000F2108">
            <w:pPr>
              <w:suppressAutoHyphens/>
              <w:jc w:val="center"/>
            </w:pPr>
            <w:r>
              <w:rPr>
                <w:iCs/>
                <w:sz w:val="22"/>
                <w:szCs w:val="22"/>
              </w:rPr>
              <w:lastRenderedPageBreak/>
              <w:t>Ekonomikos</w:t>
            </w:r>
            <w:r>
              <w:rPr>
                <w:i/>
                <w:sz w:val="22"/>
                <w:szCs w:val="22"/>
              </w:rPr>
              <w:t xml:space="preserve"> </w:t>
            </w:r>
            <w:r>
              <w:rPr>
                <w:sz w:val="22"/>
                <w:szCs w:val="22"/>
              </w:rPr>
              <w:t xml:space="preserve">gaivinimo ir atsparumo </w:t>
            </w:r>
            <w:r>
              <w:rPr>
                <w:sz w:val="22"/>
                <w:szCs w:val="22"/>
              </w:rPr>
              <w:lastRenderedPageBreak/>
              <w:t>didinimo priemonės (toliau – EGADP) lėšos ir Lietuvos Respublikos valstybės biudžeto lėšos netinkamam finansuoti pridėtinės vertės mokesčiui apmokėti</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2" w14:textId="77777777" w:rsidR="006C43F2" w:rsidRDefault="000F2108">
            <w:pPr>
              <w:suppressAutoHyphens/>
              <w:jc w:val="center"/>
            </w:pPr>
            <w:r>
              <w:rPr>
                <w:sz w:val="22"/>
                <w:szCs w:val="22"/>
              </w:rPr>
              <w:lastRenderedPageBreak/>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3" w14:textId="77777777" w:rsidR="006C43F2" w:rsidRDefault="000F2108">
            <w:pPr>
              <w:suppressAutoHyphens/>
              <w:jc w:val="center"/>
              <w:rPr>
                <w:sz w:val="22"/>
                <w:szCs w:val="22"/>
              </w:rPr>
            </w:pPr>
            <w:r>
              <w:rPr>
                <w:sz w:val="22"/>
                <w:szCs w:val="22"/>
              </w:rPr>
              <w:t>E.1.3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4" w14:textId="77777777" w:rsidR="006C43F2" w:rsidRDefault="000F2108">
            <w:pPr>
              <w:suppressAutoHyphens/>
              <w:jc w:val="center"/>
            </w:pPr>
            <w:r>
              <w:rPr>
                <w:sz w:val="22"/>
                <w:szCs w:val="22"/>
              </w:rPr>
              <w:t>E.1.3.3</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5" w14:textId="77777777" w:rsidR="006C43F2" w:rsidRDefault="000F2108">
            <w:pPr>
              <w:suppressAutoHyphens/>
              <w:jc w:val="center"/>
            </w:pPr>
            <w:r>
              <w:rPr>
                <w:sz w:val="22"/>
                <w:szCs w:val="22"/>
              </w:rPr>
              <w:t>021</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6" w14:textId="77777777" w:rsidR="006C43F2" w:rsidRDefault="000F2108">
            <w:pPr>
              <w:suppressAutoHyphens/>
              <w:jc w:val="center"/>
            </w:pPr>
            <w:r>
              <w:rPr>
                <w:sz w:val="22"/>
                <w:szCs w:val="2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7" w14:textId="77777777" w:rsidR="006C43F2" w:rsidRDefault="000F2108">
            <w:pPr>
              <w:suppressAutoHyphens/>
              <w:jc w:val="center"/>
            </w:pPr>
            <w:r>
              <w:rPr>
                <w:sz w:val="22"/>
                <w:szCs w:val="22"/>
              </w:rPr>
              <w:t>-</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8" w14:textId="77777777" w:rsidR="006C43F2" w:rsidRDefault="000F2108">
            <w:pPr>
              <w:suppressAutoHyphens/>
              <w:jc w:val="center"/>
              <w:rPr>
                <w:sz w:val="22"/>
                <w:szCs w:val="22"/>
              </w:rPr>
            </w:pPr>
            <w:r>
              <w:rPr>
                <w:sz w:val="22"/>
                <w:szCs w:val="22"/>
              </w:rPr>
              <w:t>-</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9" w14:textId="77777777" w:rsidR="006C43F2" w:rsidRDefault="000F2108">
            <w:pPr>
              <w:suppressAutoHyphens/>
              <w:jc w:val="center"/>
              <w:rPr>
                <w:sz w:val="22"/>
                <w:szCs w:val="22"/>
              </w:rPr>
            </w:pPr>
            <w:r>
              <w:rPr>
                <w:sz w:val="22"/>
                <w:szCs w:val="22"/>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A" w14:textId="77777777" w:rsidR="006C43F2" w:rsidRDefault="000F2108">
            <w:pPr>
              <w:suppressAutoHyphens/>
              <w:jc w:val="center"/>
            </w:pPr>
            <w:r>
              <w:rPr>
                <w:sz w:val="22"/>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7216B" w14:textId="77777777" w:rsidR="006C43F2" w:rsidRDefault="000F2108">
            <w:pPr>
              <w:suppressAutoHyphens/>
              <w:jc w:val="center"/>
            </w:pPr>
            <w:r>
              <w:rPr>
                <w:sz w:val="22"/>
                <w:szCs w:val="22"/>
              </w:rPr>
              <w:t>-</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6C" w14:textId="77777777" w:rsidR="006C43F2" w:rsidRDefault="000F2108">
            <w:pPr>
              <w:suppressAutoHyphens/>
              <w:jc w:val="center"/>
              <w:rPr>
                <w:iCs/>
                <w:sz w:val="22"/>
                <w:szCs w:val="22"/>
              </w:rPr>
            </w:pPr>
            <w:r>
              <w:rPr>
                <w:iCs/>
                <w:sz w:val="22"/>
                <w:szCs w:val="22"/>
              </w:rPr>
              <w:t>Ne</w:t>
            </w:r>
          </w:p>
        </w:tc>
      </w:tr>
    </w:tbl>
    <w:p w14:paraId="7F77216E" w14:textId="77777777" w:rsidR="006C43F2" w:rsidRDefault="006C43F2">
      <w:pPr>
        <w:suppressAutoHyphens/>
        <w:ind w:firstLine="567"/>
        <w:jc w:val="both"/>
        <w:rPr>
          <w:iCs/>
          <w:szCs w:val="24"/>
        </w:rPr>
      </w:pPr>
    </w:p>
    <w:tbl>
      <w:tblPr>
        <w:tblW w:w="15134" w:type="dxa"/>
        <w:tblLayout w:type="fixed"/>
        <w:tblCellMar>
          <w:left w:w="10" w:type="dxa"/>
          <w:right w:w="10" w:type="dxa"/>
        </w:tblCellMar>
        <w:tblLook w:val="04A0" w:firstRow="1" w:lastRow="0" w:firstColumn="1" w:lastColumn="0" w:noHBand="0" w:noVBand="1"/>
      </w:tblPr>
      <w:tblGrid>
        <w:gridCol w:w="3783"/>
        <w:gridCol w:w="3784"/>
        <w:gridCol w:w="3783"/>
        <w:gridCol w:w="3784"/>
      </w:tblGrid>
      <w:tr w:rsidR="006C43F2" w14:paraId="7F772170" w14:textId="77777777">
        <w:trPr>
          <w:trHeight w:val="405"/>
        </w:trPr>
        <w:tc>
          <w:tcPr>
            <w:tcW w:w="151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6F" w14:textId="77777777" w:rsidR="006C43F2" w:rsidRDefault="000F2108">
            <w:pPr>
              <w:suppressAutoHyphens/>
            </w:pPr>
            <w:r>
              <w:rPr>
                <w:b/>
                <w:sz w:val="22"/>
                <w:szCs w:val="22"/>
              </w:rPr>
              <w:t>2. Veiklos ar poveiklės rodikliai</w:t>
            </w:r>
          </w:p>
        </w:tc>
      </w:tr>
      <w:tr w:rsidR="006C43F2" w14:paraId="7F772175" w14:textId="77777777">
        <w:trPr>
          <w:trHeight w:val="405"/>
        </w:trPr>
        <w:tc>
          <w:tcPr>
            <w:tcW w:w="3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71" w14:textId="77777777" w:rsidR="006C43F2" w:rsidRDefault="000F2108">
            <w:pPr>
              <w:suppressAutoHyphens/>
              <w:jc w:val="center"/>
              <w:rPr>
                <w:sz w:val="22"/>
                <w:szCs w:val="22"/>
              </w:rPr>
            </w:pPr>
            <w:r>
              <w:rPr>
                <w:sz w:val="22"/>
                <w:szCs w:val="22"/>
              </w:rPr>
              <w:t>Rodiklio pavadinimas</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72" w14:textId="77777777" w:rsidR="006C43F2" w:rsidRDefault="000F2108">
            <w:pPr>
              <w:suppressAutoHyphens/>
              <w:jc w:val="center"/>
              <w:rPr>
                <w:sz w:val="22"/>
                <w:szCs w:val="22"/>
              </w:rPr>
            </w:pPr>
            <w:r>
              <w:rPr>
                <w:sz w:val="22"/>
                <w:szCs w:val="22"/>
              </w:rPr>
              <w:t>Rodiklio kodas</w:t>
            </w:r>
          </w:p>
        </w:tc>
        <w:tc>
          <w:tcPr>
            <w:tcW w:w="3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73" w14:textId="77777777" w:rsidR="006C43F2" w:rsidRDefault="000F2108">
            <w:pPr>
              <w:suppressAutoHyphens/>
              <w:jc w:val="center"/>
              <w:rPr>
                <w:sz w:val="22"/>
                <w:szCs w:val="22"/>
              </w:rPr>
            </w:pPr>
            <w:r>
              <w:rPr>
                <w:sz w:val="22"/>
                <w:szCs w:val="22"/>
              </w:rPr>
              <w:t>Matavimo vienetai</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174" w14:textId="77777777" w:rsidR="006C43F2" w:rsidRDefault="000F2108">
            <w:pPr>
              <w:suppressAutoHyphens/>
              <w:jc w:val="center"/>
              <w:rPr>
                <w:sz w:val="22"/>
                <w:szCs w:val="22"/>
              </w:rPr>
            </w:pPr>
            <w:r>
              <w:rPr>
                <w:sz w:val="22"/>
                <w:szCs w:val="22"/>
              </w:rPr>
              <w:t>Siektina reikšmė ir pasiekimo data</w:t>
            </w:r>
          </w:p>
        </w:tc>
      </w:tr>
      <w:tr w:rsidR="006C43F2" w14:paraId="7F77217C" w14:textId="77777777">
        <w:trPr>
          <w:trHeight w:val="416"/>
        </w:trPr>
        <w:tc>
          <w:tcPr>
            <w:tcW w:w="3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76" w14:textId="77777777" w:rsidR="006C43F2" w:rsidRDefault="000F2108">
            <w:pPr>
              <w:suppressAutoHyphens/>
              <w:jc w:val="center"/>
              <w:rPr>
                <w:iCs/>
                <w:szCs w:val="24"/>
              </w:rPr>
            </w:pPr>
            <w:r>
              <w:rPr>
                <w:iCs/>
                <w:szCs w:val="24"/>
              </w:rPr>
              <w:t>Finansuoti projektai ir konsultavimo paslaugos mokslo ir studijų institucijų ir mažų ir vidutinių įmonių potencialiems programos „Europos horizontas“ pareiškėjams</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77" w14:textId="77777777" w:rsidR="006C43F2" w:rsidRDefault="000F2108">
            <w:pPr>
              <w:suppressAutoHyphens/>
              <w:jc w:val="center"/>
              <w:rPr>
                <w:iCs/>
                <w:szCs w:val="24"/>
              </w:rPr>
            </w:pPr>
            <w:r>
              <w:rPr>
                <w:iCs/>
                <w:szCs w:val="24"/>
              </w:rPr>
              <w:t>P-12-001-01-02-01-14</w:t>
            </w:r>
          </w:p>
          <w:p w14:paraId="7F772178" w14:textId="77777777" w:rsidR="006C43F2" w:rsidRDefault="006C43F2">
            <w:pPr>
              <w:suppressAutoHyphens/>
              <w:rPr>
                <w:iCs/>
                <w:szCs w:val="24"/>
              </w:rPr>
            </w:pPr>
          </w:p>
          <w:p w14:paraId="7F772179" w14:textId="77777777" w:rsidR="006C43F2" w:rsidRDefault="000F2108">
            <w:pPr>
              <w:suppressAutoHyphens/>
              <w:jc w:val="center"/>
            </w:pPr>
            <w:r>
              <w:rPr>
                <w:iCs/>
                <w:szCs w:val="24"/>
                <w:shd w:val="clear" w:color="auto" w:fill="FFFFFF"/>
              </w:rPr>
              <w:t>P.S.1.1136</w:t>
            </w:r>
          </w:p>
        </w:tc>
        <w:tc>
          <w:tcPr>
            <w:tcW w:w="3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7A" w14:textId="77777777" w:rsidR="006C43F2" w:rsidRDefault="000F2108">
            <w:pPr>
              <w:suppressAutoHyphens/>
              <w:jc w:val="center"/>
            </w:pPr>
            <w:r>
              <w:rPr>
                <w:color w:val="000000"/>
                <w:szCs w:val="24"/>
              </w:rPr>
              <w:t>Skaičius</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7B" w14:textId="5F7A35DC" w:rsidR="006C43F2" w:rsidRDefault="005752AA">
            <w:pPr>
              <w:suppressAutoHyphens/>
              <w:jc w:val="center"/>
              <w:rPr>
                <w:iCs/>
                <w:szCs w:val="24"/>
              </w:rPr>
            </w:pPr>
            <w:r w:rsidRPr="00F960C0">
              <w:rPr>
                <w:iCs/>
                <w:szCs w:val="24"/>
              </w:rPr>
              <w:t>6</w:t>
            </w:r>
            <w:r>
              <w:rPr>
                <w:iCs/>
                <w:szCs w:val="24"/>
              </w:rPr>
              <w:t xml:space="preserve">7 </w:t>
            </w:r>
            <w:r w:rsidR="00CC2BC3">
              <w:rPr>
                <w:iCs/>
                <w:szCs w:val="24"/>
              </w:rPr>
              <w:t xml:space="preserve">(2026 m. </w:t>
            </w:r>
            <w:r w:rsidRPr="00814D60">
              <w:rPr>
                <w:iCs/>
                <w:szCs w:val="24"/>
              </w:rPr>
              <w:t>I</w:t>
            </w:r>
            <w:r w:rsidR="00CE41E6">
              <w:rPr>
                <w:iCs/>
                <w:szCs w:val="24"/>
              </w:rPr>
              <w:t>I</w:t>
            </w:r>
            <w:r>
              <w:rPr>
                <w:iCs/>
                <w:szCs w:val="24"/>
              </w:rPr>
              <w:t xml:space="preserve"> </w:t>
            </w:r>
            <w:r w:rsidR="00CC2BC3">
              <w:rPr>
                <w:iCs/>
                <w:szCs w:val="24"/>
              </w:rPr>
              <w:t>ketv.)</w:t>
            </w:r>
          </w:p>
        </w:tc>
      </w:tr>
      <w:tr w:rsidR="006C43F2" w14:paraId="7F772183" w14:textId="77777777">
        <w:trPr>
          <w:trHeight w:val="416"/>
        </w:trPr>
        <w:tc>
          <w:tcPr>
            <w:tcW w:w="3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7D" w14:textId="77777777" w:rsidR="006C43F2" w:rsidRDefault="000F2108">
            <w:pPr>
              <w:suppressAutoHyphens/>
              <w:jc w:val="center"/>
              <w:rPr>
                <w:iCs/>
                <w:szCs w:val="24"/>
              </w:rPr>
            </w:pPr>
            <w:r>
              <w:rPr>
                <w:iCs/>
                <w:szCs w:val="24"/>
              </w:rPr>
              <w:t>Paramą gavusiose mokslinių tyrimų įstaigose dirbantys mokslininkai</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7E" w14:textId="77777777" w:rsidR="006C43F2" w:rsidRDefault="000F2108">
            <w:pPr>
              <w:suppressAutoHyphens/>
              <w:jc w:val="center"/>
              <w:rPr>
                <w:bCs/>
                <w:color w:val="000000"/>
                <w:szCs w:val="24"/>
                <w:shd w:val="clear" w:color="auto" w:fill="FFFFFF"/>
              </w:rPr>
            </w:pPr>
            <w:r>
              <w:rPr>
                <w:bCs/>
                <w:color w:val="000000"/>
                <w:szCs w:val="24"/>
                <w:shd w:val="clear" w:color="auto" w:fill="FFFFFF"/>
              </w:rPr>
              <w:t>R-12-001-01-02-01-09</w:t>
            </w:r>
          </w:p>
          <w:p w14:paraId="7F77217F" w14:textId="77777777" w:rsidR="006C43F2" w:rsidRDefault="006C43F2">
            <w:pPr>
              <w:suppressAutoHyphens/>
              <w:rPr>
                <w:bCs/>
                <w:color w:val="000000"/>
                <w:szCs w:val="24"/>
                <w:shd w:val="clear" w:color="auto" w:fill="FFFFFF"/>
              </w:rPr>
            </w:pPr>
          </w:p>
          <w:p w14:paraId="7F772180" w14:textId="476F60CF" w:rsidR="006C43F2" w:rsidRDefault="000F2108">
            <w:pPr>
              <w:suppressAutoHyphens/>
              <w:jc w:val="center"/>
            </w:pPr>
            <w:r>
              <w:rPr>
                <w:bCs/>
                <w:color w:val="000000"/>
                <w:szCs w:val="24"/>
                <w:shd w:val="clear" w:color="auto" w:fill="FFFFFF"/>
              </w:rPr>
              <w:t>R.B.1.</w:t>
            </w:r>
            <w:r w:rsidR="0043008C">
              <w:rPr>
                <w:bCs/>
                <w:color w:val="000000"/>
                <w:szCs w:val="24"/>
                <w:shd w:val="clear" w:color="auto" w:fill="FFFFFF"/>
              </w:rPr>
              <w:t>2008</w:t>
            </w:r>
          </w:p>
        </w:tc>
        <w:tc>
          <w:tcPr>
            <w:tcW w:w="3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81" w14:textId="77777777" w:rsidR="006C43F2" w:rsidRDefault="000F2108">
            <w:pPr>
              <w:suppressAutoHyphens/>
              <w:jc w:val="center"/>
              <w:rPr>
                <w:color w:val="000000"/>
                <w:szCs w:val="24"/>
              </w:rPr>
            </w:pPr>
            <w:r>
              <w:rPr>
                <w:color w:val="000000"/>
                <w:szCs w:val="24"/>
              </w:rPr>
              <w:t xml:space="preserve">Metinis etato ekvivalentas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82" w14:textId="77777777" w:rsidR="006C43F2" w:rsidRDefault="000F2108">
            <w:pPr>
              <w:suppressAutoHyphens/>
              <w:jc w:val="center"/>
            </w:pPr>
            <w:r>
              <w:rPr>
                <w:iCs/>
                <w:szCs w:val="24"/>
              </w:rPr>
              <w:t>n / a (2026 m. IV ketv.)</w:t>
            </w:r>
          </w:p>
        </w:tc>
      </w:tr>
      <w:tr w:rsidR="006C43F2" w14:paraId="7F77218A" w14:textId="77777777">
        <w:trPr>
          <w:trHeight w:val="416"/>
        </w:trPr>
        <w:tc>
          <w:tcPr>
            <w:tcW w:w="3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84" w14:textId="2D8FD7D9" w:rsidR="006C43F2" w:rsidRDefault="000F2108">
            <w:pPr>
              <w:suppressAutoHyphens/>
              <w:jc w:val="center"/>
              <w:rPr>
                <w:iCs/>
                <w:szCs w:val="24"/>
              </w:rPr>
            </w:pPr>
            <w:r>
              <w:rPr>
                <w:iCs/>
                <w:szCs w:val="24"/>
              </w:rPr>
              <w:t>Mokslo ir studijų institucijų finansuotų projektų pagal Europos Sąjungos bendrosios mokslinių tyrimų ir inovacijų programos „Europos horizontas“ kvietimus skaičiaus padidėjimas, lyginant su tuo pačiu Europos Sąjungos bendrosios mokslinių tyrimų ir inovacijų programos „Horizontas 2020“ įgyvendinimo laikotarpiu</w:t>
            </w:r>
          </w:p>
          <w:p w14:paraId="7F772185" w14:textId="77777777" w:rsidR="006C43F2" w:rsidRDefault="006C43F2">
            <w:pPr>
              <w:suppressAutoHyphens/>
              <w:jc w:val="center"/>
              <w:rPr>
                <w:iCs/>
                <w:szCs w:val="24"/>
              </w:rPr>
            </w:pP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86" w14:textId="77777777" w:rsidR="006C43F2" w:rsidRDefault="000F2108">
            <w:pPr>
              <w:suppressAutoHyphens/>
              <w:jc w:val="center"/>
              <w:rPr>
                <w:bCs/>
                <w:color w:val="000000"/>
                <w:szCs w:val="24"/>
                <w:shd w:val="clear" w:color="auto" w:fill="FFFFFF"/>
              </w:rPr>
            </w:pPr>
            <w:r>
              <w:rPr>
                <w:bCs/>
                <w:color w:val="000000"/>
                <w:szCs w:val="24"/>
                <w:shd w:val="clear" w:color="auto" w:fill="FFFFFF"/>
              </w:rPr>
              <w:t>R-12-001-01-02-01-14</w:t>
            </w:r>
          </w:p>
          <w:p w14:paraId="7A81FF23" w14:textId="77777777" w:rsidR="006C43F2" w:rsidRDefault="006C43F2">
            <w:pPr>
              <w:suppressAutoHyphens/>
              <w:jc w:val="center"/>
              <w:rPr>
                <w:bCs/>
                <w:color w:val="000000"/>
                <w:szCs w:val="24"/>
                <w:shd w:val="clear" w:color="auto" w:fill="FFFFFF"/>
              </w:rPr>
            </w:pPr>
          </w:p>
          <w:p w14:paraId="7F772187" w14:textId="15A4EFE4" w:rsidR="002D5DFE" w:rsidRDefault="002D5DFE">
            <w:pPr>
              <w:suppressAutoHyphens/>
              <w:jc w:val="center"/>
              <w:rPr>
                <w:bCs/>
                <w:color w:val="000000"/>
                <w:szCs w:val="24"/>
                <w:shd w:val="clear" w:color="auto" w:fill="FFFFFF"/>
              </w:rPr>
            </w:pPr>
            <w:r w:rsidRPr="002D5DFE">
              <w:rPr>
                <w:bCs/>
                <w:color w:val="000000"/>
                <w:szCs w:val="24"/>
                <w:shd w:val="clear" w:color="auto" w:fill="FFFFFF"/>
              </w:rPr>
              <w:t>R.N.1.</w:t>
            </w:r>
            <w:r w:rsidR="0043008C" w:rsidRPr="002D5DFE">
              <w:rPr>
                <w:bCs/>
                <w:color w:val="000000"/>
                <w:szCs w:val="24"/>
                <w:shd w:val="clear" w:color="auto" w:fill="FFFFFF"/>
              </w:rPr>
              <w:t>5</w:t>
            </w:r>
            <w:r w:rsidR="0043008C" w:rsidRPr="000F6F7A">
              <w:rPr>
                <w:bCs/>
                <w:color w:val="000000"/>
                <w:szCs w:val="24"/>
                <w:shd w:val="clear" w:color="auto" w:fill="FFFFFF"/>
              </w:rPr>
              <w:t>5</w:t>
            </w:r>
            <w:r w:rsidR="0043008C">
              <w:rPr>
                <w:bCs/>
                <w:color w:val="000000"/>
                <w:szCs w:val="24"/>
                <w:shd w:val="clear" w:color="auto" w:fill="FFFFFF"/>
              </w:rPr>
              <w:t>80</w:t>
            </w:r>
          </w:p>
        </w:tc>
        <w:tc>
          <w:tcPr>
            <w:tcW w:w="3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88" w14:textId="77777777" w:rsidR="006C43F2" w:rsidRDefault="000F2108">
            <w:pPr>
              <w:suppressAutoHyphens/>
              <w:jc w:val="center"/>
              <w:rPr>
                <w:color w:val="000000"/>
                <w:szCs w:val="24"/>
              </w:rPr>
            </w:pPr>
            <w:r>
              <w:rPr>
                <w:color w:val="000000"/>
                <w:szCs w:val="24"/>
              </w:rPr>
              <w:t>Skaičius</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89" w14:textId="77777777" w:rsidR="006C43F2" w:rsidRDefault="000F2108">
            <w:pPr>
              <w:suppressAutoHyphens/>
              <w:jc w:val="center"/>
              <w:rPr>
                <w:iCs/>
                <w:szCs w:val="24"/>
              </w:rPr>
            </w:pPr>
            <w:r>
              <w:rPr>
                <w:iCs/>
                <w:szCs w:val="24"/>
              </w:rPr>
              <w:t>100 (2026 m. IV ketv.)</w:t>
            </w:r>
          </w:p>
        </w:tc>
      </w:tr>
    </w:tbl>
    <w:p w14:paraId="7F77218B" w14:textId="77777777" w:rsidR="006C43F2" w:rsidRDefault="006C43F2">
      <w:pPr>
        <w:suppressAutoHyphens/>
        <w:jc w:val="both"/>
        <w:rPr>
          <w:iCs/>
          <w:szCs w:val="24"/>
        </w:rPr>
      </w:pPr>
    </w:p>
    <w:tbl>
      <w:tblPr>
        <w:tblW w:w="15127" w:type="dxa"/>
        <w:tblCellMar>
          <w:left w:w="10" w:type="dxa"/>
          <w:right w:w="10" w:type="dxa"/>
        </w:tblCellMar>
        <w:tblLook w:val="04A0" w:firstRow="1" w:lastRow="0" w:firstColumn="1" w:lastColumn="0" w:noHBand="0" w:noVBand="1"/>
      </w:tblPr>
      <w:tblGrid>
        <w:gridCol w:w="15127"/>
      </w:tblGrid>
      <w:tr w:rsidR="006C43F2" w14:paraId="7F77218D" w14:textId="77777777">
        <w:trPr>
          <w:trHeight w:val="298"/>
        </w:trPr>
        <w:tc>
          <w:tcPr>
            <w:tcW w:w="15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8C" w14:textId="0B90A505" w:rsidR="006C43F2" w:rsidRDefault="008E717D" w:rsidP="00640301">
            <w:pPr>
              <w:tabs>
                <w:tab w:val="left" w:pos="316"/>
              </w:tabs>
              <w:suppressAutoHyphens/>
              <w:jc w:val="both"/>
              <w:rPr>
                <w:b/>
                <w:bCs/>
                <w:szCs w:val="24"/>
              </w:rPr>
            </w:pPr>
            <w:r>
              <w:rPr>
                <w:b/>
                <w:bCs/>
                <w:szCs w:val="24"/>
              </w:rPr>
              <w:t>3</w:t>
            </w:r>
            <w:r w:rsidR="000F2108">
              <w:rPr>
                <w:b/>
                <w:bCs/>
                <w:szCs w:val="24"/>
              </w:rPr>
              <w:t>.</w:t>
            </w:r>
            <w:r w:rsidR="000F2108">
              <w:rPr>
                <w:b/>
                <w:bCs/>
                <w:szCs w:val="24"/>
              </w:rPr>
              <w:tab/>
              <w:t>Lietuvos Respublikos švietimo, mokslo ir sporto ministerijos (toliau – Ministerija) stebėsenos rodiklių aprašymo kortelės</w:t>
            </w:r>
          </w:p>
        </w:tc>
      </w:tr>
      <w:tr w:rsidR="006C43F2" w14:paraId="7F77218F" w14:textId="77777777">
        <w:trPr>
          <w:trHeight w:val="315"/>
        </w:trPr>
        <w:tc>
          <w:tcPr>
            <w:tcW w:w="15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8E" w14:textId="0D17DF0A" w:rsidR="006C43F2" w:rsidRDefault="008E717D">
            <w:pPr>
              <w:suppressAutoHyphens/>
              <w:jc w:val="both"/>
              <w:rPr>
                <w:szCs w:val="24"/>
              </w:rPr>
            </w:pPr>
            <w:r>
              <w:rPr>
                <w:szCs w:val="24"/>
              </w:rPr>
              <w:t>3</w:t>
            </w:r>
            <w:r w:rsidR="00A315EC">
              <w:rPr>
                <w:szCs w:val="24"/>
              </w:rPr>
              <w:t xml:space="preserve">.1. </w:t>
            </w:r>
            <w:r w:rsidR="000F2108">
              <w:rPr>
                <w:szCs w:val="24"/>
              </w:rPr>
              <w:t xml:space="preserve">Ministerijos stebėsenos rodiklių aprašymo kortelės pateiktos šiuo Lietuvos Respublikos švietimo, mokslo ir sporto ministro įsakymu patvirtinto 2022–2030 m. plėtros programos valdytojos Lietuvos Respublikos švietimo, mokslo ir sporto ministerijos mokslo plėtros programos pažangos priemonės </w:t>
            </w:r>
            <w:r w:rsidR="00BD218E">
              <w:rPr>
                <w:szCs w:val="24"/>
              </w:rPr>
              <w:t xml:space="preserve">                </w:t>
            </w:r>
            <w:r w:rsidR="000F2108">
              <w:rPr>
                <w:szCs w:val="24"/>
              </w:rPr>
              <w:t>Nr. 12-001-01-02-01 „Stiprinti inovacijų ekosistemas mokslo centruose“ aprašo 16 priede.</w:t>
            </w:r>
          </w:p>
        </w:tc>
      </w:tr>
    </w:tbl>
    <w:p w14:paraId="7F772190" w14:textId="77777777" w:rsidR="006C43F2" w:rsidRDefault="006C43F2">
      <w:pPr>
        <w:suppressAutoHyphens/>
        <w:jc w:val="center"/>
        <w:rPr>
          <w:szCs w:val="24"/>
        </w:rPr>
      </w:pPr>
    </w:p>
    <w:p w14:paraId="7F772191" w14:textId="77777777" w:rsidR="006C43F2" w:rsidRDefault="000F2108">
      <w:pPr>
        <w:suppressAutoHyphens/>
        <w:jc w:val="center"/>
        <w:rPr>
          <w:b/>
          <w:bCs/>
          <w:szCs w:val="24"/>
        </w:rPr>
      </w:pPr>
      <w:r>
        <w:rPr>
          <w:b/>
          <w:bCs/>
          <w:szCs w:val="24"/>
        </w:rPr>
        <w:t>II SKYRIUS</w:t>
      </w:r>
    </w:p>
    <w:p w14:paraId="7F772192" w14:textId="77777777" w:rsidR="006C43F2" w:rsidRDefault="000F2108">
      <w:pPr>
        <w:suppressAutoHyphens/>
        <w:jc w:val="center"/>
        <w:rPr>
          <w:b/>
          <w:szCs w:val="24"/>
        </w:rPr>
      </w:pPr>
      <w:r>
        <w:rPr>
          <w:b/>
          <w:szCs w:val="24"/>
        </w:rPr>
        <w:t>SPECIALIEJI FINANSAVIMO REIKALAVIMAI</w:t>
      </w:r>
    </w:p>
    <w:p w14:paraId="7F772193" w14:textId="77777777" w:rsidR="006C43F2" w:rsidRDefault="006C43F2">
      <w:pPr>
        <w:suppressAutoHyphens/>
        <w:rPr>
          <w:b/>
          <w:i/>
          <w:szCs w:val="24"/>
        </w:rPr>
      </w:pPr>
    </w:p>
    <w:tbl>
      <w:tblPr>
        <w:tblW w:w="15134" w:type="dxa"/>
        <w:tblCellMar>
          <w:left w:w="10" w:type="dxa"/>
          <w:right w:w="10" w:type="dxa"/>
        </w:tblCellMar>
        <w:tblLook w:val="04A0" w:firstRow="1" w:lastRow="0" w:firstColumn="1" w:lastColumn="0" w:noHBand="0" w:noVBand="1"/>
      </w:tblPr>
      <w:tblGrid>
        <w:gridCol w:w="15134"/>
      </w:tblGrid>
      <w:tr w:rsidR="006C43F2" w14:paraId="7F772195"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94" w14:textId="77777777" w:rsidR="006C43F2" w:rsidRDefault="000F2108">
            <w:pPr>
              <w:suppressAutoHyphens/>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6C43F2" w14:paraId="7F7721A4"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96" w14:textId="77777777" w:rsidR="006C43F2" w:rsidRDefault="000F2108">
            <w:pPr>
              <w:suppressAutoHyphens/>
              <w:jc w:val="both"/>
              <w:rPr>
                <w:iCs/>
                <w:szCs w:val="24"/>
              </w:rPr>
            </w:pPr>
            <w:r>
              <w:rPr>
                <w:iCs/>
                <w:szCs w:val="24"/>
              </w:rPr>
              <w:t>4.1. Teisės aktai, kuriais vadovaujamasi rengiant, teikiant ir vertinant projektų įgyvendinimo planą (toliau – PĮP), priimant sprendimą dėl projektų finansavimo, sudarant projekto sutartį ir įgyvendinant projektą, finansuojamą pagal 2022–2030 m. plėtros programos valdytojos Lietuvos Respublikos švietimo, mokslo ir sporto ministerijos mokslo plėtros programos pažangos priemonės Nr. 12-001-01-02-01 „Stiprinti inovacijų ekosistemas mokslo centruose“ projektų finansavimo sąlygų aprašą Nr. 16 (toliau – Aprašas):</w:t>
            </w:r>
          </w:p>
          <w:p w14:paraId="7F772197" w14:textId="34B9B0DD" w:rsidR="006C43F2" w:rsidRDefault="000F2108">
            <w:pPr>
              <w:suppressAutoHyphens/>
              <w:jc w:val="both"/>
              <w:rPr>
                <w:iCs/>
                <w:szCs w:val="24"/>
              </w:rPr>
            </w:pPr>
            <w:r>
              <w:rPr>
                <w:iCs/>
                <w:szCs w:val="24"/>
              </w:rPr>
              <w:t xml:space="preserve">4.1.1. 2021 m. vasario 12 d. Europos Parlamento ir Tarybos </w:t>
            </w:r>
            <w:r w:rsidRPr="00482EF8">
              <w:rPr>
                <w:iCs/>
                <w:szCs w:val="24"/>
              </w:rPr>
              <w:t xml:space="preserve">reglamentas </w:t>
            </w:r>
            <w:r w:rsidR="00482EF8" w:rsidRPr="00FF58D9">
              <w:rPr>
                <w:iCs/>
                <w:szCs w:val="24"/>
              </w:rPr>
              <w:t>(ES) 2021/241</w:t>
            </w:r>
            <w:r w:rsidRPr="00482EF8">
              <w:rPr>
                <w:iCs/>
                <w:szCs w:val="24"/>
              </w:rPr>
              <w:t xml:space="preserve">, kuriuo </w:t>
            </w:r>
            <w:r>
              <w:rPr>
                <w:iCs/>
                <w:szCs w:val="24"/>
              </w:rPr>
              <w:t>nustatoma ekonomikos gaivinimo ir atsparumo didinimo priemonė;</w:t>
            </w:r>
          </w:p>
          <w:p w14:paraId="7F772198" w14:textId="77777777" w:rsidR="006C43F2" w:rsidRDefault="000F2108">
            <w:pPr>
              <w:suppressAutoHyphens/>
              <w:jc w:val="both"/>
              <w:rPr>
                <w:iCs/>
                <w:szCs w:val="24"/>
              </w:rPr>
            </w:pPr>
            <w:r>
              <w:rPr>
                <w:iCs/>
                <w:szCs w:val="24"/>
              </w:rPr>
              <w:t>4.1.2. Ekonomikos gaivinimo ir atsparumo didinimo planas „Naujos kartos Lietuva“, priimtas 2021 m. liepos 28 d. Europos Sąjungos Tarybos įgyvendinimo sprendimu Nr. CM 4171/21 dėl Lietuvos ekonomikos gaivinimo ir atsparumo didinimo plano patvirtinimo;</w:t>
            </w:r>
          </w:p>
          <w:p w14:paraId="7F772199" w14:textId="77777777" w:rsidR="006C43F2" w:rsidRDefault="000F2108">
            <w:pPr>
              <w:suppressAutoHyphens/>
              <w:jc w:val="both"/>
              <w:rPr>
                <w:iCs/>
                <w:szCs w:val="24"/>
              </w:rPr>
            </w:pPr>
            <w:r>
              <w:rPr>
                <w:iCs/>
                <w:szCs w:val="24"/>
              </w:rPr>
              <w:t>4.1.3. Lietuvos Respublikos mokslo ir studijų įstatymas;</w:t>
            </w:r>
          </w:p>
          <w:p w14:paraId="7F77219A" w14:textId="77777777" w:rsidR="006C43F2" w:rsidRDefault="000F2108">
            <w:pPr>
              <w:suppressAutoHyphens/>
              <w:jc w:val="both"/>
              <w:rPr>
                <w:iCs/>
                <w:szCs w:val="24"/>
              </w:rPr>
            </w:pPr>
            <w:r>
              <w:rPr>
                <w:iCs/>
                <w:szCs w:val="24"/>
              </w:rPr>
              <w:t>4.1.4.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7F77219B" w14:textId="77777777" w:rsidR="006C43F2" w:rsidRDefault="000F2108">
            <w:pPr>
              <w:suppressAutoHyphens/>
              <w:jc w:val="both"/>
              <w:rPr>
                <w:iCs/>
                <w:szCs w:val="24"/>
              </w:rPr>
            </w:pPr>
            <w:r>
              <w:rPr>
                <w:iCs/>
                <w:szCs w:val="24"/>
              </w:rPr>
              <w:t>4.1.5.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7F77219C" w14:textId="77777777" w:rsidR="006C43F2" w:rsidRDefault="000F2108">
            <w:pPr>
              <w:suppressAutoHyphens/>
              <w:jc w:val="both"/>
              <w:rPr>
                <w:iCs/>
                <w:szCs w:val="24"/>
              </w:rPr>
            </w:pPr>
            <w:r>
              <w:rPr>
                <w:iCs/>
                <w:szCs w:val="24"/>
              </w:rPr>
              <w:t>4.1.6.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7F77219D" w14:textId="6C941BE0" w:rsidR="006C43F2" w:rsidRDefault="000F2108">
            <w:pPr>
              <w:suppressAutoHyphens/>
              <w:jc w:val="both"/>
              <w:rPr>
                <w:iCs/>
                <w:szCs w:val="24"/>
              </w:rPr>
            </w:pPr>
            <w:r>
              <w:rPr>
                <w:iCs/>
                <w:szCs w:val="24"/>
              </w:rPr>
              <w:t>4.1.7. 2021 m. balandžio 28 d. Europos Parlamento ir Tarybos reglamentas</w:t>
            </w:r>
            <w:r w:rsidR="00FF3E7A" w:rsidRPr="00680FAD">
              <w:rPr>
                <w:iCs/>
                <w:color w:val="000000" w:themeColor="text1"/>
                <w:szCs w:val="24"/>
              </w:rPr>
              <w:t xml:space="preserve"> </w:t>
            </w:r>
            <w:r w:rsidR="006A13CB" w:rsidRPr="00680FAD">
              <w:rPr>
                <w:iCs/>
                <w:color w:val="000000" w:themeColor="text1"/>
                <w:szCs w:val="24"/>
              </w:rPr>
              <w:t>(ES) 2021/695</w:t>
            </w:r>
            <w:r>
              <w:rPr>
                <w:iCs/>
                <w:szCs w:val="24"/>
              </w:rPr>
              <w:t xml:space="preserve">, kuriuo sukuriama bendroji mokslinių tyrimų ir inovacijų programa „Europos horizontas“, nustatomos su ja susijusios dalyvavimo ir sklaidos taisyklės ir panaikinami reglamentai </w:t>
            </w:r>
            <w:r w:rsidR="006A13CB" w:rsidRPr="00680FAD">
              <w:rPr>
                <w:iCs/>
                <w:color w:val="000000" w:themeColor="text1"/>
                <w:szCs w:val="24"/>
              </w:rPr>
              <w:t>(ES) Nr. 1290/2013</w:t>
            </w:r>
            <w:r w:rsidRPr="00640301">
              <w:rPr>
                <w:iCs/>
                <w:color w:val="000000" w:themeColor="text1"/>
                <w:szCs w:val="24"/>
              </w:rPr>
              <w:t xml:space="preserve"> </w:t>
            </w:r>
            <w:r>
              <w:rPr>
                <w:iCs/>
                <w:szCs w:val="24"/>
              </w:rPr>
              <w:t>ir</w:t>
            </w:r>
            <w:r w:rsidR="001F14E0">
              <w:rPr>
                <w:iCs/>
                <w:color w:val="000000" w:themeColor="text1"/>
                <w:szCs w:val="24"/>
              </w:rPr>
              <w:t xml:space="preserve"> </w:t>
            </w:r>
            <w:r w:rsidR="00683C44" w:rsidRPr="00680FAD">
              <w:rPr>
                <w:iCs/>
                <w:color w:val="000000" w:themeColor="text1"/>
                <w:szCs w:val="24"/>
              </w:rPr>
              <w:t>(ES) Nr. 1291/2013</w:t>
            </w:r>
            <w:r>
              <w:rPr>
                <w:iCs/>
                <w:szCs w:val="24"/>
              </w:rPr>
              <w:t>;</w:t>
            </w:r>
          </w:p>
          <w:p w14:paraId="7F77219E" w14:textId="11702A46" w:rsidR="006C43F2" w:rsidRPr="00986659" w:rsidRDefault="000F2108">
            <w:pPr>
              <w:suppressAutoHyphens/>
              <w:jc w:val="both"/>
            </w:pPr>
            <w:r>
              <w:rPr>
                <w:iCs/>
                <w:szCs w:val="24"/>
              </w:rPr>
              <w:t xml:space="preserve">4.1.8. 2021 m. gegužės 10 d. Tarybos reglamentas </w:t>
            </w:r>
            <w:r w:rsidR="00D40D5F" w:rsidRPr="00680FAD">
              <w:rPr>
                <w:iCs/>
                <w:color w:val="000000" w:themeColor="text1"/>
                <w:szCs w:val="24"/>
              </w:rPr>
              <w:t>(</w:t>
            </w:r>
            <w:r w:rsidR="00D40D5F" w:rsidRPr="00680FAD">
              <w:rPr>
                <w:i/>
                <w:iCs/>
                <w:color w:val="000000" w:themeColor="text1"/>
                <w:szCs w:val="24"/>
              </w:rPr>
              <w:t>Euratomas</w:t>
            </w:r>
            <w:r w:rsidR="00D40D5F" w:rsidRPr="00680FAD">
              <w:rPr>
                <w:iCs/>
                <w:color w:val="000000" w:themeColor="text1"/>
                <w:szCs w:val="24"/>
              </w:rPr>
              <w:t>) 2021/765</w:t>
            </w:r>
            <w:r w:rsidRPr="00680FAD">
              <w:rPr>
                <w:iCs/>
                <w:color w:val="000000" w:themeColor="text1"/>
                <w:szCs w:val="24"/>
              </w:rPr>
              <w:t xml:space="preserve">, </w:t>
            </w:r>
            <w:r>
              <w:rPr>
                <w:iCs/>
                <w:szCs w:val="24"/>
              </w:rPr>
              <w:t xml:space="preserve">kuriuo sukuriama 2021–2025 m. laikotarpio Europos atominės energijos bendrijos mokslinių tyrimų ir mokymo programa, papildanti bendrąją mokslinių tyrimų ir inovacijų programą „Europos horizontas“, ir panaikinamas reglamentas </w:t>
            </w:r>
            <w:r w:rsidR="001F14E0">
              <w:rPr>
                <w:iCs/>
                <w:color w:val="467886" w:themeColor="hyperlink"/>
                <w:szCs w:val="24"/>
                <w:u w:val="single"/>
              </w:rPr>
              <w:t xml:space="preserve"> </w:t>
            </w:r>
            <w:r w:rsidR="00847FD9" w:rsidRPr="0030095A">
              <w:rPr>
                <w:iCs/>
                <w:color w:val="000000" w:themeColor="text1"/>
                <w:szCs w:val="24"/>
              </w:rPr>
              <w:t>(</w:t>
            </w:r>
            <w:r w:rsidR="00847FD9" w:rsidRPr="0030095A">
              <w:rPr>
                <w:i/>
                <w:iCs/>
                <w:color w:val="000000" w:themeColor="text1"/>
                <w:szCs w:val="24"/>
              </w:rPr>
              <w:t>Euratomas</w:t>
            </w:r>
            <w:r w:rsidR="00847FD9" w:rsidRPr="0030095A">
              <w:rPr>
                <w:iCs/>
                <w:color w:val="000000" w:themeColor="text1"/>
                <w:szCs w:val="24"/>
              </w:rPr>
              <w:t>) 2018/1563</w:t>
            </w:r>
            <w:r>
              <w:rPr>
                <w:iCs/>
                <w:szCs w:val="24"/>
              </w:rPr>
              <w:t>;</w:t>
            </w:r>
          </w:p>
          <w:p w14:paraId="7F77219F" w14:textId="77777777" w:rsidR="006C43F2" w:rsidRDefault="000F2108">
            <w:pPr>
              <w:suppressAutoHyphens/>
              <w:jc w:val="both"/>
              <w:rPr>
                <w:iCs/>
                <w:szCs w:val="24"/>
              </w:rPr>
            </w:pPr>
            <w:r>
              <w:rPr>
                <w:iCs/>
                <w:szCs w:val="24"/>
              </w:rPr>
              <w:t>4.1.9. Europos Komisijos komunikatas „Valstybės pagalbos moksliniams tyrimams, plėtrai ir inovacijoms sistema“ (2022/C 414/01);</w:t>
            </w:r>
          </w:p>
          <w:p w14:paraId="7F7721A0" w14:textId="2D98D374" w:rsidR="006C43F2" w:rsidRDefault="000F2108">
            <w:pPr>
              <w:suppressAutoHyphens/>
              <w:jc w:val="both"/>
              <w:rPr>
                <w:iCs/>
                <w:szCs w:val="24"/>
              </w:rPr>
            </w:pPr>
            <w:r>
              <w:rPr>
                <w:iCs/>
                <w:szCs w:val="24"/>
              </w:rPr>
              <w:t>4.1.10. Europos Sąjungos mokslinių tyrimų ir inovacijų programos „Europos horizontas“ akceleravimo veiklų planas, patvirtintas Lietuvos Respublikos švietimo, mokslo ir sporto ministro 2022 m. vasario 1 d. įsakymu Nr. V-151 „Dėl Europos Sąjungos mokslinių tyrimų ir inovacijų programos „Europos horizontas“ akceleravimo veiklų plano patvirtinimo“</w:t>
            </w:r>
            <w:r w:rsidR="0095512F">
              <w:rPr>
                <w:iCs/>
                <w:szCs w:val="24"/>
              </w:rPr>
              <w:t xml:space="preserve"> </w:t>
            </w:r>
            <w:r w:rsidR="0095512F" w:rsidRPr="007458D4">
              <w:t>(paskelbtas Ministerijos interneto svetainėje https://smsm.lrv.lt/lt/veiklos-sritys-1/mokslas/es-bendroji-moksliniu-tyrimu-ir-inovaciju-programa-europos-horizontas/programos-europos-horizontas-akceleravimas/</w:t>
            </w:r>
            <w:r w:rsidR="0095512F">
              <w:t>)</w:t>
            </w:r>
            <w:r>
              <w:rPr>
                <w:iCs/>
                <w:szCs w:val="24"/>
              </w:rPr>
              <w:t>;</w:t>
            </w:r>
          </w:p>
          <w:p w14:paraId="7F7721A1" w14:textId="77777777" w:rsidR="006C43F2" w:rsidRDefault="000F2108">
            <w:pPr>
              <w:suppressAutoHyphens/>
              <w:jc w:val="both"/>
              <w:rPr>
                <w:iCs/>
                <w:szCs w:val="24"/>
              </w:rPr>
            </w:pPr>
            <w:r>
              <w:rPr>
                <w:iCs/>
                <w:szCs w:val="24"/>
              </w:rPr>
              <w:t>4.1.11. Mokslo sričių klasifikatorius, patvirtintas Lietuvos Respublikos Vyriausybės 2017 m. kovo 1 d. nutarimu Nr. 149 „Dėl Lietuvos Respublikos mokslo ir studijų įstatymo įgyvendinimo“;</w:t>
            </w:r>
          </w:p>
          <w:p w14:paraId="7F7721A2" w14:textId="77777777" w:rsidR="006C43F2" w:rsidRDefault="000F2108">
            <w:pPr>
              <w:suppressAutoHyphens/>
              <w:jc w:val="both"/>
              <w:rPr>
                <w:iCs/>
                <w:szCs w:val="24"/>
              </w:rPr>
            </w:pPr>
            <w:r>
              <w:rPr>
                <w:iCs/>
                <w:szCs w:val="24"/>
              </w:rPr>
              <w:t>4.1.12. Mokslo krypčių klasifikatorius, patvirtintas Lietuvos Respublikos švietimo, mokslo ir sporto ministro 2019 m. vasario 6 d. įsakymu Nr. V-93 „Dėl Mokslo krypčių ir Meno krypčių klasifikatorių patvirtinimo“.</w:t>
            </w:r>
          </w:p>
          <w:p w14:paraId="7F7721A3" w14:textId="77777777" w:rsidR="006C43F2" w:rsidRDefault="000F2108">
            <w:pPr>
              <w:suppressAutoHyphens/>
              <w:jc w:val="both"/>
              <w:rPr>
                <w:iCs/>
                <w:szCs w:val="24"/>
              </w:rPr>
            </w:pPr>
            <w:r>
              <w:rPr>
                <w:iCs/>
                <w:szCs w:val="24"/>
              </w:rPr>
              <w:t>4.2. Apraše vartojamos sąvokos suprantamos taip, kaip jos apibrėžtos Aprašo 4.1 papunktyje nurodytuose teisės aktuose.</w:t>
            </w:r>
          </w:p>
        </w:tc>
      </w:tr>
      <w:tr w:rsidR="006C43F2" w14:paraId="7F7721A6"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A5" w14:textId="77777777" w:rsidR="006C43F2" w:rsidRDefault="000F2108">
            <w:pPr>
              <w:suppressAutoHyphens/>
            </w:pPr>
            <w:r>
              <w:rPr>
                <w:b/>
                <w:szCs w:val="24"/>
              </w:rPr>
              <w:t>5</w:t>
            </w:r>
            <w:r>
              <w:rPr>
                <w:bCs/>
                <w:szCs w:val="24"/>
              </w:rPr>
              <w:t xml:space="preserve">. </w:t>
            </w:r>
            <w:r>
              <w:rPr>
                <w:b/>
                <w:szCs w:val="24"/>
              </w:rPr>
              <w:t>Reikalavimai projektams, pareiškėjams ir partneriams</w:t>
            </w:r>
          </w:p>
        </w:tc>
      </w:tr>
      <w:tr w:rsidR="006C43F2" w14:paraId="7F7721B5" w14:textId="77777777" w:rsidTr="00234A5F">
        <w:trPr>
          <w:trHeight w:val="690"/>
        </w:trPr>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A7" w14:textId="77777777" w:rsidR="006C43F2" w:rsidRDefault="000F2108">
            <w:pPr>
              <w:suppressAutoHyphens/>
              <w:jc w:val="both"/>
            </w:pPr>
            <w:r>
              <w:rPr>
                <w:szCs w:val="24"/>
              </w:rPr>
              <w:t>5.1. Reikalavimai projektams:</w:t>
            </w:r>
          </w:p>
          <w:p w14:paraId="7F7721A8" w14:textId="6E712D0F" w:rsidR="006C43F2" w:rsidRDefault="000F2108">
            <w:pPr>
              <w:suppressAutoHyphens/>
              <w:jc w:val="both"/>
              <w:rPr>
                <w:iCs/>
                <w:szCs w:val="24"/>
              </w:rPr>
            </w:pPr>
            <w:r>
              <w:rPr>
                <w:iCs/>
                <w:szCs w:val="24"/>
              </w:rPr>
              <w:t>5.1.1. Pagal Aprašą remiama veikla –</w:t>
            </w:r>
            <w:r w:rsidR="00B130ED">
              <w:t xml:space="preserve"> </w:t>
            </w:r>
            <w:r w:rsidR="00127731" w:rsidRPr="00127731">
              <w:t xml:space="preserve">mokslo laboratorijų ar kitos mokslo infrastruktūros įrangos (toliau – įranga), susijusios su Europos Sąjungos (toliau – ES) bendrosios mokslinių tyrimų ir inovacijų programos „Europos horizontas“ (toliau – programa „Europos horizontas“) arba Europos atominės energijos bendrijos mokslinių tyrimų ir mokymo programos, papildančios programą „Europos horizontas“ (toliau – programa „Euratomas“), projekto paraiška (toliau – susietojo projekto paraiška), galutiniame programos ,,Europos horizontas“ ir programos ,,Euratomas“ paraiškų vertinime pripažinta finansuotina (angl. </w:t>
            </w:r>
            <w:r w:rsidR="00127731" w:rsidRPr="008B3769">
              <w:rPr>
                <w:i/>
                <w:iCs/>
              </w:rPr>
              <w:t>passed the threshold</w:t>
            </w:r>
            <w:r w:rsidR="00127731" w:rsidRPr="00127731">
              <w:t>), tačiau negavusi</w:t>
            </w:r>
            <w:r w:rsidR="004A50F7">
              <w:t>a</w:t>
            </w:r>
            <w:r w:rsidR="00127731" w:rsidRPr="00127731">
              <w:t xml:space="preserve"> Europos Komisijos (toliau – EK) finansavimo dėl lėšų trūkumo pagal programų „Europos horizontas“ ar „Euratomas“ kvietimus, įsigijimas ir (arba) atnaujinimas (toliau – veikla įrangai įsigyti ir (arba) atnaujinti). </w:t>
            </w:r>
          </w:p>
          <w:p w14:paraId="4BCA0EBD" w14:textId="06DA871F" w:rsidR="00A103F8" w:rsidRPr="00A103F8" w:rsidRDefault="0052510B" w:rsidP="00A103F8">
            <w:pPr>
              <w:suppressAutoHyphens/>
              <w:jc w:val="both"/>
            </w:pPr>
            <w:r>
              <w:t>5.1</w:t>
            </w:r>
            <w:r w:rsidR="003D249D">
              <w:t>.2</w:t>
            </w:r>
            <w:r w:rsidR="003D249D" w:rsidRPr="00A103F8">
              <w:t>.</w:t>
            </w:r>
            <w:r w:rsidR="00A103F8" w:rsidRPr="008B3769">
              <w:t xml:space="preserve"> Susietojo projekto paraiškos vertinamos pagal 2023</w:t>
            </w:r>
            <w:r w:rsidR="00A30DAC">
              <w:t>–</w:t>
            </w:r>
            <w:r w:rsidR="00A103F8" w:rsidRPr="008B3769">
              <w:t xml:space="preserve">2025 metų </w:t>
            </w:r>
            <w:r w:rsidR="0019635B">
              <w:t xml:space="preserve">darbo programų </w:t>
            </w:r>
            <w:r w:rsidR="00A103F8" w:rsidRPr="008B3769">
              <w:t>kvietimų rezultatus</w:t>
            </w:r>
            <w:r w:rsidR="00731CA3">
              <w:t xml:space="preserve">, </w:t>
            </w:r>
            <w:r w:rsidR="00E460D6">
              <w:t>EK pateiktus</w:t>
            </w:r>
            <w:r w:rsidR="00731CA3">
              <w:t xml:space="preserve"> iki </w:t>
            </w:r>
            <w:r w:rsidR="006B5C86">
              <w:t xml:space="preserve">kvietimo teikti PĮP </w:t>
            </w:r>
            <w:r w:rsidR="006F141E">
              <w:t xml:space="preserve">paskelbimo </w:t>
            </w:r>
            <w:r w:rsidR="006B5C86">
              <w:t>dienos</w:t>
            </w:r>
            <w:r w:rsidR="006F141E">
              <w:t xml:space="preserve"> įskaitytinai</w:t>
            </w:r>
            <w:r w:rsidR="00A103F8" w:rsidRPr="008B3769">
              <w:t>:</w:t>
            </w:r>
          </w:p>
          <w:p w14:paraId="0861B0EE" w14:textId="0B4C39CB" w:rsidR="00A103F8" w:rsidRPr="008B3769" w:rsidRDefault="00A103F8" w:rsidP="00A103F8">
            <w:pPr>
              <w:pStyle w:val="EndnoteText"/>
              <w:jc w:val="both"/>
              <w:rPr>
                <w:sz w:val="24"/>
                <w:szCs w:val="24"/>
              </w:rPr>
            </w:pPr>
            <w:r w:rsidRPr="008B3769">
              <w:rPr>
                <w:sz w:val="24"/>
                <w:szCs w:val="24"/>
              </w:rPr>
              <w:t>5.1.2.1. programos ,,Europos horizontas“ veiklų ir programų:</w:t>
            </w:r>
          </w:p>
          <w:p w14:paraId="26CD5D4D" w14:textId="484E36C3" w:rsidR="00A103F8" w:rsidRPr="008B3769" w:rsidRDefault="00A103F8" w:rsidP="00A103F8">
            <w:pPr>
              <w:pStyle w:val="EndnoteText"/>
              <w:jc w:val="both"/>
              <w:rPr>
                <w:sz w:val="24"/>
                <w:szCs w:val="24"/>
              </w:rPr>
            </w:pPr>
            <w:r w:rsidRPr="008B3769">
              <w:rPr>
                <w:sz w:val="24"/>
                <w:szCs w:val="24"/>
              </w:rPr>
              <w:t xml:space="preserve">5.1.2.1.1. </w:t>
            </w:r>
            <w:r w:rsidR="00C6295B">
              <w:rPr>
                <w:sz w:val="24"/>
                <w:szCs w:val="24"/>
              </w:rPr>
              <w:t>P</w:t>
            </w:r>
            <w:r w:rsidR="000C6409">
              <w:rPr>
                <w:sz w:val="24"/>
                <w:szCs w:val="24"/>
              </w:rPr>
              <w:t xml:space="preserve">irmosios </w:t>
            </w:r>
            <w:r w:rsidRPr="008B3769">
              <w:rPr>
                <w:sz w:val="24"/>
                <w:szCs w:val="24"/>
              </w:rPr>
              <w:t>veiklos srities „Aukšto lygio mokslas“:</w:t>
            </w:r>
          </w:p>
          <w:p w14:paraId="2F810759" w14:textId="6E9E9182" w:rsidR="00A103F8" w:rsidRPr="008B3769" w:rsidRDefault="00A103F8" w:rsidP="00A103F8">
            <w:pPr>
              <w:pStyle w:val="EndnoteText"/>
              <w:jc w:val="both"/>
              <w:rPr>
                <w:sz w:val="24"/>
                <w:szCs w:val="24"/>
              </w:rPr>
            </w:pPr>
            <w:r w:rsidRPr="008B3769">
              <w:rPr>
                <w:sz w:val="24"/>
                <w:szCs w:val="24"/>
              </w:rPr>
              <w:t xml:space="preserve">5.1.2.1.1.1. </w:t>
            </w:r>
            <w:r w:rsidR="00C90C85">
              <w:rPr>
                <w:sz w:val="24"/>
                <w:szCs w:val="24"/>
              </w:rPr>
              <w:t xml:space="preserve">pagal </w:t>
            </w:r>
            <w:r w:rsidRPr="008B3769">
              <w:rPr>
                <w:sz w:val="24"/>
                <w:szCs w:val="24"/>
              </w:rPr>
              <w:t xml:space="preserve">Europos mokslo tarybos (angl. </w:t>
            </w:r>
            <w:r w:rsidRPr="008B3769">
              <w:rPr>
                <w:i/>
                <w:iCs/>
                <w:sz w:val="24"/>
                <w:szCs w:val="24"/>
              </w:rPr>
              <w:t>European Research Council</w:t>
            </w:r>
            <w:r w:rsidR="00A91DA3">
              <w:rPr>
                <w:i/>
                <w:iCs/>
                <w:sz w:val="24"/>
                <w:szCs w:val="24"/>
              </w:rPr>
              <w:t xml:space="preserve">, </w:t>
            </w:r>
            <w:r w:rsidR="00A91DA3" w:rsidRPr="008B3769">
              <w:rPr>
                <w:sz w:val="24"/>
                <w:szCs w:val="24"/>
              </w:rPr>
              <w:t>ERC</w:t>
            </w:r>
            <w:r w:rsidRPr="008B3769">
              <w:rPr>
                <w:sz w:val="24"/>
                <w:szCs w:val="24"/>
              </w:rPr>
              <w:t>) (toliau – ERC) (</w:t>
            </w:r>
            <w:r w:rsidRPr="008B3769">
              <w:rPr>
                <w:i/>
                <w:iCs/>
                <w:sz w:val="24"/>
                <w:szCs w:val="24"/>
              </w:rPr>
              <w:t>Starting Grant</w:t>
            </w:r>
            <w:r w:rsidRPr="008B3769">
              <w:rPr>
                <w:sz w:val="24"/>
                <w:szCs w:val="24"/>
              </w:rPr>
              <w:t xml:space="preserve"> </w:t>
            </w:r>
            <w:r w:rsidR="00554BE7" w:rsidRPr="00127731">
              <w:t>–</w:t>
            </w:r>
            <w:r w:rsidR="00554BE7">
              <w:t xml:space="preserve"> </w:t>
            </w:r>
            <w:r w:rsidRPr="008B3769">
              <w:rPr>
                <w:sz w:val="24"/>
                <w:szCs w:val="24"/>
              </w:rPr>
              <w:t xml:space="preserve">StG, </w:t>
            </w:r>
            <w:r w:rsidRPr="008B3769">
              <w:rPr>
                <w:i/>
                <w:iCs/>
                <w:sz w:val="24"/>
                <w:szCs w:val="24"/>
              </w:rPr>
              <w:t>Consolidator Grant</w:t>
            </w:r>
            <w:r w:rsidRPr="008B3769">
              <w:rPr>
                <w:sz w:val="24"/>
                <w:szCs w:val="24"/>
              </w:rPr>
              <w:t xml:space="preserve"> </w:t>
            </w:r>
            <w:r w:rsidR="00554BE7" w:rsidRPr="00127731">
              <w:t>–</w:t>
            </w:r>
            <w:r w:rsidRPr="008B3769">
              <w:rPr>
                <w:sz w:val="24"/>
                <w:szCs w:val="24"/>
              </w:rPr>
              <w:t xml:space="preserve"> CoG, </w:t>
            </w:r>
            <w:r w:rsidRPr="008B3769">
              <w:rPr>
                <w:i/>
                <w:iCs/>
                <w:sz w:val="24"/>
                <w:szCs w:val="24"/>
              </w:rPr>
              <w:t xml:space="preserve">Advanced Grant </w:t>
            </w:r>
            <w:r w:rsidR="00554BE7" w:rsidRPr="00127731">
              <w:t>–</w:t>
            </w:r>
            <w:r w:rsidR="00554BE7">
              <w:t xml:space="preserve"> </w:t>
            </w:r>
            <w:r w:rsidRPr="008B3769">
              <w:rPr>
                <w:sz w:val="24"/>
                <w:szCs w:val="24"/>
              </w:rPr>
              <w:t xml:space="preserve">AdG, </w:t>
            </w:r>
            <w:r w:rsidRPr="008B3769">
              <w:rPr>
                <w:i/>
                <w:iCs/>
                <w:sz w:val="24"/>
                <w:szCs w:val="24"/>
              </w:rPr>
              <w:t>Synergy Grant</w:t>
            </w:r>
            <w:r w:rsidRPr="008B3769">
              <w:rPr>
                <w:sz w:val="24"/>
                <w:szCs w:val="24"/>
              </w:rPr>
              <w:t xml:space="preserve"> </w:t>
            </w:r>
            <w:r w:rsidR="00554BE7" w:rsidRPr="00127731">
              <w:t>–</w:t>
            </w:r>
            <w:r w:rsidRPr="008B3769">
              <w:rPr>
                <w:sz w:val="24"/>
                <w:szCs w:val="24"/>
              </w:rPr>
              <w:t xml:space="preserve"> SynG, </w:t>
            </w:r>
            <w:r w:rsidRPr="008B3769">
              <w:rPr>
                <w:i/>
                <w:iCs/>
                <w:sz w:val="24"/>
                <w:szCs w:val="24"/>
              </w:rPr>
              <w:t>Proof of Concept</w:t>
            </w:r>
            <w:r w:rsidRPr="008B3769">
              <w:rPr>
                <w:sz w:val="24"/>
                <w:szCs w:val="24"/>
              </w:rPr>
              <w:t xml:space="preserve"> </w:t>
            </w:r>
            <w:r w:rsidR="00554BE7" w:rsidRPr="00127731">
              <w:t>–</w:t>
            </w:r>
            <w:r w:rsidRPr="008B3769">
              <w:rPr>
                <w:sz w:val="24"/>
                <w:szCs w:val="24"/>
              </w:rPr>
              <w:t xml:space="preserve"> PoC)</w:t>
            </w:r>
            <w:r w:rsidR="00F940FB">
              <w:rPr>
                <w:sz w:val="24"/>
                <w:szCs w:val="24"/>
              </w:rPr>
              <w:t xml:space="preserve"> kvietimų rezultatus</w:t>
            </w:r>
            <w:r w:rsidRPr="008B3769">
              <w:rPr>
                <w:sz w:val="24"/>
                <w:szCs w:val="24"/>
              </w:rPr>
              <w:t>;</w:t>
            </w:r>
          </w:p>
          <w:p w14:paraId="0403B9E7" w14:textId="02A5C130" w:rsidR="00A103F8" w:rsidRPr="008B3769" w:rsidRDefault="00A103F8" w:rsidP="00A103F8">
            <w:pPr>
              <w:pStyle w:val="EndnoteText"/>
              <w:jc w:val="both"/>
              <w:rPr>
                <w:sz w:val="24"/>
                <w:szCs w:val="24"/>
              </w:rPr>
            </w:pPr>
            <w:r w:rsidRPr="008B3769">
              <w:rPr>
                <w:sz w:val="24"/>
                <w:szCs w:val="24"/>
              </w:rPr>
              <w:t xml:space="preserve">5.1.2.1.1.2. </w:t>
            </w:r>
            <w:r w:rsidR="00F940FB">
              <w:rPr>
                <w:sz w:val="24"/>
                <w:szCs w:val="24"/>
              </w:rPr>
              <w:t xml:space="preserve">pagal </w:t>
            </w:r>
            <w:r w:rsidRPr="008B3769">
              <w:rPr>
                <w:sz w:val="24"/>
                <w:szCs w:val="24"/>
              </w:rPr>
              <w:t xml:space="preserve">Marie Skłodowska-Curie veiksmus (angl. </w:t>
            </w:r>
            <w:r w:rsidRPr="008B3769">
              <w:rPr>
                <w:i/>
                <w:iCs/>
                <w:sz w:val="24"/>
                <w:szCs w:val="24"/>
              </w:rPr>
              <w:t>Marie Skłodowska-Curie Actions</w:t>
            </w:r>
            <w:r w:rsidRPr="008B3769">
              <w:rPr>
                <w:sz w:val="24"/>
                <w:szCs w:val="24"/>
              </w:rPr>
              <w:t xml:space="preserve">, MSCA) (toliau – MSC veiksmai) MSCA </w:t>
            </w:r>
            <w:r w:rsidRPr="008B3769">
              <w:rPr>
                <w:i/>
                <w:iCs/>
                <w:sz w:val="24"/>
                <w:szCs w:val="24"/>
              </w:rPr>
              <w:t>Doctoral Networks</w:t>
            </w:r>
            <w:r w:rsidRPr="008B3769">
              <w:rPr>
                <w:sz w:val="24"/>
                <w:szCs w:val="24"/>
              </w:rPr>
              <w:t xml:space="preserve"> (MSCA-DN), MSCA </w:t>
            </w:r>
            <w:r w:rsidRPr="008B3769">
              <w:rPr>
                <w:i/>
                <w:iCs/>
                <w:sz w:val="24"/>
                <w:szCs w:val="24"/>
              </w:rPr>
              <w:t>Staff Exchanges</w:t>
            </w:r>
            <w:r w:rsidRPr="008B3769">
              <w:rPr>
                <w:sz w:val="24"/>
                <w:szCs w:val="24"/>
              </w:rPr>
              <w:t xml:space="preserve"> (MSCA-SE), MSCA</w:t>
            </w:r>
            <w:r w:rsidRPr="008B3769">
              <w:rPr>
                <w:i/>
                <w:iCs/>
                <w:sz w:val="24"/>
                <w:szCs w:val="24"/>
              </w:rPr>
              <w:t xml:space="preserve"> Postdoctoral Fellowships</w:t>
            </w:r>
            <w:r w:rsidRPr="008B3769">
              <w:rPr>
                <w:sz w:val="24"/>
                <w:szCs w:val="24"/>
              </w:rPr>
              <w:t xml:space="preserve"> (MSCA-PF)</w:t>
            </w:r>
            <w:r w:rsidR="00F940FB">
              <w:rPr>
                <w:sz w:val="24"/>
                <w:szCs w:val="24"/>
              </w:rPr>
              <w:t xml:space="preserve"> kvietimų rezultatus</w:t>
            </w:r>
            <w:r w:rsidRPr="008B3769">
              <w:rPr>
                <w:sz w:val="24"/>
                <w:szCs w:val="24"/>
              </w:rPr>
              <w:t>.</w:t>
            </w:r>
          </w:p>
          <w:p w14:paraId="1DFF7ADB" w14:textId="53A12AB3" w:rsidR="00A103F8" w:rsidRPr="008B3769" w:rsidRDefault="00A103F8" w:rsidP="00A103F8">
            <w:pPr>
              <w:pStyle w:val="EndnoteText"/>
              <w:jc w:val="both"/>
              <w:rPr>
                <w:sz w:val="24"/>
                <w:szCs w:val="24"/>
              </w:rPr>
            </w:pPr>
            <w:r w:rsidRPr="008B3769">
              <w:rPr>
                <w:sz w:val="24"/>
                <w:szCs w:val="24"/>
              </w:rPr>
              <w:t xml:space="preserve">5.1.2.1.2. </w:t>
            </w:r>
            <w:r w:rsidR="000C6409">
              <w:rPr>
                <w:sz w:val="24"/>
                <w:szCs w:val="24"/>
              </w:rPr>
              <w:t xml:space="preserve">Antrosios </w:t>
            </w:r>
            <w:r w:rsidRPr="008B3769">
              <w:rPr>
                <w:sz w:val="24"/>
                <w:szCs w:val="24"/>
              </w:rPr>
              <w:t xml:space="preserve">veiklos srities ,,Pasauliniai iššūkiai ir Europos pramonės konkurencingumas“ </w:t>
            </w:r>
            <w:r w:rsidR="005A58CA">
              <w:rPr>
                <w:sz w:val="24"/>
                <w:szCs w:val="24"/>
              </w:rPr>
              <w:t>pagal</w:t>
            </w:r>
            <w:r w:rsidRPr="008B3769">
              <w:rPr>
                <w:sz w:val="24"/>
                <w:szCs w:val="24"/>
              </w:rPr>
              <w:t xml:space="preserve"> mokslinių tyrimų ir inovacijų veiksmų (angl. </w:t>
            </w:r>
            <w:r w:rsidRPr="008B3769">
              <w:rPr>
                <w:i/>
                <w:iCs/>
                <w:sz w:val="24"/>
                <w:szCs w:val="24"/>
              </w:rPr>
              <w:t>Research and Innovation Action</w:t>
            </w:r>
            <w:r w:rsidRPr="008B3769">
              <w:rPr>
                <w:sz w:val="24"/>
                <w:szCs w:val="24"/>
              </w:rPr>
              <w:t xml:space="preserve">, RIA) bei inovacijų veiksmų (angl. </w:t>
            </w:r>
            <w:r w:rsidRPr="008B3769">
              <w:rPr>
                <w:i/>
                <w:iCs/>
                <w:sz w:val="24"/>
                <w:szCs w:val="24"/>
              </w:rPr>
              <w:t>Innovation Action</w:t>
            </w:r>
            <w:r w:rsidRPr="008B3769">
              <w:rPr>
                <w:sz w:val="24"/>
                <w:szCs w:val="24"/>
              </w:rPr>
              <w:t xml:space="preserve">, IA) </w:t>
            </w:r>
            <w:r w:rsidR="005A58CA">
              <w:rPr>
                <w:sz w:val="24"/>
                <w:szCs w:val="24"/>
              </w:rPr>
              <w:t>kvietimų rezultatus</w:t>
            </w:r>
            <w:r w:rsidR="0017028B">
              <w:rPr>
                <w:sz w:val="24"/>
                <w:szCs w:val="24"/>
              </w:rPr>
              <w:t>.</w:t>
            </w:r>
          </w:p>
          <w:p w14:paraId="6D18F647" w14:textId="4FDEC94E" w:rsidR="00A103F8" w:rsidRPr="008B3769" w:rsidRDefault="008513B9" w:rsidP="00A103F8">
            <w:pPr>
              <w:pStyle w:val="EndnoteText"/>
              <w:jc w:val="both"/>
              <w:rPr>
                <w:sz w:val="24"/>
                <w:szCs w:val="24"/>
              </w:rPr>
            </w:pPr>
            <w:r w:rsidRPr="008B3769">
              <w:rPr>
                <w:sz w:val="24"/>
                <w:szCs w:val="24"/>
              </w:rPr>
              <w:t xml:space="preserve">5.1.2.1.3. </w:t>
            </w:r>
            <w:r w:rsidR="00CD370E">
              <w:rPr>
                <w:sz w:val="24"/>
                <w:szCs w:val="24"/>
              </w:rPr>
              <w:t>pagal t</w:t>
            </w:r>
            <w:r w:rsidR="000C6409">
              <w:rPr>
                <w:sz w:val="24"/>
                <w:szCs w:val="24"/>
              </w:rPr>
              <w:t xml:space="preserve">rečiosios </w:t>
            </w:r>
            <w:r w:rsidR="00A103F8" w:rsidRPr="008B3769">
              <w:rPr>
                <w:sz w:val="24"/>
                <w:szCs w:val="24"/>
              </w:rPr>
              <w:t>veiklos srities ,,Inovatyvi Europa“ Europos inovacijų tarybos</w:t>
            </w:r>
            <w:r w:rsidR="00033D6D">
              <w:rPr>
                <w:sz w:val="24"/>
                <w:szCs w:val="24"/>
              </w:rPr>
              <w:t xml:space="preserve"> (angl. </w:t>
            </w:r>
            <w:r w:rsidR="00033D6D" w:rsidRPr="008B3769">
              <w:rPr>
                <w:i/>
                <w:iCs/>
                <w:sz w:val="24"/>
                <w:szCs w:val="24"/>
              </w:rPr>
              <w:t>European Innovation Council</w:t>
            </w:r>
            <w:r w:rsidR="00033D6D">
              <w:rPr>
                <w:sz w:val="24"/>
                <w:szCs w:val="24"/>
              </w:rPr>
              <w:t>, EIC)</w:t>
            </w:r>
            <w:r w:rsidR="00A103F8" w:rsidRPr="008B3769">
              <w:rPr>
                <w:sz w:val="24"/>
                <w:szCs w:val="24"/>
              </w:rPr>
              <w:t xml:space="preserve"> (</w:t>
            </w:r>
            <w:r w:rsidR="000C1909">
              <w:rPr>
                <w:sz w:val="24"/>
                <w:szCs w:val="24"/>
              </w:rPr>
              <w:t xml:space="preserve">toliau </w:t>
            </w:r>
            <w:r w:rsidR="000C1909" w:rsidRPr="004049E2">
              <w:rPr>
                <w:sz w:val="24"/>
                <w:szCs w:val="24"/>
              </w:rPr>
              <w:t>–</w:t>
            </w:r>
            <w:r w:rsidR="000C1909">
              <w:rPr>
                <w:sz w:val="24"/>
                <w:szCs w:val="24"/>
              </w:rPr>
              <w:t xml:space="preserve"> </w:t>
            </w:r>
            <w:r w:rsidR="00A103F8" w:rsidRPr="008B3769">
              <w:rPr>
                <w:sz w:val="24"/>
                <w:szCs w:val="24"/>
              </w:rPr>
              <w:t>EIC) programą ,,Pathfinder“.</w:t>
            </w:r>
          </w:p>
          <w:p w14:paraId="71ACF003" w14:textId="30DD93F9" w:rsidR="00A103F8" w:rsidRPr="008276B8" w:rsidRDefault="008513B9" w:rsidP="00A103F8">
            <w:pPr>
              <w:pStyle w:val="EndnoteText"/>
              <w:jc w:val="both"/>
              <w:rPr>
                <w:sz w:val="24"/>
                <w:szCs w:val="24"/>
              </w:rPr>
            </w:pPr>
            <w:r w:rsidRPr="008B3769">
              <w:rPr>
                <w:sz w:val="24"/>
                <w:szCs w:val="24"/>
              </w:rPr>
              <w:t xml:space="preserve">5.1.2.1.4. </w:t>
            </w:r>
            <w:r w:rsidR="00CD370E">
              <w:rPr>
                <w:sz w:val="24"/>
                <w:szCs w:val="24"/>
              </w:rPr>
              <w:t xml:space="preserve">pagal </w:t>
            </w:r>
            <w:r w:rsidR="009C662B">
              <w:rPr>
                <w:sz w:val="24"/>
                <w:szCs w:val="24"/>
              </w:rPr>
              <w:t>k</w:t>
            </w:r>
            <w:r w:rsidR="000C6409">
              <w:rPr>
                <w:sz w:val="24"/>
                <w:szCs w:val="24"/>
              </w:rPr>
              <w:t>etvirtosios</w:t>
            </w:r>
            <w:r w:rsidR="00A103F8" w:rsidRPr="008B3769">
              <w:rPr>
                <w:sz w:val="24"/>
                <w:szCs w:val="24"/>
              </w:rPr>
              <w:t xml:space="preserve"> veiklos dalies komponento „Dalyvių skaičiaus didinimas ir Europos mokslinių tyrimų erdvės stiprinimas“ (angl. </w:t>
            </w:r>
            <w:r w:rsidR="00A103F8" w:rsidRPr="008B3769">
              <w:rPr>
                <w:i/>
                <w:iCs/>
                <w:sz w:val="24"/>
                <w:szCs w:val="24"/>
              </w:rPr>
              <w:t>Widening participation and strengthening the European Research Area</w:t>
            </w:r>
            <w:r w:rsidR="00A103F8" w:rsidRPr="008B3769">
              <w:rPr>
                <w:sz w:val="24"/>
                <w:szCs w:val="24"/>
              </w:rPr>
              <w:t>, WIDERA) porinės veiklos vykdymo (angl.</w:t>
            </w:r>
            <w:r w:rsidR="00A103F8" w:rsidRPr="008B3769">
              <w:rPr>
                <w:i/>
                <w:iCs/>
                <w:sz w:val="24"/>
                <w:szCs w:val="24"/>
              </w:rPr>
              <w:t xml:space="preserve"> twinning</w:t>
            </w:r>
            <w:r w:rsidR="00A103F8" w:rsidRPr="008B3769">
              <w:rPr>
                <w:sz w:val="24"/>
                <w:szCs w:val="24"/>
              </w:rPr>
              <w:t xml:space="preserve">) ir Europos mokslinių tyrimų erdvės vadovų (angl. </w:t>
            </w:r>
            <w:r w:rsidR="00A103F8" w:rsidRPr="008276B8">
              <w:rPr>
                <w:i/>
                <w:iCs/>
                <w:sz w:val="24"/>
                <w:szCs w:val="24"/>
              </w:rPr>
              <w:t>European Research Area chairs</w:t>
            </w:r>
            <w:r w:rsidR="00A103F8" w:rsidRPr="008276B8">
              <w:rPr>
                <w:sz w:val="24"/>
                <w:szCs w:val="24"/>
              </w:rPr>
              <w:t>, ERA chairs)</w:t>
            </w:r>
            <w:r w:rsidR="009C662B">
              <w:rPr>
                <w:sz w:val="24"/>
                <w:szCs w:val="24"/>
              </w:rPr>
              <w:t xml:space="preserve"> kvietimų rezultatus</w:t>
            </w:r>
            <w:r w:rsidR="00A103F8" w:rsidRPr="008276B8">
              <w:rPr>
                <w:sz w:val="24"/>
                <w:szCs w:val="24"/>
              </w:rPr>
              <w:t>.</w:t>
            </w:r>
          </w:p>
          <w:p w14:paraId="1A7170AC" w14:textId="0627250E" w:rsidR="00016F70" w:rsidRDefault="008513B9">
            <w:pPr>
              <w:suppressAutoHyphens/>
              <w:jc w:val="both"/>
              <w:rPr>
                <w:szCs w:val="24"/>
              </w:rPr>
            </w:pPr>
            <w:r w:rsidRPr="008276B8">
              <w:rPr>
                <w:szCs w:val="24"/>
              </w:rPr>
              <w:t xml:space="preserve">5.1.2.2. </w:t>
            </w:r>
            <w:r w:rsidR="009C662B">
              <w:rPr>
                <w:szCs w:val="24"/>
              </w:rPr>
              <w:t>pagal p</w:t>
            </w:r>
            <w:r w:rsidR="00A103F8" w:rsidRPr="008276B8">
              <w:rPr>
                <w:szCs w:val="24"/>
              </w:rPr>
              <w:t xml:space="preserve">rogramos ,,Euratomas“ mokslinių tyrimų ir inovacijų veiksmų (angl. </w:t>
            </w:r>
            <w:r w:rsidR="00A103F8" w:rsidRPr="008276B8">
              <w:rPr>
                <w:i/>
                <w:iCs/>
                <w:szCs w:val="24"/>
              </w:rPr>
              <w:t>Research and Innovation Action</w:t>
            </w:r>
            <w:r w:rsidR="00A103F8" w:rsidRPr="008276B8">
              <w:rPr>
                <w:szCs w:val="24"/>
              </w:rPr>
              <w:t xml:space="preserve">, RIA) bei inovacijų veiksmų (angl. </w:t>
            </w:r>
            <w:r w:rsidR="00A103F8" w:rsidRPr="008276B8">
              <w:rPr>
                <w:i/>
                <w:iCs/>
                <w:szCs w:val="24"/>
              </w:rPr>
              <w:t>Innovation Action</w:t>
            </w:r>
            <w:r w:rsidR="00A103F8" w:rsidRPr="008276B8">
              <w:rPr>
                <w:szCs w:val="24"/>
              </w:rPr>
              <w:t xml:space="preserve">, IA) </w:t>
            </w:r>
            <w:r w:rsidR="009C662B">
              <w:rPr>
                <w:szCs w:val="24"/>
              </w:rPr>
              <w:t>kvietimų rezultatus</w:t>
            </w:r>
            <w:r w:rsidR="00A103F8" w:rsidRPr="008276B8">
              <w:rPr>
                <w:szCs w:val="24"/>
              </w:rPr>
              <w:t>.</w:t>
            </w:r>
          </w:p>
          <w:p w14:paraId="4D2C4BF8" w14:textId="795B9D86" w:rsidR="00554BE7" w:rsidRDefault="00016F70" w:rsidP="002A4DA0">
            <w:pPr>
              <w:suppressAutoHyphens/>
              <w:jc w:val="both"/>
            </w:pPr>
            <w:r>
              <w:rPr>
                <w:szCs w:val="24"/>
              </w:rPr>
              <w:t>5.1.3.</w:t>
            </w:r>
            <w:r w:rsidR="0008578C">
              <w:rPr>
                <w:szCs w:val="24"/>
              </w:rPr>
              <w:t xml:space="preserve"> A</w:t>
            </w:r>
            <w:r w:rsidR="0008578C" w:rsidRPr="0008578C">
              <w:rPr>
                <w:szCs w:val="24"/>
              </w:rPr>
              <w:t>dministruojan</w:t>
            </w:r>
            <w:r w:rsidR="006E018C">
              <w:rPr>
                <w:szCs w:val="24"/>
              </w:rPr>
              <w:t>č</w:t>
            </w:r>
            <w:r w:rsidR="0008578C">
              <w:rPr>
                <w:szCs w:val="24"/>
              </w:rPr>
              <w:t>ioj</w:t>
            </w:r>
            <w:r w:rsidR="0008578C" w:rsidRPr="0008578C">
              <w:rPr>
                <w:szCs w:val="24"/>
              </w:rPr>
              <w:t>i institucija</w:t>
            </w:r>
            <w:r w:rsidR="00A40E35">
              <w:rPr>
                <w:szCs w:val="24"/>
              </w:rPr>
              <w:t xml:space="preserve">, siekdama įvertinti, </w:t>
            </w:r>
            <w:r w:rsidR="0008578C" w:rsidRPr="0008578C">
              <w:rPr>
                <w:szCs w:val="24"/>
              </w:rPr>
              <w:t xml:space="preserve">ar susietojo projekto paraiška atitinka </w:t>
            </w:r>
            <w:r w:rsidR="00A40E35">
              <w:rPr>
                <w:szCs w:val="24"/>
              </w:rPr>
              <w:t>Aprašo 5.1.2 papunktyje nurodytus kvietim</w:t>
            </w:r>
            <w:r w:rsidR="00D72B9D">
              <w:rPr>
                <w:szCs w:val="24"/>
              </w:rPr>
              <w:t>us</w:t>
            </w:r>
            <w:r w:rsidR="00A2792D">
              <w:rPr>
                <w:szCs w:val="24"/>
              </w:rPr>
              <w:t>,</w:t>
            </w:r>
            <w:r w:rsidR="0008578C" w:rsidRPr="0008578C">
              <w:rPr>
                <w:szCs w:val="24"/>
              </w:rPr>
              <w:t xml:space="preserve"> kreipiasi į </w:t>
            </w:r>
            <w:r w:rsidR="00A40E35">
              <w:rPr>
                <w:szCs w:val="24"/>
              </w:rPr>
              <w:t>Lietuvos mokslo taryboje dirbančius program</w:t>
            </w:r>
            <w:r w:rsidR="00A214B1">
              <w:rPr>
                <w:szCs w:val="24"/>
              </w:rPr>
              <w:t>ų</w:t>
            </w:r>
            <w:r w:rsidR="00A40E35">
              <w:rPr>
                <w:szCs w:val="24"/>
              </w:rPr>
              <w:t xml:space="preserve"> „Europos horizontas“ ir </w:t>
            </w:r>
            <w:r w:rsidR="00FC4093">
              <w:rPr>
                <w:szCs w:val="24"/>
              </w:rPr>
              <w:t xml:space="preserve">,,Euratomas“ </w:t>
            </w:r>
            <w:r w:rsidR="00A40E35" w:rsidRPr="00A70D5A">
              <w:rPr>
                <w:szCs w:val="24"/>
                <w:lang w:eastAsia="lt-LT"/>
              </w:rPr>
              <w:t>nacionalini</w:t>
            </w:r>
            <w:r w:rsidR="00A40E35">
              <w:rPr>
                <w:szCs w:val="24"/>
                <w:lang w:eastAsia="lt-LT"/>
              </w:rPr>
              <w:t xml:space="preserve">us </w:t>
            </w:r>
            <w:r w:rsidR="00A40E35" w:rsidRPr="00A70D5A">
              <w:rPr>
                <w:szCs w:val="24"/>
                <w:lang w:eastAsia="lt-LT"/>
              </w:rPr>
              <w:t>kontaktini</w:t>
            </w:r>
            <w:r w:rsidR="00A40E35">
              <w:rPr>
                <w:szCs w:val="24"/>
                <w:lang w:eastAsia="lt-LT"/>
              </w:rPr>
              <w:t>u</w:t>
            </w:r>
            <w:r w:rsidR="00A40E35" w:rsidRPr="00A70D5A">
              <w:rPr>
                <w:szCs w:val="24"/>
                <w:lang w:eastAsia="lt-LT"/>
              </w:rPr>
              <w:t xml:space="preserve">s asmenis (angl. </w:t>
            </w:r>
            <w:r w:rsidR="00A40E35" w:rsidRPr="00A70D5A">
              <w:rPr>
                <w:i/>
                <w:iCs/>
                <w:szCs w:val="24"/>
                <w:lang w:eastAsia="lt-LT"/>
              </w:rPr>
              <w:t>National Contact Points</w:t>
            </w:r>
            <w:r w:rsidR="00A40E35">
              <w:rPr>
                <w:i/>
                <w:iCs/>
                <w:szCs w:val="24"/>
                <w:lang w:eastAsia="lt-LT"/>
              </w:rPr>
              <w:t xml:space="preserve">, </w:t>
            </w:r>
            <w:r w:rsidR="00A40E35" w:rsidRPr="008276B8">
              <w:rPr>
                <w:szCs w:val="24"/>
                <w:lang w:eastAsia="lt-LT"/>
              </w:rPr>
              <w:t>NCP</w:t>
            </w:r>
            <w:r w:rsidR="00A40E35">
              <w:rPr>
                <w:szCs w:val="24"/>
                <w:lang w:eastAsia="lt-LT"/>
              </w:rPr>
              <w:t>)</w:t>
            </w:r>
            <w:r w:rsidR="002A4DA0">
              <w:rPr>
                <w:szCs w:val="24"/>
                <w:lang w:eastAsia="lt-LT"/>
              </w:rPr>
              <w:t xml:space="preserve"> </w:t>
            </w:r>
            <w:r w:rsidR="002A4DA0" w:rsidRPr="002A4DA0">
              <w:rPr>
                <w:szCs w:val="24"/>
                <w:lang w:eastAsia="lt-LT"/>
              </w:rPr>
              <w:t>dėl tokios sąsajos tinkamumo įvertinimo</w:t>
            </w:r>
            <w:r w:rsidR="00A40E35">
              <w:rPr>
                <w:szCs w:val="24"/>
              </w:rPr>
              <w:t>.</w:t>
            </w:r>
          </w:p>
          <w:p w14:paraId="7F7721A9" w14:textId="4AB70A2D" w:rsidR="006C43F2" w:rsidRDefault="000F2108">
            <w:pPr>
              <w:suppressAutoHyphens/>
              <w:jc w:val="both"/>
              <w:rPr>
                <w:iCs/>
                <w:szCs w:val="24"/>
              </w:rPr>
            </w:pPr>
            <w:r>
              <w:rPr>
                <w:iCs/>
                <w:szCs w:val="24"/>
              </w:rPr>
              <w:t>5.1.</w:t>
            </w:r>
            <w:r w:rsidR="00016F70">
              <w:rPr>
                <w:iCs/>
                <w:szCs w:val="24"/>
              </w:rPr>
              <w:t>4</w:t>
            </w:r>
            <w:r>
              <w:rPr>
                <w:iCs/>
                <w:szCs w:val="24"/>
              </w:rPr>
              <w:t>. Pagal Aprašą teikiamo finansavimo forma – dotacija.</w:t>
            </w:r>
          </w:p>
          <w:p w14:paraId="7F7721AA" w14:textId="30F8FBD6" w:rsidR="006C43F2" w:rsidRDefault="000F2108">
            <w:pPr>
              <w:suppressAutoHyphens/>
              <w:jc w:val="both"/>
              <w:rPr>
                <w:iCs/>
                <w:szCs w:val="24"/>
              </w:rPr>
            </w:pPr>
            <w:r>
              <w:rPr>
                <w:iCs/>
                <w:szCs w:val="24"/>
              </w:rPr>
              <w:t>5.1.</w:t>
            </w:r>
            <w:r w:rsidR="00016F70">
              <w:rPr>
                <w:iCs/>
                <w:szCs w:val="24"/>
              </w:rPr>
              <w:t>5</w:t>
            </w:r>
            <w:r>
              <w:rPr>
                <w:iCs/>
                <w:szCs w:val="24"/>
              </w:rPr>
              <w:t xml:space="preserve">. Projekto atrankos būdas – </w:t>
            </w:r>
            <w:r w:rsidR="00BF1B99">
              <w:rPr>
                <w:iCs/>
                <w:szCs w:val="24"/>
              </w:rPr>
              <w:t>konkursas</w:t>
            </w:r>
            <w:r>
              <w:rPr>
                <w:iCs/>
                <w:szCs w:val="24"/>
              </w:rPr>
              <w:t>.</w:t>
            </w:r>
          </w:p>
          <w:p w14:paraId="7F7721AB" w14:textId="44CB54BE" w:rsidR="006C43F2" w:rsidRDefault="000F2108">
            <w:pPr>
              <w:suppressAutoHyphens/>
              <w:jc w:val="both"/>
            </w:pPr>
            <w:r>
              <w:rPr>
                <w:iCs/>
                <w:szCs w:val="24"/>
              </w:rPr>
              <w:t>5.1.</w:t>
            </w:r>
            <w:r w:rsidR="00016F70">
              <w:rPr>
                <w:iCs/>
                <w:szCs w:val="24"/>
              </w:rPr>
              <w:t>6</w:t>
            </w:r>
            <w:r>
              <w:rPr>
                <w:iCs/>
                <w:szCs w:val="24"/>
              </w:rPr>
              <w:t xml:space="preserve">. Aprašo 5.1.1 papunktyje nurodytai veiklai įgyvendinti numatoma skirti iki </w:t>
            </w:r>
            <w:r w:rsidR="004A2657">
              <w:rPr>
                <w:iCs/>
                <w:szCs w:val="24"/>
              </w:rPr>
              <w:t>20</w:t>
            </w:r>
            <w:r w:rsidR="00EE587D" w:rsidRPr="00F960C0">
              <w:rPr>
                <w:iCs/>
                <w:szCs w:val="24"/>
              </w:rPr>
              <w:t> </w:t>
            </w:r>
            <w:r w:rsidR="004A2657">
              <w:rPr>
                <w:iCs/>
                <w:szCs w:val="24"/>
              </w:rPr>
              <w:t>231</w:t>
            </w:r>
            <w:r w:rsidR="004A2657" w:rsidRPr="00F960C0">
              <w:rPr>
                <w:iCs/>
                <w:szCs w:val="24"/>
              </w:rPr>
              <w:t xml:space="preserve"> </w:t>
            </w:r>
            <w:r w:rsidRPr="00F960C0">
              <w:rPr>
                <w:iCs/>
                <w:szCs w:val="24"/>
              </w:rPr>
              <w:t>000,00 Eur (</w:t>
            </w:r>
            <w:r w:rsidR="004A2657">
              <w:rPr>
                <w:iCs/>
                <w:szCs w:val="24"/>
              </w:rPr>
              <w:t>dvidešimties</w:t>
            </w:r>
            <w:r w:rsidR="004A2657" w:rsidRPr="00F960C0">
              <w:rPr>
                <w:iCs/>
                <w:szCs w:val="24"/>
              </w:rPr>
              <w:t xml:space="preserve"> </w:t>
            </w:r>
            <w:r w:rsidRPr="00F960C0">
              <w:rPr>
                <w:iCs/>
                <w:szCs w:val="24"/>
              </w:rPr>
              <w:t>milijonų</w:t>
            </w:r>
            <w:r w:rsidR="0055661B" w:rsidRPr="00F960C0">
              <w:rPr>
                <w:iCs/>
                <w:szCs w:val="24"/>
              </w:rPr>
              <w:t xml:space="preserve"> </w:t>
            </w:r>
            <w:r w:rsidR="004A2657">
              <w:rPr>
                <w:iCs/>
                <w:szCs w:val="24"/>
              </w:rPr>
              <w:t>dviejų</w:t>
            </w:r>
            <w:r w:rsidR="004A2657" w:rsidRPr="00F960C0">
              <w:rPr>
                <w:iCs/>
                <w:szCs w:val="24"/>
              </w:rPr>
              <w:t xml:space="preserve"> </w:t>
            </w:r>
            <w:r w:rsidR="0055661B" w:rsidRPr="00F960C0">
              <w:rPr>
                <w:iCs/>
                <w:szCs w:val="24"/>
              </w:rPr>
              <w:t>šimtų</w:t>
            </w:r>
            <w:r w:rsidR="004A2657">
              <w:rPr>
                <w:iCs/>
                <w:szCs w:val="24"/>
              </w:rPr>
              <w:t xml:space="preserve"> tri</w:t>
            </w:r>
            <w:r w:rsidR="00B83E94">
              <w:rPr>
                <w:iCs/>
                <w:szCs w:val="24"/>
              </w:rPr>
              <w:t>s</w:t>
            </w:r>
            <w:r w:rsidR="004A2657">
              <w:rPr>
                <w:iCs/>
                <w:szCs w:val="24"/>
              </w:rPr>
              <w:t>dešimt vieno</w:t>
            </w:r>
            <w:r w:rsidR="0055661B" w:rsidRPr="00F960C0">
              <w:rPr>
                <w:iCs/>
                <w:szCs w:val="24"/>
              </w:rPr>
              <w:t xml:space="preserve"> </w:t>
            </w:r>
            <w:r w:rsidR="004A2657" w:rsidRPr="00F960C0">
              <w:rPr>
                <w:iCs/>
                <w:szCs w:val="24"/>
              </w:rPr>
              <w:t>tūkstanči</w:t>
            </w:r>
            <w:r w:rsidR="004A2657">
              <w:rPr>
                <w:iCs/>
                <w:szCs w:val="24"/>
              </w:rPr>
              <w:t>o</w:t>
            </w:r>
            <w:r w:rsidR="004A2657" w:rsidRPr="00F960C0">
              <w:rPr>
                <w:iCs/>
                <w:szCs w:val="24"/>
              </w:rPr>
              <w:t xml:space="preserve"> </w:t>
            </w:r>
            <w:r w:rsidRPr="00F960C0">
              <w:rPr>
                <w:iCs/>
                <w:szCs w:val="24"/>
              </w:rPr>
              <w:t>eurų</w:t>
            </w:r>
            <w:r w:rsidR="00315CE4">
              <w:rPr>
                <w:iCs/>
                <w:szCs w:val="24"/>
              </w:rPr>
              <w:t>,</w:t>
            </w:r>
            <w:r w:rsidRPr="00F960C0">
              <w:rPr>
                <w:iCs/>
                <w:szCs w:val="24"/>
              </w:rPr>
              <w:t xml:space="preserve"> 00 ct)</w:t>
            </w:r>
            <w:r w:rsidRPr="00315CE4">
              <w:rPr>
                <w:iCs/>
                <w:szCs w:val="24"/>
              </w:rPr>
              <w:t xml:space="preserve"> EGADP lėšų ir ne daugiau kaip </w:t>
            </w:r>
            <w:r w:rsidR="00EE587D">
              <w:rPr>
                <w:iCs/>
                <w:szCs w:val="24"/>
              </w:rPr>
              <w:t>4</w:t>
            </w:r>
            <w:r w:rsidR="00EE587D" w:rsidRPr="00F960C0">
              <w:rPr>
                <w:iCs/>
                <w:szCs w:val="24"/>
              </w:rPr>
              <w:t> </w:t>
            </w:r>
            <w:r w:rsidR="00EE587D">
              <w:rPr>
                <w:iCs/>
                <w:szCs w:val="24"/>
              </w:rPr>
              <w:t>248</w:t>
            </w:r>
            <w:r w:rsidR="00EE587D" w:rsidRPr="00F960C0">
              <w:rPr>
                <w:iCs/>
                <w:szCs w:val="24"/>
              </w:rPr>
              <w:t xml:space="preserve"> </w:t>
            </w:r>
            <w:r w:rsidR="00EE587D">
              <w:rPr>
                <w:iCs/>
                <w:szCs w:val="24"/>
              </w:rPr>
              <w:t>51</w:t>
            </w:r>
            <w:r w:rsidR="00EE587D" w:rsidRPr="00F960C0">
              <w:rPr>
                <w:iCs/>
                <w:szCs w:val="24"/>
              </w:rPr>
              <w:t>0</w:t>
            </w:r>
            <w:r w:rsidRPr="00F960C0">
              <w:rPr>
                <w:iCs/>
                <w:szCs w:val="24"/>
              </w:rPr>
              <w:t>,00 Eur (</w:t>
            </w:r>
            <w:r w:rsidR="00E459F6">
              <w:rPr>
                <w:iCs/>
                <w:szCs w:val="24"/>
              </w:rPr>
              <w:t>keturis</w:t>
            </w:r>
            <w:r w:rsidR="00E459F6" w:rsidRPr="00F960C0">
              <w:rPr>
                <w:iCs/>
                <w:szCs w:val="24"/>
              </w:rPr>
              <w:t xml:space="preserve"> </w:t>
            </w:r>
            <w:r w:rsidRPr="00F960C0">
              <w:rPr>
                <w:iCs/>
                <w:szCs w:val="24"/>
              </w:rPr>
              <w:t xml:space="preserve">milijonus </w:t>
            </w:r>
            <w:r w:rsidR="00E459F6">
              <w:rPr>
                <w:iCs/>
                <w:szCs w:val="24"/>
              </w:rPr>
              <w:t xml:space="preserve">du </w:t>
            </w:r>
            <w:r w:rsidRPr="00F960C0">
              <w:rPr>
                <w:iCs/>
                <w:szCs w:val="24"/>
              </w:rPr>
              <w:t xml:space="preserve">šimtus </w:t>
            </w:r>
            <w:r w:rsidR="00E459F6">
              <w:rPr>
                <w:iCs/>
                <w:szCs w:val="24"/>
              </w:rPr>
              <w:t xml:space="preserve">keturiasdešimt aštuonis </w:t>
            </w:r>
            <w:r w:rsidR="00E459F6" w:rsidRPr="00F960C0">
              <w:rPr>
                <w:iCs/>
                <w:szCs w:val="24"/>
              </w:rPr>
              <w:t>tūkstančius</w:t>
            </w:r>
            <w:r w:rsidR="00E459F6">
              <w:rPr>
                <w:iCs/>
                <w:szCs w:val="24"/>
              </w:rPr>
              <w:t xml:space="preserve"> penkis šimtus dešimt </w:t>
            </w:r>
            <w:r w:rsidRPr="00F960C0">
              <w:rPr>
                <w:iCs/>
                <w:szCs w:val="24"/>
              </w:rPr>
              <w:t>eurų</w:t>
            </w:r>
            <w:r w:rsidR="00315CE4">
              <w:rPr>
                <w:iCs/>
                <w:szCs w:val="24"/>
              </w:rPr>
              <w:t>,</w:t>
            </w:r>
            <w:r w:rsidRPr="00F960C0">
              <w:rPr>
                <w:iCs/>
                <w:szCs w:val="24"/>
              </w:rPr>
              <w:t xml:space="preserve"> 00 ct)</w:t>
            </w:r>
            <w:r w:rsidRPr="00315CE4">
              <w:rPr>
                <w:iCs/>
                <w:szCs w:val="24"/>
              </w:rPr>
              <w:t xml:space="preserve"> Lietuvos Respublikos valstybės biudžeto lėšų pridėtinės vertės mokesčiui (toliau – PVM) kompensuoti.</w:t>
            </w:r>
          </w:p>
          <w:p w14:paraId="7F7721AC" w14:textId="477EDBA8" w:rsidR="006C43F2" w:rsidRDefault="000F2108">
            <w:pPr>
              <w:suppressAutoHyphens/>
              <w:jc w:val="both"/>
            </w:pPr>
            <w:r>
              <w:rPr>
                <w:iCs/>
                <w:szCs w:val="24"/>
              </w:rPr>
              <w:t>5.1.</w:t>
            </w:r>
            <w:r w:rsidR="00016F70">
              <w:rPr>
                <w:iCs/>
                <w:szCs w:val="24"/>
              </w:rPr>
              <w:t>7</w:t>
            </w:r>
            <w:r>
              <w:rPr>
                <w:iCs/>
                <w:szCs w:val="24"/>
              </w:rPr>
              <w:t>. Didžiausia galima tinkamų finansuoti išlaidų suma pagal vieną PĮP – iki 300 000,00 Eur (trijų šimtų tūkstančių eurų</w:t>
            </w:r>
            <w:r w:rsidR="00315CE4">
              <w:rPr>
                <w:iCs/>
                <w:szCs w:val="24"/>
              </w:rPr>
              <w:t>,</w:t>
            </w:r>
            <w:r>
              <w:rPr>
                <w:iCs/>
                <w:szCs w:val="24"/>
              </w:rPr>
              <w:t xml:space="preserve"> 00 ct) EGADP lėšų.</w:t>
            </w:r>
            <w:r w:rsidR="00FA66D2">
              <w:rPr>
                <w:iCs/>
                <w:szCs w:val="24"/>
              </w:rPr>
              <w:t xml:space="preserve"> </w:t>
            </w:r>
            <w:r w:rsidR="009441C3" w:rsidRPr="00327468">
              <w:rPr>
                <w:iCs/>
                <w:szCs w:val="24"/>
              </w:rPr>
              <w:t>Pareiškėjo prašoma finansuoti</w:t>
            </w:r>
            <w:r w:rsidR="002320BE" w:rsidRPr="00327468">
              <w:rPr>
                <w:iCs/>
                <w:szCs w:val="24"/>
              </w:rPr>
              <w:t xml:space="preserve"> išlaidų suma negali būti didesnė nei pagal susiet</w:t>
            </w:r>
            <w:r w:rsidR="00497D6D" w:rsidRPr="00327468">
              <w:rPr>
                <w:iCs/>
                <w:szCs w:val="24"/>
              </w:rPr>
              <w:t xml:space="preserve">ojo projekto paraišką planuota gauti </w:t>
            </w:r>
            <w:r w:rsidR="00E74859" w:rsidRPr="00327468">
              <w:rPr>
                <w:iCs/>
                <w:szCs w:val="24"/>
              </w:rPr>
              <w:t xml:space="preserve">EK </w:t>
            </w:r>
            <w:r w:rsidR="00497D6D" w:rsidRPr="00327468">
              <w:rPr>
                <w:iCs/>
                <w:szCs w:val="24"/>
              </w:rPr>
              <w:t>dotacija</w:t>
            </w:r>
            <w:r w:rsidR="00E74859" w:rsidRPr="00327468">
              <w:rPr>
                <w:iCs/>
                <w:szCs w:val="24"/>
              </w:rPr>
              <w:t>.</w:t>
            </w:r>
          </w:p>
          <w:p w14:paraId="7F7721AD" w14:textId="68BDA5AE" w:rsidR="006C43F2" w:rsidRDefault="000F2108">
            <w:pPr>
              <w:suppressAutoHyphens/>
              <w:jc w:val="both"/>
              <w:rPr>
                <w:iCs/>
                <w:szCs w:val="24"/>
              </w:rPr>
            </w:pPr>
            <w:r>
              <w:rPr>
                <w:iCs/>
                <w:szCs w:val="24"/>
              </w:rPr>
              <w:t>5.1.</w:t>
            </w:r>
            <w:r w:rsidR="00016F70">
              <w:rPr>
                <w:iCs/>
                <w:szCs w:val="24"/>
              </w:rPr>
              <w:t>8</w:t>
            </w:r>
            <w:r>
              <w:rPr>
                <w:iCs/>
                <w:szCs w:val="24"/>
              </w:rPr>
              <w:t>. Mažiausia galima tinkamų finansuoti išlaidų suma pagal vieną PĮP:</w:t>
            </w:r>
          </w:p>
          <w:p w14:paraId="7F7721AE" w14:textId="4E89E265" w:rsidR="006C43F2" w:rsidRDefault="000F2108">
            <w:pPr>
              <w:suppressAutoHyphens/>
              <w:jc w:val="both"/>
              <w:rPr>
                <w:iCs/>
                <w:szCs w:val="24"/>
              </w:rPr>
            </w:pPr>
            <w:r>
              <w:rPr>
                <w:iCs/>
                <w:szCs w:val="24"/>
              </w:rPr>
              <w:t>5.1.</w:t>
            </w:r>
            <w:r w:rsidR="00016F70">
              <w:rPr>
                <w:iCs/>
                <w:szCs w:val="24"/>
              </w:rPr>
              <w:t>8</w:t>
            </w:r>
            <w:r>
              <w:rPr>
                <w:iCs/>
                <w:szCs w:val="24"/>
              </w:rPr>
              <w:t>.1. 50 000,00 Eur (penkiasdešimt tūkstančių eurų</w:t>
            </w:r>
            <w:r w:rsidR="004978A2">
              <w:rPr>
                <w:iCs/>
                <w:szCs w:val="24"/>
              </w:rPr>
              <w:t>,</w:t>
            </w:r>
            <w:r>
              <w:rPr>
                <w:iCs/>
                <w:szCs w:val="24"/>
              </w:rPr>
              <w:t xml:space="preserve"> 00 ct) EGADP lėšų, kai programų „Europos horizontas“ ar „Euratomas“ projekte pareiškėjas vykdo gamtos, technologijos, medicinos, sveikatos arba žemės ūkio mokslų mokslinių tyrimų ir eksperimentinės plėtros (toliau – MTEP) veiklą;</w:t>
            </w:r>
          </w:p>
          <w:p w14:paraId="7F7721AF" w14:textId="7459E59D" w:rsidR="006C43F2" w:rsidRDefault="000F2108">
            <w:pPr>
              <w:suppressAutoHyphens/>
              <w:jc w:val="both"/>
              <w:rPr>
                <w:iCs/>
                <w:szCs w:val="24"/>
              </w:rPr>
            </w:pPr>
            <w:r>
              <w:rPr>
                <w:iCs/>
                <w:szCs w:val="24"/>
              </w:rPr>
              <w:t>5.1.</w:t>
            </w:r>
            <w:r w:rsidR="00016F70">
              <w:rPr>
                <w:iCs/>
                <w:szCs w:val="24"/>
              </w:rPr>
              <w:t>8</w:t>
            </w:r>
            <w:r>
              <w:rPr>
                <w:iCs/>
                <w:szCs w:val="24"/>
              </w:rPr>
              <w:t xml:space="preserve">.2. </w:t>
            </w:r>
            <w:r w:rsidR="0091640E" w:rsidRPr="00327468">
              <w:rPr>
                <w:iCs/>
                <w:szCs w:val="24"/>
              </w:rPr>
              <w:t>1</w:t>
            </w:r>
            <w:r w:rsidR="005A0D62" w:rsidRPr="00327468">
              <w:rPr>
                <w:iCs/>
                <w:szCs w:val="24"/>
              </w:rPr>
              <w:t>0</w:t>
            </w:r>
            <w:r w:rsidR="0091640E" w:rsidRPr="00327468">
              <w:rPr>
                <w:iCs/>
                <w:szCs w:val="24"/>
              </w:rPr>
              <w:t> </w:t>
            </w:r>
            <w:r w:rsidRPr="00327468">
              <w:rPr>
                <w:iCs/>
                <w:szCs w:val="24"/>
              </w:rPr>
              <w:t>000,00</w:t>
            </w:r>
            <w:r>
              <w:rPr>
                <w:iCs/>
                <w:szCs w:val="24"/>
              </w:rPr>
              <w:t xml:space="preserve"> Eur (dešimt tūkstančių eurų</w:t>
            </w:r>
            <w:r w:rsidR="005217BF">
              <w:rPr>
                <w:iCs/>
                <w:szCs w:val="24"/>
              </w:rPr>
              <w:t>,</w:t>
            </w:r>
            <w:r>
              <w:rPr>
                <w:iCs/>
                <w:szCs w:val="24"/>
              </w:rPr>
              <w:t xml:space="preserve"> 00 ct) EGADP lėšų, kai programų „Europos horizontas“ ar „Euratomas“ projekte pareiškėjas vykdo humanitarinių arba socialinių mokslų MTEP veiklą.</w:t>
            </w:r>
          </w:p>
          <w:p w14:paraId="7F7721B0" w14:textId="37CA9DB7" w:rsidR="006C43F2" w:rsidRDefault="000F2108">
            <w:pPr>
              <w:suppressAutoHyphens/>
              <w:jc w:val="both"/>
              <w:rPr>
                <w:iCs/>
                <w:szCs w:val="24"/>
              </w:rPr>
            </w:pPr>
            <w:r>
              <w:rPr>
                <w:iCs/>
                <w:szCs w:val="24"/>
              </w:rPr>
              <w:t>5.1</w:t>
            </w:r>
            <w:r w:rsidR="008513B9">
              <w:rPr>
                <w:iCs/>
                <w:szCs w:val="24"/>
              </w:rPr>
              <w:t>.</w:t>
            </w:r>
            <w:r w:rsidR="00016F70">
              <w:rPr>
                <w:iCs/>
                <w:szCs w:val="24"/>
              </w:rPr>
              <w:t>9</w:t>
            </w:r>
            <w:r>
              <w:rPr>
                <w:iCs/>
                <w:szCs w:val="24"/>
              </w:rPr>
              <w:t>. Didžiausia galima projekto veiklos finansuojamoji dalis sudaro 100 proc. visų tinkamų finansuoti išlaidų.</w:t>
            </w:r>
          </w:p>
          <w:p w14:paraId="7F7721B1" w14:textId="73113BAF" w:rsidR="006C43F2" w:rsidRDefault="000F2108">
            <w:pPr>
              <w:suppressAutoHyphens/>
              <w:jc w:val="both"/>
              <w:rPr>
                <w:iCs/>
                <w:szCs w:val="24"/>
              </w:rPr>
            </w:pPr>
            <w:r>
              <w:rPr>
                <w:iCs/>
                <w:szCs w:val="24"/>
              </w:rPr>
              <w:t>5.1.</w:t>
            </w:r>
            <w:r w:rsidR="00016F70">
              <w:rPr>
                <w:iCs/>
                <w:szCs w:val="24"/>
              </w:rPr>
              <w:t>10</w:t>
            </w:r>
            <w:r>
              <w:rPr>
                <w:iCs/>
                <w:szCs w:val="24"/>
              </w:rPr>
              <w:t>. Projektas turi būti pradėtas įgyvendinti ne vėliau kaip per 1 (vieną) mėnesį nuo projekto sutarties pasirašymo dienos.</w:t>
            </w:r>
          </w:p>
          <w:p w14:paraId="7F7721B2" w14:textId="12A5CEBC" w:rsidR="006C43F2" w:rsidRDefault="000F2108">
            <w:pPr>
              <w:suppressAutoHyphens/>
              <w:jc w:val="both"/>
              <w:rPr>
                <w:iCs/>
                <w:szCs w:val="24"/>
              </w:rPr>
            </w:pPr>
            <w:r>
              <w:rPr>
                <w:iCs/>
                <w:szCs w:val="24"/>
              </w:rPr>
              <w:t>5.1.</w:t>
            </w:r>
            <w:r w:rsidR="008513B9">
              <w:rPr>
                <w:iCs/>
                <w:szCs w:val="24"/>
              </w:rPr>
              <w:t>1</w:t>
            </w:r>
            <w:r w:rsidR="00016F70">
              <w:rPr>
                <w:iCs/>
                <w:szCs w:val="24"/>
              </w:rPr>
              <w:t>1</w:t>
            </w:r>
            <w:r>
              <w:rPr>
                <w:iCs/>
                <w:szCs w:val="24"/>
              </w:rPr>
              <w:t xml:space="preserve">. Projektai turi būti baigti įgyvendinti ne vėliau kaip iki 2026 m. </w:t>
            </w:r>
            <w:r w:rsidR="002176D7">
              <w:rPr>
                <w:iCs/>
                <w:szCs w:val="24"/>
              </w:rPr>
              <w:t>birželio 1</w:t>
            </w:r>
            <w:r w:rsidR="00670866">
              <w:rPr>
                <w:iCs/>
                <w:szCs w:val="24"/>
              </w:rPr>
              <w:t xml:space="preserve"> </w:t>
            </w:r>
            <w:r>
              <w:rPr>
                <w:iCs/>
                <w:szCs w:val="24"/>
              </w:rPr>
              <w:t>d.</w:t>
            </w:r>
          </w:p>
          <w:p w14:paraId="7F7721B3" w14:textId="7DF8C56E" w:rsidR="006C43F2" w:rsidRDefault="000F2108">
            <w:pPr>
              <w:suppressAutoHyphens/>
              <w:jc w:val="both"/>
              <w:rPr>
                <w:iCs/>
                <w:szCs w:val="24"/>
              </w:rPr>
            </w:pPr>
            <w:r>
              <w:rPr>
                <w:iCs/>
                <w:szCs w:val="24"/>
              </w:rPr>
              <w:t>5.1.</w:t>
            </w:r>
            <w:r w:rsidR="008513B9">
              <w:rPr>
                <w:iCs/>
                <w:szCs w:val="24"/>
              </w:rPr>
              <w:t>1</w:t>
            </w:r>
            <w:r w:rsidR="00016F70">
              <w:rPr>
                <w:iCs/>
                <w:szCs w:val="24"/>
              </w:rPr>
              <w:t>2</w:t>
            </w:r>
            <w:r>
              <w:rPr>
                <w:iCs/>
                <w:szCs w:val="24"/>
              </w:rPr>
              <w:t>. Projekto įgyvendinimo metu turi būti įgyvendintos privalomos projektų matomumo ir informavimo apie projektus priemonės pagal Projektų administravimo ir finansavimo taisyklių 341.1–341.4 papunkčiuose nustatytus reikalavimus.</w:t>
            </w:r>
          </w:p>
          <w:p w14:paraId="7F7721B4" w14:textId="4BBB0392" w:rsidR="006C43F2" w:rsidRDefault="000F2108">
            <w:pPr>
              <w:suppressAutoHyphens/>
              <w:jc w:val="both"/>
            </w:pPr>
            <w:r>
              <w:rPr>
                <w:iCs/>
                <w:szCs w:val="24"/>
              </w:rPr>
              <w:t>5.1.</w:t>
            </w:r>
            <w:r w:rsidR="008513B9">
              <w:rPr>
                <w:iCs/>
                <w:szCs w:val="24"/>
              </w:rPr>
              <w:t>1</w:t>
            </w:r>
            <w:r w:rsidR="00016F70">
              <w:rPr>
                <w:iCs/>
                <w:szCs w:val="24"/>
              </w:rPr>
              <w:t>3</w:t>
            </w:r>
            <w:r>
              <w:rPr>
                <w:iCs/>
                <w:szCs w:val="24"/>
              </w:rPr>
              <w:t xml:space="preserve">. Projektu privaloma siekti produkto rodiklio </w:t>
            </w:r>
            <w:r w:rsidR="00111093">
              <w:rPr>
                <w:iCs/>
                <w:szCs w:val="24"/>
              </w:rPr>
              <w:t>P</w:t>
            </w:r>
            <w:r>
              <w:rPr>
                <w:iCs/>
                <w:szCs w:val="24"/>
              </w:rPr>
              <w:t>-12-001-01-02-01-14 „</w:t>
            </w:r>
            <w:r w:rsidRPr="00327468">
              <w:rPr>
                <w:iCs/>
                <w:szCs w:val="24"/>
              </w:rPr>
              <w:t>Finansuoti projektai ir konsultavimo paslaugos mokslo ir studijų institucijų ir mažų ir vidutinių įmonių potencialiems programos „Europos horizontas“ pareiškėjams</w:t>
            </w:r>
            <w:r>
              <w:rPr>
                <w:iCs/>
                <w:szCs w:val="24"/>
              </w:rPr>
              <w:t>“; minimali siektina reikšmė – 1 vnt.</w:t>
            </w:r>
            <w:r w:rsidR="009C2B61">
              <w:rPr>
                <w:iCs/>
                <w:szCs w:val="24"/>
              </w:rPr>
              <w:t xml:space="preserve"> </w:t>
            </w:r>
          </w:p>
        </w:tc>
      </w:tr>
      <w:tr w:rsidR="006C43F2" w14:paraId="7F7721C3" w14:textId="77777777">
        <w:trPr>
          <w:trHeight w:val="841"/>
        </w:trPr>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B6" w14:textId="5B49B1E8" w:rsidR="006C43F2" w:rsidRDefault="000F2108">
            <w:pPr>
              <w:suppressAutoHyphens/>
              <w:jc w:val="both"/>
            </w:pPr>
            <w:r>
              <w:rPr>
                <w:szCs w:val="24"/>
              </w:rPr>
              <w:t>5.2.</w:t>
            </w:r>
            <w:r>
              <w:rPr>
                <w:i/>
                <w:iCs/>
                <w:szCs w:val="24"/>
              </w:rPr>
              <w:t xml:space="preserve"> </w:t>
            </w:r>
            <w:r>
              <w:rPr>
                <w:szCs w:val="24"/>
              </w:rPr>
              <w:t>Reikalavimai pareiškėjams:</w:t>
            </w:r>
          </w:p>
          <w:p w14:paraId="252616CF" w14:textId="19A9AC3B" w:rsidR="002B402A" w:rsidRDefault="000F2108" w:rsidP="00DF5412">
            <w:pPr>
              <w:suppressAutoHyphens/>
              <w:jc w:val="both"/>
            </w:pPr>
            <w:r>
              <w:rPr>
                <w:bCs/>
                <w:szCs w:val="24"/>
              </w:rPr>
              <w:t xml:space="preserve">5.2.1. Galimi pareiškėjai – Lietuvos valstybinės mokslo ir studijų institucijos, įtrauktos į Atviros informavimo, konsultavimo ir orientavimo sistemos registrą (toliau – MSI), PĮP pagrindžiančios investicijų į įrangą sąsają su </w:t>
            </w:r>
            <w:r w:rsidR="00296DEA">
              <w:rPr>
                <w:bCs/>
                <w:szCs w:val="24"/>
              </w:rPr>
              <w:t xml:space="preserve">susietojo </w:t>
            </w:r>
            <w:r w:rsidR="00B51731">
              <w:rPr>
                <w:bCs/>
                <w:szCs w:val="24"/>
              </w:rPr>
              <w:t>projekto paraiška</w:t>
            </w:r>
            <w:r w:rsidR="005C79F0">
              <w:rPr>
                <w:bCs/>
                <w:szCs w:val="24"/>
              </w:rPr>
              <w:t xml:space="preserve"> ir </w:t>
            </w:r>
            <w:r w:rsidR="0090572B">
              <w:rPr>
                <w:bCs/>
                <w:szCs w:val="24"/>
              </w:rPr>
              <w:t xml:space="preserve">yra </w:t>
            </w:r>
            <w:r w:rsidR="00673D07" w:rsidRPr="00DF5412">
              <w:t>susietojo projekto paraiškos konsorciumo koordinator</w:t>
            </w:r>
            <w:r w:rsidR="00496C2E">
              <w:t>ė</w:t>
            </w:r>
            <w:r w:rsidR="00176C3F">
              <w:t>s</w:t>
            </w:r>
            <w:r w:rsidR="00673D07" w:rsidRPr="00DF5412">
              <w:t xml:space="preserve"> arba konsorciumo partner</w:t>
            </w:r>
            <w:r w:rsidR="00496C2E">
              <w:t>ė</w:t>
            </w:r>
            <w:r w:rsidR="00176C3F">
              <w:t>s</w:t>
            </w:r>
            <w:r w:rsidR="00673D07" w:rsidRPr="00DF5412">
              <w:t xml:space="preserve"> (išskyrus asocijuot</w:t>
            </w:r>
            <w:r w:rsidR="00176C3F">
              <w:t>us</w:t>
            </w:r>
            <w:r w:rsidR="00673D07" w:rsidRPr="00DF5412">
              <w:t xml:space="preserve"> arba afilijuot</w:t>
            </w:r>
            <w:r w:rsidR="00176C3F">
              <w:t xml:space="preserve">us </w:t>
            </w:r>
            <w:r w:rsidR="00673D07" w:rsidRPr="00DF5412">
              <w:t>partner</w:t>
            </w:r>
            <w:r w:rsidR="00176C3F">
              <w:t>ius</w:t>
            </w:r>
            <w:r w:rsidR="00673D07" w:rsidRPr="00DF5412">
              <w:t>), arba vienintel</w:t>
            </w:r>
            <w:r w:rsidR="00176C3F">
              <w:t>ės</w:t>
            </w:r>
            <w:r w:rsidR="00673D07" w:rsidRPr="00DF5412">
              <w:t xml:space="preserve"> tokios paramos gavėj</w:t>
            </w:r>
            <w:r w:rsidR="00176C3F">
              <w:t>os</w:t>
            </w:r>
            <w:r w:rsidR="00673D07" w:rsidRPr="00DF5412">
              <w:t xml:space="preserve"> (angl. </w:t>
            </w:r>
            <w:r w:rsidR="00673D07" w:rsidRPr="00234A5F">
              <w:rPr>
                <w:i/>
                <w:iCs/>
              </w:rPr>
              <w:t>monobeneficiary</w:t>
            </w:r>
            <w:r w:rsidR="00673D07" w:rsidRPr="00DF5412">
              <w:t>) pagal 5.1.2 papunktyje nurodytus kvietimus</w:t>
            </w:r>
            <w:r w:rsidR="00673D07">
              <w:t>.</w:t>
            </w:r>
          </w:p>
          <w:p w14:paraId="7F7721BA" w14:textId="40231647" w:rsidR="006C43F2" w:rsidRDefault="000F2108">
            <w:pPr>
              <w:suppressAutoHyphens/>
              <w:jc w:val="both"/>
            </w:pPr>
            <w:r w:rsidRPr="005C79F0">
              <w:rPr>
                <w:bCs/>
                <w:szCs w:val="24"/>
              </w:rPr>
              <w:t xml:space="preserve">5.2.2. </w:t>
            </w:r>
            <w:r w:rsidRPr="005C79F0">
              <w:rPr>
                <w:szCs w:val="24"/>
              </w:rPr>
              <w:t xml:space="preserve">Programos „Europos horizontas“ ir programos „Euratomas“ bendro finansavimo (angl. </w:t>
            </w:r>
            <w:r w:rsidRPr="005C79F0">
              <w:rPr>
                <w:i/>
                <w:iCs/>
                <w:szCs w:val="24"/>
              </w:rPr>
              <w:t>co-fund</w:t>
            </w:r>
            <w:r w:rsidRPr="005C79F0">
              <w:rPr>
                <w:szCs w:val="24"/>
              </w:rPr>
              <w:t>)</w:t>
            </w:r>
            <w:r w:rsidR="002F5D4A">
              <w:rPr>
                <w:szCs w:val="24"/>
              </w:rPr>
              <w:t xml:space="preserve"> projektų paraiškos</w:t>
            </w:r>
            <w:r w:rsidR="0032618F" w:rsidRPr="00234A5F">
              <w:rPr>
                <w:szCs w:val="24"/>
              </w:rPr>
              <w:t>,</w:t>
            </w:r>
            <w:r w:rsidRPr="005C79F0">
              <w:rPr>
                <w:szCs w:val="24"/>
              </w:rPr>
              <w:t xml:space="preserve"> koordinavimo ir paramos veiksmo (angl. </w:t>
            </w:r>
            <w:r w:rsidRPr="005C79F0">
              <w:rPr>
                <w:i/>
                <w:iCs/>
                <w:szCs w:val="24"/>
              </w:rPr>
              <w:t>Coordination and support actions</w:t>
            </w:r>
            <w:r w:rsidRPr="005C79F0">
              <w:rPr>
                <w:szCs w:val="24"/>
              </w:rPr>
              <w:t xml:space="preserve">, </w:t>
            </w:r>
            <w:r w:rsidRPr="005C79F0">
              <w:rPr>
                <w:i/>
                <w:iCs/>
                <w:szCs w:val="24"/>
              </w:rPr>
              <w:t>CSA</w:t>
            </w:r>
            <w:r w:rsidRPr="005C79F0">
              <w:rPr>
                <w:szCs w:val="24"/>
              </w:rPr>
              <w:t xml:space="preserve">) </w:t>
            </w:r>
            <w:r w:rsidR="009E20B1">
              <w:rPr>
                <w:szCs w:val="24"/>
              </w:rPr>
              <w:t>bei</w:t>
            </w:r>
            <w:r w:rsidR="00D23E96">
              <w:rPr>
                <w:szCs w:val="24"/>
              </w:rPr>
              <w:t xml:space="preserve"> </w:t>
            </w:r>
            <w:r w:rsidR="006B67AE" w:rsidRPr="00234A5F">
              <w:rPr>
                <w:szCs w:val="24"/>
              </w:rPr>
              <w:t>Europos mokslinių tyrimų erdvės stipendij</w:t>
            </w:r>
            <w:r w:rsidR="005745C9">
              <w:rPr>
                <w:szCs w:val="24"/>
              </w:rPr>
              <w:t>om</w:t>
            </w:r>
            <w:r w:rsidR="006B67AE" w:rsidRPr="00234A5F">
              <w:rPr>
                <w:szCs w:val="24"/>
              </w:rPr>
              <w:t xml:space="preserve">s (ang. </w:t>
            </w:r>
            <w:r w:rsidR="006B67AE" w:rsidRPr="00234A5F">
              <w:rPr>
                <w:i/>
                <w:iCs/>
                <w:szCs w:val="24"/>
              </w:rPr>
              <w:t>ERA fellowship</w:t>
            </w:r>
            <w:r w:rsidR="00E20705" w:rsidRPr="00234A5F">
              <w:rPr>
                <w:i/>
                <w:iCs/>
                <w:szCs w:val="24"/>
              </w:rPr>
              <w:t>s</w:t>
            </w:r>
            <w:r w:rsidR="006B67AE" w:rsidRPr="00234A5F">
              <w:rPr>
                <w:szCs w:val="24"/>
              </w:rPr>
              <w:t xml:space="preserve">) teiktos projektų paraiškos </w:t>
            </w:r>
            <w:r w:rsidRPr="005C79F0">
              <w:rPr>
                <w:szCs w:val="24"/>
              </w:rPr>
              <w:t xml:space="preserve">nėra </w:t>
            </w:r>
            <w:r w:rsidR="0032618F" w:rsidRPr="005C79F0">
              <w:rPr>
                <w:szCs w:val="24"/>
              </w:rPr>
              <w:t>tinkam</w:t>
            </w:r>
            <w:r w:rsidR="0032618F" w:rsidRPr="00234A5F">
              <w:rPr>
                <w:szCs w:val="24"/>
              </w:rPr>
              <w:t>os</w:t>
            </w:r>
            <w:r w:rsidR="0032618F" w:rsidRPr="005C79F0">
              <w:rPr>
                <w:szCs w:val="24"/>
              </w:rPr>
              <w:t xml:space="preserve"> </w:t>
            </w:r>
            <w:r w:rsidRPr="005C79F0">
              <w:rPr>
                <w:szCs w:val="24"/>
              </w:rPr>
              <w:t>pagrįsti sąsajai su įrangai atnaujinti skirtomis veiklomis.</w:t>
            </w:r>
            <w:r>
              <w:rPr>
                <w:bCs/>
                <w:szCs w:val="24"/>
              </w:rPr>
              <w:t xml:space="preserve"> </w:t>
            </w:r>
          </w:p>
          <w:p w14:paraId="7F7721BB" w14:textId="77777777" w:rsidR="006C43F2" w:rsidRDefault="000F2108">
            <w:pPr>
              <w:suppressAutoHyphens/>
              <w:jc w:val="both"/>
              <w:rPr>
                <w:bCs/>
                <w:szCs w:val="24"/>
              </w:rPr>
            </w:pPr>
            <w:r>
              <w:rPr>
                <w:bCs/>
                <w:szCs w:val="24"/>
              </w:rPr>
              <w:t>5.2.3. Pagal Aprašą pareiškėjas gali teikti daugiau nei vieną PĮP.</w:t>
            </w:r>
          </w:p>
          <w:p w14:paraId="7F7721BC" w14:textId="4777231C" w:rsidR="006C43F2" w:rsidRDefault="000F2108">
            <w:pPr>
              <w:suppressAutoHyphens/>
              <w:jc w:val="both"/>
              <w:rPr>
                <w:bCs/>
                <w:szCs w:val="24"/>
              </w:rPr>
            </w:pPr>
            <w:r>
              <w:rPr>
                <w:bCs/>
                <w:szCs w:val="24"/>
              </w:rPr>
              <w:t>5.2.4. Pagal Aprašą pareiškėjas gali teikti tik vieną PĮP, susietą su konkreči</w:t>
            </w:r>
            <w:r w:rsidR="00133F6F">
              <w:rPr>
                <w:bCs/>
                <w:szCs w:val="24"/>
              </w:rPr>
              <w:t>a</w:t>
            </w:r>
            <w:r w:rsidR="00E15015">
              <w:rPr>
                <w:bCs/>
                <w:szCs w:val="24"/>
              </w:rPr>
              <w:t xml:space="preserve"> susie</w:t>
            </w:r>
            <w:r w:rsidR="002937D9">
              <w:rPr>
                <w:bCs/>
                <w:szCs w:val="24"/>
              </w:rPr>
              <w:t xml:space="preserve">tojo </w:t>
            </w:r>
            <w:r>
              <w:rPr>
                <w:bCs/>
                <w:szCs w:val="24"/>
              </w:rPr>
              <w:t>projekt</w:t>
            </w:r>
            <w:r w:rsidR="00EA5ED3">
              <w:rPr>
                <w:bCs/>
                <w:szCs w:val="24"/>
              </w:rPr>
              <w:t>o paraiška</w:t>
            </w:r>
            <w:r>
              <w:rPr>
                <w:bCs/>
                <w:szCs w:val="24"/>
              </w:rPr>
              <w:t xml:space="preserve">. </w:t>
            </w:r>
            <w:r w:rsidRPr="00FF5FF0">
              <w:rPr>
                <w:bCs/>
                <w:szCs w:val="24"/>
              </w:rPr>
              <w:t xml:space="preserve">Jeigu </w:t>
            </w:r>
            <w:r w:rsidR="00750837" w:rsidRPr="00FF5FF0">
              <w:rPr>
                <w:bCs/>
                <w:szCs w:val="24"/>
              </w:rPr>
              <w:t>susietojo</w:t>
            </w:r>
            <w:r w:rsidRPr="00FF5FF0">
              <w:rPr>
                <w:bCs/>
                <w:szCs w:val="24"/>
              </w:rPr>
              <w:t xml:space="preserve"> projekt</w:t>
            </w:r>
            <w:r w:rsidR="0008443D" w:rsidRPr="00FF5FF0">
              <w:rPr>
                <w:bCs/>
                <w:szCs w:val="24"/>
              </w:rPr>
              <w:t>o paraišk</w:t>
            </w:r>
            <w:r w:rsidR="00FF5FF0" w:rsidRPr="00FF5FF0">
              <w:rPr>
                <w:bCs/>
                <w:szCs w:val="24"/>
              </w:rPr>
              <w:t>oje</w:t>
            </w:r>
            <w:r w:rsidRPr="00FF5FF0">
              <w:rPr>
                <w:bCs/>
                <w:szCs w:val="24"/>
              </w:rPr>
              <w:t xml:space="preserve"> </w:t>
            </w:r>
            <w:r w:rsidR="0008443D" w:rsidRPr="00FF5FF0">
              <w:rPr>
                <w:bCs/>
                <w:szCs w:val="24"/>
              </w:rPr>
              <w:t xml:space="preserve">dalyvavo </w:t>
            </w:r>
            <w:r w:rsidRPr="00FF5FF0">
              <w:rPr>
                <w:bCs/>
                <w:szCs w:val="24"/>
              </w:rPr>
              <w:t xml:space="preserve">daugiau nei viena </w:t>
            </w:r>
            <w:r w:rsidR="00931E57" w:rsidRPr="00FF5FF0">
              <w:rPr>
                <w:bCs/>
                <w:szCs w:val="24"/>
              </w:rPr>
              <w:t>MSI</w:t>
            </w:r>
            <w:r w:rsidRPr="00FF5FF0">
              <w:rPr>
                <w:bCs/>
                <w:szCs w:val="24"/>
              </w:rPr>
              <w:t xml:space="preserve">, atitinkanti pareiškėjui keliamus reikalavimus, tokios </w:t>
            </w:r>
            <w:r w:rsidR="00931E57" w:rsidRPr="00234A5F">
              <w:rPr>
                <w:bCs/>
                <w:szCs w:val="24"/>
              </w:rPr>
              <w:t>MSI</w:t>
            </w:r>
            <w:r w:rsidRPr="00FF5FF0">
              <w:rPr>
                <w:bCs/>
                <w:szCs w:val="24"/>
              </w:rPr>
              <w:t xml:space="preserve"> pagal Aprašą gali teikti atskirus PĮP.</w:t>
            </w:r>
          </w:p>
          <w:p w14:paraId="7F7721BD" w14:textId="1CAB297B" w:rsidR="006C43F2" w:rsidRDefault="000F2108">
            <w:pPr>
              <w:suppressAutoHyphens/>
              <w:jc w:val="both"/>
            </w:pPr>
            <w:r>
              <w:rPr>
                <w:bCs/>
                <w:szCs w:val="24"/>
              </w:rPr>
              <w:t>5.2.5. PĮP gali būti nurodoma sąsaja tik su vien</w:t>
            </w:r>
            <w:r w:rsidR="00B159B8">
              <w:rPr>
                <w:bCs/>
                <w:szCs w:val="24"/>
              </w:rPr>
              <w:t>a</w:t>
            </w:r>
            <w:r>
              <w:rPr>
                <w:bCs/>
                <w:szCs w:val="24"/>
              </w:rPr>
              <w:t xml:space="preserve"> </w:t>
            </w:r>
            <w:r w:rsidR="001C057D">
              <w:rPr>
                <w:bCs/>
                <w:szCs w:val="24"/>
              </w:rPr>
              <w:t>susietojo</w:t>
            </w:r>
            <w:r>
              <w:rPr>
                <w:bCs/>
                <w:szCs w:val="24"/>
              </w:rPr>
              <w:t xml:space="preserve"> projekt</w:t>
            </w:r>
            <w:r w:rsidR="00B159B8">
              <w:rPr>
                <w:bCs/>
                <w:szCs w:val="24"/>
              </w:rPr>
              <w:t>o paraiška</w:t>
            </w:r>
            <w:r>
              <w:rPr>
                <w:bCs/>
                <w:szCs w:val="24"/>
              </w:rPr>
              <w:t>.</w:t>
            </w:r>
          </w:p>
          <w:p w14:paraId="7F7721BE" w14:textId="77777777" w:rsidR="006C43F2" w:rsidRDefault="000F2108">
            <w:pPr>
              <w:suppressAutoHyphens/>
              <w:jc w:val="both"/>
              <w:rPr>
                <w:bCs/>
                <w:szCs w:val="24"/>
              </w:rPr>
            </w:pPr>
            <w:r>
              <w:rPr>
                <w:bCs/>
                <w:szCs w:val="24"/>
              </w:rPr>
              <w:t>5.2.6. Pareiškėjas, teikdamas PĮP, turi pateikti:</w:t>
            </w:r>
          </w:p>
          <w:p w14:paraId="7F7721BF" w14:textId="711F322A" w:rsidR="006C43F2" w:rsidRDefault="000F2108">
            <w:pPr>
              <w:suppressAutoHyphens/>
              <w:jc w:val="both"/>
              <w:rPr>
                <w:bCs/>
                <w:szCs w:val="24"/>
              </w:rPr>
            </w:pPr>
            <w:r>
              <w:rPr>
                <w:bCs/>
                <w:szCs w:val="24"/>
              </w:rPr>
              <w:t xml:space="preserve">5.2.6.1. dokumentus, jų kopijas arba kitą informaciją, įrodančią, kad pareiškėjas atitinka Aprašo </w:t>
            </w:r>
            <w:r w:rsidR="00016F70">
              <w:rPr>
                <w:bCs/>
                <w:szCs w:val="24"/>
              </w:rPr>
              <w:t>5.2.1</w:t>
            </w:r>
            <w:r>
              <w:rPr>
                <w:bCs/>
                <w:szCs w:val="24"/>
              </w:rPr>
              <w:t xml:space="preserve"> papunktyje nurodytas sąlygas;</w:t>
            </w:r>
          </w:p>
          <w:p w14:paraId="7F7721C0" w14:textId="571A852D" w:rsidR="006C43F2" w:rsidRDefault="000F2108">
            <w:pPr>
              <w:suppressAutoHyphens/>
              <w:jc w:val="both"/>
              <w:rPr>
                <w:bCs/>
                <w:szCs w:val="24"/>
              </w:rPr>
            </w:pPr>
            <w:r>
              <w:rPr>
                <w:bCs/>
                <w:szCs w:val="24"/>
              </w:rPr>
              <w:t xml:space="preserve">5.2.6.2. informaciją, pagrindžiančią MSI mokslo laboratorijos ar kitos mokslo infrastruktūros, į kurios įrangą planuojama investuoti, sąsają su </w:t>
            </w:r>
            <w:r w:rsidR="00AD5135">
              <w:rPr>
                <w:bCs/>
                <w:szCs w:val="24"/>
              </w:rPr>
              <w:t>susietojo</w:t>
            </w:r>
            <w:r>
              <w:rPr>
                <w:bCs/>
                <w:szCs w:val="24"/>
              </w:rPr>
              <w:t xml:space="preserve"> projekt</w:t>
            </w:r>
            <w:r w:rsidR="00B159B8">
              <w:rPr>
                <w:bCs/>
                <w:szCs w:val="24"/>
              </w:rPr>
              <w:t>o paraiška</w:t>
            </w:r>
            <w:r>
              <w:rPr>
                <w:bCs/>
                <w:szCs w:val="24"/>
              </w:rPr>
              <w:t xml:space="preserve"> ir naujos įrangos įsigijimo ar jos atnaujinimo poreikį;</w:t>
            </w:r>
          </w:p>
          <w:p w14:paraId="3BCC0B13" w14:textId="29398E3A" w:rsidR="00BB1A96" w:rsidRDefault="00BB1A96" w:rsidP="006E1A0E">
            <w:pPr>
              <w:suppressAutoHyphens/>
              <w:jc w:val="both"/>
              <w:rPr>
                <w:bCs/>
                <w:szCs w:val="24"/>
              </w:rPr>
            </w:pPr>
            <w:r>
              <w:rPr>
                <w:bCs/>
                <w:szCs w:val="24"/>
              </w:rPr>
              <w:t xml:space="preserve">5.2.6.3. </w:t>
            </w:r>
            <w:r w:rsidR="006E1A0E" w:rsidRPr="006E1A0E">
              <w:rPr>
                <w:bCs/>
                <w:szCs w:val="24"/>
              </w:rPr>
              <w:t>informaciją, reikalingą projekto atitikčiai prioritetiniams projektų atrankos kriterijams įvertinti</w:t>
            </w:r>
            <w:r w:rsidR="006E1A0E">
              <w:rPr>
                <w:bCs/>
                <w:szCs w:val="24"/>
              </w:rPr>
              <w:t>;</w:t>
            </w:r>
          </w:p>
          <w:p w14:paraId="7F7721C1" w14:textId="22DBC8EE" w:rsidR="006C43F2" w:rsidRDefault="000F2108">
            <w:pPr>
              <w:suppressAutoHyphens/>
              <w:jc w:val="both"/>
              <w:rPr>
                <w:bCs/>
                <w:szCs w:val="24"/>
              </w:rPr>
            </w:pPr>
            <w:r>
              <w:rPr>
                <w:bCs/>
                <w:szCs w:val="24"/>
              </w:rPr>
              <w:t>5.2.6.</w:t>
            </w:r>
            <w:r w:rsidR="00665978" w:rsidRPr="00234A5F">
              <w:rPr>
                <w:bCs/>
                <w:szCs w:val="24"/>
              </w:rPr>
              <w:t>4</w:t>
            </w:r>
            <w:r>
              <w:rPr>
                <w:bCs/>
                <w:szCs w:val="24"/>
              </w:rPr>
              <w:t>. dokumentus, pagrindžiančius projekto biudžeto pagrįstumą (komerciniai pasiūlymai, nuorodos į rinkos esančias kainas ir kita);</w:t>
            </w:r>
          </w:p>
          <w:p w14:paraId="20D5F131" w14:textId="05C25798" w:rsidR="006C43F2" w:rsidRDefault="000F2108">
            <w:pPr>
              <w:suppressAutoHyphens/>
              <w:jc w:val="both"/>
              <w:rPr>
                <w:iCs/>
                <w:szCs w:val="24"/>
              </w:rPr>
            </w:pPr>
            <w:r>
              <w:rPr>
                <w:bCs/>
                <w:szCs w:val="24"/>
              </w:rPr>
              <w:t>5.2.6.</w:t>
            </w:r>
            <w:r w:rsidR="00665978">
              <w:rPr>
                <w:bCs/>
                <w:szCs w:val="24"/>
              </w:rPr>
              <w:t>5</w:t>
            </w:r>
            <w:r>
              <w:rPr>
                <w:bCs/>
                <w:szCs w:val="24"/>
              </w:rPr>
              <w:t xml:space="preserve">. </w:t>
            </w:r>
            <w:r w:rsidR="00CC2BC3">
              <w:rPr>
                <w:bCs/>
                <w:szCs w:val="24"/>
              </w:rPr>
              <w:t>l</w:t>
            </w:r>
            <w:r>
              <w:rPr>
                <w:bCs/>
                <w:szCs w:val="24"/>
              </w:rPr>
              <w:t xml:space="preserve">aisvos formos pagrindimą, kad projektui teikiamas finansavimas nebus valstybės pagalba, kuri </w:t>
            </w:r>
            <w:r>
              <w:rPr>
                <w:iCs/>
                <w:szCs w:val="24"/>
              </w:rPr>
              <w:t>atitiktų 2023 m. gruodžio 13 d. Komisijos reglamento</w:t>
            </w:r>
            <w:r w:rsidR="00244304" w:rsidRPr="00244304">
              <w:rPr>
                <w:iCs/>
                <w:color w:val="000000" w:themeColor="text1"/>
                <w:szCs w:val="24"/>
              </w:rPr>
              <w:t xml:space="preserve"> </w:t>
            </w:r>
            <w:r w:rsidR="00244304" w:rsidRPr="00D01F4B">
              <w:rPr>
                <w:iCs/>
                <w:color w:val="000000" w:themeColor="text1"/>
                <w:szCs w:val="24"/>
              </w:rPr>
              <w:t>(ES) 2023/2831</w:t>
            </w:r>
            <w:r w:rsidRPr="00D01F4B">
              <w:rPr>
                <w:iCs/>
                <w:color w:val="000000" w:themeColor="text1"/>
                <w:szCs w:val="24"/>
              </w:rPr>
              <w:t xml:space="preserve"> </w:t>
            </w:r>
            <w:r>
              <w:rPr>
                <w:iCs/>
                <w:szCs w:val="24"/>
              </w:rPr>
              <w:t xml:space="preserve">dėl Sutarties dėl Europos Sąjungos veikimo 107 ir 108 straipsnių taikymo </w:t>
            </w:r>
            <w:r>
              <w:rPr>
                <w:i/>
                <w:iCs/>
                <w:szCs w:val="24"/>
              </w:rPr>
              <w:t>de minimis</w:t>
            </w:r>
            <w:r>
              <w:rPr>
                <w:iCs/>
                <w:szCs w:val="24"/>
              </w:rPr>
              <w:t xml:space="preserve"> pagalbai nuostatas</w:t>
            </w:r>
            <w:r w:rsidR="00F36805">
              <w:rPr>
                <w:iCs/>
                <w:szCs w:val="24"/>
              </w:rPr>
              <w:t>;</w:t>
            </w:r>
            <w:r>
              <w:rPr>
                <w:iCs/>
                <w:szCs w:val="24"/>
              </w:rPr>
              <w:t xml:space="preserve"> </w:t>
            </w:r>
          </w:p>
          <w:p w14:paraId="7F7721C2" w14:textId="2137DF06" w:rsidR="0035249B" w:rsidRDefault="0035249B" w:rsidP="003121FC">
            <w:pPr>
              <w:suppressAutoHyphens/>
              <w:jc w:val="both"/>
            </w:pPr>
            <w:r>
              <w:rPr>
                <w:iCs/>
                <w:szCs w:val="24"/>
              </w:rPr>
              <w:t>5.</w:t>
            </w:r>
            <w:r w:rsidR="00815E73">
              <w:rPr>
                <w:iCs/>
                <w:szCs w:val="24"/>
              </w:rPr>
              <w:t>2</w:t>
            </w:r>
            <w:r>
              <w:rPr>
                <w:iCs/>
                <w:szCs w:val="24"/>
              </w:rPr>
              <w:t>.6.</w:t>
            </w:r>
            <w:r w:rsidR="00665978">
              <w:rPr>
                <w:iCs/>
                <w:szCs w:val="24"/>
              </w:rPr>
              <w:t>6</w:t>
            </w:r>
            <w:r>
              <w:rPr>
                <w:iCs/>
                <w:szCs w:val="24"/>
              </w:rPr>
              <w:t xml:space="preserve">. </w:t>
            </w:r>
            <w:r w:rsidR="003121FC" w:rsidRPr="003121FC">
              <w:rPr>
                <w:iCs/>
                <w:szCs w:val="24"/>
              </w:rPr>
              <w:t>pagal Aprašo priede nurodytą informaciją parengtą laisvos formos projekto vykdytojo deklaraciją</w:t>
            </w:r>
            <w:r w:rsidR="00CC2BC3" w:rsidRPr="00640301">
              <w:rPr>
                <w:iCs/>
                <w:szCs w:val="24"/>
              </w:rPr>
              <w:t>.</w:t>
            </w:r>
          </w:p>
        </w:tc>
      </w:tr>
      <w:tr w:rsidR="006C43F2" w14:paraId="7F7721C6"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C4" w14:textId="77777777" w:rsidR="006C43F2" w:rsidRDefault="000F2108">
            <w:pPr>
              <w:suppressAutoHyphens/>
              <w:jc w:val="both"/>
            </w:pPr>
            <w:r>
              <w:rPr>
                <w:szCs w:val="24"/>
              </w:rPr>
              <w:t>5.3.</w:t>
            </w:r>
            <w:r>
              <w:rPr>
                <w:i/>
                <w:iCs/>
                <w:szCs w:val="24"/>
              </w:rPr>
              <w:t xml:space="preserve"> </w:t>
            </w:r>
            <w:r>
              <w:rPr>
                <w:szCs w:val="24"/>
              </w:rPr>
              <w:t>Reikalavimai partneriams:</w:t>
            </w:r>
          </w:p>
          <w:p w14:paraId="7F7721C5" w14:textId="77777777" w:rsidR="006C43F2" w:rsidRDefault="000F2108">
            <w:pPr>
              <w:suppressAutoHyphens/>
              <w:jc w:val="both"/>
            </w:pPr>
            <w:r>
              <w:rPr>
                <w:iCs/>
                <w:szCs w:val="24"/>
              </w:rPr>
              <w:t>5.3.1. Partneriai negalimi.</w:t>
            </w:r>
          </w:p>
        </w:tc>
      </w:tr>
      <w:tr w:rsidR="006C43F2" w14:paraId="7F7721C8"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C7" w14:textId="77777777" w:rsidR="006C43F2" w:rsidRDefault="000F2108">
            <w:pPr>
              <w:suppressAutoHyphens/>
              <w:jc w:val="both"/>
            </w:pPr>
            <w:r>
              <w:rPr>
                <w:b/>
                <w:szCs w:val="24"/>
              </w:rPr>
              <w:t>6. Reikalavimai jungtinio projekto projektams ir jungtinio projekto projektų pareiškėjams</w:t>
            </w:r>
          </w:p>
        </w:tc>
      </w:tr>
      <w:tr w:rsidR="006C43F2" w14:paraId="7F7721CA" w14:textId="77777777">
        <w:trPr>
          <w:trHeight w:val="276"/>
        </w:trPr>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C9" w14:textId="77777777" w:rsidR="006C43F2" w:rsidRDefault="000F2108">
            <w:pPr>
              <w:suppressAutoHyphens/>
              <w:jc w:val="both"/>
            </w:pPr>
            <w:r>
              <w:rPr>
                <w:bCs/>
                <w:szCs w:val="24"/>
              </w:rPr>
              <w:t>6.1. Netaikoma.</w:t>
            </w:r>
          </w:p>
        </w:tc>
      </w:tr>
      <w:tr w:rsidR="006C43F2" w14:paraId="7F7721CC" w14:textId="77777777">
        <w:trPr>
          <w:trHeight w:val="285"/>
        </w:trPr>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CB" w14:textId="77777777" w:rsidR="006C43F2" w:rsidRDefault="000F2108">
            <w:pPr>
              <w:suppressAutoHyphens/>
            </w:pPr>
            <w:r>
              <w:rPr>
                <w:b/>
                <w:szCs w:val="24"/>
              </w:rPr>
              <w:t>7. Projekto tikslinės grupės</w:t>
            </w:r>
          </w:p>
        </w:tc>
      </w:tr>
      <w:tr w:rsidR="006C43F2" w14:paraId="7F7721CE" w14:textId="77777777">
        <w:trPr>
          <w:trHeight w:val="285"/>
        </w:trPr>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FA840" w14:textId="77777777" w:rsidR="006D51F3" w:rsidRDefault="000F2108">
            <w:pPr>
              <w:suppressAutoHyphens/>
              <w:jc w:val="both"/>
              <w:rPr>
                <w:szCs w:val="24"/>
              </w:rPr>
            </w:pPr>
            <w:r>
              <w:rPr>
                <w:szCs w:val="24"/>
              </w:rPr>
              <w:t>7.1. MSI</w:t>
            </w:r>
            <w:r w:rsidR="006D51F3">
              <w:rPr>
                <w:szCs w:val="24"/>
              </w:rPr>
              <w:t>;</w:t>
            </w:r>
          </w:p>
          <w:p w14:paraId="7F7721CD" w14:textId="3EE53D74" w:rsidR="006C43F2" w:rsidRDefault="006D51F3">
            <w:pPr>
              <w:suppressAutoHyphens/>
              <w:jc w:val="both"/>
              <w:rPr>
                <w:szCs w:val="24"/>
              </w:rPr>
            </w:pPr>
            <w:r>
              <w:rPr>
                <w:szCs w:val="24"/>
              </w:rPr>
              <w:t>7.2.</w:t>
            </w:r>
            <w:r w:rsidR="000F2108">
              <w:rPr>
                <w:szCs w:val="24"/>
              </w:rPr>
              <w:t xml:space="preserve"> mokslininkai ir kiti tyrėjai.</w:t>
            </w:r>
          </w:p>
        </w:tc>
      </w:tr>
      <w:tr w:rsidR="006C43F2" w14:paraId="7F7721D0" w14:textId="77777777">
        <w:trPr>
          <w:trHeight w:val="285"/>
        </w:trPr>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CF" w14:textId="77777777" w:rsidR="006C43F2" w:rsidRDefault="000F2108">
            <w:pPr>
              <w:suppressAutoHyphens/>
            </w:pPr>
            <w:r>
              <w:rPr>
                <w:b/>
                <w:szCs w:val="24"/>
              </w:rPr>
              <w:t>8.</w:t>
            </w:r>
            <w:r>
              <w:rPr>
                <w:bCs/>
                <w:szCs w:val="24"/>
              </w:rPr>
              <w:t xml:space="preserve"> </w:t>
            </w:r>
            <w:r>
              <w:rPr>
                <w:b/>
                <w:szCs w:val="24"/>
              </w:rPr>
              <w:t>Horizontaliųjų principų (toliau – HP) reikalavimai</w:t>
            </w:r>
          </w:p>
        </w:tc>
      </w:tr>
      <w:tr w:rsidR="006C43F2" w14:paraId="7F7721D5"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D1" w14:textId="77777777" w:rsidR="006C43F2" w:rsidRDefault="000F2108">
            <w:pPr>
              <w:suppressAutoHyphens/>
              <w:jc w:val="both"/>
              <w:rPr>
                <w:iCs/>
                <w:szCs w:val="24"/>
              </w:rPr>
            </w:pPr>
            <w:r>
              <w:rPr>
                <w:iCs/>
                <w:szCs w:val="24"/>
              </w:rPr>
              <w:t>8.1. Projektuose negali būti numatyta:</w:t>
            </w:r>
          </w:p>
          <w:p w14:paraId="7F7721D2" w14:textId="77777777" w:rsidR="006C43F2" w:rsidRDefault="000F2108">
            <w:pPr>
              <w:suppressAutoHyphens/>
              <w:jc w:val="both"/>
              <w:rPr>
                <w:iCs/>
                <w:szCs w:val="24"/>
              </w:rPr>
            </w:pPr>
            <w:r>
              <w:rPr>
                <w:iCs/>
                <w:szCs w:val="24"/>
              </w:rPr>
              <w:t>8.1.1.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7F7721D3" w14:textId="77777777" w:rsidR="006C43F2" w:rsidRDefault="000F2108">
            <w:pPr>
              <w:suppressAutoHyphens/>
              <w:jc w:val="both"/>
              <w:rPr>
                <w:iCs/>
                <w:szCs w:val="24"/>
              </w:rPr>
            </w:pPr>
            <w:r>
              <w:rPr>
                <w:iCs/>
                <w:szCs w:val="24"/>
              </w:rPr>
              <w:t>8.1.2. veiksmų, kurie turėtų neigiamą poveikį darnaus vystymosi principui įgyvendinti.</w:t>
            </w:r>
          </w:p>
          <w:p w14:paraId="7F7721D4" w14:textId="21FA80FF" w:rsidR="006C43F2" w:rsidRDefault="000F2108">
            <w:pPr>
              <w:suppressAutoHyphens/>
              <w:jc w:val="both"/>
              <w:rPr>
                <w:iCs/>
                <w:szCs w:val="24"/>
              </w:rPr>
            </w:pPr>
            <w:r>
              <w:rPr>
                <w:iCs/>
                <w:szCs w:val="24"/>
              </w:rPr>
              <w:t xml:space="preserve">8.2.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w:t>
            </w:r>
            <w:r w:rsidR="00D37886" w:rsidRPr="00CE38CE">
              <w:rPr>
                <w:iCs/>
                <w:color w:val="000000" w:themeColor="text1"/>
                <w:szCs w:val="24"/>
              </w:rPr>
              <w:t>(ES) Nr. 2020/852</w:t>
            </w:r>
            <w:r w:rsidRPr="00CE38CE">
              <w:rPr>
                <w:iCs/>
                <w:color w:val="000000" w:themeColor="text1"/>
                <w:szCs w:val="24"/>
              </w:rPr>
              <w:t xml:space="preserve"> </w:t>
            </w:r>
            <w:r>
              <w:rPr>
                <w:iCs/>
                <w:szCs w:val="24"/>
              </w:rPr>
              <w:t>dėl sistemos tvariam investavimui palengvinti sukūrimo, kuriuo iš dalies keičiamas Reglamentas</w:t>
            </w:r>
            <w:r w:rsidR="006E2B59">
              <w:rPr>
                <w:color w:val="000000" w:themeColor="text1"/>
              </w:rPr>
              <w:t xml:space="preserve"> </w:t>
            </w:r>
            <w:r w:rsidR="00D37886" w:rsidRPr="00CE38CE">
              <w:rPr>
                <w:iCs/>
                <w:color w:val="000000" w:themeColor="text1"/>
                <w:szCs w:val="24"/>
              </w:rPr>
              <w:t>(ES) 2019/2088</w:t>
            </w:r>
            <w:r w:rsidRPr="00D37886">
              <w:rPr>
                <w:iCs/>
                <w:szCs w:val="24"/>
              </w:rPr>
              <w:t>.</w:t>
            </w:r>
            <w:r>
              <w:rPr>
                <w:iCs/>
                <w:szCs w:val="24"/>
              </w:rPr>
              <w:t xml:space="preserve"> Reikalavimai projektų atitikčiai šiam principui įvertinti pateikiami Projekto (įskaitant jungtinį projektą) atitikties reikšmingos žalos nedarymo horizontaliajam principui vertinimo reikalavimų apraše (Aprašo priedas).</w:t>
            </w:r>
          </w:p>
        </w:tc>
      </w:tr>
      <w:tr w:rsidR="006C43F2" w14:paraId="7F7721D7"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D6" w14:textId="77777777" w:rsidR="006C43F2" w:rsidRDefault="000F2108">
            <w:pPr>
              <w:suppressAutoHyphens/>
              <w:spacing w:line="254" w:lineRule="auto"/>
              <w:jc w:val="both"/>
              <w:rPr>
                <w:b/>
                <w:iCs/>
                <w:szCs w:val="24"/>
              </w:rPr>
            </w:pPr>
            <w:r>
              <w:rPr>
                <w:b/>
                <w:iCs/>
                <w:szCs w:val="24"/>
              </w:rPr>
              <w:t>9. Europos Sąjungos pagrindinių teisių chartijos (toliau – Chartija) reikalavimai</w:t>
            </w:r>
          </w:p>
        </w:tc>
      </w:tr>
      <w:tr w:rsidR="006C43F2" w14:paraId="7F7721DA" w14:textId="77777777" w:rsidTr="00183BE4">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D8" w14:textId="77777777" w:rsidR="006C43F2" w:rsidRDefault="000F2108" w:rsidP="00A75097">
            <w:pPr>
              <w:suppressAutoHyphens/>
              <w:jc w:val="both"/>
              <w:rPr>
                <w:szCs w:val="24"/>
              </w:rPr>
            </w:pPr>
            <w:r>
              <w:rPr>
                <w:szCs w:val="24"/>
              </w:rPr>
              <w:t xml:space="preserve">9.1. Pagal Aprašą finansuojama veikla, įvertinus ją pagal 2016 m. liepos 23 d. Europos Komisijos pranešimą – Rekomendacijų, kaip užtikrinti, kad būtų laikomasi Europos Sąjungos pagrindinių teisių chartijos nuostatų skirstant Europos struktūrinių ir investicinių fondų paramą (2016/C 269/01), III priedą, nepažeidžia Chartijoje nustatytų pagrindinių teisių. </w:t>
            </w:r>
          </w:p>
          <w:p w14:paraId="7F7721D9" w14:textId="77777777" w:rsidR="006C43F2" w:rsidRDefault="000F2108" w:rsidP="00A75097">
            <w:pPr>
              <w:suppressAutoHyphens/>
              <w:jc w:val="both"/>
            </w:pPr>
            <w:r>
              <w:rPr>
                <w:szCs w:val="24"/>
              </w:rPr>
              <w:t>9.2. Atsižvelgiant į pagal Aprašą finansuojamos veiklos pobūdį, papildomi reikalavimai dėl aktyvių priemonių Chartijoje įtvirtintoms teisėms užtikrinti nėra nustatomi.</w:t>
            </w:r>
          </w:p>
        </w:tc>
      </w:tr>
      <w:tr w:rsidR="00183BE4" w14:paraId="09188C5D" w14:textId="77777777" w:rsidTr="00183BE4">
        <w:tc>
          <w:tcPr>
            <w:tcW w:w="15134" w:type="dxa"/>
            <w:tcBorders>
              <w:top w:val="single" w:sz="4" w:space="0" w:color="000000"/>
              <w:left w:val="single" w:sz="4" w:space="0" w:color="auto"/>
              <w:right w:val="single" w:sz="4" w:space="0" w:color="auto"/>
            </w:tcBorders>
            <w:tcMar>
              <w:top w:w="0" w:type="dxa"/>
              <w:left w:w="108" w:type="dxa"/>
              <w:bottom w:w="0" w:type="dxa"/>
              <w:right w:w="108" w:type="dxa"/>
            </w:tcMar>
          </w:tcPr>
          <w:p w14:paraId="552BB701" w14:textId="38FE9612" w:rsidR="00183BE4" w:rsidRDefault="00183BE4" w:rsidP="00183BE4">
            <w:pPr>
              <w:suppressAutoHyphens/>
              <w:jc w:val="both"/>
              <w:rPr>
                <w:szCs w:val="24"/>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183BE4" w14:paraId="396ED0BC" w14:textId="77777777" w:rsidTr="00183BE4">
        <w:tc>
          <w:tcPr>
            <w:tcW w:w="15134" w:type="dxa"/>
            <w:tcBorders>
              <w:left w:val="single" w:sz="4" w:space="0" w:color="auto"/>
              <w:bottom w:val="single" w:sz="4" w:space="0" w:color="000000"/>
              <w:right w:val="single" w:sz="4" w:space="0" w:color="auto"/>
            </w:tcBorders>
            <w:tcMar>
              <w:top w:w="0" w:type="dxa"/>
              <w:left w:w="108" w:type="dxa"/>
              <w:bottom w:w="0" w:type="dxa"/>
              <w:right w:w="108" w:type="dxa"/>
            </w:tcMar>
          </w:tcPr>
          <w:p w14:paraId="32CE8FC9" w14:textId="6D79E1C0" w:rsidR="00183BE4" w:rsidRPr="00183BE4" w:rsidRDefault="00183BE4" w:rsidP="00183BE4">
            <w:pPr>
              <w:suppressAutoHyphens/>
              <w:jc w:val="both"/>
              <w:rPr>
                <w:szCs w:val="24"/>
                <w:lang w:val="en-GB"/>
              </w:rPr>
            </w:pPr>
            <w:r w:rsidRPr="00183BE4">
              <w:rPr>
                <w:szCs w:val="24"/>
              </w:rPr>
              <w:t>9</w:t>
            </w:r>
            <w:r w:rsidRPr="00183BE4">
              <w:rPr>
                <w:szCs w:val="24"/>
                <w:vertAlign w:val="superscript"/>
              </w:rPr>
              <w:t>1</w:t>
            </w:r>
            <w:r w:rsidRPr="00183BE4">
              <w:rPr>
                <w:szCs w:val="24"/>
              </w:rPr>
              <w:t>.</w:t>
            </w:r>
            <w:r>
              <w:rPr>
                <w:szCs w:val="24"/>
                <w:lang w:val="en-GB"/>
              </w:rPr>
              <w:t>1</w:t>
            </w:r>
            <w:r w:rsidRPr="00183BE4">
              <w:rPr>
                <w:szCs w:val="24"/>
              </w:rPr>
              <w:t>. Netaikoma.</w:t>
            </w:r>
          </w:p>
        </w:tc>
      </w:tr>
      <w:tr w:rsidR="006C43F2" w14:paraId="7F7721DC" w14:textId="77777777" w:rsidTr="00183BE4">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DB" w14:textId="77777777" w:rsidR="006C43F2" w:rsidRDefault="000F2108">
            <w:pPr>
              <w:suppressAutoHyphens/>
              <w:rPr>
                <w:b/>
                <w:szCs w:val="24"/>
              </w:rPr>
            </w:pPr>
            <w:r>
              <w:rPr>
                <w:b/>
                <w:szCs w:val="24"/>
              </w:rPr>
              <w:t>10. Apskritis, kurioje gali būti įgyvendinami projektai</w:t>
            </w:r>
          </w:p>
        </w:tc>
      </w:tr>
      <w:tr w:rsidR="006C43F2" w14:paraId="7F7721DE"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DD" w14:textId="77777777" w:rsidR="006C43F2" w:rsidRDefault="000F2108">
            <w:pPr>
              <w:suppressAutoHyphens/>
              <w:jc w:val="both"/>
            </w:pPr>
            <w:r>
              <w:rPr>
                <w:iCs/>
                <w:szCs w:val="24"/>
              </w:rPr>
              <w:t>10.1. Netaikoma.</w:t>
            </w:r>
          </w:p>
        </w:tc>
      </w:tr>
      <w:tr w:rsidR="006C43F2" w14:paraId="7F7721E0"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DF" w14:textId="77777777" w:rsidR="006C43F2" w:rsidRDefault="000F2108">
            <w:pPr>
              <w:suppressAutoHyphens/>
              <w:jc w:val="both"/>
              <w:rPr>
                <w:b/>
                <w:szCs w:val="24"/>
              </w:rPr>
            </w:pPr>
            <w:r>
              <w:rPr>
                <w:b/>
                <w:szCs w:val="24"/>
              </w:rPr>
              <w:t>11. Reikalavimai valstybės pagalbai (kurie nėra nurodyti kituose Aprašo punktuose)</w:t>
            </w:r>
          </w:p>
        </w:tc>
      </w:tr>
      <w:tr w:rsidR="006C43F2" w14:paraId="7F7721E3"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E1" w14:textId="62F1BAE4" w:rsidR="006C43F2" w:rsidRDefault="000F2108">
            <w:pPr>
              <w:suppressAutoHyphens/>
              <w:jc w:val="both"/>
            </w:pPr>
            <w:r>
              <w:rPr>
                <w:iCs/>
                <w:szCs w:val="24"/>
              </w:rPr>
              <w:t xml:space="preserve">11.1. Pagal Aprašą, valstybės pagalba, kuri atitinka 2023 m. gruodžio 13 d. Komisijos reglamentas </w:t>
            </w:r>
            <w:r w:rsidR="00050550" w:rsidRPr="00640301">
              <w:rPr>
                <w:iCs/>
                <w:color w:val="000000" w:themeColor="text1"/>
                <w:szCs w:val="24"/>
              </w:rPr>
              <w:t>(ES) 2023/2831</w:t>
            </w:r>
            <w:r w:rsidRPr="00640301">
              <w:rPr>
                <w:iCs/>
                <w:color w:val="000000" w:themeColor="text1"/>
                <w:szCs w:val="24"/>
              </w:rPr>
              <w:t xml:space="preserve"> </w:t>
            </w:r>
            <w:r w:rsidRPr="00640301">
              <w:rPr>
                <w:iCs/>
                <w:szCs w:val="24"/>
              </w:rPr>
              <w:t>dėl</w:t>
            </w:r>
            <w:r>
              <w:rPr>
                <w:iCs/>
                <w:szCs w:val="24"/>
              </w:rPr>
              <w:t xml:space="preserve"> Sutarties dėl Europos Sąjungos veikimo 107 ir 108 straipsnių taikymo </w:t>
            </w:r>
            <w:r>
              <w:rPr>
                <w:i/>
                <w:iCs/>
                <w:szCs w:val="24"/>
              </w:rPr>
              <w:t>de minimis</w:t>
            </w:r>
            <w:r>
              <w:rPr>
                <w:iCs/>
                <w:szCs w:val="24"/>
              </w:rPr>
              <w:t xml:space="preserve"> pagalbai nuostatas, neteikiama.</w:t>
            </w:r>
          </w:p>
          <w:p w14:paraId="7F7721E2" w14:textId="6FCA1A5C" w:rsidR="006C43F2" w:rsidRDefault="000F2108">
            <w:pPr>
              <w:suppressAutoHyphens/>
              <w:jc w:val="both"/>
              <w:rPr>
                <w:iCs/>
                <w:szCs w:val="24"/>
              </w:rPr>
            </w:pPr>
            <w:r>
              <w:rPr>
                <w:iCs/>
                <w:szCs w:val="24"/>
              </w:rPr>
              <w:t>11.2. Pagal Aprašą, valstybės pagalba, kuri atitinka 2014 m. birželio 17 d. Komisijos reglamento</w:t>
            </w:r>
            <w:r w:rsidR="00841717" w:rsidRPr="00EF45A8">
              <w:rPr>
                <w:iCs/>
                <w:color w:val="467886" w:themeColor="hyperlink"/>
                <w:szCs w:val="24"/>
              </w:rPr>
              <w:t xml:space="preserve"> </w:t>
            </w:r>
            <w:r w:rsidR="00841717" w:rsidRPr="003039E5">
              <w:rPr>
                <w:iCs/>
                <w:color w:val="000000" w:themeColor="text1"/>
                <w:szCs w:val="24"/>
              </w:rPr>
              <w:t>(ES) 651/2014</w:t>
            </w:r>
            <w:r w:rsidRPr="003039E5">
              <w:rPr>
                <w:iCs/>
                <w:color w:val="000000" w:themeColor="text1"/>
                <w:szCs w:val="24"/>
              </w:rPr>
              <w:t xml:space="preserve">, </w:t>
            </w:r>
            <w:r>
              <w:rPr>
                <w:iCs/>
                <w:szCs w:val="24"/>
              </w:rPr>
              <w:t>kuriuo tam tikrų kategorijų pagalba skelbiama suderinama su vidaus rinka taikant Sutarties 107 ir 108 straipsnius, neteikiama.</w:t>
            </w:r>
          </w:p>
        </w:tc>
      </w:tr>
      <w:tr w:rsidR="006C43F2" w14:paraId="7F7721E6"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E4" w14:textId="77777777" w:rsidR="006C43F2" w:rsidRDefault="000F2108">
            <w:pPr>
              <w:suppressAutoHyphens/>
              <w:ind w:left="426" w:hanging="426"/>
              <w:jc w:val="both"/>
            </w:pPr>
            <w:r>
              <w:rPr>
                <w:b/>
                <w:szCs w:val="24"/>
              </w:rPr>
              <w:t>12</w:t>
            </w:r>
            <w:r>
              <w:rPr>
                <w:bCs/>
                <w:szCs w:val="24"/>
              </w:rPr>
              <w:t xml:space="preserve">. </w:t>
            </w:r>
            <w:r>
              <w:rPr>
                <w:b/>
                <w:szCs w:val="24"/>
              </w:rPr>
              <w:t>Projektų atrankos kriterijai</w:t>
            </w:r>
          </w:p>
          <w:p w14:paraId="0E3C1E5E" w14:textId="77777777" w:rsidR="006C43F2" w:rsidRDefault="000F2108">
            <w:pPr>
              <w:suppressAutoHyphens/>
              <w:jc w:val="both"/>
              <w:rPr>
                <w:iCs/>
                <w:color w:val="000000"/>
                <w:szCs w:val="24"/>
              </w:rPr>
            </w:pPr>
            <w:r>
              <w:rPr>
                <w:szCs w:val="24"/>
              </w:rPr>
              <w:t xml:space="preserve">12.1. Kiekvienas projektas turi atitikti Strateginio valdymo metodikos 136 punkte ir </w:t>
            </w:r>
            <w:r>
              <w:rPr>
                <w:iCs/>
                <w:color w:val="000000"/>
                <w:szCs w:val="24"/>
              </w:rPr>
              <w:t>Projektų administravimo ir finansavimo taisyklių 2 priede nustatytus projektų bendruosius atrankos kriterijus.</w:t>
            </w:r>
          </w:p>
          <w:p w14:paraId="2043B624" w14:textId="134E5453" w:rsidR="00183BE4" w:rsidRDefault="00183BE4">
            <w:pPr>
              <w:suppressAutoHyphens/>
              <w:jc w:val="both"/>
              <w:rPr>
                <w:iCs/>
                <w:color w:val="000000"/>
                <w:szCs w:val="24"/>
              </w:rPr>
            </w:pPr>
            <w:r>
              <w:rPr>
                <w:iCs/>
                <w:color w:val="000000"/>
                <w:szCs w:val="24"/>
              </w:rPr>
              <w:t>12.2. Projektams nustatomi prioritetiniai atrankos kriterijai:</w:t>
            </w:r>
          </w:p>
          <w:tbl>
            <w:tblPr>
              <w:tblW w:w="5000" w:type="pct"/>
              <w:tblLook w:val="00A0" w:firstRow="1" w:lastRow="0" w:firstColumn="1" w:lastColumn="0" w:noHBand="0" w:noVBand="0"/>
            </w:tblPr>
            <w:tblGrid>
              <w:gridCol w:w="1110"/>
              <w:gridCol w:w="2042"/>
              <w:gridCol w:w="2036"/>
              <w:gridCol w:w="2033"/>
              <w:gridCol w:w="2262"/>
              <w:gridCol w:w="2486"/>
              <w:gridCol w:w="2933"/>
            </w:tblGrid>
            <w:tr w:rsidR="00C33E83" w:rsidRPr="006010DA" w14:paraId="56108A66" w14:textId="77777777" w:rsidTr="000A6576">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1D19CB7" w14:textId="77777777" w:rsidR="00C33E83" w:rsidRPr="006010DA" w:rsidRDefault="00C33E83" w:rsidP="00C33E83">
                  <w:pPr>
                    <w:jc w:val="center"/>
                    <w:rPr>
                      <w:b/>
                      <w:sz w:val="22"/>
                      <w:szCs w:val="22"/>
                    </w:rPr>
                  </w:pPr>
                  <w:r w:rsidRPr="006010DA">
                    <w:rPr>
                      <w:b/>
                      <w:sz w:val="22"/>
                      <w:szCs w:val="22"/>
                    </w:rPr>
                    <w:t>Eil.</w:t>
                  </w:r>
                </w:p>
                <w:p w14:paraId="3175DC24" w14:textId="77777777" w:rsidR="00C33E83" w:rsidRPr="006010DA" w:rsidRDefault="00C33E83" w:rsidP="00C33E83">
                  <w:pPr>
                    <w:jc w:val="center"/>
                    <w:rPr>
                      <w:b/>
                      <w:sz w:val="22"/>
                      <w:szCs w:val="22"/>
                    </w:rPr>
                  </w:pPr>
                  <w:r w:rsidRPr="006010DA">
                    <w:rPr>
                      <w:b/>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18B2BBF" w14:textId="77777777" w:rsidR="00C33E83" w:rsidRPr="006010DA" w:rsidRDefault="00C33E83" w:rsidP="00C33E83">
                  <w:pPr>
                    <w:jc w:val="center"/>
                    <w:rPr>
                      <w:b/>
                      <w:sz w:val="22"/>
                      <w:szCs w:val="22"/>
                    </w:rPr>
                  </w:pPr>
                  <w:r w:rsidRPr="006010DA">
                    <w:rPr>
                      <w:b/>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19E99F" w14:textId="77777777" w:rsidR="00C33E83" w:rsidRPr="006010DA" w:rsidRDefault="00C33E83" w:rsidP="00C33E83">
                  <w:pPr>
                    <w:jc w:val="center"/>
                    <w:rPr>
                      <w:b/>
                      <w:sz w:val="22"/>
                      <w:szCs w:val="22"/>
                    </w:rPr>
                  </w:pPr>
                  <w:r w:rsidRPr="006010DA">
                    <w:rPr>
                      <w:b/>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4244B2F" w14:textId="77777777" w:rsidR="00C33E83" w:rsidRPr="006010DA" w:rsidRDefault="00C33E83" w:rsidP="00C33E83">
                  <w:pPr>
                    <w:jc w:val="center"/>
                    <w:rPr>
                      <w:b/>
                      <w:sz w:val="22"/>
                      <w:szCs w:val="22"/>
                    </w:rPr>
                  </w:pPr>
                  <w:r w:rsidRPr="006010DA">
                    <w:rPr>
                      <w:b/>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F651C6B" w14:textId="77777777" w:rsidR="00C33E83" w:rsidRPr="006010DA" w:rsidRDefault="00C33E83" w:rsidP="00C33E83">
                  <w:pPr>
                    <w:jc w:val="center"/>
                    <w:rPr>
                      <w:b/>
                      <w:sz w:val="22"/>
                      <w:szCs w:val="22"/>
                    </w:rPr>
                  </w:pPr>
                  <w:r w:rsidRPr="006010DA">
                    <w:rPr>
                      <w:b/>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500269D" w14:textId="77777777" w:rsidR="00C33E83" w:rsidRPr="006010DA" w:rsidRDefault="00C33E83" w:rsidP="00C33E83">
                  <w:pPr>
                    <w:jc w:val="center"/>
                    <w:rPr>
                      <w:b/>
                      <w:sz w:val="22"/>
                      <w:szCs w:val="22"/>
                    </w:rPr>
                  </w:pPr>
                  <w:r w:rsidRPr="006010DA">
                    <w:rPr>
                      <w:b/>
                      <w:sz w:val="22"/>
                      <w:szCs w:val="22"/>
                    </w:rPr>
                    <w:t>Kriterijaus svorio koeficientas</w:t>
                  </w:r>
                </w:p>
                <w:p w14:paraId="41D624AF" w14:textId="47B5F29B" w:rsidR="00C33E83" w:rsidRPr="006010DA" w:rsidRDefault="00C33E83" w:rsidP="00C33E83">
                  <w:pPr>
                    <w:jc w:val="center"/>
                    <w:rPr>
                      <w:b/>
                      <w:sz w:val="20"/>
                    </w:rPr>
                  </w:pP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4A2AA2" w14:textId="77777777" w:rsidR="00C33E83" w:rsidRPr="006010DA" w:rsidRDefault="00C33E83" w:rsidP="00C33E83">
                  <w:pPr>
                    <w:jc w:val="center"/>
                    <w:rPr>
                      <w:b/>
                      <w:sz w:val="22"/>
                      <w:szCs w:val="22"/>
                    </w:rPr>
                  </w:pPr>
                  <w:r w:rsidRPr="006010DA">
                    <w:rPr>
                      <w:b/>
                      <w:sz w:val="22"/>
                      <w:szCs w:val="22"/>
                    </w:rPr>
                    <w:t>Didžiausias galimas kriterijaus balas, kai nustatomas svorio koeficientas</w:t>
                  </w:r>
                </w:p>
                <w:p w14:paraId="6B52799E" w14:textId="33B63D6E" w:rsidR="00C33E83" w:rsidRPr="006010DA" w:rsidRDefault="00C33E83" w:rsidP="00C33E83">
                  <w:pPr>
                    <w:jc w:val="center"/>
                    <w:rPr>
                      <w:b/>
                      <w:sz w:val="20"/>
                    </w:rPr>
                  </w:pPr>
                </w:p>
              </w:tc>
            </w:tr>
            <w:tr w:rsidR="00C33E83" w14:paraId="080706A8" w14:textId="77777777" w:rsidTr="000A6576">
              <w:tc>
                <w:tcPr>
                  <w:tcW w:w="372" w:type="pct"/>
                  <w:tcBorders>
                    <w:top w:val="single" w:sz="6" w:space="0" w:color="000000"/>
                    <w:left w:val="single" w:sz="6" w:space="0" w:color="000000"/>
                    <w:bottom w:val="single" w:sz="6" w:space="0" w:color="000000"/>
                    <w:right w:val="single" w:sz="6" w:space="0" w:color="000000"/>
                  </w:tcBorders>
                  <w:hideMark/>
                </w:tcPr>
                <w:p w14:paraId="539A4963" w14:textId="0603AA93" w:rsidR="00C33E83" w:rsidRPr="00234A5F" w:rsidRDefault="00C33E83" w:rsidP="00C33E83">
                  <w:pPr>
                    <w:jc w:val="both"/>
                    <w:rPr>
                      <w:szCs w:val="24"/>
                    </w:rPr>
                  </w:pPr>
                  <w:r w:rsidRPr="00234A5F">
                    <w:rPr>
                      <w:szCs w:val="24"/>
                    </w:rPr>
                    <w:t>1</w:t>
                  </w:r>
                  <w:r w:rsidR="00E955E8">
                    <w:rPr>
                      <w:szCs w:val="24"/>
                    </w:rPr>
                    <w:t>.</w:t>
                  </w:r>
                </w:p>
              </w:tc>
              <w:tc>
                <w:tcPr>
                  <w:tcW w:w="685" w:type="pct"/>
                  <w:tcBorders>
                    <w:top w:val="single" w:sz="6" w:space="0" w:color="000000"/>
                    <w:left w:val="single" w:sz="6" w:space="0" w:color="000000"/>
                    <w:bottom w:val="single" w:sz="6" w:space="0" w:color="000000"/>
                    <w:right w:val="single" w:sz="6" w:space="0" w:color="000000"/>
                  </w:tcBorders>
                </w:tcPr>
                <w:p w14:paraId="60FE4F1A" w14:textId="064701F7" w:rsidR="00C33E83" w:rsidRPr="00234A5F" w:rsidRDefault="00202EC0" w:rsidP="00C33E83">
                  <w:pPr>
                    <w:jc w:val="both"/>
                    <w:rPr>
                      <w:szCs w:val="24"/>
                    </w:rPr>
                  </w:pPr>
                  <w:r w:rsidRPr="00234A5F">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172D871E" w14:textId="6D21FF5B" w:rsidR="00C33E83" w:rsidRPr="00234A5F" w:rsidRDefault="000C503D" w:rsidP="00C33E83">
                  <w:pPr>
                    <w:jc w:val="both"/>
                    <w:rPr>
                      <w:szCs w:val="24"/>
                    </w:rPr>
                  </w:pPr>
                  <w:r>
                    <w:rPr>
                      <w:iCs/>
                      <w:color w:val="000000"/>
                      <w:szCs w:val="24"/>
                    </w:rPr>
                    <w:t xml:space="preserve">Pareiškėjo vaidmuo </w:t>
                  </w:r>
                  <w:r w:rsidRPr="00AC0DE4">
                    <w:rPr>
                      <w:iCs/>
                      <w:color w:val="000000"/>
                      <w:szCs w:val="24"/>
                    </w:rPr>
                    <w:t>programos ,,Europos horizontas“ arba programos „Euratomas“</w:t>
                  </w:r>
                  <w:r>
                    <w:rPr>
                      <w:iCs/>
                      <w:color w:val="000000"/>
                      <w:szCs w:val="24"/>
                    </w:rPr>
                    <w:t xml:space="preserve"> susietojo projekto paraiškoje</w:t>
                  </w:r>
                </w:p>
              </w:tc>
              <w:tc>
                <w:tcPr>
                  <w:tcW w:w="682" w:type="pct"/>
                  <w:tcBorders>
                    <w:top w:val="single" w:sz="6" w:space="0" w:color="000000"/>
                    <w:left w:val="single" w:sz="6" w:space="0" w:color="000000"/>
                    <w:bottom w:val="single" w:sz="6" w:space="0" w:color="000000"/>
                    <w:right w:val="single" w:sz="6" w:space="0" w:color="000000"/>
                  </w:tcBorders>
                </w:tcPr>
                <w:p w14:paraId="4A28939F" w14:textId="7640314F" w:rsidR="0024096C" w:rsidRDefault="0024096C" w:rsidP="00B13A48">
                  <w:pPr>
                    <w:suppressAutoHyphens/>
                    <w:jc w:val="both"/>
                    <w:rPr>
                      <w:iCs/>
                      <w:color w:val="000000"/>
                      <w:szCs w:val="24"/>
                    </w:rPr>
                  </w:pPr>
                  <w:r w:rsidRPr="0024096C">
                    <w:rPr>
                      <w:iCs/>
                      <w:color w:val="000000"/>
                      <w:szCs w:val="24"/>
                    </w:rPr>
                    <w:t>Vertinama, ar pareiškėjas, kurio mokslo laboratorijai arba kitai mokslo</w:t>
                  </w:r>
                  <w:r w:rsidR="00B13A48">
                    <w:rPr>
                      <w:iCs/>
                      <w:color w:val="000000"/>
                      <w:szCs w:val="24"/>
                    </w:rPr>
                    <w:t xml:space="preserve"> </w:t>
                  </w:r>
                  <w:r w:rsidR="00B13A48" w:rsidRPr="00B13A48">
                    <w:rPr>
                      <w:iCs/>
                      <w:color w:val="000000"/>
                      <w:szCs w:val="24"/>
                    </w:rPr>
                    <w:t>infrastruktūros</w:t>
                  </w:r>
                  <w:r w:rsidRPr="0024096C">
                    <w:rPr>
                      <w:iCs/>
                      <w:color w:val="000000"/>
                      <w:szCs w:val="24"/>
                    </w:rPr>
                    <w:t xml:space="preserve"> įrangai prašoma paramos, buvo  susietojo projekto paraiškos koordinatorius. Pareiškėjas gali būti ir vienintelis tokios paramos gavėjas (angl. </w:t>
                  </w:r>
                  <w:r w:rsidRPr="0024096C">
                    <w:rPr>
                      <w:i/>
                      <w:color w:val="000000"/>
                      <w:szCs w:val="24"/>
                    </w:rPr>
                    <w:t>monobeneficiary</w:t>
                  </w:r>
                  <w:r w:rsidRPr="0024096C">
                    <w:rPr>
                      <w:iCs/>
                      <w:color w:val="000000"/>
                      <w:szCs w:val="24"/>
                    </w:rPr>
                    <w:t>).</w:t>
                  </w:r>
                </w:p>
                <w:p w14:paraId="3BE3779F" w14:textId="77777777" w:rsidR="0024096C" w:rsidRDefault="0024096C" w:rsidP="00754795">
                  <w:pPr>
                    <w:suppressAutoHyphens/>
                    <w:jc w:val="both"/>
                    <w:rPr>
                      <w:iCs/>
                      <w:color w:val="000000"/>
                      <w:szCs w:val="24"/>
                    </w:rPr>
                  </w:pPr>
                </w:p>
                <w:p w14:paraId="041B3A4B" w14:textId="666BDF51" w:rsidR="0024096C" w:rsidRDefault="0024096C" w:rsidP="00754795">
                  <w:pPr>
                    <w:suppressAutoHyphens/>
                    <w:jc w:val="both"/>
                    <w:rPr>
                      <w:iCs/>
                      <w:color w:val="000000"/>
                      <w:szCs w:val="24"/>
                    </w:rPr>
                  </w:pPr>
                  <w:r w:rsidRPr="0024096C">
                    <w:rPr>
                      <w:iCs/>
                      <w:color w:val="000000"/>
                      <w:szCs w:val="24"/>
                    </w:rPr>
                    <w:t>Vertinama pagal pareiškėjo pateiktą informaciją apie  konkrečią susietojo projekto paraišką</w:t>
                  </w:r>
                  <w:r w:rsidR="00DB5C5B">
                    <w:rPr>
                      <w:iCs/>
                      <w:color w:val="000000"/>
                      <w:szCs w:val="24"/>
                    </w:rPr>
                    <w:t>:</w:t>
                  </w:r>
                </w:p>
                <w:p w14:paraId="34070756" w14:textId="77777777" w:rsidR="0024096C" w:rsidRDefault="0024096C" w:rsidP="00754795">
                  <w:pPr>
                    <w:suppressAutoHyphens/>
                    <w:jc w:val="both"/>
                    <w:rPr>
                      <w:iCs/>
                      <w:color w:val="000000"/>
                      <w:szCs w:val="24"/>
                    </w:rPr>
                  </w:pPr>
                </w:p>
                <w:p w14:paraId="77963700" w14:textId="44C985B0" w:rsidR="00754795" w:rsidRPr="003D10C8" w:rsidRDefault="004D4336" w:rsidP="00754795">
                  <w:pPr>
                    <w:suppressAutoHyphens/>
                    <w:jc w:val="both"/>
                    <w:rPr>
                      <w:iCs/>
                      <w:color w:val="000000"/>
                      <w:szCs w:val="24"/>
                    </w:rPr>
                  </w:pPr>
                  <w:r>
                    <w:rPr>
                      <w:iCs/>
                      <w:color w:val="000000"/>
                      <w:szCs w:val="24"/>
                    </w:rPr>
                    <w:t>- j</w:t>
                  </w:r>
                  <w:r w:rsidR="00754795">
                    <w:rPr>
                      <w:iCs/>
                      <w:color w:val="000000"/>
                      <w:szCs w:val="24"/>
                    </w:rPr>
                    <w:t xml:space="preserve">eigu </w:t>
                  </w:r>
                  <w:r w:rsidR="00754795" w:rsidRPr="003D10C8">
                    <w:rPr>
                      <w:iCs/>
                      <w:color w:val="000000"/>
                      <w:szCs w:val="24"/>
                    </w:rPr>
                    <w:t xml:space="preserve">pareiškėjas yra </w:t>
                  </w:r>
                  <w:r w:rsidR="00754795">
                    <w:rPr>
                      <w:iCs/>
                      <w:color w:val="000000"/>
                      <w:szCs w:val="24"/>
                    </w:rPr>
                    <w:t xml:space="preserve">RIA, IA veiksmų arba </w:t>
                  </w:r>
                  <w:r w:rsidR="00754795" w:rsidRPr="005B64FF">
                    <w:rPr>
                      <w:iCs/>
                      <w:color w:val="000000"/>
                      <w:szCs w:val="24"/>
                    </w:rPr>
                    <w:t>ERC</w:t>
                  </w:r>
                  <w:r w:rsidR="00754795">
                    <w:rPr>
                      <w:iCs/>
                      <w:color w:val="000000"/>
                      <w:szCs w:val="24"/>
                    </w:rPr>
                    <w:t xml:space="preserve"> StG</w:t>
                  </w:r>
                  <w:r w:rsidR="00754795" w:rsidRPr="005B64FF">
                    <w:rPr>
                      <w:iCs/>
                      <w:color w:val="000000"/>
                      <w:szCs w:val="24"/>
                    </w:rPr>
                    <w:t xml:space="preserve">, </w:t>
                  </w:r>
                  <w:r w:rsidR="00754795">
                    <w:rPr>
                      <w:iCs/>
                      <w:color w:val="000000"/>
                      <w:szCs w:val="24"/>
                    </w:rPr>
                    <w:t xml:space="preserve">ERC CoG, ERC AdG, ERC SynG, </w:t>
                  </w:r>
                  <w:r w:rsidR="00754795" w:rsidRPr="005B64FF">
                    <w:rPr>
                      <w:iCs/>
                      <w:color w:val="000000"/>
                      <w:szCs w:val="24"/>
                    </w:rPr>
                    <w:t>MSCA-DN, MSCA-SE</w:t>
                  </w:r>
                  <w:r w:rsidR="00754795">
                    <w:rPr>
                      <w:iCs/>
                      <w:color w:val="000000"/>
                      <w:szCs w:val="24"/>
                    </w:rPr>
                    <w:t xml:space="preserve">, WIDERA twinning, EIC ,,Pathfinder“ susietojo projekto </w:t>
                  </w:r>
                  <w:r w:rsidR="00754795" w:rsidRPr="003D10C8">
                    <w:rPr>
                      <w:iCs/>
                      <w:color w:val="000000"/>
                      <w:szCs w:val="24"/>
                    </w:rPr>
                    <w:t>paraiškos koordinatorius</w:t>
                  </w:r>
                  <w:r w:rsidR="000D7384">
                    <w:rPr>
                      <w:iCs/>
                      <w:color w:val="000000"/>
                      <w:szCs w:val="24"/>
                    </w:rPr>
                    <w:t xml:space="preserve"> – 40 bal</w:t>
                  </w:r>
                  <w:r w:rsidR="003A470E">
                    <w:rPr>
                      <w:iCs/>
                      <w:color w:val="000000"/>
                      <w:szCs w:val="24"/>
                    </w:rPr>
                    <w:t>ų</w:t>
                  </w:r>
                  <w:r w:rsidR="00DA1EB2">
                    <w:rPr>
                      <w:iCs/>
                      <w:color w:val="000000"/>
                      <w:szCs w:val="24"/>
                    </w:rPr>
                    <w:t>;</w:t>
                  </w:r>
                </w:p>
                <w:p w14:paraId="58C8FCC7" w14:textId="51A94AAD" w:rsidR="00754795" w:rsidRPr="003D10C8" w:rsidRDefault="004D4336" w:rsidP="00754795">
                  <w:pPr>
                    <w:suppressAutoHyphens/>
                    <w:jc w:val="both"/>
                    <w:rPr>
                      <w:iCs/>
                      <w:color w:val="000000"/>
                      <w:szCs w:val="24"/>
                    </w:rPr>
                  </w:pPr>
                  <w:r>
                    <w:rPr>
                      <w:iCs/>
                      <w:color w:val="000000"/>
                      <w:szCs w:val="24"/>
                    </w:rPr>
                    <w:t>- j</w:t>
                  </w:r>
                  <w:r w:rsidR="00754795" w:rsidRPr="003D10C8">
                    <w:rPr>
                      <w:iCs/>
                      <w:color w:val="000000"/>
                      <w:szCs w:val="24"/>
                    </w:rPr>
                    <w:t>ei</w:t>
                  </w:r>
                  <w:r w:rsidR="00754795">
                    <w:rPr>
                      <w:iCs/>
                      <w:color w:val="000000"/>
                      <w:szCs w:val="24"/>
                    </w:rPr>
                    <w:t>gu</w:t>
                  </w:r>
                  <w:r w:rsidR="00754795" w:rsidRPr="003D10C8">
                    <w:rPr>
                      <w:iCs/>
                      <w:color w:val="000000"/>
                      <w:szCs w:val="24"/>
                    </w:rPr>
                    <w:t xml:space="preserve"> pareiškėjas yra </w:t>
                  </w:r>
                  <w:r w:rsidR="00754795">
                    <w:rPr>
                      <w:iCs/>
                      <w:color w:val="000000"/>
                      <w:szCs w:val="24"/>
                    </w:rPr>
                    <w:t>ERC PoC, MSCA-PF, ERA chairs</w:t>
                  </w:r>
                  <w:r w:rsidR="00754795" w:rsidRPr="003D10C8">
                    <w:rPr>
                      <w:iCs/>
                      <w:color w:val="000000"/>
                      <w:szCs w:val="24"/>
                    </w:rPr>
                    <w:t xml:space="preserve"> susietojo projekto paraiškos koordinatorius</w:t>
                  </w:r>
                  <w:r w:rsidR="003A470E">
                    <w:rPr>
                      <w:iCs/>
                      <w:color w:val="000000"/>
                      <w:szCs w:val="24"/>
                    </w:rPr>
                    <w:t xml:space="preserve"> – 20 balų</w:t>
                  </w:r>
                  <w:r w:rsidR="00DA1EB2">
                    <w:rPr>
                      <w:iCs/>
                      <w:color w:val="000000"/>
                      <w:szCs w:val="24"/>
                    </w:rPr>
                    <w:t>;</w:t>
                  </w:r>
                </w:p>
                <w:p w14:paraId="48A5483D" w14:textId="1C16CAC9" w:rsidR="00C33E83" w:rsidRPr="00234A5F" w:rsidRDefault="004D4336" w:rsidP="00234A5F">
                  <w:pPr>
                    <w:suppressAutoHyphens/>
                    <w:jc w:val="both"/>
                    <w:rPr>
                      <w:szCs w:val="24"/>
                    </w:rPr>
                  </w:pPr>
                  <w:r>
                    <w:rPr>
                      <w:iCs/>
                      <w:color w:val="000000"/>
                      <w:szCs w:val="24"/>
                    </w:rPr>
                    <w:t>- j</w:t>
                  </w:r>
                  <w:r w:rsidR="00754795" w:rsidRPr="003D10C8">
                    <w:rPr>
                      <w:iCs/>
                      <w:color w:val="000000"/>
                      <w:szCs w:val="24"/>
                    </w:rPr>
                    <w:t>ei</w:t>
                  </w:r>
                  <w:r w:rsidR="00754795">
                    <w:rPr>
                      <w:iCs/>
                      <w:color w:val="000000"/>
                      <w:szCs w:val="24"/>
                    </w:rPr>
                    <w:t>gu</w:t>
                  </w:r>
                  <w:r w:rsidR="00754795" w:rsidRPr="003D10C8">
                    <w:rPr>
                      <w:iCs/>
                      <w:color w:val="000000"/>
                      <w:szCs w:val="24"/>
                    </w:rPr>
                    <w:t xml:space="preserve"> pareiškėjas nėra susietojo projekto paraiškos koordinatorius</w:t>
                  </w:r>
                  <w:r w:rsidR="003A470E">
                    <w:rPr>
                      <w:iCs/>
                      <w:color w:val="000000"/>
                      <w:szCs w:val="24"/>
                    </w:rPr>
                    <w:t xml:space="preserve"> – 0 balų</w:t>
                  </w:r>
                  <w:r w:rsidR="00FE4090">
                    <w:rPr>
                      <w:iCs/>
                      <w:color w:val="000000"/>
                      <w:szCs w:val="24"/>
                    </w:rPr>
                    <w:t>.</w:t>
                  </w:r>
                </w:p>
              </w:tc>
              <w:tc>
                <w:tcPr>
                  <w:tcW w:w="759" w:type="pct"/>
                  <w:tcBorders>
                    <w:top w:val="single" w:sz="6" w:space="0" w:color="000000"/>
                    <w:left w:val="single" w:sz="6" w:space="0" w:color="000000"/>
                    <w:bottom w:val="single" w:sz="6" w:space="0" w:color="000000"/>
                    <w:right w:val="single" w:sz="6" w:space="0" w:color="000000"/>
                  </w:tcBorders>
                </w:tcPr>
                <w:p w14:paraId="23BE4AE0" w14:textId="77777777" w:rsidR="00C33E83" w:rsidRDefault="000C503D" w:rsidP="00234A5F">
                  <w:pPr>
                    <w:rPr>
                      <w:szCs w:val="24"/>
                    </w:rPr>
                  </w:pPr>
                  <w:r>
                    <w:rPr>
                      <w:szCs w:val="24"/>
                    </w:rPr>
                    <w:t>40</w:t>
                  </w:r>
                </w:p>
                <w:p w14:paraId="07D12ACC" w14:textId="327353AA" w:rsidR="00DA1EB2" w:rsidRPr="00234A5F" w:rsidRDefault="00DA1EB2" w:rsidP="00234A5F">
                  <w:pPr>
                    <w:rPr>
                      <w:szCs w:val="24"/>
                    </w:rPr>
                  </w:pPr>
                </w:p>
              </w:tc>
              <w:tc>
                <w:tcPr>
                  <w:tcW w:w="834" w:type="pct"/>
                  <w:tcBorders>
                    <w:top w:val="single" w:sz="6" w:space="0" w:color="000000"/>
                    <w:left w:val="single" w:sz="6" w:space="0" w:color="000000"/>
                    <w:bottom w:val="single" w:sz="6" w:space="0" w:color="000000"/>
                    <w:right w:val="single" w:sz="6" w:space="0" w:color="000000"/>
                  </w:tcBorders>
                </w:tcPr>
                <w:p w14:paraId="7E639764" w14:textId="600F517D" w:rsidR="00C33E83" w:rsidRPr="00234A5F" w:rsidRDefault="000C503D" w:rsidP="00C33E83">
                  <w:pPr>
                    <w:jc w:val="both"/>
                    <w:rPr>
                      <w:szCs w:val="24"/>
                    </w:rPr>
                  </w:pPr>
                  <w:r>
                    <w:rPr>
                      <w:szCs w:val="24"/>
                    </w:rPr>
                    <w:t>-</w:t>
                  </w:r>
                </w:p>
              </w:tc>
              <w:tc>
                <w:tcPr>
                  <w:tcW w:w="984" w:type="pct"/>
                  <w:tcBorders>
                    <w:top w:val="single" w:sz="6" w:space="0" w:color="000000"/>
                    <w:left w:val="single" w:sz="6" w:space="0" w:color="000000"/>
                    <w:bottom w:val="single" w:sz="6" w:space="0" w:color="000000"/>
                    <w:right w:val="single" w:sz="6" w:space="0" w:color="000000"/>
                  </w:tcBorders>
                </w:tcPr>
                <w:p w14:paraId="4DB3DBE0" w14:textId="43491519" w:rsidR="00C33E83" w:rsidRPr="00234A5F" w:rsidRDefault="000C503D" w:rsidP="00C33E83">
                  <w:pPr>
                    <w:jc w:val="both"/>
                    <w:rPr>
                      <w:szCs w:val="24"/>
                    </w:rPr>
                  </w:pPr>
                  <w:r>
                    <w:rPr>
                      <w:szCs w:val="24"/>
                    </w:rPr>
                    <w:t>-</w:t>
                  </w:r>
                </w:p>
              </w:tc>
            </w:tr>
            <w:tr w:rsidR="00C33E83" w14:paraId="4FE88B74" w14:textId="77777777" w:rsidTr="000A6576">
              <w:tc>
                <w:tcPr>
                  <w:tcW w:w="372" w:type="pct"/>
                  <w:tcBorders>
                    <w:top w:val="single" w:sz="6" w:space="0" w:color="000000"/>
                    <w:left w:val="single" w:sz="6" w:space="0" w:color="000000"/>
                    <w:bottom w:val="single" w:sz="6" w:space="0" w:color="000000"/>
                    <w:right w:val="single" w:sz="6" w:space="0" w:color="000000"/>
                  </w:tcBorders>
                  <w:hideMark/>
                </w:tcPr>
                <w:p w14:paraId="10970C30" w14:textId="5D697B85" w:rsidR="00C33E83" w:rsidRPr="00234A5F" w:rsidRDefault="00C33E83" w:rsidP="00C33E83">
                  <w:pPr>
                    <w:jc w:val="both"/>
                    <w:rPr>
                      <w:szCs w:val="24"/>
                    </w:rPr>
                  </w:pPr>
                  <w:r w:rsidRPr="00234A5F">
                    <w:rPr>
                      <w:szCs w:val="24"/>
                    </w:rPr>
                    <w:t>2</w:t>
                  </w:r>
                  <w:r w:rsidR="00E955E8">
                    <w:rPr>
                      <w:szCs w:val="24"/>
                    </w:rPr>
                    <w:t>.</w:t>
                  </w:r>
                </w:p>
              </w:tc>
              <w:tc>
                <w:tcPr>
                  <w:tcW w:w="685" w:type="pct"/>
                  <w:tcBorders>
                    <w:top w:val="single" w:sz="6" w:space="0" w:color="000000"/>
                    <w:left w:val="single" w:sz="6" w:space="0" w:color="000000"/>
                    <w:bottom w:val="single" w:sz="6" w:space="0" w:color="000000"/>
                    <w:right w:val="single" w:sz="6" w:space="0" w:color="000000"/>
                  </w:tcBorders>
                </w:tcPr>
                <w:p w14:paraId="0DBB46E9" w14:textId="5DC6ED3E" w:rsidR="00C33E83" w:rsidRPr="00234A5F" w:rsidRDefault="00202EC0" w:rsidP="00C33E83">
                  <w:pPr>
                    <w:jc w:val="both"/>
                    <w:rPr>
                      <w:szCs w:val="24"/>
                    </w:rPr>
                  </w:pPr>
                  <w:r w:rsidRPr="000A6576">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649C1855" w14:textId="0A92BD62" w:rsidR="00C33E83" w:rsidRPr="00234A5F" w:rsidRDefault="00750555" w:rsidP="00C33E83">
                  <w:pPr>
                    <w:jc w:val="both"/>
                    <w:rPr>
                      <w:szCs w:val="24"/>
                    </w:rPr>
                  </w:pPr>
                  <w:r>
                    <w:rPr>
                      <w:lang w:eastAsia="lt-LT"/>
                    </w:rPr>
                    <w:t xml:space="preserve">Susietojo projekto paraiškai </w:t>
                  </w:r>
                  <w:r>
                    <w:t xml:space="preserve">EK </w:t>
                  </w:r>
                  <w:r w:rsidRPr="181E9AFB">
                    <w:rPr>
                      <w:lang w:eastAsia="lt-LT"/>
                    </w:rPr>
                    <w:t xml:space="preserve">suteiktas </w:t>
                  </w:r>
                  <w:r>
                    <w:rPr>
                      <w:lang w:eastAsia="lt-LT"/>
                    </w:rPr>
                    <w:t xml:space="preserve">galutinis </w:t>
                  </w:r>
                  <w:r w:rsidRPr="181E9AFB">
                    <w:rPr>
                      <w:lang w:eastAsia="lt-LT"/>
                    </w:rPr>
                    <w:t>įvertinimas</w:t>
                  </w:r>
                  <w:r>
                    <w:rPr>
                      <w:lang w:eastAsia="lt-LT"/>
                    </w:rPr>
                    <w:t>.</w:t>
                  </w:r>
                </w:p>
              </w:tc>
              <w:tc>
                <w:tcPr>
                  <w:tcW w:w="682" w:type="pct"/>
                  <w:tcBorders>
                    <w:top w:val="single" w:sz="6" w:space="0" w:color="000000"/>
                    <w:left w:val="single" w:sz="6" w:space="0" w:color="000000"/>
                    <w:bottom w:val="single" w:sz="6" w:space="0" w:color="000000"/>
                    <w:right w:val="single" w:sz="6" w:space="0" w:color="000000"/>
                  </w:tcBorders>
                </w:tcPr>
                <w:p w14:paraId="071AB520" w14:textId="77777777" w:rsidR="0024096C" w:rsidRDefault="00890460" w:rsidP="00C33E83">
                  <w:pPr>
                    <w:jc w:val="both"/>
                    <w:rPr>
                      <w:lang w:eastAsia="lt-LT"/>
                    </w:rPr>
                  </w:pPr>
                  <w:r w:rsidRPr="002454BA">
                    <w:rPr>
                      <w:lang w:eastAsia="lt-LT"/>
                    </w:rPr>
                    <w:t>Vertinama susietojo projekto paraiškos galutinio EK įvertinimo, kurį atliko tarptautiniai ekspertai, skaitinė vertė (vienetais, procentais)</w:t>
                  </w:r>
                  <w:r w:rsidR="0024096C">
                    <w:rPr>
                      <w:lang w:eastAsia="lt-LT"/>
                    </w:rPr>
                    <w:t>.</w:t>
                  </w:r>
                </w:p>
                <w:p w14:paraId="52E6329C" w14:textId="77777777" w:rsidR="0024096C" w:rsidRDefault="0024096C" w:rsidP="00C33E83">
                  <w:pPr>
                    <w:jc w:val="both"/>
                    <w:rPr>
                      <w:lang w:eastAsia="lt-LT"/>
                    </w:rPr>
                  </w:pPr>
                </w:p>
                <w:p w14:paraId="263704C7" w14:textId="57CC4B3E" w:rsidR="0024096C" w:rsidRDefault="0024096C" w:rsidP="00C33E83">
                  <w:pPr>
                    <w:jc w:val="both"/>
                    <w:rPr>
                      <w:lang w:eastAsia="lt-LT"/>
                    </w:rPr>
                  </w:pPr>
                  <w:r w:rsidRPr="0024096C">
                    <w:rPr>
                      <w:lang w:eastAsia="lt-LT"/>
                    </w:rPr>
                    <w:t>Vertinama pagal pareiškėjo pateiktą EK ataskaitą apie konkrečios susietojo projekto paraiškos įvertinimą.</w:t>
                  </w:r>
                </w:p>
                <w:p w14:paraId="66B2C2F4" w14:textId="77777777" w:rsidR="0024096C" w:rsidRDefault="0024096C" w:rsidP="00C33E83">
                  <w:pPr>
                    <w:jc w:val="both"/>
                    <w:rPr>
                      <w:lang w:eastAsia="lt-LT"/>
                    </w:rPr>
                  </w:pPr>
                </w:p>
                <w:p w14:paraId="535E5DDA" w14:textId="07EE36A8" w:rsidR="00C33E83" w:rsidRPr="00234A5F" w:rsidRDefault="0024096C" w:rsidP="00C33E83">
                  <w:pPr>
                    <w:jc w:val="both"/>
                    <w:rPr>
                      <w:szCs w:val="24"/>
                    </w:rPr>
                  </w:pPr>
                  <w:r>
                    <w:rPr>
                      <w:lang w:eastAsia="lt-LT"/>
                    </w:rPr>
                    <w:t>Kriterijaus balas nustatomas</w:t>
                  </w:r>
                  <w:r w:rsidR="00890460">
                    <w:rPr>
                      <w:lang w:eastAsia="lt-LT"/>
                    </w:rPr>
                    <w:t xml:space="preserve"> pagal Aprašo 12.3 papunktyje pateiktą lentelę</w:t>
                  </w:r>
                  <w:r w:rsidR="002E7B7D">
                    <w:rPr>
                      <w:lang w:eastAsia="lt-LT"/>
                    </w:rPr>
                    <w:t>.</w:t>
                  </w:r>
                </w:p>
              </w:tc>
              <w:tc>
                <w:tcPr>
                  <w:tcW w:w="759" w:type="pct"/>
                  <w:tcBorders>
                    <w:top w:val="single" w:sz="6" w:space="0" w:color="000000"/>
                    <w:left w:val="single" w:sz="6" w:space="0" w:color="000000"/>
                    <w:bottom w:val="single" w:sz="6" w:space="0" w:color="000000"/>
                    <w:right w:val="single" w:sz="6" w:space="0" w:color="000000"/>
                  </w:tcBorders>
                </w:tcPr>
                <w:p w14:paraId="66436064" w14:textId="079BAB23" w:rsidR="00C33E83" w:rsidRPr="00234A5F" w:rsidRDefault="00395676" w:rsidP="00C33E83">
                  <w:pPr>
                    <w:jc w:val="both"/>
                    <w:rPr>
                      <w:szCs w:val="24"/>
                    </w:rPr>
                  </w:pPr>
                  <w:r>
                    <w:rPr>
                      <w:szCs w:val="24"/>
                    </w:rPr>
                    <w:t>30</w:t>
                  </w:r>
                </w:p>
              </w:tc>
              <w:tc>
                <w:tcPr>
                  <w:tcW w:w="834" w:type="pct"/>
                  <w:tcBorders>
                    <w:top w:val="single" w:sz="6" w:space="0" w:color="000000"/>
                    <w:left w:val="single" w:sz="6" w:space="0" w:color="000000"/>
                    <w:bottom w:val="single" w:sz="6" w:space="0" w:color="000000"/>
                    <w:right w:val="single" w:sz="6" w:space="0" w:color="000000"/>
                  </w:tcBorders>
                </w:tcPr>
                <w:p w14:paraId="41D5C142" w14:textId="2CD59A68" w:rsidR="00C33E83" w:rsidRPr="00234A5F" w:rsidRDefault="000C503D" w:rsidP="00C33E83">
                  <w:pPr>
                    <w:jc w:val="both"/>
                    <w:rPr>
                      <w:szCs w:val="24"/>
                    </w:rPr>
                  </w:pPr>
                  <w:r>
                    <w:rPr>
                      <w:szCs w:val="24"/>
                    </w:rPr>
                    <w:t>-</w:t>
                  </w:r>
                </w:p>
              </w:tc>
              <w:tc>
                <w:tcPr>
                  <w:tcW w:w="984" w:type="pct"/>
                  <w:tcBorders>
                    <w:top w:val="single" w:sz="6" w:space="0" w:color="000000"/>
                    <w:left w:val="single" w:sz="6" w:space="0" w:color="000000"/>
                    <w:bottom w:val="single" w:sz="6" w:space="0" w:color="000000"/>
                    <w:right w:val="single" w:sz="6" w:space="0" w:color="000000"/>
                  </w:tcBorders>
                </w:tcPr>
                <w:p w14:paraId="4063CE27" w14:textId="4E142432" w:rsidR="00C33E83" w:rsidRPr="00234A5F" w:rsidRDefault="000C503D" w:rsidP="00C33E83">
                  <w:pPr>
                    <w:jc w:val="both"/>
                    <w:rPr>
                      <w:szCs w:val="24"/>
                    </w:rPr>
                  </w:pPr>
                  <w:r>
                    <w:rPr>
                      <w:szCs w:val="24"/>
                    </w:rPr>
                    <w:t>-</w:t>
                  </w:r>
                </w:p>
              </w:tc>
            </w:tr>
            <w:tr w:rsidR="00C33E83" w14:paraId="496D4862" w14:textId="77777777" w:rsidTr="000A6576">
              <w:tc>
                <w:tcPr>
                  <w:tcW w:w="372" w:type="pct"/>
                  <w:tcBorders>
                    <w:top w:val="single" w:sz="6" w:space="0" w:color="000000"/>
                    <w:left w:val="single" w:sz="6" w:space="0" w:color="000000"/>
                    <w:bottom w:val="single" w:sz="6" w:space="0" w:color="000000"/>
                    <w:right w:val="single" w:sz="6" w:space="0" w:color="000000"/>
                  </w:tcBorders>
                  <w:hideMark/>
                </w:tcPr>
                <w:p w14:paraId="273AC074" w14:textId="128DC289" w:rsidR="00C33E83" w:rsidRPr="00234A5F" w:rsidRDefault="00D802F7" w:rsidP="00C33E83">
                  <w:pPr>
                    <w:jc w:val="both"/>
                    <w:rPr>
                      <w:szCs w:val="24"/>
                    </w:rPr>
                  </w:pPr>
                  <w:r w:rsidRPr="00234A5F">
                    <w:rPr>
                      <w:szCs w:val="24"/>
                    </w:rPr>
                    <w:t>3</w:t>
                  </w:r>
                  <w:r w:rsidR="00E955E8">
                    <w:rPr>
                      <w:szCs w:val="24"/>
                    </w:rPr>
                    <w:t>.</w:t>
                  </w:r>
                </w:p>
              </w:tc>
              <w:tc>
                <w:tcPr>
                  <w:tcW w:w="685" w:type="pct"/>
                  <w:tcBorders>
                    <w:top w:val="single" w:sz="6" w:space="0" w:color="000000"/>
                    <w:left w:val="single" w:sz="6" w:space="0" w:color="000000"/>
                    <w:bottom w:val="single" w:sz="6" w:space="0" w:color="000000"/>
                    <w:right w:val="single" w:sz="6" w:space="0" w:color="000000"/>
                  </w:tcBorders>
                </w:tcPr>
                <w:p w14:paraId="13F5D76B" w14:textId="29BB7538" w:rsidR="00C33E83" w:rsidRPr="00234A5F" w:rsidRDefault="00202EC0" w:rsidP="00C33E83">
                  <w:pPr>
                    <w:jc w:val="both"/>
                    <w:rPr>
                      <w:szCs w:val="24"/>
                    </w:rPr>
                  </w:pPr>
                  <w:r w:rsidRPr="000A6576">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5955DCF7" w14:textId="23B5DBAD" w:rsidR="00C33E83" w:rsidRPr="00234A5F" w:rsidRDefault="00C859EE" w:rsidP="00C33E83">
                  <w:pPr>
                    <w:jc w:val="both"/>
                    <w:rPr>
                      <w:szCs w:val="24"/>
                    </w:rPr>
                  </w:pPr>
                  <w:r w:rsidRPr="181E9AFB">
                    <w:rPr>
                      <w:lang w:eastAsia="lt-LT"/>
                    </w:rPr>
                    <w:t>Pareiškėjo nuosavo įnašo dydis</w:t>
                  </w:r>
                  <w:r>
                    <w:t xml:space="preserve"> veiklai įrangai įsigyti ir (arba) atnaujinti</w:t>
                  </w:r>
                </w:p>
              </w:tc>
              <w:tc>
                <w:tcPr>
                  <w:tcW w:w="682" w:type="pct"/>
                  <w:tcBorders>
                    <w:top w:val="single" w:sz="6" w:space="0" w:color="000000"/>
                    <w:left w:val="single" w:sz="6" w:space="0" w:color="000000"/>
                    <w:bottom w:val="single" w:sz="6" w:space="0" w:color="000000"/>
                    <w:right w:val="single" w:sz="6" w:space="0" w:color="000000"/>
                  </w:tcBorders>
                </w:tcPr>
                <w:p w14:paraId="28A35BA8" w14:textId="77777777" w:rsidR="00B13A48" w:rsidRDefault="00372699" w:rsidP="00C33E83">
                  <w:pPr>
                    <w:jc w:val="both"/>
                    <w:rPr>
                      <w:szCs w:val="24"/>
                    </w:rPr>
                  </w:pPr>
                  <w:r w:rsidRPr="007F579C">
                    <w:rPr>
                      <w:szCs w:val="24"/>
                    </w:rPr>
                    <w:t xml:space="preserve">Vertinamas pareiškėjo tinkamų finansuoti išlaidų nuosavo įnašo santykis su </w:t>
                  </w:r>
                  <w:r w:rsidRPr="00234A5F">
                    <w:rPr>
                      <w:color w:val="000000" w:themeColor="text1"/>
                      <w:szCs w:val="24"/>
                    </w:rPr>
                    <w:t xml:space="preserve">visa projekto tinkamų finansuoti išlaidų suma. </w:t>
                  </w:r>
                  <w:r w:rsidRPr="007F579C">
                    <w:rPr>
                      <w:szCs w:val="24"/>
                    </w:rPr>
                    <w:t>Didesnis balas suteikiamas tiems projektams, kurių pareiškėjo nuosavo įnašo santykis su visa projekto tinkamų finansuoti išlaidų suma yra didesnis.</w:t>
                  </w:r>
                  <w:r>
                    <w:rPr>
                      <w:szCs w:val="24"/>
                    </w:rPr>
                    <w:t xml:space="preserve"> </w:t>
                  </w:r>
                </w:p>
                <w:p w14:paraId="00DBA5A6" w14:textId="77777777" w:rsidR="00B13A48" w:rsidRDefault="00B13A48" w:rsidP="00C33E83">
                  <w:pPr>
                    <w:jc w:val="both"/>
                    <w:rPr>
                      <w:szCs w:val="24"/>
                    </w:rPr>
                  </w:pPr>
                </w:p>
                <w:p w14:paraId="4E0AD94E" w14:textId="1DFFFEB8" w:rsidR="00C33E83" w:rsidRPr="00234A5F" w:rsidRDefault="00372699" w:rsidP="007E1D6F">
                  <w:pPr>
                    <w:jc w:val="lowKashida"/>
                    <w:rPr>
                      <w:szCs w:val="24"/>
                    </w:rPr>
                  </w:pPr>
                  <w:r w:rsidRPr="007F579C">
                    <w:rPr>
                      <w:szCs w:val="24"/>
                    </w:rPr>
                    <w:t>Vertinama pagal pareiškėjo PĮP pateiktą informaciją.</w:t>
                  </w:r>
                  <w:r>
                    <w:rPr>
                      <w:szCs w:val="24"/>
                    </w:rPr>
                    <w:t xml:space="preserve"> </w:t>
                  </w:r>
                  <w:r w:rsidRPr="007B3625">
                    <w:rPr>
                      <w:szCs w:val="24"/>
                    </w:rPr>
                    <w:t xml:space="preserve">Projektai išdėstomi iš eilės nuo didžiausio iki mažiausio pagal pareiškėjo nuosavo įnašo santykį su visa projekto tinkamų finansuoti išlaidų suma. 10 procentų projektų (apvalinama iki sveiko skaičiaus, pagal matematines taisykles), kuriuose pareiškėjo nuosavo įnašo santykis su visa projekto tinkamų finansuoti išlaidų suma, yra didžiausias, vertinami </w:t>
                  </w:r>
                  <w:r w:rsidRPr="007F045E">
                    <w:rPr>
                      <w:szCs w:val="24"/>
                    </w:rPr>
                    <w:t>2</w:t>
                  </w:r>
                  <w:r w:rsidRPr="007B3625">
                    <w:rPr>
                      <w:szCs w:val="24"/>
                    </w:rPr>
                    <w:t>0 balų. Į kiekvieną kitą 10 procentų intervalą patenkantys projektai vertinami suteikiant</w:t>
                  </w:r>
                  <w:r>
                    <w:rPr>
                      <w:szCs w:val="24"/>
                    </w:rPr>
                    <w:t xml:space="preserve"> 2</w:t>
                  </w:r>
                  <w:r w:rsidRPr="007B3625">
                    <w:rPr>
                      <w:szCs w:val="24"/>
                    </w:rPr>
                    <w:t xml:space="preserve"> bal</w:t>
                  </w:r>
                  <w:r>
                    <w:rPr>
                      <w:szCs w:val="24"/>
                    </w:rPr>
                    <w:t>ais</w:t>
                  </w:r>
                  <w:r w:rsidRPr="007B3625">
                    <w:rPr>
                      <w:szCs w:val="24"/>
                    </w:rPr>
                    <w:t xml:space="preserve"> mažesnį įvertinimą</w:t>
                  </w:r>
                  <w:r>
                    <w:rPr>
                      <w:szCs w:val="24"/>
                    </w:rPr>
                    <w:t>.</w:t>
                  </w:r>
                </w:p>
              </w:tc>
              <w:tc>
                <w:tcPr>
                  <w:tcW w:w="759" w:type="pct"/>
                  <w:tcBorders>
                    <w:top w:val="single" w:sz="6" w:space="0" w:color="000000"/>
                    <w:left w:val="single" w:sz="6" w:space="0" w:color="000000"/>
                    <w:bottom w:val="single" w:sz="6" w:space="0" w:color="000000"/>
                    <w:right w:val="single" w:sz="6" w:space="0" w:color="000000"/>
                  </w:tcBorders>
                </w:tcPr>
                <w:p w14:paraId="113F5C8E" w14:textId="21E755AA" w:rsidR="00C33E83" w:rsidRPr="00234A5F" w:rsidRDefault="008F6E15" w:rsidP="00C33E83">
                  <w:pPr>
                    <w:jc w:val="both"/>
                    <w:rPr>
                      <w:szCs w:val="24"/>
                    </w:rPr>
                  </w:pPr>
                  <w:r>
                    <w:rPr>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6CE778C" w14:textId="3C66364E" w:rsidR="00C33E83" w:rsidRPr="00234A5F" w:rsidRDefault="000C503D" w:rsidP="00C33E83">
                  <w:pPr>
                    <w:jc w:val="both"/>
                    <w:rPr>
                      <w:szCs w:val="24"/>
                    </w:rPr>
                  </w:pPr>
                  <w:r>
                    <w:rPr>
                      <w:szCs w:val="24"/>
                    </w:rPr>
                    <w:t>-</w:t>
                  </w:r>
                </w:p>
              </w:tc>
              <w:tc>
                <w:tcPr>
                  <w:tcW w:w="984" w:type="pct"/>
                  <w:tcBorders>
                    <w:top w:val="single" w:sz="6" w:space="0" w:color="000000"/>
                    <w:left w:val="single" w:sz="6" w:space="0" w:color="000000"/>
                    <w:bottom w:val="single" w:sz="6" w:space="0" w:color="000000"/>
                    <w:right w:val="single" w:sz="6" w:space="0" w:color="000000"/>
                  </w:tcBorders>
                </w:tcPr>
                <w:p w14:paraId="79CD0608" w14:textId="77B34488" w:rsidR="00C33E83" w:rsidRPr="00234A5F" w:rsidRDefault="000C503D" w:rsidP="00C33E83">
                  <w:pPr>
                    <w:jc w:val="both"/>
                    <w:rPr>
                      <w:szCs w:val="24"/>
                    </w:rPr>
                  </w:pPr>
                  <w:r>
                    <w:rPr>
                      <w:szCs w:val="24"/>
                    </w:rPr>
                    <w:t>-</w:t>
                  </w:r>
                </w:p>
              </w:tc>
            </w:tr>
            <w:tr w:rsidR="00C859EE" w14:paraId="51305708" w14:textId="77777777" w:rsidTr="000A6576">
              <w:tc>
                <w:tcPr>
                  <w:tcW w:w="372" w:type="pct"/>
                  <w:tcBorders>
                    <w:top w:val="single" w:sz="6" w:space="0" w:color="000000"/>
                    <w:left w:val="single" w:sz="6" w:space="0" w:color="000000"/>
                    <w:bottom w:val="single" w:sz="6" w:space="0" w:color="000000"/>
                    <w:right w:val="single" w:sz="6" w:space="0" w:color="000000"/>
                  </w:tcBorders>
                </w:tcPr>
                <w:p w14:paraId="12F59EC1" w14:textId="20C753E8" w:rsidR="00C859EE" w:rsidRPr="00234A5F" w:rsidRDefault="00C859EE" w:rsidP="00C859EE">
                  <w:pPr>
                    <w:jc w:val="both"/>
                    <w:rPr>
                      <w:szCs w:val="24"/>
                    </w:rPr>
                  </w:pPr>
                  <w:r w:rsidRPr="00234A5F">
                    <w:rPr>
                      <w:szCs w:val="24"/>
                    </w:rPr>
                    <w:t>4</w:t>
                  </w:r>
                  <w:r w:rsidR="00E955E8">
                    <w:rPr>
                      <w:szCs w:val="24"/>
                    </w:rPr>
                    <w:t>.</w:t>
                  </w:r>
                </w:p>
              </w:tc>
              <w:tc>
                <w:tcPr>
                  <w:tcW w:w="685" w:type="pct"/>
                  <w:tcBorders>
                    <w:top w:val="single" w:sz="6" w:space="0" w:color="000000"/>
                    <w:left w:val="single" w:sz="6" w:space="0" w:color="000000"/>
                    <w:bottom w:val="single" w:sz="6" w:space="0" w:color="000000"/>
                    <w:right w:val="single" w:sz="6" w:space="0" w:color="000000"/>
                  </w:tcBorders>
                </w:tcPr>
                <w:p w14:paraId="73D8036A" w14:textId="4EE1A16D" w:rsidR="00C859EE" w:rsidRPr="00234A5F" w:rsidRDefault="00C859EE" w:rsidP="00C859EE">
                  <w:pPr>
                    <w:jc w:val="both"/>
                    <w:rPr>
                      <w:szCs w:val="24"/>
                    </w:rPr>
                  </w:pPr>
                  <w:r w:rsidRPr="000A6576">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4107E747" w14:textId="09ED376B" w:rsidR="00C859EE" w:rsidRPr="00234A5F" w:rsidRDefault="00C859EE" w:rsidP="00C859EE">
                  <w:pPr>
                    <w:jc w:val="both"/>
                    <w:rPr>
                      <w:szCs w:val="24"/>
                    </w:rPr>
                  </w:pPr>
                  <w:r w:rsidRPr="00B672AF">
                    <w:t>Pareiškėjo negautos EK dotacijos pagal konkrečią susietojo projekto paraišką santykis su pareiškėjo mokslo laboratorijos ar kitos mokslo infrastruktūros įrangos įsigijimui ir (arba) atnaujinimui prašoma projektui skirti finansavimo lėšų suma</w:t>
                  </w:r>
                </w:p>
              </w:tc>
              <w:tc>
                <w:tcPr>
                  <w:tcW w:w="682" w:type="pct"/>
                  <w:tcBorders>
                    <w:top w:val="single" w:sz="6" w:space="0" w:color="000000"/>
                    <w:left w:val="single" w:sz="6" w:space="0" w:color="000000"/>
                    <w:bottom w:val="single" w:sz="6" w:space="0" w:color="000000"/>
                    <w:right w:val="single" w:sz="6" w:space="0" w:color="000000"/>
                  </w:tcBorders>
                </w:tcPr>
                <w:p w14:paraId="6620F96D" w14:textId="5728AB6E" w:rsidR="005922E1" w:rsidRDefault="005922E1" w:rsidP="008234FE">
                  <w:pPr>
                    <w:jc w:val="both"/>
                    <w:rPr>
                      <w:szCs w:val="24"/>
                    </w:rPr>
                  </w:pPr>
                  <w:r w:rsidRPr="005922E1">
                    <w:rPr>
                      <w:szCs w:val="24"/>
                    </w:rPr>
                    <w:t>Vertinamas konkrečioje susietojo projekto paraiškoje pareiškėjo negautos EK dotacijos, išreikštos eurais, santykis su pareiškėjo PĮP nurodoma prašoma projektui skirti finansavimo lėšų suma, išreikšta eurais.</w:t>
                  </w:r>
                </w:p>
                <w:p w14:paraId="40E1CBBC" w14:textId="77777777" w:rsidR="005922E1" w:rsidRDefault="005922E1" w:rsidP="005922E1">
                  <w:pPr>
                    <w:rPr>
                      <w:szCs w:val="24"/>
                    </w:rPr>
                  </w:pPr>
                </w:p>
                <w:p w14:paraId="22FEE671" w14:textId="08DDF454" w:rsidR="005922E1" w:rsidRPr="005922E1" w:rsidRDefault="005922E1" w:rsidP="005922E1">
                  <w:pPr>
                    <w:rPr>
                      <w:szCs w:val="24"/>
                    </w:rPr>
                  </w:pPr>
                  <w:r w:rsidRPr="005922E1">
                    <w:rPr>
                      <w:szCs w:val="24"/>
                    </w:rPr>
                    <w:t>Vertinama pagal pareiškėjo PĮP pateiktą informaciją apie prašomą projektui skirti finansavimo lėšų sumą ir susietojo projekto paraiškoje suplanuotą pareiškėjo gautiną EK dotaciją</w:t>
                  </w:r>
                  <w:r w:rsidR="00327301">
                    <w:rPr>
                      <w:szCs w:val="24"/>
                    </w:rPr>
                    <w:t>:</w:t>
                  </w:r>
                </w:p>
                <w:p w14:paraId="5353616C" w14:textId="77777777" w:rsidR="005922E1" w:rsidRDefault="005922E1" w:rsidP="008234FE">
                  <w:pPr>
                    <w:jc w:val="both"/>
                    <w:rPr>
                      <w:szCs w:val="24"/>
                    </w:rPr>
                  </w:pPr>
                </w:p>
                <w:p w14:paraId="102837C3" w14:textId="379C20FB" w:rsidR="008234FE" w:rsidRPr="007F045E" w:rsidRDefault="004D4336" w:rsidP="008234FE">
                  <w:pPr>
                    <w:jc w:val="both"/>
                    <w:rPr>
                      <w:szCs w:val="24"/>
                    </w:rPr>
                  </w:pPr>
                  <w:r>
                    <w:rPr>
                      <w:szCs w:val="24"/>
                    </w:rPr>
                    <w:t>- j</w:t>
                  </w:r>
                  <w:r w:rsidR="008234FE">
                    <w:rPr>
                      <w:szCs w:val="24"/>
                    </w:rPr>
                    <w:t>eigu</w:t>
                  </w:r>
                  <w:r w:rsidR="008234FE" w:rsidRPr="00F44E03">
                    <w:rPr>
                      <w:szCs w:val="24"/>
                    </w:rPr>
                    <w:t xml:space="preserve"> negautos EK dotacijos, išreikštos eurais, santykis su pareiškėjo PĮP nurodoma prašoma projektui skirti finansavimo lėšų suma, išreikšta eurais</w:t>
                  </w:r>
                  <w:r w:rsidR="008234FE">
                    <w:rPr>
                      <w:szCs w:val="24"/>
                    </w:rPr>
                    <w:t xml:space="preserve">, yra </w:t>
                  </w:r>
                  <w:r w:rsidR="008234FE" w:rsidRPr="007F045E">
                    <w:rPr>
                      <w:szCs w:val="24"/>
                    </w:rPr>
                    <w:t>1,</w:t>
                  </w:r>
                  <w:r>
                    <w:rPr>
                      <w:szCs w:val="24"/>
                    </w:rPr>
                    <w:t>5</w:t>
                  </w:r>
                  <w:r w:rsidR="008234FE" w:rsidRPr="007F045E">
                    <w:rPr>
                      <w:szCs w:val="24"/>
                    </w:rPr>
                    <w:t xml:space="preserve"> </w:t>
                  </w:r>
                  <w:r w:rsidR="008234FE" w:rsidRPr="00CC0F83">
                    <w:rPr>
                      <w:szCs w:val="24"/>
                    </w:rPr>
                    <w:t>ir daugiau</w:t>
                  </w:r>
                  <w:r w:rsidR="00EE5EB6">
                    <w:rPr>
                      <w:szCs w:val="24"/>
                    </w:rPr>
                    <w:t xml:space="preserve"> – </w:t>
                  </w:r>
                  <w:r w:rsidR="00752D37">
                    <w:rPr>
                      <w:szCs w:val="24"/>
                    </w:rPr>
                    <w:t>10 balų</w:t>
                  </w:r>
                  <w:r>
                    <w:rPr>
                      <w:szCs w:val="24"/>
                    </w:rPr>
                    <w:t>;</w:t>
                  </w:r>
                </w:p>
                <w:p w14:paraId="71EFF71F" w14:textId="6587D725" w:rsidR="008234FE" w:rsidRDefault="004D4336" w:rsidP="008234FE">
                  <w:pPr>
                    <w:jc w:val="both"/>
                    <w:rPr>
                      <w:szCs w:val="24"/>
                    </w:rPr>
                  </w:pPr>
                  <w:r>
                    <w:rPr>
                      <w:szCs w:val="24"/>
                    </w:rPr>
                    <w:t>- j</w:t>
                  </w:r>
                  <w:r w:rsidR="008234FE" w:rsidRPr="00825A48">
                    <w:rPr>
                      <w:szCs w:val="24"/>
                    </w:rPr>
                    <w:t>ei</w:t>
                  </w:r>
                  <w:r w:rsidR="008234FE">
                    <w:rPr>
                      <w:szCs w:val="24"/>
                    </w:rPr>
                    <w:t>gu</w:t>
                  </w:r>
                  <w:r w:rsidR="008234FE" w:rsidRPr="00825A48">
                    <w:rPr>
                      <w:szCs w:val="24"/>
                    </w:rPr>
                    <w:t xml:space="preserve"> negautos EK dotacijos, išreikštos eurais, santykis su pareiškėjo PĮP nurodoma prašoma projektui skirti finansavimo lėšų suma, išreikšta eurais, yra </w:t>
                  </w:r>
                  <w:r w:rsidR="008234FE">
                    <w:rPr>
                      <w:szCs w:val="24"/>
                    </w:rPr>
                    <w:t>iki</w:t>
                  </w:r>
                  <w:r w:rsidR="008234FE" w:rsidRPr="00825A48">
                    <w:rPr>
                      <w:szCs w:val="24"/>
                    </w:rPr>
                    <w:t xml:space="preserve"> </w:t>
                  </w:r>
                  <w:r w:rsidR="008234FE">
                    <w:rPr>
                      <w:szCs w:val="24"/>
                    </w:rPr>
                    <w:t>1,</w:t>
                  </w:r>
                  <w:r>
                    <w:rPr>
                      <w:szCs w:val="24"/>
                    </w:rPr>
                    <w:t>4</w:t>
                  </w:r>
                  <w:r w:rsidR="008234FE">
                    <w:rPr>
                      <w:szCs w:val="24"/>
                    </w:rPr>
                    <w:t>9</w:t>
                  </w:r>
                  <w:r w:rsidR="00752D37">
                    <w:rPr>
                      <w:szCs w:val="24"/>
                    </w:rPr>
                    <w:t xml:space="preserve"> – 5 balai</w:t>
                  </w:r>
                  <w:r w:rsidR="008234FE">
                    <w:rPr>
                      <w:szCs w:val="24"/>
                    </w:rPr>
                    <w:t>.</w:t>
                  </w:r>
                </w:p>
                <w:p w14:paraId="67406CAD" w14:textId="77777777" w:rsidR="00C859EE" w:rsidRPr="00234A5F" w:rsidRDefault="00C859EE" w:rsidP="00C859EE">
                  <w:pPr>
                    <w:jc w:val="both"/>
                    <w:rPr>
                      <w:szCs w:val="24"/>
                    </w:rPr>
                  </w:pPr>
                </w:p>
              </w:tc>
              <w:tc>
                <w:tcPr>
                  <w:tcW w:w="759" w:type="pct"/>
                  <w:tcBorders>
                    <w:top w:val="single" w:sz="6" w:space="0" w:color="000000"/>
                    <w:left w:val="single" w:sz="6" w:space="0" w:color="000000"/>
                    <w:bottom w:val="single" w:sz="6" w:space="0" w:color="000000"/>
                    <w:right w:val="single" w:sz="6" w:space="0" w:color="000000"/>
                  </w:tcBorders>
                </w:tcPr>
                <w:p w14:paraId="5FD21D63" w14:textId="77777777" w:rsidR="00C859EE" w:rsidRDefault="00C859EE" w:rsidP="00C859EE">
                  <w:pPr>
                    <w:jc w:val="both"/>
                    <w:rPr>
                      <w:szCs w:val="24"/>
                    </w:rPr>
                  </w:pPr>
                  <w:r>
                    <w:rPr>
                      <w:szCs w:val="24"/>
                    </w:rPr>
                    <w:t>10</w:t>
                  </w:r>
                </w:p>
                <w:p w14:paraId="2D96198B" w14:textId="46A84D98" w:rsidR="00E955E8" w:rsidRPr="00234A5F" w:rsidRDefault="00E955E8" w:rsidP="00C859EE">
                  <w:pPr>
                    <w:jc w:val="both"/>
                    <w:rPr>
                      <w:szCs w:val="24"/>
                    </w:rPr>
                  </w:pPr>
                </w:p>
              </w:tc>
              <w:tc>
                <w:tcPr>
                  <w:tcW w:w="834" w:type="pct"/>
                  <w:tcBorders>
                    <w:top w:val="single" w:sz="6" w:space="0" w:color="000000"/>
                    <w:left w:val="single" w:sz="6" w:space="0" w:color="000000"/>
                    <w:bottom w:val="single" w:sz="6" w:space="0" w:color="000000"/>
                    <w:right w:val="single" w:sz="6" w:space="0" w:color="000000"/>
                  </w:tcBorders>
                </w:tcPr>
                <w:p w14:paraId="725EA42A" w14:textId="30FEB240" w:rsidR="00C859EE" w:rsidRPr="00234A5F" w:rsidRDefault="00C859EE" w:rsidP="00C859EE">
                  <w:pPr>
                    <w:jc w:val="both"/>
                    <w:rPr>
                      <w:szCs w:val="24"/>
                    </w:rPr>
                  </w:pPr>
                  <w:r>
                    <w:rPr>
                      <w:szCs w:val="24"/>
                    </w:rPr>
                    <w:t>-</w:t>
                  </w:r>
                </w:p>
              </w:tc>
              <w:tc>
                <w:tcPr>
                  <w:tcW w:w="984" w:type="pct"/>
                  <w:tcBorders>
                    <w:top w:val="single" w:sz="6" w:space="0" w:color="000000"/>
                    <w:left w:val="single" w:sz="6" w:space="0" w:color="000000"/>
                    <w:bottom w:val="single" w:sz="6" w:space="0" w:color="000000"/>
                    <w:right w:val="single" w:sz="6" w:space="0" w:color="000000"/>
                  </w:tcBorders>
                </w:tcPr>
                <w:p w14:paraId="33CCC1B7" w14:textId="2D99AFDA" w:rsidR="00C859EE" w:rsidRPr="00234A5F" w:rsidRDefault="00C859EE" w:rsidP="00C859EE">
                  <w:pPr>
                    <w:jc w:val="both"/>
                    <w:rPr>
                      <w:szCs w:val="24"/>
                    </w:rPr>
                  </w:pPr>
                  <w:r>
                    <w:rPr>
                      <w:szCs w:val="24"/>
                    </w:rPr>
                    <w:t>-</w:t>
                  </w:r>
                </w:p>
              </w:tc>
            </w:tr>
          </w:tbl>
          <w:p w14:paraId="0F9C7C39" w14:textId="77777777" w:rsidR="002E7B7D" w:rsidRDefault="002E7B7D" w:rsidP="002E7B7D">
            <w:pPr>
              <w:jc w:val="both"/>
              <w:rPr>
                <w:szCs w:val="24"/>
              </w:rPr>
            </w:pPr>
            <w:r w:rsidRPr="00234A5F">
              <w:rPr>
                <w:b/>
                <w:bCs/>
                <w:color w:val="000000"/>
              </w:rPr>
              <w:t>Pastaba.</w:t>
            </w:r>
            <w:r w:rsidRPr="00F24591">
              <w:rPr>
                <w:b/>
                <w:bCs/>
                <w:color w:val="000000"/>
              </w:rPr>
              <w:t xml:space="preserve"> </w:t>
            </w:r>
            <w:r>
              <w:rPr>
                <w:color w:val="000000"/>
              </w:rPr>
              <w:t>M</w:t>
            </w:r>
            <w:r w:rsidRPr="00D11992">
              <w:rPr>
                <w:color w:val="000000"/>
              </w:rPr>
              <w:t>ažiausia prioritetinių atrankos kriterijų balų suma, kurią turi surinkti planuojamas finansuoti projektas</w:t>
            </w:r>
            <w:r>
              <w:rPr>
                <w:color w:val="000000"/>
              </w:rPr>
              <w:t>, – 15 balų.</w:t>
            </w:r>
          </w:p>
          <w:p w14:paraId="53E7893E" w14:textId="77777777" w:rsidR="006676F6" w:rsidRDefault="006676F6">
            <w:pPr>
              <w:suppressAutoHyphens/>
              <w:jc w:val="both"/>
              <w:rPr>
                <w:iCs/>
                <w:color w:val="000000"/>
                <w:szCs w:val="24"/>
              </w:rPr>
            </w:pPr>
          </w:p>
          <w:p w14:paraId="08B9D6AD" w14:textId="31865D76" w:rsidR="00C33E83" w:rsidRDefault="00890460">
            <w:pPr>
              <w:suppressAutoHyphens/>
              <w:jc w:val="both"/>
              <w:rPr>
                <w:iCs/>
                <w:color w:val="000000"/>
                <w:szCs w:val="24"/>
              </w:rPr>
            </w:pPr>
            <w:r>
              <w:rPr>
                <w:iCs/>
                <w:color w:val="000000"/>
                <w:szCs w:val="24"/>
              </w:rPr>
              <w:t xml:space="preserve">12.3. </w:t>
            </w:r>
            <w:r w:rsidR="002E7B7D">
              <w:rPr>
                <w:lang w:eastAsia="lt-LT"/>
              </w:rPr>
              <w:t>Susietojo projekto paraišk</w:t>
            </w:r>
            <w:r w:rsidR="00634FC9">
              <w:rPr>
                <w:lang w:eastAsia="lt-LT"/>
              </w:rPr>
              <w:t>os</w:t>
            </w:r>
            <w:r w:rsidR="002E7B7D">
              <w:rPr>
                <w:lang w:eastAsia="lt-LT"/>
              </w:rPr>
              <w:t xml:space="preserve"> </w:t>
            </w:r>
            <w:r w:rsidR="00634FC9">
              <w:rPr>
                <w:lang w:eastAsia="lt-LT"/>
              </w:rPr>
              <w:t xml:space="preserve">galutinio </w:t>
            </w:r>
            <w:r w:rsidR="002E7B7D">
              <w:t xml:space="preserve">EK </w:t>
            </w:r>
            <w:r w:rsidR="00634FC9">
              <w:t>įvertinimo, kurį atliko</w:t>
            </w:r>
            <w:r w:rsidR="00F569D3">
              <w:t xml:space="preserve"> tarptautiniai ekspertai, skaitin</w:t>
            </w:r>
            <w:r w:rsidR="00EC515C">
              <w:t>ei</w:t>
            </w:r>
            <w:r w:rsidR="00F569D3">
              <w:t xml:space="preserve"> vert</w:t>
            </w:r>
            <w:r w:rsidR="00EC515C">
              <w:t xml:space="preserve">ei </w:t>
            </w:r>
            <w:r w:rsidR="00E84480" w:rsidRPr="002454BA">
              <w:rPr>
                <w:lang w:eastAsia="lt-LT"/>
              </w:rPr>
              <w:t>(vienetais, procentais)</w:t>
            </w:r>
            <w:r w:rsidR="00E84480">
              <w:rPr>
                <w:lang w:eastAsia="lt-LT"/>
              </w:rPr>
              <w:t xml:space="preserve"> </w:t>
            </w:r>
            <w:r w:rsidR="00E84480">
              <w:t xml:space="preserve">suteikiamas didžiausias galimas kriterijaus </w:t>
            </w:r>
            <w:r w:rsidR="004F6818">
              <w:t>,,</w:t>
            </w:r>
            <w:r w:rsidR="004F6818">
              <w:rPr>
                <w:lang w:eastAsia="lt-LT"/>
              </w:rPr>
              <w:t xml:space="preserve">Susietojo projekto paraiškai </w:t>
            </w:r>
            <w:r w:rsidR="004F6818">
              <w:t xml:space="preserve">EK </w:t>
            </w:r>
            <w:r w:rsidR="004F6818" w:rsidRPr="181E9AFB">
              <w:rPr>
                <w:lang w:eastAsia="lt-LT"/>
              </w:rPr>
              <w:t xml:space="preserve">suteiktas </w:t>
            </w:r>
            <w:r w:rsidR="004F6818">
              <w:rPr>
                <w:lang w:eastAsia="lt-LT"/>
              </w:rPr>
              <w:t xml:space="preserve">galutinis </w:t>
            </w:r>
            <w:r w:rsidR="004F6818" w:rsidRPr="181E9AFB">
              <w:rPr>
                <w:lang w:eastAsia="lt-LT"/>
              </w:rPr>
              <w:t>įvertinimas</w:t>
            </w:r>
            <w:r w:rsidR="004F6818">
              <w:rPr>
                <w:lang w:eastAsia="lt-LT"/>
              </w:rPr>
              <w:t>“</w:t>
            </w:r>
            <w:r w:rsidR="004F6818">
              <w:t xml:space="preserve"> </w:t>
            </w:r>
            <w:r w:rsidR="00E84480">
              <w:t>balas</w:t>
            </w:r>
            <w:r w:rsidR="002E7B7D">
              <w:rPr>
                <w:iCs/>
                <w:color w:val="000000"/>
                <w:szCs w:val="24"/>
              </w:rPr>
              <w:t>:</w:t>
            </w:r>
          </w:p>
          <w:tbl>
            <w:tblPr>
              <w:tblStyle w:val="TableGrid"/>
              <w:tblW w:w="0" w:type="auto"/>
              <w:tblLook w:val="04A0" w:firstRow="1" w:lastRow="0" w:firstColumn="1" w:lastColumn="0" w:noHBand="0" w:noVBand="1"/>
            </w:tblPr>
            <w:tblGrid>
              <w:gridCol w:w="2981"/>
              <w:gridCol w:w="2981"/>
              <w:gridCol w:w="2982"/>
              <w:gridCol w:w="2982"/>
              <w:gridCol w:w="2982"/>
            </w:tblGrid>
            <w:tr w:rsidR="004B70A2" w14:paraId="55042752" w14:textId="77777777" w:rsidTr="000A43C9">
              <w:tc>
                <w:tcPr>
                  <w:tcW w:w="2981" w:type="dxa"/>
                  <w:vMerge w:val="restart"/>
                </w:tcPr>
                <w:p w14:paraId="38FE0B51" w14:textId="35B79A17" w:rsidR="004B70A2" w:rsidRPr="00520D9E" w:rsidRDefault="00CE1B92" w:rsidP="00234A5F">
                  <w:pPr>
                    <w:suppressAutoHyphens/>
                    <w:jc w:val="center"/>
                    <w:rPr>
                      <w:szCs w:val="24"/>
                      <w:lang w:eastAsia="lt-LT"/>
                    </w:rPr>
                  </w:pPr>
                  <w:r>
                    <w:rPr>
                      <w:szCs w:val="24"/>
                      <w:lang w:eastAsia="lt-LT"/>
                    </w:rPr>
                    <w:t>Suteikiama balų</w:t>
                  </w:r>
                </w:p>
              </w:tc>
              <w:tc>
                <w:tcPr>
                  <w:tcW w:w="11927" w:type="dxa"/>
                  <w:gridSpan w:val="4"/>
                </w:tcPr>
                <w:p w14:paraId="7C835295" w14:textId="0EBA063F" w:rsidR="004B70A2" w:rsidRPr="00520D9E" w:rsidRDefault="001F4880" w:rsidP="00234A5F">
                  <w:pPr>
                    <w:suppressAutoHyphens/>
                    <w:jc w:val="center"/>
                    <w:rPr>
                      <w:szCs w:val="24"/>
                      <w:lang w:eastAsia="lt-LT"/>
                    </w:rPr>
                  </w:pPr>
                  <w:r>
                    <w:rPr>
                      <w:szCs w:val="24"/>
                      <w:lang w:eastAsia="lt-LT"/>
                    </w:rPr>
                    <w:t>S</w:t>
                  </w:r>
                  <w:r w:rsidRPr="00520D9E">
                    <w:rPr>
                      <w:szCs w:val="24"/>
                      <w:lang w:eastAsia="lt-LT"/>
                    </w:rPr>
                    <w:t>usietojo projekto paraišk</w:t>
                  </w:r>
                  <w:r>
                    <w:rPr>
                      <w:szCs w:val="24"/>
                      <w:lang w:eastAsia="lt-LT"/>
                    </w:rPr>
                    <w:t>os</w:t>
                  </w:r>
                  <w:r w:rsidR="00DE1814">
                    <w:rPr>
                      <w:szCs w:val="24"/>
                      <w:lang w:eastAsia="lt-LT"/>
                    </w:rPr>
                    <w:t xml:space="preserve"> galutinis EK įvertinimas </w:t>
                  </w:r>
                  <w:r w:rsidR="006D0EFA">
                    <w:rPr>
                      <w:szCs w:val="24"/>
                      <w:lang w:eastAsia="lt-LT"/>
                    </w:rPr>
                    <w:t>(</w:t>
                  </w:r>
                  <w:r w:rsidR="00B043D7">
                    <w:rPr>
                      <w:szCs w:val="24"/>
                      <w:lang w:eastAsia="lt-LT"/>
                    </w:rPr>
                    <w:t xml:space="preserve">EK įvertinimo </w:t>
                  </w:r>
                  <w:r w:rsidR="00DA41F3">
                    <w:rPr>
                      <w:szCs w:val="24"/>
                      <w:lang w:eastAsia="lt-LT"/>
                    </w:rPr>
                    <w:t xml:space="preserve">statusu, </w:t>
                  </w:r>
                  <w:r w:rsidR="006D0EFA">
                    <w:rPr>
                      <w:szCs w:val="24"/>
                      <w:lang w:eastAsia="lt-LT"/>
                    </w:rPr>
                    <w:t xml:space="preserve">vienetais, procentais) </w:t>
                  </w:r>
                  <w:r w:rsidR="00DE1814">
                    <w:rPr>
                      <w:szCs w:val="24"/>
                      <w:lang w:eastAsia="lt-LT"/>
                    </w:rPr>
                    <w:t>pagal</w:t>
                  </w:r>
                  <w:r>
                    <w:rPr>
                      <w:szCs w:val="24"/>
                      <w:lang w:eastAsia="lt-LT"/>
                    </w:rPr>
                    <w:t xml:space="preserve"> </w:t>
                  </w:r>
                  <w:r w:rsidR="00DE1814">
                    <w:rPr>
                      <w:szCs w:val="24"/>
                      <w:lang w:eastAsia="lt-LT"/>
                    </w:rPr>
                    <w:t>p</w:t>
                  </w:r>
                  <w:r w:rsidR="00CD7384" w:rsidRPr="00520D9E">
                    <w:rPr>
                      <w:szCs w:val="24"/>
                      <w:lang w:eastAsia="lt-LT"/>
                    </w:rPr>
                    <w:t>rogramos ,,Europos horiz</w:t>
                  </w:r>
                  <w:r w:rsidR="006D2D2A" w:rsidRPr="00520D9E">
                    <w:rPr>
                      <w:szCs w:val="24"/>
                      <w:lang w:eastAsia="lt-LT"/>
                    </w:rPr>
                    <w:t>o</w:t>
                  </w:r>
                  <w:r w:rsidR="00CD7384" w:rsidRPr="00520D9E">
                    <w:rPr>
                      <w:szCs w:val="24"/>
                      <w:lang w:eastAsia="lt-LT"/>
                    </w:rPr>
                    <w:t xml:space="preserve">ntas“ arba </w:t>
                  </w:r>
                  <w:r w:rsidR="006D2D2A" w:rsidRPr="00520D9E">
                    <w:rPr>
                      <w:szCs w:val="24"/>
                      <w:lang w:eastAsia="lt-LT"/>
                    </w:rPr>
                    <w:t>programos ,,Euratomas</w:t>
                  </w:r>
                  <w:r w:rsidR="00520D9E">
                    <w:rPr>
                      <w:szCs w:val="24"/>
                      <w:lang w:eastAsia="lt-LT"/>
                    </w:rPr>
                    <w:t>“</w:t>
                  </w:r>
                  <w:r w:rsidR="006D2D2A" w:rsidRPr="00520D9E">
                    <w:rPr>
                      <w:szCs w:val="24"/>
                      <w:lang w:eastAsia="lt-LT"/>
                    </w:rPr>
                    <w:t xml:space="preserve"> veiksm</w:t>
                  </w:r>
                  <w:r w:rsidR="006D0EFA">
                    <w:rPr>
                      <w:szCs w:val="24"/>
                      <w:lang w:eastAsia="lt-LT"/>
                    </w:rPr>
                    <w:t>us</w:t>
                  </w:r>
                </w:p>
              </w:tc>
            </w:tr>
            <w:tr w:rsidR="004B70A2" w14:paraId="4A2863FD" w14:textId="77777777" w:rsidTr="000B69E5">
              <w:tc>
                <w:tcPr>
                  <w:tcW w:w="2981" w:type="dxa"/>
                  <w:vMerge/>
                </w:tcPr>
                <w:p w14:paraId="1B65651C" w14:textId="77777777" w:rsidR="004B70A2" w:rsidRPr="00520D9E" w:rsidRDefault="004B70A2" w:rsidP="00234A5F">
                  <w:pPr>
                    <w:suppressAutoHyphens/>
                    <w:jc w:val="center"/>
                    <w:rPr>
                      <w:szCs w:val="24"/>
                      <w:lang w:eastAsia="lt-LT"/>
                    </w:rPr>
                  </w:pPr>
                </w:p>
              </w:tc>
              <w:tc>
                <w:tcPr>
                  <w:tcW w:w="2981" w:type="dxa"/>
                </w:tcPr>
                <w:p w14:paraId="1BE4A15D" w14:textId="7B0B2879" w:rsidR="004B70A2" w:rsidRPr="00520D9E" w:rsidRDefault="00DC4311" w:rsidP="00234A5F">
                  <w:pPr>
                    <w:suppressAutoHyphens/>
                    <w:jc w:val="center"/>
                    <w:rPr>
                      <w:szCs w:val="24"/>
                      <w:lang w:eastAsia="lt-LT"/>
                    </w:rPr>
                  </w:pPr>
                  <w:r w:rsidRPr="00520D9E">
                    <w:rPr>
                      <w:iCs/>
                      <w:color w:val="000000"/>
                      <w:szCs w:val="24"/>
                    </w:rPr>
                    <w:t>ERC StG, ERC CoG, ERC AdG, ERC SynG</w:t>
                  </w:r>
                  <w:r w:rsidR="00B772A6">
                    <w:rPr>
                      <w:iCs/>
                      <w:color w:val="000000"/>
                      <w:szCs w:val="24"/>
                    </w:rPr>
                    <w:t xml:space="preserve"> projekt</w:t>
                  </w:r>
                  <w:r w:rsidR="00B043D7">
                    <w:rPr>
                      <w:iCs/>
                      <w:color w:val="000000"/>
                      <w:szCs w:val="24"/>
                    </w:rPr>
                    <w:t>ai</w:t>
                  </w:r>
                  <w:r w:rsidR="00DA41F3">
                    <w:rPr>
                      <w:iCs/>
                      <w:color w:val="000000"/>
                      <w:szCs w:val="24"/>
                    </w:rPr>
                    <w:t>,</w:t>
                  </w:r>
                  <w:r w:rsidR="00B043D7">
                    <w:rPr>
                      <w:iCs/>
                      <w:color w:val="000000"/>
                      <w:szCs w:val="24"/>
                    </w:rPr>
                    <w:t xml:space="preserve"> EK įvertinimo statusas </w:t>
                  </w:r>
                  <w:r w:rsidR="00B772A6">
                    <w:rPr>
                      <w:iCs/>
                      <w:color w:val="000000"/>
                      <w:szCs w:val="24"/>
                    </w:rPr>
                    <w:t xml:space="preserve"> </w:t>
                  </w:r>
                </w:p>
              </w:tc>
              <w:tc>
                <w:tcPr>
                  <w:tcW w:w="2982" w:type="dxa"/>
                </w:tcPr>
                <w:p w14:paraId="2D0F3D7C" w14:textId="7E1C3949" w:rsidR="004B70A2" w:rsidRPr="00520D9E" w:rsidRDefault="00FD6183" w:rsidP="00234A5F">
                  <w:pPr>
                    <w:suppressAutoHyphens/>
                    <w:jc w:val="center"/>
                    <w:rPr>
                      <w:szCs w:val="24"/>
                      <w:lang w:eastAsia="lt-LT"/>
                    </w:rPr>
                  </w:pPr>
                  <w:r>
                    <w:rPr>
                      <w:szCs w:val="24"/>
                      <w:lang w:eastAsia="lt-LT"/>
                    </w:rPr>
                    <w:t>Projekt</w:t>
                  </w:r>
                  <w:r w:rsidR="00DA41F3">
                    <w:rPr>
                      <w:szCs w:val="24"/>
                      <w:lang w:eastAsia="lt-LT"/>
                    </w:rPr>
                    <w:t>ai</w:t>
                  </w:r>
                  <w:r>
                    <w:rPr>
                      <w:szCs w:val="24"/>
                      <w:lang w:eastAsia="lt-LT"/>
                    </w:rPr>
                    <w:t xml:space="preserve"> pagal </w:t>
                  </w:r>
                  <w:r w:rsidR="003E714F" w:rsidRPr="00520D9E">
                    <w:rPr>
                      <w:szCs w:val="24"/>
                      <w:lang w:eastAsia="lt-LT"/>
                    </w:rPr>
                    <w:t>MS</w:t>
                  </w:r>
                  <w:r w:rsidR="00473198" w:rsidRPr="00520D9E">
                    <w:rPr>
                      <w:szCs w:val="24"/>
                      <w:lang w:eastAsia="lt-LT"/>
                    </w:rPr>
                    <w:t>C veiksm</w:t>
                  </w:r>
                  <w:r>
                    <w:rPr>
                      <w:szCs w:val="24"/>
                      <w:lang w:eastAsia="lt-LT"/>
                    </w:rPr>
                    <w:t>us, proc.</w:t>
                  </w:r>
                </w:p>
              </w:tc>
              <w:tc>
                <w:tcPr>
                  <w:tcW w:w="2982" w:type="dxa"/>
                </w:tcPr>
                <w:p w14:paraId="3CB68993" w14:textId="57147058" w:rsidR="004B70A2" w:rsidRPr="00520D9E" w:rsidRDefault="00FD6183" w:rsidP="00234A5F">
                  <w:pPr>
                    <w:suppressAutoHyphens/>
                    <w:jc w:val="center"/>
                    <w:rPr>
                      <w:szCs w:val="24"/>
                      <w:lang w:eastAsia="lt-LT"/>
                    </w:rPr>
                  </w:pPr>
                  <w:r>
                    <w:rPr>
                      <w:szCs w:val="24"/>
                      <w:lang w:eastAsia="lt-LT"/>
                    </w:rPr>
                    <w:t>Projekt</w:t>
                  </w:r>
                  <w:r w:rsidR="00DA41F3">
                    <w:rPr>
                      <w:szCs w:val="24"/>
                      <w:lang w:eastAsia="lt-LT"/>
                    </w:rPr>
                    <w:t>ai</w:t>
                  </w:r>
                  <w:r>
                    <w:rPr>
                      <w:szCs w:val="24"/>
                      <w:lang w:eastAsia="lt-LT"/>
                    </w:rPr>
                    <w:t xml:space="preserve"> pagal </w:t>
                  </w:r>
                  <w:r w:rsidR="00473198" w:rsidRPr="00520D9E">
                    <w:rPr>
                      <w:szCs w:val="24"/>
                      <w:lang w:eastAsia="lt-LT"/>
                    </w:rPr>
                    <w:t>RIA, IA veiksm</w:t>
                  </w:r>
                  <w:r>
                    <w:rPr>
                      <w:szCs w:val="24"/>
                      <w:lang w:eastAsia="lt-LT"/>
                    </w:rPr>
                    <w:t>us</w:t>
                  </w:r>
                  <w:r w:rsidR="00673BB3">
                    <w:rPr>
                      <w:szCs w:val="24"/>
                      <w:lang w:eastAsia="lt-LT"/>
                    </w:rPr>
                    <w:t>, vnt.</w:t>
                  </w:r>
                </w:p>
              </w:tc>
              <w:tc>
                <w:tcPr>
                  <w:tcW w:w="2982" w:type="dxa"/>
                </w:tcPr>
                <w:p w14:paraId="41C8A9D7" w14:textId="66F26ABE" w:rsidR="004B70A2" w:rsidRPr="00520D9E" w:rsidRDefault="00473198" w:rsidP="00234A5F">
                  <w:pPr>
                    <w:suppressAutoHyphens/>
                    <w:jc w:val="center"/>
                    <w:rPr>
                      <w:szCs w:val="24"/>
                      <w:lang w:eastAsia="lt-LT"/>
                    </w:rPr>
                  </w:pPr>
                  <w:r w:rsidRPr="00520D9E">
                    <w:rPr>
                      <w:szCs w:val="24"/>
                      <w:lang w:eastAsia="lt-LT"/>
                    </w:rPr>
                    <w:t>EIC ,,Pathfinder“ ir ERC PoC</w:t>
                  </w:r>
                  <w:r w:rsidR="00673BB3">
                    <w:rPr>
                      <w:szCs w:val="24"/>
                      <w:lang w:eastAsia="lt-LT"/>
                    </w:rPr>
                    <w:t xml:space="preserve"> projekt</w:t>
                  </w:r>
                  <w:r w:rsidR="00DA41F3">
                    <w:rPr>
                      <w:szCs w:val="24"/>
                      <w:lang w:eastAsia="lt-LT"/>
                    </w:rPr>
                    <w:t>ai</w:t>
                  </w:r>
                  <w:r w:rsidR="00673BB3">
                    <w:rPr>
                      <w:szCs w:val="24"/>
                      <w:lang w:eastAsia="lt-LT"/>
                    </w:rPr>
                    <w:t>, vnt.</w:t>
                  </w:r>
                </w:p>
              </w:tc>
            </w:tr>
            <w:tr w:rsidR="00473198" w14:paraId="38E9C8D8" w14:textId="77777777" w:rsidTr="00234A5F">
              <w:tc>
                <w:tcPr>
                  <w:tcW w:w="2981" w:type="dxa"/>
                </w:tcPr>
                <w:p w14:paraId="0A90B44F" w14:textId="6DAA21C3" w:rsidR="00473198" w:rsidRPr="00520D9E" w:rsidRDefault="00473198" w:rsidP="00234A5F">
                  <w:pPr>
                    <w:suppressAutoHyphens/>
                    <w:jc w:val="center"/>
                    <w:rPr>
                      <w:szCs w:val="24"/>
                      <w:lang w:eastAsia="lt-LT"/>
                    </w:rPr>
                  </w:pPr>
                  <w:r w:rsidRPr="00520D9E">
                    <w:rPr>
                      <w:szCs w:val="24"/>
                      <w:lang w:eastAsia="lt-LT"/>
                    </w:rPr>
                    <w:t>30</w:t>
                  </w:r>
                </w:p>
              </w:tc>
              <w:tc>
                <w:tcPr>
                  <w:tcW w:w="2981" w:type="dxa"/>
                </w:tcPr>
                <w:p w14:paraId="6C61F48B" w14:textId="1EDA5578" w:rsidR="00473198" w:rsidRPr="00520D9E" w:rsidRDefault="00473198" w:rsidP="00234A5F">
                  <w:pPr>
                    <w:suppressAutoHyphens/>
                    <w:jc w:val="center"/>
                    <w:rPr>
                      <w:szCs w:val="24"/>
                      <w:lang w:eastAsia="lt-LT"/>
                    </w:rPr>
                  </w:pPr>
                  <w:r w:rsidRPr="00520D9E">
                    <w:rPr>
                      <w:szCs w:val="24"/>
                      <w:lang w:eastAsia="lt-LT"/>
                    </w:rPr>
                    <w:t>2 etapo A įvertinimas</w:t>
                  </w:r>
                </w:p>
              </w:tc>
              <w:tc>
                <w:tcPr>
                  <w:tcW w:w="2982" w:type="dxa"/>
                  <w:vAlign w:val="bottom"/>
                </w:tcPr>
                <w:p w14:paraId="04EF5B08" w14:textId="2A742D88" w:rsidR="00473198" w:rsidRPr="00520D9E" w:rsidRDefault="00473198" w:rsidP="00234A5F">
                  <w:pPr>
                    <w:suppressAutoHyphens/>
                    <w:jc w:val="center"/>
                    <w:rPr>
                      <w:szCs w:val="24"/>
                      <w:lang w:eastAsia="lt-LT"/>
                    </w:rPr>
                  </w:pPr>
                  <w:r w:rsidRPr="00234A5F">
                    <w:rPr>
                      <w:color w:val="000000"/>
                      <w:szCs w:val="24"/>
                      <w:lang w:eastAsia="lt-LT"/>
                    </w:rPr>
                    <w:t>95,0-100,0</w:t>
                  </w:r>
                </w:p>
              </w:tc>
              <w:tc>
                <w:tcPr>
                  <w:tcW w:w="2982" w:type="dxa"/>
                  <w:vAlign w:val="bottom"/>
                </w:tcPr>
                <w:p w14:paraId="6D83EFFC" w14:textId="54D9EDB7" w:rsidR="00473198" w:rsidRPr="00520D9E" w:rsidRDefault="00473198" w:rsidP="00234A5F">
                  <w:pPr>
                    <w:suppressAutoHyphens/>
                    <w:jc w:val="center"/>
                    <w:rPr>
                      <w:szCs w:val="24"/>
                      <w:lang w:eastAsia="lt-LT"/>
                    </w:rPr>
                  </w:pPr>
                  <w:r w:rsidRPr="00234A5F">
                    <w:rPr>
                      <w:color w:val="000000"/>
                      <w:szCs w:val="24"/>
                      <w:lang w:eastAsia="lt-LT"/>
                    </w:rPr>
                    <w:t>14,5-15,0</w:t>
                  </w:r>
                </w:p>
              </w:tc>
              <w:tc>
                <w:tcPr>
                  <w:tcW w:w="2982" w:type="dxa"/>
                  <w:vAlign w:val="bottom"/>
                </w:tcPr>
                <w:p w14:paraId="799A8B95" w14:textId="734C565C" w:rsidR="00473198" w:rsidRPr="00520D9E" w:rsidRDefault="00473198" w:rsidP="00234A5F">
                  <w:pPr>
                    <w:suppressAutoHyphens/>
                    <w:jc w:val="center"/>
                    <w:rPr>
                      <w:szCs w:val="24"/>
                      <w:lang w:eastAsia="lt-LT"/>
                    </w:rPr>
                  </w:pPr>
                  <w:r w:rsidRPr="00234A5F">
                    <w:rPr>
                      <w:color w:val="000000"/>
                      <w:szCs w:val="24"/>
                      <w:lang w:eastAsia="lt-LT"/>
                    </w:rPr>
                    <w:t>4,9-5,0</w:t>
                  </w:r>
                </w:p>
              </w:tc>
            </w:tr>
            <w:tr w:rsidR="00473198" w14:paraId="3D3248FA" w14:textId="77777777" w:rsidTr="00234A5F">
              <w:tc>
                <w:tcPr>
                  <w:tcW w:w="2981" w:type="dxa"/>
                </w:tcPr>
                <w:p w14:paraId="7BCAC7BA" w14:textId="49450878" w:rsidR="00473198" w:rsidRPr="00520D9E" w:rsidRDefault="00473198" w:rsidP="00234A5F">
                  <w:pPr>
                    <w:suppressAutoHyphens/>
                    <w:jc w:val="center"/>
                    <w:rPr>
                      <w:szCs w:val="24"/>
                      <w:lang w:eastAsia="lt-LT"/>
                    </w:rPr>
                  </w:pPr>
                  <w:r w:rsidRPr="00520D9E">
                    <w:rPr>
                      <w:szCs w:val="24"/>
                      <w:lang w:eastAsia="lt-LT"/>
                    </w:rPr>
                    <w:t>25</w:t>
                  </w:r>
                </w:p>
              </w:tc>
              <w:tc>
                <w:tcPr>
                  <w:tcW w:w="2981" w:type="dxa"/>
                </w:tcPr>
                <w:p w14:paraId="2D5D32CB" w14:textId="098EA495" w:rsidR="00473198" w:rsidRPr="00520D9E" w:rsidRDefault="00473198" w:rsidP="00234A5F">
                  <w:pPr>
                    <w:suppressAutoHyphens/>
                    <w:jc w:val="center"/>
                    <w:rPr>
                      <w:szCs w:val="24"/>
                      <w:lang w:eastAsia="lt-LT"/>
                    </w:rPr>
                  </w:pPr>
                  <w:r w:rsidRPr="00520D9E">
                    <w:rPr>
                      <w:szCs w:val="24"/>
                      <w:lang w:eastAsia="lt-LT"/>
                    </w:rPr>
                    <w:t>-</w:t>
                  </w:r>
                </w:p>
              </w:tc>
              <w:tc>
                <w:tcPr>
                  <w:tcW w:w="2982" w:type="dxa"/>
                  <w:vAlign w:val="bottom"/>
                </w:tcPr>
                <w:p w14:paraId="6B7251E9" w14:textId="182CBA16" w:rsidR="00473198" w:rsidRPr="00520D9E" w:rsidRDefault="00473198" w:rsidP="00234A5F">
                  <w:pPr>
                    <w:suppressAutoHyphens/>
                    <w:jc w:val="center"/>
                    <w:rPr>
                      <w:szCs w:val="24"/>
                      <w:lang w:eastAsia="lt-LT"/>
                    </w:rPr>
                  </w:pPr>
                  <w:r w:rsidRPr="00234A5F">
                    <w:rPr>
                      <w:color w:val="000000"/>
                      <w:szCs w:val="24"/>
                      <w:lang w:eastAsia="lt-LT"/>
                    </w:rPr>
                    <w:t>90,0-94,49</w:t>
                  </w:r>
                </w:p>
              </w:tc>
              <w:tc>
                <w:tcPr>
                  <w:tcW w:w="2982" w:type="dxa"/>
                  <w:vAlign w:val="bottom"/>
                </w:tcPr>
                <w:p w14:paraId="1BBD5261" w14:textId="478168AF" w:rsidR="00473198" w:rsidRPr="00520D9E" w:rsidRDefault="00473198" w:rsidP="00234A5F">
                  <w:pPr>
                    <w:suppressAutoHyphens/>
                    <w:jc w:val="center"/>
                    <w:rPr>
                      <w:szCs w:val="24"/>
                      <w:lang w:eastAsia="lt-LT"/>
                    </w:rPr>
                  </w:pPr>
                  <w:r w:rsidRPr="00234A5F">
                    <w:rPr>
                      <w:color w:val="000000"/>
                      <w:szCs w:val="24"/>
                      <w:lang w:eastAsia="lt-LT"/>
                    </w:rPr>
                    <w:t>13,5-14,0</w:t>
                  </w:r>
                </w:p>
              </w:tc>
              <w:tc>
                <w:tcPr>
                  <w:tcW w:w="2982" w:type="dxa"/>
                  <w:vAlign w:val="bottom"/>
                </w:tcPr>
                <w:p w14:paraId="490E1B18" w14:textId="5299EF32" w:rsidR="00473198" w:rsidRPr="00520D9E" w:rsidRDefault="00473198" w:rsidP="00234A5F">
                  <w:pPr>
                    <w:suppressAutoHyphens/>
                    <w:jc w:val="center"/>
                    <w:rPr>
                      <w:szCs w:val="24"/>
                      <w:lang w:eastAsia="lt-LT"/>
                    </w:rPr>
                  </w:pPr>
                  <w:r w:rsidRPr="00234A5F">
                    <w:rPr>
                      <w:color w:val="000000"/>
                      <w:szCs w:val="24"/>
                      <w:lang w:eastAsia="lt-LT"/>
                    </w:rPr>
                    <w:t>4,7-4,8</w:t>
                  </w:r>
                </w:p>
              </w:tc>
            </w:tr>
            <w:tr w:rsidR="00473198" w14:paraId="1750EE81" w14:textId="77777777" w:rsidTr="00234A5F">
              <w:tc>
                <w:tcPr>
                  <w:tcW w:w="2981" w:type="dxa"/>
                </w:tcPr>
                <w:p w14:paraId="4D266FD1" w14:textId="4F46A37A" w:rsidR="00473198" w:rsidRPr="00520D9E" w:rsidRDefault="00473198" w:rsidP="00234A5F">
                  <w:pPr>
                    <w:suppressAutoHyphens/>
                    <w:jc w:val="center"/>
                    <w:rPr>
                      <w:szCs w:val="24"/>
                      <w:lang w:eastAsia="lt-LT"/>
                    </w:rPr>
                  </w:pPr>
                  <w:r w:rsidRPr="00520D9E">
                    <w:rPr>
                      <w:szCs w:val="24"/>
                      <w:lang w:eastAsia="lt-LT"/>
                    </w:rPr>
                    <w:t>20</w:t>
                  </w:r>
                </w:p>
              </w:tc>
              <w:tc>
                <w:tcPr>
                  <w:tcW w:w="2981" w:type="dxa"/>
                </w:tcPr>
                <w:p w14:paraId="569C8C53" w14:textId="0C66E608" w:rsidR="00473198" w:rsidRPr="00520D9E" w:rsidRDefault="00473198" w:rsidP="00234A5F">
                  <w:pPr>
                    <w:suppressAutoHyphens/>
                    <w:jc w:val="center"/>
                    <w:rPr>
                      <w:szCs w:val="24"/>
                      <w:lang w:eastAsia="lt-LT"/>
                    </w:rPr>
                  </w:pPr>
                  <w:r w:rsidRPr="00520D9E">
                    <w:rPr>
                      <w:szCs w:val="24"/>
                      <w:lang w:eastAsia="lt-LT"/>
                    </w:rPr>
                    <w:t>-</w:t>
                  </w:r>
                </w:p>
              </w:tc>
              <w:tc>
                <w:tcPr>
                  <w:tcW w:w="2982" w:type="dxa"/>
                  <w:vAlign w:val="bottom"/>
                </w:tcPr>
                <w:p w14:paraId="4EC03F77" w14:textId="06EB9BA9" w:rsidR="00473198" w:rsidRPr="00520D9E" w:rsidRDefault="00473198" w:rsidP="00234A5F">
                  <w:pPr>
                    <w:suppressAutoHyphens/>
                    <w:jc w:val="center"/>
                    <w:rPr>
                      <w:szCs w:val="24"/>
                      <w:lang w:eastAsia="lt-LT"/>
                    </w:rPr>
                  </w:pPr>
                  <w:r w:rsidRPr="00234A5F">
                    <w:rPr>
                      <w:color w:val="000000"/>
                      <w:szCs w:val="24"/>
                      <w:lang w:eastAsia="lt-LT"/>
                    </w:rPr>
                    <w:t>85,0-89,99</w:t>
                  </w:r>
                </w:p>
              </w:tc>
              <w:tc>
                <w:tcPr>
                  <w:tcW w:w="2982" w:type="dxa"/>
                  <w:vAlign w:val="bottom"/>
                </w:tcPr>
                <w:p w14:paraId="404FA6FA" w14:textId="4A99EE4B" w:rsidR="00473198" w:rsidRPr="00520D9E" w:rsidRDefault="00473198" w:rsidP="00234A5F">
                  <w:pPr>
                    <w:suppressAutoHyphens/>
                    <w:jc w:val="center"/>
                    <w:rPr>
                      <w:szCs w:val="24"/>
                      <w:lang w:eastAsia="lt-LT"/>
                    </w:rPr>
                  </w:pPr>
                  <w:r w:rsidRPr="00234A5F">
                    <w:rPr>
                      <w:color w:val="000000"/>
                      <w:szCs w:val="24"/>
                      <w:lang w:eastAsia="lt-LT"/>
                    </w:rPr>
                    <w:t>12,5-13,0</w:t>
                  </w:r>
                </w:p>
              </w:tc>
              <w:tc>
                <w:tcPr>
                  <w:tcW w:w="2982" w:type="dxa"/>
                  <w:vAlign w:val="bottom"/>
                </w:tcPr>
                <w:p w14:paraId="4AC58A21" w14:textId="767A4107" w:rsidR="00473198" w:rsidRPr="00520D9E" w:rsidRDefault="00473198" w:rsidP="00234A5F">
                  <w:pPr>
                    <w:suppressAutoHyphens/>
                    <w:jc w:val="center"/>
                    <w:rPr>
                      <w:szCs w:val="24"/>
                      <w:lang w:eastAsia="lt-LT"/>
                    </w:rPr>
                  </w:pPr>
                  <w:r w:rsidRPr="00234A5F">
                    <w:rPr>
                      <w:color w:val="000000"/>
                      <w:szCs w:val="24"/>
                      <w:lang w:eastAsia="lt-LT"/>
                    </w:rPr>
                    <w:t>4,5-4,6</w:t>
                  </w:r>
                </w:p>
              </w:tc>
            </w:tr>
            <w:tr w:rsidR="00473198" w14:paraId="06D5436B" w14:textId="77777777" w:rsidTr="00234A5F">
              <w:tc>
                <w:tcPr>
                  <w:tcW w:w="2981" w:type="dxa"/>
                </w:tcPr>
                <w:p w14:paraId="16DA8E87" w14:textId="0CAB2EBF" w:rsidR="00473198" w:rsidRPr="00520D9E" w:rsidRDefault="00473198" w:rsidP="00234A5F">
                  <w:pPr>
                    <w:suppressAutoHyphens/>
                    <w:jc w:val="center"/>
                    <w:rPr>
                      <w:szCs w:val="24"/>
                      <w:lang w:eastAsia="lt-LT"/>
                    </w:rPr>
                  </w:pPr>
                  <w:r w:rsidRPr="00520D9E">
                    <w:rPr>
                      <w:szCs w:val="24"/>
                      <w:lang w:eastAsia="lt-LT"/>
                    </w:rPr>
                    <w:t>15</w:t>
                  </w:r>
                </w:p>
              </w:tc>
              <w:tc>
                <w:tcPr>
                  <w:tcW w:w="2981" w:type="dxa"/>
                </w:tcPr>
                <w:p w14:paraId="599A8557" w14:textId="387329A2" w:rsidR="00473198" w:rsidRPr="00520D9E" w:rsidRDefault="00473198" w:rsidP="00234A5F">
                  <w:pPr>
                    <w:suppressAutoHyphens/>
                    <w:jc w:val="center"/>
                    <w:rPr>
                      <w:szCs w:val="24"/>
                      <w:lang w:eastAsia="lt-LT"/>
                    </w:rPr>
                  </w:pPr>
                  <w:r w:rsidRPr="00520D9E">
                    <w:rPr>
                      <w:szCs w:val="24"/>
                      <w:lang w:eastAsia="lt-LT"/>
                    </w:rPr>
                    <w:t>-</w:t>
                  </w:r>
                </w:p>
              </w:tc>
              <w:tc>
                <w:tcPr>
                  <w:tcW w:w="2982" w:type="dxa"/>
                  <w:vAlign w:val="bottom"/>
                </w:tcPr>
                <w:p w14:paraId="17FA5292" w14:textId="17BF68AE" w:rsidR="00473198" w:rsidRPr="00520D9E" w:rsidRDefault="00473198" w:rsidP="00234A5F">
                  <w:pPr>
                    <w:suppressAutoHyphens/>
                    <w:jc w:val="center"/>
                    <w:rPr>
                      <w:szCs w:val="24"/>
                      <w:lang w:eastAsia="lt-LT"/>
                    </w:rPr>
                  </w:pPr>
                  <w:r w:rsidRPr="00234A5F">
                    <w:rPr>
                      <w:color w:val="000000"/>
                      <w:szCs w:val="24"/>
                      <w:lang w:eastAsia="lt-LT"/>
                    </w:rPr>
                    <w:t>80,0-84,99</w:t>
                  </w:r>
                </w:p>
              </w:tc>
              <w:tc>
                <w:tcPr>
                  <w:tcW w:w="2982" w:type="dxa"/>
                  <w:vAlign w:val="bottom"/>
                </w:tcPr>
                <w:p w14:paraId="793E5718" w14:textId="0E57A298" w:rsidR="00473198" w:rsidRPr="00520D9E" w:rsidRDefault="00473198" w:rsidP="00234A5F">
                  <w:pPr>
                    <w:suppressAutoHyphens/>
                    <w:jc w:val="center"/>
                    <w:rPr>
                      <w:szCs w:val="24"/>
                      <w:lang w:eastAsia="lt-LT"/>
                    </w:rPr>
                  </w:pPr>
                  <w:r w:rsidRPr="00234A5F">
                    <w:rPr>
                      <w:color w:val="000000"/>
                      <w:szCs w:val="24"/>
                      <w:lang w:eastAsia="lt-LT"/>
                    </w:rPr>
                    <w:t>11,5-12,0</w:t>
                  </w:r>
                </w:p>
              </w:tc>
              <w:tc>
                <w:tcPr>
                  <w:tcW w:w="2982" w:type="dxa"/>
                  <w:vAlign w:val="bottom"/>
                </w:tcPr>
                <w:p w14:paraId="67A02C6D" w14:textId="4B1DB103" w:rsidR="00473198" w:rsidRPr="00520D9E" w:rsidRDefault="00473198" w:rsidP="00234A5F">
                  <w:pPr>
                    <w:suppressAutoHyphens/>
                    <w:jc w:val="center"/>
                    <w:rPr>
                      <w:szCs w:val="24"/>
                      <w:lang w:eastAsia="lt-LT"/>
                    </w:rPr>
                  </w:pPr>
                  <w:r w:rsidRPr="00234A5F">
                    <w:rPr>
                      <w:color w:val="000000"/>
                      <w:szCs w:val="24"/>
                      <w:lang w:eastAsia="lt-LT"/>
                    </w:rPr>
                    <w:t>4,3-4,4</w:t>
                  </w:r>
                </w:p>
              </w:tc>
            </w:tr>
            <w:tr w:rsidR="00473198" w14:paraId="09E8289B" w14:textId="77777777" w:rsidTr="00234A5F">
              <w:tc>
                <w:tcPr>
                  <w:tcW w:w="2981" w:type="dxa"/>
                </w:tcPr>
                <w:p w14:paraId="45AA2CA3" w14:textId="1DA9D51F" w:rsidR="00473198" w:rsidRPr="00520D9E" w:rsidRDefault="00473198" w:rsidP="00234A5F">
                  <w:pPr>
                    <w:suppressAutoHyphens/>
                    <w:jc w:val="center"/>
                    <w:rPr>
                      <w:szCs w:val="24"/>
                      <w:lang w:eastAsia="lt-LT"/>
                    </w:rPr>
                  </w:pPr>
                  <w:r w:rsidRPr="00520D9E">
                    <w:rPr>
                      <w:szCs w:val="24"/>
                      <w:lang w:eastAsia="lt-LT"/>
                    </w:rPr>
                    <w:t>10</w:t>
                  </w:r>
                </w:p>
              </w:tc>
              <w:tc>
                <w:tcPr>
                  <w:tcW w:w="2981" w:type="dxa"/>
                </w:tcPr>
                <w:p w14:paraId="2C7F3964" w14:textId="600D9194" w:rsidR="00473198" w:rsidRPr="00520D9E" w:rsidRDefault="00473198" w:rsidP="00234A5F">
                  <w:pPr>
                    <w:suppressAutoHyphens/>
                    <w:jc w:val="center"/>
                    <w:rPr>
                      <w:szCs w:val="24"/>
                      <w:lang w:eastAsia="lt-LT"/>
                    </w:rPr>
                  </w:pPr>
                  <w:r w:rsidRPr="00520D9E">
                    <w:rPr>
                      <w:szCs w:val="24"/>
                      <w:lang w:eastAsia="lt-LT"/>
                    </w:rPr>
                    <w:t>-</w:t>
                  </w:r>
                </w:p>
              </w:tc>
              <w:tc>
                <w:tcPr>
                  <w:tcW w:w="2982" w:type="dxa"/>
                  <w:vAlign w:val="bottom"/>
                </w:tcPr>
                <w:p w14:paraId="27C97271" w14:textId="251F9D3A" w:rsidR="00473198" w:rsidRPr="00520D9E" w:rsidRDefault="00473198" w:rsidP="00234A5F">
                  <w:pPr>
                    <w:suppressAutoHyphens/>
                    <w:jc w:val="center"/>
                    <w:rPr>
                      <w:szCs w:val="24"/>
                      <w:lang w:eastAsia="lt-LT"/>
                    </w:rPr>
                  </w:pPr>
                  <w:r w:rsidRPr="00234A5F">
                    <w:rPr>
                      <w:color w:val="000000"/>
                      <w:szCs w:val="24"/>
                      <w:lang w:eastAsia="lt-LT"/>
                    </w:rPr>
                    <w:t>75,0-79,99</w:t>
                  </w:r>
                </w:p>
              </w:tc>
              <w:tc>
                <w:tcPr>
                  <w:tcW w:w="2982" w:type="dxa"/>
                  <w:vAlign w:val="bottom"/>
                </w:tcPr>
                <w:p w14:paraId="76382CF8" w14:textId="5305518C" w:rsidR="00473198" w:rsidRPr="00520D9E" w:rsidRDefault="00473198" w:rsidP="00234A5F">
                  <w:pPr>
                    <w:suppressAutoHyphens/>
                    <w:jc w:val="center"/>
                    <w:rPr>
                      <w:szCs w:val="24"/>
                      <w:lang w:eastAsia="lt-LT"/>
                    </w:rPr>
                  </w:pPr>
                  <w:r w:rsidRPr="00234A5F">
                    <w:rPr>
                      <w:color w:val="000000"/>
                      <w:szCs w:val="24"/>
                      <w:lang w:eastAsia="lt-LT"/>
                    </w:rPr>
                    <w:t>10,5-11,0</w:t>
                  </w:r>
                </w:p>
              </w:tc>
              <w:tc>
                <w:tcPr>
                  <w:tcW w:w="2982" w:type="dxa"/>
                  <w:vAlign w:val="bottom"/>
                </w:tcPr>
                <w:p w14:paraId="642210B7" w14:textId="4D1CA983" w:rsidR="00473198" w:rsidRPr="00520D9E" w:rsidRDefault="00473198" w:rsidP="00234A5F">
                  <w:pPr>
                    <w:suppressAutoHyphens/>
                    <w:jc w:val="center"/>
                    <w:rPr>
                      <w:szCs w:val="24"/>
                      <w:lang w:eastAsia="lt-LT"/>
                    </w:rPr>
                  </w:pPr>
                  <w:r w:rsidRPr="00234A5F">
                    <w:rPr>
                      <w:color w:val="000000"/>
                      <w:szCs w:val="24"/>
                      <w:lang w:eastAsia="lt-LT"/>
                    </w:rPr>
                    <w:t>4,0-4,2</w:t>
                  </w:r>
                </w:p>
              </w:tc>
            </w:tr>
            <w:tr w:rsidR="00473198" w14:paraId="7600FBF0" w14:textId="77777777" w:rsidTr="00234A5F">
              <w:tc>
                <w:tcPr>
                  <w:tcW w:w="2981" w:type="dxa"/>
                </w:tcPr>
                <w:p w14:paraId="2A6A79E8" w14:textId="11BA3F06" w:rsidR="00473198" w:rsidRPr="00520D9E" w:rsidRDefault="00473198" w:rsidP="00234A5F">
                  <w:pPr>
                    <w:suppressAutoHyphens/>
                    <w:jc w:val="center"/>
                    <w:rPr>
                      <w:szCs w:val="24"/>
                      <w:lang w:eastAsia="lt-LT"/>
                    </w:rPr>
                  </w:pPr>
                  <w:r w:rsidRPr="00520D9E">
                    <w:rPr>
                      <w:szCs w:val="24"/>
                      <w:lang w:eastAsia="lt-LT"/>
                    </w:rPr>
                    <w:t>5</w:t>
                  </w:r>
                </w:p>
              </w:tc>
              <w:tc>
                <w:tcPr>
                  <w:tcW w:w="2981" w:type="dxa"/>
                </w:tcPr>
                <w:p w14:paraId="51D38A94" w14:textId="22E6A5B7" w:rsidR="00473198" w:rsidRPr="00520D9E" w:rsidRDefault="00473198" w:rsidP="00234A5F">
                  <w:pPr>
                    <w:suppressAutoHyphens/>
                    <w:jc w:val="center"/>
                    <w:rPr>
                      <w:szCs w:val="24"/>
                      <w:lang w:eastAsia="lt-LT"/>
                    </w:rPr>
                  </w:pPr>
                  <w:r w:rsidRPr="00520D9E">
                    <w:rPr>
                      <w:szCs w:val="24"/>
                      <w:lang w:eastAsia="lt-LT"/>
                    </w:rPr>
                    <w:t>-</w:t>
                  </w:r>
                </w:p>
              </w:tc>
              <w:tc>
                <w:tcPr>
                  <w:tcW w:w="2982" w:type="dxa"/>
                  <w:vAlign w:val="bottom"/>
                </w:tcPr>
                <w:p w14:paraId="3B782CAD" w14:textId="48DF6E85" w:rsidR="00473198" w:rsidRPr="00520D9E" w:rsidRDefault="00473198" w:rsidP="00234A5F">
                  <w:pPr>
                    <w:suppressAutoHyphens/>
                    <w:jc w:val="center"/>
                    <w:rPr>
                      <w:szCs w:val="24"/>
                      <w:lang w:eastAsia="lt-LT"/>
                    </w:rPr>
                  </w:pPr>
                  <w:r w:rsidRPr="00234A5F">
                    <w:rPr>
                      <w:color w:val="000000"/>
                      <w:szCs w:val="24"/>
                      <w:lang w:eastAsia="lt-LT"/>
                    </w:rPr>
                    <w:t>70,0-74,99</w:t>
                  </w:r>
                </w:p>
              </w:tc>
              <w:tc>
                <w:tcPr>
                  <w:tcW w:w="2982" w:type="dxa"/>
                  <w:vAlign w:val="bottom"/>
                </w:tcPr>
                <w:p w14:paraId="0C56CBAE" w14:textId="0F931E6F" w:rsidR="00473198" w:rsidRPr="00520D9E" w:rsidRDefault="00473198" w:rsidP="00234A5F">
                  <w:pPr>
                    <w:suppressAutoHyphens/>
                    <w:jc w:val="center"/>
                    <w:rPr>
                      <w:szCs w:val="24"/>
                      <w:lang w:eastAsia="lt-LT"/>
                    </w:rPr>
                  </w:pPr>
                  <w:r w:rsidRPr="00234A5F">
                    <w:rPr>
                      <w:color w:val="000000"/>
                      <w:szCs w:val="24"/>
                      <w:lang w:eastAsia="lt-LT"/>
                    </w:rPr>
                    <w:t>10,0</w:t>
                  </w:r>
                </w:p>
              </w:tc>
              <w:tc>
                <w:tcPr>
                  <w:tcW w:w="2982" w:type="dxa"/>
                  <w:vAlign w:val="bottom"/>
                </w:tcPr>
                <w:p w14:paraId="78D09C16" w14:textId="5A9BC4BB" w:rsidR="00473198" w:rsidRPr="00520D9E" w:rsidRDefault="00473198" w:rsidP="00234A5F">
                  <w:pPr>
                    <w:suppressAutoHyphens/>
                    <w:jc w:val="center"/>
                    <w:rPr>
                      <w:szCs w:val="24"/>
                      <w:lang w:eastAsia="lt-LT"/>
                    </w:rPr>
                  </w:pPr>
                  <w:r w:rsidRPr="00234A5F">
                    <w:rPr>
                      <w:color w:val="000000"/>
                      <w:szCs w:val="24"/>
                      <w:lang w:eastAsia="lt-LT"/>
                    </w:rPr>
                    <w:t xml:space="preserve">3,7-3,9 </w:t>
                  </w:r>
                  <w:r w:rsidR="00E84480">
                    <w:rPr>
                      <w:color w:val="000000"/>
                      <w:szCs w:val="24"/>
                      <w:lang w:eastAsia="lt-LT"/>
                    </w:rPr>
                    <w:t>(</w:t>
                  </w:r>
                  <w:r w:rsidRPr="00234A5F">
                    <w:rPr>
                      <w:color w:val="000000"/>
                      <w:szCs w:val="24"/>
                      <w:lang w:eastAsia="lt-LT"/>
                    </w:rPr>
                    <w:t>arba žemiau ERC PoC atveju</w:t>
                  </w:r>
                  <w:r w:rsidR="00E84480">
                    <w:rPr>
                      <w:color w:val="000000"/>
                      <w:szCs w:val="24"/>
                      <w:lang w:eastAsia="lt-LT"/>
                    </w:rPr>
                    <w:t>)</w:t>
                  </w:r>
                </w:p>
              </w:tc>
            </w:tr>
          </w:tbl>
          <w:p w14:paraId="7F7721E5" w14:textId="3226DA60" w:rsidR="00AC3B16" w:rsidRDefault="00AC3B16" w:rsidP="00AD2E91">
            <w:pPr>
              <w:suppressAutoHyphens/>
              <w:jc w:val="both"/>
            </w:pPr>
          </w:p>
        </w:tc>
      </w:tr>
      <w:tr w:rsidR="006C43F2" w14:paraId="7F7721E9" w14:textId="77777777">
        <w:trPr>
          <w:trHeight w:val="309"/>
        </w:trPr>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E7" w14:textId="77777777" w:rsidR="006C43F2" w:rsidRDefault="000F2108">
            <w:pPr>
              <w:suppressAutoHyphens/>
              <w:jc w:val="both"/>
            </w:pPr>
            <w:r>
              <w:rPr>
                <w:b/>
                <w:szCs w:val="22"/>
              </w:rPr>
              <w:t>13</w:t>
            </w:r>
            <w:r>
              <w:rPr>
                <w:bCs/>
                <w:szCs w:val="22"/>
              </w:rPr>
              <w:t xml:space="preserve">. </w:t>
            </w:r>
            <w:r>
              <w:rPr>
                <w:b/>
                <w:szCs w:val="22"/>
              </w:rPr>
              <w:t>Jungtinio projekto projektų atrankos kriterijai</w:t>
            </w:r>
          </w:p>
          <w:p w14:paraId="7F7721E8" w14:textId="77777777" w:rsidR="006C43F2" w:rsidRDefault="000F2108">
            <w:pPr>
              <w:suppressAutoHyphens/>
              <w:jc w:val="both"/>
            </w:pPr>
            <w:r>
              <w:t>13.1. Netaikoma.</w:t>
            </w:r>
          </w:p>
        </w:tc>
      </w:tr>
      <w:tr w:rsidR="006C43F2" w14:paraId="7F7721EB"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EA" w14:textId="77777777" w:rsidR="006C43F2" w:rsidRDefault="000F2108">
            <w:pPr>
              <w:suppressAutoHyphens/>
            </w:pPr>
            <w:r>
              <w:rPr>
                <w:b/>
                <w:szCs w:val="24"/>
              </w:rPr>
              <w:t>14</w:t>
            </w:r>
            <w:r>
              <w:rPr>
                <w:bCs/>
                <w:szCs w:val="24"/>
              </w:rPr>
              <w:t xml:space="preserve">. </w:t>
            </w:r>
            <w:r>
              <w:rPr>
                <w:b/>
                <w:szCs w:val="24"/>
              </w:rPr>
              <w:t>Reikalavimai įgyvendinus projektų veiklas</w:t>
            </w:r>
          </w:p>
        </w:tc>
      </w:tr>
      <w:tr w:rsidR="00DC3492" w14:paraId="7F7721ED" w14:textId="77777777">
        <w:trPr>
          <w:trHeight w:val="300"/>
        </w:trPr>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CE18F" w14:textId="7A2278AD" w:rsidR="00DC3492" w:rsidRDefault="00DC3492">
            <w:pPr>
              <w:tabs>
                <w:tab w:val="left" w:pos="1134"/>
              </w:tabs>
              <w:suppressAutoHyphens/>
              <w:jc w:val="both"/>
              <w:rPr>
                <w:szCs w:val="24"/>
              </w:rPr>
            </w:pPr>
            <w:r>
              <w:rPr>
                <w:szCs w:val="24"/>
              </w:rPr>
              <w:t>14.1. Prie pagal Aprašą įsigytos (atnaujintos) įrangos turi būti užtikrinama atviroji prieiga projekto vykdytojo nustatytomis sąlygomis ir tvarka, kiek tai neprieštarauja sutarčių su tiekėjais sąlygoms.</w:t>
            </w:r>
          </w:p>
          <w:p w14:paraId="7F7721EC" w14:textId="33AA7CB0" w:rsidR="00584257" w:rsidRDefault="00584257" w:rsidP="00F960C0">
            <w:pPr>
              <w:tabs>
                <w:tab w:val="left" w:pos="1134"/>
              </w:tabs>
              <w:suppressAutoHyphens/>
              <w:jc w:val="both"/>
              <w:rPr>
                <w:szCs w:val="24"/>
              </w:rPr>
            </w:pPr>
            <w:r>
              <w:rPr>
                <w:szCs w:val="24"/>
              </w:rPr>
              <w:t xml:space="preserve">14.2. </w:t>
            </w:r>
            <w:r w:rsidR="003170F5" w:rsidRPr="00BA7D15">
              <w:rPr>
                <w:bCs/>
                <w:szCs w:val="24"/>
              </w:rPr>
              <w:t>Projekto vykdytojas</w:t>
            </w:r>
            <w:r w:rsidR="00D945B3">
              <w:rPr>
                <w:bCs/>
                <w:szCs w:val="24"/>
              </w:rPr>
              <w:t xml:space="preserve"> </w:t>
            </w:r>
            <w:r w:rsidR="0003699B" w:rsidRPr="0003699B">
              <w:rPr>
                <w:bCs/>
                <w:szCs w:val="24"/>
              </w:rPr>
              <w:t xml:space="preserve">ne vėliau kaip </w:t>
            </w:r>
            <w:r w:rsidR="0003699B" w:rsidRPr="00F960C0">
              <w:rPr>
                <w:szCs w:val="24"/>
              </w:rPr>
              <w:t>per 3 metus po projekto įgyvendinimo</w:t>
            </w:r>
            <w:r w:rsidR="0003699B" w:rsidRPr="0003699B">
              <w:rPr>
                <w:bCs/>
                <w:szCs w:val="24"/>
              </w:rPr>
              <w:t xml:space="preserve"> pabaigos pateikia bent vieną paraišką pagal Europos Sąjungos bendrosios mokslinių tyrimų ir inovacijų programos, įskaitant Europos partnerysčių ir Europos bendradarbiavimo mokslo ir technologijų srityje (angl. </w:t>
            </w:r>
            <w:r w:rsidR="0003699B" w:rsidRPr="0003699B">
              <w:rPr>
                <w:bCs/>
                <w:i/>
                <w:iCs/>
                <w:szCs w:val="24"/>
              </w:rPr>
              <w:t xml:space="preserve">European Cooperation in Science and Technology, </w:t>
            </w:r>
            <w:r w:rsidR="0003699B" w:rsidRPr="0003699B">
              <w:rPr>
                <w:bCs/>
                <w:szCs w:val="24"/>
              </w:rPr>
              <w:t>COST) programos, kvietimus.</w:t>
            </w:r>
          </w:p>
        </w:tc>
      </w:tr>
      <w:tr w:rsidR="00DC3492" w14:paraId="7F7721EF"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EE" w14:textId="77777777" w:rsidR="00DC3492" w:rsidRDefault="00DC3492" w:rsidP="00DC3492">
            <w:pPr>
              <w:suppressAutoHyphens/>
              <w:rPr>
                <w:b/>
                <w:szCs w:val="24"/>
              </w:rPr>
            </w:pPr>
            <w:r>
              <w:rPr>
                <w:b/>
                <w:szCs w:val="24"/>
              </w:rPr>
              <w:t>15. Kiti reikalavimai</w:t>
            </w:r>
          </w:p>
        </w:tc>
      </w:tr>
      <w:tr w:rsidR="00DC3492" w14:paraId="7F7721F2"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F1" w14:textId="4C65D64D" w:rsidR="00DC3492" w:rsidRDefault="00E769D1" w:rsidP="00DC3492">
            <w:pPr>
              <w:tabs>
                <w:tab w:val="left" w:pos="1134"/>
              </w:tabs>
              <w:suppressAutoHyphens/>
              <w:jc w:val="both"/>
              <w:rPr>
                <w:i/>
                <w:strike/>
                <w:szCs w:val="24"/>
              </w:rPr>
            </w:pPr>
            <w:r>
              <w:rPr>
                <w:iCs/>
                <w:szCs w:val="24"/>
              </w:rPr>
              <w:t>15.</w:t>
            </w:r>
            <w:r w:rsidR="00F960C0">
              <w:rPr>
                <w:iCs/>
                <w:szCs w:val="24"/>
              </w:rPr>
              <w:t>1</w:t>
            </w:r>
            <w:r>
              <w:rPr>
                <w:iCs/>
                <w:szCs w:val="24"/>
              </w:rPr>
              <w:t>.</w:t>
            </w:r>
            <w:r w:rsidR="00B333C1">
              <w:rPr>
                <w:iCs/>
                <w:szCs w:val="24"/>
              </w:rPr>
              <w:t xml:space="preserve"> </w:t>
            </w:r>
            <w:r w:rsidR="00DC3492" w:rsidRPr="00F960C0">
              <w:rPr>
                <w:iCs/>
                <w:szCs w:val="24"/>
              </w:rPr>
              <w:t>Netaikoma</w:t>
            </w:r>
            <w:r>
              <w:rPr>
                <w:iCs/>
                <w:szCs w:val="24"/>
              </w:rPr>
              <w:t>.</w:t>
            </w:r>
          </w:p>
        </w:tc>
      </w:tr>
    </w:tbl>
    <w:p w14:paraId="38904532" w14:textId="77777777" w:rsidR="00377E7C" w:rsidRDefault="00377E7C">
      <w:pPr>
        <w:suppressAutoHyphens/>
        <w:jc w:val="center"/>
        <w:rPr>
          <w:b/>
          <w:szCs w:val="24"/>
        </w:rPr>
      </w:pPr>
    </w:p>
    <w:p w14:paraId="7F7721F4" w14:textId="3A17A7E1" w:rsidR="006C43F2" w:rsidRDefault="000F2108">
      <w:pPr>
        <w:suppressAutoHyphens/>
        <w:jc w:val="center"/>
        <w:rPr>
          <w:b/>
          <w:szCs w:val="24"/>
        </w:rPr>
      </w:pPr>
      <w:r>
        <w:rPr>
          <w:b/>
          <w:szCs w:val="24"/>
        </w:rPr>
        <w:t>III SKYRIUS</w:t>
      </w:r>
    </w:p>
    <w:p w14:paraId="7F7721F5" w14:textId="77777777" w:rsidR="006C43F2" w:rsidRDefault="000F2108">
      <w:pPr>
        <w:suppressAutoHyphens/>
        <w:jc w:val="center"/>
        <w:rPr>
          <w:b/>
          <w:szCs w:val="24"/>
        </w:rPr>
      </w:pPr>
      <w:r>
        <w:rPr>
          <w:b/>
          <w:szCs w:val="24"/>
        </w:rPr>
        <w:t>IŠLAIDŲ TINKAMUMO FINANSUOTI REIKALAVIMAI</w:t>
      </w:r>
    </w:p>
    <w:p w14:paraId="7F7721F6" w14:textId="77777777" w:rsidR="006C43F2" w:rsidRDefault="006C43F2"/>
    <w:tbl>
      <w:tblPr>
        <w:tblW w:w="15134" w:type="dxa"/>
        <w:tblCellMar>
          <w:left w:w="10" w:type="dxa"/>
          <w:right w:w="10" w:type="dxa"/>
        </w:tblCellMar>
        <w:tblLook w:val="04A0" w:firstRow="1" w:lastRow="0" w:firstColumn="1" w:lastColumn="0" w:noHBand="0" w:noVBand="1"/>
      </w:tblPr>
      <w:tblGrid>
        <w:gridCol w:w="15134"/>
      </w:tblGrid>
      <w:tr w:rsidR="006C43F2" w14:paraId="7F7721F8"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F7" w14:textId="77777777" w:rsidR="006C43F2" w:rsidRDefault="000F2108">
            <w:pPr>
              <w:suppressAutoHyphens/>
              <w:jc w:val="both"/>
            </w:pPr>
            <w:r>
              <w:rPr>
                <w:b/>
                <w:szCs w:val="24"/>
              </w:rPr>
              <w:t>16</w:t>
            </w:r>
            <w:r>
              <w:rPr>
                <w:bCs/>
                <w:szCs w:val="24"/>
              </w:rPr>
              <w:t xml:space="preserve">. </w:t>
            </w:r>
            <w:r>
              <w:rPr>
                <w:b/>
                <w:szCs w:val="24"/>
              </w:rPr>
              <w:t>Išlaidų tinkamumo finansuoti reikalavimai</w:t>
            </w:r>
          </w:p>
        </w:tc>
      </w:tr>
      <w:tr w:rsidR="006C43F2" w14:paraId="7F77220E"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1F9" w14:textId="77777777" w:rsidR="006C43F2" w:rsidRDefault="000F2108">
            <w:pPr>
              <w:suppressAutoHyphens/>
              <w:jc w:val="both"/>
              <w:rPr>
                <w:szCs w:val="24"/>
              </w:rPr>
            </w:pPr>
            <w:r>
              <w:rPr>
                <w:szCs w:val="24"/>
              </w:rPr>
              <w:t xml:space="preserve">16.1. Projektams taikomi išlaidų tinkamumo reikalavimai nustatyti Projektų administravimo ir finansavimo taisyklių VII skyriuje. </w:t>
            </w:r>
          </w:p>
          <w:p w14:paraId="7F7721FA" w14:textId="77777777" w:rsidR="006C43F2" w:rsidRDefault="000F2108">
            <w:pPr>
              <w:suppressAutoHyphens/>
              <w:jc w:val="both"/>
              <w:rPr>
                <w:szCs w:val="24"/>
              </w:rPr>
            </w:pPr>
            <w:r>
              <w:rPr>
                <w:szCs w:val="24"/>
              </w:rPr>
              <w:t>16.2. PVM nėra tinkamas finansuoti EGADP lėšomis. PVM gali būti finansuojamas Lietuvos biudžeto lėšomis vadovaujantis Projektų administravimo ir finansavimo taisyklių 313–319 punktuose nustatyta tvarka.</w:t>
            </w:r>
          </w:p>
          <w:p w14:paraId="7F7721FB" w14:textId="77777777" w:rsidR="006C43F2" w:rsidRDefault="000F2108">
            <w:pPr>
              <w:suppressAutoHyphens/>
              <w:jc w:val="both"/>
              <w:rPr>
                <w:szCs w:val="24"/>
              </w:rPr>
            </w:pPr>
            <w:r>
              <w:rPr>
                <w:szCs w:val="24"/>
              </w:rPr>
              <w:t>16.3. Tinkamomis finansuoti išlaidomis laikomos:</w:t>
            </w:r>
          </w:p>
          <w:p w14:paraId="7F7721FC" w14:textId="69F44713" w:rsidR="006C43F2" w:rsidRDefault="000F2108">
            <w:pPr>
              <w:suppressAutoHyphens/>
              <w:jc w:val="both"/>
              <w:rPr>
                <w:szCs w:val="24"/>
              </w:rPr>
            </w:pPr>
            <w:r>
              <w:rPr>
                <w:szCs w:val="24"/>
              </w:rPr>
              <w:t>16.3.1. naujo ilgalaikio turto įsigijimo išlaidos (ilgalaikis turtas suprantamas kaip moksliniams (meno) tyrimams atlikti naudojami prietaisai ir įrengimai, programinė įranga ir kitas materialus ir nematerialus turtas, kuris</w:t>
            </w:r>
            <w:r w:rsidR="002D5DFE">
              <w:rPr>
                <w:szCs w:val="24"/>
              </w:rPr>
              <w:t xml:space="preserve"> </w:t>
            </w:r>
            <w:r w:rsidR="00657F97">
              <w:rPr>
                <w:szCs w:val="24"/>
              </w:rPr>
              <w:t xml:space="preserve">į </w:t>
            </w:r>
            <w:r w:rsidR="004311AC">
              <w:rPr>
                <w:szCs w:val="24"/>
              </w:rPr>
              <w:t>MSI</w:t>
            </w:r>
            <w:r>
              <w:rPr>
                <w:szCs w:val="24"/>
              </w:rPr>
              <w:t xml:space="preserve"> apskait</w:t>
            </w:r>
            <w:r w:rsidR="00657F97">
              <w:rPr>
                <w:szCs w:val="24"/>
              </w:rPr>
              <w:t>ą</w:t>
            </w:r>
            <w:r>
              <w:rPr>
                <w:szCs w:val="24"/>
              </w:rPr>
              <w:t xml:space="preserve"> </w:t>
            </w:r>
            <w:r w:rsidR="00657F97">
              <w:rPr>
                <w:szCs w:val="24"/>
              </w:rPr>
              <w:t>įtrauki</w:t>
            </w:r>
            <w:r w:rsidR="00D23530">
              <w:rPr>
                <w:szCs w:val="24"/>
              </w:rPr>
              <w:t>a</w:t>
            </w:r>
            <w:r w:rsidR="00657F97">
              <w:rPr>
                <w:szCs w:val="24"/>
              </w:rPr>
              <w:t xml:space="preserve">mas </w:t>
            </w:r>
            <w:r>
              <w:rPr>
                <w:szCs w:val="24"/>
              </w:rPr>
              <w:t>kaip ilgalaikis turtas). Ilgalaikiam turtui priskirtinos išlaidos yra ir įsigyjamos įrangos pristatymo, įdiegimo ir apmokymo ja dirbti paslaugos;</w:t>
            </w:r>
          </w:p>
          <w:p w14:paraId="7F7721FD" w14:textId="7457AFD0" w:rsidR="006C43F2" w:rsidRDefault="000F2108">
            <w:pPr>
              <w:suppressAutoHyphens/>
              <w:jc w:val="both"/>
              <w:rPr>
                <w:szCs w:val="24"/>
              </w:rPr>
            </w:pPr>
            <w:r>
              <w:rPr>
                <w:szCs w:val="24"/>
              </w:rPr>
              <w:t>16.3.2. turimo ilgalaikio turto atnaujinimo ir (arba) modifikavimo išlaidos;</w:t>
            </w:r>
          </w:p>
          <w:p w14:paraId="7F7721FE" w14:textId="7E92847E" w:rsidR="006C43F2" w:rsidRDefault="000F2108">
            <w:pPr>
              <w:suppressAutoHyphens/>
              <w:jc w:val="both"/>
              <w:rPr>
                <w:szCs w:val="24"/>
              </w:rPr>
            </w:pPr>
            <w:r>
              <w:rPr>
                <w:szCs w:val="24"/>
              </w:rPr>
              <w:t>16.3.3. turimo ilgalaikio turto remonto išlaidos;</w:t>
            </w:r>
          </w:p>
          <w:p w14:paraId="7F7721FF" w14:textId="77777777" w:rsidR="006C43F2" w:rsidRDefault="000F2108">
            <w:pPr>
              <w:suppressAutoHyphens/>
              <w:jc w:val="both"/>
              <w:rPr>
                <w:szCs w:val="24"/>
              </w:rPr>
            </w:pPr>
            <w:r>
              <w:rPr>
                <w:szCs w:val="24"/>
              </w:rPr>
              <w:t>16.3.4. išlaidos privalomoms projektų matomumo ir informavimo apie projektus priemonėms;</w:t>
            </w:r>
          </w:p>
          <w:p w14:paraId="7F772200" w14:textId="77777777" w:rsidR="006C43F2" w:rsidRDefault="000F2108">
            <w:pPr>
              <w:suppressAutoHyphens/>
              <w:jc w:val="both"/>
              <w:rPr>
                <w:szCs w:val="24"/>
              </w:rPr>
            </w:pPr>
            <w:r>
              <w:rPr>
                <w:szCs w:val="24"/>
              </w:rPr>
              <w:t>16.3.5. netiesioginės projekto išlaidos.</w:t>
            </w:r>
          </w:p>
          <w:p w14:paraId="7F772201" w14:textId="77777777" w:rsidR="006C43F2" w:rsidRDefault="000F2108">
            <w:pPr>
              <w:suppressAutoHyphens/>
              <w:jc w:val="both"/>
              <w:rPr>
                <w:szCs w:val="24"/>
              </w:rPr>
            </w:pPr>
            <w:r>
              <w:rPr>
                <w:szCs w:val="24"/>
              </w:rPr>
              <w:t>16.4. Netinkamomis finansuoti išlaidomis laikomos:</w:t>
            </w:r>
          </w:p>
          <w:p w14:paraId="7F772202" w14:textId="77777777" w:rsidR="006C43F2" w:rsidRDefault="000F2108">
            <w:pPr>
              <w:suppressAutoHyphens/>
              <w:jc w:val="both"/>
              <w:rPr>
                <w:szCs w:val="24"/>
              </w:rPr>
            </w:pPr>
            <w:r>
              <w:rPr>
                <w:szCs w:val="24"/>
              </w:rPr>
              <w:t>16.4.1. PĮP parengimo išlaidos;</w:t>
            </w:r>
          </w:p>
          <w:p w14:paraId="7F772203" w14:textId="68D10A3F" w:rsidR="006C43F2" w:rsidRDefault="000F2108">
            <w:pPr>
              <w:suppressAutoHyphens/>
              <w:jc w:val="both"/>
              <w:rPr>
                <w:szCs w:val="24"/>
              </w:rPr>
            </w:pPr>
            <w:r>
              <w:rPr>
                <w:szCs w:val="24"/>
              </w:rPr>
              <w:t>16.4.2. ilgalaikio turto, nesusijusio su mokslinių (meno) tyrimų atlikimu (pavyzdžiui, įranga, kuri naudojama tik dėstymui, mokymui ar pan. veikloms), įsigijimo ar remonto išlaidos;</w:t>
            </w:r>
          </w:p>
          <w:p w14:paraId="7F772204" w14:textId="77777777" w:rsidR="006C43F2" w:rsidRDefault="000F2108">
            <w:pPr>
              <w:suppressAutoHyphens/>
              <w:jc w:val="both"/>
              <w:rPr>
                <w:szCs w:val="24"/>
              </w:rPr>
            </w:pPr>
            <w:r>
              <w:rPr>
                <w:szCs w:val="24"/>
              </w:rPr>
              <w:t>16.4.3. bazinės informacinių technologijų įrangos (standartinių (biuro klasės) kompiuterių ir jų priedų komplektai, tokiems kompiuteriams skirtos operacinės sistemos, saugos ir kitos įprastinės programos, įprastinė kompiuterinių tinklų, taip pat mobiliojo ryšio ir kita panašaus pobūdžio standartinė įranga), kuri nėra susieta su specializuotomis technologijomis ar mokslo (meno) tyrimų poreikiais, įsigijimo ar remonto išlaidos;</w:t>
            </w:r>
          </w:p>
          <w:p w14:paraId="7F772205" w14:textId="655B129B" w:rsidR="006C43F2" w:rsidRDefault="000F2108">
            <w:pPr>
              <w:suppressAutoHyphens/>
              <w:jc w:val="both"/>
              <w:rPr>
                <w:szCs w:val="24"/>
              </w:rPr>
            </w:pPr>
            <w:r>
              <w:rPr>
                <w:szCs w:val="24"/>
              </w:rPr>
              <w:t xml:space="preserve">16.4.4. </w:t>
            </w:r>
            <w:r w:rsidR="0035249B">
              <w:rPr>
                <w:szCs w:val="24"/>
              </w:rPr>
              <w:t>rangos darbų</w:t>
            </w:r>
            <w:r>
              <w:rPr>
                <w:szCs w:val="24"/>
              </w:rPr>
              <w:t>,</w:t>
            </w:r>
            <w:r w:rsidR="0035249B">
              <w:rPr>
                <w:szCs w:val="24"/>
              </w:rPr>
              <w:t xml:space="preserve"> patalpų</w:t>
            </w:r>
            <w:r>
              <w:rPr>
                <w:szCs w:val="24"/>
              </w:rPr>
              <w:t xml:space="preserve"> išlaikymo ir priežiūros išlaidos, patalpų ir įrangos nuom</w:t>
            </w:r>
            <w:r w:rsidR="0035249B">
              <w:rPr>
                <w:szCs w:val="24"/>
              </w:rPr>
              <w:t>os išlaidos</w:t>
            </w:r>
            <w:r>
              <w:rPr>
                <w:szCs w:val="24"/>
              </w:rPr>
              <w:t>;</w:t>
            </w:r>
          </w:p>
          <w:p w14:paraId="7F772206" w14:textId="77777777" w:rsidR="006C43F2" w:rsidRDefault="000F2108">
            <w:pPr>
              <w:suppressAutoHyphens/>
              <w:jc w:val="both"/>
              <w:rPr>
                <w:szCs w:val="24"/>
              </w:rPr>
            </w:pPr>
            <w:r>
              <w:rPr>
                <w:szCs w:val="24"/>
              </w:rPr>
              <w:t>16.4.5. darbo užmokestis;</w:t>
            </w:r>
          </w:p>
          <w:p w14:paraId="7F772207" w14:textId="344D1E54" w:rsidR="006C43F2" w:rsidRDefault="000F2108">
            <w:pPr>
              <w:suppressAutoHyphens/>
              <w:jc w:val="both"/>
              <w:rPr>
                <w:szCs w:val="24"/>
              </w:rPr>
            </w:pPr>
            <w:r>
              <w:rPr>
                <w:szCs w:val="24"/>
              </w:rPr>
              <w:t>16.4.6. trumpalaiki</w:t>
            </w:r>
            <w:r w:rsidR="0035249B">
              <w:rPr>
                <w:szCs w:val="24"/>
              </w:rPr>
              <w:t>o</w:t>
            </w:r>
            <w:r>
              <w:rPr>
                <w:szCs w:val="24"/>
              </w:rPr>
              <w:t xml:space="preserve"> turt</w:t>
            </w:r>
            <w:r w:rsidR="0035249B">
              <w:rPr>
                <w:szCs w:val="24"/>
              </w:rPr>
              <w:t>o</w:t>
            </w:r>
            <w:r w:rsidR="00DC3492">
              <w:rPr>
                <w:szCs w:val="24"/>
              </w:rPr>
              <w:t xml:space="preserve"> </w:t>
            </w:r>
            <w:r w:rsidR="00DC3492" w:rsidRPr="00F960C0">
              <w:rPr>
                <w:szCs w:val="24"/>
              </w:rPr>
              <w:t>ir baldų</w:t>
            </w:r>
            <w:r w:rsidR="0035249B">
              <w:rPr>
                <w:szCs w:val="24"/>
              </w:rPr>
              <w:t xml:space="preserve"> įsigijimo išlaidos</w:t>
            </w:r>
            <w:r>
              <w:rPr>
                <w:szCs w:val="24"/>
              </w:rPr>
              <w:t xml:space="preserve">; </w:t>
            </w:r>
          </w:p>
          <w:p w14:paraId="7F772208" w14:textId="77777777" w:rsidR="006C43F2" w:rsidRDefault="000F2108">
            <w:pPr>
              <w:suppressAutoHyphens/>
              <w:jc w:val="both"/>
            </w:pPr>
            <w:r>
              <w:rPr>
                <w:szCs w:val="24"/>
              </w:rPr>
              <w:t>16.4.7. išlaidos, kurios anksčiau buvo finansuotos (apmokėtos) iš Lietuvos Respublikos valstybės biudžeto ir (arba) savivaldybių biudžetų, kitų piniginių išteklių, kuriais disponuoja valstybė ir (arba) savivaldybės, Europos Sąjungos (toliau – ES) fondų, kitų ES finansinės paramos priemonių ar kitos tarptautinės paramos lėšų ir (arba) deklaruotos (arba pripažintos deklaruotinomis) EK arba kitai tarptautinei institucijai ir kurioms apmokėti skyrus ES fondų lėšų jos būtų pripažintos tinkamomis finansuoti ir (arba) apmokėtos, ir (arba) deklaruotos EK arba kitai tarptautinei institucijai daugiau nei vieną kartą.</w:t>
            </w:r>
          </w:p>
          <w:p w14:paraId="7F772209" w14:textId="2F942506" w:rsidR="006C43F2" w:rsidRDefault="000F2108">
            <w:pPr>
              <w:suppressAutoHyphens/>
              <w:jc w:val="both"/>
              <w:rPr>
                <w:szCs w:val="24"/>
              </w:rPr>
            </w:pPr>
            <w:r>
              <w:rPr>
                <w:szCs w:val="24"/>
              </w:rPr>
              <w:t>16.5. Ilgalaikio turto remonto išlaidos neturi viršyti 40 proc. visos tinkamų finansuoti išlaidų sumos.</w:t>
            </w:r>
          </w:p>
          <w:p w14:paraId="7F77220A" w14:textId="77777777" w:rsidR="006C43F2" w:rsidRDefault="000F2108">
            <w:pPr>
              <w:suppressAutoHyphens/>
              <w:jc w:val="both"/>
              <w:rPr>
                <w:szCs w:val="24"/>
              </w:rPr>
            </w:pPr>
            <w:r>
              <w:rPr>
                <w:szCs w:val="24"/>
              </w:rPr>
              <w:t>16.6. Pareiškėjo išlaidos gali būti patirtos nuo kvietimo teikti PĮP paskelbimo dienos.</w:t>
            </w:r>
          </w:p>
          <w:p w14:paraId="7F77220B" w14:textId="77777777" w:rsidR="006C43F2" w:rsidRDefault="000F2108">
            <w:pPr>
              <w:suppressAutoHyphens/>
              <w:jc w:val="both"/>
              <w:rPr>
                <w:szCs w:val="24"/>
              </w:rPr>
            </w:pPr>
            <w:r>
              <w:rPr>
                <w:szCs w:val="24"/>
              </w:rPr>
              <w:t>16.7. Projekto vykdytojas savo iniciatyva ir savo, ir (arba) kitų šaltinių lėšomis gali prisidėti prie projekto įgyvendinimo.</w:t>
            </w:r>
          </w:p>
          <w:p w14:paraId="7F77220C" w14:textId="77777777" w:rsidR="006C43F2" w:rsidRDefault="000F2108">
            <w:pPr>
              <w:suppressAutoHyphens/>
              <w:jc w:val="both"/>
              <w:rPr>
                <w:szCs w:val="24"/>
              </w:rPr>
            </w:pPr>
            <w:r>
              <w:rPr>
                <w:szCs w:val="24"/>
              </w:rPr>
              <w:t xml:space="preserve">16.8. Projekto tinkamų finansuoti išlaidų dalis, kurios nepadengia projektui skiriamo finansavimo lėšos, turi būti finansuojama iš Projekto vykdytojo lėšų. </w:t>
            </w:r>
          </w:p>
          <w:p w14:paraId="2E08FB2A" w14:textId="77777777" w:rsidR="006C43F2" w:rsidRDefault="000F2108">
            <w:pPr>
              <w:suppressAutoHyphens/>
              <w:jc w:val="both"/>
              <w:rPr>
                <w:szCs w:val="24"/>
              </w:rPr>
            </w:pPr>
            <w:r>
              <w:rPr>
                <w:szCs w:val="24"/>
              </w:rPr>
              <w:t>16.9. Projekto vykdytojui gali būti mokamas avansas, vadovaujantis Projektų administravimo ir finansavimo taisyklių 153–159 punktais.</w:t>
            </w:r>
          </w:p>
          <w:p w14:paraId="7F77220D" w14:textId="3B445525" w:rsidR="007A388A" w:rsidRDefault="007A388A" w:rsidP="007A388A">
            <w:pPr>
              <w:suppressAutoHyphens/>
              <w:jc w:val="both"/>
              <w:rPr>
                <w:szCs w:val="24"/>
              </w:rPr>
            </w:pPr>
            <w:r>
              <w:rPr>
                <w:szCs w:val="24"/>
              </w:rPr>
              <w:t xml:space="preserve">16.10. </w:t>
            </w:r>
            <w:r w:rsidRPr="007A388A">
              <w:rPr>
                <w:szCs w:val="24"/>
              </w:rPr>
              <w:t>Patirtos išlaidos administruojančiajai institucijai gali būti deklaruojamos nuo projekto sutarties pasirašymo dienos iki projekto sutartyje nustatyto galutinės veiklos ataskaitos pateikimo termino, bet ne vėliau kaip iki 2026 m. birželio 1 dienos</w:t>
            </w:r>
            <w:r>
              <w:rPr>
                <w:szCs w:val="24"/>
              </w:rPr>
              <w:t>.</w:t>
            </w:r>
          </w:p>
        </w:tc>
      </w:tr>
    </w:tbl>
    <w:p w14:paraId="7F77220F" w14:textId="77777777" w:rsidR="006C43F2" w:rsidRDefault="006C43F2">
      <w:pPr>
        <w:suppressAutoHyphens/>
        <w:jc w:val="center"/>
        <w:rPr>
          <w:b/>
          <w:szCs w:val="24"/>
        </w:rPr>
      </w:pPr>
    </w:p>
    <w:p w14:paraId="7F772210" w14:textId="77777777" w:rsidR="006C43F2" w:rsidRDefault="000F2108">
      <w:pPr>
        <w:suppressAutoHyphens/>
        <w:jc w:val="center"/>
        <w:rPr>
          <w:b/>
          <w:szCs w:val="24"/>
        </w:rPr>
      </w:pPr>
      <w:r>
        <w:rPr>
          <w:b/>
          <w:szCs w:val="24"/>
        </w:rPr>
        <w:t>IV SKYRIUS</w:t>
      </w:r>
    </w:p>
    <w:p w14:paraId="7F772211" w14:textId="77777777" w:rsidR="006C43F2" w:rsidRDefault="000F2108">
      <w:pPr>
        <w:suppressAutoHyphens/>
        <w:jc w:val="center"/>
        <w:rPr>
          <w:b/>
          <w:szCs w:val="24"/>
        </w:rPr>
      </w:pPr>
      <w:r>
        <w:rPr>
          <w:b/>
          <w:szCs w:val="24"/>
        </w:rPr>
        <w:t>SUPAPRASTINTAI APMOKAMŲ IŠLAIDŲ DYDŽIAI</w:t>
      </w:r>
    </w:p>
    <w:p w14:paraId="7F772212" w14:textId="77777777" w:rsidR="006C43F2" w:rsidRDefault="006C43F2"/>
    <w:tbl>
      <w:tblPr>
        <w:tblW w:w="15134" w:type="dxa"/>
        <w:tblCellMar>
          <w:left w:w="10" w:type="dxa"/>
          <w:right w:w="10" w:type="dxa"/>
        </w:tblCellMar>
        <w:tblLook w:val="04A0" w:firstRow="1" w:lastRow="0" w:firstColumn="1" w:lastColumn="0" w:noHBand="0" w:noVBand="1"/>
      </w:tblPr>
      <w:tblGrid>
        <w:gridCol w:w="15134"/>
      </w:tblGrid>
      <w:tr w:rsidR="006C43F2" w14:paraId="7F772214" w14:textId="77777777">
        <w:trPr>
          <w:trHeight w:val="349"/>
        </w:trPr>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13" w14:textId="77777777" w:rsidR="006C43F2" w:rsidRDefault="000F2108">
            <w:pPr>
              <w:suppressAutoHyphens/>
              <w:jc w:val="both"/>
            </w:pPr>
            <w:r>
              <w:rPr>
                <w:b/>
                <w:szCs w:val="24"/>
              </w:rPr>
              <w:t>17. Projektų veiklų ir jungtinio projekto projektų įgyvendinimui taikomi supaprastintai apmokamų išlaidų dydžiai</w:t>
            </w:r>
          </w:p>
        </w:tc>
      </w:tr>
      <w:tr w:rsidR="006C43F2" w14:paraId="7F772235" w14:textId="77777777">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15" w14:textId="77777777" w:rsidR="006C43F2" w:rsidRDefault="006C43F2">
            <w:pPr>
              <w:suppressAutoHyphens/>
              <w:jc w:val="both"/>
              <w:rPr>
                <w:i/>
                <w:iCs/>
                <w:sz w:val="22"/>
                <w:szCs w:val="22"/>
              </w:rPr>
            </w:pPr>
          </w:p>
          <w:tbl>
            <w:tblPr>
              <w:tblW w:w="14874" w:type="dxa"/>
              <w:tblCellMar>
                <w:left w:w="10" w:type="dxa"/>
                <w:right w:w="10" w:type="dxa"/>
              </w:tblCellMar>
              <w:tblLook w:val="04A0" w:firstRow="1" w:lastRow="0" w:firstColumn="1" w:lastColumn="0" w:noHBand="0" w:noVBand="1"/>
            </w:tblPr>
            <w:tblGrid>
              <w:gridCol w:w="2974"/>
              <w:gridCol w:w="2975"/>
              <w:gridCol w:w="2975"/>
              <w:gridCol w:w="2975"/>
              <w:gridCol w:w="2975"/>
            </w:tblGrid>
            <w:tr w:rsidR="006C43F2" w14:paraId="7F772218" w14:textId="77777777">
              <w:tc>
                <w:tcPr>
                  <w:tcW w:w="148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16" w14:textId="77777777" w:rsidR="006C43F2" w:rsidRDefault="000F2108">
                  <w:pPr>
                    <w:suppressAutoHyphens/>
                    <w:jc w:val="both"/>
                  </w:pPr>
                  <w:r>
                    <w:rPr>
                      <w:rFonts w:ascii="MS Gothic" w:eastAsia="MS Gothic" w:hAnsi="MS Gothic" w:cs="MS Gothic"/>
                      <w:b/>
                      <w:bCs/>
                      <w:sz w:val="22"/>
                      <w:szCs w:val="22"/>
                    </w:rPr>
                    <w:t>☐</w:t>
                  </w:r>
                  <w:r>
                    <w:rPr>
                      <w:b/>
                      <w:bCs/>
                      <w:sz w:val="22"/>
                      <w:szCs w:val="22"/>
                    </w:rPr>
                    <w:t xml:space="preserve"> Indeksuojama</w:t>
                  </w:r>
                </w:p>
                <w:p w14:paraId="7F772217" w14:textId="77777777" w:rsidR="006C43F2" w:rsidRDefault="000F2108">
                  <w:pPr>
                    <w:suppressAutoHyphens/>
                    <w:jc w:val="both"/>
                  </w:pPr>
                  <w:r>
                    <w:rPr>
                      <w:rFonts w:ascii="MS Gothic" w:eastAsia="MS Gothic" w:hAnsi="MS Gothic"/>
                      <w:b/>
                      <w:bCs/>
                      <w:sz w:val="22"/>
                      <w:szCs w:val="22"/>
                    </w:rPr>
                    <w:t>☒</w:t>
                  </w:r>
                  <w:r>
                    <w:rPr>
                      <w:b/>
                      <w:bCs/>
                      <w:sz w:val="22"/>
                      <w:szCs w:val="22"/>
                    </w:rPr>
                    <w:t xml:space="preserve"> Neindeksuojama</w:t>
                  </w:r>
                </w:p>
              </w:tc>
            </w:tr>
            <w:tr w:rsidR="006C43F2" w14:paraId="7F77221E" w14:textId="77777777">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19" w14:textId="77777777" w:rsidR="006C43F2" w:rsidRDefault="000F2108">
                  <w:pPr>
                    <w:suppressAutoHyphens/>
                    <w:jc w:val="center"/>
                    <w:rPr>
                      <w:b/>
                      <w:bCs/>
                      <w:sz w:val="22"/>
                      <w:szCs w:val="22"/>
                    </w:rPr>
                  </w:pPr>
                  <w:r>
                    <w:rPr>
                      <w:b/>
                      <w:bCs/>
                      <w:sz w:val="22"/>
                      <w:szCs w:val="22"/>
                    </w:rPr>
                    <w:t>Veiklos ir (ar) išlaidos, kurioms taikomi supaprastintai apmokamų išlaidų dydžiai</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1A" w14:textId="77777777" w:rsidR="006C43F2" w:rsidRDefault="000F2108">
                  <w:pPr>
                    <w:suppressAutoHyphens/>
                    <w:jc w:val="center"/>
                    <w:rPr>
                      <w:b/>
                      <w:bCs/>
                      <w:sz w:val="22"/>
                      <w:szCs w:val="22"/>
                    </w:rPr>
                  </w:pPr>
                  <w:r>
                    <w:rPr>
                      <w:b/>
                      <w:bCs/>
                      <w:sz w:val="22"/>
                      <w:szCs w:val="22"/>
                    </w:rPr>
                    <w:t>Supaprastintai apmokamų išlaidų dydžio kodas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1B" w14:textId="77777777" w:rsidR="006C43F2" w:rsidRDefault="000F2108">
                  <w:pPr>
                    <w:suppressAutoHyphens/>
                    <w:jc w:val="center"/>
                  </w:pPr>
                  <w:r>
                    <w:rPr>
                      <w:b/>
                      <w:bCs/>
                      <w:sz w:val="22"/>
                      <w:szCs w:val="22"/>
                    </w:rPr>
                    <w:t>Supaprastintai apmokamų išlaidų dydžio versija</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1C" w14:textId="77777777" w:rsidR="006C43F2" w:rsidRDefault="000F2108">
                  <w:pPr>
                    <w:suppressAutoHyphens/>
                    <w:jc w:val="center"/>
                    <w:rPr>
                      <w:b/>
                      <w:bCs/>
                      <w:sz w:val="22"/>
                      <w:szCs w:val="22"/>
                    </w:rPr>
                  </w:pPr>
                  <w:r>
                    <w:rPr>
                      <w:b/>
                      <w:bCs/>
                      <w:sz w:val="22"/>
                      <w:szCs w:val="22"/>
                    </w:rPr>
                    <w:t>Supaprastintai apmokamų išlaidų dydžio pavadinimas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1D" w14:textId="77777777" w:rsidR="006C43F2" w:rsidRDefault="000F2108">
                  <w:pPr>
                    <w:suppressAutoHyphens/>
                    <w:jc w:val="center"/>
                    <w:rPr>
                      <w:b/>
                      <w:bCs/>
                      <w:sz w:val="22"/>
                      <w:szCs w:val="22"/>
                    </w:rPr>
                  </w:pPr>
                  <w:r>
                    <w:rPr>
                      <w:b/>
                      <w:bCs/>
                      <w:sz w:val="22"/>
                      <w:szCs w:val="22"/>
                    </w:rPr>
                    <w:t>Papildoma informacija</w:t>
                  </w:r>
                </w:p>
              </w:tc>
            </w:tr>
            <w:tr w:rsidR="006C43F2" w14:paraId="7F772224" w14:textId="77777777">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1F" w14:textId="77777777" w:rsidR="006C43F2" w:rsidRDefault="000F2108">
                  <w:pPr>
                    <w:suppressAutoHyphens/>
                    <w:jc w:val="center"/>
                  </w:pPr>
                  <w:r>
                    <w:rPr>
                      <w:iCs/>
                      <w:sz w:val="22"/>
                      <w:szCs w:val="22"/>
                    </w:rPr>
                    <w:t>Netiesioginės projekto išlaidos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20" w14:textId="77777777" w:rsidR="006C43F2" w:rsidRDefault="000F2108">
                  <w:pPr>
                    <w:suppressAutoHyphens/>
                    <w:jc w:val="center"/>
                  </w:pPr>
                  <w:r>
                    <w:rPr>
                      <w:iCs/>
                      <w:sz w:val="22"/>
                      <w:szCs w:val="22"/>
                    </w:rPr>
                    <w:t>FN-01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21" w14:textId="77777777" w:rsidR="006C43F2" w:rsidRDefault="000F2108">
                  <w:pPr>
                    <w:suppressAutoHyphens/>
                    <w:jc w:val="center"/>
                  </w:pPr>
                  <w:r>
                    <w:rPr>
                      <w:bCs/>
                      <w:iCs/>
                      <w:sz w:val="22"/>
                      <w:szCs w:val="22"/>
                      <w:lang w:eastAsia="lt-LT"/>
                    </w:rPr>
                    <w:t>01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22" w14:textId="77777777" w:rsidR="006C43F2" w:rsidRDefault="000F2108">
                  <w:pPr>
                    <w:suppressAutoHyphens/>
                    <w:jc w:val="center"/>
                  </w:pPr>
                  <w:r>
                    <w:rPr>
                      <w:iCs/>
                      <w:sz w:val="22"/>
                      <w:szCs w:val="22"/>
                    </w:rPr>
                    <w:t>Iki 7 proc. netiesioginių išlaidų fiksuotoji norma</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23" w14:textId="77777777" w:rsidR="006C43F2" w:rsidRDefault="000F2108">
                  <w:pPr>
                    <w:suppressAutoHyphens/>
                    <w:jc w:val="center"/>
                    <w:rPr>
                      <w:i/>
                      <w:iCs/>
                      <w:sz w:val="20"/>
                    </w:rPr>
                  </w:pPr>
                  <w:r>
                    <w:rPr>
                      <w:i/>
                      <w:iCs/>
                      <w:sz w:val="20"/>
                    </w:rPr>
                    <w:t>-</w:t>
                  </w:r>
                </w:p>
              </w:tc>
            </w:tr>
            <w:tr w:rsidR="006C43F2" w14:paraId="7F77222B" w14:textId="77777777">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25" w14:textId="77777777" w:rsidR="006C43F2" w:rsidRDefault="000F2108">
                  <w:pPr>
                    <w:suppressAutoHyphens/>
                    <w:jc w:val="both"/>
                    <w:rPr>
                      <w:sz w:val="22"/>
                      <w:szCs w:val="22"/>
                    </w:rPr>
                  </w:pPr>
                  <w:r>
                    <w:rPr>
                      <w:sz w:val="22"/>
                      <w:szCs w:val="22"/>
                    </w:rPr>
                    <w:t>Privalomos projektų matomumo ir informavimo apie projektus priemonės</w:t>
                  </w:r>
                </w:p>
                <w:p w14:paraId="7F772226" w14:textId="77777777" w:rsidR="006C43F2" w:rsidRDefault="006C43F2">
                  <w:pPr>
                    <w:suppressAutoHyphens/>
                    <w:jc w:val="center"/>
                    <w:rPr>
                      <w:i/>
                      <w:iCs/>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27" w14:textId="77777777" w:rsidR="006C43F2" w:rsidRDefault="000F2108">
                  <w:pPr>
                    <w:suppressAutoHyphens/>
                    <w:jc w:val="center"/>
                  </w:pPr>
                  <w:r>
                    <w:rPr>
                      <w:sz w:val="22"/>
                      <w:szCs w:val="22"/>
                    </w:rPr>
                    <w:t>FS-01-01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28" w14:textId="77777777" w:rsidR="006C43F2" w:rsidRDefault="000F2108">
                  <w:pPr>
                    <w:suppressAutoHyphens/>
                    <w:jc w:val="center"/>
                  </w:pPr>
                  <w:r>
                    <w:rPr>
                      <w:sz w:val="22"/>
                      <w:szCs w:val="22"/>
                    </w:rPr>
                    <w:t>03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29" w14:textId="77777777" w:rsidR="006C43F2" w:rsidRDefault="000F2108">
                  <w:pPr>
                    <w:suppressAutoHyphens/>
                    <w:jc w:val="center"/>
                  </w:pPr>
                  <w:r>
                    <w:rPr>
                      <w:sz w:val="22"/>
                      <w:szCs w:val="22"/>
                    </w:rPr>
                    <w:t>Įgyvendintų privalomų matomumo ir informavimo priemonių apie ES fondų investicijų veiklas fiksuotoji suma, pirmojo rinkinio FS be PVM</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2A" w14:textId="77777777" w:rsidR="006C43F2" w:rsidRDefault="000F2108">
                  <w:pPr>
                    <w:suppressAutoHyphens/>
                    <w:jc w:val="center"/>
                  </w:pPr>
                  <w:r>
                    <w:rPr>
                      <w:bCs/>
                      <w:sz w:val="22"/>
                      <w:szCs w:val="22"/>
                    </w:rPr>
                    <w:t>20,19</w:t>
                  </w:r>
                </w:p>
              </w:tc>
            </w:tr>
            <w:tr w:rsidR="006C43F2" w14:paraId="7F772232" w14:textId="77777777">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2C" w14:textId="77777777" w:rsidR="006C43F2" w:rsidRDefault="000F2108">
                  <w:pPr>
                    <w:suppressAutoHyphens/>
                    <w:jc w:val="both"/>
                    <w:rPr>
                      <w:sz w:val="22"/>
                      <w:szCs w:val="22"/>
                    </w:rPr>
                  </w:pPr>
                  <w:r>
                    <w:rPr>
                      <w:sz w:val="22"/>
                      <w:szCs w:val="22"/>
                    </w:rPr>
                    <w:t>Privalomos projektų matomumo ir informavimo apie projektus priemonės</w:t>
                  </w:r>
                </w:p>
                <w:p w14:paraId="7F77222D" w14:textId="77777777" w:rsidR="006C43F2" w:rsidRDefault="006C43F2">
                  <w:pPr>
                    <w:suppressAutoHyphens/>
                    <w:jc w:val="center"/>
                    <w:rPr>
                      <w:i/>
                      <w:iCs/>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2E" w14:textId="77777777" w:rsidR="006C43F2" w:rsidRDefault="000F2108">
                  <w:pPr>
                    <w:suppressAutoHyphens/>
                    <w:jc w:val="center"/>
                  </w:pPr>
                  <w:r>
                    <w:rPr>
                      <w:sz w:val="22"/>
                      <w:szCs w:val="22"/>
                    </w:rPr>
                    <w:t>FS-01-02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2F" w14:textId="77777777" w:rsidR="006C43F2" w:rsidRDefault="000F2108">
                  <w:pPr>
                    <w:suppressAutoHyphens/>
                    <w:jc w:val="center"/>
                  </w:pPr>
                  <w:r>
                    <w:rPr>
                      <w:sz w:val="22"/>
                      <w:szCs w:val="22"/>
                    </w:rPr>
                    <w:t>03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30" w14:textId="77777777" w:rsidR="006C43F2" w:rsidRDefault="000F2108">
                  <w:pPr>
                    <w:suppressAutoHyphens/>
                    <w:jc w:val="center"/>
                  </w:pPr>
                  <w:r>
                    <w:rPr>
                      <w:sz w:val="22"/>
                      <w:szCs w:val="22"/>
                    </w:rPr>
                    <w:t>Įgyvendintų privalomų matomumo ir informavimo priemonių apie ES fondų investicijų veiklas fiksuotoji suma, pirmojo rinkinio FS su PVM</w:t>
                  </w:r>
                </w:p>
              </w:tc>
              <w:tc>
                <w:tcPr>
                  <w:tcW w:w="29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2231" w14:textId="77777777" w:rsidR="006C43F2" w:rsidRDefault="000F2108">
                  <w:pPr>
                    <w:suppressAutoHyphens/>
                    <w:jc w:val="center"/>
                  </w:pPr>
                  <w:r>
                    <w:rPr>
                      <w:bCs/>
                      <w:sz w:val="22"/>
                      <w:szCs w:val="22"/>
                    </w:rPr>
                    <w:t>24,43</w:t>
                  </w:r>
                </w:p>
              </w:tc>
            </w:tr>
          </w:tbl>
          <w:p w14:paraId="7F772233" w14:textId="77777777" w:rsidR="006C43F2" w:rsidRDefault="006C43F2">
            <w:pPr>
              <w:suppressAutoHyphens/>
              <w:jc w:val="both"/>
              <w:rPr>
                <w:i/>
                <w:iCs/>
                <w:sz w:val="22"/>
                <w:szCs w:val="22"/>
              </w:rPr>
            </w:pPr>
          </w:p>
          <w:p w14:paraId="7F772234" w14:textId="77777777" w:rsidR="006C43F2" w:rsidRDefault="006C43F2">
            <w:pPr>
              <w:suppressAutoHyphens/>
              <w:jc w:val="both"/>
              <w:rPr>
                <w:i/>
                <w:iCs/>
                <w:sz w:val="22"/>
                <w:szCs w:val="22"/>
              </w:rPr>
            </w:pPr>
          </w:p>
        </w:tc>
      </w:tr>
    </w:tbl>
    <w:p w14:paraId="6A95994E" w14:textId="77777777" w:rsidR="006C43F2" w:rsidRDefault="006C43F2"/>
    <w:p w14:paraId="7F772236" w14:textId="77777777" w:rsidR="006C43F2" w:rsidRDefault="000F2108">
      <w:pPr>
        <w:suppressAutoHyphens/>
        <w:spacing w:line="276" w:lineRule="auto"/>
        <w:jc w:val="center"/>
        <w:rPr>
          <w:rFonts w:eastAsia="Calibri"/>
          <w:szCs w:val="24"/>
        </w:rPr>
        <w:sectPr w:rsidR="006C43F2">
          <w:headerReference w:type="even" r:id="rId10"/>
          <w:headerReference w:type="default" r:id="rId11"/>
          <w:footerReference w:type="even" r:id="rId12"/>
          <w:footerReference w:type="default" r:id="rId13"/>
          <w:headerReference w:type="first" r:id="rId14"/>
          <w:footerReference w:type="first" r:id="rId15"/>
          <w:pgSz w:w="16838" w:h="11906" w:orient="landscape"/>
          <w:pgMar w:top="1701" w:right="567" w:bottom="1134" w:left="1134" w:header="567" w:footer="567" w:gutter="0"/>
          <w:cols w:space="1296"/>
          <w:titlePg/>
        </w:sectPr>
      </w:pPr>
      <w:r>
        <w:rPr>
          <w:rFonts w:eastAsia="Calibri"/>
          <w:szCs w:val="24"/>
        </w:rPr>
        <w:t>________________</w:t>
      </w:r>
    </w:p>
    <w:p w14:paraId="30C536CB" w14:textId="77777777" w:rsidR="006C43F2" w:rsidRDefault="006C43F2">
      <w:pPr>
        <w:tabs>
          <w:tab w:val="center" w:pos="4986"/>
          <w:tab w:val="right" w:pos="9972"/>
        </w:tabs>
        <w:suppressAutoHyphens/>
      </w:pPr>
    </w:p>
    <w:p w14:paraId="7F772237" w14:textId="48C3F11A" w:rsidR="006C43F2" w:rsidRDefault="000F2108">
      <w:pPr>
        <w:suppressAutoHyphens/>
        <w:ind w:left="9639"/>
        <w:jc w:val="both"/>
        <w:rPr>
          <w:szCs w:val="24"/>
        </w:rPr>
      </w:pPr>
      <w:r>
        <w:rPr>
          <w:szCs w:val="24"/>
        </w:rPr>
        <w:t>17 priedo „2022–2030 m. plėtros programos valdytojos Lietuvos Respublikos švietimo, mokslo ir sporto ministerijos mokslo plėtros programos pažangos priemonės Nr. 12-001-01-02-01 „Stiprinti inovacijų ekosistemas mokslo centruose“ projektų finansavimo sąlygų aprašo Nr. 16</w:t>
      </w:r>
      <w:r w:rsidR="008E3E8F">
        <w:rPr>
          <w:szCs w:val="24"/>
        </w:rPr>
        <w:t>“</w:t>
      </w:r>
    </w:p>
    <w:p w14:paraId="7F772238" w14:textId="77777777" w:rsidR="006C43F2" w:rsidRDefault="000F2108">
      <w:pPr>
        <w:suppressAutoHyphens/>
        <w:ind w:left="9639"/>
      </w:pPr>
      <w:r>
        <w:rPr>
          <w:szCs w:val="24"/>
        </w:rPr>
        <w:t>priedas</w:t>
      </w:r>
    </w:p>
    <w:p w14:paraId="7F772239" w14:textId="77777777" w:rsidR="006C43F2" w:rsidRDefault="006C43F2">
      <w:pPr>
        <w:suppressAutoHyphens/>
        <w:jc w:val="center"/>
        <w:rPr>
          <w:rFonts w:eastAsia="Calibri"/>
          <w:b/>
          <w:bCs/>
          <w:szCs w:val="24"/>
        </w:rPr>
      </w:pPr>
    </w:p>
    <w:p w14:paraId="7F77223A" w14:textId="77777777" w:rsidR="006C43F2" w:rsidRDefault="000F2108">
      <w:pPr>
        <w:suppressAutoHyphens/>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7F77223B" w14:textId="77777777" w:rsidR="006C43F2" w:rsidRDefault="006C43F2">
      <w:pPr>
        <w:suppressAutoHyphens/>
        <w:jc w:val="center"/>
        <w:rPr>
          <w:rFonts w:eastAsia="Calibri"/>
          <w:b/>
          <w:bCs/>
          <w:szCs w:val="24"/>
        </w:rPr>
      </w:pPr>
    </w:p>
    <w:p w14:paraId="7F77223C" w14:textId="77777777" w:rsidR="006C43F2" w:rsidRDefault="000F2108">
      <w:pPr>
        <w:suppressAutoHyphens/>
        <w:spacing w:line="276" w:lineRule="auto"/>
        <w:jc w:val="both"/>
        <w:rPr>
          <w:rFonts w:eastAsia="Calibri"/>
          <w:bCs/>
          <w:szCs w:val="24"/>
        </w:rPr>
      </w:pPr>
      <w:r>
        <w:rPr>
          <w:rFonts w:eastAsia="Calibri"/>
          <w:bCs/>
          <w:szCs w:val="24"/>
        </w:rPr>
        <w:t xml:space="preserve">Finansavimo šaltinis, pagal kurį finansuojamas projektas: </w:t>
      </w:r>
    </w:p>
    <w:p w14:paraId="7F77223D" w14:textId="262FEB60" w:rsidR="006C43F2" w:rsidRDefault="000F2108">
      <w:pPr>
        <w:suppressAutoHyphens/>
        <w:spacing w:line="276" w:lineRule="auto"/>
        <w:jc w:val="both"/>
      </w:pPr>
      <w:r>
        <w:rPr>
          <w:rFonts w:ascii="MS Gothic" w:eastAsia="MS Gothic" w:hAnsi="MS Gothic"/>
          <w:b/>
          <w:bCs/>
          <w:sz w:val="22"/>
          <w:szCs w:val="22"/>
        </w:rPr>
        <w:t>☒</w:t>
      </w:r>
      <w:r>
        <w:t xml:space="preserve"> </w:t>
      </w:r>
      <w:r>
        <w:rPr>
          <w:rFonts w:eastAsia="Calibri"/>
          <w:bCs/>
          <w:szCs w:val="24"/>
        </w:rPr>
        <w:t>Ekonomikos gaivinimo ir atsparumo didinimo priemonė (toliau – EGADP)</w:t>
      </w:r>
      <w:r w:rsidR="004C4036">
        <w:rPr>
          <w:rFonts w:eastAsia="Calibri"/>
          <w:bCs/>
          <w:szCs w:val="24"/>
        </w:rPr>
        <w:t>;</w:t>
      </w:r>
    </w:p>
    <w:p w14:paraId="7F77223E" w14:textId="3A439287" w:rsidR="006C43F2" w:rsidRDefault="000F2108">
      <w:pPr>
        <w:suppressAutoHyphens/>
        <w:spacing w:line="276" w:lineRule="auto"/>
        <w:jc w:val="both"/>
      </w:pPr>
      <w:r>
        <w:rPr>
          <w:rFonts w:ascii="Wingdings 2" w:eastAsia="Wingdings 2" w:hAnsi="Wingdings 2" w:cs="Wingdings 2"/>
        </w:rPr>
        <w:t></w:t>
      </w:r>
      <w:r>
        <w:t xml:space="preserve"> Europos Sąjungos fondų i</w:t>
      </w:r>
      <w:r>
        <w:rPr>
          <w:rFonts w:eastAsia="Calibri"/>
          <w:bCs/>
          <w:szCs w:val="24"/>
        </w:rPr>
        <w:t>nvesticijų programa (toliau – ESIP)</w:t>
      </w:r>
      <w:r w:rsidR="004C4036">
        <w:rPr>
          <w:rFonts w:eastAsia="Calibri"/>
          <w:bCs/>
          <w:szCs w:val="24"/>
        </w:rPr>
        <w:t>.</w:t>
      </w:r>
    </w:p>
    <w:p w14:paraId="7F77223F" w14:textId="77777777" w:rsidR="006C43F2" w:rsidRDefault="006C43F2">
      <w:pPr>
        <w:suppressAutoHyphens/>
        <w:spacing w:line="276" w:lineRule="auto"/>
        <w:jc w:val="both"/>
        <w:rPr>
          <w:rFonts w:eastAsia="Calibri"/>
          <w:bCs/>
          <w:szCs w:val="24"/>
        </w:rPr>
      </w:pPr>
    </w:p>
    <w:tbl>
      <w:tblPr>
        <w:tblW w:w="14998" w:type="dxa"/>
        <w:tblInd w:w="-289" w:type="dxa"/>
        <w:tblCellMar>
          <w:left w:w="10" w:type="dxa"/>
          <w:right w:w="10" w:type="dxa"/>
        </w:tblCellMar>
        <w:tblLook w:val="04A0" w:firstRow="1" w:lastRow="0" w:firstColumn="1" w:lastColumn="0" w:noHBand="0" w:noVBand="1"/>
      </w:tblPr>
      <w:tblGrid>
        <w:gridCol w:w="4933"/>
        <w:gridCol w:w="4678"/>
        <w:gridCol w:w="5387"/>
      </w:tblGrid>
      <w:tr w:rsidR="006C43F2" w14:paraId="7F772247" w14:textId="7777777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40" w14:textId="77777777" w:rsidR="006C43F2" w:rsidRDefault="000F2108">
            <w:pPr>
              <w:suppressAutoHyphens/>
              <w:jc w:val="center"/>
              <w:rPr>
                <w:rFonts w:eastAsia="Calibri"/>
                <w:b/>
                <w:szCs w:val="24"/>
              </w:rPr>
            </w:pPr>
            <w:r>
              <w:rPr>
                <w:rFonts w:eastAsia="Calibri"/>
                <w:b/>
                <w:szCs w:val="24"/>
              </w:rPr>
              <w:t>Aplinkos tikslai</w:t>
            </w:r>
          </w:p>
          <w:p w14:paraId="7F772241" w14:textId="3FDACBAF" w:rsidR="006C43F2" w:rsidRDefault="000F2108">
            <w:pPr>
              <w:suppressAutoHyphens/>
              <w:jc w:val="both"/>
            </w:pPr>
            <w:r>
              <w:rPr>
                <w:rFonts w:eastAsia="Calibri"/>
                <w:szCs w:val="24"/>
              </w:rPr>
              <w:t>(</w:t>
            </w:r>
            <w:r>
              <w:rPr>
                <w:rFonts w:eastAsia="Calibri"/>
                <w:i/>
                <w:szCs w:val="24"/>
              </w:rPr>
              <w:t xml:space="preserve">pagal 2020 m. birželio 18 d. Europos Parlamento ir Tarybos reglamentą </w:t>
            </w:r>
            <w:r w:rsidR="00EF29B1" w:rsidRPr="00B7120E">
              <w:rPr>
                <w:rFonts w:eastAsia="Calibri"/>
                <w:i/>
                <w:color w:val="000000" w:themeColor="text1"/>
                <w:szCs w:val="24"/>
              </w:rPr>
              <w:t>(ES) 2020/852</w:t>
            </w:r>
            <w:r w:rsidRPr="00B7120E">
              <w:rPr>
                <w:rFonts w:eastAsia="Calibri"/>
                <w:i/>
                <w:color w:val="000000" w:themeColor="text1"/>
                <w:szCs w:val="24"/>
              </w:rPr>
              <w:t xml:space="preserve"> </w:t>
            </w:r>
            <w:r>
              <w:rPr>
                <w:rFonts w:eastAsia="Calibri"/>
                <w:i/>
                <w:szCs w:val="24"/>
              </w:rPr>
              <w:t xml:space="preserve">dėl sistemos tvariam investavimui palengvinti sukūrimo, kuriuo iš dalies keičiamas Reglamentas </w:t>
            </w:r>
            <w:r w:rsidR="00EF29B1">
              <w:rPr>
                <w:rFonts w:eastAsia="Calibri"/>
                <w:i/>
                <w:szCs w:val="24"/>
              </w:rPr>
              <w:t xml:space="preserve"> </w:t>
            </w:r>
            <w:r w:rsidR="00EF29B1" w:rsidRPr="00B7120E">
              <w:rPr>
                <w:rFonts w:eastAsia="Calibri"/>
                <w:i/>
                <w:color w:val="000000" w:themeColor="text1"/>
                <w:szCs w:val="24"/>
              </w:rPr>
              <w:t>(ES) Nr. 2019/2088</w:t>
            </w:r>
            <w:r w:rsidRPr="00EF29B1">
              <w:rPr>
                <w:rFonts w:eastAsia="Calibri"/>
                <w:i/>
                <w:sz w:val="22"/>
                <w:szCs w:val="22"/>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42" w14:textId="77777777" w:rsidR="006C43F2" w:rsidRDefault="000F2108">
            <w:pPr>
              <w:suppressAutoHyphens/>
              <w:jc w:val="center"/>
              <w:rPr>
                <w:rFonts w:eastAsia="Calibri"/>
                <w:b/>
                <w:szCs w:val="24"/>
              </w:rPr>
            </w:pPr>
            <w:r>
              <w:rPr>
                <w:rFonts w:eastAsia="Calibri"/>
                <w:b/>
                <w:szCs w:val="24"/>
              </w:rPr>
              <w:t>Pagrindimas</w:t>
            </w:r>
          </w:p>
          <w:p w14:paraId="7F772243" w14:textId="77777777" w:rsidR="006C43F2" w:rsidRDefault="000F2108">
            <w:pPr>
              <w:suppressAutoHyphens/>
              <w:jc w:val="both"/>
            </w:pPr>
            <w:r>
              <w:rPr>
                <w:rFonts w:eastAsia="Calibri"/>
                <w:bCs/>
                <w:i/>
                <w:sz w:val="22"/>
                <w:szCs w:val="22"/>
              </w:rPr>
              <w:t>(</w:t>
            </w: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7F772244" w14:textId="77777777" w:rsidR="006C43F2" w:rsidRDefault="000F2108">
            <w:pPr>
              <w:suppressAutoHyphens/>
              <w:jc w:val="both"/>
            </w:pPr>
            <w:r>
              <w:rPr>
                <w:rFonts w:eastAsia="Calibri"/>
                <w:bCs/>
                <w:i/>
                <w:szCs w:val="24"/>
              </w:rPr>
              <w:t>(papildomai gali būti nurodomi nacionaliniai teisės aktai, kuriais įgyvendinami vertinimo anketose minimi Europos Sąjungos teisės aktai</w:t>
            </w:r>
            <w:r>
              <w:rPr>
                <w:rFonts w:eastAsia="Calibri"/>
                <w:bCs/>
                <w:i/>
                <w:sz w:val="22"/>
                <w:szCs w:val="22"/>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45" w14:textId="77777777" w:rsidR="006C43F2" w:rsidRDefault="000F2108">
            <w:pPr>
              <w:suppressAutoHyphens/>
              <w:jc w:val="center"/>
            </w:pPr>
            <w:r>
              <w:rPr>
                <w:rFonts w:eastAsia="Calibri"/>
                <w:b/>
                <w:szCs w:val="24"/>
              </w:rPr>
              <w:t>Pagrindimo dokumentai</w:t>
            </w:r>
          </w:p>
          <w:p w14:paraId="7F772246" w14:textId="77777777" w:rsidR="006C43F2" w:rsidRDefault="000F2108">
            <w:pPr>
              <w:suppressAutoHyphens/>
              <w:jc w:val="both"/>
              <w:rPr>
                <w:rFonts w:eastAsia="Calibri"/>
                <w:i/>
                <w:sz w:val="22"/>
                <w:szCs w:val="22"/>
              </w:rPr>
            </w:pPr>
            <w:r>
              <w:rPr>
                <w:rFonts w:eastAsia="Calibri"/>
                <w:i/>
                <w:sz w:val="22"/>
                <w:szCs w:val="22"/>
              </w:rPr>
              <w:t>(nurodomas dokumentas, kuris bus vertinamas siekiant įvertinti projekto atitiktį aplinkos tikslams, arba pateikiama šią atitiktį pagrindžianti informacija)</w:t>
            </w:r>
          </w:p>
        </w:tc>
      </w:tr>
      <w:tr w:rsidR="006C43F2" w14:paraId="7F77224B" w14:textId="7777777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48" w14:textId="77777777" w:rsidR="006C43F2" w:rsidRDefault="000F2108">
            <w:pPr>
              <w:tabs>
                <w:tab w:val="left" w:pos="289"/>
              </w:tabs>
              <w:suppressAutoHyphens/>
              <w:ind w:firstLine="5"/>
              <w:jc w:val="both"/>
              <w:rPr>
                <w:rFonts w:eastAsia="Calibri"/>
                <w:szCs w:val="24"/>
              </w:rPr>
            </w:pPr>
            <w:r>
              <w:rPr>
                <w:rFonts w:eastAsia="Calibri"/>
                <w:szCs w:val="24"/>
              </w:rPr>
              <w:t>1.</w:t>
            </w:r>
            <w:r>
              <w:rPr>
                <w:rFonts w:eastAsia="Calibri"/>
                <w:szCs w:val="24"/>
              </w:rPr>
              <w:tab/>
              <w:t>Klimato kaitos švelninimas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49" w14:textId="40199899" w:rsidR="006C43F2" w:rsidRDefault="000F2108">
            <w:pPr>
              <w:suppressAutoHyphens/>
              <w:jc w:val="both"/>
              <w:rPr>
                <w:rFonts w:eastAsia="Calibri"/>
                <w:bCs/>
                <w:szCs w:val="24"/>
              </w:rPr>
            </w:pPr>
            <w:r>
              <w:rPr>
                <w:rFonts w:eastAsia="Calibri"/>
                <w:bCs/>
                <w:szCs w:val="24"/>
              </w:rPr>
              <w:t>Remiantis vertinimo klausimyne atliktu EG</w:t>
            </w:r>
            <w:r w:rsidR="00D21740">
              <w:rPr>
                <w:rFonts w:eastAsia="Calibri"/>
                <w:bCs/>
                <w:szCs w:val="24"/>
              </w:rPr>
              <w:t>A</w:t>
            </w:r>
            <w:r>
              <w:rPr>
                <w:rFonts w:eastAsia="Calibri"/>
                <w:bCs/>
                <w:szCs w:val="24"/>
              </w:rPr>
              <w:t xml:space="preserve">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 klimato kaitos švelninimo tikslui. Planuojama įsigyti įranga privalės atitikti (tai bus numatoma įrangos įsigijimo dokumentuose) efektyvumo, tvarumo, ilgaamžiškumo reikalavimus pagal 2009 m. spalio 21 d. Europos Parlamento ir Tarybos direktyvą </w:t>
            </w:r>
            <w:r w:rsidR="00B05224" w:rsidRPr="00AB185A">
              <w:rPr>
                <w:rFonts w:eastAsia="Calibri"/>
                <w:bCs/>
                <w:color w:val="000000" w:themeColor="text1"/>
                <w:szCs w:val="24"/>
              </w:rPr>
              <w:t>2009/125/EB</w:t>
            </w:r>
            <w:r w:rsidRPr="00640301">
              <w:rPr>
                <w:rFonts w:eastAsia="Calibri"/>
                <w:bCs/>
                <w:color w:val="000000" w:themeColor="text1"/>
                <w:szCs w:val="24"/>
              </w:rPr>
              <w:t>,</w:t>
            </w:r>
            <w:r>
              <w:rPr>
                <w:rFonts w:eastAsia="Calibri"/>
                <w:bCs/>
                <w:szCs w:val="24"/>
              </w:rPr>
              <w:t xml:space="preserve"> nustatančią ekologinio projektavimo reikalavimų su energija susijusiems gaminiams nustatymo sistemą (toliau – Direktyva </w:t>
            </w:r>
            <w:r w:rsidR="00B05224" w:rsidRPr="00AB185A">
              <w:rPr>
                <w:rFonts w:eastAsia="Calibri"/>
                <w:bCs/>
                <w:color w:val="000000" w:themeColor="text1"/>
                <w:szCs w:val="24"/>
              </w:rPr>
              <w:t>2009/125</w:t>
            </w:r>
            <w:r w:rsidRPr="00640301">
              <w:rPr>
                <w:rFonts w:eastAsia="Calibri"/>
                <w:bCs/>
                <w:color w:val="000000" w:themeColor="text1"/>
                <w:szCs w:val="24"/>
              </w:rPr>
              <w:t>/</w:t>
            </w:r>
            <w:r>
              <w:rPr>
                <w:rFonts w:eastAsia="Calibri"/>
                <w:bCs/>
                <w:szCs w:val="24"/>
              </w:rPr>
              <w:t xml:space="preserve">EC) ir 2011 m. birželio 8 d. Europos Parlamento ir Tarybos direktyvą </w:t>
            </w:r>
            <w:r w:rsidR="00B05224" w:rsidRPr="00AB185A">
              <w:rPr>
                <w:rFonts w:eastAsia="Calibri"/>
                <w:bCs/>
                <w:color w:val="000000" w:themeColor="text1"/>
                <w:szCs w:val="24"/>
              </w:rPr>
              <w:t>2011/65/ES</w:t>
            </w:r>
            <w:r w:rsidRPr="00AB185A">
              <w:rPr>
                <w:rFonts w:eastAsia="Calibri"/>
                <w:bCs/>
                <w:color w:val="000000" w:themeColor="text1"/>
                <w:szCs w:val="24"/>
              </w:rPr>
              <w:t xml:space="preserve"> </w:t>
            </w:r>
            <w:r>
              <w:rPr>
                <w:rFonts w:eastAsia="Calibri"/>
                <w:bCs/>
                <w:szCs w:val="24"/>
              </w:rPr>
              <w:t xml:space="preserve">dėl tam tikrų pavojingų medžiagų naudojimo elektros ir elektroninėje įrangoje apribojimo (toliau – Direktyva </w:t>
            </w:r>
            <w:r w:rsidR="000B6620">
              <w:rPr>
                <w:rFonts w:eastAsia="Calibri"/>
                <w:bCs/>
                <w:szCs w:val="24"/>
              </w:rPr>
              <w:t xml:space="preserve"> </w:t>
            </w:r>
            <w:r w:rsidR="001530CC" w:rsidRPr="004F5AB5">
              <w:rPr>
                <w:rFonts w:eastAsia="Calibri"/>
                <w:bCs/>
                <w:color w:val="000000" w:themeColor="text1"/>
                <w:szCs w:val="24"/>
              </w:rPr>
              <w:t>2011/65</w:t>
            </w:r>
            <w:r>
              <w:rPr>
                <w:rFonts w:eastAsia="Calibri"/>
                <w:bCs/>
                <w:szCs w:val="24"/>
              </w:rPr>
              <w:t>/EU).</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4A" w14:textId="4FCE7C15" w:rsidR="006C43F2" w:rsidRDefault="00A67471" w:rsidP="00A67471">
            <w:pPr>
              <w:tabs>
                <w:tab w:val="left" w:pos="589"/>
              </w:tabs>
              <w:suppressAutoHyphens/>
              <w:jc w:val="both"/>
              <w:rPr>
                <w:rFonts w:eastAsia="Calibri"/>
                <w:szCs w:val="24"/>
              </w:rPr>
            </w:pPr>
            <w:r>
              <w:rPr>
                <w:rFonts w:eastAsia="Calibri"/>
                <w:szCs w:val="24"/>
              </w:rPr>
              <w:t>Laisvos formos p</w:t>
            </w:r>
            <w:r w:rsidR="000F2108">
              <w:rPr>
                <w:rFonts w:eastAsia="Calibri"/>
                <w:szCs w:val="24"/>
              </w:rPr>
              <w:t>rojekto vykdytojo deklaracija, pirkimo dokumentai, sutartys su tiekėjais, komerciniai pasiūlymai ir kt.</w:t>
            </w:r>
          </w:p>
        </w:tc>
      </w:tr>
      <w:tr w:rsidR="006C43F2" w14:paraId="7F77224F" w14:textId="7777777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4C" w14:textId="77777777" w:rsidR="006C43F2" w:rsidRDefault="000F2108">
            <w:pPr>
              <w:tabs>
                <w:tab w:val="left" w:pos="289"/>
              </w:tabs>
              <w:suppressAutoHyphen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4D" w14:textId="30FFFDEC" w:rsidR="006C43F2" w:rsidRDefault="000F2108">
            <w:pPr>
              <w:suppressAutoHyphens/>
              <w:jc w:val="both"/>
            </w:pPr>
            <w:r>
              <w:rPr>
                <w:rFonts w:eastAsia="Calibri"/>
                <w:bCs/>
                <w:szCs w:val="24"/>
              </w:rPr>
              <w:t>Remiantis vertinimo klausimyne atliktu EG</w:t>
            </w:r>
            <w:r w:rsidR="00D21740">
              <w:rPr>
                <w:rFonts w:eastAsia="Calibri"/>
                <w:bCs/>
                <w:szCs w:val="24"/>
              </w:rPr>
              <w:t>A</w:t>
            </w:r>
            <w:r>
              <w:rPr>
                <w:rFonts w:eastAsia="Calibri"/>
                <w:bCs/>
                <w:szCs w:val="24"/>
              </w:rPr>
              <w:t>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w:t>
            </w:r>
            <w:r>
              <w:t xml:space="preserve"> </w:t>
            </w:r>
            <w:r>
              <w:rPr>
                <w:rFonts w:eastAsia="Calibri"/>
                <w:bCs/>
                <w:szCs w:val="24"/>
              </w:rPr>
              <w:t>prisitaikymo prie klimato kaitos tikslui.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4E" w14:textId="67CB60F1" w:rsidR="006C43F2" w:rsidRDefault="00A67471" w:rsidP="00A67471">
            <w:pPr>
              <w:suppressAutoHyphens/>
              <w:jc w:val="both"/>
              <w:rPr>
                <w:rFonts w:eastAsia="Calibri"/>
                <w:szCs w:val="24"/>
              </w:rPr>
            </w:pPr>
            <w:r>
              <w:rPr>
                <w:rFonts w:eastAsia="Calibri"/>
                <w:szCs w:val="24"/>
              </w:rPr>
              <w:t>Laisvos formos p</w:t>
            </w:r>
            <w:r w:rsidR="000F2108">
              <w:rPr>
                <w:rFonts w:eastAsia="Calibri"/>
                <w:szCs w:val="24"/>
              </w:rPr>
              <w:t>rojekto vykdytojo deklaracija.</w:t>
            </w:r>
          </w:p>
        </w:tc>
      </w:tr>
      <w:tr w:rsidR="006C43F2" w14:paraId="7F772253" w14:textId="7777777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0" w14:textId="77777777" w:rsidR="006C43F2" w:rsidRDefault="000F2108">
            <w:pPr>
              <w:tabs>
                <w:tab w:val="left" w:pos="289"/>
              </w:tabs>
              <w:suppressAutoHyphen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1" w14:textId="67BD267E" w:rsidR="006C43F2" w:rsidRDefault="000F2108">
            <w:pPr>
              <w:suppressAutoHyphens/>
              <w:jc w:val="both"/>
              <w:rPr>
                <w:rFonts w:eastAsia="Calibri"/>
                <w:szCs w:val="24"/>
              </w:rPr>
            </w:pPr>
            <w:r>
              <w:rPr>
                <w:rFonts w:eastAsia="Calibri"/>
                <w:szCs w:val="24"/>
              </w:rPr>
              <w:t>Remiantis vertinimo klausimyne atliktu EG</w:t>
            </w:r>
            <w:r w:rsidR="00D21740">
              <w:rPr>
                <w:rFonts w:eastAsia="Calibri"/>
                <w:szCs w:val="24"/>
              </w:rPr>
              <w:t>A</w:t>
            </w:r>
            <w:r>
              <w:rPr>
                <w:rFonts w:eastAsia="Calibri"/>
                <w:szCs w:val="24"/>
              </w:rPr>
              <w:t>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 tausaus vandens ir jūrų išteklių naudojimo ir apsaugos tikslui.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2" w14:textId="5DD3C1D9" w:rsidR="006C43F2" w:rsidRDefault="00A67471" w:rsidP="00A67471">
            <w:pPr>
              <w:suppressAutoHyphens/>
              <w:jc w:val="both"/>
              <w:rPr>
                <w:rFonts w:eastAsia="Calibri"/>
                <w:bCs/>
                <w:szCs w:val="24"/>
              </w:rPr>
            </w:pPr>
            <w:r>
              <w:rPr>
                <w:rFonts w:eastAsia="Calibri"/>
                <w:bCs/>
                <w:szCs w:val="24"/>
              </w:rPr>
              <w:t>Laisvos formos p</w:t>
            </w:r>
            <w:r w:rsidR="000F2108">
              <w:rPr>
                <w:rFonts w:eastAsia="Calibri"/>
                <w:bCs/>
                <w:szCs w:val="24"/>
              </w:rPr>
              <w:t>rojekto vykdytojo deklaracija.</w:t>
            </w:r>
          </w:p>
        </w:tc>
      </w:tr>
      <w:tr w:rsidR="006C43F2" w14:paraId="7F772257" w14:textId="7777777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4" w14:textId="77777777" w:rsidR="006C43F2" w:rsidRDefault="000F2108">
            <w:pPr>
              <w:tabs>
                <w:tab w:val="left" w:pos="289"/>
              </w:tabs>
              <w:suppressAutoHyphen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5" w14:textId="5E7A8EDB" w:rsidR="006C43F2" w:rsidRDefault="000F2108">
            <w:pPr>
              <w:suppressAutoHyphens/>
              <w:jc w:val="both"/>
            </w:pPr>
            <w:r>
              <w:rPr>
                <w:rFonts w:eastAsia="Calibri"/>
                <w:bCs/>
                <w:szCs w:val="24"/>
              </w:rPr>
              <w:t>Remiantis vertinimo klausimyne atliktu EG</w:t>
            </w:r>
            <w:r w:rsidR="00D21740">
              <w:rPr>
                <w:rFonts w:eastAsia="Calibri"/>
                <w:bCs/>
                <w:szCs w:val="24"/>
              </w:rPr>
              <w:t>A</w:t>
            </w:r>
            <w:r>
              <w:rPr>
                <w:rFonts w:eastAsia="Calibri"/>
                <w:bCs/>
                <w:szCs w:val="24"/>
              </w:rPr>
              <w:t>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w:t>
            </w:r>
            <w:r>
              <w:t xml:space="preserve"> </w:t>
            </w:r>
            <w:r>
              <w:rPr>
                <w:rFonts w:eastAsia="Calibri"/>
                <w:bCs/>
                <w:szCs w:val="24"/>
              </w:rPr>
              <w:t xml:space="preserve">perėjimo prie žiedinės ekonomikos, įskaitant atliekų prevenciją ir perdirbimą, tikslui. Planuojama įsigyti įranga (šiuolaikiškų laboratorijų, skirtų gamtos ir tiksliųjų mokslų bei kalbų mokymui) privalės atitikti (tai bus numatoma įrangos įsigijimo dokumentuose) efektyvumo, tvarumo, ilgaamžiškumo reikalavimus pagal Direktyvą </w:t>
            </w:r>
            <w:r w:rsidR="00ED5425">
              <w:rPr>
                <w:rFonts w:eastAsia="Calibri"/>
                <w:bCs/>
                <w:szCs w:val="24"/>
              </w:rPr>
              <w:t xml:space="preserve"> </w:t>
            </w:r>
            <w:r w:rsidR="00ED5425">
              <w:rPr>
                <w:rFonts w:eastAsia="Calibri"/>
                <w:bCs/>
                <w:color w:val="000000" w:themeColor="text1"/>
                <w:szCs w:val="24"/>
              </w:rPr>
              <w:t xml:space="preserve"> </w:t>
            </w:r>
            <w:r w:rsidR="00ED5425" w:rsidRPr="007315BC">
              <w:rPr>
                <w:rFonts w:eastAsia="Calibri"/>
                <w:bCs/>
                <w:color w:val="000000" w:themeColor="text1"/>
                <w:szCs w:val="24"/>
              </w:rPr>
              <w:t>2009/125</w:t>
            </w:r>
            <w:r w:rsidRPr="007315BC">
              <w:rPr>
                <w:rFonts w:eastAsia="Calibri"/>
                <w:bCs/>
                <w:color w:val="000000" w:themeColor="text1"/>
                <w:szCs w:val="24"/>
              </w:rPr>
              <w:t>/</w:t>
            </w:r>
            <w:r>
              <w:rPr>
                <w:rFonts w:eastAsia="Calibri"/>
                <w:bCs/>
                <w:szCs w:val="24"/>
              </w:rPr>
              <w:t xml:space="preserve">EC ir Direktyvą </w:t>
            </w:r>
            <w:r w:rsidR="00ED5425">
              <w:rPr>
                <w:rFonts w:eastAsia="Calibri"/>
                <w:bCs/>
                <w:szCs w:val="24"/>
              </w:rPr>
              <w:t xml:space="preserve"> </w:t>
            </w:r>
            <w:r w:rsidR="00ED5425" w:rsidRPr="007315BC">
              <w:rPr>
                <w:rFonts w:eastAsia="Calibri"/>
                <w:bCs/>
                <w:color w:val="000000" w:themeColor="text1"/>
                <w:szCs w:val="24"/>
              </w:rPr>
              <w:t>2011/65</w:t>
            </w:r>
            <w:r w:rsidRPr="00ED5425">
              <w:rPr>
                <w:rFonts w:eastAsia="Calibri"/>
                <w:bCs/>
                <w:szCs w:val="24"/>
              </w:rPr>
              <w:t>/</w:t>
            </w:r>
            <w:r>
              <w:rPr>
                <w:rFonts w:eastAsia="Calibri"/>
                <w:bCs/>
                <w:szCs w:val="24"/>
              </w:rPr>
              <w:t>EU.</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6" w14:textId="4C45A309" w:rsidR="006C43F2" w:rsidRDefault="00A67471" w:rsidP="00A67471">
            <w:pPr>
              <w:suppressAutoHyphens/>
              <w:jc w:val="both"/>
              <w:rPr>
                <w:rFonts w:eastAsia="Calibri"/>
                <w:szCs w:val="24"/>
              </w:rPr>
            </w:pPr>
            <w:r>
              <w:rPr>
                <w:rFonts w:eastAsia="Calibri"/>
                <w:szCs w:val="24"/>
              </w:rPr>
              <w:t>Laisvos formos p</w:t>
            </w:r>
            <w:r w:rsidR="000F2108">
              <w:rPr>
                <w:rFonts w:eastAsia="Calibri"/>
                <w:szCs w:val="24"/>
              </w:rPr>
              <w:t>rojekto vykdytojo deklaracija, pirkimo dokumentai, sutartys su tiekėjais, komerciniai pasiūlymai ir kt.</w:t>
            </w:r>
          </w:p>
        </w:tc>
      </w:tr>
      <w:tr w:rsidR="006C43F2" w14:paraId="7F77225B" w14:textId="7777777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8" w14:textId="77777777" w:rsidR="006C43F2" w:rsidRDefault="000F2108">
            <w:pPr>
              <w:tabs>
                <w:tab w:val="left" w:pos="289"/>
              </w:tabs>
              <w:suppressAutoHyphens/>
              <w:ind w:firstLine="5"/>
              <w:jc w:val="both"/>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9" w14:textId="1EC754A8" w:rsidR="006C43F2" w:rsidRDefault="000F2108">
            <w:pPr>
              <w:suppressAutoHyphens/>
              <w:jc w:val="both"/>
              <w:rPr>
                <w:rFonts w:eastAsia="Calibri"/>
                <w:szCs w:val="24"/>
              </w:rPr>
            </w:pPr>
            <w:r>
              <w:rPr>
                <w:rFonts w:eastAsia="Calibri"/>
                <w:szCs w:val="24"/>
              </w:rPr>
              <w:t>Remiantis vertinimo klausimyne atliktu EG</w:t>
            </w:r>
            <w:r w:rsidR="00D21740">
              <w:rPr>
                <w:rFonts w:eastAsia="Calibri"/>
                <w:szCs w:val="24"/>
              </w:rPr>
              <w:t>A</w:t>
            </w:r>
            <w:r>
              <w:rPr>
                <w:rFonts w:eastAsia="Calibri"/>
                <w:szCs w:val="24"/>
              </w:rPr>
              <w:t>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 oro, vandens ar žemės taršos prevencijos ir kontrolės tikslui.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A" w14:textId="4A013567" w:rsidR="006C43F2" w:rsidRDefault="00A67471" w:rsidP="00A67471">
            <w:pPr>
              <w:suppressAutoHyphens/>
              <w:jc w:val="both"/>
              <w:rPr>
                <w:rFonts w:eastAsia="Calibri"/>
                <w:szCs w:val="24"/>
              </w:rPr>
            </w:pPr>
            <w:r>
              <w:rPr>
                <w:rFonts w:eastAsia="Calibri"/>
                <w:szCs w:val="24"/>
              </w:rPr>
              <w:t>Laisvos formos p</w:t>
            </w:r>
            <w:r w:rsidR="000F2108">
              <w:rPr>
                <w:rFonts w:eastAsia="Calibri"/>
                <w:szCs w:val="24"/>
              </w:rPr>
              <w:t>rojekto vykdytojo</w:t>
            </w:r>
            <w:r w:rsidR="00AA598A">
              <w:rPr>
                <w:rFonts w:eastAsia="Calibri"/>
                <w:szCs w:val="24"/>
              </w:rPr>
              <w:t xml:space="preserve"> </w:t>
            </w:r>
            <w:r w:rsidR="000F2108">
              <w:rPr>
                <w:rFonts w:eastAsia="Calibri"/>
                <w:szCs w:val="24"/>
              </w:rPr>
              <w:t>deklaracija.</w:t>
            </w:r>
          </w:p>
        </w:tc>
      </w:tr>
      <w:tr w:rsidR="006C43F2" w14:paraId="7F77225F" w14:textId="7777777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C" w14:textId="77777777" w:rsidR="006C43F2" w:rsidRDefault="000F2108">
            <w:pPr>
              <w:tabs>
                <w:tab w:val="left" w:pos="289"/>
              </w:tabs>
              <w:suppressAutoHyphen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D" w14:textId="6007767D" w:rsidR="006C43F2" w:rsidRDefault="000F2108">
            <w:pPr>
              <w:suppressAutoHyphens/>
              <w:jc w:val="both"/>
              <w:rPr>
                <w:rFonts w:eastAsia="Calibri"/>
                <w:szCs w:val="24"/>
              </w:rPr>
            </w:pPr>
            <w:r>
              <w:rPr>
                <w:rFonts w:eastAsia="Calibri"/>
                <w:szCs w:val="24"/>
              </w:rPr>
              <w:t>Remiantis vertinimo klausimyne atliktu EG</w:t>
            </w:r>
            <w:r w:rsidR="00D21740">
              <w:rPr>
                <w:rFonts w:eastAsia="Calibri"/>
                <w:szCs w:val="24"/>
              </w:rPr>
              <w:t>A</w:t>
            </w:r>
            <w:r>
              <w:rPr>
                <w:rFonts w:eastAsia="Calibri"/>
                <w:szCs w:val="24"/>
              </w:rPr>
              <w:t>DP komponento „Aukštasis mokslas, nuosekli mokslo ir inovacijų skatinimo sistema ir aukštos pridėtinės vertės verslas“ principo „Nedaroma reikšminga žala“ vertinimu, pagal Aprašą finansuojama veikla dėl savo pobūdžio neturės jokio neigiamo tiesioginio ar netiesioginio poveikio biologinės įvairovės ir ekosistemų apsauga ir atkūrimo tikslui.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225E" w14:textId="4BFC81D8" w:rsidR="006C43F2" w:rsidRDefault="00A67471" w:rsidP="00A67471">
            <w:pPr>
              <w:suppressAutoHyphens/>
              <w:jc w:val="both"/>
              <w:rPr>
                <w:rFonts w:eastAsia="Calibri"/>
                <w:szCs w:val="24"/>
              </w:rPr>
            </w:pPr>
            <w:r>
              <w:rPr>
                <w:rFonts w:eastAsia="Calibri"/>
                <w:szCs w:val="24"/>
              </w:rPr>
              <w:t>Laisvos formos p</w:t>
            </w:r>
            <w:r w:rsidR="000F2108">
              <w:rPr>
                <w:rFonts w:eastAsia="Calibri"/>
                <w:szCs w:val="24"/>
              </w:rPr>
              <w:t>rojekto vykdytojo deklaracija.</w:t>
            </w:r>
          </w:p>
        </w:tc>
      </w:tr>
    </w:tbl>
    <w:p w14:paraId="7F772260" w14:textId="77777777" w:rsidR="006C43F2" w:rsidRDefault="006C43F2">
      <w:pPr>
        <w:suppressAutoHyphens/>
        <w:rPr>
          <w:sz w:val="18"/>
          <w:szCs w:val="18"/>
        </w:rPr>
      </w:pPr>
    </w:p>
    <w:p w14:paraId="7F772261" w14:textId="77777777" w:rsidR="006C43F2" w:rsidRDefault="000F2108">
      <w:pPr>
        <w:suppressAutoHyphens/>
        <w:spacing w:line="276" w:lineRule="auto"/>
        <w:jc w:val="center"/>
      </w:pPr>
      <w:r>
        <w:rPr>
          <w:rFonts w:ascii="Calibri" w:eastAsia="Calibri" w:hAnsi="Calibri"/>
          <w:sz w:val="22"/>
          <w:szCs w:val="22"/>
        </w:rPr>
        <w:t>________________</w:t>
      </w:r>
    </w:p>
    <w:p w14:paraId="7F772262" w14:textId="77777777" w:rsidR="006C43F2" w:rsidRDefault="006C43F2">
      <w:pPr>
        <w:suppressAutoHyphens/>
        <w:spacing w:line="276" w:lineRule="auto"/>
        <w:jc w:val="center"/>
        <w:rPr>
          <w:szCs w:val="24"/>
        </w:rPr>
      </w:pPr>
    </w:p>
    <w:sectPr w:rsidR="006C43F2">
      <w:headerReference w:type="default" r:id="rId16"/>
      <w:footerReference w:type="default" r:id="rId17"/>
      <w:headerReference w:type="first" r:id="rId18"/>
      <w:footerReference w:type="first" r:id="rId19"/>
      <w:pgSz w:w="16838" w:h="11906" w:orient="landscape"/>
      <w:pgMar w:top="1701" w:right="56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28F23" w14:textId="77777777" w:rsidR="00B758EC" w:rsidRDefault="00B758EC">
      <w:pPr>
        <w:suppressAutoHyphens/>
      </w:pPr>
      <w:r>
        <w:separator/>
      </w:r>
    </w:p>
    <w:p w14:paraId="6239FD51" w14:textId="77777777" w:rsidR="00B758EC" w:rsidRDefault="00B758EC"/>
  </w:endnote>
  <w:endnote w:type="continuationSeparator" w:id="0">
    <w:p w14:paraId="5C9EDE23" w14:textId="77777777" w:rsidR="00B758EC" w:rsidRDefault="00B758EC">
      <w:pPr>
        <w:suppressAutoHyphens/>
      </w:pPr>
      <w:r>
        <w:continuationSeparator/>
      </w:r>
    </w:p>
    <w:p w14:paraId="55BCDED9" w14:textId="77777777" w:rsidR="00B758EC" w:rsidRDefault="00B75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1356A" w14:textId="77777777" w:rsidR="000F2108" w:rsidRDefault="000F2108">
    <w:pPr>
      <w:tabs>
        <w:tab w:val="center" w:pos="4819"/>
        <w:tab w:val="right" w:pos="9638"/>
      </w:tabs>
      <w:suppressAutoHyphen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2151" w14:textId="77777777" w:rsidR="000F2108" w:rsidRDefault="000F2108">
    <w:pPr>
      <w:tabs>
        <w:tab w:val="center" w:pos="4819"/>
        <w:tab w:val="right" w:pos="9638"/>
      </w:tabs>
      <w:suppressAutoHyphen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2155" w14:textId="77777777" w:rsidR="000F2108" w:rsidRDefault="000F2108">
    <w:pPr>
      <w:tabs>
        <w:tab w:val="center" w:pos="4819"/>
        <w:tab w:val="right" w:pos="9638"/>
      </w:tabs>
      <w:suppressAutoHyphen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215A" w14:textId="77777777" w:rsidR="000F2108" w:rsidRDefault="000F2108">
    <w:pPr>
      <w:tabs>
        <w:tab w:val="center" w:pos="4819"/>
        <w:tab w:val="right" w:pos="9638"/>
      </w:tabs>
      <w:suppressAutoHyphen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215E" w14:textId="77777777" w:rsidR="000F2108" w:rsidRDefault="000F2108">
    <w:pPr>
      <w:tabs>
        <w:tab w:val="center" w:pos="4819"/>
        <w:tab w:val="right" w:pos="9638"/>
      </w:tabs>
      <w:suppressAutoHyphen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A884" w14:textId="77777777" w:rsidR="00B758EC" w:rsidRDefault="00B758EC">
      <w:pPr>
        <w:suppressAutoHyphens/>
      </w:pPr>
      <w:r>
        <w:rPr>
          <w:color w:val="000000"/>
        </w:rPr>
        <w:separator/>
      </w:r>
    </w:p>
    <w:p w14:paraId="19557E1D" w14:textId="77777777" w:rsidR="00B758EC" w:rsidRDefault="00B758EC"/>
  </w:footnote>
  <w:footnote w:type="continuationSeparator" w:id="0">
    <w:p w14:paraId="7B8B9600" w14:textId="77777777" w:rsidR="00B758EC" w:rsidRDefault="00B758EC">
      <w:pPr>
        <w:suppressAutoHyphens/>
      </w:pPr>
      <w:r>
        <w:continuationSeparator/>
      </w:r>
    </w:p>
    <w:p w14:paraId="35067E81" w14:textId="77777777" w:rsidR="00B758EC" w:rsidRDefault="00B758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CE054" w14:textId="77777777" w:rsidR="000F2108" w:rsidRDefault="000F2108">
    <w:pPr>
      <w:tabs>
        <w:tab w:val="center" w:pos="4513"/>
        <w:tab w:val="right" w:pos="9026"/>
      </w:tabs>
      <w:suppressAutoHyphen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214E" w14:textId="075383C1" w:rsidR="000F2108" w:rsidRDefault="000F2108">
    <w:pPr>
      <w:tabs>
        <w:tab w:val="center" w:pos="4819"/>
        <w:tab w:val="right" w:pos="9638"/>
      </w:tabs>
      <w:suppressAutoHyphens/>
      <w:jc w:val="center"/>
    </w:pPr>
    <w:r>
      <w:rPr>
        <w:szCs w:val="22"/>
      </w:rPr>
      <w:fldChar w:fldCharType="begin"/>
    </w:r>
    <w:r>
      <w:rPr>
        <w:szCs w:val="22"/>
      </w:rPr>
      <w:instrText xml:space="preserve"> PAGE </w:instrText>
    </w:r>
    <w:r>
      <w:rPr>
        <w:szCs w:val="22"/>
      </w:rPr>
      <w:fldChar w:fldCharType="separate"/>
    </w:r>
    <w:r w:rsidR="00A67471">
      <w:rPr>
        <w:noProof/>
        <w:szCs w:val="22"/>
      </w:rPr>
      <w:t>9</w:t>
    </w:r>
    <w:r>
      <w:rPr>
        <w:szCs w:val="22"/>
      </w:rPr>
      <w:fldChar w:fldCharType="end"/>
    </w:r>
  </w:p>
  <w:p w14:paraId="7F77214F" w14:textId="77777777" w:rsidR="000F2108" w:rsidRDefault="000F2108">
    <w:pPr>
      <w:tabs>
        <w:tab w:val="center" w:pos="4819"/>
        <w:tab w:val="right" w:pos="9638"/>
      </w:tabs>
      <w:suppressAutoHyphen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2153" w14:textId="77777777" w:rsidR="000F2108" w:rsidRDefault="000F2108">
    <w:pPr>
      <w:tabs>
        <w:tab w:val="center" w:pos="4513"/>
        <w:tab w:val="right" w:pos="9026"/>
      </w:tabs>
      <w:suppressAutoHyphen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2157" w14:textId="48DF8D77" w:rsidR="000F2108" w:rsidRDefault="000F2108">
    <w:pPr>
      <w:tabs>
        <w:tab w:val="center" w:pos="4819"/>
        <w:tab w:val="right" w:pos="9638"/>
      </w:tabs>
      <w:suppressAutoHyphens/>
      <w:jc w:val="center"/>
    </w:pPr>
    <w:r>
      <w:rPr>
        <w:szCs w:val="22"/>
      </w:rPr>
      <w:fldChar w:fldCharType="begin"/>
    </w:r>
    <w:r>
      <w:rPr>
        <w:szCs w:val="22"/>
      </w:rPr>
      <w:instrText xml:space="preserve"> PAGE </w:instrText>
    </w:r>
    <w:r>
      <w:rPr>
        <w:szCs w:val="22"/>
      </w:rPr>
      <w:fldChar w:fldCharType="separate"/>
    </w:r>
    <w:r w:rsidR="00A67471">
      <w:rPr>
        <w:noProof/>
        <w:szCs w:val="22"/>
      </w:rPr>
      <w:t>4</w:t>
    </w:r>
    <w:r>
      <w:rPr>
        <w:szCs w:val="22"/>
      </w:rPr>
      <w:fldChar w:fldCharType="end"/>
    </w:r>
  </w:p>
  <w:p w14:paraId="7F772158" w14:textId="77777777" w:rsidR="000F2108" w:rsidRDefault="000F2108">
    <w:pPr>
      <w:tabs>
        <w:tab w:val="center" w:pos="4819"/>
        <w:tab w:val="right" w:pos="9638"/>
      </w:tabs>
      <w:suppressAutoHyphens/>
      <w:jc w:val="right"/>
      <w:rPr>
        <w:sz w:val="22"/>
        <w:szCs w:val="22"/>
      </w:rPr>
    </w:pPr>
  </w:p>
  <w:p w14:paraId="68C8DD50" w14:textId="77777777" w:rsidR="003E3FCB" w:rsidRDefault="003E3FC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215C" w14:textId="77777777" w:rsidR="000F2108" w:rsidRDefault="000F2108">
    <w:pPr>
      <w:tabs>
        <w:tab w:val="center" w:pos="4513"/>
        <w:tab w:val="right" w:pos="9026"/>
      </w:tabs>
      <w:suppressAutoHyphen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01"/>
    <w:rsid w:val="000006CC"/>
    <w:rsid w:val="00005CC1"/>
    <w:rsid w:val="00006C06"/>
    <w:rsid w:val="00016F70"/>
    <w:rsid w:val="00033D6D"/>
    <w:rsid w:val="00035BC8"/>
    <w:rsid w:val="0003699B"/>
    <w:rsid w:val="00043170"/>
    <w:rsid w:val="00043717"/>
    <w:rsid w:val="0004655C"/>
    <w:rsid w:val="00050550"/>
    <w:rsid w:val="00051B56"/>
    <w:rsid w:val="000616CF"/>
    <w:rsid w:val="00065B15"/>
    <w:rsid w:val="000717DF"/>
    <w:rsid w:val="00074A5D"/>
    <w:rsid w:val="0008443D"/>
    <w:rsid w:val="0008578C"/>
    <w:rsid w:val="00087407"/>
    <w:rsid w:val="00092047"/>
    <w:rsid w:val="000A10D5"/>
    <w:rsid w:val="000A13D5"/>
    <w:rsid w:val="000A1E28"/>
    <w:rsid w:val="000A3C0D"/>
    <w:rsid w:val="000B425B"/>
    <w:rsid w:val="000B4E3D"/>
    <w:rsid w:val="000B6620"/>
    <w:rsid w:val="000B69E5"/>
    <w:rsid w:val="000B7200"/>
    <w:rsid w:val="000C1909"/>
    <w:rsid w:val="000C503D"/>
    <w:rsid w:val="000C6409"/>
    <w:rsid w:val="000D4F01"/>
    <w:rsid w:val="000D7384"/>
    <w:rsid w:val="000E3FBC"/>
    <w:rsid w:val="000F2108"/>
    <w:rsid w:val="000F3324"/>
    <w:rsid w:val="000F6F7A"/>
    <w:rsid w:val="00104E02"/>
    <w:rsid w:val="00107D55"/>
    <w:rsid w:val="00111093"/>
    <w:rsid w:val="00122EF3"/>
    <w:rsid w:val="0012620B"/>
    <w:rsid w:val="00127731"/>
    <w:rsid w:val="00131156"/>
    <w:rsid w:val="00133F6F"/>
    <w:rsid w:val="0013516A"/>
    <w:rsid w:val="00135EF4"/>
    <w:rsid w:val="00142960"/>
    <w:rsid w:val="00144F16"/>
    <w:rsid w:val="00150E3A"/>
    <w:rsid w:val="001530CC"/>
    <w:rsid w:val="00155C25"/>
    <w:rsid w:val="00162057"/>
    <w:rsid w:val="00163C16"/>
    <w:rsid w:val="001663F1"/>
    <w:rsid w:val="0017028B"/>
    <w:rsid w:val="00175355"/>
    <w:rsid w:val="00176C3F"/>
    <w:rsid w:val="00183BE4"/>
    <w:rsid w:val="00183FCD"/>
    <w:rsid w:val="00187773"/>
    <w:rsid w:val="00191421"/>
    <w:rsid w:val="001916A3"/>
    <w:rsid w:val="0019238D"/>
    <w:rsid w:val="00192F5E"/>
    <w:rsid w:val="00194FFB"/>
    <w:rsid w:val="0019635B"/>
    <w:rsid w:val="00197CA5"/>
    <w:rsid w:val="001A2494"/>
    <w:rsid w:val="001A346D"/>
    <w:rsid w:val="001C057D"/>
    <w:rsid w:val="001C0AE4"/>
    <w:rsid w:val="001C65AD"/>
    <w:rsid w:val="001D05B5"/>
    <w:rsid w:val="001E6C39"/>
    <w:rsid w:val="001F14E0"/>
    <w:rsid w:val="001F1687"/>
    <w:rsid w:val="001F4880"/>
    <w:rsid w:val="001F72A9"/>
    <w:rsid w:val="001F7590"/>
    <w:rsid w:val="00202EC0"/>
    <w:rsid w:val="00202FA0"/>
    <w:rsid w:val="002176D7"/>
    <w:rsid w:val="00223279"/>
    <w:rsid w:val="00224D92"/>
    <w:rsid w:val="002254BB"/>
    <w:rsid w:val="0022639E"/>
    <w:rsid w:val="00230DA0"/>
    <w:rsid w:val="002320BE"/>
    <w:rsid w:val="00232F09"/>
    <w:rsid w:val="00234A5F"/>
    <w:rsid w:val="00236950"/>
    <w:rsid w:val="0024096C"/>
    <w:rsid w:val="00242176"/>
    <w:rsid w:val="00244304"/>
    <w:rsid w:val="002454BA"/>
    <w:rsid w:val="00245EAF"/>
    <w:rsid w:val="00252FC8"/>
    <w:rsid w:val="00253019"/>
    <w:rsid w:val="00255795"/>
    <w:rsid w:val="00257A50"/>
    <w:rsid w:val="0026607A"/>
    <w:rsid w:val="00270C93"/>
    <w:rsid w:val="00274261"/>
    <w:rsid w:val="00285752"/>
    <w:rsid w:val="002937D9"/>
    <w:rsid w:val="00296DEA"/>
    <w:rsid w:val="00297471"/>
    <w:rsid w:val="002A4DA0"/>
    <w:rsid w:val="002A522C"/>
    <w:rsid w:val="002B04F7"/>
    <w:rsid w:val="002B3E4F"/>
    <w:rsid w:val="002B402A"/>
    <w:rsid w:val="002B5A46"/>
    <w:rsid w:val="002C10D9"/>
    <w:rsid w:val="002C12DB"/>
    <w:rsid w:val="002D5B15"/>
    <w:rsid w:val="002D5DFE"/>
    <w:rsid w:val="002D6396"/>
    <w:rsid w:val="002E04E1"/>
    <w:rsid w:val="002E145F"/>
    <w:rsid w:val="002E7B7D"/>
    <w:rsid w:val="002F15A3"/>
    <w:rsid w:val="002F5D4A"/>
    <w:rsid w:val="002F758E"/>
    <w:rsid w:val="0030095A"/>
    <w:rsid w:val="00301E88"/>
    <w:rsid w:val="003039E5"/>
    <w:rsid w:val="00307769"/>
    <w:rsid w:val="003121FC"/>
    <w:rsid w:val="00312EDF"/>
    <w:rsid w:val="00313F0E"/>
    <w:rsid w:val="0031455D"/>
    <w:rsid w:val="00315CC7"/>
    <w:rsid w:val="00315CE4"/>
    <w:rsid w:val="00316427"/>
    <w:rsid w:val="003170F5"/>
    <w:rsid w:val="00320E43"/>
    <w:rsid w:val="00320EE8"/>
    <w:rsid w:val="0032618F"/>
    <w:rsid w:val="00326E74"/>
    <w:rsid w:val="00327301"/>
    <w:rsid w:val="00327468"/>
    <w:rsid w:val="00336FDB"/>
    <w:rsid w:val="00345233"/>
    <w:rsid w:val="0035249B"/>
    <w:rsid w:val="003543B7"/>
    <w:rsid w:val="00355467"/>
    <w:rsid w:val="003613EB"/>
    <w:rsid w:val="003667BF"/>
    <w:rsid w:val="00366868"/>
    <w:rsid w:val="00372699"/>
    <w:rsid w:val="00377E7C"/>
    <w:rsid w:val="0038121F"/>
    <w:rsid w:val="00392337"/>
    <w:rsid w:val="00395676"/>
    <w:rsid w:val="003A470E"/>
    <w:rsid w:val="003B2501"/>
    <w:rsid w:val="003C7582"/>
    <w:rsid w:val="003D10C8"/>
    <w:rsid w:val="003D249D"/>
    <w:rsid w:val="003E3FCB"/>
    <w:rsid w:val="003E5303"/>
    <w:rsid w:val="003E6BD6"/>
    <w:rsid w:val="003E714F"/>
    <w:rsid w:val="003F6247"/>
    <w:rsid w:val="00401059"/>
    <w:rsid w:val="004234CC"/>
    <w:rsid w:val="004249BD"/>
    <w:rsid w:val="0043008C"/>
    <w:rsid w:val="004311AC"/>
    <w:rsid w:val="004524F9"/>
    <w:rsid w:val="00452DE2"/>
    <w:rsid w:val="00461953"/>
    <w:rsid w:val="00462E1D"/>
    <w:rsid w:val="00470D1E"/>
    <w:rsid w:val="00473198"/>
    <w:rsid w:val="00473199"/>
    <w:rsid w:val="00473D2B"/>
    <w:rsid w:val="00482EF8"/>
    <w:rsid w:val="00490D74"/>
    <w:rsid w:val="00492146"/>
    <w:rsid w:val="00496C2E"/>
    <w:rsid w:val="004978A2"/>
    <w:rsid w:val="00497D6D"/>
    <w:rsid w:val="004A22BA"/>
    <w:rsid w:val="004A2657"/>
    <w:rsid w:val="004A3213"/>
    <w:rsid w:val="004A50F7"/>
    <w:rsid w:val="004B31F6"/>
    <w:rsid w:val="004B70A2"/>
    <w:rsid w:val="004C0073"/>
    <w:rsid w:val="004C4036"/>
    <w:rsid w:val="004C7D76"/>
    <w:rsid w:val="004D4336"/>
    <w:rsid w:val="004E10C0"/>
    <w:rsid w:val="004E1269"/>
    <w:rsid w:val="004E3D99"/>
    <w:rsid w:val="004E4A7C"/>
    <w:rsid w:val="004E7A83"/>
    <w:rsid w:val="004F5AB5"/>
    <w:rsid w:val="004F6818"/>
    <w:rsid w:val="00511A10"/>
    <w:rsid w:val="0052073A"/>
    <w:rsid w:val="00520D9E"/>
    <w:rsid w:val="005217BF"/>
    <w:rsid w:val="005221F9"/>
    <w:rsid w:val="00524641"/>
    <w:rsid w:val="0052510B"/>
    <w:rsid w:val="00531B99"/>
    <w:rsid w:val="005332B5"/>
    <w:rsid w:val="00541F09"/>
    <w:rsid w:val="005433EC"/>
    <w:rsid w:val="00554BE7"/>
    <w:rsid w:val="0055661B"/>
    <w:rsid w:val="005745C9"/>
    <w:rsid w:val="005752AA"/>
    <w:rsid w:val="0058063E"/>
    <w:rsid w:val="005832AB"/>
    <w:rsid w:val="00584257"/>
    <w:rsid w:val="005922E1"/>
    <w:rsid w:val="00597413"/>
    <w:rsid w:val="0059797F"/>
    <w:rsid w:val="005A0B54"/>
    <w:rsid w:val="005A0D62"/>
    <w:rsid w:val="005A2C75"/>
    <w:rsid w:val="005A58CA"/>
    <w:rsid w:val="005B0284"/>
    <w:rsid w:val="005B1546"/>
    <w:rsid w:val="005B2DF8"/>
    <w:rsid w:val="005B3C21"/>
    <w:rsid w:val="005B64FF"/>
    <w:rsid w:val="005C79F0"/>
    <w:rsid w:val="005C7A87"/>
    <w:rsid w:val="005D4517"/>
    <w:rsid w:val="005D5FC6"/>
    <w:rsid w:val="005D7AC4"/>
    <w:rsid w:val="005E3A8B"/>
    <w:rsid w:val="005E714A"/>
    <w:rsid w:val="005F3520"/>
    <w:rsid w:val="005F4730"/>
    <w:rsid w:val="0061058D"/>
    <w:rsid w:val="00624BC7"/>
    <w:rsid w:val="0062524B"/>
    <w:rsid w:val="00626E23"/>
    <w:rsid w:val="00631D3B"/>
    <w:rsid w:val="00634FC9"/>
    <w:rsid w:val="00640301"/>
    <w:rsid w:val="0065662B"/>
    <w:rsid w:val="00656DE0"/>
    <w:rsid w:val="00657F97"/>
    <w:rsid w:val="006657BC"/>
    <w:rsid w:val="00665978"/>
    <w:rsid w:val="006676F6"/>
    <w:rsid w:val="00670866"/>
    <w:rsid w:val="00671FA7"/>
    <w:rsid w:val="00673BB3"/>
    <w:rsid w:val="00673D07"/>
    <w:rsid w:val="00673FDF"/>
    <w:rsid w:val="00674C66"/>
    <w:rsid w:val="00680FAD"/>
    <w:rsid w:val="00681360"/>
    <w:rsid w:val="0068390C"/>
    <w:rsid w:val="00683C44"/>
    <w:rsid w:val="00687E40"/>
    <w:rsid w:val="00691A7E"/>
    <w:rsid w:val="00697F97"/>
    <w:rsid w:val="006A13CB"/>
    <w:rsid w:val="006B2B8D"/>
    <w:rsid w:val="006B5C86"/>
    <w:rsid w:val="006B67AE"/>
    <w:rsid w:val="006C0116"/>
    <w:rsid w:val="006C11BA"/>
    <w:rsid w:val="006C1D8D"/>
    <w:rsid w:val="006C234F"/>
    <w:rsid w:val="006C2737"/>
    <w:rsid w:val="006C43F2"/>
    <w:rsid w:val="006D0EFA"/>
    <w:rsid w:val="006D2D2A"/>
    <w:rsid w:val="006D51F3"/>
    <w:rsid w:val="006D6070"/>
    <w:rsid w:val="006E018C"/>
    <w:rsid w:val="006E137A"/>
    <w:rsid w:val="006E1A0E"/>
    <w:rsid w:val="006E1F84"/>
    <w:rsid w:val="006E2B59"/>
    <w:rsid w:val="006E2BE8"/>
    <w:rsid w:val="006E4C59"/>
    <w:rsid w:val="006F141E"/>
    <w:rsid w:val="007060C0"/>
    <w:rsid w:val="007129E6"/>
    <w:rsid w:val="007315BC"/>
    <w:rsid w:val="00731C0D"/>
    <w:rsid w:val="00731CA3"/>
    <w:rsid w:val="0073617F"/>
    <w:rsid w:val="0073627B"/>
    <w:rsid w:val="00737DBE"/>
    <w:rsid w:val="007479DA"/>
    <w:rsid w:val="00747CE5"/>
    <w:rsid w:val="00750555"/>
    <w:rsid w:val="00750837"/>
    <w:rsid w:val="00752D37"/>
    <w:rsid w:val="007540BD"/>
    <w:rsid w:val="00754341"/>
    <w:rsid w:val="00754795"/>
    <w:rsid w:val="00760CBC"/>
    <w:rsid w:val="00761A51"/>
    <w:rsid w:val="00761B88"/>
    <w:rsid w:val="00770388"/>
    <w:rsid w:val="007753F8"/>
    <w:rsid w:val="00776080"/>
    <w:rsid w:val="00784CF6"/>
    <w:rsid w:val="007A388A"/>
    <w:rsid w:val="007B3625"/>
    <w:rsid w:val="007C3EAF"/>
    <w:rsid w:val="007C59B0"/>
    <w:rsid w:val="007C71AA"/>
    <w:rsid w:val="007C7E41"/>
    <w:rsid w:val="007D4092"/>
    <w:rsid w:val="007E07EC"/>
    <w:rsid w:val="007E1D6F"/>
    <w:rsid w:val="007E7B2F"/>
    <w:rsid w:val="007F579C"/>
    <w:rsid w:val="007F5AE4"/>
    <w:rsid w:val="00810A09"/>
    <w:rsid w:val="00814D60"/>
    <w:rsid w:val="00815E73"/>
    <w:rsid w:val="008170ED"/>
    <w:rsid w:val="00820A4C"/>
    <w:rsid w:val="008234FE"/>
    <w:rsid w:val="00824E23"/>
    <w:rsid w:val="00825A48"/>
    <w:rsid w:val="008276B8"/>
    <w:rsid w:val="00841717"/>
    <w:rsid w:val="00844B8A"/>
    <w:rsid w:val="0084743E"/>
    <w:rsid w:val="00847FD9"/>
    <w:rsid w:val="008513B9"/>
    <w:rsid w:val="008517A5"/>
    <w:rsid w:val="008620B1"/>
    <w:rsid w:val="00877756"/>
    <w:rsid w:val="00890460"/>
    <w:rsid w:val="00891CAB"/>
    <w:rsid w:val="008923FE"/>
    <w:rsid w:val="00892F3A"/>
    <w:rsid w:val="008A08FC"/>
    <w:rsid w:val="008A7A3E"/>
    <w:rsid w:val="008B3769"/>
    <w:rsid w:val="008C5382"/>
    <w:rsid w:val="008D1301"/>
    <w:rsid w:val="008D2DF3"/>
    <w:rsid w:val="008D493C"/>
    <w:rsid w:val="008D53DB"/>
    <w:rsid w:val="008E3E8F"/>
    <w:rsid w:val="008E717D"/>
    <w:rsid w:val="008E7B22"/>
    <w:rsid w:val="008F6E15"/>
    <w:rsid w:val="008F76AE"/>
    <w:rsid w:val="0090572B"/>
    <w:rsid w:val="0091640E"/>
    <w:rsid w:val="00920E8B"/>
    <w:rsid w:val="009236B3"/>
    <w:rsid w:val="00931E57"/>
    <w:rsid w:val="00934CD2"/>
    <w:rsid w:val="00937975"/>
    <w:rsid w:val="009441C3"/>
    <w:rsid w:val="00947390"/>
    <w:rsid w:val="00950E4F"/>
    <w:rsid w:val="0095512F"/>
    <w:rsid w:val="00956FC6"/>
    <w:rsid w:val="009663BE"/>
    <w:rsid w:val="00973A71"/>
    <w:rsid w:val="00973EFF"/>
    <w:rsid w:val="009740E0"/>
    <w:rsid w:val="009825E9"/>
    <w:rsid w:val="00986659"/>
    <w:rsid w:val="00994388"/>
    <w:rsid w:val="009A2ABB"/>
    <w:rsid w:val="009A6654"/>
    <w:rsid w:val="009B33B9"/>
    <w:rsid w:val="009C15B4"/>
    <w:rsid w:val="009C231A"/>
    <w:rsid w:val="009C2B61"/>
    <w:rsid w:val="009C4844"/>
    <w:rsid w:val="009C62C8"/>
    <w:rsid w:val="009C662B"/>
    <w:rsid w:val="009C6B2C"/>
    <w:rsid w:val="009D1CC3"/>
    <w:rsid w:val="009D6CC8"/>
    <w:rsid w:val="009D6D8B"/>
    <w:rsid w:val="009E20B1"/>
    <w:rsid w:val="009E25E5"/>
    <w:rsid w:val="00A103F8"/>
    <w:rsid w:val="00A108BB"/>
    <w:rsid w:val="00A214B1"/>
    <w:rsid w:val="00A23D3E"/>
    <w:rsid w:val="00A243E7"/>
    <w:rsid w:val="00A2506C"/>
    <w:rsid w:val="00A2792D"/>
    <w:rsid w:val="00A30DAC"/>
    <w:rsid w:val="00A315EC"/>
    <w:rsid w:val="00A324A6"/>
    <w:rsid w:val="00A40E35"/>
    <w:rsid w:val="00A661A9"/>
    <w:rsid w:val="00A67471"/>
    <w:rsid w:val="00A706A3"/>
    <w:rsid w:val="00A75097"/>
    <w:rsid w:val="00A75F5F"/>
    <w:rsid w:val="00A82982"/>
    <w:rsid w:val="00A8336D"/>
    <w:rsid w:val="00A91DA3"/>
    <w:rsid w:val="00AA063B"/>
    <w:rsid w:val="00AA431D"/>
    <w:rsid w:val="00AA598A"/>
    <w:rsid w:val="00AB16A5"/>
    <w:rsid w:val="00AB185A"/>
    <w:rsid w:val="00AB1D2C"/>
    <w:rsid w:val="00AB4C81"/>
    <w:rsid w:val="00AC0DE4"/>
    <w:rsid w:val="00AC2BDB"/>
    <w:rsid w:val="00AC3B16"/>
    <w:rsid w:val="00AC5B8E"/>
    <w:rsid w:val="00AD0EB3"/>
    <w:rsid w:val="00AD2E91"/>
    <w:rsid w:val="00AD416B"/>
    <w:rsid w:val="00AD5135"/>
    <w:rsid w:val="00AE6824"/>
    <w:rsid w:val="00AF1A72"/>
    <w:rsid w:val="00AF22B4"/>
    <w:rsid w:val="00AF74E2"/>
    <w:rsid w:val="00B043D7"/>
    <w:rsid w:val="00B05224"/>
    <w:rsid w:val="00B114EE"/>
    <w:rsid w:val="00B130ED"/>
    <w:rsid w:val="00B13A48"/>
    <w:rsid w:val="00B15117"/>
    <w:rsid w:val="00B159B8"/>
    <w:rsid w:val="00B325CC"/>
    <w:rsid w:val="00B32D42"/>
    <w:rsid w:val="00B333C1"/>
    <w:rsid w:val="00B36219"/>
    <w:rsid w:val="00B43CDD"/>
    <w:rsid w:val="00B4480A"/>
    <w:rsid w:val="00B46F36"/>
    <w:rsid w:val="00B51731"/>
    <w:rsid w:val="00B54965"/>
    <w:rsid w:val="00B55848"/>
    <w:rsid w:val="00B55FD1"/>
    <w:rsid w:val="00B7120E"/>
    <w:rsid w:val="00B72DCE"/>
    <w:rsid w:val="00B758EC"/>
    <w:rsid w:val="00B772A6"/>
    <w:rsid w:val="00B80C08"/>
    <w:rsid w:val="00B83E94"/>
    <w:rsid w:val="00B85376"/>
    <w:rsid w:val="00B93F8D"/>
    <w:rsid w:val="00B9624F"/>
    <w:rsid w:val="00BA60F1"/>
    <w:rsid w:val="00BA76B1"/>
    <w:rsid w:val="00BA7D15"/>
    <w:rsid w:val="00BB1A96"/>
    <w:rsid w:val="00BC4C97"/>
    <w:rsid w:val="00BD218E"/>
    <w:rsid w:val="00BE4CE1"/>
    <w:rsid w:val="00BF1B99"/>
    <w:rsid w:val="00BF665A"/>
    <w:rsid w:val="00BF6F27"/>
    <w:rsid w:val="00C036D5"/>
    <w:rsid w:val="00C07254"/>
    <w:rsid w:val="00C2552D"/>
    <w:rsid w:val="00C27446"/>
    <w:rsid w:val="00C314BB"/>
    <w:rsid w:val="00C318C2"/>
    <w:rsid w:val="00C33E83"/>
    <w:rsid w:val="00C52312"/>
    <w:rsid w:val="00C60178"/>
    <w:rsid w:val="00C6295B"/>
    <w:rsid w:val="00C74855"/>
    <w:rsid w:val="00C8249F"/>
    <w:rsid w:val="00C859EE"/>
    <w:rsid w:val="00C90C85"/>
    <w:rsid w:val="00C94474"/>
    <w:rsid w:val="00C94EF7"/>
    <w:rsid w:val="00CA30FC"/>
    <w:rsid w:val="00CA43B1"/>
    <w:rsid w:val="00CA49E3"/>
    <w:rsid w:val="00CA67B5"/>
    <w:rsid w:val="00CB4D6F"/>
    <w:rsid w:val="00CC0F20"/>
    <w:rsid w:val="00CC0F83"/>
    <w:rsid w:val="00CC2BC3"/>
    <w:rsid w:val="00CC3D18"/>
    <w:rsid w:val="00CC4776"/>
    <w:rsid w:val="00CD17C7"/>
    <w:rsid w:val="00CD370E"/>
    <w:rsid w:val="00CD6711"/>
    <w:rsid w:val="00CD7384"/>
    <w:rsid w:val="00CE1B92"/>
    <w:rsid w:val="00CE38CE"/>
    <w:rsid w:val="00CE41E6"/>
    <w:rsid w:val="00CE5FB9"/>
    <w:rsid w:val="00CF08DF"/>
    <w:rsid w:val="00CF14C9"/>
    <w:rsid w:val="00CF61EA"/>
    <w:rsid w:val="00D01E3F"/>
    <w:rsid w:val="00D01F4B"/>
    <w:rsid w:val="00D02198"/>
    <w:rsid w:val="00D113F6"/>
    <w:rsid w:val="00D11992"/>
    <w:rsid w:val="00D14994"/>
    <w:rsid w:val="00D21740"/>
    <w:rsid w:val="00D223FE"/>
    <w:rsid w:val="00D23530"/>
    <w:rsid w:val="00D23E96"/>
    <w:rsid w:val="00D26B76"/>
    <w:rsid w:val="00D31E8D"/>
    <w:rsid w:val="00D37886"/>
    <w:rsid w:val="00D40D5F"/>
    <w:rsid w:val="00D40FD4"/>
    <w:rsid w:val="00D466EC"/>
    <w:rsid w:val="00D65816"/>
    <w:rsid w:val="00D72B9D"/>
    <w:rsid w:val="00D802F7"/>
    <w:rsid w:val="00D945B3"/>
    <w:rsid w:val="00DA1EB2"/>
    <w:rsid w:val="00DA356C"/>
    <w:rsid w:val="00DA3904"/>
    <w:rsid w:val="00DA41F3"/>
    <w:rsid w:val="00DB115F"/>
    <w:rsid w:val="00DB3801"/>
    <w:rsid w:val="00DB5C5B"/>
    <w:rsid w:val="00DB61DF"/>
    <w:rsid w:val="00DB7AD0"/>
    <w:rsid w:val="00DC01DB"/>
    <w:rsid w:val="00DC0385"/>
    <w:rsid w:val="00DC1293"/>
    <w:rsid w:val="00DC3492"/>
    <w:rsid w:val="00DC4311"/>
    <w:rsid w:val="00DC67B0"/>
    <w:rsid w:val="00DC7E9B"/>
    <w:rsid w:val="00DD7CDB"/>
    <w:rsid w:val="00DD7F6A"/>
    <w:rsid w:val="00DE0537"/>
    <w:rsid w:val="00DE1642"/>
    <w:rsid w:val="00DE1814"/>
    <w:rsid w:val="00DE1A1B"/>
    <w:rsid w:val="00DE6552"/>
    <w:rsid w:val="00DE7999"/>
    <w:rsid w:val="00DF005A"/>
    <w:rsid w:val="00DF5412"/>
    <w:rsid w:val="00E0482C"/>
    <w:rsid w:val="00E142BA"/>
    <w:rsid w:val="00E15015"/>
    <w:rsid w:val="00E20705"/>
    <w:rsid w:val="00E33B22"/>
    <w:rsid w:val="00E44DB4"/>
    <w:rsid w:val="00E459F6"/>
    <w:rsid w:val="00E460D6"/>
    <w:rsid w:val="00E50257"/>
    <w:rsid w:val="00E544F6"/>
    <w:rsid w:val="00E54524"/>
    <w:rsid w:val="00E57B14"/>
    <w:rsid w:val="00E74859"/>
    <w:rsid w:val="00E769D1"/>
    <w:rsid w:val="00E836C9"/>
    <w:rsid w:val="00E84480"/>
    <w:rsid w:val="00E90311"/>
    <w:rsid w:val="00E955E8"/>
    <w:rsid w:val="00E96984"/>
    <w:rsid w:val="00EA3024"/>
    <w:rsid w:val="00EA5ED3"/>
    <w:rsid w:val="00EB77F1"/>
    <w:rsid w:val="00EC4467"/>
    <w:rsid w:val="00EC515C"/>
    <w:rsid w:val="00ED0270"/>
    <w:rsid w:val="00ED14B8"/>
    <w:rsid w:val="00ED5425"/>
    <w:rsid w:val="00EE587D"/>
    <w:rsid w:val="00EE5EB6"/>
    <w:rsid w:val="00EF29B1"/>
    <w:rsid w:val="00EF4167"/>
    <w:rsid w:val="00EF45A8"/>
    <w:rsid w:val="00EF7307"/>
    <w:rsid w:val="00F03EF0"/>
    <w:rsid w:val="00F130E2"/>
    <w:rsid w:val="00F162C2"/>
    <w:rsid w:val="00F2197A"/>
    <w:rsid w:val="00F24591"/>
    <w:rsid w:val="00F24594"/>
    <w:rsid w:val="00F25AB6"/>
    <w:rsid w:val="00F3111A"/>
    <w:rsid w:val="00F33C1E"/>
    <w:rsid w:val="00F35439"/>
    <w:rsid w:val="00F36805"/>
    <w:rsid w:val="00F44E03"/>
    <w:rsid w:val="00F535E5"/>
    <w:rsid w:val="00F53BE1"/>
    <w:rsid w:val="00F53F12"/>
    <w:rsid w:val="00F569D3"/>
    <w:rsid w:val="00F7552B"/>
    <w:rsid w:val="00F81AAE"/>
    <w:rsid w:val="00F83A89"/>
    <w:rsid w:val="00F87FC5"/>
    <w:rsid w:val="00F940FB"/>
    <w:rsid w:val="00F960C0"/>
    <w:rsid w:val="00FA66D2"/>
    <w:rsid w:val="00FC3C52"/>
    <w:rsid w:val="00FC4093"/>
    <w:rsid w:val="00FD49D0"/>
    <w:rsid w:val="00FD4E46"/>
    <w:rsid w:val="00FD6183"/>
    <w:rsid w:val="00FE3BEE"/>
    <w:rsid w:val="00FE4090"/>
    <w:rsid w:val="00FE7732"/>
    <w:rsid w:val="00FE7F36"/>
    <w:rsid w:val="00FF3E7A"/>
    <w:rsid w:val="00FF58D9"/>
    <w:rsid w:val="00FF5F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2146"/>
  <w15:docId w15:val="{6F409D1B-2B92-4D73-9166-34D4219F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E3A8B"/>
    <w:rPr>
      <w:sz w:val="16"/>
      <w:szCs w:val="16"/>
    </w:rPr>
  </w:style>
  <w:style w:type="paragraph" w:styleId="CommentText">
    <w:name w:val="annotation text"/>
    <w:basedOn w:val="Normal"/>
    <w:link w:val="CommentTextChar"/>
    <w:unhideWhenUsed/>
    <w:rsid w:val="005E3A8B"/>
    <w:rPr>
      <w:sz w:val="20"/>
    </w:rPr>
  </w:style>
  <w:style w:type="character" w:customStyle="1" w:styleId="CommentTextChar">
    <w:name w:val="Comment Text Char"/>
    <w:basedOn w:val="DefaultParagraphFont"/>
    <w:link w:val="CommentText"/>
    <w:rsid w:val="005E3A8B"/>
    <w:rPr>
      <w:sz w:val="20"/>
    </w:rPr>
  </w:style>
  <w:style w:type="paragraph" w:styleId="CommentSubject">
    <w:name w:val="annotation subject"/>
    <w:basedOn w:val="CommentText"/>
    <w:next w:val="CommentText"/>
    <w:link w:val="CommentSubjectChar"/>
    <w:semiHidden/>
    <w:unhideWhenUsed/>
    <w:rsid w:val="005E3A8B"/>
    <w:rPr>
      <w:b/>
      <w:bCs/>
    </w:rPr>
  </w:style>
  <w:style w:type="character" w:customStyle="1" w:styleId="CommentSubjectChar">
    <w:name w:val="Comment Subject Char"/>
    <w:basedOn w:val="CommentTextChar"/>
    <w:link w:val="CommentSubject"/>
    <w:semiHidden/>
    <w:rsid w:val="005E3A8B"/>
    <w:rPr>
      <w:b/>
      <w:bCs/>
      <w:sz w:val="20"/>
    </w:rPr>
  </w:style>
  <w:style w:type="paragraph" w:styleId="BalloonText">
    <w:name w:val="Balloon Text"/>
    <w:basedOn w:val="Normal"/>
    <w:link w:val="BalloonTextChar"/>
    <w:semiHidden/>
    <w:unhideWhenUsed/>
    <w:rsid w:val="005E3A8B"/>
    <w:rPr>
      <w:rFonts w:ascii="Segoe UI" w:hAnsi="Segoe UI" w:cs="Segoe UI"/>
      <w:sz w:val="18"/>
      <w:szCs w:val="18"/>
    </w:rPr>
  </w:style>
  <w:style w:type="character" w:customStyle="1" w:styleId="BalloonTextChar">
    <w:name w:val="Balloon Text Char"/>
    <w:basedOn w:val="DefaultParagraphFont"/>
    <w:link w:val="BalloonText"/>
    <w:semiHidden/>
    <w:rsid w:val="005E3A8B"/>
    <w:rPr>
      <w:rFonts w:ascii="Segoe UI" w:hAnsi="Segoe UI" w:cs="Segoe UI"/>
      <w:sz w:val="18"/>
      <w:szCs w:val="18"/>
    </w:rPr>
  </w:style>
  <w:style w:type="paragraph" w:styleId="Revision">
    <w:name w:val="Revision"/>
    <w:hidden/>
    <w:semiHidden/>
    <w:rsid w:val="00111093"/>
  </w:style>
  <w:style w:type="character" w:styleId="Hyperlink">
    <w:name w:val="Hyperlink"/>
    <w:basedOn w:val="DefaultParagraphFont"/>
    <w:unhideWhenUsed/>
    <w:rsid w:val="00A324A6"/>
    <w:rPr>
      <w:color w:val="467886" w:themeColor="hyperlink"/>
      <w:u w:val="single"/>
    </w:rPr>
  </w:style>
  <w:style w:type="character" w:customStyle="1" w:styleId="Neapdorotaspaminjimas1">
    <w:name w:val="Neapdorotas paminėjimas1"/>
    <w:basedOn w:val="DefaultParagraphFont"/>
    <w:uiPriority w:val="99"/>
    <w:semiHidden/>
    <w:unhideWhenUsed/>
    <w:rsid w:val="00A324A6"/>
    <w:rPr>
      <w:color w:val="605E5C"/>
      <w:shd w:val="clear" w:color="auto" w:fill="E1DFDD"/>
    </w:rPr>
  </w:style>
  <w:style w:type="paragraph" w:styleId="EndnoteText">
    <w:name w:val="endnote text"/>
    <w:basedOn w:val="Normal"/>
    <w:link w:val="EndnoteTextChar"/>
    <w:unhideWhenUsed/>
    <w:rsid w:val="00155C25"/>
    <w:rPr>
      <w:sz w:val="20"/>
    </w:rPr>
  </w:style>
  <w:style w:type="character" w:customStyle="1" w:styleId="EndnoteTextChar">
    <w:name w:val="Endnote Text Char"/>
    <w:basedOn w:val="DefaultParagraphFont"/>
    <w:link w:val="EndnoteText"/>
    <w:rsid w:val="00155C25"/>
    <w:rPr>
      <w:sz w:val="20"/>
    </w:rPr>
  </w:style>
  <w:style w:type="character" w:customStyle="1" w:styleId="Mention">
    <w:name w:val="Mention"/>
    <w:basedOn w:val="DefaultParagraphFont"/>
    <w:uiPriority w:val="99"/>
    <w:unhideWhenUsed/>
    <w:rsid w:val="00877756"/>
    <w:rPr>
      <w:color w:val="2B579A"/>
      <w:shd w:val="clear" w:color="auto" w:fill="E1DFDD"/>
    </w:rPr>
  </w:style>
  <w:style w:type="table" w:styleId="TableGrid">
    <w:name w:val="Table Grid"/>
    <w:basedOn w:val="TableNormal"/>
    <w:rsid w:val="000B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C7E41"/>
    <w:rPr>
      <w:sz w:val="20"/>
    </w:rPr>
  </w:style>
  <w:style w:type="character" w:customStyle="1" w:styleId="FootnoteTextChar">
    <w:name w:val="Footnote Text Char"/>
    <w:basedOn w:val="DefaultParagraphFont"/>
    <w:link w:val="FootnoteText"/>
    <w:semiHidden/>
    <w:rsid w:val="007C7E41"/>
    <w:rPr>
      <w:sz w:val="20"/>
    </w:rPr>
  </w:style>
  <w:style w:type="character" w:styleId="FootnoteReference">
    <w:name w:val="footnote reference"/>
    <w:basedOn w:val="DefaultParagraphFont"/>
    <w:semiHidden/>
    <w:unhideWhenUsed/>
    <w:rsid w:val="007C7E41"/>
    <w:rPr>
      <w:vertAlign w:val="superscript"/>
    </w:rPr>
  </w:style>
  <w:style w:type="paragraph" w:styleId="ListParagraph">
    <w:name w:val="List Paragraph"/>
    <w:basedOn w:val="Normal"/>
    <w:rsid w:val="004D4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700989">
      <w:bodyDiv w:val="1"/>
      <w:marLeft w:val="0"/>
      <w:marRight w:val="0"/>
      <w:marTop w:val="0"/>
      <w:marBottom w:val="0"/>
      <w:divBdr>
        <w:top w:val="none" w:sz="0" w:space="0" w:color="auto"/>
        <w:left w:val="none" w:sz="0" w:space="0" w:color="auto"/>
        <w:bottom w:val="none" w:sz="0" w:space="0" w:color="auto"/>
        <w:right w:val="none" w:sz="0" w:space="0" w:color="auto"/>
      </w:divBdr>
    </w:div>
    <w:div w:id="1335256686">
      <w:bodyDiv w:val="1"/>
      <w:marLeft w:val="0"/>
      <w:marRight w:val="0"/>
      <w:marTop w:val="0"/>
      <w:marBottom w:val="0"/>
      <w:divBdr>
        <w:top w:val="none" w:sz="0" w:space="0" w:color="auto"/>
        <w:left w:val="none" w:sz="0" w:space="0" w:color="auto"/>
        <w:bottom w:val="none" w:sz="0" w:space="0" w:color="auto"/>
        <w:right w:val="none" w:sz="0" w:space="0" w:color="auto"/>
      </w:divBdr>
    </w:div>
    <w:div w:id="1534076509">
      <w:bodyDiv w:val="1"/>
      <w:marLeft w:val="0"/>
      <w:marRight w:val="0"/>
      <w:marTop w:val="0"/>
      <w:marBottom w:val="0"/>
      <w:divBdr>
        <w:top w:val="none" w:sz="0" w:space="0" w:color="auto"/>
        <w:left w:val="none" w:sz="0" w:space="0" w:color="auto"/>
        <w:bottom w:val="none" w:sz="0" w:space="0" w:color="auto"/>
        <w:right w:val="none" w:sz="0" w:space="0" w:color="auto"/>
      </w:divBdr>
    </w:div>
    <w:div w:id="1695840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D20F8-A0A2-46A9-ABA2-BB97821374DA}">
  <ds:schemaRefs>
    <ds:schemaRef ds:uri="http://purl.org/dc/terms/"/>
    <ds:schemaRef ds:uri="http://www.w3.org/XML/1998/namespace"/>
    <ds:schemaRef ds:uri="http://schemas.microsoft.com/office/2006/documentManagement/types"/>
    <ds:schemaRef ds:uri="f5ebda27-b626-448f-a7d1-d1cf5ad133fa"/>
    <ds:schemaRef ds:uri="a843bbba-5665-4b5f-aacc-cdcb1c804839"/>
    <ds:schemaRef ds:uri="http://purl.org/dc/dcmitype/"/>
    <ds:schemaRef ds:uri="http://schemas.openxmlformats.org/package/2006/metadata/core-properties"/>
    <ds:schemaRef ds:uri="http://purl.org/dc/elements/1.1/"/>
    <ds:schemaRef ds:uri="http://schemas.microsoft.com/office/infopath/2007/PartnerControls"/>
    <ds:schemaRef ds:uri="028236e2-f653-4d19-ab67-4d06a9145e0c"/>
    <ds:schemaRef ds:uri="4b2e9d09-07c5-42d4-ad0a-92e216c40b99"/>
    <ds:schemaRef ds:uri="http://schemas.microsoft.com/office/2006/metadata/properties"/>
  </ds:schemaRefs>
</ds:datastoreItem>
</file>

<file path=customXml/itemProps2.xml><?xml version="1.0" encoding="utf-8"?>
<ds:datastoreItem xmlns:ds="http://schemas.openxmlformats.org/officeDocument/2006/customXml" ds:itemID="{82F835BC-51BE-43DB-93FA-9C952187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522E1-4998-41D3-A813-7347A837BCB1}">
  <ds:schemaRefs>
    <ds:schemaRef ds:uri="http://schemas.microsoft.com/sharepoint/v3/contenttype/forms"/>
  </ds:schemaRefs>
</ds:datastoreItem>
</file>

<file path=customXml/itemProps4.xml><?xml version="1.0" encoding="utf-8"?>
<ds:datastoreItem xmlns:ds="http://schemas.openxmlformats.org/officeDocument/2006/customXml" ds:itemID="{33B87E05-8DB9-4E1D-A949-DB4BEF61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20629</Words>
  <Characters>11759</Characters>
  <Application>Microsoft Office Word</Application>
  <DocSecurity>4</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TEISĖS AKTO PROJEKTAS NR. 24-18895 PATEIKTAS SUDERINIMUI SU JŪSŲ INSTITUCIJA</vt:lpstr>
      <vt:lpstr>DĖL  TEISĖS AKTO PROJEKTAS NR. 24-18895 PATEIKTAS SUDERINIMUI SU JŪSŲ INSTITUCIJA</vt:lpstr>
    </vt:vector>
  </TitlesOfParts>
  <Company/>
  <LinksUpToDate>false</LinksUpToDate>
  <CharactersWithSpaces>32324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TEISĖS AKTO PROJEKTAS NR. 24-18895 PATEIKTAS SUDERINIMUI SU JŪSŲ INSTITUCIJA</dc:title>
  <dc:creator>Virginija Levinskienė</dc:creator>
  <cp:lastModifiedBy>Marija Samavičiūtė</cp:lastModifiedBy>
  <cp:revision>2</cp:revision>
  <dcterms:created xsi:type="dcterms:W3CDTF">2025-06-30T11:25:00Z</dcterms:created>
  <dcterms:modified xsi:type="dcterms:W3CDTF">2025-06-30T11:25:00Z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827;#Marija Samavičiūtė</vt:lpwstr>
  </property>
  <property fmtid="{D5CDD505-2E9C-101B-9397-08002B2CF9AE}" pid="6" name="TaxCatchAll">
    <vt:lpwstr/>
  </property>
  <property fmtid="{D5CDD505-2E9C-101B-9397-08002B2CF9AE}" pid="7" name="DmsPermissionsConfid">
    <vt:bool>false</vt:bool>
  </property>
</Properties>
</file>