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F35DD" w14:textId="77777777" w:rsidR="00306450" w:rsidRDefault="00BB3C2A">
      <w:pPr>
        <w:tabs>
          <w:tab w:val="center" w:pos="4819"/>
          <w:tab w:val="right" w:pos="9638"/>
        </w:tabs>
        <w:rPr>
          <w:sz w:val="22"/>
          <w:szCs w:val="22"/>
        </w:rPr>
      </w:pPr>
      <w:r>
        <w:t xml:space="preserve">     </w:t>
      </w:r>
    </w:p>
    <w:p w14:paraId="0F9220DA" w14:textId="77777777" w:rsidR="00306450" w:rsidRDefault="00C3645C">
      <w:pPr>
        <w:ind w:firstLine="5670"/>
        <w:rPr>
          <w:szCs w:val="24"/>
        </w:rPr>
      </w:pPr>
      <w:r>
        <w:rPr>
          <w:szCs w:val="24"/>
        </w:rPr>
        <w:t>PATVIRTINTA</w:t>
      </w:r>
    </w:p>
    <w:p w14:paraId="7402FC32" w14:textId="77777777" w:rsidR="00306450" w:rsidRDefault="00C3645C">
      <w:pPr>
        <w:ind w:firstLine="5670"/>
        <w:rPr>
          <w:szCs w:val="24"/>
        </w:rPr>
      </w:pPr>
      <w:r>
        <w:rPr>
          <w:szCs w:val="24"/>
        </w:rPr>
        <w:t xml:space="preserve">Lietuvos Respublikos švietimo, </w:t>
      </w:r>
    </w:p>
    <w:p w14:paraId="3192026D" w14:textId="77777777" w:rsidR="00306450" w:rsidRDefault="00C3645C">
      <w:pPr>
        <w:ind w:firstLine="5670"/>
        <w:rPr>
          <w:szCs w:val="24"/>
        </w:rPr>
      </w:pPr>
      <w:r>
        <w:rPr>
          <w:szCs w:val="24"/>
        </w:rPr>
        <w:t xml:space="preserve">mokslo ir sporto ministro </w:t>
      </w:r>
    </w:p>
    <w:p w14:paraId="4973D79A" w14:textId="77777777" w:rsidR="00306450" w:rsidRDefault="00C3645C">
      <w:pPr>
        <w:ind w:firstLine="5670"/>
        <w:rPr>
          <w:szCs w:val="24"/>
        </w:rPr>
      </w:pPr>
      <w:r>
        <w:rPr>
          <w:szCs w:val="24"/>
        </w:rPr>
        <w:t>2023 m. kovo 1 d. įsakymu Nr. V-241</w:t>
      </w:r>
    </w:p>
    <w:p w14:paraId="7C231E23" w14:textId="77777777" w:rsidR="00306450" w:rsidRDefault="00306450">
      <w:pPr>
        <w:ind w:left="5670"/>
        <w:rPr>
          <w:szCs w:val="24"/>
        </w:rPr>
      </w:pPr>
    </w:p>
    <w:p w14:paraId="6A4813D5" w14:textId="77777777" w:rsidR="00306450" w:rsidRDefault="00C3645C">
      <w:pPr>
        <w:jc w:val="center"/>
        <w:rPr>
          <w:b/>
          <w:bCs/>
          <w:lang w:eastAsia="lt-LT"/>
        </w:rPr>
      </w:pPr>
      <w:r>
        <w:rPr>
          <w:b/>
          <w:bCs/>
        </w:rPr>
        <w:t xml:space="preserve">2021–2030 M. PLĖTROS PROGRAMOS VALDYTOJOS LIETUVOS RESPUBLIKOS ŠVIETIMO, MOKSLO IR SPORTO MINISTERIJOS ŠVIETIMO PLĖTROS PROGRAMOS PAŽANGOS PRIEMONĖS </w:t>
      </w:r>
      <w:r>
        <w:rPr>
          <w:b/>
          <w:bCs/>
          <w:lang w:eastAsia="lt-LT"/>
        </w:rPr>
        <w:t>NR.</w:t>
      </w:r>
      <w:r>
        <w:rPr>
          <w:b/>
          <w:bCs/>
          <w:i/>
          <w:iCs/>
          <w:lang w:eastAsia="lt-LT"/>
        </w:rPr>
        <w:t xml:space="preserve"> </w:t>
      </w:r>
      <w:r>
        <w:rPr>
          <w:b/>
          <w:bCs/>
          <w:lang w:eastAsia="lt-LT"/>
        </w:rPr>
        <w:t>12-003-03-02-01</w:t>
      </w:r>
      <w:r>
        <w:rPr>
          <w:b/>
          <w:bCs/>
          <w:i/>
          <w:iCs/>
          <w:lang w:eastAsia="lt-LT"/>
        </w:rPr>
        <w:t xml:space="preserve"> </w:t>
      </w:r>
      <w:r>
        <w:rPr>
          <w:b/>
          <w:bCs/>
          <w:lang w:eastAsia="lt-LT"/>
        </w:rPr>
        <w:t>„ĮGYVENDINTI ĮTRAUKŲJĮ ŠVIETIMĄ“ APRAŠAS</w:t>
      </w:r>
    </w:p>
    <w:p w14:paraId="6A2DBA9A" w14:textId="77777777" w:rsidR="00306450" w:rsidRDefault="00306450">
      <w:pPr>
        <w:jc w:val="center"/>
        <w:rPr>
          <w:b/>
          <w:szCs w:val="24"/>
          <w:lang w:eastAsia="lt-LT"/>
        </w:rPr>
      </w:pPr>
    </w:p>
    <w:p w14:paraId="775C992F" w14:textId="77777777" w:rsidR="00306450" w:rsidRDefault="00C3645C">
      <w:pPr>
        <w:tabs>
          <w:tab w:val="left" w:pos="1985"/>
        </w:tabs>
        <w:jc w:val="center"/>
        <w:rPr>
          <w:b/>
          <w:bCs/>
          <w:szCs w:val="24"/>
        </w:rPr>
      </w:pPr>
      <w:r>
        <w:rPr>
          <w:b/>
          <w:bCs/>
          <w:szCs w:val="24"/>
        </w:rPr>
        <w:t>I SKYRIUS</w:t>
      </w:r>
    </w:p>
    <w:p w14:paraId="366D87DA" w14:textId="77777777" w:rsidR="00306450" w:rsidRDefault="00C3645C">
      <w:pPr>
        <w:jc w:val="center"/>
      </w:pPr>
      <w:r>
        <w:rPr>
          <w:b/>
          <w:bCs/>
          <w:lang w:eastAsia="lt-LT"/>
        </w:rPr>
        <w:t>PLĖTROS PROGRAMOS PAŽANGOS PRIEMONĖS SIEKIAMI REZULTATAI</w:t>
      </w:r>
    </w:p>
    <w:p w14:paraId="23017FB4" w14:textId="77777777" w:rsidR="00C3645C" w:rsidRDefault="00C3645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170"/>
        <w:gridCol w:w="1555"/>
        <w:gridCol w:w="1288"/>
        <w:gridCol w:w="1155"/>
        <w:gridCol w:w="974"/>
        <w:gridCol w:w="1035"/>
        <w:gridCol w:w="1427"/>
      </w:tblGrid>
      <w:tr w:rsidR="00CE00EF" w14:paraId="414F2094" w14:textId="77777777" w:rsidTr="00CE00EF">
        <w:trPr>
          <w:trHeight w:val="348"/>
        </w:trPr>
        <w:tc>
          <w:tcPr>
            <w:tcW w:w="486" w:type="pct"/>
            <w:vMerge w:val="restart"/>
            <w:shd w:val="clear" w:color="auto" w:fill="DBE5F1" w:themeFill="accent1" w:themeFillTint="33"/>
            <w:vAlign w:val="center"/>
          </w:tcPr>
          <w:p w14:paraId="0B8CD723" w14:textId="77777777" w:rsidR="00CE00EF" w:rsidRDefault="00CE00EF" w:rsidP="00CE00EF">
            <w:pPr>
              <w:overflowPunct w:val="0"/>
              <w:jc w:val="center"/>
              <w:textAlignment w:val="baseline"/>
              <w:rPr>
                <w:b/>
                <w:sz w:val="22"/>
                <w:szCs w:val="22"/>
              </w:rPr>
            </w:pPr>
            <w:r>
              <w:rPr>
                <w:b/>
                <w:sz w:val="22"/>
                <w:szCs w:val="22"/>
              </w:rPr>
              <w:t>Rodiklio kodas</w:t>
            </w:r>
          </w:p>
        </w:tc>
        <w:tc>
          <w:tcPr>
            <w:tcW w:w="556" w:type="pct"/>
            <w:vMerge w:val="restart"/>
            <w:shd w:val="clear" w:color="auto" w:fill="DBE5F1" w:themeFill="accent1" w:themeFillTint="33"/>
          </w:tcPr>
          <w:p w14:paraId="35261CC7" w14:textId="77777777" w:rsidR="00CE00EF" w:rsidRDefault="00CE00EF" w:rsidP="00CE00EF">
            <w:pPr>
              <w:overflowPunct w:val="0"/>
              <w:jc w:val="center"/>
              <w:textAlignment w:val="baseline"/>
              <w:rPr>
                <w:b/>
                <w:sz w:val="22"/>
                <w:szCs w:val="22"/>
              </w:rPr>
            </w:pPr>
          </w:p>
          <w:p w14:paraId="122AC793" w14:textId="77777777" w:rsidR="00CE00EF" w:rsidRDefault="00CE00EF" w:rsidP="00CE00EF">
            <w:pPr>
              <w:overflowPunct w:val="0"/>
              <w:jc w:val="center"/>
              <w:textAlignment w:val="baseline"/>
              <w:rPr>
                <w:b/>
                <w:sz w:val="22"/>
                <w:szCs w:val="22"/>
              </w:rPr>
            </w:pPr>
          </w:p>
          <w:p w14:paraId="0E371E9C" w14:textId="77777777" w:rsidR="00CE00EF" w:rsidRDefault="00CE00EF" w:rsidP="00CE00EF">
            <w:pPr>
              <w:overflowPunct w:val="0"/>
              <w:jc w:val="center"/>
              <w:textAlignment w:val="baseline"/>
              <w:rPr>
                <w:b/>
                <w:sz w:val="22"/>
                <w:szCs w:val="22"/>
              </w:rPr>
            </w:pPr>
            <w:r>
              <w:rPr>
                <w:b/>
                <w:sz w:val="22"/>
                <w:szCs w:val="22"/>
              </w:rPr>
              <w:t>Rodiklio tipas (rezultato / produkto)</w:t>
            </w:r>
          </w:p>
        </w:tc>
        <w:tc>
          <w:tcPr>
            <w:tcW w:w="903" w:type="pct"/>
            <w:vMerge w:val="restart"/>
            <w:shd w:val="clear" w:color="auto" w:fill="DBE5F1" w:themeFill="accent1" w:themeFillTint="33"/>
            <w:vAlign w:val="center"/>
          </w:tcPr>
          <w:p w14:paraId="739DEFBB" w14:textId="77777777" w:rsidR="00CE00EF" w:rsidRDefault="00CE00EF" w:rsidP="00CE00EF">
            <w:pPr>
              <w:overflowPunct w:val="0"/>
              <w:jc w:val="center"/>
              <w:textAlignment w:val="baseline"/>
              <w:rPr>
                <w:b/>
                <w:sz w:val="22"/>
                <w:szCs w:val="22"/>
              </w:rPr>
            </w:pPr>
            <w:r>
              <w:rPr>
                <w:b/>
                <w:sz w:val="22"/>
                <w:szCs w:val="22"/>
              </w:rPr>
              <w:t>Rodiklio pavadinimas</w:t>
            </w:r>
          </w:p>
        </w:tc>
        <w:tc>
          <w:tcPr>
            <w:tcW w:w="764" w:type="pct"/>
            <w:vMerge w:val="restart"/>
            <w:shd w:val="clear" w:color="auto" w:fill="DBE5F1" w:themeFill="accent1" w:themeFillTint="33"/>
            <w:vAlign w:val="center"/>
          </w:tcPr>
          <w:p w14:paraId="0D02C775" w14:textId="77777777" w:rsidR="00CE00EF" w:rsidRDefault="00CE00EF" w:rsidP="00CE00EF">
            <w:pPr>
              <w:overflowPunct w:val="0"/>
              <w:jc w:val="center"/>
              <w:textAlignment w:val="baseline"/>
              <w:rPr>
                <w:b/>
                <w:sz w:val="22"/>
                <w:szCs w:val="22"/>
              </w:rPr>
            </w:pPr>
            <w:r>
              <w:rPr>
                <w:b/>
                <w:sz w:val="22"/>
                <w:szCs w:val="22"/>
              </w:rPr>
              <w:t>Matavimo vienetas</w:t>
            </w:r>
          </w:p>
        </w:tc>
        <w:tc>
          <w:tcPr>
            <w:tcW w:w="695" w:type="pct"/>
            <w:vMerge w:val="restart"/>
            <w:shd w:val="clear" w:color="auto" w:fill="DBE5F1" w:themeFill="accent1" w:themeFillTint="33"/>
          </w:tcPr>
          <w:p w14:paraId="3EAA83FC" w14:textId="77777777" w:rsidR="00CE00EF" w:rsidRDefault="00CE00EF" w:rsidP="00CE00EF">
            <w:pPr>
              <w:overflowPunct w:val="0"/>
              <w:jc w:val="center"/>
              <w:textAlignment w:val="baseline"/>
              <w:rPr>
                <w:b/>
                <w:sz w:val="22"/>
                <w:szCs w:val="22"/>
              </w:rPr>
            </w:pPr>
          </w:p>
          <w:p w14:paraId="2E962208" w14:textId="77777777" w:rsidR="00CE00EF" w:rsidRDefault="00CE00EF" w:rsidP="00CE00EF">
            <w:pPr>
              <w:overflowPunct w:val="0"/>
              <w:jc w:val="center"/>
              <w:textAlignment w:val="baseline"/>
              <w:rPr>
                <w:b/>
                <w:sz w:val="22"/>
                <w:szCs w:val="22"/>
              </w:rPr>
            </w:pPr>
          </w:p>
          <w:p w14:paraId="50A44B52" w14:textId="77777777" w:rsidR="00CE00EF" w:rsidRDefault="00CE00EF" w:rsidP="00CE00EF">
            <w:pPr>
              <w:overflowPunct w:val="0"/>
              <w:jc w:val="center"/>
              <w:textAlignment w:val="baseline"/>
              <w:rPr>
                <w:b/>
                <w:sz w:val="22"/>
                <w:szCs w:val="22"/>
              </w:rPr>
            </w:pPr>
            <w:r>
              <w:rPr>
                <w:b/>
                <w:sz w:val="22"/>
                <w:szCs w:val="22"/>
              </w:rPr>
              <w:t>Pradinė rodiklio reikšmė (metai)</w:t>
            </w:r>
          </w:p>
        </w:tc>
        <w:tc>
          <w:tcPr>
            <w:tcW w:w="972" w:type="pct"/>
            <w:gridSpan w:val="2"/>
            <w:shd w:val="clear" w:color="auto" w:fill="DBE5F1" w:themeFill="accent1" w:themeFillTint="33"/>
          </w:tcPr>
          <w:p w14:paraId="49EA6E64" w14:textId="77777777" w:rsidR="00CE00EF" w:rsidRDefault="00CE00EF" w:rsidP="00CE00EF">
            <w:pPr>
              <w:overflowPunct w:val="0"/>
              <w:jc w:val="center"/>
              <w:textAlignment w:val="baseline"/>
              <w:rPr>
                <w:b/>
                <w:sz w:val="22"/>
                <w:szCs w:val="22"/>
              </w:rPr>
            </w:pPr>
            <w:r>
              <w:rPr>
                <w:b/>
                <w:sz w:val="22"/>
                <w:szCs w:val="22"/>
              </w:rPr>
              <w:t>Siektinos rodiklio reikšmės</w:t>
            </w:r>
          </w:p>
        </w:tc>
        <w:tc>
          <w:tcPr>
            <w:tcW w:w="625" w:type="pct"/>
            <w:vMerge w:val="restart"/>
            <w:shd w:val="clear" w:color="auto" w:fill="DBE5F1" w:themeFill="accent1" w:themeFillTint="33"/>
          </w:tcPr>
          <w:p w14:paraId="4199D7DB" w14:textId="77777777" w:rsidR="00CE00EF" w:rsidRDefault="00CE00EF" w:rsidP="00CE00EF">
            <w:pPr>
              <w:overflowPunct w:val="0"/>
              <w:jc w:val="center"/>
              <w:textAlignment w:val="baseline"/>
              <w:rPr>
                <w:b/>
                <w:sz w:val="22"/>
                <w:szCs w:val="22"/>
              </w:rPr>
            </w:pPr>
          </w:p>
          <w:p w14:paraId="45FACB1E" w14:textId="77777777" w:rsidR="00CE00EF" w:rsidRDefault="00CE00EF" w:rsidP="00CE00EF">
            <w:pPr>
              <w:overflowPunct w:val="0"/>
              <w:jc w:val="center"/>
              <w:textAlignment w:val="baseline"/>
              <w:rPr>
                <w:b/>
                <w:sz w:val="22"/>
                <w:szCs w:val="22"/>
              </w:rPr>
            </w:pPr>
            <w:r>
              <w:rPr>
                <w:b/>
                <w:sz w:val="22"/>
                <w:szCs w:val="22"/>
              </w:rPr>
              <w:t>Finansavimo šaltinis</w:t>
            </w:r>
          </w:p>
        </w:tc>
      </w:tr>
      <w:tr w:rsidR="00CE00EF" w14:paraId="5B0C48DC" w14:textId="77777777" w:rsidTr="00CE00EF">
        <w:trPr>
          <w:trHeight w:val="1329"/>
        </w:trPr>
        <w:tc>
          <w:tcPr>
            <w:tcW w:w="486" w:type="pct"/>
            <w:vMerge/>
            <w:vAlign w:val="center"/>
          </w:tcPr>
          <w:p w14:paraId="13A1B013" w14:textId="77777777" w:rsidR="00CE00EF" w:rsidRDefault="00CE00EF" w:rsidP="00CE00EF">
            <w:pPr>
              <w:overflowPunct w:val="0"/>
              <w:spacing w:line="276" w:lineRule="auto"/>
              <w:jc w:val="center"/>
              <w:textAlignment w:val="baseline"/>
              <w:rPr>
                <w:b/>
                <w:sz w:val="22"/>
                <w:szCs w:val="22"/>
              </w:rPr>
            </w:pPr>
          </w:p>
        </w:tc>
        <w:tc>
          <w:tcPr>
            <w:tcW w:w="556" w:type="pct"/>
            <w:vMerge/>
          </w:tcPr>
          <w:p w14:paraId="3CEC885E" w14:textId="77777777" w:rsidR="00CE00EF" w:rsidRDefault="00CE00EF" w:rsidP="00CE00EF">
            <w:pPr>
              <w:overflowPunct w:val="0"/>
              <w:spacing w:line="276" w:lineRule="auto"/>
              <w:jc w:val="center"/>
              <w:textAlignment w:val="baseline"/>
              <w:rPr>
                <w:b/>
                <w:sz w:val="22"/>
                <w:szCs w:val="22"/>
              </w:rPr>
            </w:pPr>
          </w:p>
        </w:tc>
        <w:tc>
          <w:tcPr>
            <w:tcW w:w="903" w:type="pct"/>
            <w:vMerge/>
            <w:vAlign w:val="center"/>
          </w:tcPr>
          <w:p w14:paraId="59385237" w14:textId="77777777" w:rsidR="00CE00EF" w:rsidRDefault="00CE00EF" w:rsidP="00CE00EF">
            <w:pPr>
              <w:overflowPunct w:val="0"/>
              <w:spacing w:line="276" w:lineRule="auto"/>
              <w:jc w:val="center"/>
              <w:textAlignment w:val="baseline"/>
              <w:rPr>
                <w:b/>
                <w:sz w:val="22"/>
                <w:szCs w:val="22"/>
              </w:rPr>
            </w:pPr>
          </w:p>
        </w:tc>
        <w:tc>
          <w:tcPr>
            <w:tcW w:w="764" w:type="pct"/>
            <w:vMerge/>
            <w:vAlign w:val="center"/>
          </w:tcPr>
          <w:p w14:paraId="60B7008A" w14:textId="77777777" w:rsidR="00CE00EF" w:rsidRDefault="00CE00EF" w:rsidP="00CE00EF">
            <w:pPr>
              <w:overflowPunct w:val="0"/>
              <w:spacing w:line="276" w:lineRule="auto"/>
              <w:jc w:val="center"/>
              <w:textAlignment w:val="baseline"/>
              <w:rPr>
                <w:b/>
                <w:sz w:val="22"/>
                <w:szCs w:val="22"/>
              </w:rPr>
            </w:pPr>
          </w:p>
        </w:tc>
        <w:tc>
          <w:tcPr>
            <w:tcW w:w="695" w:type="pct"/>
            <w:vMerge/>
          </w:tcPr>
          <w:p w14:paraId="679C91EF" w14:textId="77777777" w:rsidR="00CE00EF" w:rsidRDefault="00CE00EF" w:rsidP="00CE00EF">
            <w:pPr>
              <w:overflowPunct w:val="0"/>
              <w:spacing w:line="276" w:lineRule="auto"/>
              <w:jc w:val="center"/>
              <w:textAlignment w:val="baseline"/>
              <w:rPr>
                <w:b/>
                <w:sz w:val="22"/>
                <w:szCs w:val="22"/>
              </w:rPr>
            </w:pPr>
          </w:p>
        </w:tc>
        <w:tc>
          <w:tcPr>
            <w:tcW w:w="486" w:type="pct"/>
            <w:shd w:val="clear" w:color="auto" w:fill="DBE5F1" w:themeFill="accent1" w:themeFillTint="33"/>
          </w:tcPr>
          <w:p w14:paraId="7C977BED" w14:textId="77777777" w:rsidR="00CE00EF" w:rsidRDefault="00CE00EF" w:rsidP="00CE00EF">
            <w:pPr>
              <w:overflowPunct w:val="0"/>
              <w:jc w:val="center"/>
              <w:textAlignment w:val="baseline"/>
              <w:rPr>
                <w:b/>
                <w:sz w:val="22"/>
                <w:szCs w:val="22"/>
              </w:rPr>
            </w:pPr>
            <w:r>
              <w:rPr>
                <w:b/>
                <w:sz w:val="22"/>
                <w:szCs w:val="22"/>
              </w:rPr>
              <w:t>Tarpinė reikšmė 2025 m.</w:t>
            </w:r>
          </w:p>
        </w:tc>
        <w:tc>
          <w:tcPr>
            <w:tcW w:w="486" w:type="pct"/>
            <w:shd w:val="clear" w:color="auto" w:fill="DBE5F1" w:themeFill="accent1" w:themeFillTint="33"/>
          </w:tcPr>
          <w:p w14:paraId="5A7A27D6" w14:textId="77777777" w:rsidR="00CE00EF" w:rsidRDefault="00CE00EF" w:rsidP="00CE00EF">
            <w:pPr>
              <w:overflowPunct w:val="0"/>
              <w:jc w:val="center"/>
              <w:textAlignment w:val="baseline"/>
              <w:rPr>
                <w:b/>
                <w:sz w:val="22"/>
                <w:szCs w:val="22"/>
              </w:rPr>
            </w:pPr>
            <w:r>
              <w:rPr>
                <w:b/>
                <w:sz w:val="22"/>
                <w:szCs w:val="22"/>
              </w:rPr>
              <w:t>Galutinė reikšmė</w:t>
            </w:r>
          </w:p>
          <w:p w14:paraId="1B571695" w14:textId="77777777" w:rsidR="00CE00EF" w:rsidRDefault="00CE00EF" w:rsidP="00CE00EF">
            <w:pPr>
              <w:overflowPunct w:val="0"/>
              <w:jc w:val="center"/>
              <w:textAlignment w:val="baseline"/>
              <w:rPr>
                <w:b/>
                <w:sz w:val="22"/>
                <w:szCs w:val="22"/>
              </w:rPr>
            </w:pPr>
            <w:r>
              <w:rPr>
                <w:b/>
                <w:sz w:val="22"/>
                <w:szCs w:val="22"/>
              </w:rPr>
              <w:t xml:space="preserve">2030 m. </w:t>
            </w:r>
          </w:p>
        </w:tc>
        <w:tc>
          <w:tcPr>
            <w:tcW w:w="625" w:type="pct"/>
            <w:vMerge/>
          </w:tcPr>
          <w:p w14:paraId="770A23CC" w14:textId="77777777" w:rsidR="00CE00EF" w:rsidRDefault="00CE00EF" w:rsidP="00CE00EF">
            <w:pPr>
              <w:overflowPunct w:val="0"/>
              <w:spacing w:line="276" w:lineRule="auto"/>
              <w:jc w:val="center"/>
              <w:textAlignment w:val="baseline"/>
              <w:rPr>
                <w:b/>
                <w:sz w:val="22"/>
                <w:szCs w:val="22"/>
              </w:rPr>
            </w:pPr>
          </w:p>
        </w:tc>
      </w:tr>
      <w:tr w:rsidR="00CE00EF" w14:paraId="084C6E24" w14:textId="77777777" w:rsidTr="00CE00EF">
        <w:trPr>
          <w:trHeight w:val="193"/>
        </w:trPr>
        <w:tc>
          <w:tcPr>
            <w:tcW w:w="486" w:type="pct"/>
            <w:shd w:val="clear" w:color="auto" w:fill="DBE5F1" w:themeFill="accent1" w:themeFillTint="33"/>
            <w:vAlign w:val="center"/>
          </w:tcPr>
          <w:p w14:paraId="01541497" w14:textId="77777777" w:rsidR="00CE00EF" w:rsidRDefault="00CE00EF" w:rsidP="00CE00EF">
            <w:pPr>
              <w:overflowPunct w:val="0"/>
              <w:spacing w:line="276" w:lineRule="auto"/>
              <w:jc w:val="center"/>
              <w:textAlignment w:val="baseline"/>
              <w:rPr>
                <w:b/>
                <w:sz w:val="22"/>
                <w:szCs w:val="22"/>
              </w:rPr>
            </w:pPr>
            <w:r>
              <w:rPr>
                <w:b/>
                <w:sz w:val="22"/>
                <w:szCs w:val="22"/>
              </w:rPr>
              <w:t>1</w:t>
            </w:r>
          </w:p>
        </w:tc>
        <w:tc>
          <w:tcPr>
            <w:tcW w:w="556" w:type="pct"/>
            <w:shd w:val="clear" w:color="auto" w:fill="DBE5F1" w:themeFill="accent1" w:themeFillTint="33"/>
          </w:tcPr>
          <w:p w14:paraId="11A69137" w14:textId="77777777" w:rsidR="00CE00EF" w:rsidRDefault="00CE00EF" w:rsidP="00CE00EF">
            <w:pPr>
              <w:overflowPunct w:val="0"/>
              <w:spacing w:line="276" w:lineRule="auto"/>
              <w:jc w:val="center"/>
              <w:textAlignment w:val="baseline"/>
              <w:rPr>
                <w:b/>
                <w:sz w:val="22"/>
                <w:szCs w:val="22"/>
              </w:rPr>
            </w:pPr>
            <w:r>
              <w:rPr>
                <w:b/>
                <w:sz w:val="22"/>
                <w:szCs w:val="22"/>
              </w:rPr>
              <w:t>2</w:t>
            </w:r>
          </w:p>
        </w:tc>
        <w:tc>
          <w:tcPr>
            <w:tcW w:w="903" w:type="pct"/>
            <w:shd w:val="clear" w:color="auto" w:fill="DBE5F1" w:themeFill="accent1" w:themeFillTint="33"/>
            <w:vAlign w:val="center"/>
          </w:tcPr>
          <w:p w14:paraId="3E1DB2D7" w14:textId="77777777" w:rsidR="00CE00EF" w:rsidRDefault="00CE00EF" w:rsidP="00CE00EF">
            <w:pPr>
              <w:overflowPunct w:val="0"/>
              <w:spacing w:line="276" w:lineRule="auto"/>
              <w:jc w:val="center"/>
              <w:textAlignment w:val="baseline"/>
              <w:rPr>
                <w:b/>
                <w:sz w:val="22"/>
                <w:szCs w:val="22"/>
              </w:rPr>
            </w:pPr>
            <w:r>
              <w:rPr>
                <w:b/>
                <w:sz w:val="22"/>
                <w:szCs w:val="22"/>
              </w:rPr>
              <w:t>3</w:t>
            </w:r>
          </w:p>
        </w:tc>
        <w:tc>
          <w:tcPr>
            <w:tcW w:w="764" w:type="pct"/>
            <w:shd w:val="clear" w:color="auto" w:fill="DBE5F1" w:themeFill="accent1" w:themeFillTint="33"/>
            <w:vAlign w:val="center"/>
          </w:tcPr>
          <w:p w14:paraId="1462A881" w14:textId="77777777" w:rsidR="00CE00EF" w:rsidRDefault="00CE00EF" w:rsidP="00CE00EF">
            <w:pPr>
              <w:overflowPunct w:val="0"/>
              <w:spacing w:line="276" w:lineRule="auto"/>
              <w:jc w:val="center"/>
              <w:textAlignment w:val="baseline"/>
              <w:rPr>
                <w:b/>
                <w:sz w:val="22"/>
                <w:szCs w:val="22"/>
              </w:rPr>
            </w:pPr>
            <w:r>
              <w:rPr>
                <w:b/>
                <w:sz w:val="22"/>
                <w:szCs w:val="22"/>
              </w:rPr>
              <w:t>4</w:t>
            </w:r>
          </w:p>
        </w:tc>
        <w:tc>
          <w:tcPr>
            <w:tcW w:w="695" w:type="pct"/>
            <w:shd w:val="clear" w:color="auto" w:fill="DBE5F1" w:themeFill="accent1" w:themeFillTint="33"/>
          </w:tcPr>
          <w:p w14:paraId="27E7161C" w14:textId="77777777" w:rsidR="00CE00EF" w:rsidRDefault="00CE00EF" w:rsidP="00CE00EF">
            <w:pPr>
              <w:overflowPunct w:val="0"/>
              <w:spacing w:line="276" w:lineRule="auto"/>
              <w:jc w:val="center"/>
              <w:textAlignment w:val="baseline"/>
              <w:rPr>
                <w:b/>
                <w:sz w:val="22"/>
                <w:szCs w:val="22"/>
              </w:rPr>
            </w:pPr>
            <w:r>
              <w:rPr>
                <w:b/>
                <w:sz w:val="22"/>
                <w:szCs w:val="22"/>
              </w:rPr>
              <w:t>5</w:t>
            </w:r>
          </w:p>
        </w:tc>
        <w:tc>
          <w:tcPr>
            <w:tcW w:w="486" w:type="pct"/>
            <w:shd w:val="clear" w:color="auto" w:fill="DBE5F1" w:themeFill="accent1" w:themeFillTint="33"/>
          </w:tcPr>
          <w:p w14:paraId="67480151" w14:textId="77777777" w:rsidR="00CE00EF" w:rsidRDefault="00CE00EF" w:rsidP="00CE00EF">
            <w:pPr>
              <w:overflowPunct w:val="0"/>
              <w:jc w:val="center"/>
              <w:textAlignment w:val="baseline"/>
              <w:rPr>
                <w:b/>
                <w:sz w:val="22"/>
                <w:szCs w:val="22"/>
              </w:rPr>
            </w:pPr>
            <w:r>
              <w:rPr>
                <w:b/>
                <w:sz w:val="22"/>
                <w:szCs w:val="22"/>
              </w:rPr>
              <w:t>6</w:t>
            </w:r>
          </w:p>
        </w:tc>
        <w:tc>
          <w:tcPr>
            <w:tcW w:w="486" w:type="pct"/>
            <w:shd w:val="clear" w:color="auto" w:fill="DBE5F1" w:themeFill="accent1" w:themeFillTint="33"/>
          </w:tcPr>
          <w:p w14:paraId="506775C3" w14:textId="77777777" w:rsidR="00CE00EF" w:rsidRDefault="00CE00EF" w:rsidP="00CE00EF">
            <w:pPr>
              <w:overflowPunct w:val="0"/>
              <w:jc w:val="center"/>
              <w:textAlignment w:val="baseline"/>
              <w:rPr>
                <w:b/>
                <w:sz w:val="22"/>
                <w:szCs w:val="22"/>
              </w:rPr>
            </w:pPr>
            <w:r>
              <w:rPr>
                <w:b/>
                <w:sz w:val="22"/>
                <w:szCs w:val="22"/>
              </w:rPr>
              <w:t>7</w:t>
            </w:r>
          </w:p>
        </w:tc>
        <w:tc>
          <w:tcPr>
            <w:tcW w:w="625" w:type="pct"/>
            <w:shd w:val="clear" w:color="auto" w:fill="DBE5F1" w:themeFill="accent1" w:themeFillTint="33"/>
          </w:tcPr>
          <w:p w14:paraId="2C1DA4EA" w14:textId="77777777" w:rsidR="00CE00EF" w:rsidRDefault="00CE00EF" w:rsidP="00CE00EF">
            <w:pPr>
              <w:overflowPunct w:val="0"/>
              <w:spacing w:line="276" w:lineRule="auto"/>
              <w:jc w:val="center"/>
              <w:textAlignment w:val="baseline"/>
              <w:rPr>
                <w:b/>
                <w:sz w:val="22"/>
                <w:szCs w:val="22"/>
              </w:rPr>
            </w:pPr>
            <w:r>
              <w:rPr>
                <w:b/>
                <w:sz w:val="22"/>
                <w:szCs w:val="22"/>
              </w:rPr>
              <w:t>8</w:t>
            </w:r>
          </w:p>
        </w:tc>
      </w:tr>
      <w:tr w:rsidR="00CE00EF" w14:paraId="692CBD57" w14:textId="77777777" w:rsidTr="00CE00EF">
        <w:trPr>
          <w:trHeight w:val="330"/>
        </w:trPr>
        <w:tc>
          <w:tcPr>
            <w:tcW w:w="486" w:type="pct"/>
            <w:shd w:val="clear" w:color="auto" w:fill="FFFFFF" w:themeFill="background1"/>
            <w:vAlign w:val="center"/>
          </w:tcPr>
          <w:p w14:paraId="772A1957" w14:textId="77777777" w:rsidR="00CE00EF" w:rsidRDefault="00CE00EF" w:rsidP="00CE00EF">
            <w:pPr>
              <w:overflowPunct w:val="0"/>
              <w:jc w:val="center"/>
              <w:textAlignment w:val="baseline"/>
              <w:rPr>
                <w:sz w:val="22"/>
                <w:szCs w:val="22"/>
              </w:rPr>
            </w:pPr>
            <w:r>
              <w:rPr>
                <w:sz w:val="22"/>
                <w:szCs w:val="22"/>
              </w:rPr>
              <w:t>R-12-003-03-02-01-01</w:t>
            </w:r>
          </w:p>
        </w:tc>
        <w:tc>
          <w:tcPr>
            <w:tcW w:w="556" w:type="pct"/>
            <w:shd w:val="clear" w:color="auto" w:fill="FFFFFF" w:themeFill="background1"/>
            <w:vAlign w:val="center"/>
          </w:tcPr>
          <w:p w14:paraId="251B1CA3" w14:textId="77777777" w:rsidR="00CE00EF" w:rsidRDefault="00CE00EF" w:rsidP="00CE00EF">
            <w:pPr>
              <w:overflowPunct w:val="0"/>
              <w:jc w:val="center"/>
              <w:textAlignment w:val="baseline"/>
              <w:rPr>
                <w:sz w:val="22"/>
                <w:szCs w:val="22"/>
              </w:rPr>
            </w:pPr>
            <w:r>
              <w:rPr>
                <w:sz w:val="22"/>
                <w:szCs w:val="22"/>
              </w:rPr>
              <w:t>Rezultato</w:t>
            </w:r>
          </w:p>
        </w:tc>
        <w:tc>
          <w:tcPr>
            <w:tcW w:w="903" w:type="pct"/>
            <w:shd w:val="clear" w:color="auto" w:fill="FFFFFF" w:themeFill="background1"/>
            <w:vAlign w:val="center"/>
          </w:tcPr>
          <w:p w14:paraId="1C2660C6" w14:textId="77777777" w:rsidR="00CE00EF" w:rsidRDefault="00CE00EF" w:rsidP="00CE00EF">
            <w:pPr>
              <w:overflowPunct w:val="0"/>
              <w:jc w:val="center"/>
              <w:textAlignment w:val="baseline"/>
              <w:rPr>
                <w:sz w:val="22"/>
                <w:szCs w:val="22"/>
              </w:rPr>
            </w:pPr>
            <w:r>
              <w:rPr>
                <w:sz w:val="22"/>
                <w:szCs w:val="22"/>
              </w:rPr>
              <w:t>Mokyklų, pritaikytų asmenims su negalia, dalis</w:t>
            </w:r>
          </w:p>
        </w:tc>
        <w:tc>
          <w:tcPr>
            <w:tcW w:w="764" w:type="pct"/>
            <w:shd w:val="clear" w:color="auto" w:fill="FFFFFF" w:themeFill="background1"/>
            <w:vAlign w:val="center"/>
          </w:tcPr>
          <w:p w14:paraId="075B5151" w14:textId="77777777" w:rsidR="00CE00EF" w:rsidRDefault="00CE00EF" w:rsidP="00CE00EF">
            <w:pPr>
              <w:overflowPunct w:val="0"/>
              <w:jc w:val="center"/>
              <w:textAlignment w:val="baseline"/>
              <w:rPr>
                <w:sz w:val="22"/>
                <w:szCs w:val="22"/>
              </w:rPr>
            </w:pPr>
            <w:r>
              <w:rPr>
                <w:sz w:val="22"/>
                <w:szCs w:val="22"/>
              </w:rPr>
              <w:t>Procentai</w:t>
            </w:r>
          </w:p>
        </w:tc>
        <w:tc>
          <w:tcPr>
            <w:tcW w:w="695" w:type="pct"/>
            <w:shd w:val="clear" w:color="auto" w:fill="FFFFFF" w:themeFill="background1"/>
            <w:vAlign w:val="center"/>
          </w:tcPr>
          <w:p w14:paraId="554B4B8B" w14:textId="77777777" w:rsidR="00CE00EF" w:rsidRDefault="00CE00EF" w:rsidP="00CE00EF">
            <w:pPr>
              <w:overflowPunct w:val="0"/>
              <w:jc w:val="center"/>
              <w:textAlignment w:val="baseline"/>
              <w:rPr>
                <w:sz w:val="22"/>
                <w:szCs w:val="22"/>
              </w:rPr>
            </w:pPr>
            <w:r>
              <w:rPr>
                <w:sz w:val="22"/>
                <w:szCs w:val="22"/>
              </w:rPr>
              <w:t xml:space="preserve">0,6 </w:t>
            </w:r>
          </w:p>
          <w:p w14:paraId="449DF966" w14:textId="77777777" w:rsidR="00CE00EF" w:rsidRDefault="00CE00EF" w:rsidP="00CE00EF">
            <w:pPr>
              <w:overflowPunct w:val="0"/>
              <w:jc w:val="center"/>
              <w:textAlignment w:val="baseline"/>
              <w:rPr>
                <w:sz w:val="22"/>
                <w:szCs w:val="22"/>
              </w:rPr>
            </w:pPr>
            <w:r>
              <w:rPr>
                <w:sz w:val="22"/>
                <w:szCs w:val="22"/>
              </w:rPr>
              <w:t>(2021)</w:t>
            </w:r>
          </w:p>
        </w:tc>
        <w:tc>
          <w:tcPr>
            <w:tcW w:w="486" w:type="pct"/>
            <w:shd w:val="clear" w:color="auto" w:fill="FFFFFF" w:themeFill="background1"/>
            <w:vAlign w:val="center"/>
          </w:tcPr>
          <w:p w14:paraId="7B759917" w14:textId="77777777" w:rsidR="00CE00EF" w:rsidRDefault="00CE00EF" w:rsidP="00CE00EF">
            <w:pPr>
              <w:overflowPunct w:val="0"/>
              <w:jc w:val="center"/>
              <w:textAlignment w:val="baseline"/>
              <w:rPr>
                <w:sz w:val="22"/>
                <w:szCs w:val="22"/>
              </w:rPr>
            </w:pPr>
            <w:r>
              <w:rPr>
                <w:sz w:val="22"/>
                <w:szCs w:val="22"/>
              </w:rPr>
              <w:t>n / a</w:t>
            </w:r>
          </w:p>
        </w:tc>
        <w:tc>
          <w:tcPr>
            <w:tcW w:w="486" w:type="pct"/>
            <w:shd w:val="clear" w:color="auto" w:fill="FFFFFF" w:themeFill="background1"/>
            <w:vAlign w:val="center"/>
          </w:tcPr>
          <w:p w14:paraId="697EFBCB" w14:textId="77777777" w:rsidR="00CE00EF" w:rsidRDefault="00CE00EF" w:rsidP="00CE00EF">
            <w:pPr>
              <w:overflowPunct w:val="0"/>
              <w:jc w:val="center"/>
              <w:textAlignment w:val="baseline"/>
              <w:rPr>
                <w:sz w:val="22"/>
                <w:szCs w:val="22"/>
              </w:rPr>
            </w:pPr>
            <w:r>
              <w:rPr>
                <w:sz w:val="22"/>
                <w:szCs w:val="22"/>
              </w:rPr>
              <w:t>20</w:t>
            </w:r>
          </w:p>
          <w:p w14:paraId="478E7F13" w14:textId="77777777" w:rsidR="00CE00EF" w:rsidRDefault="00CE00EF" w:rsidP="00CE00EF">
            <w:pPr>
              <w:overflowPunct w:val="0"/>
              <w:jc w:val="center"/>
              <w:textAlignment w:val="baseline"/>
              <w:rPr>
                <w:sz w:val="22"/>
                <w:szCs w:val="22"/>
              </w:rPr>
            </w:pPr>
            <w:r>
              <w:rPr>
                <w:sz w:val="22"/>
                <w:szCs w:val="22"/>
              </w:rPr>
              <w:t>(2030)</w:t>
            </w:r>
          </w:p>
        </w:tc>
        <w:tc>
          <w:tcPr>
            <w:tcW w:w="625" w:type="pct"/>
            <w:shd w:val="clear" w:color="auto" w:fill="FFFFFF" w:themeFill="background1"/>
            <w:vAlign w:val="center"/>
          </w:tcPr>
          <w:p w14:paraId="40ADDE0F" w14:textId="77777777" w:rsidR="00CE00EF" w:rsidRDefault="00CE00EF" w:rsidP="00CE00EF">
            <w:pPr>
              <w:overflowPunct w:val="0"/>
              <w:jc w:val="center"/>
              <w:textAlignment w:val="baseline"/>
              <w:rPr>
                <w:sz w:val="22"/>
                <w:szCs w:val="22"/>
                <w:lang w:eastAsia="lt-LT"/>
              </w:rPr>
            </w:pPr>
            <w:r>
              <w:rPr>
                <w:sz w:val="22"/>
                <w:szCs w:val="22"/>
                <w:lang w:eastAsia="lt-LT"/>
              </w:rPr>
              <w:t>Valstybės biudžetas</w:t>
            </w:r>
          </w:p>
        </w:tc>
      </w:tr>
      <w:tr w:rsidR="00CE00EF" w14:paraId="677365A0" w14:textId="77777777" w:rsidTr="00CE00EF">
        <w:trPr>
          <w:trHeight w:val="330"/>
        </w:trPr>
        <w:tc>
          <w:tcPr>
            <w:tcW w:w="486" w:type="pct"/>
            <w:shd w:val="clear" w:color="auto" w:fill="FFFFFF" w:themeFill="background1"/>
            <w:vAlign w:val="center"/>
          </w:tcPr>
          <w:p w14:paraId="74688EEA" w14:textId="77777777" w:rsidR="00CE00EF" w:rsidRDefault="00CE00EF" w:rsidP="00CE00EF">
            <w:pPr>
              <w:overflowPunct w:val="0"/>
              <w:jc w:val="center"/>
              <w:textAlignment w:val="baseline"/>
              <w:rPr>
                <w:sz w:val="22"/>
                <w:szCs w:val="22"/>
              </w:rPr>
            </w:pPr>
            <w:r>
              <w:rPr>
                <w:sz w:val="22"/>
                <w:szCs w:val="22"/>
              </w:rPr>
              <w:t>R-12-003-03-02-01-02</w:t>
            </w:r>
          </w:p>
        </w:tc>
        <w:tc>
          <w:tcPr>
            <w:tcW w:w="556" w:type="pct"/>
            <w:shd w:val="clear" w:color="auto" w:fill="FFFFFF" w:themeFill="background1"/>
            <w:vAlign w:val="center"/>
          </w:tcPr>
          <w:p w14:paraId="6A3F9ED1" w14:textId="77777777" w:rsidR="00CE00EF" w:rsidRDefault="00CE00EF" w:rsidP="00CE00EF">
            <w:pPr>
              <w:overflowPunct w:val="0"/>
              <w:jc w:val="center"/>
              <w:textAlignment w:val="baseline"/>
              <w:rPr>
                <w:sz w:val="22"/>
                <w:szCs w:val="22"/>
              </w:rPr>
            </w:pPr>
            <w:r>
              <w:rPr>
                <w:sz w:val="22"/>
                <w:szCs w:val="22"/>
              </w:rPr>
              <w:t>Rezultato</w:t>
            </w:r>
          </w:p>
        </w:tc>
        <w:tc>
          <w:tcPr>
            <w:tcW w:w="903" w:type="pct"/>
            <w:shd w:val="clear" w:color="auto" w:fill="FFFFFF" w:themeFill="background1"/>
            <w:vAlign w:val="center"/>
          </w:tcPr>
          <w:p w14:paraId="25BCA2DA" w14:textId="77777777" w:rsidR="00CE00EF" w:rsidRDefault="00CE00EF" w:rsidP="00CE00EF">
            <w:pPr>
              <w:overflowPunct w:val="0"/>
              <w:jc w:val="center"/>
              <w:textAlignment w:val="baseline"/>
              <w:rPr>
                <w:sz w:val="22"/>
                <w:szCs w:val="22"/>
                <w:lang w:eastAsia="lt-LT"/>
              </w:rPr>
            </w:pPr>
            <w:r>
              <w:rPr>
                <w:sz w:val="22"/>
                <w:szCs w:val="22"/>
                <w:lang w:eastAsia="lt-LT"/>
              </w:rPr>
              <w:t xml:space="preserve">Mokinių, tenkančių vienam švietimo pagalbos specialistui bendrojo ugdymo mokyklose, skaičius </w:t>
            </w:r>
          </w:p>
        </w:tc>
        <w:tc>
          <w:tcPr>
            <w:tcW w:w="764" w:type="pct"/>
            <w:shd w:val="clear" w:color="auto" w:fill="FFFFFF" w:themeFill="background1"/>
            <w:vAlign w:val="center"/>
          </w:tcPr>
          <w:p w14:paraId="50C04063" w14:textId="77777777" w:rsidR="00CE00EF" w:rsidRDefault="00CE00EF" w:rsidP="00CE00EF">
            <w:pPr>
              <w:overflowPunct w:val="0"/>
              <w:jc w:val="center"/>
              <w:textAlignment w:val="baseline"/>
              <w:rPr>
                <w:sz w:val="22"/>
                <w:szCs w:val="22"/>
              </w:rPr>
            </w:pPr>
            <w:r>
              <w:rPr>
                <w:sz w:val="22"/>
                <w:szCs w:val="22"/>
              </w:rPr>
              <w:t>Asmenų skaičius</w:t>
            </w:r>
          </w:p>
        </w:tc>
        <w:tc>
          <w:tcPr>
            <w:tcW w:w="695" w:type="pct"/>
            <w:shd w:val="clear" w:color="auto" w:fill="FFFFFF" w:themeFill="background1"/>
            <w:vAlign w:val="center"/>
          </w:tcPr>
          <w:p w14:paraId="7A7302D5" w14:textId="77777777" w:rsidR="00CE00EF" w:rsidRDefault="00CE00EF" w:rsidP="00CE00EF">
            <w:pPr>
              <w:overflowPunct w:val="0"/>
              <w:jc w:val="center"/>
              <w:textAlignment w:val="baseline"/>
              <w:rPr>
                <w:sz w:val="22"/>
                <w:szCs w:val="22"/>
              </w:rPr>
            </w:pPr>
            <w:r>
              <w:rPr>
                <w:sz w:val="22"/>
                <w:szCs w:val="22"/>
              </w:rPr>
              <w:t>125,95</w:t>
            </w:r>
          </w:p>
          <w:p w14:paraId="2940A2A9" w14:textId="77777777" w:rsidR="00CE00EF" w:rsidRDefault="00CE00EF" w:rsidP="00CE00EF">
            <w:pPr>
              <w:overflowPunct w:val="0"/>
              <w:jc w:val="center"/>
              <w:textAlignment w:val="baseline"/>
              <w:rPr>
                <w:sz w:val="22"/>
                <w:szCs w:val="22"/>
              </w:rPr>
            </w:pPr>
            <w:r>
              <w:rPr>
                <w:sz w:val="22"/>
                <w:szCs w:val="22"/>
              </w:rPr>
              <w:t>(2020)</w:t>
            </w:r>
          </w:p>
        </w:tc>
        <w:tc>
          <w:tcPr>
            <w:tcW w:w="486" w:type="pct"/>
            <w:shd w:val="clear" w:color="auto" w:fill="FFFFFF" w:themeFill="background1"/>
            <w:vAlign w:val="center"/>
          </w:tcPr>
          <w:p w14:paraId="2FACFBD9" w14:textId="77777777" w:rsidR="00CE00EF" w:rsidRDefault="00CE00EF" w:rsidP="00CE00EF">
            <w:pPr>
              <w:overflowPunct w:val="0"/>
              <w:jc w:val="center"/>
              <w:textAlignment w:val="baseline"/>
              <w:rPr>
                <w:sz w:val="22"/>
                <w:szCs w:val="22"/>
              </w:rPr>
            </w:pPr>
            <w:r>
              <w:rPr>
                <w:sz w:val="22"/>
                <w:szCs w:val="22"/>
              </w:rPr>
              <w:t>n / a</w:t>
            </w:r>
          </w:p>
        </w:tc>
        <w:tc>
          <w:tcPr>
            <w:tcW w:w="486" w:type="pct"/>
            <w:shd w:val="clear" w:color="auto" w:fill="FFFFFF" w:themeFill="background1"/>
            <w:vAlign w:val="center"/>
          </w:tcPr>
          <w:p w14:paraId="1A466E21" w14:textId="77777777" w:rsidR="00CE00EF" w:rsidRDefault="00CE00EF" w:rsidP="00CE00EF">
            <w:pPr>
              <w:overflowPunct w:val="0"/>
              <w:jc w:val="center"/>
              <w:textAlignment w:val="baseline"/>
              <w:rPr>
                <w:sz w:val="22"/>
                <w:szCs w:val="22"/>
              </w:rPr>
            </w:pPr>
          </w:p>
          <w:p w14:paraId="1AFBA79B" w14:textId="77777777" w:rsidR="00CE00EF" w:rsidRDefault="00CE00EF" w:rsidP="00CE00EF">
            <w:pPr>
              <w:overflowPunct w:val="0"/>
              <w:jc w:val="center"/>
              <w:textAlignment w:val="baseline"/>
              <w:rPr>
                <w:sz w:val="22"/>
                <w:szCs w:val="22"/>
              </w:rPr>
            </w:pPr>
            <w:r>
              <w:rPr>
                <w:sz w:val="22"/>
                <w:szCs w:val="22"/>
              </w:rPr>
              <w:t>99,02</w:t>
            </w:r>
          </w:p>
          <w:p w14:paraId="4359A0F4" w14:textId="77777777" w:rsidR="00CE00EF" w:rsidRDefault="00CE00EF" w:rsidP="00CE00EF">
            <w:pPr>
              <w:overflowPunct w:val="0"/>
              <w:jc w:val="center"/>
              <w:textAlignment w:val="baseline"/>
              <w:rPr>
                <w:sz w:val="22"/>
                <w:szCs w:val="22"/>
              </w:rPr>
            </w:pPr>
            <w:r>
              <w:rPr>
                <w:sz w:val="22"/>
                <w:szCs w:val="22"/>
              </w:rPr>
              <w:t>(2030)</w:t>
            </w:r>
          </w:p>
          <w:p w14:paraId="60807A98" w14:textId="77777777" w:rsidR="00CE00EF" w:rsidRDefault="00CE00EF" w:rsidP="00CE00EF">
            <w:pPr>
              <w:overflowPunct w:val="0"/>
              <w:jc w:val="center"/>
              <w:textAlignment w:val="baseline"/>
              <w:rPr>
                <w:sz w:val="22"/>
                <w:szCs w:val="22"/>
              </w:rPr>
            </w:pPr>
          </w:p>
        </w:tc>
        <w:tc>
          <w:tcPr>
            <w:tcW w:w="625" w:type="pct"/>
            <w:shd w:val="clear" w:color="auto" w:fill="FFFFFF" w:themeFill="background1"/>
            <w:vAlign w:val="center"/>
          </w:tcPr>
          <w:p w14:paraId="3BEBFDC6" w14:textId="77777777" w:rsidR="00CE00EF" w:rsidRDefault="00CE00EF" w:rsidP="00CE00EF">
            <w:pPr>
              <w:overflowPunct w:val="0"/>
              <w:jc w:val="center"/>
              <w:textAlignment w:val="baseline"/>
              <w:rPr>
                <w:sz w:val="22"/>
                <w:szCs w:val="22"/>
                <w:lang w:eastAsia="lt-LT"/>
              </w:rPr>
            </w:pPr>
            <w:r>
              <w:rPr>
                <w:sz w:val="22"/>
                <w:szCs w:val="22"/>
                <w:lang w:eastAsia="lt-LT"/>
              </w:rPr>
              <w:t>Valstybės biudžetas</w:t>
            </w:r>
          </w:p>
        </w:tc>
      </w:tr>
      <w:tr w:rsidR="00CE00EF" w14:paraId="0364AB30" w14:textId="77777777" w:rsidTr="00CE00EF">
        <w:trPr>
          <w:trHeight w:val="330"/>
        </w:trPr>
        <w:tc>
          <w:tcPr>
            <w:tcW w:w="486" w:type="pct"/>
            <w:shd w:val="clear" w:color="auto" w:fill="FFFFFF" w:themeFill="background1"/>
            <w:vAlign w:val="center"/>
          </w:tcPr>
          <w:p w14:paraId="510E9D04" w14:textId="77777777" w:rsidR="00CE00EF" w:rsidRDefault="00CE00EF" w:rsidP="00CE00EF">
            <w:pPr>
              <w:overflowPunct w:val="0"/>
              <w:jc w:val="center"/>
              <w:textAlignment w:val="baseline"/>
              <w:rPr>
                <w:sz w:val="22"/>
                <w:szCs w:val="22"/>
              </w:rPr>
            </w:pPr>
            <w:r>
              <w:rPr>
                <w:sz w:val="22"/>
                <w:szCs w:val="22"/>
              </w:rPr>
              <w:t>R-12-003-03-02-01-03</w:t>
            </w:r>
          </w:p>
        </w:tc>
        <w:tc>
          <w:tcPr>
            <w:tcW w:w="556" w:type="pct"/>
            <w:shd w:val="clear" w:color="auto" w:fill="FFFFFF" w:themeFill="background1"/>
            <w:vAlign w:val="center"/>
          </w:tcPr>
          <w:p w14:paraId="38AA7FE4" w14:textId="77777777" w:rsidR="00CE00EF" w:rsidRDefault="00CE00EF" w:rsidP="00CE00EF">
            <w:pPr>
              <w:overflowPunct w:val="0"/>
              <w:jc w:val="center"/>
              <w:textAlignment w:val="baseline"/>
              <w:rPr>
                <w:sz w:val="22"/>
                <w:szCs w:val="22"/>
              </w:rPr>
            </w:pPr>
            <w:r>
              <w:rPr>
                <w:sz w:val="22"/>
                <w:szCs w:val="22"/>
              </w:rPr>
              <w:t>Rezultato</w:t>
            </w:r>
          </w:p>
        </w:tc>
        <w:tc>
          <w:tcPr>
            <w:tcW w:w="903" w:type="pct"/>
            <w:shd w:val="clear" w:color="auto" w:fill="FFFFFF" w:themeFill="background1"/>
            <w:vAlign w:val="center"/>
          </w:tcPr>
          <w:p w14:paraId="7FF914B5" w14:textId="77777777" w:rsidR="00CE00EF" w:rsidRDefault="00CE00EF" w:rsidP="00CE00EF">
            <w:pPr>
              <w:overflowPunct w:val="0"/>
              <w:jc w:val="center"/>
              <w:textAlignment w:val="baseline"/>
              <w:rPr>
                <w:sz w:val="22"/>
                <w:szCs w:val="22"/>
              </w:rPr>
            </w:pPr>
            <w:r>
              <w:rPr>
                <w:sz w:val="22"/>
                <w:szCs w:val="22"/>
                <w:lang w:eastAsia="lt-LT"/>
              </w:rPr>
              <w:t>Švietimo pagalbą ne trumpiau kaip 3 mėnesius gavusių vaikų dalis</w:t>
            </w:r>
          </w:p>
        </w:tc>
        <w:tc>
          <w:tcPr>
            <w:tcW w:w="764" w:type="pct"/>
            <w:shd w:val="clear" w:color="auto" w:fill="FFFFFF" w:themeFill="background1"/>
            <w:vAlign w:val="center"/>
          </w:tcPr>
          <w:p w14:paraId="119C5D84" w14:textId="77777777" w:rsidR="00CE00EF" w:rsidRDefault="00CE00EF" w:rsidP="00CE00EF">
            <w:pPr>
              <w:overflowPunct w:val="0"/>
              <w:jc w:val="center"/>
              <w:textAlignment w:val="baseline"/>
              <w:rPr>
                <w:sz w:val="22"/>
                <w:szCs w:val="22"/>
              </w:rPr>
            </w:pPr>
            <w:r>
              <w:rPr>
                <w:sz w:val="22"/>
                <w:szCs w:val="22"/>
              </w:rPr>
              <w:t>Procentai</w:t>
            </w:r>
          </w:p>
        </w:tc>
        <w:tc>
          <w:tcPr>
            <w:tcW w:w="695" w:type="pct"/>
            <w:shd w:val="clear" w:color="auto" w:fill="FFFFFF" w:themeFill="background1"/>
            <w:vAlign w:val="center"/>
          </w:tcPr>
          <w:p w14:paraId="36BC4AE0" w14:textId="77777777" w:rsidR="00CE00EF" w:rsidRDefault="00CE00EF" w:rsidP="00CE00EF">
            <w:pPr>
              <w:overflowPunct w:val="0"/>
              <w:jc w:val="center"/>
              <w:textAlignment w:val="baseline"/>
              <w:rPr>
                <w:sz w:val="22"/>
                <w:szCs w:val="22"/>
              </w:rPr>
            </w:pPr>
            <w:r>
              <w:rPr>
                <w:sz w:val="22"/>
                <w:szCs w:val="22"/>
              </w:rPr>
              <w:t>0</w:t>
            </w:r>
          </w:p>
          <w:p w14:paraId="70913682" w14:textId="77777777" w:rsidR="00CE00EF" w:rsidRDefault="00CE00EF" w:rsidP="00CE00EF">
            <w:pPr>
              <w:overflowPunct w:val="0"/>
              <w:jc w:val="center"/>
              <w:textAlignment w:val="baseline"/>
              <w:rPr>
                <w:sz w:val="22"/>
                <w:szCs w:val="22"/>
              </w:rPr>
            </w:pPr>
            <w:r>
              <w:rPr>
                <w:sz w:val="22"/>
                <w:szCs w:val="22"/>
              </w:rPr>
              <w:t>(2021)</w:t>
            </w:r>
          </w:p>
        </w:tc>
        <w:tc>
          <w:tcPr>
            <w:tcW w:w="486" w:type="pct"/>
            <w:shd w:val="clear" w:color="auto" w:fill="FFFFFF" w:themeFill="background1"/>
            <w:vAlign w:val="center"/>
          </w:tcPr>
          <w:p w14:paraId="0DE50FD7" w14:textId="77777777" w:rsidR="00CE00EF" w:rsidRDefault="00CE00EF" w:rsidP="00CE00EF">
            <w:pPr>
              <w:overflowPunct w:val="0"/>
              <w:jc w:val="center"/>
              <w:textAlignment w:val="baseline"/>
              <w:rPr>
                <w:sz w:val="22"/>
                <w:szCs w:val="22"/>
              </w:rPr>
            </w:pPr>
            <w:r>
              <w:rPr>
                <w:sz w:val="22"/>
                <w:szCs w:val="22"/>
              </w:rPr>
              <w:t>n / a</w:t>
            </w:r>
          </w:p>
        </w:tc>
        <w:tc>
          <w:tcPr>
            <w:tcW w:w="486" w:type="pct"/>
            <w:shd w:val="clear" w:color="auto" w:fill="FFFFFF" w:themeFill="background1"/>
            <w:vAlign w:val="center"/>
          </w:tcPr>
          <w:p w14:paraId="279D7343" w14:textId="77777777" w:rsidR="00CE00EF" w:rsidRDefault="00CE00EF" w:rsidP="00CE00EF">
            <w:pPr>
              <w:overflowPunct w:val="0"/>
              <w:jc w:val="center"/>
              <w:textAlignment w:val="baseline"/>
              <w:rPr>
                <w:sz w:val="22"/>
                <w:szCs w:val="22"/>
              </w:rPr>
            </w:pPr>
            <w:r>
              <w:rPr>
                <w:sz w:val="22"/>
                <w:szCs w:val="22"/>
              </w:rPr>
              <w:t>85</w:t>
            </w:r>
          </w:p>
          <w:p w14:paraId="5E5BA81B" w14:textId="77777777" w:rsidR="00CE00EF" w:rsidRDefault="00CE00EF" w:rsidP="00CE00EF">
            <w:pPr>
              <w:overflowPunct w:val="0"/>
              <w:jc w:val="center"/>
              <w:textAlignment w:val="baseline"/>
              <w:rPr>
                <w:sz w:val="22"/>
                <w:szCs w:val="22"/>
              </w:rPr>
            </w:pPr>
            <w:r>
              <w:rPr>
                <w:sz w:val="22"/>
                <w:szCs w:val="22"/>
              </w:rPr>
              <w:t>(2029)</w:t>
            </w:r>
          </w:p>
        </w:tc>
        <w:tc>
          <w:tcPr>
            <w:tcW w:w="625" w:type="pct"/>
            <w:shd w:val="clear" w:color="auto" w:fill="FFFFFF" w:themeFill="background1"/>
            <w:vAlign w:val="center"/>
          </w:tcPr>
          <w:p w14:paraId="7D4CFAAF" w14:textId="77777777" w:rsidR="00CE00EF" w:rsidRDefault="00CE00EF" w:rsidP="00CE00EF">
            <w:pPr>
              <w:overflowPunct w:val="0"/>
              <w:jc w:val="center"/>
              <w:textAlignment w:val="baseline"/>
              <w:rPr>
                <w:sz w:val="22"/>
                <w:szCs w:val="22"/>
                <w:lang w:eastAsia="lt-LT"/>
              </w:rPr>
            </w:pPr>
            <w:r>
              <w:rPr>
                <w:sz w:val="22"/>
                <w:szCs w:val="22"/>
                <w:lang w:eastAsia="lt-LT"/>
              </w:rPr>
              <w:t>2021–2027 metų Europos Sąjungos fondų investicijų programa</w:t>
            </w:r>
          </w:p>
          <w:p w14:paraId="0D39F47A" w14:textId="77777777" w:rsidR="00CE00EF" w:rsidRDefault="00CE00EF" w:rsidP="00CE00EF">
            <w:pPr>
              <w:overflowPunct w:val="0"/>
              <w:jc w:val="center"/>
              <w:textAlignment w:val="baseline"/>
              <w:rPr>
                <w:sz w:val="22"/>
                <w:szCs w:val="22"/>
              </w:rPr>
            </w:pPr>
            <w:r>
              <w:rPr>
                <w:sz w:val="22"/>
                <w:szCs w:val="22"/>
                <w:bdr w:val="none" w:sz="0" w:space="0" w:color="auto" w:frame="1"/>
              </w:rPr>
              <w:t>(ESF+)</w:t>
            </w:r>
          </w:p>
        </w:tc>
      </w:tr>
      <w:tr w:rsidR="00CE00EF" w14:paraId="19157495" w14:textId="77777777" w:rsidTr="00CE00EF">
        <w:trPr>
          <w:trHeight w:val="330"/>
        </w:trPr>
        <w:tc>
          <w:tcPr>
            <w:tcW w:w="486" w:type="pct"/>
            <w:shd w:val="clear" w:color="auto" w:fill="FFFFFF" w:themeFill="background1"/>
            <w:vAlign w:val="center"/>
          </w:tcPr>
          <w:p w14:paraId="48081320" w14:textId="77777777" w:rsidR="00CE00EF" w:rsidRDefault="00CE00EF" w:rsidP="00CE00EF">
            <w:pPr>
              <w:overflowPunct w:val="0"/>
              <w:jc w:val="center"/>
              <w:textAlignment w:val="baseline"/>
              <w:rPr>
                <w:sz w:val="22"/>
                <w:szCs w:val="22"/>
              </w:rPr>
            </w:pPr>
            <w:r>
              <w:rPr>
                <w:sz w:val="22"/>
                <w:szCs w:val="22"/>
              </w:rPr>
              <w:t>R-12-003-03-02-01-04</w:t>
            </w:r>
          </w:p>
        </w:tc>
        <w:tc>
          <w:tcPr>
            <w:tcW w:w="556" w:type="pct"/>
            <w:shd w:val="clear" w:color="auto" w:fill="FFFFFF" w:themeFill="background1"/>
            <w:vAlign w:val="center"/>
          </w:tcPr>
          <w:p w14:paraId="78D27F6C" w14:textId="77777777" w:rsidR="00CE00EF" w:rsidRDefault="00CE00EF" w:rsidP="00CE00EF">
            <w:pPr>
              <w:overflowPunct w:val="0"/>
              <w:jc w:val="center"/>
              <w:textAlignment w:val="baseline"/>
              <w:rPr>
                <w:sz w:val="22"/>
                <w:szCs w:val="22"/>
              </w:rPr>
            </w:pPr>
            <w:r>
              <w:rPr>
                <w:sz w:val="22"/>
                <w:szCs w:val="22"/>
              </w:rPr>
              <w:t>Rezultato</w:t>
            </w:r>
          </w:p>
        </w:tc>
        <w:tc>
          <w:tcPr>
            <w:tcW w:w="903" w:type="pct"/>
            <w:shd w:val="clear" w:color="auto" w:fill="FFFFFF" w:themeFill="background1"/>
            <w:vAlign w:val="center"/>
          </w:tcPr>
          <w:p w14:paraId="3E6F5968" w14:textId="77777777" w:rsidR="00CE00EF" w:rsidRDefault="00CE00EF" w:rsidP="00CE00EF">
            <w:pPr>
              <w:overflowPunct w:val="0"/>
              <w:jc w:val="center"/>
              <w:textAlignment w:val="baseline"/>
              <w:rPr>
                <w:sz w:val="22"/>
                <w:szCs w:val="22"/>
                <w:lang w:eastAsia="lt-LT"/>
              </w:rPr>
            </w:pPr>
            <w:r>
              <w:rPr>
                <w:sz w:val="22"/>
                <w:szCs w:val="22"/>
                <w:lang w:eastAsia="lt-LT"/>
              </w:rPr>
              <w:t>Naujos arba modernizuotos švietimo infrastruktūros naudotojų skaičius per metus</w:t>
            </w:r>
          </w:p>
        </w:tc>
        <w:tc>
          <w:tcPr>
            <w:tcW w:w="764" w:type="pct"/>
            <w:shd w:val="clear" w:color="auto" w:fill="FFFFFF" w:themeFill="background1"/>
            <w:vAlign w:val="center"/>
          </w:tcPr>
          <w:p w14:paraId="50C5B855" w14:textId="77777777" w:rsidR="00CE00EF" w:rsidRDefault="00CE00EF" w:rsidP="00CE00EF">
            <w:pPr>
              <w:overflowPunct w:val="0"/>
              <w:jc w:val="center"/>
              <w:textAlignment w:val="baseline"/>
              <w:rPr>
                <w:sz w:val="22"/>
                <w:szCs w:val="22"/>
              </w:rPr>
            </w:pPr>
            <w:r>
              <w:rPr>
                <w:sz w:val="22"/>
                <w:szCs w:val="22"/>
              </w:rPr>
              <w:t>Naudotojai per metus</w:t>
            </w:r>
          </w:p>
        </w:tc>
        <w:tc>
          <w:tcPr>
            <w:tcW w:w="695" w:type="pct"/>
            <w:shd w:val="clear" w:color="auto" w:fill="FFFFFF" w:themeFill="background1"/>
            <w:vAlign w:val="center"/>
          </w:tcPr>
          <w:p w14:paraId="4C3D6EA5" w14:textId="77777777" w:rsidR="00CE00EF" w:rsidRDefault="00CE00EF" w:rsidP="00CE00EF">
            <w:pPr>
              <w:overflowPunct w:val="0"/>
              <w:jc w:val="center"/>
              <w:textAlignment w:val="baseline"/>
              <w:rPr>
                <w:sz w:val="22"/>
                <w:szCs w:val="22"/>
              </w:rPr>
            </w:pPr>
            <w:r>
              <w:rPr>
                <w:sz w:val="22"/>
                <w:szCs w:val="22"/>
              </w:rPr>
              <w:t>0</w:t>
            </w:r>
          </w:p>
          <w:p w14:paraId="6BCA7AA4" w14:textId="77777777" w:rsidR="00CE00EF" w:rsidRDefault="00CE00EF" w:rsidP="00CE00EF">
            <w:pPr>
              <w:overflowPunct w:val="0"/>
              <w:jc w:val="center"/>
              <w:textAlignment w:val="baseline"/>
              <w:rPr>
                <w:sz w:val="22"/>
                <w:szCs w:val="22"/>
              </w:rPr>
            </w:pPr>
            <w:r>
              <w:rPr>
                <w:sz w:val="22"/>
                <w:szCs w:val="22"/>
              </w:rPr>
              <w:t>(2021)</w:t>
            </w:r>
          </w:p>
        </w:tc>
        <w:tc>
          <w:tcPr>
            <w:tcW w:w="486" w:type="pct"/>
            <w:shd w:val="clear" w:color="auto" w:fill="FFFFFF" w:themeFill="background1"/>
            <w:vAlign w:val="center"/>
          </w:tcPr>
          <w:p w14:paraId="51CFE973" w14:textId="77777777" w:rsidR="00CE00EF" w:rsidRDefault="00CE00EF" w:rsidP="00CE00EF">
            <w:pPr>
              <w:overflowPunct w:val="0"/>
              <w:jc w:val="center"/>
              <w:textAlignment w:val="baseline"/>
              <w:rPr>
                <w:sz w:val="22"/>
                <w:szCs w:val="22"/>
              </w:rPr>
            </w:pPr>
            <w:r>
              <w:rPr>
                <w:sz w:val="22"/>
                <w:szCs w:val="22"/>
              </w:rPr>
              <w:t>n / a</w:t>
            </w:r>
          </w:p>
        </w:tc>
        <w:tc>
          <w:tcPr>
            <w:tcW w:w="486" w:type="pct"/>
            <w:shd w:val="clear" w:color="auto" w:fill="FFFFFF" w:themeFill="background1"/>
            <w:vAlign w:val="center"/>
          </w:tcPr>
          <w:p w14:paraId="303BD4FE" w14:textId="77777777" w:rsidR="00CE00EF" w:rsidRDefault="00CE00EF" w:rsidP="00CE00EF">
            <w:pPr>
              <w:overflowPunct w:val="0"/>
              <w:jc w:val="center"/>
              <w:textAlignment w:val="baseline"/>
              <w:rPr>
                <w:sz w:val="22"/>
                <w:szCs w:val="22"/>
              </w:rPr>
            </w:pPr>
            <w:r>
              <w:rPr>
                <w:sz w:val="22"/>
                <w:szCs w:val="22"/>
              </w:rPr>
              <w:t>1350</w:t>
            </w:r>
          </w:p>
          <w:p w14:paraId="0266E38D" w14:textId="77777777" w:rsidR="00CE00EF" w:rsidRDefault="00CE00EF" w:rsidP="00CE00EF">
            <w:pPr>
              <w:overflowPunct w:val="0"/>
              <w:jc w:val="center"/>
              <w:textAlignment w:val="baseline"/>
              <w:rPr>
                <w:sz w:val="22"/>
                <w:szCs w:val="22"/>
              </w:rPr>
            </w:pPr>
            <w:r>
              <w:rPr>
                <w:sz w:val="22"/>
                <w:szCs w:val="22"/>
              </w:rPr>
              <w:t>(2029)</w:t>
            </w:r>
          </w:p>
        </w:tc>
        <w:tc>
          <w:tcPr>
            <w:tcW w:w="625" w:type="pct"/>
            <w:shd w:val="clear" w:color="auto" w:fill="FFFFFF" w:themeFill="background1"/>
            <w:vAlign w:val="center"/>
          </w:tcPr>
          <w:p w14:paraId="40345271" w14:textId="77777777" w:rsidR="00CE00EF" w:rsidRDefault="00CE00EF" w:rsidP="00CE00EF">
            <w:pPr>
              <w:overflowPunct w:val="0"/>
              <w:jc w:val="center"/>
              <w:textAlignment w:val="baseline"/>
              <w:rPr>
                <w:sz w:val="22"/>
                <w:szCs w:val="22"/>
                <w:lang w:eastAsia="lt-LT"/>
              </w:rPr>
            </w:pPr>
            <w:r>
              <w:rPr>
                <w:sz w:val="22"/>
                <w:szCs w:val="22"/>
                <w:lang w:eastAsia="lt-LT"/>
              </w:rPr>
              <w:t>2021–2027 metų Europos Sąjungos fondų investicijų programa</w:t>
            </w:r>
          </w:p>
          <w:p w14:paraId="324B9810" w14:textId="77777777" w:rsidR="00CE00EF" w:rsidRDefault="00CE00EF" w:rsidP="00CE00EF">
            <w:pPr>
              <w:overflowPunct w:val="0"/>
              <w:jc w:val="center"/>
              <w:textAlignment w:val="baseline"/>
              <w:rPr>
                <w:sz w:val="22"/>
                <w:szCs w:val="22"/>
                <w:lang w:eastAsia="lt-LT"/>
              </w:rPr>
            </w:pPr>
            <w:r>
              <w:rPr>
                <w:sz w:val="22"/>
                <w:szCs w:val="22"/>
                <w:bdr w:val="none" w:sz="0" w:space="0" w:color="auto" w:frame="1"/>
              </w:rPr>
              <w:t>(ERPF)</w:t>
            </w:r>
          </w:p>
        </w:tc>
      </w:tr>
      <w:tr w:rsidR="00CE00EF" w14:paraId="0CE0B6F6" w14:textId="77777777" w:rsidTr="00CE00EF">
        <w:trPr>
          <w:trHeight w:val="330"/>
        </w:trPr>
        <w:tc>
          <w:tcPr>
            <w:tcW w:w="486" w:type="pct"/>
            <w:shd w:val="clear" w:color="auto" w:fill="FFFFFF" w:themeFill="background1"/>
            <w:vAlign w:val="center"/>
          </w:tcPr>
          <w:p w14:paraId="672638A4" w14:textId="77777777" w:rsidR="00CE00EF" w:rsidRDefault="00CE00EF" w:rsidP="00CE00EF">
            <w:pPr>
              <w:overflowPunct w:val="0"/>
              <w:jc w:val="center"/>
              <w:textAlignment w:val="baseline"/>
              <w:rPr>
                <w:sz w:val="22"/>
                <w:szCs w:val="22"/>
              </w:rPr>
            </w:pPr>
            <w:r>
              <w:rPr>
                <w:sz w:val="22"/>
                <w:szCs w:val="22"/>
              </w:rPr>
              <w:t>R-12-003-03-02-01-05</w:t>
            </w:r>
          </w:p>
        </w:tc>
        <w:tc>
          <w:tcPr>
            <w:tcW w:w="556" w:type="pct"/>
            <w:shd w:val="clear" w:color="auto" w:fill="FFFFFF" w:themeFill="background1"/>
            <w:vAlign w:val="center"/>
          </w:tcPr>
          <w:p w14:paraId="4057D47A" w14:textId="77777777" w:rsidR="00CE00EF" w:rsidRDefault="00CE00EF" w:rsidP="00CE00EF">
            <w:pPr>
              <w:overflowPunct w:val="0"/>
              <w:jc w:val="center"/>
              <w:textAlignment w:val="baseline"/>
              <w:rPr>
                <w:sz w:val="22"/>
                <w:szCs w:val="22"/>
              </w:rPr>
            </w:pPr>
            <w:r>
              <w:rPr>
                <w:sz w:val="22"/>
                <w:szCs w:val="22"/>
              </w:rPr>
              <w:t>Rezultato</w:t>
            </w:r>
          </w:p>
        </w:tc>
        <w:tc>
          <w:tcPr>
            <w:tcW w:w="903" w:type="pct"/>
            <w:shd w:val="clear" w:color="auto" w:fill="FFFFFF" w:themeFill="background1"/>
            <w:vAlign w:val="center"/>
          </w:tcPr>
          <w:p w14:paraId="047F318D" w14:textId="77777777" w:rsidR="00CE00EF" w:rsidRDefault="00CE00EF" w:rsidP="00CE00EF">
            <w:pPr>
              <w:overflowPunct w:val="0"/>
              <w:jc w:val="center"/>
              <w:textAlignment w:val="baseline"/>
              <w:rPr>
                <w:sz w:val="22"/>
                <w:szCs w:val="22"/>
                <w:lang w:eastAsia="lt-LT"/>
              </w:rPr>
            </w:pPr>
            <w:r>
              <w:rPr>
                <w:sz w:val="22"/>
                <w:szCs w:val="22"/>
                <w:lang w:eastAsia="lt-LT"/>
              </w:rPr>
              <w:t xml:space="preserve">Asmenų, kurie dalyvavę mokymuose </w:t>
            </w:r>
            <w:r>
              <w:rPr>
                <w:sz w:val="22"/>
                <w:szCs w:val="22"/>
                <w:lang w:eastAsia="lt-LT"/>
              </w:rPr>
              <w:lastRenderedPageBreak/>
              <w:t>įgijo kompetenciją, dalis</w:t>
            </w:r>
          </w:p>
        </w:tc>
        <w:tc>
          <w:tcPr>
            <w:tcW w:w="764" w:type="pct"/>
            <w:shd w:val="clear" w:color="auto" w:fill="FFFFFF" w:themeFill="background1"/>
            <w:vAlign w:val="center"/>
          </w:tcPr>
          <w:p w14:paraId="1E9CB0E9" w14:textId="77777777" w:rsidR="00CE00EF" w:rsidRDefault="00CE00EF" w:rsidP="00CE00EF">
            <w:pPr>
              <w:overflowPunct w:val="0"/>
              <w:jc w:val="center"/>
              <w:textAlignment w:val="baseline"/>
              <w:rPr>
                <w:sz w:val="22"/>
                <w:szCs w:val="22"/>
              </w:rPr>
            </w:pPr>
            <w:r>
              <w:rPr>
                <w:sz w:val="22"/>
                <w:szCs w:val="22"/>
              </w:rPr>
              <w:lastRenderedPageBreak/>
              <w:t>Procentai</w:t>
            </w:r>
          </w:p>
        </w:tc>
        <w:tc>
          <w:tcPr>
            <w:tcW w:w="695" w:type="pct"/>
            <w:shd w:val="clear" w:color="auto" w:fill="FFFFFF" w:themeFill="background1"/>
            <w:vAlign w:val="center"/>
          </w:tcPr>
          <w:p w14:paraId="7C3BA771" w14:textId="77777777" w:rsidR="00CE00EF" w:rsidRDefault="00CE00EF" w:rsidP="00CE00EF">
            <w:pPr>
              <w:overflowPunct w:val="0"/>
              <w:jc w:val="center"/>
              <w:textAlignment w:val="baseline"/>
              <w:rPr>
                <w:sz w:val="22"/>
                <w:szCs w:val="22"/>
              </w:rPr>
            </w:pPr>
            <w:r>
              <w:rPr>
                <w:sz w:val="22"/>
                <w:szCs w:val="22"/>
              </w:rPr>
              <w:t>0</w:t>
            </w:r>
          </w:p>
          <w:p w14:paraId="1793A139" w14:textId="77777777" w:rsidR="00CE00EF" w:rsidRDefault="00CE00EF" w:rsidP="00CE00EF">
            <w:pPr>
              <w:overflowPunct w:val="0"/>
              <w:jc w:val="center"/>
              <w:textAlignment w:val="baseline"/>
              <w:rPr>
                <w:sz w:val="22"/>
                <w:szCs w:val="22"/>
              </w:rPr>
            </w:pPr>
            <w:r>
              <w:rPr>
                <w:sz w:val="22"/>
                <w:szCs w:val="22"/>
              </w:rPr>
              <w:t>(2021)</w:t>
            </w:r>
          </w:p>
        </w:tc>
        <w:tc>
          <w:tcPr>
            <w:tcW w:w="486" w:type="pct"/>
            <w:shd w:val="clear" w:color="auto" w:fill="FFFFFF" w:themeFill="background1"/>
            <w:vAlign w:val="center"/>
          </w:tcPr>
          <w:p w14:paraId="159CD543" w14:textId="77777777" w:rsidR="00CE00EF" w:rsidRDefault="00CE00EF" w:rsidP="00CE00EF">
            <w:pPr>
              <w:overflowPunct w:val="0"/>
              <w:jc w:val="center"/>
              <w:textAlignment w:val="baseline"/>
              <w:rPr>
                <w:sz w:val="22"/>
                <w:szCs w:val="22"/>
              </w:rPr>
            </w:pPr>
            <w:r>
              <w:rPr>
                <w:sz w:val="22"/>
                <w:szCs w:val="22"/>
              </w:rPr>
              <w:t>n / a</w:t>
            </w:r>
          </w:p>
        </w:tc>
        <w:tc>
          <w:tcPr>
            <w:tcW w:w="486" w:type="pct"/>
            <w:shd w:val="clear" w:color="auto" w:fill="FFFFFF" w:themeFill="background1"/>
            <w:vAlign w:val="center"/>
          </w:tcPr>
          <w:p w14:paraId="3CAE1EBE" w14:textId="77777777" w:rsidR="00CE00EF" w:rsidRDefault="00CE00EF" w:rsidP="00CE00EF">
            <w:pPr>
              <w:overflowPunct w:val="0"/>
              <w:jc w:val="center"/>
              <w:textAlignment w:val="baseline"/>
              <w:rPr>
                <w:sz w:val="22"/>
                <w:szCs w:val="22"/>
              </w:rPr>
            </w:pPr>
            <w:r>
              <w:rPr>
                <w:sz w:val="22"/>
                <w:szCs w:val="22"/>
              </w:rPr>
              <w:t>80</w:t>
            </w:r>
          </w:p>
          <w:p w14:paraId="7EDE29B9" w14:textId="77777777" w:rsidR="00CE00EF" w:rsidRDefault="00CE00EF" w:rsidP="00CE00EF">
            <w:pPr>
              <w:overflowPunct w:val="0"/>
              <w:jc w:val="center"/>
              <w:textAlignment w:val="baseline"/>
              <w:rPr>
                <w:sz w:val="22"/>
                <w:szCs w:val="22"/>
              </w:rPr>
            </w:pPr>
            <w:r>
              <w:rPr>
                <w:sz w:val="22"/>
                <w:szCs w:val="22"/>
              </w:rPr>
              <w:t>(2029)</w:t>
            </w:r>
          </w:p>
        </w:tc>
        <w:tc>
          <w:tcPr>
            <w:tcW w:w="625" w:type="pct"/>
            <w:shd w:val="clear" w:color="auto" w:fill="FFFFFF" w:themeFill="background1"/>
            <w:vAlign w:val="center"/>
          </w:tcPr>
          <w:p w14:paraId="2BF3A215" w14:textId="77777777" w:rsidR="00CE00EF" w:rsidRDefault="00CE00EF" w:rsidP="00CE00EF">
            <w:pPr>
              <w:overflowPunct w:val="0"/>
              <w:jc w:val="center"/>
              <w:textAlignment w:val="baseline"/>
              <w:rPr>
                <w:sz w:val="22"/>
                <w:szCs w:val="22"/>
                <w:lang w:eastAsia="lt-LT"/>
              </w:rPr>
            </w:pPr>
            <w:r>
              <w:rPr>
                <w:sz w:val="22"/>
                <w:szCs w:val="22"/>
                <w:lang w:eastAsia="lt-LT"/>
              </w:rPr>
              <w:t xml:space="preserve">2021–2027 metų Europos </w:t>
            </w:r>
            <w:r>
              <w:rPr>
                <w:sz w:val="22"/>
                <w:szCs w:val="22"/>
                <w:lang w:eastAsia="lt-LT"/>
              </w:rPr>
              <w:lastRenderedPageBreak/>
              <w:t>Sąjungos fondų investicijų programa</w:t>
            </w:r>
          </w:p>
          <w:p w14:paraId="3C9DCD7B" w14:textId="77777777" w:rsidR="00CE00EF" w:rsidRDefault="00CE00EF" w:rsidP="00CE00EF">
            <w:pPr>
              <w:overflowPunct w:val="0"/>
              <w:jc w:val="center"/>
              <w:textAlignment w:val="baseline"/>
              <w:rPr>
                <w:sz w:val="22"/>
                <w:szCs w:val="22"/>
                <w:lang w:eastAsia="lt-LT"/>
              </w:rPr>
            </w:pPr>
            <w:r>
              <w:rPr>
                <w:sz w:val="22"/>
                <w:szCs w:val="22"/>
                <w:bdr w:val="none" w:sz="0" w:space="0" w:color="auto" w:frame="1"/>
              </w:rPr>
              <w:t>(ESF+)</w:t>
            </w:r>
          </w:p>
        </w:tc>
      </w:tr>
    </w:tbl>
    <w:p w14:paraId="5A4AD508" w14:textId="77777777" w:rsidR="00CE00EF" w:rsidRDefault="00CE00EF">
      <w:pPr>
        <w:jc w:val="center"/>
        <w:sectPr w:rsidR="00CE00EF" w:rsidSect="00BB3C2A">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567" w:footer="567" w:gutter="0"/>
          <w:cols w:space="1296"/>
          <w:titlePg/>
          <w:docGrid w:linePitch="360"/>
        </w:sectPr>
      </w:pPr>
    </w:p>
    <w:p w14:paraId="03DB7970" w14:textId="77777777" w:rsidR="00306450" w:rsidRDefault="00306450">
      <w:pPr>
        <w:rPr>
          <w:sz w:val="10"/>
          <w:szCs w:val="10"/>
        </w:rPr>
      </w:pPr>
    </w:p>
    <w:p w14:paraId="15CE75E3" w14:textId="77777777" w:rsidR="00306450" w:rsidRDefault="00C3645C">
      <w:pPr>
        <w:jc w:val="center"/>
        <w:rPr>
          <w:b/>
          <w:sz w:val="22"/>
          <w:szCs w:val="22"/>
        </w:rPr>
      </w:pPr>
      <w:r>
        <w:rPr>
          <w:b/>
          <w:sz w:val="22"/>
          <w:szCs w:val="22"/>
        </w:rPr>
        <w:t>II SKYRIUS</w:t>
      </w:r>
    </w:p>
    <w:p w14:paraId="2C8D41C9" w14:textId="77777777" w:rsidR="00306450" w:rsidRDefault="00C3645C">
      <w:pPr>
        <w:jc w:val="center"/>
        <w:rPr>
          <w:b/>
          <w:sz w:val="22"/>
          <w:szCs w:val="22"/>
        </w:rPr>
      </w:pPr>
      <w:r>
        <w:rPr>
          <w:b/>
          <w:sz w:val="22"/>
          <w:szCs w:val="22"/>
        </w:rPr>
        <w:t>PLĖTROS PROGRAMOS PAŽANGOS PRIEMONĖS FINANSAVIMO ŠALTINIAI</w:t>
      </w:r>
    </w:p>
    <w:tbl>
      <w:tblPr>
        <w:tblW w:w="5000" w:type="pct"/>
        <w:tblCellMar>
          <w:left w:w="30" w:type="dxa"/>
          <w:right w:w="30" w:type="dxa"/>
        </w:tblCellMar>
        <w:tblLook w:val="04A0" w:firstRow="1" w:lastRow="0" w:firstColumn="1" w:lastColumn="0" w:noHBand="0" w:noVBand="1"/>
      </w:tblPr>
      <w:tblGrid>
        <w:gridCol w:w="8614"/>
        <w:gridCol w:w="5946"/>
      </w:tblGrid>
      <w:tr w:rsidR="00CE00EF" w14:paraId="15DB7F15" w14:textId="77777777" w:rsidTr="00CE00EF">
        <w:trPr>
          <w:cantSplit/>
          <w:trHeight w:val="705"/>
        </w:trPr>
        <w:tc>
          <w:tcPr>
            <w:tcW w:w="29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2177F6" w14:textId="77777777" w:rsidR="00CE00EF" w:rsidRDefault="00CE00EF" w:rsidP="00CE00EF">
            <w:pPr>
              <w:overflowPunct w:val="0"/>
              <w:textAlignment w:val="baseline"/>
              <w:rPr>
                <w:sz w:val="22"/>
                <w:szCs w:val="22"/>
              </w:rPr>
            </w:pPr>
          </w:p>
          <w:p w14:paraId="1903FE33" w14:textId="77777777" w:rsidR="00CE00EF" w:rsidRDefault="00CE00EF" w:rsidP="00CE00EF">
            <w:pPr>
              <w:overflowPunct w:val="0"/>
              <w:jc w:val="center"/>
              <w:textAlignment w:val="baseline"/>
              <w:rPr>
                <w:b/>
                <w:sz w:val="22"/>
                <w:szCs w:val="22"/>
              </w:rPr>
            </w:pPr>
            <w:r>
              <w:rPr>
                <w:b/>
                <w:sz w:val="22"/>
                <w:szCs w:val="22"/>
              </w:rPr>
              <w:t>Finansavimo apimtis ir šaltiniai</w:t>
            </w:r>
          </w:p>
        </w:tc>
        <w:tc>
          <w:tcPr>
            <w:tcW w:w="204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3B983C" w14:textId="77777777" w:rsidR="00CE00EF" w:rsidRDefault="00CE00EF" w:rsidP="00CE00EF">
            <w:pPr>
              <w:overflowPunct w:val="0"/>
              <w:textAlignment w:val="baseline"/>
              <w:rPr>
                <w:sz w:val="22"/>
                <w:szCs w:val="22"/>
              </w:rPr>
            </w:pPr>
          </w:p>
          <w:p w14:paraId="0E4C07FF" w14:textId="77777777" w:rsidR="00CE00EF" w:rsidRDefault="00CE00EF" w:rsidP="00CE00EF">
            <w:pPr>
              <w:overflowPunct w:val="0"/>
              <w:ind w:left="15" w:hanging="15"/>
              <w:jc w:val="center"/>
              <w:textAlignment w:val="baseline"/>
              <w:rPr>
                <w:b/>
                <w:sz w:val="22"/>
                <w:szCs w:val="22"/>
              </w:rPr>
            </w:pPr>
            <w:r>
              <w:rPr>
                <w:b/>
                <w:sz w:val="22"/>
                <w:szCs w:val="22"/>
              </w:rPr>
              <w:t>Lėšų poreikis (tūkst. eurų)</w:t>
            </w:r>
          </w:p>
        </w:tc>
      </w:tr>
      <w:tr w:rsidR="00CE00EF" w14:paraId="575F6F68" w14:textId="77777777" w:rsidTr="00CE00EF">
        <w:trPr>
          <w:cantSplit/>
          <w:trHeight w:val="272"/>
        </w:trPr>
        <w:tc>
          <w:tcPr>
            <w:tcW w:w="29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6FA02" w14:textId="77777777" w:rsidR="00CE00EF" w:rsidRDefault="00CE00EF" w:rsidP="00CE00EF">
            <w:pPr>
              <w:overflowPunct w:val="0"/>
              <w:textAlignment w:val="baseline"/>
              <w:rPr>
                <w:sz w:val="22"/>
                <w:szCs w:val="22"/>
              </w:rPr>
            </w:pPr>
          </w:p>
          <w:p w14:paraId="40D1ED1A" w14:textId="77777777" w:rsidR="00CE00EF" w:rsidRDefault="00CE00EF" w:rsidP="00CE00EF">
            <w:pPr>
              <w:overflowPunct w:val="0"/>
              <w:jc w:val="center"/>
              <w:textAlignment w:val="baseline"/>
              <w:rPr>
                <w:b/>
                <w:sz w:val="22"/>
                <w:szCs w:val="22"/>
              </w:rPr>
            </w:pPr>
            <w:r>
              <w:rPr>
                <w:b/>
                <w:sz w:val="22"/>
                <w:szCs w:val="22"/>
              </w:rPr>
              <w:t>1</w:t>
            </w:r>
          </w:p>
        </w:tc>
        <w:tc>
          <w:tcPr>
            <w:tcW w:w="2042" w:type="pct"/>
            <w:tcBorders>
              <w:top w:val="single" w:sz="4" w:space="0" w:color="auto"/>
              <w:left w:val="single" w:sz="4" w:space="0" w:color="auto"/>
              <w:right w:val="single" w:sz="4" w:space="0" w:color="auto"/>
            </w:tcBorders>
            <w:shd w:val="clear" w:color="auto" w:fill="DBE5F1" w:themeFill="accent1" w:themeFillTint="33"/>
          </w:tcPr>
          <w:p w14:paraId="5081D822" w14:textId="77777777" w:rsidR="00CE00EF" w:rsidRDefault="00CE00EF" w:rsidP="00CE00EF">
            <w:pPr>
              <w:overflowPunct w:val="0"/>
              <w:textAlignment w:val="baseline"/>
              <w:rPr>
                <w:sz w:val="22"/>
                <w:szCs w:val="22"/>
              </w:rPr>
            </w:pPr>
          </w:p>
          <w:p w14:paraId="204D7A74" w14:textId="77777777" w:rsidR="00CE00EF" w:rsidRDefault="00CE00EF" w:rsidP="00CE00EF">
            <w:pPr>
              <w:overflowPunct w:val="0"/>
              <w:ind w:left="15" w:hanging="15"/>
              <w:jc w:val="center"/>
              <w:textAlignment w:val="baseline"/>
              <w:rPr>
                <w:b/>
                <w:sz w:val="22"/>
                <w:szCs w:val="22"/>
              </w:rPr>
            </w:pPr>
            <w:r>
              <w:rPr>
                <w:b/>
                <w:sz w:val="22"/>
                <w:szCs w:val="22"/>
              </w:rPr>
              <w:t>2</w:t>
            </w:r>
          </w:p>
        </w:tc>
      </w:tr>
      <w:tr w:rsidR="00CE00EF" w14:paraId="3A3846C7"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0341DCA0" w14:textId="77777777" w:rsidR="00CE00EF" w:rsidRDefault="00CE00EF" w:rsidP="00CE00EF">
            <w:pPr>
              <w:overflowPunct w:val="0"/>
              <w:textAlignment w:val="baseline"/>
              <w:rPr>
                <w:b/>
                <w:sz w:val="22"/>
                <w:szCs w:val="22"/>
              </w:rPr>
            </w:pPr>
            <w:r>
              <w:rPr>
                <w:b/>
                <w:sz w:val="22"/>
                <w:szCs w:val="22"/>
              </w:rPr>
              <w:t>1.1. Valstybės biudžeto lėšos</w:t>
            </w:r>
          </w:p>
        </w:tc>
        <w:tc>
          <w:tcPr>
            <w:tcW w:w="2042" w:type="pct"/>
            <w:tcBorders>
              <w:top w:val="single" w:sz="4" w:space="0" w:color="auto"/>
              <w:left w:val="single" w:sz="4" w:space="0" w:color="auto"/>
              <w:bottom w:val="single" w:sz="4" w:space="0" w:color="auto"/>
              <w:right w:val="single" w:sz="4" w:space="0" w:color="auto"/>
            </w:tcBorders>
          </w:tcPr>
          <w:p w14:paraId="10B99290" w14:textId="77777777" w:rsidR="00CE00EF" w:rsidRDefault="00CE00EF" w:rsidP="00CE00EF">
            <w:pPr>
              <w:overflowPunct w:val="0"/>
              <w:ind w:firstLine="114"/>
              <w:jc w:val="center"/>
              <w:textAlignment w:val="baseline"/>
              <w:rPr>
                <w:b/>
                <w:bCs/>
                <w:sz w:val="22"/>
                <w:szCs w:val="22"/>
              </w:rPr>
            </w:pPr>
            <w:r>
              <w:rPr>
                <w:b/>
                <w:bCs/>
                <w:sz w:val="22"/>
                <w:szCs w:val="22"/>
              </w:rPr>
              <w:t>119 564</w:t>
            </w:r>
          </w:p>
        </w:tc>
      </w:tr>
      <w:tr w:rsidR="00CE00EF" w14:paraId="3449932C"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1C000E12" w14:textId="77777777" w:rsidR="00CE00EF" w:rsidRDefault="00CE00EF" w:rsidP="00CE00EF">
            <w:pPr>
              <w:overflowPunct w:val="0"/>
              <w:textAlignment w:val="baseline"/>
              <w:rPr>
                <w:sz w:val="22"/>
                <w:szCs w:val="22"/>
              </w:rPr>
            </w:pPr>
            <w:r>
              <w:rPr>
                <w:sz w:val="22"/>
                <w:szCs w:val="22"/>
              </w:rPr>
              <w:t>1.1.1.1.1. Valstybės biudžeto lėšos</w:t>
            </w:r>
          </w:p>
        </w:tc>
        <w:tc>
          <w:tcPr>
            <w:tcW w:w="2042" w:type="pct"/>
            <w:tcBorders>
              <w:top w:val="single" w:sz="4" w:space="0" w:color="auto"/>
              <w:left w:val="single" w:sz="4" w:space="0" w:color="auto"/>
              <w:bottom w:val="single" w:sz="4" w:space="0" w:color="auto"/>
              <w:right w:val="single" w:sz="4" w:space="0" w:color="auto"/>
            </w:tcBorders>
          </w:tcPr>
          <w:p w14:paraId="492890D8" w14:textId="77777777" w:rsidR="00CE00EF" w:rsidRDefault="00CE00EF" w:rsidP="00CE00EF">
            <w:pPr>
              <w:overflowPunct w:val="0"/>
              <w:ind w:firstLine="114"/>
              <w:jc w:val="center"/>
              <w:textAlignment w:val="baseline"/>
              <w:rPr>
                <w:b/>
                <w:bCs/>
                <w:sz w:val="22"/>
                <w:szCs w:val="22"/>
              </w:rPr>
            </w:pPr>
            <w:r>
              <w:rPr>
                <w:sz w:val="22"/>
                <w:szCs w:val="22"/>
              </w:rPr>
              <w:t>119 564</w:t>
            </w:r>
          </w:p>
        </w:tc>
      </w:tr>
      <w:tr w:rsidR="00CE00EF" w14:paraId="39710A8C"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059FDD9F" w14:textId="77777777" w:rsidR="00CE00EF" w:rsidRDefault="00CE00EF" w:rsidP="00CE00EF">
            <w:pPr>
              <w:overflowPunct w:val="0"/>
              <w:textAlignment w:val="baseline"/>
              <w:rPr>
                <w:b/>
                <w:bCs/>
                <w:sz w:val="22"/>
                <w:szCs w:val="22"/>
              </w:rPr>
            </w:pPr>
            <w:r>
              <w:rPr>
                <w:b/>
                <w:bCs/>
                <w:sz w:val="22"/>
                <w:szCs w:val="22"/>
              </w:rPr>
              <w:t>1.2. Europos Sąjungos ir kitos tarptautinės finansinės paramos bendrojo finansavimo lėšos</w:t>
            </w:r>
          </w:p>
        </w:tc>
        <w:tc>
          <w:tcPr>
            <w:tcW w:w="2042" w:type="pct"/>
            <w:tcBorders>
              <w:top w:val="single" w:sz="4" w:space="0" w:color="auto"/>
              <w:left w:val="single" w:sz="4" w:space="0" w:color="auto"/>
              <w:bottom w:val="single" w:sz="4" w:space="0" w:color="auto"/>
              <w:right w:val="single" w:sz="4" w:space="0" w:color="auto"/>
            </w:tcBorders>
          </w:tcPr>
          <w:p w14:paraId="6105E00C" w14:textId="77777777" w:rsidR="00CE00EF" w:rsidRDefault="00CE00EF" w:rsidP="00CE00EF">
            <w:pPr>
              <w:overflowPunct w:val="0"/>
              <w:jc w:val="center"/>
              <w:textAlignment w:val="baseline"/>
              <w:rPr>
                <w:b/>
                <w:bCs/>
                <w:sz w:val="22"/>
                <w:szCs w:val="22"/>
              </w:rPr>
            </w:pPr>
            <w:r>
              <w:rPr>
                <w:b/>
                <w:bCs/>
                <w:sz w:val="22"/>
                <w:szCs w:val="22"/>
              </w:rPr>
              <w:t>20 564</w:t>
            </w:r>
          </w:p>
        </w:tc>
      </w:tr>
      <w:tr w:rsidR="00CE00EF" w14:paraId="018D5E5C"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40AE5CB3" w14:textId="77777777" w:rsidR="00CE00EF" w:rsidRDefault="00CE00EF" w:rsidP="00CE00EF">
            <w:pPr>
              <w:overflowPunct w:val="0"/>
              <w:textAlignment w:val="baseline"/>
              <w:rPr>
                <w:sz w:val="22"/>
                <w:szCs w:val="22"/>
              </w:rPr>
            </w:pPr>
            <w:r>
              <w:rPr>
                <w:sz w:val="22"/>
                <w:szCs w:val="22"/>
                <w:shd w:val="clear" w:color="auto" w:fill="FFFFFF"/>
              </w:rPr>
              <w:t>1.2.2.8.1. 2021–2027 m. ES struktūrinių fondų bendrojo finansavimo lėšos:</w:t>
            </w:r>
          </w:p>
        </w:tc>
        <w:tc>
          <w:tcPr>
            <w:tcW w:w="2042" w:type="pct"/>
            <w:tcBorders>
              <w:top w:val="single" w:sz="4" w:space="0" w:color="auto"/>
              <w:left w:val="single" w:sz="4" w:space="0" w:color="auto"/>
              <w:bottom w:val="single" w:sz="4" w:space="0" w:color="auto"/>
              <w:right w:val="single" w:sz="4" w:space="0" w:color="auto"/>
            </w:tcBorders>
          </w:tcPr>
          <w:p w14:paraId="7C270F92" w14:textId="77777777" w:rsidR="00CE00EF" w:rsidRDefault="00CE00EF" w:rsidP="00CE00EF">
            <w:pPr>
              <w:overflowPunct w:val="0"/>
              <w:jc w:val="center"/>
              <w:textAlignment w:val="baseline"/>
              <w:rPr>
                <w:sz w:val="22"/>
                <w:szCs w:val="22"/>
              </w:rPr>
            </w:pPr>
          </w:p>
        </w:tc>
      </w:tr>
      <w:tr w:rsidR="00CE00EF" w14:paraId="38A57B78"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2769AEE3" w14:textId="77777777" w:rsidR="00CE00EF" w:rsidRDefault="00CE00EF" w:rsidP="00CE00EF">
            <w:pPr>
              <w:overflowPunct w:val="0"/>
              <w:textAlignment w:val="baseline"/>
              <w:rPr>
                <w:sz w:val="22"/>
                <w:szCs w:val="22"/>
              </w:rPr>
            </w:pPr>
            <w:r>
              <w:rPr>
                <w:sz w:val="22"/>
                <w:szCs w:val="22"/>
                <w:shd w:val="clear" w:color="auto" w:fill="FFFFFF"/>
              </w:rPr>
              <w:t>Sostinės regionas</w:t>
            </w:r>
            <w:r>
              <w:rPr>
                <w:sz w:val="22"/>
                <w:szCs w:val="22"/>
              </w:rPr>
              <w:t xml:space="preserve"> (toliau – SR) (ESF+)</w:t>
            </w:r>
          </w:p>
        </w:tc>
        <w:tc>
          <w:tcPr>
            <w:tcW w:w="2042" w:type="pct"/>
            <w:tcBorders>
              <w:top w:val="single" w:sz="4" w:space="0" w:color="auto"/>
              <w:left w:val="single" w:sz="4" w:space="0" w:color="auto"/>
              <w:bottom w:val="single" w:sz="4" w:space="0" w:color="auto"/>
              <w:right w:val="single" w:sz="4" w:space="0" w:color="auto"/>
            </w:tcBorders>
          </w:tcPr>
          <w:p w14:paraId="1C670E8A" w14:textId="77777777" w:rsidR="00CE00EF" w:rsidRDefault="00CE00EF" w:rsidP="00CE00EF">
            <w:pPr>
              <w:overflowPunct w:val="0"/>
              <w:ind w:firstLine="48"/>
              <w:jc w:val="center"/>
              <w:textAlignment w:val="baseline"/>
              <w:rPr>
                <w:sz w:val="22"/>
                <w:szCs w:val="22"/>
              </w:rPr>
            </w:pPr>
            <w:r>
              <w:rPr>
                <w:sz w:val="22"/>
                <w:szCs w:val="22"/>
              </w:rPr>
              <w:t>5 120</w:t>
            </w:r>
          </w:p>
        </w:tc>
      </w:tr>
      <w:tr w:rsidR="00CE00EF" w14:paraId="06472428"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3F7E76AF" w14:textId="77777777" w:rsidR="00CE00EF" w:rsidRDefault="00CE00EF" w:rsidP="00CE00EF">
            <w:pPr>
              <w:overflowPunct w:val="0"/>
              <w:textAlignment w:val="baseline"/>
              <w:rPr>
                <w:sz w:val="22"/>
                <w:szCs w:val="22"/>
              </w:rPr>
            </w:pPr>
            <w:r>
              <w:rPr>
                <w:sz w:val="22"/>
                <w:szCs w:val="22"/>
                <w:shd w:val="clear" w:color="auto" w:fill="FFFFFF"/>
              </w:rPr>
              <w:t>Vidurio ir vakarų Lietuvos regionas (toliau – VVL)</w:t>
            </w:r>
            <w:r>
              <w:rPr>
                <w:sz w:val="22"/>
                <w:szCs w:val="22"/>
              </w:rPr>
              <w:t xml:space="preserve"> (ESF+)</w:t>
            </w:r>
          </w:p>
        </w:tc>
        <w:tc>
          <w:tcPr>
            <w:tcW w:w="2042" w:type="pct"/>
            <w:tcBorders>
              <w:top w:val="single" w:sz="4" w:space="0" w:color="auto"/>
              <w:left w:val="single" w:sz="4" w:space="0" w:color="auto"/>
              <w:bottom w:val="single" w:sz="4" w:space="0" w:color="auto"/>
              <w:right w:val="single" w:sz="4" w:space="0" w:color="auto"/>
            </w:tcBorders>
          </w:tcPr>
          <w:p w14:paraId="719BEFB0" w14:textId="77777777" w:rsidR="00CE00EF" w:rsidRDefault="00CE00EF" w:rsidP="00CE00EF">
            <w:pPr>
              <w:overflowPunct w:val="0"/>
              <w:jc w:val="center"/>
              <w:textAlignment w:val="baseline"/>
              <w:rPr>
                <w:sz w:val="22"/>
                <w:szCs w:val="22"/>
              </w:rPr>
            </w:pPr>
            <w:r>
              <w:rPr>
                <w:sz w:val="22"/>
                <w:szCs w:val="22"/>
              </w:rPr>
              <w:t>12 883</w:t>
            </w:r>
          </w:p>
        </w:tc>
      </w:tr>
      <w:tr w:rsidR="00CE00EF" w14:paraId="46D91CCA"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7242D7B0" w14:textId="77777777" w:rsidR="00CE00EF" w:rsidRDefault="00CE00EF" w:rsidP="00CE00EF">
            <w:pPr>
              <w:overflowPunct w:val="0"/>
              <w:textAlignment w:val="baseline"/>
              <w:rPr>
                <w:sz w:val="22"/>
                <w:szCs w:val="22"/>
                <w:shd w:val="clear" w:color="auto" w:fill="FFFFFF"/>
              </w:rPr>
            </w:pPr>
            <w:r>
              <w:rPr>
                <w:sz w:val="22"/>
                <w:szCs w:val="22"/>
                <w:shd w:val="clear" w:color="auto" w:fill="FFFFFF"/>
              </w:rPr>
              <w:t>Sostinės regionas</w:t>
            </w:r>
            <w:r>
              <w:rPr>
                <w:sz w:val="22"/>
                <w:szCs w:val="22"/>
              </w:rPr>
              <w:t xml:space="preserve"> (ERPF)</w:t>
            </w:r>
          </w:p>
        </w:tc>
        <w:tc>
          <w:tcPr>
            <w:tcW w:w="2042" w:type="pct"/>
            <w:tcBorders>
              <w:top w:val="single" w:sz="4" w:space="0" w:color="auto"/>
              <w:left w:val="single" w:sz="4" w:space="0" w:color="auto"/>
              <w:bottom w:val="single" w:sz="4" w:space="0" w:color="auto"/>
              <w:right w:val="single" w:sz="4" w:space="0" w:color="auto"/>
            </w:tcBorders>
          </w:tcPr>
          <w:p w14:paraId="09596DE2" w14:textId="77777777" w:rsidR="00CE00EF" w:rsidRDefault="00CE00EF" w:rsidP="00CE00EF">
            <w:pPr>
              <w:overflowPunct w:val="0"/>
              <w:jc w:val="center"/>
              <w:textAlignment w:val="baseline"/>
              <w:rPr>
                <w:sz w:val="22"/>
                <w:szCs w:val="22"/>
              </w:rPr>
            </w:pPr>
            <w:r>
              <w:rPr>
                <w:sz w:val="22"/>
                <w:szCs w:val="22"/>
              </w:rPr>
              <w:t>1 000</w:t>
            </w:r>
          </w:p>
        </w:tc>
      </w:tr>
      <w:tr w:rsidR="00CE00EF" w14:paraId="0AD10B2F"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1232593D" w14:textId="77777777" w:rsidR="00CE00EF" w:rsidRDefault="00CE00EF" w:rsidP="00CE00EF">
            <w:pPr>
              <w:overflowPunct w:val="0"/>
              <w:textAlignment w:val="baseline"/>
              <w:rPr>
                <w:sz w:val="22"/>
                <w:szCs w:val="22"/>
                <w:shd w:val="clear" w:color="auto" w:fill="FFFFFF"/>
              </w:rPr>
            </w:pPr>
            <w:r>
              <w:rPr>
                <w:sz w:val="22"/>
                <w:szCs w:val="22"/>
                <w:shd w:val="clear" w:color="auto" w:fill="FFFFFF"/>
              </w:rPr>
              <w:t>Vidurio ir vakarų Lietuvos regionas</w:t>
            </w:r>
            <w:r>
              <w:rPr>
                <w:sz w:val="22"/>
                <w:szCs w:val="22"/>
              </w:rPr>
              <w:t xml:space="preserve"> (ERPF)</w:t>
            </w:r>
          </w:p>
        </w:tc>
        <w:tc>
          <w:tcPr>
            <w:tcW w:w="2042" w:type="pct"/>
            <w:tcBorders>
              <w:top w:val="single" w:sz="4" w:space="0" w:color="auto"/>
              <w:left w:val="single" w:sz="4" w:space="0" w:color="auto"/>
              <w:bottom w:val="single" w:sz="4" w:space="0" w:color="auto"/>
              <w:right w:val="single" w:sz="4" w:space="0" w:color="auto"/>
            </w:tcBorders>
          </w:tcPr>
          <w:p w14:paraId="30962332" w14:textId="77777777" w:rsidR="00CE00EF" w:rsidRDefault="00CE00EF" w:rsidP="00CE00EF">
            <w:pPr>
              <w:overflowPunct w:val="0"/>
              <w:jc w:val="center"/>
              <w:textAlignment w:val="baseline"/>
              <w:rPr>
                <w:sz w:val="22"/>
                <w:szCs w:val="22"/>
              </w:rPr>
            </w:pPr>
            <w:r>
              <w:rPr>
                <w:sz w:val="22"/>
                <w:szCs w:val="22"/>
              </w:rPr>
              <w:t>1 561</w:t>
            </w:r>
          </w:p>
        </w:tc>
      </w:tr>
      <w:tr w:rsidR="00CE00EF" w14:paraId="219A5448"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10A6D1A2" w14:textId="77777777" w:rsidR="00CE00EF" w:rsidRDefault="00CE00EF" w:rsidP="00CE00EF">
            <w:pPr>
              <w:overflowPunct w:val="0"/>
              <w:textAlignment w:val="baseline"/>
              <w:rPr>
                <w:b/>
                <w:sz w:val="22"/>
                <w:szCs w:val="22"/>
              </w:rPr>
            </w:pPr>
            <w:r>
              <w:rPr>
                <w:b/>
                <w:sz w:val="22"/>
                <w:szCs w:val="22"/>
              </w:rPr>
              <w:t>1.3. Europos Sąjungos ir kitos tarptautinės finansinės paramos lėšos</w:t>
            </w:r>
          </w:p>
        </w:tc>
        <w:tc>
          <w:tcPr>
            <w:tcW w:w="2042" w:type="pct"/>
            <w:tcBorders>
              <w:top w:val="single" w:sz="4" w:space="0" w:color="auto"/>
              <w:left w:val="single" w:sz="4" w:space="0" w:color="auto"/>
              <w:bottom w:val="single" w:sz="4" w:space="0" w:color="auto"/>
              <w:right w:val="single" w:sz="4" w:space="0" w:color="auto"/>
            </w:tcBorders>
          </w:tcPr>
          <w:p w14:paraId="6AC4F93C" w14:textId="77777777" w:rsidR="00CE00EF" w:rsidRDefault="00CE00EF" w:rsidP="00CE00EF">
            <w:pPr>
              <w:overflowPunct w:val="0"/>
              <w:jc w:val="center"/>
              <w:textAlignment w:val="baseline"/>
              <w:rPr>
                <w:b/>
                <w:sz w:val="22"/>
                <w:szCs w:val="22"/>
              </w:rPr>
            </w:pPr>
            <w:r>
              <w:rPr>
                <w:b/>
                <w:sz w:val="22"/>
                <w:szCs w:val="22"/>
              </w:rPr>
              <w:t>87 970</w:t>
            </w:r>
          </w:p>
        </w:tc>
      </w:tr>
      <w:tr w:rsidR="00CE00EF" w14:paraId="1717715C"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38A00DC5" w14:textId="77777777" w:rsidR="00CE00EF" w:rsidRDefault="00CE00EF" w:rsidP="00CE00EF">
            <w:pPr>
              <w:overflowPunct w:val="0"/>
              <w:textAlignment w:val="baseline"/>
              <w:rPr>
                <w:sz w:val="22"/>
                <w:szCs w:val="22"/>
              </w:rPr>
            </w:pPr>
            <w:r>
              <w:rPr>
                <w:sz w:val="22"/>
                <w:szCs w:val="22"/>
                <w:shd w:val="clear" w:color="auto" w:fill="FFFFFF"/>
              </w:rPr>
              <w:t>1.3.2.8.1. 2021–2027 m. ES struktūrinių fondų lėšos:</w:t>
            </w:r>
          </w:p>
        </w:tc>
        <w:tc>
          <w:tcPr>
            <w:tcW w:w="2042" w:type="pct"/>
            <w:tcBorders>
              <w:top w:val="single" w:sz="4" w:space="0" w:color="auto"/>
              <w:left w:val="single" w:sz="4" w:space="0" w:color="auto"/>
              <w:bottom w:val="single" w:sz="4" w:space="0" w:color="auto"/>
              <w:right w:val="single" w:sz="4" w:space="0" w:color="auto"/>
            </w:tcBorders>
          </w:tcPr>
          <w:p w14:paraId="6F3D2092" w14:textId="77777777" w:rsidR="00CE00EF" w:rsidRDefault="00CE00EF" w:rsidP="00CE00EF">
            <w:pPr>
              <w:overflowPunct w:val="0"/>
              <w:jc w:val="both"/>
              <w:textAlignment w:val="baseline"/>
              <w:rPr>
                <w:b/>
                <w:sz w:val="22"/>
                <w:szCs w:val="22"/>
              </w:rPr>
            </w:pPr>
          </w:p>
        </w:tc>
      </w:tr>
      <w:tr w:rsidR="00CE00EF" w14:paraId="47C930DD"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796494AF" w14:textId="77777777" w:rsidR="00CE00EF" w:rsidRDefault="00CE00EF" w:rsidP="00CE00EF">
            <w:pPr>
              <w:overflowPunct w:val="0"/>
              <w:textAlignment w:val="baseline"/>
              <w:rPr>
                <w:sz w:val="22"/>
                <w:szCs w:val="22"/>
              </w:rPr>
            </w:pPr>
            <w:r>
              <w:rPr>
                <w:sz w:val="22"/>
                <w:szCs w:val="22"/>
                <w:shd w:val="clear" w:color="auto" w:fill="FFFFFF"/>
              </w:rPr>
              <w:t>Sostinės regionas</w:t>
            </w:r>
            <w:r>
              <w:rPr>
                <w:sz w:val="22"/>
                <w:szCs w:val="22"/>
              </w:rPr>
              <w:t xml:space="preserve"> (ESF+)</w:t>
            </w:r>
          </w:p>
        </w:tc>
        <w:tc>
          <w:tcPr>
            <w:tcW w:w="2042" w:type="pct"/>
            <w:tcBorders>
              <w:top w:val="single" w:sz="4" w:space="0" w:color="auto"/>
              <w:left w:val="single" w:sz="4" w:space="0" w:color="auto"/>
              <w:bottom w:val="single" w:sz="4" w:space="0" w:color="auto"/>
              <w:right w:val="single" w:sz="4" w:space="0" w:color="auto"/>
            </w:tcBorders>
          </w:tcPr>
          <w:p w14:paraId="22A8FB9B" w14:textId="77777777" w:rsidR="00CE00EF" w:rsidRDefault="00CE00EF" w:rsidP="00CE00EF">
            <w:pPr>
              <w:overflowPunct w:val="0"/>
              <w:ind w:firstLine="48"/>
              <w:jc w:val="center"/>
              <w:textAlignment w:val="baseline"/>
              <w:rPr>
                <w:b/>
                <w:sz w:val="22"/>
                <w:szCs w:val="22"/>
              </w:rPr>
            </w:pPr>
            <w:r>
              <w:rPr>
                <w:sz w:val="22"/>
                <w:szCs w:val="22"/>
              </w:rPr>
              <w:t>5 120</w:t>
            </w:r>
          </w:p>
        </w:tc>
      </w:tr>
      <w:tr w:rsidR="00CE00EF" w14:paraId="7526C9DD"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0C647A09" w14:textId="77777777" w:rsidR="00CE00EF" w:rsidRDefault="00CE00EF" w:rsidP="00CE00EF">
            <w:pPr>
              <w:overflowPunct w:val="0"/>
              <w:textAlignment w:val="baseline"/>
              <w:rPr>
                <w:sz w:val="22"/>
                <w:szCs w:val="22"/>
              </w:rPr>
            </w:pPr>
            <w:r>
              <w:rPr>
                <w:sz w:val="22"/>
                <w:szCs w:val="22"/>
                <w:shd w:val="clear" w:color="auto" w:fill="FFFFFF"/>
              </w:rPr>
              <w:t xml:space="preserve">Vidurio ir vakarų Lietuvos regionas </w:t>
            </w:r>
            <w:r>
              <w:rPr>
                <w:sz w:val="22"/>
                <w:szCs w:val="22"/>
              </w:rPr>
              <w:t>(ESF+)</w:t>
            </w:r>
          </w:p>
        </w:tc>
        <w:tc>
          <w:tcPr>
            <w:tcW w:w="2042" w:type="pct"/>
            <w:tcBorders>
              <w:top w:val="single" w:sz="4" w:space="0" w:color="auto"/>
              <w:left w:val="single" w:sz="4" w:space="0" w:color="auto"/>
              <w:bottom w:val="single" w:sz="4" w:space="0" w:color="auto"/>
              <w:right w:val="single" w:sz="4" w:space="0" w:color="auto"/>
            </w:tcBorders>
          </w:tcPr>
          <w:p w14:paraId="05AA6664" w14:textId="77777777" w:rsidR="00CE00EF" w:rsidRDefault="00CE00EF" w:rsidP="00CE00EF">
            <w:pPr>
              <w:overflowPunct w:val="0"/>
              <w:ind w:firstLine="48"/>
              <w:jc w:val="center"/>
              <w:textAlignment w:val="baseline"/>
              <w:rPr>
                <w:sz w:val="22"/>
                <w:szCs w:val="22"/>
              </w:rPr>
            </w:pPr>
            <w:r>
              <w:rPr>
                <w:sz w:val="22"/>
                <w:szCs w:val="22"/>
              </w:rPr>
              <w:t>73 005</w:t>
            </w:r>
          </w:p>
        </w:tc>
      </w:tr>
      <w:tr w:rsidR="00CE00EF" w14:paraId="10033138"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6C1B24AF" w14:textId="77777777" w:rsidR="00CE00EF" w:rsidRDefault="00CE00EF" w:rsidP="00CE00EF">
            <w:pPr>
              <w:overflowPunct w:val="0"/>
              <w:textAlignment w:val="baseline"/>
              <w:rPr>
                <w:sz w:val="22"/>
                <w:szCs w:val="22"/>
                <w:shd w:val="clear" w:color="auto" w:fill="FFFFFF"/>
              </w:rPr>
            </w:pPr>
            <w:r>
              <w:rPr>
                <w:sz w:val="22"/>
                <w:szCs w:val="22"/>
                <w:shd w:val="clear" w:color="auto" w:fill="FFFFFF"/>
              </w:rPr>
              <w:t>Sostinės regionas</w:t>
            </w:r>
            <w:r>
              <w:rPr>
                <w:sz w:val="22"/>
                <w:szCs w:val="22"/>
              </w:rPr>
              <w:t xml:space="preserve"> (ERPF)</w:t>
            </w:r>
          </w:p>
        </w:tc>
        <w:tc>
          <w:tcPr>
            <w:tcW w:w="2042" w:type="pct"/>
            <w:tcBorders>
              <w:top w:val="single" w:sz="4" w:space="0" w:color="auto"/>
              <w:left w:val="single" w:sz="4" w:space="0" w:color="auto"/>
              <w:bottom w:val="single" w:sz="4" w:space="0" w:color="auto"/>
              <w:right w:val="single" w:sz="4" w:space="0" w:color="auto"/>
            </w:tcBorders>
          </w:tcPr>
          <w:p w14:paraId="685B4216" w14:textId="77777777" w:rsidR="00CE00EF" w:rsidRDefault="00CE00EF" w:rsidP="00CE00EF">
            <w:pPr>
              <w:overflowPunct w:val="0"/>
              <w:jc w:val="center"/>
              <w:textAlignment w:val="baseline"/>
              <w:rPr>
                <w:sz w:val="22"/>
                <w:szCs w:val="22"/>
              </w:rPr>
            </w:pPr>
            <w:r>
              <w:rPr>
                <w:sz w:val="22"/>
                <w:szCs w:val="22"/>
              </w:rPr>
              <w:t>1 000</w:t>
            </w:r>
          </w:p>
        </w:tc>
      </w:tr>
      <w:tr w:rsidR="00CE00EF" w14:paraId="4CD2F1CD"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6583E20C" w14:textId="77777777" w:rsidR="00CE00EF" w:rsidRDefault="00CE00EF" w:rsidP="00CE00EF">
            <w:pPr>
              <w:overflowPunct w:val="0"/>
              <w:textAlignment w:val="baseline"/>
              <w:rPr>
                <w:sz w:val="22"/>
                <w:szCs w:val="22"/>
                <w:shd w:val="clear" w:color="auto" w:fill="FFFFFF"/>
              </w:rPr>
            </w:pPr>
            <w:r>
              <w:rPr>
                <w:sz w:val="22"/>
                <w:szCs w:val="22"/>
                <w:shd w:val="clear" w:color="auto" w:fill="FFFFFF"/>
              </w:rPr>
              <w:t>Vidurio ir vakarų Lietuvos regionas</w:t>
            </w:r>
            <w:r>
              <w:rPr>
                <w:sz w:val="22"/>
                <w:szCs w:val="22"/>
              </w:rPr>
              <w:t xml:space="preserve"> (ERPF)</w:t>
            </w:r>
          </w:p>
        </w:tc>
        <w:tc>
          <w:tcPr>
            <w:tcW w:w="2042" w:type="pct"/>
            <w:tcBorders>
              <w:top w:val="single" w:sz="4" w:space="0" w:color="auto"/>
              <w:left w:val="single" w:sz="4" w:space="0" w:color="auto"/>
              <w:bottom w:val="single" w:sz="4" w:space="0" w:color="auto"/>
              <w:right w:val="single" w:sz="4" w:space="0" w:color="auto"/>
            </w:tcBorders>
          </w:tcPr>
          <w:p w14:paraId="0F83C2C0" w14:textId="77777777" w:rsidR="00CE00EF" w:rsidRDefault="00CE00EF" w:rsidP="00CE00EF">
            <w:pPr>
              <w:overflowPunct w:val="0"/>
              <w:jc w:val="center"/>
              <w:textAlignment w:val="baseline"/>
              <w:rPr>
                <w:sz w:val="22"/>
                <w:szCs w:val="22"/>
              </w:rPr>
            </w:pPr>
            <w:r>
              <w:rPr>
                <w:sz w:val="22"/>
                <w:szCs w:val="22"/>
              </w:rPr>
              <w:t>8 845</w:t>
            </w:r>
          </w:p>
        </w:tc>
      </w:tr>
      <w:tr w:rsidR="00CE00EF" w14:paraId="167557E2" w14:textId="77777777" w:rsidTr="00CE00EF">
        <w:trPr>
          <w:cantSplit/>
          <w:trHeight w:val="228"/>
        </w:trPr>
        <w:tc>
          <w:tcPr>
            <w:tcW w:w="2958" w:type="pct"/>
            <w:tcBorders>
              <w:top w:val="single" w:sz="4" w:space="0" w:color="auto"/>
              <w:left w:val="single" w:sz="4" w:space="0" w:color="auto"/>
              <w:bottom w:val="single" w:sz="4" w:space="0" w:color="auto"/>
              <w:right w:val="single" w:sz="4" w:space="0" w:color="auto"/>
            </w:tcBorders>
            <w:vAlign w:val="center"/>
          </w:tcPr>
          <w:p w14:paraId="53932C33" w14:textId="77777777" w:rsidR="00CE00EF" w:rsidRDefault="00CE00EF" w:rsidP="00CE00EF">
            <w:pPr>
              <w:overflowPunct w:val="0"/>
              <w:spacing w:line="276" w:lineRule="auto"/>
              <w:ind w:left="1276" w:hanging="1276"/>
              <w:jc w:val="both"/>
              <w:textAlignment w:val="baseline"/>
              <w:rPr>
                <w:b/>
                <w:sz w:val="22"/>
                <w:szCs w:val="22"/>
              </w:rPr>
            </w:pPr>
            <w:r>
              <w:rPr>
                <w:b/>
                <w:sz w:val="22"/>
                <w:szCs w:val="22"/>
              </w:rPr>
              <w:t xml:space="preserve">1.4. Biudžetinių įstaigų pajamų įmokos ir kitos pajamos </w:t>
            </w:r>
          </w:p>
        </w:tc>
        <w:tc>
          <w:tcPr>
            <w:tcW w:w="2042" w:type="pct"/>
            <w:tcBorders>
              <w:top w:val="single" w:sz="4" w:space="0" w:color="auto"/>
              <w:left w:val="single" w:sz="4" w:space="0" w:color="auto"/>
              <w:bottom w:val="single" w:sz="4" w:space="0" w:color="auto"/>
              <w:right w:val="single" w:sz="4" w:space="0" w:color="auto"/>
            </w:tcBorders>
          </w:tcPr>
          <w:p w14:paraId="50137B7D" w14:textId="77777777" w:rsidR="00CE00EF" w:rsidRDefault="00CE00EF" w:rsidP="00CE00EF">
            <w:pPr>
              <w:overflowPunct w:val="0"/>
              <w:jc w:val="both"/>
              <w:textAlignment w:val="baseline"/>
              <w:rPr>
                <w:b/>
                <w:sz w:val="22"/>
                <w:szCs w:val="22"/>
              </w:rPr>
            </w:pPr>
          </w:p>
        </w:tc>
      </w:tr>
      <w:tr w:rsidR="00CE00EF" w14:paraId="04A3A5FB"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2EB93B0A" w14:textId="77777777" w:rsidR="00CE00EF" w:rsidRDefault="00CE00EF" w:rsidP="00CE00EF">
            <w:pPr>
              <w:overflowPunct w:val="0"/>
              <w:textAlignment w:val="baseline"/>
              <w:rPr>
                <w:b/>
                <w:sz w:val="22"/>
                <w:szCs w:val="22"/>
              </w:rPr>
            </w:pPr>
            <w:r>
              <w:rPr>
                <w:b/>
                <w:sz w:val="22"/>
                <w:szCs w:val="22"/>
              </w:rPr>
              <w:t>2. Kitos lėšos</w:t>
            </w:r>
          </w:p>
        </w:tc>
        <w:tc>
          <w:tcPr>
            <w:tcW w:w="2042" w:type="pct"/>
            <w:tcBorders>
              <w:top w:val="single" w:sz="4" w:space="0" w:color="auto"/>
              <w:left w:val="single" w:sz="4" w:space="0" w:color="auto"/>
              <w:bottom w:val="single" w:sz="4" w:space="0" w:color="auto"/>
              <w:right w:val="single" w:sz="4" w:space="0" w:color="auto"/>
            </w:tcBorders>
          </w:tcPr>
          <w:p w14:paraId="131AC27B" w14:textId="77777777" w:rsidR="00CE00EF" w:rsidRDefault="00CE00EF" w:rsidP="00CE00EF">
            <w:pPr>
              <w:overflowPunct w:val="0"/>
              <w:jc w:val="both"/>
              <w:textAlignment w:val="baseline"/>
              <w:rPr>
                <w:b/>
                <w:sz w:val="22"/>
                <w:szCs w:val="22"/>
              </w:rPr>
            </w:pPr>
          </w:p>
        </w:tc>
      </w:tr>
      <w:tr w:rsidR="00CE00EF" w14:paraId="11375AF7"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152331A1" w14:textId="77777777" w:rsidR="00CE00EF" w:rsidRDefault="00CE00EF" w:rsidP="00CE00EF">
            <w:pPr>
              <w:overflowPunct w:val="0"/>
              <w:textAlignment w:val="baseline"/>
              <w:rPr>
                <w:sz w:val="22"/>
                <w:szCs w:val="22"/>
              </w:rPr>
            </w:pPr>
            <w:r>
              <w:rPr>
                <w:sz w:val="22"/>
                <w:szCs w:val="22"/>
              </w:rPr>
              <w:t>2.1. Savivaldybių biudžetų lėšos</w:t>
            </w:r>
          </w:p>
        </w:tc>
        <w:tc>
          <w:tcPr>
            <w:tcW w:w="2042" w:type="pct"/>
            <w:tcBorders>
              <w:top w:val="single" w:sz="4" w:space="0" w:color="auto"/>
              <w:left w:val="single" w:sz="4" w:space="0" w:color="auto"/>
              <w:bottom w:val="single" w:sz="4" w:space="0" w:color="auto"/>
              <w:right w:val="single" w:sz="4" w:space="0" w:color="auto"/>
            </w:tcBorders>
          </w:tcPr>
          <w:p w14:paraId="02339DBF" w14:textId="77777777" w:rsidR="00CE00EF" w:rsidRDefault="00CE00EF" w:rsidP="00CE00EF">
            <w:pPr>
              <w:overflowPunct w:val="0"/>
              <w:jc w:val="both"/>
              <w:textAlignment w:val="baseline"/>
              <w:rPr>
                <w:sz w:val="22"/>
                <w:szCs w:val="22"/>
              </w:rPr>
            </w:pPr>
          </w:p>
        </w:tc>
      </w:tr>
      <w:tr w:rsidR="00CE00EF" w14:paraId="5B0C64C7"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13A98084" w14:textId="77777777" w:rsidR="00CE00EF" w:rsidRDefault="00CE00EF" w:rsidP="00CE00EF">
            <w:pPr>
              <w:overflowPunct w:val="0"/>
              <w:textAlignment w:val="baseline"/>
              <w:rPr>
                <w:sz w:val="22"/>
                <w:szCs w:val="22"/>
              </w:rPr>
            </w:pPr>
            <w:r>
              <w:rPr>
                <w:sz w:val="22"/>
                <w:szCs w:val="22"/>
              </w:rPr>
              <w:t>2.2. Privačios lėšos</w:t>
            </w:r>
          </w:p>
        </w:tc>
        <w:tc>
          <w:tcPr>
            <w:tcW w:w="2042" w:type="pct"/>
            <w:tcBorders>
              <w:top w:val="single" w:sz="4" w:space="0" w:color="auto"/>
              <w:left w:val="single" w:sz="4" w:space="0" w:color="auto"/>
              <w:bottom w:val="single" w:sz="4" w:space="0" w:color="auto"/>
              <w:right w:val="single" w:sz="4" w:space="0" w:color="auto"/>
            </w:tcBorders>
          </w:tcPr>
          <w:p w14:paraId="68B3F6B5" w14:textId="77777777" w:rsidR="00CE00EF" w:rsidRDefault="00CE00EF" w:rsidP="00CE00EF">
            <w:pPr>
              <w:overflowPunct w:val="0"/>
              <w:jc w:val="both"/>
              <w:textAlignment w:val="baseline"/>
              <w:rPr>
                <w:sz w:val="22"/>
                <w:szCs w:val="22"/>
              </w:rPr>
            </w:pPr>
          </w:p>
        </w:tc>
      </w:tr>
      <w:tr w:rsidR="00CE00EF" w14:paraId="5898D541"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vAlign w:val="center"/>
          </w:tcPr>
          <w:p w14:paraId="05831D22" w14:textId="77777777" w:rsidR="00CE00EF" w:rsidRDefault="00CE00EF" w:rsidP="00CE00EF">
            <w:pPr>
              <w:overflowPunct w:val="0"/>
              <w:textAlignment w:val="baseline"/>
              <w:rPr>
                <w:sz w:val="22"/>
                <w:szCs w:val="22"/>
              </w:rPr>
            </w:pPr>
            <w:r>
              <w:rPr>
                <w:sz w:val="22"/>
                <w:szCs w:val="22"/>
              </w:rPr>
              <w:t>2.3. Kitos viešosios lėšos</w:t>
            </w:r>
          </w:p>
        </w:tc>
        <w:tc>
          <w:tcPr>
            <w:tcW w:w="2042" w:type="pct"/>
            <w:tcBorders>
              <w:top w:val="single" w:sz="4" w:space="0" w:color="auto"/>
              <w:left w:val="single" w:sz="4" w:space="0" w:color="auto"/>
              <w:bottom w:val="single" w:sz="4" w:space="0" w:color="auto"/>
              <w:right w:val="single" w:sz="4" w:space="0" w:color="auto"/>
            </w:tcBorders>
          </w:tcPr>
          <w:p w14:paraId="120157FA" w14:textId="77777777" w:rsidR="00CE00EF" w:rsidRDefault="00CE00EF" w:rsidP="00CE00EF">
            <w:pPr>
              <w:overflowPunct w:val="0"/>
              <w:jc w:val="both"/>
              <w:textAlignment w:val="baseline"/>
              <w:rPr>
                <w:sz w:val="22"/>
                <w:szCs w:val="22"/>
              </w:rPr>
            </w:pPr>
          </w:p>
        </w:tc>
      </w:tr>
      <w:tr w:rsidR="00CE00EF" w14:paraId="576F316C" w14:textId="77777777" w:rsidTr="00CE00EF">
        <w:trPr>
          <w:cantSplit/>
          <w:trHeight w:val="16"/>
        </w:trPr>
        <w:tc>
          <w:tcPr>
            <w:tcW w:w="295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0ABB" w14:textId="77777777" w:rsidR="00CE00EF" w:rsidRDefault="00CE00EF" w:rsidP="00CE00EF">
            <w:pPr>
              <w:overflowPunct w:val="0"/>
              <w:textAlignment w:val="baseline"/>
              <w:rPr>
                <w:b/>
                <w:sz w:val="22"/>
                <w:szCs w:val="22"/>
              </w:rPr>
            </w:pPr>
            <w:r>
              <w:rPr>
                <w:b/>
                <w:sz w:val="22"/>
                <w:szCs w:val="22"/>
              </w:rPr>
              <w:t>IŠ VISO</w:t>
            </w:r>
          </w:p>
        </w:tc>
        <w:tc>
          <w:tcPr>
            <w:tcW w:w="204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BAAC42" w14:textId="77777777" w:rsidR="00CE00EF" w:rsidRDefault="00CE00EF" w:rsidP="00CE00EF">
            <w:pPr>
              <w:overflowPunct w:val="0"/>
              <w:ind w:firstLine="114"/>
              <w:jc w:val="center"/>
              <w:textAlignment w:val="baseline"/>
              <w:rPr>
                <w:b/>
                <w:sz w:val="22"/>
                <w:szCs w:val="22"/>
              </w:rPr>
            </w:pPr>
            <w:r>
              <w:rPr>
                <w:b/>
                <w:bCs/>
                <w:sz w:val="22"/>
                <w:szCs w:val="22"/>
              </w:rPr>
              <w:t>228 098</w:t>
            </w:r>
            <w:r>
              <w:rPr>
                <w:sz w:val="22"/>
                <w:szCs w:val="22"/>
              </w:rPr>
              <w:t>“</w:t>
            </w:r>
          </w:p>
        </w:tc>
      </w:tr>
    </w:tbl>
    <w:p w14:paraId="5FC7E715" w14:textId="77777777" w:rsidR="00306450" w:rsidRDefault="00306450">
      <w:pPr>
        <w:jc w:val="center"/>
        <w:rPr>
          <w:b/>
          <w:sz w:val="22"/>
          <w:szCs w:val="22"/>
        </w:rPr>
      </w:pPr>
    </w:p>
    <w:p w14:paraId="12F8EB38" w14:textId="77777777" w:rsidR="00BB3C2A" w:rsidRDefault="00BB3C2A"/>
    <w:p w14:paraId="72648DF8" w14:textId="77777777" w:rsidR="00BB3C2A" w:rsidRDefault="00BB3C2A"/>
    <w:p w14:paraId="16A76001" w14:textId="77777777" w:rsidR="00BB3C2A" w:rsidRDefault="00BB3C2A"/>
    <w:p w14:paraId="2E1AB20C" w14:textId="77777777" w:rsidR="00BB3C2A" w:rsidRDefault="00BB3C2A"/>
    <w:p w14:paraId="512D4C3A" w14:textId="77777777" w:rsidR="00BB3C2A" w:rsidRDefault="00BB3C2A"/>
    <w:p w14:paraId="51D22D0D" w14:textId="77777777" w:rsidR="00BB3C2A" w:rsidRDefault="00BB3C2A"/>
    <w:p w14:paraId="07173FB7" w14:textId="77777777" w:rsidR="00BB3C2A" w:rsidRDefault="00BB3C2A"/>
    <w:p w14:paraId="21F409DA" w14:textId="77777777" w:rsidR="00306450" w:rsidRDefault="00306450"/>
    <w:p w14:paraId="2A2AB6C8" w14:textId="77777777" w:rsidR="00306450" w:rsidRDefault="00C3645C">
      <w:pPr>
        <w:jc w:val="center"/>
        <w:rPr>
          <w:b/>
          <w:bCs/>
        </w:rPr>
      </w:pPr>
      <w:r>
        <w:rPr>
          <w:b/>
          <w:bCs/>
        </w:rPr>
        <w:lastRenderedPageBreak/>
        <w:t>III SKYRIUS</w:t>
      </w:r>
    </w:p>
    <w:p w14:paraId="43B2CE2E" w14:textId="77777777" w:rsidR="00306450" w:rsidRDefault="00C3645C">
      <w:pPr>
        <w:jc w:val="center"/>
        <w:rPr>
          <w:b/>
          <w:bCs/>
        </w:rPr>
      </w:pPr>
      <w:r>
        <w:rPr>
          <w:b/>
          <w:bCs/>
        </w:rPr>
        <w:t>PLĖTROS PROGRAMOS PAŽANGOS PRIEMONĖS VEIKLŲ SUVESTINĖ</w:t>
      </w:r>
    </w:p>
    <w:p w14:paraId="3D9C850A" w14:textId="77777777" w:rsidR="004C3029" w:rsidRDefault="004C3029" w:rsidP="004C3029">
      <w:pPr>
        <w:overflowPunct w:val="0"/>
        <w:ind w:left="-426" w:firstLine="1135"/>
        <w:jc w:val="both"/>
        <w:textAlignment w:val="baseline"/>
        <w:rPr>
          <w:szCs w:val="24"/>
        </w:rPr>
      </w:pPr>
    </w:p>
    <w:p w14:paraId="38A8B1AA" w14:textId="77777777" w:rsidR="004C3029" w:rsidRDefault="004C3029" w:rsidP="004C3029">
      <w:pPr>
        <w:overflowPunct w:val="0"/>
        <w:jc w:val="center"/>
        <w:textAlignment w:val="baseline"/>
        <w:rPr>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899"/>
        <w:gridCol w:w="1069"/>
        <w:gridCol w:w="779"/>
        <w:gridCol w:w="957"/>
        <w:gridCol w:w="1029"/>
        <w:gridCol w:w="832"/>
        <w:gridCol w:w="1056"/>
        <w:gridCol w:w="1056"/>
        <w:gridCol w:w="1056"/>
        <w:gridCol w:w="1129"/>
        <w:gridCol w:w="734"/>
        <w:gridCol w:w="824"/>
        <w:gridCol w:w="984"/>
        <w:gridCol w:w="859"/>
      </w:tblGrid>
      <w:tr w:rsidR="004C3029" w14:paraId="40C63B35" w14:textId="77777777" w:rsidTr="001147CF">
        <w:trPr>
          <w:trHeight w:val="1428"/>
        </w:trPr>
        <w:tc>
          <w:tcPr>
            <w:tcW w:w="704" w:type="pct"/>
            <w:shd w:val="clear" w:color="auto" w:fill="DBE5F1" w:themeFill="accent1" w:themeFillTint="33"/>
          </w:tcPr>
          <w:p w14:paraId="3AB4A937" w14:textId="77777777" w:rsidR="004C3029" w:rsidRDefault="004C3029" w:rsidP="001147CF">
            <w:pPr>
              <w:overflowPunct w:val="0"/>
              <w:ind w:left="-57" w:right="-57"/>
              <w:jc w:val="center"/>
              <w:textAlignment w:val="baseline"/>
              <w:rPr>
                <w:b/>
                <w:sz w:val="20"/>
              </w:rPr>
            </w:pPr>
          </w:p>
          <w:p w14:paraId="3FCC7062" w14:textId="77777777" w:rsidR="004C3029" w:rsidRDefault="004C3029" w:rsidP="001147CF">
            <w:pPr>
              <w:overflowPunct w:val="0"/>
              <w:ind w:left="-57" w:right="-57"/>
              <w:jc w:val="center"/>
              <w:textAlignment w:val="baseline"/>
              <w:rPr>
                <w:b/>
                <w:sz w:val="20"/>
              </w:rPr>
            </w:pPr>
          </w:p>
          <w:p w14:paraId="21002B6E" w14:textId="77777777" w:rsidR="004C3029" w:rsidRDefault="004C3029" w:rsidP="001147CF">
            <w:pPr>
              <w:overflowPunct w:val="0"/>
              <w:ind w:left="-57" w:right="-57"/>
              <w:jc w:val="center"/>
              <w:textAlignment w:val="baseline"/>
              <w:rPr>
                <w:b/>
                <w:sz w:val="20"/>
              </w:rPr>
            </w:pPr>
            <w:r>
              <w:rPr>
                <w:b/>
                <w:sz w:val="20"/>
              </w:rPr>
              <w:t>Veikla</w:t>
            </w:r>
          </w:p>
        </w:tc>
        <w:tc>
          <w:tcPr>
            <w:tcW w:w="283" w:type="pct"/>
            <w:shd w:val="clear" w:color="auto" w:fill="DBE5F1" w:themeFill="accent1" w:themeFillTint="33"/>
          </w:tcPr>
          <w:p w14:paraId="1E8EEDE9" w14:textId="77777777" w:rsidR="004C3029" w:rsidRDefault="004C3029" w:rsidP="001147CF">
            <w:pPr>
              <w:overflowPunct w:val="0"/>
              <w:ind w:left="-57" w:right="-57"/>
              <w:jc w:val="center"/>
              <w:textAlignment w:val="baseline"/>
              <w:rPr>
                <w:b/>
                <w:sz w:val="20"/>
              </w:rPr>
            </w:pPr>
          </w:p>
          <w:p w14:paraId="6C49BA0A" w14:textId="77777777" w:rsidR="004C3029" w:rsidRDefault="004C3029" w:rsidP="001147CF">
            <w:pPr>
              <w:overflowPunct w:val="0"/>
              <w:ind w:left="-57" w:right="-57"/>
              <w:jc w:val="center"/>
              <w:textAlignment w:val="baseline"/>
              <w:rPr>
                <w:b/>
                <w:sz w:val="20"/>
              </w:rPr>
            </w:pPr>
          </w:p>
          <w:p w14:paraId="63730CE3" w14:textId="77777777" w:rsidR="004C3029" w:rsidRDefault="004C3029" w:rsidP="001147CF">
            <w:pPr>
              <w:overflowPunct w:val="0"/>
              <w:ind w:left="-57" w:right="-57"/>
              <w:jc w:val="center"/>
              <w:textAlignment w:val="baseline"/>
              <w:rPr>
                <w:b/>
                <w:sz w:val="20"/>
              </w:rPr>
            </w:pPr>
            <w:r>
              <w:rPr>
                <w:b/>
                <w:sz w:val="20"/>
              </w:rPr>
              <w:t>Veiklos (poveiklės, projekto) tipas</w:t>
            </w:r>
          </w:p>
        </w:tc>
        <w:tc>
          <w:tcPr>
            <w:tcW w:w="282" w:type="pct"/>
            <w:shd w:val="clear" w:color="auto" w:fill="DBE5F1" w:themeFill="accent1" w:themeFillTint="33"/>
          </w:tcPr>
          <w:p w14:paraId="4FC25906" w14:textId="77777777" w:rsidR="004C3029" w:rsidRDefault="004C3029" w:rsidP="001147CF">
            <w:pPr>
              <w:overflowPunct w:val="0"/>
              <w:ind w:left="-57" w:right="-57"/>
              <w:jc w:val="center"/>
              <w:textAlignment w:val="baseline"/>
              <w:rPr>
                <w:b/>
                <w:sz w:val="20"/>
              </w:rPr>
            </w:pPr>
          </w:p>
          <w:p w14:paraId="6DDE1EFB" w14:textId="77777777" w:rsidR="004C3029" w:rsidRDefault="004C3029" w:rsidP="001147CF">
            <w:pPr>
              <w:overflowPunct w:val="0"/>
              <w:ind w:left="-57" w:right="-57"/>
              <w:jc w:val="center"/>
              <w:textAlignment w:val="baseline"/>
              <w:rPr>
                <w:b/>
                <w:sz w:val="20"/>
              </w:rPr>
            </w:pPr>
          </w:p>
          <w:p w14:paraId="7D578149" w14:textId="77777777" w:rsidR="004C3029" w:rsidRDefault="004C3029" w:rsidP="001147CF">
            <w:pPr>
              <w:overflowPunct w:val="0"/>
              <w:ind w:left="-57" w:right="-57"/>
              <w:jc w:val="center"/>
              <w:textAlignment w:val="baseline"/>
              <w:rPr>
                <w:b/>
                <w:sz w:val="20"/>
              </w:rPr>
            </w:pPr>
            <w:r>
              <w:rPr>
                <w:b/>
                <w:sz w:val="20"/>
              </w:rPr>
              <w:t>Galimi pareiškėjai</w:t>
            </w:r>
          </w:p>
        </w:tc>
        <w:tc>
          <w:tcPr>
            <w:tcW w:w="351" w:type="pct"/>
            <w:shd w:val="clear" w:color="auto" w:fill="DBE5F1" w:themeFill="accent1" w:themeFillTint="33"/>
          </w:tcPr>
          <w:p w14:paraId="2107C256" w14:textId="77777777" w:rsidR="004C3029" w:rsidRDefault="004C3029" w:rsidP="001147CF">
            <w:pPr>
              <w:overflowPunct w:val="0"/>
              <w:ind w:left="-57" w:right="-57"/>
              <w:jc w:val="center"/>
              <w:textAlignment w:val="baseline"/>
              <w:rPr>
                <w:b/>
                <w:sz w:val="20"/>
              </w:rPr>
            </w:pPr>
          </w:p>
          <w:p w14:paraId="41B7179D" w14:textId="77777777" w:rsidR="004C3029" w:rsidRDefault="004C3029" w:rsidP="001147CF">
            <w:pPr>
              <w:overflowPunct w:val="0"/>
              <w:ind w:left="-57" w:right="-57"/>
              <w:jc w:val="center"/>
              <w:textAlignment w:val="baseline"/>
              <w:rPr>
                <w:b/>
                <w:sz w:val="20"/>
              </w:rPr>
            </w:pPr>
          </w:p>
          <w:p w14:paraId="2811A89F" w14:textId="77777777" w:rsidR="004C3029" w:rsidRDefault="004C3029" w:rsidP="001147CF">
            <w:pPr>
              <w:overflowPunct w:val="0"/>
              <w:ind w:left="-57" w:right="-57"/>
              <w:jc w:val="center"/>
              <w:textAlignment w:val="baseline"/>
              <w:rPr>
                <w:b/>
                <w:sz w:val="20"/>
              </w:rPr>
            </w:pPr>
            <w:r>
              <w:rPr>
                <w:b/>
                <w:sz w:val="20"/>
              </w:rPr>
              <w:t xml:space="preserve">Projektų </w:t>
            </w:r>
          </w:p>
          <w:p w14:paraId="487E9349" w14:textId="77777777" w:rsidR="004C3029" w:rsidRDefault="004C3029" w:rsidP="001147CF">
            <w:pPr>
              <w:overflowPunct w:val="0"/>
              <w:ind w:left="-57" w:right="-57"/>
              <w:jc w:val="center"/>
              <w:textAlignment w:val="baseline"/>
              <w:rPr>
                <w:b/>
                <w:sz w:val="20"/>
              </w:rPr>
            </w:pPr>
            <w:r>
              <w:rPr>
                <w:b/>
                <w:sz w:val="20"/>
              </w:rPr>
              <w:t>atrankos būdas</w:t>
            </w:r>
          </w:p>
        </w:tc>
        <w:tc>
          <w:tcPr>
            <w:tcW w:w="333" w:type="pct"/>
            <w:shd w:val="clear" w:color="auto" w:fill="DBE5F1" w:themeFill="accent1" w:themeFillTint="33"/>
          </w:tcPr>
          <w:p w14:paraId="3AE521D9" w14:textId="77777777" w:rsidR="004C3029" w:rsidRDefault="004C3029" w:rsidP="001147CF">
            <w:pPr>
              <w:overflowPunct w:val="0"/>
              <w:ind w:left="-57" w:right="-57"/>
              <w:jc w:val="center"/>
              <w:textAlignment w:val="baseline"/>
              <w:rPr>
                <w:b/>
                <w:sz w:val="20"/>
              </w:rPr>
            </w:pPr>
            <w:r>
              <w:rPr>
                <w:b/>
                <w:sz w:val="20"/>
              </w:rPr>
              <w:t>Valstybei svarbus ar (ir) Ministro Pirmininko strateginių projektų portfelio projektas</w:t>
            </w:r>
          </w:p>
          <w:p w14:paraId="035062DE" w14:textId="77777777" w:rsidR="004C3029" w:rsidRDefault="004C3029" w:rsidP="001147CF">
            <w:pPr>
              <w:overflowPunct w:val="0"/>
              <w:ind w:left="-57" w:right="-57"/>
              <w:jc w:val="center"/>
              <w:textAlignment w:val="baseline"/>
              <w:rPr>
                <w:b/>
                <w:sz w:val="20"/>
              </w:rPr>
            </w:pPr>
            <w:r>
              <w:rPr>
                <w:b/>
                <w:sz w:val="20"/>
              </w:rPr>
              <w:t>(įrašomas požymis: VS, MPP)</w:t>
            </w:r>
          </w:p>
        </w:tc>
        <w:tc>
          <w:tcPr>
            <w:tcW w:w="308" w:type="pct"/>
            <w:shd w:val="clear" w:color="auto" w:fill="DBE5F1" w:themeFill="accent1" w:themeFillTint="33"/>
          </w:tcPr>
          <w:p w14:paraId="3DED9ABE" w14:textId="77777777" w:rsidR="004C3029" w:rsidRDefault="004C3029" w:rsidP="001147CF">
            <w:pPr>
              <w:overflowPunct w:val="0"/>
              <w:ind w:left="-57" w:right="-57"/>
              <w:jc w:val="center"/>
              <w:textAlignment w:val="baseline"/>
              <w:rPr>
                <w:b/>
                <w:sz w:val="20"/>
              </w:rPr>
            </w:pPr>
          </w:p>
          <w:p w14:paraId="5F56386D" w14:textId="77777777" w:rsidR="004C3029" w:rsidRDefault="004C3029" w:rsidP="001147CF">
            <w:pPr>
              <w:overflowPunct w:val="0"/>
              <w:ind w:left="-57" w:right="-57"/>
              <w:jc w:val="center"/>
              <w:textAlignment w:val="baseline"/>
              <w:rPr>
                <w:b/>
                <w:sz w:val="20"/>
              </w:rPr>
            </w:pPr>
          </w:p>
          <w:p w14:paraId="09BF906F" w14:textId="77777777" w:rsidR="004C3029" w:rsidRDefault="004C3029" w:rsidP="001147CF">
            <w:pPr>
              <w:overflowPunct w:val="0"/>
              <w:ind w:left="-57" w:right="-57"/>
              <w:jc w:val="center"/>
              <w:textAlignment w:val="baseline"/>
              <w:rPr>
                <w:b/>
                <w:sz w:val="20"/>
              </w:rPr>
            </w:pPr>
            <w:r>
              <w:rPr>
                <w:b/>
                <w:sz w:val="20"/>
              </w:rPr>
              <w:t>Tiesiogiai prisidedama prie HP</w:t>
            </w:r>
          </w:p>
          <w:p w14:paraId="151495D8" w14:textId="77777777" w:rsidR="004C3029" w:rsidRDefault="004C3029" w:rsidP="001147CF">
            <w:pPr>
              <w:overflowPunct w:val="0"/>
              <w:ind w:left="-57" w:right="-57"/>
              <w:jc w:val="center"/>
              <w:textAlignment w:val="baseline"/>
              <w:rPr>
                <w:b/>
                <w:sz w:val="20"/>
              </w:rPr>
            </w:pPr>
            <w:r>
              <w:rPr>
                <w:b/>
                <w:sz w:val="20"/>
              </w:rPr>
              <w:t>(Taip / Ne)</w:t>
            </w:r>
          </w:p>
        </w:tc>
        <w:tc>
          <w:tcPr>
            <w:tcW w:w="262" w:type="pct"/>
            <w:shd w:val="clear" w:color="auto" w:fill="DBE5F1" w:themeFill="accent1" w:themeFillTint="33"/>
          </w:tcPr>
          <w:p w14:paraId="51C536B1" w14:textId="77777777" w:rsidR="004C3029" w:rsidRDefault="004C3029" w:rsidP="001147CF">
            <w:pPr>
              <w:overflowPunct w:val="0"/>
              <w:ind w:left="-57" w:right="-57"/>
              <w:jc w:val="center"/>
              <w:textAlignment w:val="baseline"/>
              <w:rPr>
                <w:b/>
                <w:sz w:val="20"/>
              </w:rPr>
            </w:pPr>
          </w:p>
          <w:p w14:paraId="15CFF91F" w14:textId="77777777" w:rsidR="004C3029" w:rsidRDefault="004C3029" w:rsidP="001147CF">
            <w:pPr>
              <w:overflowPunct w:val="0"/>
              <w:ind w:left="-57" w:right="-57"/>
              <w:jc w:val="center"/>
              <w:textAlignment w:val="baseline"/>
              <w:rPr>
                <w:b/>
                <w:sz w:val="20"/>
              </w:rPr>
            </w:pPr>
          </w:p>
          <w:p w14:paraId="6694E56A" w14:textId="77777777" w:rsidR="004C3029" w:rsidRDefault="004C3029" w:rsidP="001147CF">
            <w:pPr>
              <w:overflowPunct w:val="0"/>
              <w:ind w:left="-57" w:right="-57"/>
              <w:jc w:val="center"/>
              <w:textAlignment w:val="baseline"/>
              <w:rPr>
                <w:b/>
                <w:sz w:val="20"/>
              </w:rPr>
            </w:pPr>
            <w:r>
              <w:rPr>
                <w:b/>
                <w:sz w:val="20"/>
              </w:rPr>
              <w:t>Valstybės pagalba (Taip / Ne)</w:t>
            </w:r>
          </w:p>
        </w:tc>
        <w:tc>
          <w:tcPr>
            <w:tcW w:w="308" w:type="pct"/>
            <w:shd w:val="clear" w:color="auto" w:fill="DBE5F1" w:themeFill="accent1" w:themeFillTint="33"/>
          </w:tcPr>
          <w:p w14:paraId="7931F476" w14:textId="77777777" w:rsidR="004C3029" w:rsidRDefault="004C3029" w:rsidP="001147CF">
            <w:pPr>
              <w:overflowPunct w:val="0"/>
              <w:ind w:left="-57" w:right="-57"/>
              <w:jc w:val="center"/>
              <w:textAlignment w:val="baseline"/>
              <w:rPr>
                <w:b/>
                <w:sz w:val="20"/>
              </w:rPr>
            </w:pPr>
          </w:p>
          <w:p w14:paraId="0C7C54B9" w14:textId="77777777" w:rsidR="004C3029" w:rsidRDefault="004C3029" w:rsidP="001147CF">
            <w:pPr>
              <w:overflowPunct w:val="0"/>
              <w:ind w:left="-57" w:right="-57"/>
              <w:jc w:val="center"/>
              <w:textAlignment w:val="baseline"/>
              <w:rPr>
                <w:b/>
                <w:sz w:val="20"/>
              </w:rPr>
            </w:pPr>
          </w:p>
          <w:p w14:paraId="18CAE872" w14:textId="77777777" w:rsidR="004C3029" w:rsidRDefault="004C3029" w:rsidP="001147CF">
            <w:pPr>
              <w:overflowPunct w:val="0"/>
              <w:ind w:left="-57" w:right="-57"/>
              <w:jc w:val="center"/>
              <w:textAlignment w:val="baseline"/>
              <w:rPr>
                <w:b/>
                <w:sz w:val="20"/>
              </w:rPr>
            </w:pPr>
            <w:r>
              <w:rPr>
                <w:b/>
                <w:sz w:val="20"/>
              </w:rPr>
              <w:t>Finansavimo forma</w:t>
            </w:r>
          </w:p>
        </w:tc>
        <w:tc>
          <w:tcPr>
            <w:tcW w:w="307" w:type="pct"/>
            <w:shd w:val="clear" w:color="auto" w:fill="DBE5F1" w:themeFill="accent1" w:themeFillTint="33"/>
          </w:tcPr>
          <w:p w14:paraId="3B440979" w14:textId="77777777" w:rsidR="004C3029" w:rsidRDefault="004C3029" w:rsidP="001147CF">
            <w:pPr>
              <w:overflowPunct w:val="0"/>
              <w:ind w:left="-57" w:right="-57"/>
              <w:jc w:val="center"/>
              <w:textAlignment w:val="baseline"/>
              <w:rPr>
                <w:b/>
                <w:sz w:val="20"/>
              </w:rPr>
            </w:pPr>
          </w:p>
          <w:p w14:paraId="3C2C394E" w14:textId="77777777" w:rsidR="004C3029" w:rsidRDefault="004C3029" w:rsidP="001147CF">
            <w:pPr>
              <w:overflowPunct w:val="0"/>
              <w:ind w:left="-57" w:right="-57"/>
              <w:jc w:val="center"/>
              <w:textAlignment w:val="baseline"/>
              <w:rPr>
                <w:b/>
                <w:sz w:val="20"/>
              </w:rPr>
            </w:pPr>
          </w:p>
          <w:p w14:paraId="079F30B8" w14:textId="77777777" w:rsidR="004C3029" w:rsidRDefault="004C3029" w:rsidP="001147CF">
            <w:pPr>
              <w:overflowPunct w:val="0"/>
              <w:ind w:left="-57" w:right="-57"/>
              <w:jc w:val="center"/>
              <w:textAlignment w:val="baseline"/>
              <w:rPr>
                <w:b/>
                <w:sz w:val="20"/>
              </w:rPr>
            </w:pPr>
            <w:r>
              <w:rPr>
                <w:b/>
                <w:sz w:val="20"/>
              </w:rPr>
              <w:t>Finansavimo suma(tūkst. eurų)</w:t>
            </w:r>
          </w:p>
        </w:tc>
        <w:tc>
          <w:tcPr>
            <w:tcW w:w="308" w:type="pct"/>
            <w:shd w:val="clear" w:color="auto" w:fill="DBE5F1" w:themeFill="accent1" w:themeFillTint="33"/>
          </w:tcPr>
          <w:p w14:paraId="011CABFC" w14:textId="77777777" w:rsidR="004C3029" w:rsidRDefault="004C3029" w:rsidP="001147CF">
            <w:pPr>
              <w:overflowPunct w:val="0"/>
              <w:ind w:left="-57" w:right="-57"/>
              <w:jc w:val="center"/>
              <w:textAlignment w:val="baseline"/>
              <w:rPr>
                <w:b/>
                <w:sz w:val="20"/>
              </w:rPr>
            </w:pPr>
          </w:p>
          <w:p w14:paraId="43FE8B4F" w14:textId="77777777" w:rsidR="004C3029" w:rsidRDefault="004C3029" w:rsidP="001147CF">
            <w:pPr>
              <w:overflowPunct w:val="0"/>
              <w:ind w:left="-57" w:right="-57"/>
              <w:jc w:val="center"/>
              <w:textAlignment w:val="baseline"/>
              <w:rPr>
                <w:b/>
                <w:sz w:val="20"/>
              </w:rPr>
            </w:pPr>
          </w:p>
          <w:p w14:paraId="17332859" w14:textId="77777777" w:rsidR="004C3029" w:rsidRDefault="004C3029" w:rsidP="001147CF">
            <w:pPr>
              <w:overflowPunct w:val="0"/>
              <w:ind w:left="-57" w:right="-57"/>
              <w:jc w:val="center"/>
              <w:textAlignment w:val="baseline"/>
              <w:rPr>
                <w:b/>
                <w:sz w:val="20"/>
                <w:vertAlign w:val="superscript"/>
              </w:rPr>
            </w:pPr>
            <w:r>
              <w:rPr>
                <w:b/>
                <w:sz w:val="20"/>
              </w:rPr>
              <w:t>Finansavimo šaltinis</w:t>
            </w:r>
            <w:r>
              <w:rPr>
                <w:b/>
                <w:sz w:val="20"/>
                <w:vertAlign w:val="superscript"/>
              </w:rPr>
              <w:t xml:space="preserve"> </w:t>
            </w:r>
            <w:r>
              <w:rPr>
                <w:b/>
                <w:sz w:val="20"/>
              </w:rPr>
              <w:t>(-iai)</w:t>
            </w:r>
          </w:p>
        </w:tc>
        <w:tc>
          <w:tcPr>
            <w:tcW w:w="437" w:type="pct"/>
            <w:shd w:val="clear" w:color="auto" w:fill="DBE5F1" w:themeFill="accent1" w:themeFillTint="33"/>
          </w:tcPr>
          <w:p w14:paraId="209FAAB0" w14:textId="77777777" w:rsidR="004C3029" w:rsidRDefault="004C3029" w:rsidP="001147CF">
            <w:pPr>
              <w:overflowPunct w:val="0"/>
              <w:ind w:left="-57" w:right="-57"/>
              <w:jc w:val="center"/>
              <w:textAlignment w:val="baseline"/>
              <w:rPr>
                <w:b/>
                <w:sz w:val="20"/>
              </w:rPr>
            </w:pPr>
          </w:p>
          <w:p w14:paraId="2863D8F0" w14:textId="77777777" w:rsidR="004C3029" w:rsidRDefault="004C3029" w:rsidP="001147CF">
            <w:pPr>
              <w:overflowPunct w:val="0"/>
              <w:ind w:left="-57" w:right="-57"/>
              <w:jc w:val="center"/>
              <w:textAlignment w:val="baseline"/>
              <w:rPr>
                <w:b/>
                <w:sz w:val="20"/>
              </w:rPr>
            </w:pPr>
          </w:p>
          <w:p w14:paraId="19862F1B" w14:textId="77777777" w:rsidR="004C3029" w:rsidRDefault="004C3029" w:rsidP="001147CF">
            <w:pPr>
              <w:overflowPunct w:val="0"/>
              <w:ind w:left="-57" w:right="-57"/>
              <w:jc w:val="center"/>
              <w:textAlignment w:val="baseline"/>
              <w:rPr>
                <w:b/>
                <w:sz w:val="20"/>
              </w:rPr>
            </w:pPr>
            <w:r>
              <w:rPr>
                <w:b/>
                <w:sz w:val="20"/>
              </w:rPr>
              <w:t>Rodiklio pavadinimas ir tipas</w:t>
            </w:r>
          </w:p>
        </w:tc>
        <w:tc>
          <w:tcPr>
            <w:tcW w:w="220" w:type="pct"/>
            <w:shd w:val="clear" w:color="auto" w:fill="DBE5F1" w:themeFill="accent1" w:themeFillTint="33"/>
          </w:tcPr>
          <w:p w14:paraId="4BC9CFF6" w14:textId="77777777" w:rsidR="004C3029" w:rsidRDefault="004C3029" w:rsidP="001147CF">
            <w:pPr>
              <w:overflowPunct w:val="0"/>
              <w:ind w:left="-57" w:right="-57"/>
              <w:jc w:val="center"/>
              <w:textAlignment w:val="baseline"/>
              <w:rPr>
                <w:b/>
                <w:sz w:val="20"/>
              </w:rPr>
            </w:pPr>
          </w:p>
          <w:p w14:paraId="183BF034" w14:textId="77777777" w:rsidR="004C3029" w:rsidRDefault="004C3029" w:rsidP="001147CF">
            <w:pPr>
              <w:overflowPunct w:val="0"/>
              <w:ind w:left="-57" w:right="-57"/>
              <w:jc w:val="center"/>
              <w:textAlignment w:val="baseline"/>
              <w:rPr>
                <w:b/>
                <w:sz w:val="20"/>
              </w:rPr>
            </w:pPr>
          </w:p>
          <w:p w14:paraId="4E7ABA94" w14:textId="77777777" w:rsidR="004C3029" w:rsidRDefault="004C3029" w:rsidP="001147CF">
            <w:pPr>
              <w:overflowPunct w:val="0"/>
              <w:ind w:left="-57" w:right="-57"/>
              <w:jc w:val="center"/>
              <w:textAlignment w:val="baseline"/>
              <w:rPr>
                <w:b/>
                <w:sz w:val="20"/>
              </w:rPr>
            </w:pPr>
            <w:r>
              <w:rPr>
                <w:b/>
                <w:sz w:val="20"/>
              </w:rPr>
              <w:t>Siektina galutinė rodiklio reikšmė</w:t>
            </w:r>
          </w:p>
        </w:tc>
        <w:tc>
          <w:tcPr>
            <w:tcW w:w="263" w:type="pct"/>
            <w:shd w:val="clear" w:color="auto" w:fill="DBE5F1" w:themeFill="accent1" w:themeFillTint="33"/>
          </w:tcPr>
          <w:p w14:paraId="5554A8BD" w14:textId="77777777" w:rsidR="004C3029" w:rsidRDefault="004C3029" w:rsidP="001147CF">
            <w:pPr>
              <w:overflowPunct w:val="0"/>
              <w:ind w:left="-57" w:right="-57"/>
              <w:jc w:val="center"/>
              <w:textAlignment w:val="baseline"/>
              <w:rPr>
                <w:b/>
                <w:sz w:val="20"/>
              </w:rPr>
            </w:pPr>
          </w:p>
          <w:p w14:paraId="2BDA46DC" w14:textId="77777777" w:rsidR="004C3029" w:rsidRDefault="004C3029" w:rsidP="001147CF">
            <w:pPr>
              <w:overflowPunct w:val="0"/>
              <w:ind w:left="-57" w:right="-57"/>
              <w:jc w:val="center"/>
              <w:textAlignment w:val="baseline"/>
              <w:rPr>
                <w:b/>
                <w:sz w:val="20"/>
              </w:rPr>
            </w:pPr>
          </w:p>
          <w:p w14:paraId="6FDD247C" w14:textId="77777777" w:rsidR="004C3029" w:rsidRDefault="004C3029" w:rsidP="001147CF">
            <w:pPr>
              <w:overflowPunct w:val="0"/>
              <w:ind w:left="-57" w:right="-57"/>
              <w:jc w:val="center"/>
              <w:textAlignment w:val="baseline"/>
              <w:rPr>
                <w:b/>
                <w:bCs/>
                <w:sz w:val="20"/>
              </w:rPr>
            </w:pPr>
            <w:r>
              <w:rPr>
                <w:b/>
                <w:bCs/>
                <w:sz w:val="20"/>
              </w:rPr>
              <w:t>Įgyvendi-nimo pradžia (metai)</w:t>
            </w:r>
          </w:p>
        </w:tc>
        <w:tc>
          <w:tcPr>
            <w:tcW w:w="326" w:type="pct"/>
            <w:shd w:val="clear" w:color="auto" w:fill="DBE5F1" w:themeFill="accent1" w:themeFillTint="33"/>
          </w:tcPr>
          <w:p w14:paraId="11CD9C97" w14:textId="77777777" w:rsidR="004C3029" w:rsidRDefault="004C3029" w:rsidP="001147CF">
            <w:pPr>
              <w:overflowPunct w:val="0"/>
              <w:ind w:left="-57" w:right="-57"/>
              <w:jc w:val="center"/>
              <w:textAlignment w:val="baseline"/>
              <w:rPr>
                <w:b/>
                <w:sz w:val="20"/>
              </w:rPr>
            </w:pPr>
          </w:p>
          <w:p w14:paraId="17FD03EE" w14:textId="77777777" w:rsidR="004C3029" w:rsidRDefault="004C3029" w:rsidP="001147CF">
            <w:pPr>
              <w:overflowPunct w:val="0"/>
              <w:ind w:left="-57" w:right="-57"/>
              <w:jc w:val="center"/>
              <w:textAlignment w:val="baseline"/>
              <w:rPr>
                <w:b/>
                <w:sz w:val="20"/>
              </w:rPr>
            </w:pPr>
          </w:p>
          <w:p w14:paraId="608C8857" w14:textId="77777777" w:rsidR="004C3029" w:rsidRDefault="004C3029" w:rsidP="001147CF">
            <w:pPr>
              <w:overflowPunct w:val="0"/>
              <w:ind w:left="-57" w:right="-57"/>
              <w:jc w:val="center"/>
              <w:textAlignment w:val="baseline"/>
              <w:rPr>
                <w:b/>
                <w:strike/>
                <w:sz w:val="20"/>
              </w:rPr>
            </w:pPr>
            <w:r>
              <w:rPr>
                <w:b/>
                <w:sz w:val="20"/>
              </w:rPr>
              <w:t>Adminis-truojančioji institucija</w:t>
            </w:r>
          </w:p>
        </w:tc>
        <w:tc>
          <w:tcPr>
            <w:tcW w:w="308" w:type="pct"/>
            <w:shd w:val="clear" w:color="auto" w:fill="DBE5F1" w:themeFill="accent1" w:themeFillTint="33"/>
          </w:tcPr>
          <w:p w14:paraId="0A576B5E" w14:textId="77777777" w:rsidR="004C3029" w:rsidRDefault="004C3029" w:rsidP="001147CF">
            <w:pPr>
              <w:overflowPunct w:val="0"/>
              <w:ind w:left="-57" w:right="-57"/>
              <w:jc w:val="center"/>
              <w:textAlignment w:val="baseline"/>
              <w:rPr>
                <w:b/>
                <w:sz w:val="20"/>
              </w:rPr>
            </w:pPr>
          </w:p>
          <w:p w14:paraId="56BEAEFE" w14:textId="77777777" w:rsidR="004C3029" w:rsidRDefault="004C3029" w:rsidP="001147CF">
            <w:pPr>
              <w:overflowPunct w:val="0"/>
              <w:ind w:left="-57" w:right="-57"/>
              <w:jc w:val="center"/>
              <w:textAlignment w:val="baseline"/>
              <w:rPr>
                <w:b/>
                <w:sz w:val="20"/>
              </w:rPr>
            </w:pPr>
          </w:p>
          <w:p w14:paraId="6C4C28CD" w14:textId="77777777" w:rsidR="004C3029" w:rsidRDefault="004C3029" w:rsidP="001147CF">
            <w:pPr>
              <w:overflowPunct w:val="0"/>
              <w:ind w:left="-57" w:right="-57"/>
              <w:jc w:val="center"/>
              <w:textAlignment w:val="baseline"/>
              <w:rPr>
                <w:b/>
                <w:sz w:val="20"/>
              </w:rPr>
            </w:pPr>
            <w:r>
              <w:rPr>
                <w:b/>
                <w:sz w:val="20"/>
              </w:rPr>
              <w:t>Dalyvau-janti institucija</w:t>
            </w:r>
          </w:p>
        </w:tc>
      </w:tr>
      <w:tr w:rsidR="004C3029" w14:paraId="4B05D2EB" w14:textId="77777777" w:rsidTr="001147CF">
        <w:trPr>
          <w:trHeight w:val="279"/>
        </w:trPr>
        <w:tc>
          <w:tcPr>
            <w:tcW w:w="704" w:type="pct"/>
            <w:shd w:val="clear" w:color="auto" w:fill="DBE5F1" w:themeFill="accent1" w:themeFillTint="33"/>
          </w:tcPr>
          <w:p w14:paraId="0FDA281D" w14:textId="77777777" w:rsidR="004C3029" w:rsidRDefault="004C3029" w:rsidP="001147CF">
            <w:pPr>
              <w:overflowPunct w:val="0"/>
              <w:ind w:left="-57" w:right="-57"/>
              <w:jc w:val="center"/>
              <w:textAlignment w:val="baseline"/>
              <w:rPr>
                <w:b/>
                <w:sz w:val="20"/>
              </w:rPr>
            </w:pPr>
            <w:r>
              <w:rPr>
                <w:b/>
                <w:sz w:val="20"/>
              </w:rPr>
              <w:t>1</w:t>
            </w:r>
          </w:p>
        </w:tc>
        <w:tc>
          <w:tcPr>
            <w:tcW w:w="283" w:type="pct"/>
            <w:shd w:val="clear" w:color="auto" w:fill="DBE5F1" w:themeFill="accent1" w:themeFillTint="33"/>
          </w:tcPr>
          <w:p w14:paraId="3F419B6E" w14:textId="77777777" w:rsidR="004C3029" w:rsidRDefault="004C3029" w:rsidP="001147CF">
            <w:pPr>
              <w:overflowPunct w:val="0"/>
              <w:ind w:left="-57" w:right="-57"/>
              <w:jc w:val="center"/>
              <w:textAlignment w:val="baseline"/>
              <w:rPr>
                <w:b/>
                <w:sz w:val="20"/>
              </w:rPr>
            </w:pPr>
            <w:r>
              <w:rPr>
                <w:b/>
                <w:sz w:val="20"/>
              </w:rPr>
              <w:t>2</w:t>
            </w:r>
          </w:p>
        </w:tc>
        <w:tc>
          <w:tcPr>
            <w:tcW w:w="282" w:type="pct"/>
            <w:shd w:val="clear" w:color="auto" w:fill="DBE5F1" w:themeFill="accent1" w:themeFillTint="33"/>
          </w:tcPr>
          <w:p w14:paraId="52F49BF5" w14:textId="77777777" w:rsidR="004C3029" w:rsidRDefault="004C3029" w:rsidP="001147CF">
            <w:pPr>
              <w:overflowPunct w:val="0"/>
              <w:ind w:left="-57" w:right="-57"/>
              <w:jc w:val="center"/>
              <w:textAlignment w:val="baseline"/>
              <w:rPr>
                <w:b/>
                <w:sz w:val="20"/>
              </w:rPr>
            </w:pPr>
            <w:r>
              <w:rPr>
                <w:b/>
                <w:sz w:val="20"/>
              </w:rPr>
              <w:t>3</w:t>
            </w:r>
          </w:p>
        </w:tc>
        <w:tc>
          <w:tcPr>
            <w:tcW w:w="351" w:type="pct"/>
            <w:shd w:val="clear" w:color="auto" w:fill="DBE5F1" w:themeFill="accent1" w:themeFillTint="33"/>
          </w:tcPr>
          <w:p w14:paraId="0D0FED69" w14:textId="77777777" w:rsidR="004C3029" w:rsidRDefault="004C3029" w:rsidP="001147CF">
            <w:pPr>
              <w:overflowPunct w:val="0"/>
              <w:ind w:left="-57" w:right="-57"/>
              <w:jc w:val="center"/>
              <w:textAlignment w:val="baseline"/>
              <w:rPr>
                <w:b/>
                <w:sz w:val="20"/>
              </w:rPr>
            </w:pPr>
            <w:r>
              <w:rPr>
                <w:b/>
                <w:sz w:val="20"/>
              </w:rPr>
              <w:t>4</w:t>
            </w:r>
          </w:p>
        </w:tc>
        <w:tc>
          <w:tcPr>
            <w:tcW w:w="333" w:type="pct"/>
            <w:shd w:val="clear" w:color="auto" w:fill="DBE5F1" w:themeFill="accent1" w:themeFillTint="33"/>
          </w:tcPr>
          <w:p w14:paraId="37137BBC" w14:textId="77777777" w:rsidR="004C3029" w:rsidRDefault="004C3029" w:rsidP="001147CF">
            <w:pPr>
              <w:overflowPunct w:val="0"/>
              <w:ind w:left="-57" w:right="-57"/>
              <w:jc w:val="center"/>
              <w:textAlignment w:val="baseline"/>
              <w:rPr>
                <w:b/>
                <w:sz w:val="20"/>
              </w:rPr>
            </w:pPr>
            <w:r>
              <w:rPr>
                <w:b/>
                <w:sz w:val="20"/>
              </w:rPr>
              <w:t>5</w:t>
            </w:r>
          </w:p>
        </w:tc>
        <w:tc>
          <w:tcPr>
            <w:tcW w:w="308" w:type="pct"/>
            <w:shd w:val="clear" w:color="auto" w:fill="DBE5F1" w:themeFill="accent1" w:themeFillTint="33"/>
          </w:tcPr>
          <w:p w14:paraId="017EA3AF" w14:textId="77777777" w:rsidR="004C3029" w:rsidRDefault="004C3029" w:rsidP="001147CF">
            <w:pPr>
              <w:overflowPunct w:val="0"/>
              <w:ind w:left="-57" w:right="-57"/>
              <w:jc w:val="center"/>
              <w:textAlignment w:val="baseline"/>
              <w:rPr>
                <w:b/>
                <w:sz w:val="20"/>
              </w:rPr>
            </w:pPr>
            <w:r>
              <w:rPr>
                <w:b/>
                <w:sz w:val="20"/>
              </w:rPr>
              <w:t>6</w:t>
            </w:r>
          </w:p>
        </w:tc>
        <w:tc>
          <w:tcPr>
            <w:tcW w:w="262" w:type="pct"/>
            <w:shd w:val="clear" w:color="auto" w:fill="DBE5F1" w:themeFill="accent1" w:themeFillTint="33"/>
          </w:tcPr>
          <w:p w14:paraId="725A0F84" w14:textId="77777777" w:rsidR="004C3029" w:rsidRDefault="004C3029" w:rsidP="001147CF">
            <w:pPr>
              <w:overflowPunct w:val="0"/>
              <w:ind w:left="-57" w:right="-57"/>
              <w:jc w:val="center"/>
              <w:textAlignment w:val="baseline"/>
              <w:rPr>
                <w:b/>
                <w:sz w:val="20"/>
              </w:rPr>
            </w:pPr>
            <w:r>
              <w:rPr>
                <w:b/>
                <w:sz w:val="20"/>
              </w:rPr>
              <w:t>7</w:t>
            </w:r>
          </w:p>
        </w:tc>
        <w:tc>
          <w:tcPr>
            <w:tcW w:w="308" w:type="pct"/>
            <w:shd w:val="clear" w:color="auto" w:fill="DBE5F1" w:themeFill="accent1" w:themeFillTint="33"/>
          </w:tcPr>
          <w:p w14:paraId="04123BD6" w14:textId="77777777" w:rsidR="004C3029" w:rsidRDefault="004C3029" w:rsidP="001147CF">
            <w:pPr>
              <w:overflowPunct w:val="0"/>
              <w:ind w:left="-57" w:right="-57"/>
              <w:jc w:val="center"/>
              <w:textAlignment w:val="baseline"/>
              <w:rPr>
                <w:b/>
                <w:sz w:val="20"/>
              </w:rPr>
            </w:pPr>
            <w:r>
              <w:rPr>
                <w:b/>
                <w:sz w:val="20"/>
              </w:rPr>
              <w:t>8</w:t>
            </w:r>
          </w:p>
        </w:tc>
        <w:tc>
          <w:tcPr>
            <w:tcW w:w="307" w:type="pct"/>
            <w:shd w:val="clear" w:color="auto" w:fill="DBE5F1" w:themeFill="accent1" w:themeFillTint="33"/>
          </w:tcPr>
          <w:p w14:paraId="4A8E2994" w14:textId="77777777" w:rsidR="004C3029" w:rsidRDefault="004C3029" w:rsidP="001147CF">
            <w:pPr>
              <w:overflowPunct w:val="0"/>
              <w:ind w:left="-57" w:right="-57"/>
              <w:jc w:val="center"/>
              <w:textAlignment w:val="baseline"/>
              <w:rPr>
                <w:b/>
                <w:sz w:val="20"/>
              </w:rPr>
            </w:pPr>
            <w:r>
              <w:rPr>
                <w:b/>
                <w:sz w:val="20"/>
              </w:rPr>
              <w:t>9</w:t>
            </w:r>
          </w:p>
        </w:tc>
        <w:tc>
          <w:tcPr>
            <w:tcW w:w="308" w:type="pct"/>
            <w:shd w:val="clear" w:color="auto" w:fill="DBE5F1" w:themeFill="accent1" w:themeFillTint="33"/>
          </w:tcPr>
          <w:p w14:paraId="4ADDEC61" w14:textId="77777777" w:rsidR="004C3029" w:rsidRDefault="004C3029" w:rsidP="001147CF">
            <w:pPr>
              <w:overflowPunct w:val="0"/>
              <w:ind w:left="-57" w:right="-57"/>
              <w:jc w:val="center"/>
              <w:textAlignment w:val="baseline"/>
              <w:rPr>
                <w:b/>
                <w:sz w:val="20"/>
              </w:rPr>
            </w:pPr>
            <w:r>
              <w:rPr>
                <w:b/>
                <w:sz w:val="20"/>
              </w:rPr>
              <w:t>10</w:t>
            </w:r>
          </w:p>
        </w:tc>
        <w:tc>
          <w:tcPr>
            <w:tcW w:w="437" w:type="pct"/>
            <w:shd w:val="clear" w:color="auto" w:fill="DBE5F1" w:themeFill="accent1" w:themeFillTint="33"/>
          </w:tcPr>
          <w:p w14:paraId="3EC2285E" w14:textId="77777777" w:rsidR="004C3029" w:rsidRDefault="004C3029" w:rsidP="001147CF">
            <w:pPr>
              <w:overflowPunct w:val="0"/>
              <w:ind w:left="-57" w:right="-57"/>
              <w:jc w:val="center"/>
              <w:textAlignment w:val="baseline"/>
              <w:rPr>
                <w:b/>
                <w:sz w:val="20"/>
              </w:rPr>
            </w:pPr>
            <w:r>
              <w:rPr>
                <w:b/>
                <w:sz w:val="20"/>
              </w:rPr>
              <w:t>11</w:t>
            </w:r>
          </w:p>
        </w:tc>
        <w:tc>
          <w:tcPr>
            <w:tcW w:w="220" w:type="pct"/>
            <w:shd w:val="clear" w:color="auto" w:fill="DBE5F1" w:themeFill="accent1" w:themeFillTint="33"/>
          </w:tcPr>
          <w:p w14:paraId="399383E7" w14:textId="77777777" w:rsidR="004C3029" w:rsidRDefault="004C3029" w:rsidP="001147CF">
            <w:pPr>
              <w:overflowPunct w:val="0"/>
              <w:ind w:left="-57" w:right="-57"/>
              <w:jc w:val="center"/>
              <w:textAlignment w:val="baseline"/>
              <w:rPr>
                <w:b/>
                <w:sz w:val="20"/>
              </w:rPr>
            </w:pPr>
            <w:r>
              <w:rPr>
                <w:b/>
                <w:sz w:val="20"/>
              </w:rPr>
              <w:t>12</w:t>
            </w:r>
          </w:p>
        </w:tc>
        <w:tc>
          <w:tcPr>
            <w:tcW w:w="263" w:type="pct"/>
            <w:shd w:val="clear" w:color="auto" w:fill="DBE5F1" w:themeFill="accent1" w:themeFillTint="33"/>
          </w:tcPr>
          <w:p w14:paraId="6B380204" w14:textId="77777777" w:rsidR="004C3029" w:rsidRDefault="004C3029" w:rsidP="001147CF">
            <w:pPr>
              <w:overflowPunct w:val="0"/>
              <w:ind w:left="-57" w:right="-57"/>
              <w:jc w:val="center"/>
              <w:textAlignment w:val="baseline"/>
              <w:rPr>
                <w:b/>
                <w:sz w:val="20"/>
              </w:rPr>
            </w:pPr>
            <w:r>
              <w:rPr>
                <w:b/>
                <w:sz w:val="20"/>
              </w:rPr>
              <w:t>13</w:t>
            </w:r>
          </w:p>
        </w:tc>
        <w:tc>
          <w:tcPr>
            <w:tcW w:w="326" w:type="pct"/>
            <w:shd w:val="clear" w:color="auto" w:fill="DBE5F1" w:themeFill="accent1" w:themeFillTint="33"/>
          </w:tcPr>
          <w:p w14:paraId="5EB25022" w14:textId="77777777" w:rsidR="004C3029" w:rsidRDefault="004C3029" w:rsidP="001147CF">
            <w:pPr>
              <w:overflowPunct w:val="0"/>
              <w:ind w:left="-57" w:right="-57"/>
              <w:jc w:val="center"/>
              <w:textAlignment w:val="baseline"/>
              <w:rPr>
                <w:b/>
                <w:sz w:val="20"/>
              </w:rPr>
            </w:pPr>
            <w:r>
              <w:rPr>
                <w:b/>
                <w:sz w:val="20"/>
              </w:rPr>
              <w:t>14</w:t>
            </w:r>
          </w:p>
        </w:tc>
        <w:tc>
          <w:tcPr>
            <w:tcW w:w="308" w:type="pct"/>
            <w:shd w:val="clear" w:color="auto" w:fill="DBE5F1" w:themeFill="accent1" w:themeFillTint="33"/>
          </w:tcPr>
          <w:p w14:paraId="79B90BC7" w14:textId="77777777" w:rsidR="004C3029" w:rsidRDefault="004C3029" w:rsidP="001147CF">
            <w:pPr>
              <w:overflowPunct w:val="0"/>
              <w:ind w:left="-57" w:right="-57"/>
              <w:jc w:val="center"/>
              <w:textAlignment w:val="baseline"/>
              <w:rPr>
                <w:b/>
                <w:sz w:val="20"/>
              </w:rPr>
            </w:pPr>
            <w:r>
              <w:rPr>
                <w:b/>
                <w:sz w:val="20"/>
              </w:rPr>
              <w:t>15</w:t>
            </w:r>
          </w:p>
        </w:tc>
      </w:tr>
      <w:tr w:rsidR="004C3029" w14:paraId="2F46AA36" w14:textId="77777777" w:rsidTr="001147CF">
        <w:trPr>
          <w:trHeight w:val="505"/>
        </w:trPr>
        <w:tc>
          <w:tcPr>
            <w:tcW w:w="704" w:type="pct"/>
            <w:vMerge w:val="restart"/>
          </w:tcPr>
          <w:p w14:paraId="39796480" w14:textId="77777777" w:rsidR="004C3029" w:rsidRDefault="004C3029" w:rsidP="001147CF">
            <w:pPr>
              <w:overflowPunct w:val="0"/>
              <w:ind w:left="-57" w:right="-57"/>
              <w:textAlignment w:val="baseline"/>
              <w:rPr>
                <w:sz w:val="20"/>
              </w:rPr>
            </w:pPr>
            <w:r>
              <w:rPr>
                <w:sz w:val="20"/>
              </w:rPr>
              <w:t>1. Sukurti teisines prielaidas įtraukiojo švietimo įgyvendinimui</w:t>
            </w:r>
          </w:p>
        </w:tc>
        <w:tc>
          <w:tcPr>
            <w:tcW w:w="283" w:type="pct"/>
            <w:vMerge w:val="restart"/>
          </w:tcPr>
          <w:p w14:paraId="01116842" w14:textId="77777777" w:rsidR="004C3029" w:rsidRDefault="004C3029" w:rsidP="001147CF">
            <w:pPr>
              <w:overflowPunct w:val="0"/>
              <w:ind w:left="-57" w:right="-57"/>
              <w:jc w:val="center"/>
              <w:textAlignment w:val="baseline"/>
              <w:rPr>
                <w:sz w:val="20"/>
              </w:rPr>
            </w:pPr>
            <w:r>
              <w:rPr>
                <w:sz w:val="20"/>
              </w:rPr>
              <w:t>M (A, R)</w:t>
            </w:r>
          </w:p>
        </w:tc>
        <w:tc>
          <w:tcPr>
            <w:tcW w:w="282" w:type="pct"/>
            <w:vMerge w:val="restart"/>
          </w:tcPr>
          <w:p w14:paraId="13D952B8" w14:textId="77777777" w:rsidR="004C3029" w:rsidRDefault="004C3029" w:rsidP="001147CF">
            <w:pPr>
              <w:overflowPunct w:val="0"/>
              <w:ind w:left="-57" w:right="-57"/>
              <w:jc w:val="center"/>
              <w:textAlignment w:val="baseline"/>
              <w:rPr>
                <w:sz w:val="20"/>
              </w:rPr>
            </w:pPr>
            <w:r>
              <w:rPr>
                <w:sz w:val="20"/>
              </w:rPr>
              <w:t>–</w:t>
            </w:r>
          </w:p>
        </w:tc>
        <w:tc>
          <w:tcPr>
            <w:tcW w:w="351" w:type="pct"/>
            <w:vMerge w:val="restart"/>
          </w:tcPr>
          <w:p w14:paraId="13470CCD" w14:textId="77777777" w:rsidR="004C3029" w:rsidRDefault="004C3029" w:rsidP="001147CF">
            <w:pPr>
              <w:overflowPunct w:val="0"/>
              <w:ind w:left="-57" w:right="-57"/>
              <w:jc w:val="center"/>
              <w:textAlignment w:val="baseline"/>
              <w:rPr>
                <w:sz w:val="20"/>
              </w:rPr>
            </w:pPr>
            <w:r>
              <w:rPr>
                <w:sz w:val="20"/>
              </w:rPr>
              <w:t>–</w:t>
            </w:r>
          </w:p>
        </w:tc>
        <w:tc>
          <w:tcPr>
            <w:tcW w:w="333" w:type="pct"/>
            <w:vMerge w:val="restart"/>
          </w:tcPr>
          <w:p w14:paraId="27C2DD0B"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79A6B28A" w14:textId="77777777" w:rsidR="004C3029" w:rsidRDefault="004C3029" w:rsidP="001147CF">
            <w:pPr>
              <w:overflowPunct w:val="0"/>
              <w:ind w:left="-57" w:right="-57"/>
              <w:jc w:val="center"/>
              <w:textAlignment w:val="baseline"/>
              <w:rPr>
                <w:sz w:val="20"/>
              </w:rPr>
            </w:pPr>
            <w:r>
              <w:rPr>
                <w:sz w:val="20"/>
              </w:rPr>
              <w:t>Taip</w:t>
            </w:r>
          </w:p>
          <w:p w14:paraId="0B1C61E4" w14:textId="77777777" w:rsidR="004C3029" w:rsidRDefault="004C3029" w:rsidP="001147CF">
            <w:pPr>
              <w:overflowPunct w:val="0"/>
              <w:textAlignment w:val="baseline"/>
              <w:rPr>
                <w:sz w:val="20"/>
              </w:rPr>
            </w:pPr>
          </w:p>
          <w:p w14:paraId="5AE42C89" w14:textId="77777777" w:rsidR="004C3029" w:rsidRDefault="004C3029" w:rsidP="001147CF">
            <w:pPr>
              <w:overflowPunct w:val="0"/>
              <w:textAlignment w:val="baseline"/>
              <w:rPr>
                <w:sz w:val="20"/>
              </w:rPr>
            </w:pPr>
          </w:p>
          <w:p w14:paraId="7E8D7342" w14:textId="77777777" w:rsidR="004C3029" w:rsidRDefault="004C3029" w:rsidP="001147CF">
            <w:pPr>
              <w:overflowPunct w:val="0"/>
              <w:textAlignment w:val="baseline"/>
              <w:rPr>
                <w:sz w:val="20"/>
              </w:rPr>
            </w:pPr>
          </w:p>
          <w:p w14:paraId="138BB5F9" w14:textId="77777777" w:rsidR="004C3029" w:rsidRDefault="004C3029" w:rsidP="001147CF">
            <w:pPr>
              <w:overflowPunct w:val="0"/>
              <w:textAlignment w:val="baseline"/>
              <w:rPr>
                <w:sz w:val="20"/>
              </w:rPr>
            </w:pPr>
          </w:p>
        </w:tc>
        <w:tc>
          <w:tcPr>
            <w:tcW w:w="262" w:type="pct"/>
            <w:vMerge w:val="restart"/>
          </w:tcPr>
          <w:p w14:paraId="71D0C2D5"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70CF5A1D" w14:textId="77777777" w:rsidR="004C3029" w:rsidRDefault="004C3029" w:rsidP="001147CF">
            <w:pPr>
              <w:overflowPunct w:val="0"/>
              <w:ind w:left="-57" w:right="-57"/>
              <w:jc w:val="center"/>
              <w:textAlignment w:val="baseline"/>
              <w:rPr>
                <w:sz w:val="20"/>
              </w:rPr>
            </w:pPr>
            <w:r>
              <w:rPr>
                <w:sz w:val="20"/>
              </w:rPr>
              <w:t>–</w:t>
            </w:r>
          </w:p>
        </w:tc>
        <w:tc>
          <w:tcPr>
            <w:tcW w:w="307" w:type="pct"/>
            <w:vMerge w:val="restart"/>
          </w:tcPr>
          <w:p w14:paraId="5DC10ABC" w14:textId="77777777" w:rsidR="004C3029" w:rsidRDefault="004C3029" w:rsidP="001147CF">
            <w:pPr>
              <w:overflowPunct w:val="0"/>
              <w:ind w:left="-57" w:right="-57"/>
              <w:jc w:val="center"/>
              <w:textAlignment w:val="baseline"/>
              <w:rPr>
                <w:sz w:val="20"/>
              </w:rPr>
            </w:pPr>
            <w:r>
              <w:rPr>
                <w:sz w:val="20"/>
              </w:rPr>
              <w:t>–</w:t>
            </w:r>
          </w:p>
          <w:p w14:paraId="51C5C668" w14:textId="77777777" w:rsidR="004C3029" w:rsidRDefault="004C3029" w:rsidP="001147CF">
            <w:pPr>
              <w:overflowPunct w:val="0"/>
              <w:ind w:right="-57"/>
              <w:jc w:val="center"/>
              <w:textAlignment w:val="baseline"/>
              <w:rPr>
                <w:sz w:val="20"/>
              </w:rPr>
            </w:pPr>
          </w:p>
        </w:tc>
        <w:tc>
          <w:tcPr>
            <w:tcW w:w="308" w:type="pct"/>
            <w:vMerge w:val="restart"/>
          </w:tcPr>
          <w:p w14:paraId="2B596424" w14:textId="77777777" w:rsidR="004C3029" w:rsidRDefault="004C3029" w:rsidP="001147CF">
            <w:pPr>
              <w:overflowPunct w:val="0"/>
              <w:ind w:left="-57" w:right="-57"/>
              <w:jc w:val="center"/>
              <w:textAlignment w:val="baseline"/>
              <w:rPr>
                <w:sz w:val="20"/>
              </w:rPr>
            </w:pPr>
            <w:r>
              <w:rPr>
                <w:sz w:val="20"/>
              </w:rPr>
              <w:t>Valstybės biudžetas</w:t>
            </w:r>
          </w:p>
        </w:tc>
        <w:tc>
          <w:tcPr>
            <w:tcW w:w="437" w:type="pct"/>
          </w:tcPr>
          <w:p w14:paraId="1F63832F" w14:textId="77777777" w:rsidR="004C3029" w:rsidRDefault="004C3029" w:rsidP="001147CF">
            <w:pPr>
              <w:overflowPunct w:val="0"/>
              <w:ind w:left="-57" w:right="-57"/>
              <w:textAlignment w:val="baseline"/>
              <w:rPr>
                <w:sz w:val="20"/>
              </w:rPr>
            </w:pPr>
            <w:r>
              <w:rPr>
                <w:sz w:val="20"/>
              </w:rPr>
              <w:t>P-12-003-03-02-01-09</w:t>
            </w:r>
            <w:r>
              <w:rPr>
                <w:sz w:val="18"/>
                <w:szCs w:val="18"/>
              </w:rPr>
              <w:t xml:space="preserve"> </w:t>
            </w:r>
            <w:r>
              <w:rPr>
                <w:sz w:val="20"/>
              </w:rPr>
              <w:t>Parengti ir patvirtinti teisės aktai ar jų pakeitimai</w:t>
            </w:r>
          </w:p>
        </w:tc>
        <w:tc>
          <w:tcPr>
            <w:tcW w:w="220" w:type="pct"/>
          </w:tcPr>
          <w:p w14:paraId="47AC6E34" w14:textId="77777777" w:rsidR="004C3029" w:rsidRDefault="004C3029" w:rsidP="001147CF">
            <w:pPr>
              <w:overflowPunct w:val="0"/>
              <w:ind w:left="-57" w:right="-57"/>
              <w:jc w:val="center"/>
              <w:textAlignment w:val="baseline"/>
              <w:rPr>
                <w:sz w:val="20"/>
              </w:rPr>
            </w:pPr>
            <w:r>
              <w:rPr>
                <w:sz w:val="20"/>
              </w:rPr>
              <w:t>5</w:t>
            </w:r>
          </w:p>
        </w:tc>
        <w:tc>
          <w:tcPr>
            <w:tcW w:w="263" w:type="pct"/>
          </w:tcPr>
          <w:p w14:paraId="3D0C8959" w14:textId="77777777" w:rsidR="004C3029" w:rsidRDefault="004C3029" w:rsidP="001147CF">
            <w:pPr>
              <w:overflowPunct w:val="0"/>
              <w:ind w:left="-57" w:right="-57"/>
              <w:jc w:val="center"/>
              <w:textAlignment w:val="baseline"/>
              <w:rPr>
                <w:sz w:val="20"/>
              </w:rPr>
            </w:pPr>
            <w:r>
              <w:rPr>
                <w:sz w:val="20"/>
              </w:rPr>
              <w:t>2023</w:t>
            </w:r>
          </w:p>
        </w:tc>
        <w:tc>
          <w:tcPr>
            <w:tcW w:w="326" w:type="pct"/>
          </w:tcPr>
          <w:p w14:paraId="24FDE79C" w14:textId="77777777" w:rsidR="004C3029" w:rsidRDefault="004C3029" w:rsidP="001147CF">
            <w:pPr>
              <w:overflowPunct w:val="0"/>
              <w:ind w:left="-57" w:right="-57"/>
              <w:jc w:val="center"/>
              <w:textAlignment w:val="baseline"/>
              <w:rPr>
                <w:sz w:val="20"/>
              </w:rPr>
            </w:pPr>
            <w:r>
              <w:rPr>
                <w:sz w:val="20"/>
              </w:rPr>
              <w:t>ŠMSM</w:t>
            </w:r>
          </w:p>
        </w:tc>
        <w:tc>
          <w:tcPr>
            <w:tcW w:w="308" w:type="pct"/>
          </w:tcPr>
          <w:p w14:paraId="3BAB2211" w14:textId="77777777" w:rsidR="004C3029" w:rsidRDefault="004C3029" w:rsidP="001147CF">
            <w:pPr>
              <w:overflowPunct w:val="0"/>
              <w:ind w:left="-57" w:right="-57"/>
              <w:jc w:val="center"/>
              <w:textAlignment w:val="baseline"/>
              <w:rPr>
                <w:sz w:val="20"/>
              </w:rPr>
            </w:pPr>
            <w:r>
              <w:rPr>
                <w:sz w:val="20"/>
              </w:rPr>
              <w:t>SADM</w:t>
            </w:r>
          </w:p>
        </w:tc>
      </w:tr>
      <w:tr w:rsidR="004C3029" w14:paraId="7289657B" w14:textId="77777777" w:rsidTr="001147CF">
        <w:trPr>
          <w:trHeight w:val="505"/>
        </w:trPr>
        <w:tc>
          <w:tcPr>
            <w:tcW w:w="704" w:type="pct"/>
            <w:vMerge/>
          </w:tcPr>
          <w:p w14:paraId="44FCB0C2" w14:textId="77777777" w:rsidR="004C3029" w:rsidRDefault="004C3029" w:rsidP="001147CF">
            <w:pPr>
              <w:overflowPunct w:val="0"/>
              <w:ind w:left="-57" w:right="-57"/>
              <w:textAlignment w:val="baseline"/>
              <w:rPr>
                <w:sz w:val="20"/>
              </w:rPr>
            </w:pPr>
          </w:p>
        </w:tc>
        <w:tc>
          <w:tcPr>
            <w:tcW w:w="283" w:type="pct"/>
            <w:vMerge/>
          </w:tcPr>
          <w:p w14:paraId="2D15E5D5" w14:textId="77777777" w:rsidR="004C3029" w:rsidRDefault="004C3029" w:rsidP="001147CF">
            <w:pPr>
              <w:overflowPunct w:val="0"/>
              <w:ind w:left="-57" w:right="-57"/>
              <w:jc w:val="center"/>
              <w:textAlignment w:val="baseline"/>
              <w:rPr>
                <w:sz w:val="20"/>
              </w:rPr>
            </w:pPr>
          </w:p>
        </w:tc>
        <w:tc>
          <w:tcPr>
            <w:tcW w:w="282" w:type="pct"/>
            <w:vMerge/>
          </w:tcPr>
          <w:p w14:paraId="3C1EF0AC" w14:textId="77777777" w:rsidR="004C3029" w:rsidRDefault="004C3029" w:rsidP="001147CF">
            <w:pPr>
              <w:overflowPunct w:val="0"/>
              <w:ind w:left="-57" w:right="-57"/>
              <w:jc w:val="center"/>
              <w:textAlignment w:val="baseline"/>
              <w:rPr>
                <w:sz w:val="20"/>
              </w:rPr>
            </w:pPr>
          </w:p>
        </w:tc>
        <w:tc>
          <w:tcPr>
            <w:tcW w:w="351" w:type="pct"/>
            <w:vMerge/>
          </w:tcPr>
          <w:p w14:paraId="0A03DD97" w14:textId="77777777" w:rsidR="004C3029" w:rsidRDefault="004C3029" w:rsidP="001147CF">
            <w:pPr>
              <w:overflowPunct w:val="0"/>
              <w:ind w:left="-57" w:right="-57"/>
              <w:jc w:val="center"/>
              <w:textAlignment w:val="baseline"/>
              <w:rPr>
                <w:sz w:val="20"/>
              </w:rPr>
            </w:pPr>
          </w:p>
        </w:tc>
        <w:tc>
          <w:tcPr>
            <w:tcW w:w="333" w:type="pct"/>
            <w:vMerge/>
          </w:tcPr>
          <w:p w14:paraId="51589AEF" w14:textId="77777777" w:rsidR="004C3029" w:rsidRDefault="004C3029" w:rsidP="001147CF">
            <w:pPr>
              <w:overflowPunct w:val="0"/>
              <w:ind w:left="-57" w:right="-57"/>
              <w:jc w:val="center"/>
              <w:textAlignment w:val="baseline"/>
              <w:rPr>
                <w:sz w:val="20"/>
              </w:rPr>
            </w:pPr>
          </w:p>
        </w:tc>
        <w:tc>
          <w:tcPr>
            <w:tcW w:w="308" w:type="pct"/>
            <w:vMerge/>
          </w:tcPr>
          <w:p w14:paraId="4F3C9BB0" w14:textId="77777777" w:rsidR="004C3029" w:rsidRDefault="004C3029" w:rsidP="001147CF">
            <w:pPr>
              <w:overflowPunct w:val="0"/>
              <w:ind w:left="-57" w:right="-57"/>
              <w:jc w:val="center"/>
              <w:textAlignment w:val="baseline"/>
              <w:rPr>
                <w:sz w:val="20"/>
              </w:rPr>
            </w:pPr>
          </w:p>
        </w:tc>
        <w:tc>
          <w:tcPr>
            <w:tcW w:w="262" w:type="pct"/>
            <w:vMerge/>
          </w:tcPr>
          <w:p w14:paraId="632D991C" w14:textId="77777777" w:rsidR="004C3029" w:rsidRDefault="004C3029" w:rsidP="001147CF">
            <w:pPr>
              <w:overflowPunct w:val="0"/>
              <w:ind w:left="-57" w:right="-57"/>
              <w:jc w:val="center"/>
              <w:textAlignment w:val="baseline"/>
              <w:rPr>
                <w:sz w:val="20"/>
              </w:rPr>
            </w:pPr>
          </w:p>
        </w:tc>
        <w:tc>
          <w:tcPr>
            <w:tcW w:w="308" w:type="pct"/>
            <w:vMerge/>
          </w:tcPr>
          <w:p w14:paraId="6757AFC5" w14:textId="77777777" w:rsidR="004C3029" w:rsidRDefault="004C3029" w:rsidP="001147CF">
            <w:pPr>
              <w:overflowPunct w:val="0"/>
              <w:ind w:left="-57" w:right="-57"/>
              <w:jc w:val="center"/>
              <w:textAlignment w:val="baseline"/>
              <w:rPr>
                <w:sz w:val="20"/>
              </w:rPr>
            </w:pPr>
          </w:p>
        </w:tc>
        <w:tc>
          <w:tcPr>
            <w:tcW w:w="307" w:type="pct"/>
            <w:vMerge/>
          </w:tcPr>
          <w:p w14:paraId="29FF0849" w14:textId="77777777" w:rsidR="004C3029" w:rsidRDefault="004C3029" w:rsidP="001147CF">
            <w:pPr>
              <w:overflowPunct w:val="0"/>
              <w:ind w:left="-57" w:right="-57"/>
              <w:jc w:val="center"/>
              <w:textAlignment w:val="baseline"/>
              <w:rPr>
                <w:sz w:val="20"/>
              </w:rPr>
            </w:pPr>
          </w:p>
        </w:tc>
        <w:tc>
          <w:tcPr>
            <w:tcW w:w="308" w:type="pct"/>
            <w:vMerge/>
          </w:tcPr>
          <w:p w14:paraId="37EDABB1" w14:textId="77777777" w:rsidR="004C3029" w:rsidRDefault="004C3029" w:rsidP="001147CF">
            <w:pPr>
              <w:overflowPunct w:val="0"/>
              <w:ind w:left="-57" w:right="-57"/>
              <w:jc w:val="center"/>
              <w:textAlignment w:val="baseline"/>
              <w:rPr>
                <w:sz w:val="20"/>
              </w:rPr>
            </w:pPr>
          </w:p>
        </w:tc>
        <w:tc>
          <w:tcPr>
            <w:tcW w:w="437" w:type="pct"/>
          </w:tcPr>
          <w:p w14:paraId="33E0709B" w14:textId="77777777" w:rsidR="004C3029" w:rsidRDefault="004C3029" w:rsidP="001147CF">
            <w:pPr>
              <w:overflowPunct w:val="0"/>
              <w:ind w:left="-57" w:right="-57"/>
              <w:textAlignment w:val="baseline"/>
              <w:rPr>
                <w:sz w:val="20"/>
              </w:rPr>
            </w:pPr>
            <w:r>
              <w:rPr>
                <w:sz w:val="20"/>
              </w:rPr>
              <w:t>R – Mokinių, tenkančių vienam švietimo pagalbos specialistui bendrojo ugdymo mokyklose, skaičius</w:t>
            </w:r>
          </w:p>
        </w:tc>
        <w:tc>
          <w:tcPr>
            <w:tcW w:w="220" w:type="pct"/>
          </w:tcPr>
          <w:p w14:paraId="444CB2D7" w14:textId="77777777" w:rsidR="004C3029" w:rsidRDefault="004C3029" w:rsidP="001147CF">
            <w:pPr>
              <w:overflowPunct w:val="0"/>
              <w:ind w:left="-57" w:right="-57"/>
              <w:jc w:val="center"/>
              <w:textAlignment w:val="baseline"/>
              <w:rPr>
                <w:sz w:val="20"/>
              </w:rPr>
            </w:pPr>
            <w:r>
              <w:rPr>
                <w:sz w:val="20"/>
              </w:rPr>
              <w:t>99,02</w:t>
            </w:r>
          </w:p>
        </w:tc>
        <w:tc>
          <w:tcPr>
            <w:tcW w:w="263" w:type="pct"/>
          </w:tcPr>
          <w:p w14:paraId="4D75B55A" w14:textId="77777777" w:rsidR="004C3029" w:rsidRDefault="004C3029" w:rsidP="001147CF">
            <w:pPr>
              <w:overflowPunct w:val="0"/>
              <w:ind w:left="-57" w:right="-57"/>
              <w:jc w:val="center"/>
              <w:textAlignment w:val="baseline"/>
              <w:rPr>
                <w:sz w:val="20"/>
              </w:rPr>
            </w:pPr>
            <w:r>
              <w:rPr>
                <w:sz w:val="20"/>
              </w:rPr>
              <w:t>2023</w:t>
            </w:r>
          </w:p>
        </w:tc>
        <w:tc>
          <w:tcPr>
            <w:tcW w:w="326" w:type="pct"/>
          </w:tcPr>
          <w:p w14:paraId="37BB0FF8" w14:textId="77777777" w:rsidR="004C3029" w:rsidRDefault="004C3029" w:rsidP="001147CF">
            <w:pPr>
              <w:overflowPunct w:val="0"/>
              <w:ind w:left="-57" w:right="-57"/>
              <w:jc w:val="center"/>
              <w:textAlignment w:val="baseline"/>
              <w:rPr>
                <w:sz w:val="20"/>
              </w:rPr>
            </w:pPr>
            <w:r>
              <w:rPr>
                <w:sz w:val="20"/>
              </w:rPr>
              <w:t>ŠMSM</w:t>
            </w:r>
          </w:p>
        </w:tc>
        <w:tc>
          <w:tcPr>
            <w:tcW w:w="308" w:type="pct"/>
          </w:tcPr>
          <w:p w14:paraId="1E606181" w14:textId="77777777" w:rsidR="004C3029" w:rsidRDefault="004C3029" w:rsidP="001147CF">
            <w:pPr>
              <w:overflowPunct w:val="0"/>
              <w:ind w:left="-57" w:right="-57"/>
              <w:jc w:val="center"/>
              <w:textAlignment w:val="baseline"/>
              <w:rPr>
                <w:sz w:val="20"/>
              </w:rPr>
            </w:pPr>
            <w:r>
              <w:rPr>
                <w:sz w:val="20"/>
              </w:rPr>
              <w:t>-</w:t>
            </w:r>
          </w:p>
        </w:tc>
      </w:tr>
      <w:tr w:rsidR="004C3029" w14:paraId="53782A89" w14:textId="77777777" w:rsidTr="001147CF">
        <w:trPr>
          <w:trHeight w:val="1319"/>
        </w:trPr>
        <w:tc>
          <w:tcPr>
            <w:tcW w:w="704" w:type="pct"/>
            <w:vMerge w:val="restart"/>
          </w:tcPr>
          <w:p w14:paraId="1C0714CD" w14:textId="77777777" w:rsidR="004C3029" w:rsidRDefault="004C3029" w:rsidP="001147CF">
            <w:pPr>
              <w:overflowPunct w:val="0"/>
              <w:ind w:left="-57" w:right="-57"/>
              <w:textAlignment w:val="baseline"/>
              <w:rPr>
                <w:sz w:val="20"/>
              </w:rPr>
            </w:pPr>
            <w:r>
              <w:rPr>
                <w:sz w:val="20"/>
              </w:rPr>
              <w:lastRenderedPageBreak/>
              <w:t>2. Sukurti ir įdiegti inovatyvius įtraukiojo ikimokyklinio, priešmokyklinio, bendrojo ugdymo, profesinio mokymo ir reikalingos pagalbos teikimo būdus, sudarant tinkamas sąlygas įtraukties būdu ugdytis įvairių ugdymosi poreikių turintiems mokiniams</w:t>
            </w:r>
          </w:p>
        </w:tc>
        <w:tc>
          <w:tcPr>
            <w:tcW w:w="283" w:type="pct"/>
            <w:vMerge w:val="restart"/>
          </w:tcPr>
          <w:p w14:paraId="56B5AC5A" w14:textId="77777777" w:rsidR="004C3029" w:rsidRDefault="004C3029" w:rsidP="001147CF">
            <w:pPr>
              <w:overflowPunct w:val="0"/>
              <w:ind w:left="-57" w:right="-57"/>
              <w:jc w:val="center"/>
              <w:textAlignment w:val="baseline"/>
              <w:rPr>
                <w:sz w:val="20"/>
              </w:rPr>
            </w:pPr>
            <w:r>
              <w:rPr>
                <w:sz w:val="20"/>
              </w:rPr>
              <w:t>I</w:t>
            </w:r>
          </w:p>
        </w:tc>
        <w:tc>
          <w:tcPr>
            <w:tcW w:w="282" w:type="pct"/>
            <w:vMerge w:val="restart"/>
          </w:tcPr>
          <w:p w14:paraId="12A1D529" w14:textId="77777777" w:rsidR="004C3029" w:rsidRDefault="004C3029" w:rsidP="001147CF">
            <w:pPr>
              <w:overflowPunct w:val="0"/>
              <w:textAlignment w:val="baseline"/>
              <w:rPr>
                <w:sz w:val="20"/>
              </w:rPr>
            </w:pPr>
            <w:r>
              <w:rPr>
                <w:sz w:val="20"/>
              </w:rPr>
              <w:t>Lietuvos įtraukties švietime centras,</w:t>
            </w:r>
          </w:p>
          <w:p w14:paraId="657B3EEA" w14:textId="77777777" w:rsidR="004C3029" w:rsidRDefault="004C3029" w:rsidP="001147CF">
            <w:pPr>
              <w:overflowPunct w:val="0"/>
              <w:textAlignment w:val="baseline"/>
              <w:rPr>
                <w:sz w:val="20"/>
              </w:rPr>
            </w:pPr>
            <w:r>
              <w:rPr>
                <w:sz w:val="20"/>
              </w:rPr>
              <w:t xml:space="preserve">Nacionalinė švietimo agentūra </w:t>
            </w:r>
          </w:p>
          <w:p w14:paraId="4429799D" w14:textId="77777777" w:rsidR="004C3029" w:rsidRDefault="004C3029" w:rsidP="001147CF">
            <w:pPr>
              <w:overflowPunct w:val="0"/>
              <w:ind w:left="-57" w:right="-57"/>
              <w:jc w:val="center"/>
              <w:textAlignment w:val="baseline"/>
              <w:rPr>
                <w:sz w:val="20"/>
              </w:rPr>
            </w:pPr>
          </w:p>
        </w:tc>
        <w:tc>
          <w:tcPr>
            <w:tcW w:w="351" w:type="pct"/>
            <w:vMerge w:val="restart"/>
          </w:tcPr>
          <w:p w14:paraId="062B5760" w14:textId="77777777" w:rsidR="004C3029" w:rsidRDefault="004C3029" w:rsidP="001147CF">
            <w:pPr>
              <w:overflowPunct w:val="0"/>
              <w:textAlignment w:val="baseline"/>
              <w:rPr>
                <w:sz w:val="20"/>
              </w:rPr>
            </w:pPr>
            <w:r>
              <w:rPr>
                <w:sz w:val="20"/>
              </w:rPr>
              <w:t>P</w:t>
            </w:r>
          </w:p>
        </w:tc>
        <w:tc>
          <w:tcPr>
            <w:tcW w:w="333" w:type="pct"/>
            <w:vMerge w:val="restart"/>
          </w:tcPr>
          <w:p w14:paraId="47C3C176"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3BE19F90"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59B32D07"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49D35DF4" w14:textId="77777777" w:rsidR="004C3029" w:rsidRDefault="004C3029" w:rsidP="001147CF">
            <w:pPr>
              <w:overflowPunct w:val="0"/>
              <w:ind w:left="-57" w:right="-57"/>
              <w:jc w:val="center"/>
              <w:textAlignment w:val="baseline"/>
              <w:rPr>
                <w:sz w:val="20"/>
              </w:rPr>
            </w:pPr>
            <w:r>
              <w:rPr>
                <w:sz w:val="20"/>
              </w:rPr>
              <w:t>D</w:t>
            </w:r>
          </w:p>
        </w:tc>
        <w:tc>
          <w:tcPr>
            <w:tcW w:w="307" w:type="pct"/>
          </w:tcPr>
          <w:p w14:paraId="4CC82F82" w14:textId="77777777" w:rsidR="004C3029" w:rsidRDefault="004C3029" w:rsidP="001147CF">
            <w:pPr>
              <w:overflowPunct w:val="0"/>
              <w:ind w:left="-57" w:right="-57"/>
              <w:jc w:val="center"/>
              <w:textAlignment w:val="baseline"/>
              <w:rPr>
                <w:sz w:val="20"/>
              </w:rPr>
            </w:pPr>
            <w:r>
              <w:rPr>
                <w:sz w:val="20"/>
              </w:rPr>
              <w:t>Sostinės regionas ( toliau – SR): 4 240 (2021–2027 IP ES lėšos (toliau – ES lėšos) – 2 120, 2021–2027 IP bendrojo finansavimo lėšos (toliau -BF) – 2 120)</w:t>
            </w:r>
          </w:p>
        </w:tc>
        <w:tc>
          <w:tcPr>
            <w:tcW w:w="308" w:type="pct"/>
          </w:tcPr>
          <w:p w14:paraId="36D36E36"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6837DB3E"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41E2BA42" w14:textId="77777777" w:rsidR="004C3029" w:rsidRDefault="004C3029" w:rsidP="001147CF">
            <w:pPr>
              <w:overflowPunct w:val="0"/>
              <w:ind w:left="-57" w:right="-57"/>
              <w:jc w:val="center"/>
              <w:textAlignment w:val="baseline"/>
              <w:rPr>
                <w:sz w:val="20"/>
              </w:rPr>
            </w:pPr>
          </w:p>
          <w:p w14:paraId="32103C8F" w14:textId="77777777" w:rsidR="004C3029" w:rsidRDefault="004C3029" w:rsidP="001147CF">
            <w:pPr>
              <w:overflowPunct w:val="0"/>
              <w:ind w:left="-57" w:right="-57"/>
              <w:jc w:val="center"/>
              <w:textAlignment w:val="baseline"/>
              <w:rPr>
                <w:sz w:val="20"/>
              </w:rPr>
            </w:pPr>
          </w:p>
          <w:p w14:paraId="33F017D6" w14:textId="77777777" w:rsidR="004C3029" w:rsidRDefault="004C3029" w:rsidP="001147CF">
            <w:pPr>
              <w:overflowPunct w:val="0"/>
              <w:ind w:left="-57" w:right="-57"/>
              <w:jc w:val="center"/>
              <w:textAlignment w:val="baseline"/>
              <w:rPr>
                <w:sz w:val="20"/>
              </w:rPr>
            </w:pPr>
            <w:r>
              <w:rPr>
                <w:sz w:val="20"/>
              </w:rPr>
              <w:t>-</w:t>
            </w:r>
          </w:p>
        </w:tc>
        <w:tc>
          <w:tcPr>
            <w:tcW w:w="263" w:type="pct"/>
          </w:tcPr>
          <w:p w14:paraId="1CCF3713"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tcPr>
          <w:p w14:paraId="54808E92"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tcPr>
          <w:p w14:paraId="62EA597E" w14:textId="77777777" w:rsidR="004C3029" w:rsidRDefault="004C3029" w:rsidP="001147CF">
            <w:pPr>
              <w:overflowPunct w:val="0"/>
              <w:ind w:left="-57" w:right="-57"/>
              <w:jc w:val="center"/>
              <w:textAlignment w:val="baseline"/>
              <w:rPr>
                <w:sz w:val="20"/>
              </w:rPr>
            </w:pPr>
            <w:r>
              <w:rPr>
                <w:sz w:val="20"/>
              </w:rPr>
              <w:t>–</w:t>
            </w:r>
          </w:p>
        </w:tc>
      </w:tr>
      <w:tr w:rsidR="004C3029" w14:paraId="5DBE1BF7" w14:textId="77777777" w:rsidTr="001147CF">
        <w:trPr>
          <w:trHeight w:val="2890"/>
        </w:trPr>
        <w:tc>
          <w:tcPr>
            <w:tcW w:w="704" w:type="pct"/>
            <w:vMerge/>
          </w:tcPr>
          <w:p w14:paraId="4404BBF6" w14:textId="77777777" w:rsidR="004C3029" w:rsidRDefault="004C3029" w:rsidP="001147CF">
            <w:pPr>
              <w:overflowPunct w:val="0"/>
              <w:ind w:left="-57" w:right="-57"/>
              <w:textAlignment w:val="baseline"/>
              <w:rPr>
                <w:sz w:val="20"/>
              </w:rPr>
            </w:pPr>
          </w:p>
        </w:tc>
        <w:tc>
          <w:tcPr>
            <w:tcW w:w="283" w:type="pct"/>
            <w:vMerge/>
          </w:tcPr>
          <w:p w14:paraId="04AB9F51" w14:textId="77777777" w:rsidR="004C3029" w:rsidRDefault="004C3029" w:rsidP="001147CF">
            <w:pPr>
              <w:overflowPunct w:val="0"/>
              <w:ind w:left="-57" w:right="-57"/>
              <w:jc w:val="center"/>
              <w:textAlignment w:val="baseline"/>
              <w:rPr>
                <w:sz w:val="20"/>
              </w:rPr>
            </w:pPr>
          </w:p>
        </w:tc>
        <w:tc>
          <w:tcPr>
            <w:tcW w:w="282" w:type="pct"/>
            <w:vMerge/>
          </w:tcPr>
          <w:p w14:paraId="470B9CD3" w14:textId="77777777" w:rsidR="004C3029" w:rsidRDefault="004C3029" w:rsidP="001147CF">
            <w:pPr>
              <w:overflowPunct w:val="0"/>
              <w:ind w:left="-57" w:right="-57"/>
              <w:jc w:val="center"/>
              <w:textAlignment w:val="baseline"/>
              <w:rPr>
                <w:sz w:val="20"/>
              </w:rPr>
            </w:pPr>
          </w:p>
        </w:tc>
        <w:tc>
          <w:tcPr>
            <w:tcW w:w="351" w:type="pct"/>
            <w:vMerge/>
          </w:tcPr>
          <w:p w14:paraId="238C1F8C" w14:textId="77777777" w:rsidR="004C3029" w:rsidRDefault="004C3029" w:rsidP="001147CF">
            <w:pPr>
              <w:overflowPunct w:val="0"/>
              <w:ind w:left="-57" w:right="-57"/>
              <w:jc w:val="center"/>
              <w:textAlignment w:val="baseline"/>
              <w:rPr>
                <w:sz w:val="20"/>
              </w:rPr>
            </w:pPr>
          </w:p>
        </w:tc>
        <w:tc>
          <w:tcPr>
            <w:tcW w:w="333" w:type="pct"/>
            <w:vMerge/>
          </w:tcPr>
          <w:p w14:paraId="51A30FFB" w14:textId="77777777" w:rsidR="004C3029" w:rsidRDefault="004C3029" w:rsidP="001147CF">
            <w:pPr>
              <w:overflowPunct w:val="0"/>
              <w:ind w:left="-57" w:right="-57"/>
              <w:jc w:val="center"/>
              <w:textAlignment w:val="baseline"/>
              <w:rPr>
                <w:sz w:val="20"/>
              </w:rPr>
            </w:pPr>
          </w:p>
        </w:tc>
        <w:tc>
          <w:tcPr>
            <w:tcW w:w="308" w:type="pct"/>
            <w:vMerge/>
          </w:tcPr>
          <w:p w14:paraId="77A8ED04" w14:textId="77777777" w:rsidR="004C3029" w:rsidRDefault="004C3029" w:rsidP="001147CF">
            <w:pPr>
              <w:overflowPunct w:val="0"/>
              <w:ind w:left="-57" w:right="-57"/>
              <w:jc w:val="center"/>
              <w:textAlignment w:val="baseline"/>
              <w:rPr>
                <w:sz w:val="20"/>
              </w:rPr>
            </w:pPr>
          </w:p>
        </w:tc>
        <w:tc>
          <w:tcPr>
            <w:tcW w:w="262" w:type="pct"/>
            <w:vMerge/>
          </w:tcPr>
          <w:p w14:paraId="2699B4AE" w14:textId="77777777" w:rsidR="004C3029" w:rsidRDefault="004C3029" w:rsidP="001147CF">
            <w:pPr>
              <w:overflowPunct w:val="0"/>
              <w:ind w:left="-57" w:right="-57"/>
              <w:jc w:val="center"/>
              <w:textAlignment w:val="baseline"/>
              <w:rPr>
                <w:sz w:val="20"/>
              </w:rPr>
            </w:pPr>
          </w:p>
        </w:tc>
        <w:tc>
          <w:tcPr>
            <w:tcW w:w="308" w:type="pct"/>
            <w:vMerge/>
          </w:tcPr>
          <w:p w14:paraId="71B5455C" w14:textId="77777777" w:rsidR="004C3029" w:rsidRDefault="004C3029" w:rsidP="001147CF">
            <w:pPr>
              <w:overflowPunct w:val="0"/>
              <w:ind w:left="-57" w:right="-57"/>
              <w:jc w:val="center"/>
              <w:textAlignment w:val="baseline"/>
              <w:rPr>
                <w:sz w:val="20"/>
              </w:rPr>
            </w:pPr>
          </w:p>
        </w:tc>
        <w:tc>
          <w:tcPr>
            <w:tcW w:w="307" w:type="pct"/>
          </w:tcPr>
          <w:p w14:paraId="5232C592" w14:textId="77777777" w:rsidR="004C3029" w:rsidRDefault="004C3029" w:rsidP="001147CF">
            <w:pPr>
              <w:overflowPunct w:val="0"/>
              <w:ind w:left="-57" w:right="-57"/>
              <w:jc w:val="center"/>
              <w:textAlignment w:val="baseline"/>
              <w:rPr>
                <w:sz w:val="20"/>
              </w:rPr>
            </w:pPr>
            <w:r>
              <w:rPr>
                <w:sz w:val="20"/>
              </w:rPr>
              <w:t>Vidurio ir vakarų Lietuvos regionas (toliau – VVL): 29 035 (ES – 24 680, BF – 4 355)</w:t>
            </w:r>
          </w:p>
        </w:tc>
        <w:tc>
          <w:tcPr>
            <w:tcW w:w="308" w:type="pct"/>
          </w:tcPr>
          <w:p w14:paraId="00D2424B"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1D45D8F7"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1BA14B88" w14:textId="77777777" w:rsidR="004C3029" w:rsidRDefault="004C3029" w:rsidP="001147CF">
            <w:pPr>
              <w:overflowPunct w:val="0"/>
              <w:ind w:left="-57" w:right="-57"/>
              <w:jc w:val="center"/>
              <w:textAlignment w:val="baseline"/>
              <w:rPr>
                <w:sz w:val="20"/>
              </w:rPr>
            </w:pPr>
          </w:p>
          <w:p w14:paraId="15DB708C" w14:textId="77777777" w:rsidR="004C3029" w:rsidRDefault="004C3029" w:rsidP="001147CF">
            <w:pPr>
              <w:overflowPunct w:val="0"/>
              <w:ind w:left="-57" w:right="-57"/>
              <w:jc w:val="center"/>
              <w:textAlignment w:val="baseline"/>
              <w:rPr>
                <w:sz w:val="20"/>
              </w:rPr>
            </w:pPr>
          </w:p>
          <w:p w14:paraId="1E79554F" w14:textId="77777777" w:rsidR="004C3029" w:rsidRDefault="004C3029" w:rsidP="001147CF">
            <w:pPr>
              <w:overflowPunct w:val="0"/>
              <w:ind w:left="-57" w:right="-57"/>
              <w:jc w:val="center"/>
              <w:textAlignment w:val="baseline"/>
              <w:rPr>
                <w:sz w:val="20"/>
              </w:rPr>
            </w:pPr>
          </w:p>
          <w:p w14:paraId="2FCA7A80" w14:textId="77777777" w:rsidR="004C3029" w:rsidRDefault="004C3029" w:rsidP="001147CF">
            <w:pPr>
              <w:overflowPunct w:val="0"/>
              <w:ind w:left="-57" w:right="-57"/>
              <w:jc w:val="center"/>
              <w:textAlignment w:val="baseline"/>
              <w:rPr>
                <w:sz w:val="20"/>
              </w:rPr>
            </w:pPr>
          </w:p>
          <w:p w14:paraId="05CA4494" w14:textId="77777777" w:rsidR="004C3029" w:rsidRDefault="004C3029" w:rsidP="001147CF">
            <w:pPr>
              <w:overflowPunct w:val="0"/>
              <w:ind w:left="-57" w:right="-57"/>
              <w:jc w:val="center"/>
              <w:textAlignment w:val="baseline"/>
              <w:rPr>
                <w:sz w:val="20"/>
              </w:rPr>
            </w:pPr>
            <w:r>
              <w:rPr>
                <w:sz w:val="20"/>
              </w:rPr>
              <w:t>-</w:t>
            </w:r>
          </w:p>
        </w:tc>
        <w:tc>
          <w:tcPr>
            <w:tcW w:w="263" w:type="pct"/>
          </w:tcPr>
          <w:p w14:paraId="3BB582D9"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tcPr>
          <w:p w14:paraId="3D698CF2"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tcPr>
          <w:p w14:paraId="1550F470" w14:textId="77777777" w:rsidR="004C3029" w:rsidRDefault="004C3029" w:rsidP="001147CF">
            <w:pPr>
              <w:overflowPunct w:val="0"/>
              <w:ind w:left="-57" w:right="-57"/>
              <w:jc w:val="center"/>
              <w:textAlignment w:val="baseline"/>
              <w:rPr>
                <w:sz w:val="20"/>
              </w:rPr>
            </w:pPr>
            <w:r>
              <w:rPr>
                <w:sz w:val="20"/>
              </w:rPr>
              <w:t>–</w:t>
            </w:r>
          </w:p>
        </w:tc>
      </w:tr>
      <w:tr w:rsidR="004C3029" w14:paraId="0D7C1454" w14:textId="77777777" w:rsidTr="001147CF">
        <w:trPr>
          <w:trHeight w:val="824"/>
        </w:trPr>
        <w:tc>
          <w:tcPr>
            <w:tcW w:w="704" w:type="pct"/>
            <w:vMerge w:val="restart"/>
          </w:tcPr>
          <w:p w14:paraId="6143C42C" w14:textId="77777777" w:rsidR="004C3029" w:rsidRDefault="004C3029" w:rsidP="001147CF">
            <w:pPr>
              <w:overflowPunct w:val="0"/>
              <w:ind w:left="-57" w:right="-57"/>
              <w:textAlignment w:val="baseline"/>
              <w:rPr>
                <w:sz w:val="20"/>
              </w:rPr>
            </w:pPr>
            <w:r>
              <w:rPr>
                <w:sz w:val="20"/>
              </w:rPr>
              <w:t xml:space="preserve">2.1. Pedagoginių darbuotojų kompetencijų tobulinimas, kaip dirbti su konkrečių SUP vaikais (įskaitant gabius vaikus), įtraukiojo ugdymo </w:t>
            </w:r>
            <w:r>
              <w:rPr>
                <w:sz w:val="20"/>
              </w:rPr>
              <w:lastRenderedPageBreak/>
              <w:t>modelių ir universalaus dizaino gairių diegimas bei komunikacinė kompanija Vidurio ir vakarų Lietuvos regione</w:t>
            </w:r>
          </w:p>
        </w:tc>
        <w:tc>
          <w:tcPr>
            <w:tcW w:w="283" w:type="pct"/>
            <w:vMerge w:val="restart"/>
          </w:tcPr>
          <w:p w14:paraId="7FC9A5F8"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Pr>
          <w:p w14:paraId="75F12110" w14:textId="77777777" w:rsidR="004C3029" w:rsidRDefault="004C3029" w:rsidP="001147CF">
            <w:pPr>
              <w:overflowPunct w:val="0"/>
              <w:ind w:left="-57" w:right="-57"/>
              <w:jc w:val="center"/>
              <w:textAlignment w:val="baseline"/>
              <w:rPr>
                <w:sz w:val="20"/>
              </w:rPr>
            </w:pPr>
            <w:r>
              <w:rPr>
                <w:sz w:val="20"/>
              </w:rPr>
              <w:t>Nacionalinė švietimo agentūra</w:t>
            </w:r>
          </w:p>
        </w:tc>
        <w:tc>
          <w:tcPr>
            <w:tcW w:w="351" w:type="pct"/>
            <w:vMerge w:val="restart"/>
          </w:tcPr>
          <w:p w14:paraId="3E8E5A53"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Pr>
          <w:p w14:paraId="762BF133"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0ED12392" w14:textId="77777777" w:rsidR="004C3029" w:rsidRDefault="004C3029" w:rsidP="001147CF">
            <w:pPr>
              <w:overflowPunct w:val="0"/>
              <w:jc w:val="center"/>
              <w:textAlignment w:val="baseline"/>
              <w:rPr>
                <w:sz w:val="20"/>
              </w:rPr>
            </w:pPr>
            <w:r>
              <w:rPr>
                <w:sz w:val="20"/>
              </w:rPr>
              <w:t>Taip</w:t>
            </w:r>
          </w:p>
        </w:tc>
        <w:tc>
          <w:tcPr>
            <w:tcW w:w="262" w:type="pct"/>
            <w:vMerge w:val="restart"/>
          </w:tcPr>
          <w:p w14:paraId="084E5D34"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415A3A1B"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Pr>
          <w:p w14:paraId="3D73E9B6" w14:textId="77777777" w:rsidR="004C3029" w:rsidRDefault="004C3029" w:rsidP="001147CF">
            <w:pPr>
              <w:overflowPunct w:val="0"/>
              <w:ind w:left="-57" w:right="-57"/>
              <w:jc w:val="center"/>
              <w:textAlignment w:val="baseline"/>
              <w:rPr>
                <w:sz w:val="20"/>
              </w:rPr>
            </w:pPr>
            <w:r>
              <w:rPr>
                <w:sz w:val="20"/>
              </w:rPr>
              <w:t>VVL:10 275 (ES – 8 734, BF – 1 541)</w:t>
            </w:r>
          </w:p>
        </w:tc>
        <w:tc>
          <w:tcPr>
            <w:tcW w:w="308" w:type="pct"/>
            <w:vMerge w:val="restart"/>
          </w:tcPr>
          <w:p w14:paraId="22D9C509"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17689C8D" w14:textId="77777777" w:rsidR="004C3029" w:rsidRDefault="004C3029" w:rsidP="001147CF">
            <w:pPr>
              <w:overflowPunct w:val="0"/>
              <w:ind w:left="-57" w:right="-57"/>
              <w:textAlignment w:val="baseline"/>
              <w:rPr>
                <w:sz w:val="20"/>
              </w:rPr>
            </w:pPr>
            <w:r>
              <w:rPr>
                <w:sz w:val="20"/>
              </w:rPr>
              <w:t>P-12-003-03-02-01-07</w:t>
            </w:r>
            <w:r>
              <w:rPr>
                <w:sz w:val="18"/>
                <w:szCs w:val="18"/>
              </w:rPr>
              <w:t xml:space="preserve"> </w:t>
            </w:r>
            <w:r>
              <w:rPr>
                <w:sz w:val="20"/>
              </w:rPr>
              <w:t>Asmenys, turintys tretinį (ISCED 5–8 kodai) išsilavinimą</w:t>
            </w:r>
          </w:p>
        </w:tc>
        <w:tc>
          <w:tcPr>
            <w:tcW w:w="220" w:type="pct"/>
          </w:tcPr>
          <w:p w14:paraId="234A7C21" w14:textId="77777777" w:rsidR="004C3029" w:rsidRDefault="004C3029" w:rsidP="001147CF">
            <w:pPr>
              <w:overflowPunct w:val="0"/>
              <w:ind w:left="-57" w:right="-57"/>
              <w:jc w:val="center"/>
              <w:textAlignment w:val="baseline"/>
              <w:rPr>
                <w:sz w:val="20"/>
              </w:rPr>
            </w:pPr>
            <w:r>
              <w:rPr>
                <w:sz w:val="20"/>
              </w:rPr>
              <w:t>1730</w:t>
            </w:r>
          </w:p>
        </w:tc>
        <w:tc>
          <w:tcPr>
            <w:tcW w:w="263" w:type="pct"/>
            <w:vMerge w:val="restart"/>
          </w:tcPr>
          <w:p w14:paraId="7B88CC96" w14:textId="77777777" w:rsidR="004C3029" w:rsidRDefault="004C3029" w:rsidP="001147CF">
            <w:pPr>
              <w:overflowPunct w:val="0"/>
              <w:ind w:left="-57" w:right="-57"/>
              <w:jc w:val="center"/>
              <w:textAlignment w:val="baseline"/>
              <w:rPr>
                <w:sz w:val="20"/>
              </w:rPr>
            </w:pPr>
            <w:r>
              <w:rPr>
                <w:sz w:val="20"/>
              </w:rPr>
              <w:t>2023</w:t>
            </w:r>
          </w:p>
        </w:tc>
        <w:tc>
          <w:tcPr>
            <w:tcW w:w="326" w:type="pct"/>
            <w:vMerge w:val="restart"/>
          </w:tcPr>
          <w:p w14:paraId="4A1D8516" w14:textId="77777777" w:rsidR="004C3029" w:rsidRDefault="004C3029" w:rsidP="001147CF">
            <w:pPr>
              <w:overflowPunct w:val="0"/>
              <w:jc w:val="center"/>
              <w:textAlignment w:val="baseline"/>
              <w:rPr>
                <w:sz w:val="20"/>
              </w:rPr>
            </w:pPr>
            <w:r>
              <w:rPr>
                <w:sz w:val="20"/>
              </w:rPr>
              <w:t>CPVA</w:t>
            </w:r>
          </w:p>
        </w:tc>
        <w:tc>
          <w:tcPr>
            <w:tcW w:w="308" w:type="pct"/>
            <w:vMerge w:val="restart"/>
          </w:tcPr>
          <w:p w14:paraId="69877ABA" w14:textId="77777777" w:rsidR="004C3029" w:rsidRDefault="004C3029" w:rsidP="001147CF">
            <w:pPr>
              <w:overflowPunct w:val="0"/>
              <w:ind w:left="-57" w:right="-57"/>
              <w:jc w:val="center"/>
              <w:textAlignment w:val="baseline"/>
              <w:rPr>
                <w:sz w:val="20"/>
              </w:rPr>
            </w:pPr>
            <w:r>
              <w:rPr>
                <w:sz w:val="20"/>
              </w:rPr>
              <w:t>-</w:t>
            </w:r>
          </w:p>
        </w:tc>
      </w:tr>
      <w:tr w:rsidR="004C3029" w14:paraId="2A763A2D" w14:textId="77777777" w:rsidTr="001147CF">
        <w:trPr>
          <w:trHeight w:val="835"/>
        </w:trPr>
        <w:tc>
          <w:tcPr>
            <w:tcW w:w="704" w:type="pct"/>
            <w:vMerge/>
          </w:tcPr>
          <w:p w14:paraId="6C249D6D" w14:textId="77777777" w:rsidR="004C3029" w:rsidRDefault="004C3029" w:rsidP="001147CF">
            <w:pPr>
              <w:overflowPunct w:val="0"/>
              <w:ind w:left="-57" w:right="-57"/>
              <w:textAlignment w:val="baseline"/>
              <w:rPr>
                <w:sz w:val="20"/>
              </w:rPr>
            </w:pPr>
          </w:p>
        </w:tc>
        <w:tc>
          <w:tcPr>
            <w:tcW w:w="283" w:type="pct"/>
            <w:vMerge/>
          </w:tcPr>
          <w:p w14:paraId="53B8404E" w14:textId="77777777" w:rsidR="004C3029" w:rsidRDefault="004C3029" w:rsidP="001147CF">
            <w:pPr>
              <w:overflowPunct w:val="0"/>
              <w:ind w:left="-57" w:right="-57"/>
              <w:jc w:val="center"/>
              <w:textAlignment w:val="baseline"/>
              <w:rPr>
                <w:sz w:val="20"/>
              </w:rPr>
            </w:pPr>
          </w:p>
        </w:tc>
        <w:tc>
          <w:tcPr>
            <w:tcW w:w="282" w:type="pct"/>
            <w:vMerge/>
          </w:tcPr>
          <w:p w14:paraId="5E87C4C7" w14:textId="77777777" w:rsidR="004C3029" w:rsidRDefault="004C3029" w:rsidP="001147CF">
            <w:pPr>
              <w:overflowPunct w:val="0"/>
              <w:ind w:left="-57" w:right="-57"/>
              <w:jc w:val="center"/>
              <w:textAlignment w:val="baseline"/>
              <w:rPr>
                <w:sz w:val="20"/>
              </w:rPr>
            </w:pPr>
          </w:p>
        </w:tc>
        <w:tc>
          <w:tcPr>
            <w:tcW w:w="351" w:type="pct"/>
            <w:vMerge/>
          </w:tcPr>
          <w:p w14:paraId="1994FB55" w14:textId="77777777" w:rsidR="004C3029" w:rsidRDefault="004C3029" w:rsidP="001147CF">
            <w:pPr>
              <w:overflowPunct w:val="0"/>
              <w:ind w:left="-57" w:right="-57"/>
              <w:jc w:val="center"/>
              <w:textAlignment w:val="baseline"/>
              <w:rPr>
                <w:sz w:val="20"/>
              </w:rPr>
            </w:pPr>
          </w:p>
        </w:tc>
        <w:tc>
          <w:tcPr>
            <w:tcW w:w="333" w:type="pct"/>
            <w:vMerge/>
          </w:tcPr>
          <w:p w14:paraId="037ABB15" w14:textId="77777777" w:rsidR="004C3029" w:rsidRDefault="004C3029" w:rsidP="001147CF">
            <w:pPr>
              <w:overflowPunct w:val="0"/>
              <w:ind w:left="-57" w:right="-57"/>
              <w:jc w:val="center"/>
              <w:textAlignment w:val="baseline"/>
              <w:rPr>
                <w:sz w:val="20"/>
              </w:rPr>
            </w:pPr>
          </w:p>
        </w:tc>
        <w:tc>
          <w:tcPr>
            <w:tcW w:w="308" w:type="pct"/>
            <w:vMerge/>
          </w:tcPr>
          <w:p w14:paraId="1667C7E2" w14:textId="77777777" w:rsidR="004C3029" w:rsidRDefault="004C3029" w:rsidP="001147CF">
            <w:pPr>
              <w:overflowPunct w:val="0"/>
              <w:jc w:val="center"/>
              <w:textAlignment w:val="baseline"/>
              <w:rPr>
                <w:sz w:val="20"/>
              </w:rPr>
            </w:pPr>
          </w:p>
        </w:tc>
        <w:tc>
          <w:tcPr>
            <w:tcW w:w="262" w:type="pct"/>
            <w:vMerge/>
          </w:tcPr>
          <w:p w14:paraId="266BE5DF" w14:textId="77777777" w:rsidR="004C3029" w:rsidRDefault="004C3029" w:rsidP="001147CF">
            <w:pPr>
              <w:overflowPunct w:val="0"/>
              <w:ind w:left="-57" w:right="-57"/>
              <w:jc w:val="center"/>
              <w:textAlignment w:val="baseline"/>
              <w:rPr>
                <w:sz w:val="20"/>
              </w:rPr>
            </w:pPr>
          </w:p>
        </w:tc>
        <w:tc>
          <w:tcPr>
            <w:tcW w:w="308" w:type="pct"/>
            <w:vMerge/>
          </w:tcPr>
          <w:p w14:paraId="145E5B67" w14:textId="77777777" w:rsidR="004C3029" w:rsidRDefault="004C3029" w:rsidP="001147CF">
            <w:pPr>
              <w:overflowPunct w:val="0"/>
              <w:ind w:left="-57" w:right="-57"/>
              <w:jc w:val="center"/>
              <w:textAlignment w:val="baseline"/>
              <w:rPr>
                <w:sz w:val="20"/>
              </w:rPr>
            </w:pPr>
          </w:p>
        </w:tc>
        <w:tc>
          <w:tcPr>
            <w:tcW w:w="307" w:type="pct"/>
            <w:vMerge/>
          </w:tcPr>
          <w:p w14:paraId="02E54B86" w14:textId="77777777" w:rsidR="004C3029" w:rsidRDefault="004C3029" w:rsidP="001147CF">
            <w:pPr>
              <w:overflowPunct w:val="0"/>
              <w:ind w:left="-57" w:right="-57"/>
              <w:jc w:val="center"/>
              <w:textAlignment w:val="baseline"/>
              <w:rPr>
                <w:sz w:val="20"/>
              </w:rPr>
            </w:pPr>
          </w:p>
        </w:tc>
        <w:tc>
          <w:tcPr>
            <w:tcW w:w="308" w:type="pct"/>
            <w:vMerge/>
          </w:tcPr>
          <w:p w14:paraId="318F03A3" w14:textId="77777777" w:rsidR="004C3029" w:rsidRDefault="004C3029" w:rsidP="001147CF">
            <w:pPr>
              <w:overflowPunct w:val="0"/>
              <w:ind w:left="-57" w:right="-57"/>
              <w:jc w:val="center"/>
              <w:textAlignment w:val="baseline"/>
              <w:rPr>
                <w:sz w:val="20"/>
              </w:rPr>
            </w:pPr>
          </w:p>
        </w:tc>
        <w:tc>
          <w:tcPr>
            <w:tcW w:w="437" w:type="pct"/>
          </w:tcPr>
          <w:p w14:paraId="568B4148" w14:textId="77777777" w:rsidR="004C3029" w:rsidRDefault="004C3029" w:rsidP="001147CF">
            <w:pPr>
              <w:overflowPunct w:val="0"/>
              <w:ind w:left="-57" w:right="-57"/>
              <w:textAlignment w:val="baseline"/>
              <w:rPr>
                <w:sz w:val="20"/>
              </w:rPr>
            </w:pPr>
            <w:r>
              <w:rPr>
                <w:sz w:val="20"/>
              </w:rPr>
              <w:t xml:space="preserve">R – Asmenų, kurie dalyvavę mokymuose </w:t>
            </w:r>
            <w:r>
              <w:rPr>
                <w:sz w:val="20"/>
              </w:rPr>
              <w:lastRenderedPageBreak/>
              <w:t>įgijo kompetenciją, dalis</w:t>
            </w:r>
          </w:p>
        </w:tc>
        <w:tc>
          <w:tcPr>
            <w:tcW w:w="220" w:type="pct"/>
          </w:tcPr>
          <w:p w14:paraId="3754596C" w14:textId="77777777" w:rsidR="004C3029" w:rsidRDefault="004C3029" w:rsidP="001147CF">
            <w:pPr>
              <w:overflowPunct w:val="0"/>
              <w:ind w:left="-57" w:right="-57"/>
              <w:jc w:val="center"/>
              <w:textAlignment w:val="baseline"/>
              <w:rPr>
                <w:sz w:val="20"/>
              </w:rPr>
            </w:pPr>
            <w:r>
              <w:rPr>
                <w:sz w:val="20"/>
              </w:rPr>
              <w:lastRenderedPageBreak/>
              <w:t>80</w:t>
            </w:r>
          </w:p>
        </w:tc>
        <w:tc>
          <w:tcPr>
            <w:tcW w:w="263" w:type="pct"/>
            <w:vMerge/>
          </w:tcPr>
          <w:p w14:paraId="39F75E26" w14:textId="77777777" w:rsidR="004C3029" w:rsidRDefault="004C3029" w:rsidP="001147CF">
            <w:pPr>
              <w:overflowPunct w:val="0"/>
              <w:ind w:left="-57" w:right="-57"/>
              <w:jc w:val="center"/>
              <w:textAlignment w:val="baseline"/>
              <w:rPr>
                <w:sz w:val="20"/>
              </w:rPr>
            </w:pPr>
          </w:p>
        </w:tc>
        <w:tc>
          <w:tcPr>
            <w:tcW w:w="326" w:type="pct"/>
            <w:vMerge/>
          </w:tcPr>
          <w:p w14:paraId="61E3B071" w14:textId="77777777" w:rsidR="004C3029" w:rsidRDefault="004C3029" w:rsidP="001147CF">
            <w:pPr>
              <w:overflowPunct w:val="0"/>
              <w:spacing w:line="259" w:lineRule="auto"/>
              <w:ind w:left="-57" w:right="-57"/>
              <w:jc w:val="center"/>
              <w:textAlignment w:val="baseline"/>
              <w:rPr>
                <w:sz w:val="20"/>
              </w:rPr>
            </w:pPr>
          </w:p>
        </w:tc>
        <w:tc>
          <w:tcPr>
            <w:tcW w:w="308" w:type="pct"/>
            <w:vMerge/>
          </w:tcPr>
          <w:p w14:paraId="76F4DAAE" w14:textId="77777777" w:rsidR="004C3029" w:rsidRDefault="004C3029" w:rsidP="001147CF">
            <w:pPr>
              <w:overflowPunct w:val="0"/>
              <w:ind w:left="-57" w:right="-57"/>
              <w:jc w:val="center"/>
              <w:textAlignment w:val="baseline"/>
              <w:rPr>
                <w:sz w:val="20"/>
              </w:rPr>
            </w:pPr>
          </w:p>
        </w:tc>
      </w:tr>
      <w:tr w:rsidR="004C3029" w14:paraId="29638812" w14:textId="77777777" w:rsidTr="001147CF">
        <w:trPr>
          <w:trHeight w:val="3654"/>
        </w:trPr>
        <w:tc>
          <w:tcPr>
            <w:tcW w:w="704" w:type="pct"/>
            <w:vMerge w:val="restart"/>
          </w:tcPr>
          <w:p w14:paraId="14A298A8" w14:textId="77777777" w:rsidR="004C3029" w:rsidRDefault="004C3029" w:rsidP="001147CF">
            <w:pPr>
              <w:overflowPunct w:val="0"/>
              <w:ind w:left="-57" w:right="-57"/>
              <w:textAlignment w:val="baseline"/>
              <w:rPr>
                <w:sz w:val="20"/>
              </w:rPr>
            </w:pPr>
            <w:r>
              <w:rPr>
                <w:sz w:val="20"/>
              </w:rPr>
              <w:t>2.2. Regioninių centrų įveiklinimas ir jų darbuotojų bei pedagoginių ir psichologinių tarnybų specialistų kvalifikacijos kėlimas, vertinimo ir ugdymo metodikų kūrimas ir apmokymas jomis dirbti Sostinės regione</w:t>
            </w:r>
          </w:p>
        </w:tc>
        <w:tc>
          <w:tcPr>
            <w:tcW w:w="283" w:type="pct"/>
            <w:vMerge w:val="restart"/>
          </w:tcPr>
          <w:p w14:paraId="3CC7235F" w14:textId="77777777" w:rsidR="004C3029" w:rsidRDefault="004C3029" w:rsidP="001147CF">
            <w:pPr>
              <w:overflowPunct w:val="0"/>
              <w:ind w:left="-57" w:right="-57"/>
              <w:jc w:val="center"/>
              <w:textAlignment w:val="baseline"/>
              <w:rPr>
                <w:sz w:val="20"/>
              </w:rPr>
            </w:pPr>
            <w:r>
              <w:rPr>
                <w:sz w:val="20"/>
              </w:rPr>
              <w:t>I</w:t>
            </w:r>
          </w:p>
        </w:tc>
        <w:tc>
          <w:tcPr>
            <w:tcW w:w="282" w:type="pct"/>
            <w:vMerge w:val="restart"/>
          </w:tcPr>
          <w:p w14:paraId="3EA4D226" w14:textId="77777777" w:rsidR="004C3029" w:rsidRDefault="004C3029" w:rsidP="001147CF">
            <w:pPr>
              <w:overflowPunct w:val="0"/>
              <w:ind w:left="-57" w:right="-57"/>
              <w:jc w:val="center"/>
              <w:textAlignment w:val="baseline"/>
              <w:rPr>
                <w:sz w:val="20"/>
              </w:rPr>
            </w:pPr>
            <w:r>
              <w:rPr>
                <w:sz w:val="20"/>
              </w:rPr>
              <w:t>Lietuvos įtraukties švietime centras</w:t>
            </w:r>
          </w:p>
        </w:tc>
        <w:tc>
          <w:tcPr>
            <w:tcW w:w="351" w:type="pct"/>
            <w:vMerge w:val="restart"/>
          </w:tcPr>
          <w:p w14:paraId="541EBF17"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Pr>
          <w:p w14:paraId="3A95B38A"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1C159B56"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03F502CB"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6978E356"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Pr>
          <w:p w14:paraId="5DB63FEB" w14:textId="77777777" w:rsidR="004C3029" w:rsidRDefault="004C3029" w:rsidP="001147CF">
            <w:pPr>
              <w:overflowPunct w:val="0"/>
              <w:ind w:left="-57" w:right="-57"/>
              <w:jc w:val="center"/>
              <w:textAlignment w:val="baseline"/>
              <w:rPr>
                <w:sz w:val="20"/>
              </w:rPr>
            </w:pPr>
            <w:r>
              <w:rPr>
                <w:sz w:val="20"/>
              </w:rPr>
              <w:t>SR: 4 240 (ES – 2 120, BF – 2 120)</w:t>
            </w:r>
          </w:p>
        </w:tc>
        <w:tc>
          <w:tcPr>
            <w:tcW w:w="308" w:type="pct"/>
            <w:vMerge w:val="restart"/>
          </w:tcPr>
          <w:p w14:paraId="33BF06DE"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42774D16" w14:textId="77777777" w:rsidR="004C3029" w:rsidRDefault="004C3029" w:rsidP="001147CF">
            <w:pPr>
              <w:overflowPunct w:val="0"/>
              <w:ind w:left="-57" w:right="-57"/>
              <w:textAlignment w:val="baseline"/>
              <w:rPr>
                <w:sz w:val="20"/>
              </w:rPr>
            </w:pPr>
            <w:r>
              <w:rPr>
                <w:sz w:val="20"/>
              </w:rPr>
              <w:t>P-12-003-03-02-01-06 Jaunesnių nei 18 metų vaikų skaičius</w:t>
            </w:r>
          </w:p>
          <w:p w14:paraId="75D5280B" w14:textId="77777777" w:rsidR="004C3029" w:rsidRDefault="004C3029" w:rsidP="001147CF">
            <w:pPr>
              <w:overflowPunct w:val="0"/>
              <w:ind w:left="-57" w:right="-57"/>
              <w:textAlignment w:val="baseline"/>
              <w:rPr>
                <w:sz w:val="20"/>
              </w:rPr>
            </w:pPr>
          </w:p>
        </w:tc>
        <w:tc>
          <w:tcPr>
            <w:tcW w:w="220" w:type="pct"/>
          </w:tcPr>
          <w:p w14:paraId="0D6E3326" w14:textId="77777777" w:rsidR="004C3029" w:rsidRDefault="004C3029" w:rsidP="001147CF">
            <w:pPr>
              <w:overflowPunct w:val="0"/>
              <w:ind w:left="-57" w:right="-57"/>
              <w:jc w:val="center"/>
              <w:textAlignment w:val="baseline"/>
              <w:rPr>
                <w:sz w:val="20"/>
              </w:rPr>
            </w:pPr>
          </w:p>
          <w:p w14:paraId="57ACE3BD" w14:textId="77777777" w:rsidR="004C3029" w:rsidRDefault="004C3029" w:rsidP="001147CF">
            <w:pPr>
              <w:overflowPunct w:val="0"/>
              <w:ind w:left="-57" w:right="-57"/>
              <w:jc w:val="center"/>
              <w:textAlignment w:val="baseline"/>
              <w:rPr>
                <w:sz w:val="20"/>
              </w:rPr>
            </w:pPr>
          </w:p>
          <w:p w14:paraId="1EA9A693" w14:textId="77777777" w:rsidR="004C3029" w:rsidRDefault="004C3029" w:rsidP="001147CF">
            <w:pPr>
              <w:overflowPunct w:val="0"/>
              <w:ind w:left="-57" w:right="-57"/>
              <w:jc w:val="center"/>
              <w:textAlignment w:val="baseline"/>
              <w:rPr>
                <w:sz w:val="20"/>
              </w:rPr>
            </w:pPr>
            <w:r>
              <w:rPr>
                <w:sz w:val="20"/>
              </w:rPr>
              <w:t>54</w:t>
            </w:r>
          </w:p>
        </w:tc>
        <w:tc>
          <w:tcPr>
            <w:tcW w:w="263" w:type="pct"/>
            <w:vMerge w:val="restart"/>
          </w:tcPr>
          <w:p w14:paraId="6D6811DE" w14:textId="77777777" w:rsidR="004C3029" w:rsidRDefault="004C3029" w:rsidP="001147CF">
            <w:pPr>
              <w:overflowPunct w:val="0"/>
              <w:ind w:left="-57" w:right="-57"/>
              <w:jc w:val="center"/>
              <w:textAlignment w:val="baseline"/>
              <w:rPr>
                <w:sz w:val="20"/>
              </w:rPr>
            </w:pPr>
            <w:r>
              <w:rPr>
                <w:sz w:val="20"/>
              </w:rPr>
              <w:t>2023</w:t>
            </w:r>
          </w:p>
        </w:tc>
        <w:tc>
          <w:tcPr>
            <w:tcW w:w="326" w:type="pct"/>
            <w:vMerge w:val="restart"/>
          </w:tcPr>
          <w:p w14:paraId="4C8261E4" w14:textId="77777777" w:rsidR="004C3029" w:rsidRDefault="004C3029" w:rsidP="001147CF">
            <w:pPr>
              <w:overflowPunct w:val="0"/>
              <w:spacing w:line="259" w:lineRule="auto"/>
              <w:ind w:left="-57" w:right="-57"/>
              <w:jc w:val="center"/>
              <w:textAlignment w:val="baseline"/>
              <w:rPr>
                <w:sz w:val="20"/>
              </w:rPr>
            </w:pPr>
            <w:r>
              <w:rPr>
                <w:sz w:val="20"/>
              </w:rPr>
              <w:t>CPVA</w:t>
            </w:r>
          </w:p>
        </w:tc>
        <w:tc>
          <w:tcPr>
            <w:tcW w:w="308" w:type="pct"/>
            <w:vMerge w:val="restart"/>
          </w:tcPr>
          <w:p w14:paraId="40F24590" w14:textId="77777777" w:rsidR="004C3029" w:rsidRDefault="004C3029" w:rsidP="001147CF">
            <w:pPr>
              <w:overflowPunct w:val="0"/>
              <w:ind w:left="-57" w:right="-57"/>
              <w:jc w:val="center"/>
              <w:textAlignment w:val="baseline"/>
              <w:rPr>
                <w:sz w:val="20"/>
              </w:rPr>
            </w:pPr>
            <w:r>
              <w:rPr>
                <w:sz w:val="20"/>
              </w:rPr>
              <w:t>-</w:t>
            </w:r>
          </w:p>
        </w:tc>
      </w:tr>
      <w:tr w:rsidR="004C3029" w14:paraId="36D2ED23" w14:textId="77777777" w:rsidTr="001147CF">
        <w:trPr>
          <w:trHeight w:val="1259"/>
        </w:trPr>
        <w:tc>
          <w:tcPr>
            <w:tcW w:w="704" w:type="pct"/>
            <w:vMerge/>
          </w:tcPr>
          <w:p w14:paraId="6A67DD73" w14:textId="77777777" w:rsidR="004C3029" w:rsidRDefault="004C3029" w:rsidP="001147CF">
            <w:pPr>
              <w:overflowPunct w:val="0"/>
              <w:ind w:left="-57" w:right="-57"/>
              <w:textAlignment w:val="baseline"/>
              <w:rPr>
                <w:sz w:val="20"/>
              </w:rPr>
            </w:pPr>
          </w:p>
        </w:tc>
        <w:tc>
          <w:tcPr>
            <w:tcW w:w="283" w:type="pct"/>
            <w:vMerge/>
          </w:tcPr>
          <w:p w14:paraId="2DA7667C" w14:textId="77777777" w:rsidR="004C3029" w:rsidRDefault="004C3029" w:rsidP="001147CF">
            <w:pPr>
              <w:overflowPunct w:val="0"/>
              <w:ind w:left="-57" w:right="-57"/>
              <w:jc w:val="center"/>
              <w:textAlignment w:val="baseline"/>
              <w:rPr>
                <w:sz w:val="20"/>
              </w:rPr>
            </w:pPr>
          </w:p>
        </w:tc>
        <w:tc>
          <w:tcPr>
            <w:tcW w:w="282" w:type="pct"/>
            <w:vMerge/>
          </w:tcPr>
          <w:p w14:paraId="0A13777F" w14:textId="77777777" w:rsidR="004C3029" w:rsidRDefault="004C3029" w:rsidP="001147CF">
            <w:pPr>
              <w:overflowPunct w:val="0"/>
              <w:ind w:left="-57" w:right="-57"/>
              <w:jc w:val="center"/>
              <w:textAlignment w:val="baseline"/>
              <w:rPr>
                <w:sz w:val="20"/>
              </w:rPr>
            </w:pPr>
          </w:p>
        </w:tc>
        <w:tc>
          <w:tcPr>
            <w:tcW w:w="351" w:type="pct"/>
            <w:vMerge/>
          </w:tcPr>
          <w:p w14:paraId="27DBEB73" w14:textId="77777777" w:rsidR="004C3029" w:rsidRDefault="004C3029" w:rsidP="001147CF">
            <w:pPr>
              <w:overflowPunct w:val="0"/>
              <w:ind w:left="-57" w:right="-57"/>
              <w:jc w:val="center"/>
              <w:textAlignment w:val="baseline"/>
              <w:rPr>
                <w:sz w:val="20"/>
              </w:rPr>
            </w:pPr>
          </w:p>
        </w:tc>
        <w:tc>
          <w:tcPr>
            <w:tcW w:w="333" w:type="pct"/>
            <w:vMerge/>
          </w:tcPr>
          <w:p w14:paraId="3AE469FA" w14:textId="77777777" w:rsidR="004C3029" w:rsidRDefault="004C3029" w:rsidP="001147CF">
            <w:pPr>
              <w:overflowPunct w:val="0"/>
              <w:ind w:left="-57" w:right="-57"/>
              <w:jc w:val="center"/>
              <w:textAlignment w:val="baseline"/>
              <w:rPr>
                <w:sz w:val="20"/>
              </w:rPr>
            </w:pPr>
          </w:p>
        </w:tc>
        <w:tc>
          <w:tcPr>
            <w:tcW w:w="308" w:type="pct"/>
            <w:vMerge/>
          </w:tcPr>
          <w:p w14:paraId="67C2756F" w14:textId="77777777" w:rsidR="004C3029" w:rsidRDefault="004C3029" w:rsidP="001147CF">
            <w:pPr>
              <w:overflowPunct w:val="0"/>
              <w:ind w:left="-57" w:right="-57"/>
              <w:jc w:val="center"/>
              <w:textAlignment w:val="baseline"/>
              <w:rPr>
                <w:sz w:val="20"/>
              </w:rPr>
            </w:pPr>
          </w:p>
        </w:tc>
        <w:tc>
          <w:tcPr>
            <w:tcW w:w="262" w:type="pct"/>
            <w:vMerge/>
          </w:tcPr>
          <w:p w14:paraId="2A200675" w14:textId="77777777" w:rsidR="004C3029" w:rsidRDefault="004C3029" w:rsidP="001147CF">
            <w:pPr>
              <w:overflowPunct w:val="0"/>
              <w:ind w:left="-57" w:right="-57"/>
              <w:jc w:val="center"/>
              <w:textAlignment w:val="baseline"/>
              <w:rPr>
                <w:sz w:val="20"/>
              </w:rPr>
            </w:pPr>
          </w:p>
        </w:tc>
        <w:tc>
          <w:tcPr>
            <w:tcW w:w="308" w:type="pct"/>
            <w:vMerge/>
          </w:tcPr>
          <w:p w14:paraId="29A475E5" w14:textId="77777777" w:rsidR="004C3029" w:rsidRDefault="004C3029" w:rsidP="001147CF">
            <w:pPr>
              <w:overflowPunct w:val="0"/>
              <w:ind w:left="-57" w:right="-57"/>
              <w:jc w:val="center"/>
              <w:textAlignment w:val="baseline"/>
              <w:rPr>
                <w:sz w:val="20"/>
              </w:rPr>
            </w:pPr>
          </w:p>
        </w:tc>
        <w:tc>
          <w:tcPr>
            <w:tcW w:w="307" w:type="pct"/>
            <w:vMerge/>
          </w:tcPr>
          <w:p w14:paraId="254B9F4B" w14:textId="77777777" w:rsidR="004C3029" w:rsidRDefault="004C3029" w:rsidP="001147CF">
            <w:pPr>
              <w:overflowPunct w:val="0"/>
              <w:ind w:left="-57" w:right="-57"/>
              <w:jc w:val="center"/>
              <w:textAlignment w:val="baseline"/>
              <w:rPr>
                <w:sz w:val="20"/>
              </w:rPr>
            </w:pPr>
          </w:p>
        </w:tc>
        <w:tc>
          <w:tcPr>
            <w:tcW w:w="308" w:type="pct"/>
            <w:vMerge/>
          </w:tcPr>
          <w:p w14:paraId="612AD690" w14:textId="77777777" w:rsidR="004C3029" w:rsidRDefault="004C3029" w:rsidP="001147CF">
            <w:pPr>
              <w:overflowPunct w:val="0"/>
              <w:ind w:left="-57" w:right="-57"/>
              <w:jc w:val="center"/>
              <w:textAlignment w:val="baseline"/>
              <w:rPr>
                <w:sz w:val="20"/>
              </w:rPr>
            </w:pPr>
          </w:p>
        </w:tc>
        <w:tc>
          <w:tcPr>
            <w:tcW w:w="437" w:type="pct"/>
          </w:tcPr>
          <w:p w14:paraId="437635BE" w14:textId="77777777" w:rsidR="004C3029" w:rsidRDefault="004C3029" w:rsidP="001147CF">
            <w:pPr>
              <w:overflowPunct w:val="0"/>
              <w:ind w:left="-57" w:right="-57"/>
              <w:textAlignment w:val="baseline"/>
              <w:rPr>
                <w:sz w:val="20"/>
              </w:rPr>
            </w:pPr>
            <w:r>
              <w:rPr>
                <w:sz w:val="20"/>
              </w:rPr>
              <w:t>R – Švietimo pagalbą ne trumpiau kaip 3 mėnesius gavusių vaikų dalis</w:t>
            </w:r>
          </w:p>
        </w:tc>
        <w:tc>
          <w:tcPr>
            <w:tcW w:w="220" w:type="pct"/>
          </w:tcPr>
          <w:p w14:paraId="28F8954A" w14:textId="77777777" w:rsidR="004C3029" w:rsidRDefault="004C3029" w:rsidP="001147CF">
            <w:pPr>
              <w:overflowPunct w:val="0"/>
              <w:ind w:left="-57" w:right="-57"/>
              <w:jc w:val="center"/>
              <w:textAlignment w:val="baseline"/>
              <w:rPr>
                <w:sz w:val="20"/>
              </w:rPr>
            </w:pPr>
            <w:r>
              <w:rPr>
                <w:sz w:val="20"/>
              </w:rPr>
              <w:t>85</w:t>
            </w:r>
          </w:p>
        </w:tc>
        <w:tc>
          <w:tcPr>
            <w:tcW w:w="263" w:type="pct"/>
            <w:vMerge/>
          </w:tcPr>
          <w:p w14:paraId="6383F47F" w14:textId="77777777" w:rsidR="004C3029" w:rsidRDefault="004C3029" w:rsidP="001147CF">
            <w:pPr>
              <w:overflowPunct w:val="0"/>
              <w:ind w:left="-57" w:right="-57"/>
              <w:jc w:val="center"/>
              <w:textAlignment w:val="baseline"/>
              <w:rPr>
                <w:sz w:val="20"/>
              </w:rPr>
            </w:pPr>
          </w:p>
        </w:tc>
        <w:tc>
          <w:tcPr>
            <w:tcW w:w="326" w:type="pct"/>
            <w:vMerge/>
          </w:tcPr>
          <w:p w14:paraId="5847AA51" w14:textId="77777777" w:rsidR="004C3029" w:rsidRDefault="004C3029" w:rsidP="001147CF">
            <w:pPr>
              <w:overflowPunct w:val="0"/>
              <w:spacing w:line="259" w:lineRule="auto"/>
              <w:ind w:left="-57" w:right="-57"/>
              <w:jc w:val="center"/>
              <w:textAlignment w:val="baseline"/>
              <w:rPr>
                <w:sz w:val="20"/>
              </w:rPr>
            </w:pPr>
          </w:p>
        </w:tc>
        <w:tc>
          <w:tcPr>
            <w:tcW w:w="308" w:type="pct"/>
            <w:vMerge/>
          </w:tcPr>
          <w:p w14:paraId="505DBAC5" w14:textId="77777777" w:rsidR="004C3029" w:rsidRDefault="004C3029" w:rsidP="001147CF">
            <w:pPr>
              <w:overflowPunct w:val="0"/>
              <w:ind w:left="-57" w:right="-57"/>
              <w:jc w:val="center"/>
              <w:textAlignment w:val="baseline"/>
              <w:rPr>
                <w:sz w:val="20"/>
              </w:rPr>
            </w:pPr>
          </w:p>
        </w:tc>
      </w:tr>
      <w:tr w:rsidR="004C3029" w14:paraId="0AF7C8C8" w14:textId="77777777" w:rsidTr="001147CF">
        <w:trPr>
          <w:trHeight w:val="840"/>
        </w:trPr>
        <w:tc>
          <w:tcPr>
            <w:tcW w:w="704" w:type="pct"/>
            <w:vMerge w:val="restart"/>
          </w:tcPr>
          <w:p w14:paraId="54E01BD3" w14:textId="77777777" w:rsidR="004C3029" w:rsidRDefault="004C3029" w:rsidP="001147CF">
            <w:pPr>
              <w:overflowPunct w:val="0"/>
              <w:ind w:left="-57" w:right="-57"/>
              <w:textAlignment w:val="baseline"/>
              <w:rPr>
                <w:sz w:val="20"/>
              </w:rPr>
            </w:pPr>
            <w:r>
              <w:rPr>
                <w:sz w:val="20"/>
              </w:rPr>
              <w:t xml:space="preserve">2.3. Regioninių centrų įveiklinimas ir jų darbuotojų bei </w:t>
            </w:r>
            <w:r>
              <w:rPr>
                <w:sz w:val="20"/>
              </w:rPr>
              <w:lastRenderedPageBreak/>
              <w:t>pedagoginių ir psichologinių tarnybų specialistų kvalifikacijos kėlimas, vertinimo ir ugdymo metodikų kūrimas ir apmokymas jomis dirbti Vidurio ir vakarų Lietuvos regione</w:t>
            </w:r>
          </w:p>
        </w:tc>
        <w:tc>
          <w:tcPr>
            <w:tcW w:w="283" w:type="pct"/>
            <w:vMerge w:val="restart"/>
          </w:tcPr>
          <w:p w14:paraId="34984BC3"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Pr>
          <w:p w14:paraId="519F5713" w14:textId="77777777" w:rsidR="004C3029" w:rsidRDefault="004C3029" w:rsidP="001147CF">
            <w:pPr>
              <w:overflowPunct w:val="0"/>
              <w:ind w:left="-57" w:right="-57"/>
              <w:jc w:val="center"/>
              <w:textAlignment w:val="baseline"/>
              <w:rPr>
                <w:sz w:val="20"/>
              </w:rPr>
            </w:pPr>
            <w:r>
              <w:rPr>
                <w:sz w:val="20"/>
              </w:rPr>
              <w:t>Lietuvos įtraukties švietime centras</w:t>
            </w:r>
          </w:p>
        </w:tc>
        <w:tc>
          <w:tcPr>
            <w:tcW w:w="351" w:type="pct"/>
            <w:vMerge w:val="restart"/>
          </w:tcPr>
          <w:p w14:paraId="68DC4892"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Pr>
          <w:p w14:paraId="65D8EC9E"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4DFA5299"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173F9253"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7CDD2C5A"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Pr>
          <w:p w14:paraId="4BFB6D5C" w14:textId="77777777" w:rsidR="004C3029" w:rsidRDefault="004C3029" w:rsidP="001147CF">
            <w:pPr>
              <w:overflowPunct w:val="0"/>
              <w:ind w:left="-57" w:right="-57"/>
              <w:jc w:val="center"/>
              <w:textAlignment w:val="baseline"/>
              <w:rPr>
                <w:sz w:val="20"/>
              </w:rPr>
            </w:pPr>
            <w:r>
              <w:rPr>
                <w:sz w:val="20"/>
              </w:rPr>
              <w:t>VVL: 18 760 (ES - 15 946, BF – 2 814)</w:t>
            </w:r>
          </w:p>
        </w:tc>
        <w:tc>
          <w:tcPr>
            <w:tcW w:w="308" w:type="pct"/>
            <w:vMerge w:val="restart"/>
          </w:tcPr>
          <w:p w14:paraId="079F3539"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01C9742C" w14:textId="77777777" w:rsidR="004C3029" w:rsidRDefault="004C3029" w:rsidP="001147CF">
            <w:pPr>
              <w:overflowPunct w:val="0"/>
              <w:ind w:left="-57" w:right="-57"/>
              <w:textAlignment w:val="baseline"/>
              <w:rPr>
                <w:sz w:val="20"/>
              </w:rPr>
            </w:pPr>
            <w:r>
              <w:rPr>
                <w:sz w:val="20"/>
              </w:rPr>
              <w:t>P-12-003-03-02-01-07</w:t>
            </w:r>
            <w:r>
              <w:rPr>
                <w:sz w:val="18"/>
                <w:szCs w:val="18"/>
              </w:rPr>
              <w:t xml:space="preserve"> </w:t>
            </w:r>
            <w:r>
              <w:rPr>
                <w:sz w:val="20"/>
              </w:rPr>
              <w:t xml:space="preserve">Asmenys, turintys tretinį (ISCED 5–8 </w:t>
            </w:r>
            <w:r>
              <w:rPr>
                <w:sz w:val="20"/>
              </w:rPr>
              <w:lastRenderedPageBreak/>
              <w:t>kodai) išsilavinimą</w:t>
            </w:r>
          </w:p>
        </w:tc>
        <w:tc>
          <w:tcPr>
            <w:tcW w:w="220" w:type="pct"/>
          </w:tcPr>
          <w:p w14:paraId="287A72C2" w14:textId="77777777" w:rsidR="004C3029" w:rsidRDefault="004C3029" w:rsidP="001147CF">
            <w:pPr>
              <w:overflowPunct w:val="0"/>
              <w:ind w:left="-57" w:right="-57"/>
              <w:jc w:val="center"/>
              <w:textAlignment w:val="baseline"/>
              <w:rPr>
                <w:sz w:val="20"/>
              </w:rPr>
            </w:pPr>
            <w:r>
              <w:rPr>
                <w:sz w:val="20"/>
              </w:rPr>
              <w:lastRenderedPageBreak/>
              <w:t>300</w:t>
            </w:r>
          </w:p>
        </w:tc>
        <w:tc>
          <w:tcPr>
            <w:tcW w:w="263" w:type="pct"/>
            <w:vMerge w:val="restart"/>
          </w:tcPr>
          <w:p w14:paraId="7C914DD9" w14:textId="77777777" w:rsidR="004C3029" w:rsidRDefault="004C3029" w:rsidP="001147CF">
            <w:pPr>
              <w:overflowPunct w:val="0"/>
              <w:ind w:left="-57" w:right="-57"/>
              <w:jc w:val="center"/>
              <w:textAlignment w:val="baseline"/>
              <w:rPr>
                <w:sz w:val="20"/>
              </w:rPr>
            </w:pPr>
            <w:r>
              <w:rPr>
                <w:sz w:val="20"/>
              </w:rPr>
              <w:t>2023</w:t>
            </w:r>
          </w:p>
        </w:tc>
        <w:tc>
          <w:tcPr>
            <w:tcW w:w="326" w:type="pct"/>
            <w:vMerge w:val="restart"/>
          </w:tcPr>
          <w:p w14:paraId="6D6478B6" w14:textId="77777777" w:rsidR="004C3029" w:rsidRDefault="004C3029" w:rsidP="001147CF">
            <w:pPr>
              <w:overflowPunct w:val="0"/>
              <w:spacing w:line="259" w:lineRule="auto"/>
              <w:ind w:left="-57" w:right="-57"/>
              <w:jc w:val="center"/>
              <w:textAlignment w:val="baseline"/>
              <w:rPr>
                <w:sz w:val="20"/>
              </w:rPr>
            </w:pPr>
            <w:r>
              <w:rPr>
                <w:sz w:val="20"/>
              </w:rPr>
              <w:t>CPVA</w:t>
            </w:r>
          </w:p>
        </w:tc>
        <w:tc>
          <w:tcPr>
            <w:tcW w:w="308" w:type="pct"/>
            <w:vMerge w:val="restart"/>
          </w:tcPr>
          <w:p w14:paraId="4277DA20" w14:textId="77777777" w:rsidR="004C3029" w:rsidRDefault="004C3029" w:rsidP="001147CF">
            <w:pPr>
              <w:overflowPunct w:val="0"/>
              <w:ind w:left="-57" w:right="-57"/>
              <w:jc w:val="center"/>
              <w:textAlignment w:val="baseline"/>
              <w:rPr>
                <w:sz w:val="20"/>
              </w:rPr>
            </w:pPr>
            <w:r>
              <w:rPr>
                <w:sz w:val="20"/>
              </w:rPr>
              <w:t>-</w:t>
            </w:r>
          </w:p>
        </w:tc>
      </w:tr>
      <w:tr w:rsidR="004C3029" w14:paraId="1EB675BD" w14:textId="77777777" w:rsidTr="001147CF">
        <w:trPr>
          <w:trHeight w:val="851"/>
        </w:trPr>
        <w:tc>
          <w:tcPr>
            <w:tcW w:w="704" w:type="pct"/>
            <w:vMerge/>
          </w:tcPr>
          <w:p w14:paraId="5EDE5B40" w14:textId="77777777" w:rsidR="004C3029" w:rsidRDefault="004C3029" w:rsidP="001147CF">
            <w:pPr>
              <w:overflowPunct w:val="0"/>
              <w:ind w:left="-57" w:right="-57"/>
              <w:textAlignment w:val="baseline"/>
              <w:rPr>
                <w:sz w:val="20"/>
              </w:rPr>
            </w:pPr>
          </w:p>
        </w:tc>
        <w:tc>
          <w:tcPr>
            <w:tcW w:w="283" w:type="pct"/>
            <w:vMerge/>
          </w:tcPr>
          <w:p w14:paraId="135F81BE" w14:textId="77777777" w:rsidR="004C3029" w:rsidRDefault="004C3029" w:rsidP="001147CF">
            <w:pPr>
              <w:overflowPunct w:val="0"/>
              <w:ind w:left="-57" w:right="-57"/>
              <w:jc w:val="center"/>
              <w:textAlignment w:val="baseline"/>
              <w:rPr>
                <w:sz w:val="20"/>
              </w:rPr>
            </w:pPr>
          </w:p>
        </w:tc>
        <w:tc>
          <w:tcPr>
            <w:tcW w:w="282" w:type="pct"/>
            <w:vMerge/>
          </w:tcPr>
          <w:p w14:paraId="5201012E" w14:textId="77777777" w:rsidR="004C3029" w:rsidRDefault="004C3029" w:rsidP="001147CF">
            <w:pPr>
              <w:overflowPunct w:val="0"/>
              <w:ind w:left="-57" w:right="-57"/>
              <w:jc w:val="center"/>
              <w:textAlignment w:val="baseline"/>
              <w:rPr>
                <w:sz w:val="20"/>
              </w:rPr>
            </w:pPr>
          </w:p>
        </w:tc>
        <w:tc>
          <w:tcPr>
            <w:tcW w:w="351" w:type="pct"/>
            <w:vMerge/>
          </w:tcPr>
          <w:p w14:paraId="0B973388" w14:textId="77777777" w:rsidR="004C3029" w:rsidRDefault="004C3029" w:rsidP="001147CF">
            <w:pPr>
              <w:overflowPunct w:val="0"/>
              <w:ind w:left="-57" w:right="-57"/>
              <w:jc w:val="center"/>
              <w:textAlignment w:val="baseline"/>
              <w:rPr>
                <w:sz w:val="20"/>
              </w:rPr>
            </w:pPr>
          </w:p>
        </w:tc>
        <w:tc>
          <w:tcPr>
            <w:tcW w:w="333" w:type="pct"/>
            <w:vMerge/>
          </w:tcPr>
          <w:p w14:paraId="42A09883" w14:textId="77777777" w:rsidR="004C3029" w:rsidRDefault="004C3029" w:rsidP="001147CF">
            <w:pPr>
              <w:overflowPunct w:val="0"/>
              <w:ind w:left="-57" w:right="-57"/>
              <w:jc w:val="center"/>
              <w:textAlignment w:val="baseline"/>
              <w:rPr>
                <w:sz w:val="20"/>
              </w:rPr>
            </w:pPr>
          </w:p>
        </w:tc>
        <w:tc>
          <w:tcPr>
            <w:tcW w:w="308" w:type="pct"/>
            <w:vMerge/>
          </w:tcPr>
          <w:p w14:paraId="2607A498" w14:textId="77777777" w:rsidR="004C3029" w:rsidRDefault="004C3029" w:rsidP="001147CF">
            <w:pPr>
              <w:overflowPunct w:val="0"/>
              <w:ind w:left="-57" w:right="-57"/>
              <w:jc w:val="center"/>
              <w:textAlignment w:val="baseline"/>
              <w:rPr>
                <w:sz w:val="20"/>
              </w:rPr>
            </w:pPr>
          </w:p>
        </w:tc>
        <w:tc>
          <w:tcPr>
            <w:tcW w:w="262" w:type="pct"/>
            <w:vMerge/>
          </w:tcPr>
          <w:p w14:paraId="0E422E3E" w14:textId="77777777" w:rsidR="004C3029" w:rsidRDefault="004C3029" w:rsidP="001147CF">
            <w:pPr>
              <w:overflowPunct w:val="0"/>
              <w:ind w:left="-57" w:right="-57"/>
              <w:jc w:val="center"/>
              <w:textAlignment w:val="baseline"/>
              <w:rPr>
                <w:sz w:val="20"/>
              </w:rPr>
            </w:pPr>
          </w:p>
        </w:tc>
        <w:tc>
          <w:tcPr>
            <w:tcW w:w="308" w:type="pct"/>
            <w:vMerge/>
          </w:tcPr>
          <w:p w14:paraId="1BF4BDE4" w14:textId="77777777" w:rsidR="004C3029" w:rsidRDefault="004C3029" w:rsidP="001147CF">
            <w:pPr>
              <w:overflowPunct w:val="0"/>
              <w:ind w:left="-57" w:right="-57"/>
              <w:jc w:val="center"/>
              <w:textAlignment w:val="baseline"/>
              <w:rPr>
                <w:sz w:val="20"/>
              </w:rPr>
            </w:pPr>
          </w:p>
        </w:tc>
        <w:tc>
          <w:tcPr>
            <w:tcW w:w="307" w:type="pct"/>
            <w:vMerge/>
          </w:tcPr>
          <w:p w14:paraId="1725A49B" w14:textId="77777777" w:rsidR="004C3029" w:rsidRDefault="004C3029" w:rsidP="001147CF">
            <w:pPr>
              <w:overflowPunct w:val="0"/>
              <w:ind w:left="-57" w:right="-57"/>
              <w:jc w:val="center"/>
              <w:textAlignment w:val="baseline"/>
              <w:rPr>
                <w:sz w:val="20"/>
              </w:rPr>
            </w:pPr>
          </w:p>
        </w:tc>
        <w:tc>
          <w:tcPr>
            <w:tcW w:w="308" w:type="pct"/>
            <w:vMerge/>
          </w:tcPr>
          <w:p w14:paraId="1A287A72" w14:textId="77777777" w:rsidR="004C3029" w:rsidRDefault="004C3029" w:rsidP="001147CF">
            <w:pPr>
              <w:overflowPunct w:val="0"/>
              <w:ind w:left="-57" w:right="-57"/>
              <w:jc w:val="center"/>
              <w:textAlignment w:val="baseline"/>
              <w:rPr>
                <w:sz w:val="20"/>
              </w:rPr>
            </w:pPr>
          </w:p>
        </w:tc>
        <w:tc>
          <w:tcPr>
            <w:tcW w:w="437" w:type="pct"/>
          </w:tcPr>
          <w:p w14:paraId="1DEE1A5E" w14:textId="77777777" w:rsidR="004C3029" w:rsidRDefault="004C3029" w:rsidP="001147CF">
            <w:pPr>
              <w:overflowPunct w:val="0"/>
              <w:ind w:left="-57" w:right="-57"/>
              <w:textAlignment w:val="baseline"/>
              <w:rPr>
                <w:sz w:val="20"/>
              </w:rPr>
            </w:pPr>
            <w:r>
              <w:rPr>
                <w:sz w:val="20"/>
              </w:rPr>
              <w:t>R – Asmenų, kurie dalyvavę mokymuose įgijo kompetenciją, dalis</w:t>
            </w:r>
          </w:p>
        </w:tc>
        <w:tc>
          <w:tcPr>
            <w:tcW w:w="220" w:type="pct"/>
          </w:tcPr>
          <w:p w14:paraId="52764F68" w14:textId="77777777" w:rsidR="004C3029" w:rsidRDefault="004C3029" w:rsidP="001147CF">
            <w:pPr>
              <w:overflowPunct w:val="0"/>
              <w:ind w:left="-57" w:right="-57"/>
              <w:jc w:val="center"/>
              <w:textAlignment w:val="baseline"/>
              <w:rPr>
                <w:sz w:val="20"/>
              </w:rPr>
            </w:pPr>
            <w:r>
              <w:rPr>
                <w:sz w:val="20"/>
              </w:rPr>
              <w:t>80</w:t>
            </w:r>
          </w:p>
        </w:tc>
        <w:tc>
          <w:tcPr>
            <w:tcW w:w="263" w:type="pct"/>
            <w:vMerge/>
          </w:tcPr>
          <w:p w14:paraId="1FD118A8" w14:textId="77777777" w:rsidR="004C3029" w:rsidRDefault="004C3029" w:rsidP="001147CF">
            <w:pPr>
              <w:overflowPunct w:val="0"/>
              <w:ind w:left="-57" w:right="-57"/>
              <w:jc w:val="center"/>
              <w:textAlignment w:val="baseline"/>
              <w:rPr>
                <w:sz w:val="20"/>
              </w:rPr>
            </w:pPr>
          </w:p>
        </w:tc>
        <w:tc>
          <w:tcPr>
            <w:tcW w:w="326" w:type="pct"/>
            <w:vMerge/>
          </w:tcPr>
          <w:p w14:paraId="33ABB0A3" w14:textId="77777777" w:rsidR="004C3029" w:rsidRDefault="004C3029" w:rsidP="001147CF">
            <w:pPr>
              <w:overflowPunct w:val="0"/>
              <w:spacing w:line="259" w:lineRule="auto"/>
              <w:ind w:left="-57" w:right="-57"/>
              <w:jc w:val="center"/>
              <w:textAlignment w:val="baseline"/>
              <w:rPr>
                <w:sz w:val="20"/>
              </w:rPr>
            </w:pPr>
          </w:p>
        </w:tc>
        <w:tc>
          <w:tcPr>
            <w:tcW w:w="308" w:type="pct"/>
            <w:vMerge/>
          </w:tcPr>
          <w:p w14:paraId="5CA41B41" w14:textId="77777777" w:rsidR="004C3029" w:rsidRDefault="004C3029" w:rsidP="001147CF">
            <w:pPr>
              <w:overflowPunct w:val="0"/>
              <w:ind w:left="-57" w:right="-57"/>
              <w:jc w:val="center"/>
              <w:textAlignment w:val="baseline"/>
              <w:rPr>
                <w:sz w:val="20"/>
              </w:rPr>
            </w:pPr>
          </w:p>
        </w:tc>
      </w:tr>
      <w:tr w:rsidR="004C3029" w14:paraId="7EE9AEAA" w14:textId="77777777" w:rsidTr="001147CF">
        <w:trPr>
          <w:trHeight w:val="409"/>
        </w:trPr>
        <w:tc>
          <w:tcPr>
            <w:tcW w:w="704" w:type="pct"/>
            <w:vMerge/>
          </w:tcPr>
          <w:p w14:paraId="58CFA76E" w14:textId="77777777" w:rsidR="004C3029" w:rsidRDefault="004C3029" w:rsidP="001147CF">
            <w:pPr>
              <w:overflowPunct w:val="0"/>
              <w:ind w:left="-57" w:right="-57"/>
              <w:textAlignment w:val="baseline"/>
              <w:rPr>
                <w:sz w:val="20"/>
              </w:rPr>
            </w:pPr>
          </w:p>
        </w:tc>
        <w:tc>
          <w:tcPr>
            <w:tcW w:w="283" w:type="pct"/>
            <w:vMerge/>
          </w:tcPr>
          <w:p w14:paraId="315703A6" w14:textId="77777777" w:rsidR="004C3029" w:rsidRDefault="004C3029" w:rsidP="001147CF">
            <w:pPr>
              <w:overflowPunct w:val="0"/>
              <w:ind w:left="-57" w:right="-57"/>
              <w:jc w:val="center"/>
              <w:textAlignment w:val="baseline"/>
              <w:rPr>
                <w:sz w:val="20"/>
              </w:rPr>
            </w:pPr>
          </w:p>
        </w:tc>
        <w:tc>
          <w:tcPr>
            <w:tcW w:w="282" w:type="pct"/>
            <w:vMerge/>
          </w:tcPr>
          <w:p w14:paraId="7233C53A" w14:textId="77777777" w:rsidR="004C3029" w:rsidRDefault="004C3029" w:rsidP="001147CF">
            <w:pPr>
              <w:overflowPunct w:val="0"/>
              <w:ind w:left="-57" w:right="-57"/>
              <w:jc w:val="center"/>
              <w:textAlignment w:val="baseline"/>
              <w:rPr>
                <w:sz w:val="20"/>
              </w:rPr>
            </w:pPr>
          </w:p>
        </w:tc>
        <w:tc>
          <w:tcPr>
            <w:tcW w:w="351" w:type="pct"/>
            <w:vMerge/>
          </w:tcPr>
          <w:p w14:paraId="47223EAD" w14:textId="77777777" w:rsidR="004C3029" w:rsidRDefault="004C3029" w:rsidP="001147CF">
            <w:pPr>
              <w:overflowPunct w:val="0"/>
              <w:ind w:left="-57" w:right="-57"/>
              <w:jc w:val="center"/>
              <w:textAlignment w:val="baseline"/>
              <w:rPr>
                <w:sz w:val="20"/>
              </w:rPr>
            </w:pPr>
          </w:p>
        </w:tc>
        <w:tc>
          <w:tcPr>
            <w:tcW w:w="333" w:type="pct"/>
            <w:vMerge/>
          </w:tcPr>
          <w:p w14:paraId="07CB4F63" w14:textId="77777777" w:rsidR="004C3029" w:rsidRDefault="004C3029" w:rsidP="001147CF">
            <w:pPr>
              <w:overflowPunct w:val="0"/>
              <w:ind w:left="-57" w:right="-57"/>
              <w:jc w:val="center"/>
              <w:textAlignment w:val="baseline"/>
              <w:rPr>
                <w:sz w:val="20"/>
              </w:rPr>
            </w:pPr>
          </w:p>
        </w:tc>
        <w:tc>
          <w:tcPr>
            <w:tcW w:w="308" w:type="pct"/>
            <w:vMerge/>
          </w:tcPr>
          <w:p w14:paraId="1DB148F5" w14:textId="77777777" w:rsidR="004C3029" w:rsidRDefault="004C3029" w:rsidP="001147CF">
            <w:pPr>
              <w:overflowPunct w:val="0"/>
              <w:ind w:left="-57" w:right="-57"/>
              <w:jc w:val="center"/>
              <w:textAlignment w:val="baseline"/>
              <w:rPr>
                <w:sz w:val="20"/>
              </w:rPr>
            </w:pPr>
          </w:p>
        </w:tc>
        <w:tc>
          <w:tcPr>
            <w:tcW w:w="262" w:type="pct"/>
            <w:vMerge/>
          </w:tcPr>
          <w:p w14:paraId="35489720" w14:textId="77777777" w:rsidR="004C3029" w:rsidRDefault="004C3029" w:rsidP="001147CF">
            <w:pPr>
              <w:overflowPunct w:val="0"/>
              <w:ind w:left="-57" w:right="-57"/>
              <w:jc w:val="center"/>
              <w:textAlignment w:val="baseline"/>
              <w:rPr>
                <w:sz w:val="20"/>
              </w:rPr>
            </w:pPr>
          </w:p>
        </w:tc>
        <w:tc>
          <w:tcPr>
            <w:tcW w:w="308" w:type="pct"/>
            <w:vMerge/>
          </w:tcPr>
          <w:p w14:paraId="3CDA8256" w14:textId="77777777" w:rsidR="004C3029" w:rsidRDefault="004C3029" w:rsidP="001147CF">
            <w:pPr>
              <w:overflowPunct w:val="0"/>
              <w:ind w:left="-57" w:right="-57"/>
              <w:jc w:val="center"/>
              <w:textAlignment w:val="baseline"/>
              <w:rPr>
                <w:sz w:val="20"/>
              </w:rPr>
            </w:pPr>
          </w:p>
        </w:tc>
        <w:tc>
          <w:tcPr>
            <w:tcW w:w="307" w:type="pct"/>
            <w:vMerge/>
          </w:tcPr>
          <w:p w14:paraId="25C703AC" w14:textId="77777777" w:rsidR="004C3029" w:rsidRDefault="004C3029" w:rsidP="001147CF">
            <w:pPr>
              <w:overflowPunct w:val="0"/>
              <w:ind w:left="-57" w:right="-57"/>
              <w:jc w:val="center"/>
              <w:textAlignment w:val="baseline"/>
              <w:rPr>
                <w:sz w:val="20"/>
              </w:rPr>
            </w:pPr>
          </w:p>
        </w:tc>
        <w:tc>
          <w:tcPr>
            <w:tcW w:w="308" w:type="pct"/>
            <w:vMerge/>
          </w:tcPr>
          <w:p w14:paraId="5EE49C93" w14:textId="77777777" w:rsidR="004C3029" w:rsidRDefault="004C3029" w:rsidP="001147CF">
            <w:pPr>
              <w:overflowPunct w:val="0"/>
              <w:ind w:left="-57" w:right="-57"/>
              <w:jc w:val="center"/>
              <w:textAlignment w:val="baseline"/>
              <w:rPr>
                <w:sz w:val="20"/>
              </w:rPr>
            </w:pPr>
          </w:p>
        </w:tc>
        <w:tc>
          <w:tcPr>
            <w:tcW w:w="437" w:type="pct"/>
          </w:tcPr>
          <w:p w14:paraId="03578AFF" w14:textId="77777777" w:rsidR="004C3029" w:rsidRDefault="004C3029" w:rsidP="001147CF">
            <w:pPr>
              <w:overflowPunct w:val="0"/>
              <w:ind w:left="-57" w:right="-57"/>
              <w:textAlignment w:val="baseline"/>
              <w:rPr>
                <w:sz w:val="20"/>
              </w:rPr>
            </w:pPr>
            <w:r>
              <w:rPr>
                <w:sz w:val="20"/>
              </w:rPr>
              <w:t>P-12-003-03-02-01-06 Jaunesnių nei 18 metų vaikų skaičius</w:t>
            </w:r>
          </w:p>
          <w:p w14:paraId="507C1913" w14:textId="77777777" w:rsidR="004C3029" w:rsidRDefault="004C3029" w:rsidP="001147CF">
            <w:pPr>
              <w:overflowPunct w:val="0"/>
              <w:ind w:left="-57" w:right="-57"/>
              <w:textAlignment w:val="baseline"/>
              <w:rPr>
                <w:sz w:val="20"/>
              </w:rPr>
            </w:pPr>
          </w:p>
        </w:tc>
        <w:tc>
          <w:tcPr>
            <w:tcW w:w="220" w:type="pct"/>
          </w:tcPr>
          <w:p w14:paraId="43DACFD5" w14:textId="77777777" w:rsidR="004C3029" w:rsidRDefault="004C3029" w:rsidP="001147CF">
            <w:pPr>
              <w:overflowPunct w:val="0"/>
              <w:ind w:left="-57" w:right="-57"/>
              <w:jc w:val="center"/>
              <w:textAlignment w:val="baseline"/>
              <w:rPr>
                <w:sz w:val="20"/>
              </w:rPr>
            </w:pPr>
            <w:r>
              <w:rPr>
                <w:sz w:val="20"/>
              </w:rPr>
              <w:t>270</w:t>
            </w:r>
          </w:p>
        </w:tc>
        <w:tc>
          <w:tcPr>
            <w:tcW w:w="263" w:type="pct"/>
            <w:vMerge/>
          </w:tcPr>
          <w:p w14:paraId="3C6407BB" w14:textId="77777777" w:rsidR="004C3029" w:rsidRDefault="004C3029" w:rsidP="001147CF">
            <w:pPr>
              <w:overflowPunct w:val="0"/>
              <w:ind w:left="-57" w:right="-57"/>
              <w:jc w:val="center"/>
              <w:textAlignment w:val="baseline"/>
              <w:rPr>
                <w:sz w:val="20"/>
              </w:rPr>
            </w:pPr>
          </w:p>
        </w:tc>
        <w:tc>
          <w:tcPr>
            <w:tcW w:w="326" w:type="pct"/>
            <w:vMerge/>
          </w:tcPr>
          <w:p w14:paraId="6489533E" w14:textId="77777777" w:rsidR="004C3029" w:rsidRDefault="004C3029" w:rsidP="001147CF">
            <w:pPr>
              <w:overflowPunct w:val="0"/>
              <w:spacing w:line="259" w:lineRule="auto"/>
              <w:ind w:left="-57" w:right="-57"/>
              <w:jc w:val="center"/>
              <w:textAlignment w:val="baseline"/>
              <w:rPr>
                <w:sz w:val="20"/>
              </w:rPr>
            </w:pPr>
          </w:p>
        </w:tc>
        <w:tc>
          <w:tcPr>
            <w:tcW w:w="308" w:type="pct"/>
            <w:vMerge/>
          </w:tcPr>
          <w:p w14:paraId="034B6837" w14:textId="77777777" w:rsidR="004C3029" w:rsidRDefault="004C3029" w:rsidP="001147CF">
            <w:pPr>
              <w:overflowPunct w:val="0"/>
              <w:ind w:left="-57" w:right="-57"/>
              <w:jc w:val="center"/>
              <w:textAlignment w:val="baseline"/>
              <w:rPr>
                <w:sz w:val="20"/>
              </w:rPr>
            </w:pPr>
          </w:p>
        </w:tc>
      </w:tr>
      <w:tr w:rsidR="004C3029" w14:paraId="5848CDD6" w14:textId="77777777" w:rsidTr="001147CF">
        <w:trPr>
          <w:trHeight w:val="843"/>
        </w:trPr>
        <w:tc>
          <w:tcPr>
            <w:tcW w:w="704" w:type="pct"/>
            <w:vMerge/>
          </w:tcPr>
          <w:p w14:paraId="65DEA1CD" w14:textId="77777777" w:rsidR="004C3029" w:rsidRDefault="004C3029" w:rsidP="001147CF">
            <w:pPr>
              <w:overflowPunct w:val="0"/>
              <w:ind w:left="-57" w:right="-57"/>
              <w:textAlignment w:val="baseline"/>
              <w:rPr>
                <w:sz w:val="20"/>
              </w:rPr>
            </w:pPr>
          </w:p>
        </w:tc>
        <w:tc>
          <w:tcPr>
            <w:tcW w:w="283" w:type="pct"/>
            <w:vMerge/>
          </w:tcPr>
          <w:p w14:paraId="28F21190" w14:textId="77777777" w:rsidR="004C3029" w:rsidRDefault="004C3029" w:rsidP="001147CF">
            <w:pPr>
              <w:overflowPunct w:val="0"/>
              <w:ind w:left="-57" w:right="-57"/>
              <w:jc w:val="center"/>
              <w:textAlignment w:val="baseline"/>
              <w:rPr>
                <w:sz w:val="20"/>
              </w:rPr>
            </w:pPr>
          </w:p>
        </w:tc>
        <w:tc>
          <w:tcPr>
            <w:tcW w:w="282" w:type="pct"/>
            <w:vMerge/>
          </w:tcPr>
          <w:p w14:paraId="69987DDA" w14:textId="77777777" w:rsidR="004C3029" w:rsidRDefault="004C3029" w:rsidP="001147CF">
            <w:pPr>
              <w:overflowPunct w:val="0"/>
              <w:ind w:left="-57" w:right="-57"/>
              <w:jc w:val="center"/>
              <w:textAlignment w:val="baseline"/>
              <w:rPr>
                <w:sz w:val="20"/>
              </w:rPr>
            </w:pPr>
          </w:p>
        </w:tc>
        <w:tc>
          <w:tcPr>
            <w:tcW w:w="351" w:type="pct"/>
            <w:vMerge/>
          </w:tcPr>
          <w:p w14:paraId="1A210B69" w14:textId="77777777" w:rsidR="004C3029" w:rsidRDefault="004C3029" w:rsidP="001147CF">
            <w:pPr>
              <w:overflowPunct w:val="0"/>
              <w:ind w:left="-57" w:right="-57"/>
              <w:jc w:val="center"/>
              <w:textAlignment w:val="baseline"/>
              <w:rPr>
                <w:sz w:val="20"/>
              </w:rPr>
            </w:pPr>
          </w:p>
        </w:tc>
        <w:tc>
          <w:tcPr>
            <w:tcW w:w="333" w:type="pct"/>
            <w:vMerge/>
          </w:tcPr>
          <w:p w14:paraId="00BF6E40" w14:textId="77777777" w:rsidR="004C3029" w:rsidRDefault="004C3029" w:rsidP="001147CF">
            <w:pPr>
              <w:overflowPunct w:val="0"/>
              <w:ind w:left="-57" w:right="-57"/>
              <w:jc w:val="center"/>
              <w:textAlignment w:val="baseline"/>
              <w:rPr>
                <w:sz w:val="20"/>
              </w:rPr>
            </w:pPr>
          </w:p>
        </w:tc>
        <w:tc>
          <w:tcPr>
            <w:tcW w:w="308" w:type="pct"/>
            <w:vMerge/>
          </w:tcPr>
          <w:p w14:paraId="4AF53C14" w14:textId="77777777" w:rsidR="004C3029" w:rsidRDefault="004C3029" w:rsidP="001147CF">
            <w:pPr>
              <w:overflowPunct w:val="0"/>
              <w:ind w:left="-57" w:right="-57"/>
              <w:jc w:val="center"/>
              <w:textAlignment w:val="baseline"/>
              <w:rPr>
                <w:sz w:val="20"/>
              </w:rPr>
            </w:pPr>
          </w:p>
        </w:tc>
        <w:tc>
          <w:tcPr>
            <w:tcW w:w="262" w:type="pct"/>
            <w:vMerge/>
          </w:tcPr>
          <w:p w14:paraId="3D0EB943" w14:textId="77777777" w:rsidR="004C3029" w:rsidRDefault="004C3029" w:rsidP="001147CF">
            <w:pPr>
              <w:overflowPunct w:val="0"/>
              <w:ind w:left="-57" w:right="-57"/>
              <w:jc w:val="center"/>
              <w:textAlignment w:val="baseline"/>
              <w:rPr>
                <w:sz w:val="20"/>
              </w:rPr>
            </w:pPr>
          </w:p>
        </w:tc>
        <w:tc>
          <w:tcPr>
            <w:tcW w:w="308" w:type="pct"/>
            <w:vMerge/>
          </w:tcPr>
          <w:p w14:paraId="78E61727" w14:textId="77777777" w:rsidR="004C3029" w:rsidRDefault="004C3029" w:rsidP="001147CF">
            <w:pPr>
              <w:overflowPunct w:val="0"/>
              <w:ind w:left="-57" w:right="-57"/>
              <w:jc w:val="center"/>
              <w:textAlignment w:val="baseline"/>
              <w:rPr>
                <w:sz w:val="20"/>
              </w:rPr>
            </w:pPr>
          </w:p>
        </w:tc>
        <w:tc>
          <w:tcPr>
            <w:tcW w:w="307" w:type="pct"/>
            <w:vMerge/>
          </w:tcPr>
          <w:p w14:paraId="2E132EE0" w14:textId="77777777" w:rsidR="004C3029" w:rsidRDefault="004C3029" w:rsidP="001147CF">
            <w:pPr>
              <w:overflowPunct w:val="0"/>
              <w:ind w:left="-57" w:right="-57"/>
              <w:jc w:val="center"/>
              <w:textAlignment w:val="baseline"/>
              <w:rPr>
                <w:sz w:val="20"/>
              </w:rPr>
            </w:pPr>
          </w:p>
        </w:tc>
        <w:tc>
          <w:tcPr>
            <w:tcW w:w="308" w:type="pct"/>
            <w:vMerge/>
          </w:tcPr>
          <w:p w14:paraId="30FA1D05" w14:textId="77777777" w:rsidR="004C3029" w:rsidRDefault="004C3029" w:rsidP="001147CF">
            <w:pPr>
              <w:overflowPunct w:val="0"/>
              <w:ind w:left="-57" w:right="-57"/>
              <w:jc w:val="center"/>
              <w:textAlignment w:val="baseline"/>
              <w:rPr>
                <w:sz w:val="20"/>
              </w:rPr>
            </w:pPr>
          </w:p>
        </w:tc>
        <w:tc>
          <w:tcPr>
            <w:tcW w:w="437" w:type="pct"/>
          </w:tcPr>
          <w:p w14:paraId="063813E6" w14:textId="77777777" w:rsidR="004C3029" w:rsidRDefault="004C3029" w:rsidP="001147CF">
            <w:pPr>
              <w:overflowPunct w:val="0"/>
              <w:ind w:left="-57" w:right="-57"/>
              <w:textAlignment w:val="baseline"/>
              <w:rPr>
                <w:sz w:val="20"/>
              </w:rPr>
            </w:pPr>
            <w:r>
              <w:rPr>
                <w:sz w:val="20"/>
              </w:rPr>
              <w:t>R – Švietimo pagalbą ne trumpiau kaip 3 mėnesius gavusių vaikų dalis</w:t>
            </w:r>
          </w:p>
        </w:tc>
        <w:tc>
          <w:tcPr>
            <w:tcW w:w="220" w:type="pct"/>
          </w:tcPr>
          <w:p w14:paraId="3060122E" w14:textId="77777777" w:rsidR="004C3029" w:rsidRDefault="004C3029" w:rsidP="001147CF">
            <w:pPr>
              <w:overflowPunct w:val="0"/>
              <w:ind w:left="-57" w:right="-57"/>
              <w:jc w:val="center"/>
              <w:textAlignment w:val="baseline"/>
              <w:rPr>
                <w:sz w:val="20"/>
              </w:rPr>
            </w:pPr>
            <w:r>
              <w:rPr>
                <w:sz w:val="20"/>
              </w:rPr>
              <w:t>85</w:t>
            </w:r>
          </w:p>
        </w:tc>
        <w:tc>
          <w:tcPr>
            <w:tcW w:w="263" w:type="pct"/>
            <w:vMerge/>
          </w:tcPr>
          <w:p w14:paraId="70A64E51" w14:textId="77777777" w:rsidR="004C3029" w:rsidRDefault="004C3029" w:rsidP="001147CF">
            <w:pPr>
              <w:overflowPunct w:val="0"/>
              <w:ind w:left="-57" w:right="-57"/>
              <w:jc w:val="center"/>
              <w:textAlignment w:val="baseline"/>
              <w:rPr>
                <w:sz w:val="20"/>
              </w:rPr>
            </w:pPr>
          </w:p>
        </w:tc>
        <w:tc>
          <w:tcPr>
            <w:tcW w:w="326" w:type="pct"/>
            <w:vMerge/>
          </w:tcPr>
          <w:p w14:paraId="371770F0" w14:textId="77777777" w:rsidR="004C3029" w:rsidRDefault="004C3029" w:rsidP="001147CF">
            <w:pPr>
              <w:overflowPunct w:val="0"/>
              <w:spacing w:line="259" w:lineRule="auto"/>
              <w:ind w:left="-57" w:right="-57"/>
              <w:jc w:val="center"/>
              <w:textAlignment w:val="baseline"/>
              <w:rPr>
                <w:sz w:val="20"/>
              </w:rPr>
            </w:pPr>
          </w:p>
        </w:tc>
        <w:tc>
          <w:tcPr>
            <w:tcW w:w="308" w:type="pct"/>
            <w:vMerge/>
          </w:tcPr>
          <w:p w14:paraId="1954763D" w14:textId="77777777" w:rsidR="004C3029" w:rsidRDefault="004C3029" w:rsidP="001147CF">
            <w:pPr>
              <w:overflowPunct w:val="0"/>
              <w:ind w:left="-57" w:right="-57"/>
              <w:jc w:val="center"/>
              <w:textAlignment w:val="baseline"/>
              <w:rPr>
                <w:sz w:val="20"/>
              </w:rPr>
            </w:pPr>
          </w:p>
        </w:tc>
      </w:tr>
      <w:tr w:rsidR="004C3029" w14:paraId="40BCD093" w14:textId="77777777" w:rsidTr="001147CF">
        <w:trPr>
          <w:trHeight w:val="711"/>
        </w:trPr>
        <w:tc>
          <w:tcPr>
            <w:tcW w:w="704" w:type="pct"/>
            <w:vMerge w:val="restart"/>
          </w:tcPr>
          <w:p w14:paraId="7C0D761C" w14:textId="77777777" w:rsidR="004C3029" w:rsidRDefault="004C3029" w:rsidP="001147CF">
            <w:pPr>
              <w:overflowPunct w:val="0"/>
              <w:ind w:left="-57" w:right="-57"/>
              <w:textAlignment w:val="baseline"/>
              <w:rPr>
                <w:sz w:val="20"/>
              </w:rPr>
            </w:pPr>
            <w:r>
              <w:rPr>
                <w:sz w:val="20"/>
              </w:rPr>
              <w:t xml:space="preserve">3. Gerinti įvairių poreikių asmenų, patiriančių atskirtį, ugdymo sąlygas teikiant švietimo pagalbą ir koordinuotai teikiamas paslaugas </w:t>
            </w:r>
          </w:p>
        </w:tc>
        <w:tc>
          <w:tcPr>
            <w:tcW w:w="283" w:type="pct"/>
            <w:vMerge w:val="restart"/>
          </w:tcPr>
          <w:p w14:paraId="2B791B8A" w14:textId="77777777" w:rsidR="004C3029" w:rsidRDefault="004C3029" w:rsidP="001147CF">
            <w:pPr>
              <w:overflowPunct w:val="0"/>
              <w:ind w:left="-57" w:right="-57"/>
              <w:jc w:val="center"/>
              <w:textAlignment w:val="baseline"/>
              <w:rPr>
                <w:sz w:val="20"/>
              </w:rPr>
            </w:pPr>
            <w:r>
              <w:rPr>
                <w:sz w:val="20"/>
              </w:rPr>
              <w:t>I</w:t>
            </w:r>
          </w:p>
        </w:tc>
        <w:tc>
          <w:tcPr>
            <w:tcW w:w="282" w:type="pct"/>
            <w:vMerge w:val="restart"/>
          </w:tcPr>
          <w:p w14:paraId="60225147" w14:textId="77777777" w:rsidR="004C3029" w:rsidRDefault="004C3029" w:rsidP="001147CF">
            <w:pPr>
              <w:overflowPunct w:val="0"/>
              <w:ind w:left="-57" w:right="-57"/>
              <w:jc w:val="center"/>
              <w:textAlignment w:val="baseline"/>
              <w:rPr>
                <w:sz w:val="20"/>
              </w:rPr>
            </w:pPr>
            <w:r>
              <w:rPr>
                <w:sz w:val="20"/>
              </w:rPr>
              <w:t>Poveiklėse nurodyti galimi pareiškėjai</w:t>
            </w:r>
          </w:p>
        </w:tc>
        <w:tc>
          <w:tcPr>
            <w:tcW w:w="351" w:type="pct"/>
            <w:vMerge w:val="restart"/>
          </w:tcPr>
          <w:p w14:paraId="1F94E9F6" w14:textId="77777777" w:rsidR="004C3029" w:rsidRDefault="004C3029" w:rsidP="001147CF">
            <w:pPr>
              <w:overflowPunct w:val="0"/>
              <w:ind w:left="-57" w:right="-57"/>
              <w:jc w:val="center"/>
              <w:textAlignment w:val="baseline"/>
              <w:rPr>
                <w:sz w:val="20"/>
              </w:rPr>
            </w:pPr>
            <w:r>
              <w:rPr>
                <w:sz w:val="20"/>
              </w:rPr>
              <w:t>P, K</w:t>
            </w:r>
          </w:p>
        </w:tc>
        <w:tc>
          <w:tcPr>
            <w:tcW w:w="333" w:type="pct"/>
            <w:vMerge w:val="restart"/>
          </w:tcPr>
          <w:p w14:paraId="2EE03BB0"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6B5EA70D"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293B8EF1"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6CE778B5" w14:textId="77777777" w:rsidR="004C3029" w:rsidRDefault="004C3029" w:rsidP="001147CF">
            <w:pPr>
              <w:overflowPunct w:val="0"/>
              <w:ind w:left="-57" w:right="-57"/>
              <w:jc w:val="center"/>
              <w:textAlignment w:val="baseline"/>
              <w:rPr>
                <w:sz w:val="20"/>
              </w:rPr>
            </w:pPr>
            <w:r>
              <w:rPr>
                <w:sz w:val="20"/>
              </w:rPr>
              <w:t>D</w:t>
            </w:r>
          </w:p>
        </w:tc>
        <w:tc>
          <w:tcPr>
            <w:tcW w:w="307" w:type="pct"/>
          </w:tcPr>
          <w:p w14:paraId="070EAAB3" w14:textId="77777777" w:rsidR="004C3029" w:rsidRDefault="004C3029" w:rsidP="001147CF">
            <w:pPr>
              <w:overflowPunct w:val="0"/>
              <w:ind w:left="-57" w:right="-57"/>
              <w:jc w:val="center"/>
              <w:textAlignment w:val="baseline"/>
              <w:rPr>
                <w:sz w:val="20"/>
              </w:rPr>
            </w:pPr>
            <w:r>
              <w:rPr>
                <w:sz w:val="20"/>
              </w:rPr>
              <w:t xml:space="preserve">SR: 6 000 (ES – 3 000, BF 3 000) </w:t>
            </w:r>
          </w:p>
        </w:tc>
        <w:tc>
          <w:tcPr>
            <w:tcW w:w="308" w:type="pct"/>
          </w:tcPr>
          <w:p w14:paraId="58B73AB7"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08546656"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28E69B47" w14:textId="77777777" w:rsidR="004C3029" w:rsidRDefault="004C3029" w:rsidP="001147CF">
            <w:pPr>
              <w:overflowPunct w:val="0"/>
              <w:ind w:left="-57" w:right="-57"/>
              <w:jc w:val="center"/>
              <w:textAlignment w:val="baseline"/>
              <w:rPr>
                <w:sz w:val="20"/>
              </w:rPr>
            </w:pPr>
            <w:r>
              <w:rPr>
                <w:sz w:val="20"/>
              </w:rPr>
              <w:t>–</w:t>
            </w:r>
          </w:p>
        </w:tc>
        <w:tc>
          <w:tcPr>
            <w:tcW w:w="263" w:type="pct"/>
          </w:tcPr>
          <w:p w14:paraId="31DFC8D0" w14:textId="77777777" w:rsidR="004C3029" w:rsidRDefault="004C3029" w:rsidP="001147CF">
            <w:pPr>
              <w:overflowPunct w:val="0"/>
              <w:ind w:left="-57" w:right="-57"/>
              <w:jc w:val="center"/>
              <w:textAlignment w:val="baseline"/>
              <w:rPr>
                <w:sz w:val="20"/>
              </w:rPr>
            </w:pPr>
            <w:r>
              <w:rPr>
                <w:sz w:val="20"/>
              </w:rPr>
              <w:t xml:space="preserve">2024 </w:t>
            </w:r>
          </w:p>
        </w:tc>
        <w:tc>
          <w:tcPr>
            <w:tcW w:w="326" w:type="pct"/>
          </w:tcPr>
          <w:p w14:paraId="71279B1E" w14:textId="77777777" w:rsidR="004C3029" w:rsidRDefault="004C3029" w:rsidP="001147CF">
            <w:pPr>
              <w:overflowPunct w:val="0"/>
              <w:spacing w:line="259" w:lineRule="auto"/>
              <w:ind w:left="-57" w:right="-57"/>
              <w:jc w:val="center"/>
              <w:textAlignment w:val="baseline"/>
              <w:rPr>
                <w:sz w:val="20"/>
              </w:rPr>
            </w:pPr>
            <w:r>
              <w:rPr>
                <w:sz w:val="20"/>
              </w:rPr>
              <w:t xml:space="preserve">CPVA </w:t>
            </w:r>
          </w:p>
        </w:tc>
        <w:tc>
          <w:tcPr>
            <w:tcW w:w="308" w:type="pct"/>
          </w:tcPr>
          <w:p w14:paraId="1776B9A6" w14:textId="77777777" w:rsidR="004C3029" w:rsidRDefault="004C3029" w:rsidP="001147CF">
            <w:pPr>
              <w:overflowPunct w:val="0"/>
              <w:ind w:left="-57" w:right="-57"/>
              <w:jc w:val="center"/>
              <w:textAlignment w:val="baseline"/>
              <w:rPr>
                <w:sz w:val="20"/>
              </w:rPr>
            </w:pPr>
          </w:p>
        </w:tc>
      </w:tr>
      <w:tr w:rsidR="004C3029" w14:paraId="093A7187" w14:textId="77777777" w:rsidTr="001147CF">
        <w:trPr>
          <w:trHeight w:val="713"/>
        </w:trPr>
        <w:tc>
          <w:tcPr>
            <w:tcW w:w="704" w:type="pct"/>
            <w:vMerge/>
          </w:tcPr>
          <w:p w14:paraId="269A64E1" w14:textId="77777777" w:rsidR="004C3029" w:rsidRDefault="004C3029" w:rsidP="001147CF">
            <w:pPr>
              <w:overflowPunct w:val="0"/>
              <w:ind w:left="-57" w:right="-57"/>
              <w:textAlignment w:val="baseline"/>
              <w:rPr>
                <w:sz w:val="20"/>
              </w:rPr>
            </w:pPr>
          </w:p>
        </w:tc>
        <w:tc>
          <w:tcPr>
            <w:tcW w:w="283" w:type="pct"/>
            <w:vMerge/>
          </w:tcPr>
          <w:p w14:paraId="0C1CDE8A" w14:textId="77777777" w:rsidR="004C3029" w:rsidRDefault="004C3029" w:rsidP="001147CF">
            <w:pPr>
              <w:overflowPunct w:val="0"/>
              <w:ind w:left="-57" w:right="-57"/>
              <w:jc w:val="center"/>
              <w:textAlignment w:val="baseline"/>
              <w:rPr>
                <w:sz w:val="20"/>
              </w:rPr>
            </w:pPr>
          </w:p>
        </w:tc>
        <w:tc>
          <w:tcPr>
            <w:tcW w:w="282" w:type="pct"/>
            <w:vMerge/>
          </w:tcPr>
          <w:p w14:paraId="4A91FC98" w14:textId="77777777" w:rsidR="004C3029" w:rsidRDefault="004C3029" w:rsidP="001147CF">
            <w:pPr>
              <w:overflowPunct w:val="0"/>
              <w:ind w:left="-57" w:right="-57"/>
              <w:jc w:val="center"/>
              <w:textAlignment w:val="baseline"/>
              <w:rPr>
                <w:sz w:val="20"/>
              </w:rPr>
            </w:pPr>
          </w:p>
        </w:tc>
        <w:tc>
          <w:tcPr>
            <w:tcW w:w="351" w:type="pct"/>
            <w:vMerge/>
          </w:tcPr>
          <w:p w14:paraId="5D94305A" w14:textId="77777777" w:rsidR="004C3029" w:rsidRDefault="004C3029" w:rsidP="001147CF">
            <w:pPr>
              <w:overflowPunct w:val="0"/>
              <w:ind w:left="-57" w:right="-57"/>
              <w:jc w:val="center"/>
              <w:textAlignment w:val="baseline"/>
              <w:rPr>
                <w:sz w:val="20"/>
              </w:rPr>
            </w:pPr>
          </w:p>
        </w:tc>
        <w:tc>
          <w:tcPr>
            <w:tcW w:w="333" w:type="pct"/>
            <w:vMerge/>
          </w:tcPr>
          <w:p w14:paraId="190FE46F" w14:textId="77777777" w:rsidR="004C3029" w:rsidRDefault="004C3029" w:rsidP="001147CF">
            <w:pPr>
              <w:overflowPunct w:val="0"/>
              <w:ind w:left="-57" w:right="-57"/>
              <w:jc w:val="center"/>
              <w:textAlignment w:val="baseline"/>
              <w:rPr>
                <w:sz w:val="20"/>
              </w:rPr>
            </w:pPr>
          </w:p>
        </w:tc>
        <w:tc>
          <w:tcPr>
            <w:tcW w:w="308" w:type="pct"/>
            <w:vMerge/>
          </w:tcPr>
          <w:p w14:paraId="11BB33D8" w14:textId="77777777" w:rsidR="004C3029" w:rsidRDefault="004C3029" w:rsidP="001147CF">
            <w:pPr>
              <w:overflowPunct w:val="0"/>
              <w:ind w:left="-57" w:right="-57"/>
              <w:jc w:val="center"/>
              <w:textAlignment w:val="baseline"/>
              <w:rPr>
                <w:sz w:val="20"/>
              </w:rPr>
            </w:pPr>
          </w:p>
        </w:tc>
        <w:tc>
          <w:tcPr>
            <w:tcW w:w="262" w:type="pct"/>
            <w:vMerge/>
          </w:tcPr>
          <w:p w14:paraId="55C09DD0" w14:textId="77777777" w:rsidR="004C3029" w:rsidRDefault="004C3029" w:rsidP="001147CF">
            <w:pPr>
              <w:overflowPunct w:val="0"/>
              <w:ind w:left="-57" w:right="-57"/>
              <w:jc w:val="center"/>
              <w:textAlignment w:val="baseline"/>
              <w:rPr>
                <w:sz w:val="20"/>
              </w:rPr>
            </w:pPr>
          </w:p>
        </w:tc>
        <w:tc>
          <w:tcPr>
            <w:tcW w:w="308" w:type="pct"/>
            <w:vMerge/>
          </w:tcPr>
          <w:p w14:paraId="5973252E" w14:textId="77777777" w:rsidR="004C3029" w:rsidRDefault="004C3029" w:rsidP="001147CF">
            <w:pPr>
              <w:overflowPunct w:val="0"/>
              <w:ind w:left="-57" w:right="-57"/>
              <w:jc w:val="center"/>
              <w:textAlignment w:val="baseline"/>
              <w:rPr>
                <w:sz w:val="20"/>
              </w:rPr>
            </w:pPr>
          </w:p>
        </w:tc>
        <w:tc>
          <w:tcPr>
            <w:tcW w:w="307" w:type="pct"/>
          </w:tcPr>
          <w:p w14:paraId="31662FC7" w14:textId="77777777" w:rsidR="004C3029" w:rsidRDefault="004C3029" w:rsidP="001147CF">
            <w:pPr>
              <w:overflowPunct w:val="0"/>
              <w:ind w:left="-57" w:right="-57"/>
              <w:jc w:val="center"/>
              <w:textAlignment w:val="baseline"/>
              <w:rPr>
                <w:sz w:val="20"/>
              </w:rPr>
            </w:pPr>
            <w:r>
              <w:rPr>
                <w:sz w:val="20"/>
              </w:rPr>
              <w:t>VVL: 26 627 (ES – 22 633, BF – 3 994)</w:t>
            </w:r>
          </w:p>
        </w:tc>
        <w:tc>
          <w:tcPr>
            <w:tcW w:w="308" w:type="pct"/>
          </w:tcPr>
          <w:p w14:paraId="3843A582"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16313941"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796E41F6" w14:textId="77777777" w:rsidR="004C3029" w:rsidRDefault="004C3029" w:rsidP="001147CF">
            <w:pPr>
              <w:overflowPunct w:val="0"/>
              <w:ind w:left="-57" w:right="-57"/>
              <w:jc w:val="center"/>
              <w:textAlignment w:val="baseline"/>
              <w:rPr>
                <w:sz w:val="20"/>
              </w:rPr>
            </w:pPr>
            <w:r>
              <w:rPr>
                <w:sz w:val="20"/>
              </w:rPr>
              <w:t>–</w:t>
            </w:r>
          </w:p>
        </w:tc>
        <w:tc>
          <w:tcPr>
            <w:tcW w:w="263" w:type="pct"/>
          </w:tcPr>
          <w:p w14:paraId="15E561EC" w14:textId="77777777" w:rsidR="004C3029" w:rsidRDefault="004C3029" w:rsidP="001147CF">
            <w:pPr>
              <w:overflowPunct w:val="0"/>
              <w:ind w:left="-57" w:right="-57"/>
              <w:jc w:val="center"/>
              <w:textAlignment w:val="baseline"/>
              <w:rPr>
                <w:sz w:val="20"/>
              </w:rPr>
            </w:pPr>
            <w:r>
              <w:rPr>
                <w:sz w:val="20"/>
              </w:rPr>
              <w:t xml:space="preserve">2024 </w:t>
            </w:r>
          </w:p>
        </w:tc>
        <w:tc>
          <w:tcPr>
            <w:tcW w:w="326" w:type="pct"/>
          </w:tcPr>
          <w:p w14:paraId="1BEA4F69" w14:textId="77777777" w:rsidR="004C3029" w:rsidRDefault="004C3029" w:rsidP="001147CF">
            <w:pPr>
              <w:overflowPunct w:val="0"/>
              <w:spacing w:line="259" w:lineRule="auto"/>
              <w:ind w:left="-57" w:right="-57"/>
              <w:jc w:val="center"/>
              <w:textAlignment w:val="baseline"/>
              <w:rPr>
                <w:sz w:val="20"/>
              </w:rPr>
            </w:pPr>
            <w:r>
              <w:rPr>
                <w:sz w:val="20"/>
              </w:rPr>
              <w:t xml:space="preserve">CPVA </w:t>
            </w:r>
          </w:p>
        </w:tc>
        <w:tc>
          <w:tcPr>
            <w:tcW w:w="308" w:type="pct"/>
          </w:tcPr>
          <w:p w14:paraId="06F53D39" w14:textId="77777777" w:rsidR="004C3029" w:rsidRDefault="004C3029" w:rsidP="001147CF">
            <w:pPr>
              <w:overflowPunct w:val="0"/>
              <w:ind w:left="-57" w:right="-57"/>
              <w:jc w:val="center"/>
              <w:textAlignment w:val="baseline"/>
              <w:rPr>
                <w:sz w:val="20"/>
              </w:rPr>
            </w:pPr>
          </w:p>
        </w:tc>
      </w:tr>
      <w:tr w:rsidR="004C3029" w14:paraId="44BF94C8" w14:textId="77777777" w:rsidTr="001147CF">
        <w:trPr>
          <w:trHeight w:val="553"/>
        </w:trPr>
        <w:tc>
          <w:tcPr>
            <w:tcW w:w="704" w:type="pct"/>
            <w:vMerge w:val="restart"/>
          </w:tcPr>
          <w:p w14:paraId="2221F5E7" w14:textId="77777777" w:rsidR="004C3029" w:rsidRDefault="004C3029" w:rsidP="001147CF">
            <w:pPr>
              <w:overflowPunct w:val="0"/>
              <w:ind w:left="-57" w:right="-57"/>
              <w:textAlignment w:val="baseline"/>
              <w:rPr>
                <w:sz w:val="20"/>
              </w:rPr>
            </w:pPr>
            <w:r>
              <w:rPr>
                <w:sz w:val="20"/>
              </w:rPr>
              <w:lastRenderedPageBreak/>
              <w:t xml:space="preserve">3.1. Didinti švietimo įtrauktį gerinant ugdymo sąlygas SUP turintiems vaikams </w:t>
            </w:r>
          </w:p>
        </w:tc>
        <w:tc>
          <w:tcPr>
            <w:tcW w:w="283" w:type="pct"/>
            <w:vMerge w:val="restart"/>
          </w:tcPr>
          <w:p w14:paraId="0BE358B1" w14:textId="77777777" w:rsidR="004C3029" w:rsidRDefault="004C3029" w:rsidP="001147CF">
            <w:pPr>
              <w:overflowPunct w:val="0"/>
              <w:ind w:left="-57" w:right="-57"/>
              <w:jc w:val="center"/>
              <w:textAlignment w:val="baseline"/>
              <w:rPr>
                <w:sz w:val="20"/>
              </w:rPr>
            </w:pPr>
            <w:r>
              <w:rPr>
                <w:sz w:val="20"/>
              </w:rPr>
              <w:t>I</w:t>
            </w:r>
          </w:p>
        </w:tc>
        <w:tc>
          <w:tcPr>
            <w:tcW w:w="282" w:type="pct"/>
            <w:vMerge w:val="restart"/>
          </w:tcPr>
          <w:p w14:paraId="2BCE3380" w14:textId="77777777" w:rsidR="004C3029" w:rsidRDefault="004C3029" w:rsidP="001147CF">
            <w:pPr>
              <w:overflowPunct w:val="0"/>
              <w:ind w:left="-57" w:right="-57"/>
              <w:jc w:val="center"/>
              <w:textAlignment w:val="baseline"/>
              <w:rPr>
                <w:sz w:val="20"/>
              </w:rPr>
            </w:pPr>
            <w:r>
              <w:rPr>
                <w:sz w:val="20"/>
              </w:rPr>
              <w:t>Lietuvos įtraukties švietime centras,</w:t>
            </w:r>
          </w:p>
          <w:p w14:paraId="209A8DFE" w14:textId="77777777" w:rsidR="004C3029" w:rsidRDefault="004C3029" w:rsidP="001147CF">
            <w:pPr>
              <w:overflowPunct w:val="0"/>
              <w:ind w:left="-57" w:right="-57"/>
              <w:jc w:val="center"/>
              <w:textAlignment w:val="baseline"/>
              <w:rPr>
                <w:sz w:val="20"/>
              </w:rPr>
            </w:pPr>
            <w:r>
              <w:rPr>
                <w:sz w:val="20"/>
              </w:rPr>
              <w:t>LKNUC,</w:t>
            </w:r>
          </w:p>
          <w:p w14:paraId="6446109A" w14:textId="77777777" w:rsidR="004C3029" w:rsidRDefault="004C3029" w:rsidP="001147CF">
            <w:pPr>
              <w:overflowPunct w:val="0"/>
              <w:ind w:left="-57" w:right="-57"/>
              <w:jc w:val="center"/>
              <w:textAlignment w:val="baseline"/>
              <w:rPr>
                <w:sz w:val="20"/>
              </w:rPr>
            </w:pPr>
            <w:r>
              <w:rPr>
                <w:sz w:val="20"/>
              </w:rPr>
              <w:t>LASUC,</w:t>
            </w:r>
          </w:p>
          <w:p w14:paraId="6EF7E126" w14:textId="77777777" w:rsidR="004C3029" w:rsidRDefault="004C3029" w:rsidP="001147CF">
            <w:pPr>
              <w:overflowPunct w:val="0"/>
              <w:ind w:left="-57" w:right="-57"/>
              <w:jc w:val="center"/>
              <w:textAlignment w:val="baseline"/>
              <w:rPr>
                <w:sz w:val="20"/>
              </w:rPr>
            </w:pPr>
            <w:r>
              <w:rPr>
                <w:sz w:val="20"/>
              </w:rPr>
              <w:t>Vilniaus kolegija</w:t>
            </w:r>
          </w:p>
          <w:p w14:paraId="36855CA7" w14:textId="77777777" w:rsidR="004C3029" w:rsidRDefault="004C3029" w:rsidP="001147CF">
            <w:pPr>
              <w:overflowPunct w:val="0"/>
              <w:ind w:left="-57" w:right="-57"/>
              <w:jc w:val="center"/>
              <w:textAlignment w:val="baseline"/>
              <w:rPr>
                <w:sz w:val="20"/>
              </w:rPr>
            </w:pPr>
          </w:p>
          <w:p w14:paraId="3540313C" w14:textId="77777777" w:rsidR="004C3029" w:rsidRDefault="004C3029" w:rsidP="001147CF">
            <w:pPr>
              <w:overflowPunct w:val="0"/>
              <w:ind w:left="-57" w:right="-57"/>
              <w:jc w:val="center"/>
              <w:textAlignment w:val="baseline"/>
              <w:rPr>
                <w:sz w:val="20"/>
              </w:rPr>
            </w:pPr>
          </w:p>
        </w:tc>
        <w:tc>
          <w:tcPr>
            <w:tcW w:w="351" w:type="pct"/>
            <w:vMerge w:val="restart"/>
          </w:tcPr>
          <w:p w14:paraId="7AAD97F8"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Pr>
          <w:p w14:paraId="70AC08BD"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12D84069"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0D2BB877"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6150692C"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Pr>
          <w:p w14:paraId="64DFA2CF" w14:textId="77777777" w:rsidR="004C3029" w:rsidRDefault="004C3029" w:rsidP="001147CF">
            <w:pPr>
              <w:overflowPunct w:val="0"/>
              <w:ind w:left="-57" w:right="-57"/>
              <w:jc w:val="center"/>
              <w:textAlignment w:val="baseline"/>
              <w:rPr>
                <w:sz w:val="20"/>
              </w:rPr>
            </w:pPr>
            <w:r>
              <w:rPr>
                <w:sz w:val="20"/>
              </w:rPr>
              <w:t>VVL: 2 000 (ES – 1 700, BF – 300)</w:t>
            </w:r>
          </w:p>
        </w:tc>
        <w:tc>
          <w:tcPr>
            <w:tcW w:w="308" w:type="pct"/>
            <w:vMerge w:val="restart"/>
          </w:tcPr>
          <w:p w14:paraId="7275D9A1"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2E2AEE0D" w14:textId="77777777" w:rsidR="004C3029" w:rsidRDefault="004C3029" w:rsidP="001147CF">
            <w:pPr>
              <w:overflowPunct w:val="0"/>
              <w:ind w:left="-57" w:right="-57"/>
              <w:textAlignment w:val="baseline"/>
              <w:rPr>
                <w:sz w:val="20"/>
              </w:rPr>
            </w:pPr>
            <w:r>
              <w:rPr>
                <w:sz w:val="20"/>
              </w:rPr>
              <w:t>P-12-003-03-02-01-07</w:t>
            </w:r>
            <w:r>
              <w:rPr>
                <w:sz w:val="18"/>
                <w:szCs w:val="18"/>
              </w:rPr>
              <w:t xml:space="preserve"> </w:t>
            </w:r>
            <w:r>
              <w:rPr>
                <w:sz w:val="20"/>
              </w:rPr>
              <w:t>Asmenys, turintys tretinį (ISCED 5–8 kodai) išsilavinimą</w:t>
            </w:r>
          </w:p>
        </w:tc>
        <w:tc>
          <w:tcPr>
            <w:tcW w:w="220" w:type="pct"/>
          </w:tcPr>
          <w:p w14:paraId="3FFB263D" w14:textId="77777777" w:rsidR="004C3029" w:rsidRDefault="004C3029" w:rsidP="001147CF">
            <w:pPr>
              <w:overflowPunct w:val="0"/>
              <w:ind w:left="-57" w:right="-57"/>
              <w:jc w:val="center"/>
              <w:textAlignment w:val="baseline"/>
              <w:rPr>
                <w:sz w:val="20"/>
              </w:rPr>
            </w:pPr>
            <w:r>
              <w:rPr>
                <w:sz w:val="20"/>
              </w:rPr>
              <w:t xml:space="preserve">50 </w:t>
            </w:r>
          </w:p>
        </w:tc>
        <w:tc>
          <w:tcPr>
            <w:tcW w:w="263" w:type="pct"/>
            <w:vMerge w:val="restart"/>
          </w:tcPr>
          <w:p w14:paraId="20F6D0DF" w14:textId="77777777" w:rsidR="004C3029" w:rsidRDefault="004C3029" w:rsidP="001147CF">
            <w:pPr>
              <w:overflowPunct w:val="0"/>
              <w:ind w:left="-57" w:right="-57"/>
              <w:jc w:val="center"/>
              <w:textAlignment w:val="baseline"/>
              <w:rPr>
                <w:sz w:val="20"/>
              </w:rPr>
            </w:pPr>
            <w:r>
              <w:rPr>
                <w:sz w:val="20"/>
              </w:rPr>
              <w:t xml:space="preserve">2024 </w:t>
            </w:r>
          </w:p>
        </w:tc>
        <w:tc>
          <w:tcPr>
            <w:tcW w:w="326" w:type="pct"/>
            <w:vMerge w:val="restart"/>
          </w:tcPr>
          <w:p w14:paraId="37B7C544"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20179BC5" w14:textId="77777777" w:rsidR="004C3029" w:rsidRDefault="004C3029" w:rsidP="001147CF">
            <w:pPr>
              <w:overflowPunct w:val="0"/>
              <w:ind w:left="-57" w:right="-57"/>
              <w:jc w:val="center"/>
              <w:textAlignment w:val="baseline"/>
              <w:rPr>
                <w:sz w:val="20"/>
              </w:rPr>
            </w:pPr>
            <w:r>
              <w:rPr>
                <w:sz w:val="20"/>
              </w:rPr>
              <w:t>–</w:t>
            </w:r>
          </w:p>
        </w:tc>
      </w:tr>
      <w:tr w:rsidR="004C3029" w14:paraId="195FA288" w14:textId="77777777" w:rsidTr="001147CF">
        <w:trPr>
          <w:trHeight w:val="737"/>
        </w:trPr>
        <w:tc>
          <w:tcPr>
            <w:tcW w:w="704" w:type="pct"/>
            <w:vMerge/>
          </w:tcPr>
          <w:p w14:paraId="04BB89B0" w14:textId="77777777" w:rsidR="004C3029" w:rsidRDefault="004C3029" w:rsidP="001147CF">
            <w:pPr>
              <w:overflowPunct w:val="0"/>
              <w:ind w:left="-57" w:right="-57"/>
              <w:textAlignment w:val="baseline"/>
              <w:rPr>
                <w:sz w:val="20"/>
              </w:rPr>
            </w:pPr>
          </w:p>
        </w:tc>
        <w:tc>
          <w:tcPr>
            <w:tcW w:w="283" w:type="pct"/>
            <w:vMerge/>
          </w:tcPr>
          <w:p w14:paraId="299DCDED" w14:textId="77777777" w:rsidR="004C3029" w:rsidRDefault="004C3029" w:rsidP="001147CF">
            <w:pPr>
              <w:overflowPunct w:val="0"/>
              <w:ind w:left="-57" w:right="-57"/>
              <w:jc w:val="center"/>
              <w:textAlignment w:val="baseline"/>
              <w:rPr>
                <w:sz w:val="20"/>
              </w:rPr>
            </w:pPr>
          </w:p>
        </w:tc>
        <w:tc>
          <w:tcPr>
            <w:tcW w:w="282" w:type="pct"/>
            <w:vMerge/>
          </w:tcPr>
          <w:p w14:paraId="25F1BE4A" w14:textId="77777777" w:rsidR="004C3029" w:rsidRDefault="004C3029" w:rsidP="001147CF">
            <w:pPr>
              <w:overflowPunct w:val="0"/>
              <w:ind w:left="-57" w:right="-57"/>
              <w:jc w:val="center"/>
              <w:textAlignment w:val="baseline"/>
              <w:rPr>
                <w:sz w:val="20"/>
              </w:rPr>
            </w:pPr>
          </w:p>
        </w:tc>
        <w:tc>
          <w:tcPr>
            <w:tcW w:w="351" w:type="pct"/>
            <w:vMerge/>
          </w:tcPr>
          <w:p w14:paraId="461DD168" w14:textId="77777777" w:rsidR="004C3029" w:rsidRDefault="004C3029" w:rsidP="001147CF">
            <w:pPr>
              <w:overflowPunct w:val="0"/>
              <w:ind w:left="-57" w:right="-57"/>
              <w:jc w:val="center"/>
              <w:textAlignment w:val="baseline"/>
              <w:rPr>
                <w:sz w:val="20"/>
              </w:rPr>
            </w:pPr>
          </w:p>
        </w:tc>
        <w:tc>
          <w:tcPr>
            <w:tcW w:w="333" w:type="pct"/>
            <w:vMerge/>
          </w:tcPr>
          <w:p w14:paraId="00F7694A" w14:textId="77777777" w:rsidR="004C3029" w:rsidRDefault="004C3029" w:rsidP="001147CF">
            <w:pPr>
              <w:overflowPunct w:val="0"/>
              <w:ind w:left="-57" w:right="-57"/>
              <w:jc w:val="center"/>
              <w:textAlignment w:val="baseline"/>
              <w:rPr>
                <w:sz w:val="20"/>
              </w:rPr>
            </w:pPr>
          </w:p>
        </w:tc>
        <w:tc>
          <w:tcPr>
            <w:tcW w:w="308" w:type="pct"/>
            <w:vMerge/>
          </w:tcPr>
          <w:p w14:paraId="2E8EDB94" w14:textId="77777777" w:rsidR="004C3029" w:rsidRDefault="004C3029" w:rsidP="001147CF">
            <w:pPr>
              <w:overflowPunct w:val="0"/>
              <w:ind w:left="-57" w:right="-57"/>
              <w:jc w:val="center"/>
              <w:textAlignment w:val="baseline"/>
              <w:rPr>
                <w:sz w:val="20"/>
              </w:rPr>
            </w:pPr>
          </w:p>
        </w:tc>
        <w:tc>
          <w:tcPr>
            <w:tcW w:w="262" w:type="pct"/>
            <w:vMerge/>
          </w:tcPr>
          <w:p w14:paraId="398A903D" w14:textId="77777777" w:rsidR="004C3029" w:rsidRDefault="004C3029" w:rsidP="001147CF">
            <w:pPr>
              <w:overflowPunct w:val="0"/>
              <w:ind w:left="-57" w:right="-57"/>
              <w:jc w:val="center"/>
              <w:textAlignment w:val="baseline"/>
              <w:rPr>
                <w:sz w:val="20"/>
              </w:rPr>
            </w:pPr>
          </w:p>
        </w:tc>
        <w:tc>
          <w:tcPr>
            <w:tcW w:w="308" w:type="pct"/>
            <w:vMerge/>
          </w:tcPr>
          <w:p w14:paraId="13CC407A" w14:textId="77777777" w:rsidR="004C3029" w:rsidRDefault="004C3029" w:rsidP="001147CF">
            <w:pPr>
              <w:overflowPunct w:val="0"/>
              <w:ind w:left="-57" w:right="-57"/>
              <w:jc w:val="center"/>
              <w:textAlignment w:val="baseline"/>
              <w:rPr>
                <w:sz w:val="20"/>
              </w:rPr>
            </w:pPr>
          </w:p>
        </w:tc>
        <w:tc>
          <w:tcPr>
            <w:tcW w:w="307" w:type="pct"/>
            <w:vMerge/>
          </w:tcPr>
          <w:p w14:paraId="1DD24F0E" w14:textId="77777777" w:rsidR="004C3029" w:rsidRDefault="004C3029" w:rsidP="001147CF">
            <w:pPr>
              <w:overflowPunct w:val="0"/>
              <w:ind w:left="-57" w:right="-57"/>
              <w:jc w:val="center"/>
              <w:textAlignment w:val="baseline"/>
              <w:rPr>
                <w:sz w:val="20"/>
              </w:rPr>
            </w:pPr>
          </w:p>
        </w:tc>
        <w:tc>
          <w:tcPr>
            <w:tcW w:w="308" w:type="pct"/>
            <w:vMerge/>
          </w:tcPr>
          <w:p w14:paraId="282F918C" w14:textId="77777777" w:rsidR="004C3029" w:rsidRDefault="004C3029" w:rsidP="001147CF">
            <w:pPr>
              <w:overflowPunct w:val="0"/>
              <w:ind w:left="-57" w:right="-57"/>
              <w:jc w:val="center"/>
              <w:textAlignment w:val="baseline"/>
              <w:rPr>
                <w:sz w:val="20"/>
              </w:rPr>
            </w:pPr>
          </w:p>
        </w:tc>
        <w:tc>
          <w:tcPr>
            <w:tcW w:w="437" w:type="pct"/>
          </w:tcPr>
          <w:p w14:paraId="43EF69F2" w14:textId="77777777" w:rsidR="004C3029" w:rsidRDefault="004C3029" w:rsidP="001147CF">
            <w:pPr>
              <w:overflowPunct w:val="0"/>
              <w:ind w:left="-57" w:right="-57"/>
              <w:textAlignment w:val="baseline"/>
              <w:rPr>
                <w:sz w:val="20"/>
              </w:rPr>
            </w:pPr>
            <w:r>
              <w:rPr>
                <w:sz w:val="20"/>
              </w:rPr>
              <w:t>R – Asmenų, kurie dalyvavę mokymuose įgijo kompetenciją, dalis</w:t>
            </w:r>
          </w:p>
        </w:tc>
        <w:tc>
          <w:tcPr>
            <w:tcW w:w="220" w:type="pct"/>
          </w:tcPr>
          <w:p w14:paraId="52C04AB2" w14:textId="77777777" w:rsidR="004C3029" w:rsidRDefault="004C3029" w:rsidP="001147CF">
            <w:pPr>
              <w:overflowPunct w:val="0"/>
              <w:ind w:left="-57" w:right="-57"/>
              <w:jc w:val="center"/>
              <w:textAlignment w:val="baseline"/>
              <w:rPr>
                <w:sz w:val="20"/>
              </w:rPr>
            </w:pPr>
            <w:r>
              <w:rPr>
                <w:sz w:val="20"/>
              </w:rPr>
              <w:t>80</w:t>
            </w:r>
          </w:p>
        </w:tc>
        <w:tc>
          <w:tcPr>
            <w:tcW w:w="263" w:type="pct"/>
            <w:vMerge/>
          </w:tcPr>
          <w:p w14:paraId="35FE6A14" w14:textId="77777777" w:rsidR="004C3029" w:rsidRDefault="004C3029" w:rsidP="001147CF">
            <w:pPr>
              <w:overflowPunct w:val="0"/>
              <w:ind w:left="-57" w:right="-57"/>
              <w:jc w:val="center"/>
              <w:textAlignment w:val="baseline"/>
              <w:rPr>
                <w:sz w:val="20"/>
              </w:rPr>
            </w:pPr>
          </w:p>
        </w:tc>
        <w:tc>
          <w:tcPr>
            <w:tcW w:w="326" w:type="pct"/>
            <w:vMerge/>
          </w:tcPr>
          <w:p w14:paraId="7C384BD1" w14:textId="77777777" w:rsidR="004C3029" w:rsidRDefault="004C3029" w:rsidP="001147CF">
            <w:pPr>
              <w:overflowPunct w:val="0"/>
              <w:jc w:val="center"/>
              <w:textAlignment w:val="baseline"/>
              <w:rPr>
                <w:sz w:val="20"/>
              </w:rPr>
            </w:pPr>
          </w:p>
        </w:tc>
        <w:tc>
          <w:tcPr>
            <w:tcW w:w="308" w:type="pct"/>
            <w:vMerge/>
          </w:tcPr>
          <w:p w14:paraId="16C186DE" w14:textId="77777777" w:rsidR="004C3029" w:rsidRDefault="004C3029" w:rsidP="001147CF">
            <w:pPr>
              <w:overflowPunct w:val="0"/>
              <w:ind w:left="303" w:right="-57"/>
              <w:textAlignment w:val="baseline"/>
              <w:rPr>
                <w:sz w:val="20"/>
              </w:rPr>
            </w:pPr>
          </w:p>
        </w:tc>
      </w:tr>
      <w:tr w:rsidR="004C3029" w14:paraId="2982B0BE" w14:textId="77777777" w:rsidTr="001147CF">
        <w:trPr>
          <w:trHeight w:val="233"/>
        </w:trPr>
        <w:tc>
          <w:tcPr>
            <w:tcW w:w="704" w:type="pct"/>
            <w:vMerge w:val="restart"/>
          </w:tcPr>
          <w:p w14:paraId="04EAF182" w14:textId="77777777" w:rsidR="004C3029" w:rsidRDefault="004C3029" w:rsidP="001147CF">
            <w:pPr>
              <w:overflowPunct w:val="0"/>
              <w:ind w:left="-57" w:right="-57"/>
              <w:textAlignment w:val="baseline"/>
              <w:rPr>
                <w:sz w:val="20"/>
              </w:rPr>
            </w:pPr>
            <w:r>
              <w:rPr>
                <w:sz w:val="20"/>
              </w:rPr>
              <w:t xml:space="preserve">3.2. Didinti koordinuotai teikiamų švietimo pagalbos, socialinės, sveikatos priežiūros paslaugų ikimokyklinio ir priešmokyklinio amžiaus vaikams ir jų tėvams bei  bendrojo ugdymo mokyklų ir profesinio mokymo įstaigų mokiniams ir jų tėvams pasiūlą, prieinamumą </w:t>
            </w:r>
            <w:r>
              <w:rPr>
                <w:sz w:val="20"/>
              </w:rPr>
              <w:lastRenderedPageBreak/>
              <w:t>pasitelkiant nevalstybinio sektoriaus paslaugų teikėjus Sostinės regione.</w:t>
            </w:r>
          </w:p>
        </w:tc>
        <w:tc>
          <w:tcPr>
            <w:tcW w:w="283" w:type="pct"/>
            <w:vMerge w:val="restart"/>
          </w:tcPr>
          <w:p w14:paraId="443FC13F"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Pr>
          <w:p w14:paraId="5CE5707E" w14:textId="77777777" w:rsidR="004C3029" w:rsidRDefault="004C3029" w:rsidP="001147CF">
            <w:pPr>
              <w:overflowPunct w:val="0"/>
              <w:ind w:left="-57" w:right="-57"/>
              <w:jc w:val="center"/>
              <w:textAlignment w:val="baseline"/>
              <w:rPr>
                <w:sz w:val="20"/>
              </w:rPr>
            </w:pPr>
            <w:r>
              <w:rPr>
                <w:sz w:val="20"/>
              </w:rPr>
              <w:t>Savivaldybės, Valstybinių mokyklų konsorciumas</w:t>
            </w:r>
          </w:p>
          <w:p w14:paraId="69196D1C" w14:textId="77777777" w:rsidR="004C3029" w:rsidRDefault="004C3029" w:rsidP="001147CF">
            <w:pPr>
              <w:overflowPunct w:val="0"/>
              <w:ind w:left="-57" w:right="-57"/>
              <w:jc w:val="center"/>
              <w:textAlignment w:val="baseline"/>
              <w:rPr>
                <w:sz w:val="20"/>
              </w:rPr>
            </w:pPr>
          </w:p>
          <w:p w14:paraId="0F7BB520" w14:textId="77777777" w:rsidR="004C3029" w:rsidRDefault="004C3029" w:rsidP="001147CF">
            <w:pPr>
              <w:overflowPunct w:val="0"/>
              <w:ind w:left="-57" w:right="-57"/>
              <w:jc w:val="center"/>
              <w:textAlignment w:val="baseline"/>
              <w:rPr>
                <w:sz w:val="20"/>
              </w:rPr>
            </w:pPr>
          </w:p>
        </w:tc>
        <w:tc>
          <w:tcPr>
            <w:tcW w:w="351" w:type="pct"/>
            <w:vMerge w:val="restart"/>
          </w:tcPr>
          <w:p w14:paraId="17E039F6" w14:textId="77777777" w:rsidR="004C3029" w:rsidRDefault="004C3029" w:rsidP="001147CF">
            <w:pPr>
              <w:overflowPunct w:val="0"/>
              <w:ind w:left="-57" w:right="-57"/>
              <w:jc w:val="center"/>
              <w:textAlignment w:val="baseline"/>
              <w:rPr>
                <w:sz w:val="20"/>
              </w:rPr>
            </w:pPr>
            <w:r>
              <w:rPr>
                <w:sz w:val="20"/>
              </w:rPr>
              <w:t>K</w:t>
            </w:r>
          </w:p>
        </w:tc>
        <w:tc>
          <w:tcPr>
            <w:tcW w:w="333" w:type="pct"/>
            <w:vMerge w:val="restart"/>
          </w:tcPr>
          <w:p w14:paraId="101C41BA"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27122841"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7E9F1B7A"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38EE1DAB"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Pr>
          <w:p w14:paraId="21F4F6D3" w14:textId="77777777" w:rsidR="004C3029" w:rsidRDefault="004C3029" w:rsidP="001147CF">
            <w:pPr>
              <w:overflowPunct w:val="0"/>
              <w:ind w:left="-57" w:right="-57"/>
              <w:jc w:val="center"/>
              <w:textAlignment w:val="baseline"/>
              <w:rPr>
                <w:sz w:val="20"/>
              </w:rPr>
            </w:pPr>
            <w:r>
              <w:rPr>
                <w:sz w:val="20"/>
              </w:rPr>
              <w:t xml:space="preserve">SR: 6 000 (ES – 3 000, BF 3 000) </w:t>
            </w:r>
          </w:p>
          <w:p w14:paraId="4DADBDFD" w14:textId="77777777" w:rsidR="004C3029" w:rsidRDefault="004C3029" w:rsidP="001147CF">
            <w:pPr>
              <w:overflowPunct w:val="0"/>
              <w:ind w:left="-57" w:right="-57"/>
              <w:jc w:val="center"/>
              <w:textAlignment w:val="baseline"/>
              <w:rPr>
                <w:sz w:val="20"/>
              </w:rPr>
            </w:pPr>
          </w:p>
          <w:p w14:paraId="1D5E7BBD" w14:textId="77777777" w:rsidR="004C3029" w:rsidRDefault="004C3029" w:rsidP="001147CF">
            <w:pPr>
              <w:overflowPunct w:val="0"/>
              <w:ind w:left="-57" w:right="-57"/>
              <w:jc w:val="center"/>
              <w:textAlignment w:val="baseline"/>
              <w:rPr>
                <w:sz w:val="20"/>
              </w:rPr>
            </w:pPr>
          </w:p>
        </w:tc>
        <w:tc>
          <w:tcPr>
            <w:tcW w:w="308" w:type="pct"/>
            <w:vMerge w:val="restart"/>
          </w:tcPr>
          <w:p w14:paraId="4CBDB98E"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258469C2" w14:textId="77777777" w:rsidR="004C3029" w:rsidRDefault="004C3029" w:rsidP="001147CF">
            <w:pPr>
              <w:overflowPunct w:val="0"/>
              <w:ind w:left="-57" w:right="-57"/>
              <w:textAlignment w:val="baseline"/>
              <w:rPr>
                <w:sz w:val="20"/>
              </w:rPr>
            </w:pPr>
            <w:r>
              <w:rPr>
                <w:sz w:val="20"/>
              </w:rPr>
              <w:t>P-12-003-03-02-01-06 Jaunesnių nei 18 metų vaikų skaičius</w:t>
            </w:r>
          </w:p>
        </w:tc>
        <w:tc>
          <w:tcPr>
            <w:tcW w:w="220" w:type="pct"/>
          </w:tcPr>
          <w:p w14:paraId="63DA03E7" w14:textId="77777777" w:rsidR="004C3029" w:rsidRDefault="004C3029" w:rsidP="001147CF">
            <w:pPr>
              <w:overflowPunct w:val="0"/>
              <w:ind w:left="-57" w:right="-57" w:firstLine="38"/>
              <w:jc w:val="center"/>
              <w:textAlignment w:val="baseline"/>
              <w:rPr>
                <w:sz w:val="20"/>
              </w:rPr>
            </w:pPr>
            <w:r>
              <w:rPr>
                <w:sz w:val="20"/>
              </w:rPr>
              <w:t>650</w:t>
            </w:r>
          </w:p>
        </w:tc>
        <w:tc>
          <w:tcPr>
            <w:tcW w:w="263" w:type="pct"/>
            <w:vMerge w:val="restart"/>
          </w:tcPr>
          <w:p w14:paraId="3DD4993F" w14:textId="77777777" w:rsidR="004C3029" w:rsidRDefault="004C3029" w:rsidP="001147CF">
            <w:pPr>
              <w:overflowPunct w:val="0"/>
              <w:ind w:left="-57" w:right="-57"/>
              <w:jc w:val="center"/>
              <w:textAlignment w:val="baseline"/>
              <w:rPr>
                <w:sz w:val="20"/>
              </w:rPr>
            </w:pPr>
            <w:r>
              <w:rPr>
                <w:sz w:val="20"/>
              </w:rPr>
              <w:t xml:space="preserve">2024 </w:t>
            </w:r>
          </w:p>
          <w:p w14:paraId="2007E80C" w14:textId="77777777" w:rsidR="004C3029" w:rsidRDefault="004C3029" w:rsidP="001147CF">
            <w:pPr>
              <w:overflowPunct w:val="0"/>
              <w:ind w:left="-57" w:right="-57"/>
              <w:jc w:val="center"/>
              <w:textAlignment w:val="baseline"/>
              <w:rPr>
                <w:sz w:val="20"/>
              </w:rPr>
            </w:pPr>
          </w:p>
        </w:tc>
        <w:tc>
          <w:tcPr>
            <w:tcW w:w="326" w:type="pct"/>
            <w:vMerge w:val="restart"/>
          </w:tcPr>
          <w:p w14:paraId="6A5DC5E2"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2A7D71C7" w14:textId="77777777" w:rsidR="004C3029" w:rsidRDefault="004C3029" w:rsidP="001147CF">
            <w:pPr>
              <w:overflowPunct w:val="0"/>
              <w:ind w:left="-57" w:right="-57"/>
              <w:jc w:val="center"/>
              <w:textAlignment w:val="baseline"/>
              <w:rPr>
                <w:sz w:val="20"/>
              </w:rPr>
            </w:pPr>
            <w:r>
              <w:rPr>
                <w:sz w:val="20"/>
              </w:rPr>
              <w:t>-</w:t>
            </w:r>
          </w:p>
        </w:tc>
      </w:tr>
      <w:tr w:rsidR="004C3029" w14:paraId="6C6C728C" w14:textId="77777777" w:rsidTr="001147CF">
        <w:trPr>
          <w:trHeight w:val="2192"/>
        </w:trPr>
        <w:tc>
          <w:tcPr>
            <w:tcW w:w="704" w:type="pct"/>
            <w:vMerge/>
          </w:tcPr>
          <w:p w14:paraId="15C32D83" w14:textId="77777777" w:rsidR="004C3029" w:rsidRDefault="004C3029" w:rsidP="001147CF">
            <w:pPr>
              <w:overflowPunct w:val="0"/>
              <w:ind w:left="-57" w:right="-57"/>
              <w:textAlignment w:val="baseline"/>
              <w:rPr>
                <w:sz w:val="20"/>
              </w:rPr>
            </w:pPr>
          </w:p>
        </w:tc>
        <w:tc>
          <w:tcPr>
            <w:tcW w:w="283" w:type="pct"/>
            <w:vMerge/>
          </w:tcPr>
          <w:p w14:paraId="7BB5AED0" w14:textId="77777777" w:rsidR="004C3029" w:rsidRDefault="004C3029" w:rsidP="001147CF">
            <w:pPr>
              <w:overflowPunct w:val="0"/>
              <w:ind w:left="-57" w:right="-57"/>
              <w:textAlignment w:val="baseline"/>
              <w:rPr>
                <w:sz w:val="20"/>
              </w:rPr>
            </w:pPr>
          </w:p>
        </w:tc>
        <w:tc>
          <w:tcPr>
            <w:tcW w:w="282" w:type="pct"/>
            <w:vMerge/>
          </w:tcPr>
          <w:p w14:paraId="0400528F" w14:textId="77777777" w:rsidR="004C3029" w:rsidRDefault="004C3029" w:rsidP="001147CF">
            <w:pPr>
              <w:overflowPunct w:val="0"/>
              <w:ind w:left="-57" w:right="-57"/>
              <w:textAlignment w:val="baseline"/>
              <w:rPr>
                <w:sz w:val="20"/>
              </w:rPr>
            </w:pPr>
          </w:p>
        </w:tc>
        <w:tc>
          <w:tcPr>
            <w:tcW w:w="351" w:type="pct"/>
            <w:vMerge/>
          </w:tcPr>
          <w:p w14:paraId="1B6BE821" w14:textId="77777777" w:rsidR="004C3029" w:rsidRDefault="004C3029" w:rsidP="001147CF">
            <w:pPr>
              <w:overflowPunct w:val="0"/>
              <w:ind w:left="-57" w:right="-57"/>
              <w:textAlignment w:val="baseline"/>
              <w:rPr>
                <w:sz w:val="20"/>
              </w:rPr>
            </w:pPr>
          </w:p>
        </w:tc>
        <w:tc>
          <w:tcPr>
            <w:tcW w:w="333" w:type="pct"/>
            <w:vMerge/>
          </w:tcPr>
          <w:p w14:paraId="15B50BF6" w14:textId="77777777" w:rsidR="004C3029" w:rsidRDefault="004C3029" w:rsidP="001147CF">
            <w:pPr>
              <w:overflowPunct w:val="0"/>
              <w:ind w:left="-57" w:right="-57"/>
              <w:textAlignment w:val="baseline"/>
              <w:rPr>
                <w:sz w:val="20"/>
              </w:rPr>
            </w:pPr>
          </w:p>
        </w:tc>
        <w:tc>
          <w:tcPr>
            <w:tcW w:w="308" w:type="pct"/>
            <w:vMerge/>
          </w:tcPr>
          <w:p w14:paraId="5D98AB44" w14:textId="77777777" w:rsidR="004C3029" w:rsidRDefault="004C3029" w:rsidP="001147CF">
            <w:pPr>
              <w:overflowPunct w:val="0"/>
              <w:ind w:left="-57" w:right="-57"/>
              <w:textAlignment w:val="baseline"/>
              <w:rPr>
                <w:sz w:val="20"/>
              </w:rPr>
            </w:pPr>
          </w:p>
        </w:tc>
        <w:tc>
          <w:tcPr>
            <w:tcW w:w="262" w:type="pct"/>
            <w:vMerge/>
          </w:tcPr>
          <w:p w14:paraId="44EF33CF" w14:textId="77777777" w:rsidR="004C3029" w:rsidRDefault="004C3029" w:rsidP="001147CF">
            <w:pPr>
              <w:overflowPunct w:val="0"/>
              <w:ind w:left="-57" w:right="-57"/>
              <w:textAlignment w:val="baseline"/>
              <w:rPr>
                <w:sz w:val="20"/>
              </w:rPr>
            </w:pPr>
          </w:p>
        </w:tc>
        <w:tc>
          <w:tcPr>
            <w:tcW w:w="308" w:type="pct"/>
            <w:vMerge/>
          </w:tcPr>
          <w:p w14:paraId="27A35974" w14:textId="77777777" w:rsidR="004C3029" w:rsidRDefault="004C3029" w:rsidP="001147CF">
            <w:pPr>
              <w:overflowPunct w:val="0"/>
              <w:ind w:left="-57" w:right="-57"/>
              <w:textAlignment w:val="baseline"/>
              <w:rPr>
                <w:sz w:val="20"/>
              </w:rPr>
            </w:pPr>
          </w:p>
        </w:tc>
        <w:tc>
          <w:tcPr>
            <w:tcW w:w="307" w:type="pct"/>
            <w:vMerge/>
          </w:tcPr>
          <w:p w14:paraId="40AB7508" w14:textId="77777777" w:rsidR="004C3029" w:rsidRDefault="004C3029" w:rsidP="001147CF">
            <w:pPr>
              <w:overflowPunct w:val="0"/>
              <w:ind w:left="-57" w:right="-57"/>
              <w:textAlignment w:val="baseline"/>
              <w:rPr>
                <w:sz w:val="20"/>
              </w:rPr>
            </w:pPr>
          </w:p>
        </w:tc>
        <w:tc>
          <w:tcPr>
            <w:tcW w:w="308" w:type="pct"/>
            <w:vMerge/>
          </w:tcPr>
          <w:p w14:paraId="0CB58F19" w14:textId="77777777" w:rsidR="004C3029" w:rsidRDefault="004C3029" w:rsidP="001147CF">
            <w:pPr>
              <w:overflowPunct w:val="0"/>
              <w:ind w:left="-57" w:right="-57"/>
              <w:textAlignment w:val="baseline"/>
              <w:rPr>
                <w:sz w:val="20"/>
              </w:rPr>
            </w:pPr>
          </w:p>
        </w:tc>
        <w:tc>
          <w:tcPr>
            <w:tcW w:w="437" w:type="pct"/>
          </w:tcPr>
          <w:p w14:paraId="2C3F67BB" w14:textId="77777777" w:rsidR="004C3029" w:rsidRDefault="004C3029" w:rsidP="001147CF">
            <w:pPr>
              <w:overflowPunct w:val="0"/>
              <w:ind w:left="-57" w:right="-57"/>
              <w:textAlignment w:val="baseline"/>
              <w:rPr>
                <w:sz w:val="20"/>
              </w:rPr>
            </w:pPr>
            <w:r>
              <w:rPr>
                <w:sz w:val="20"/>
              </w:rPr>
              <w:t>R – Švietimo pagalbą ne trumpiau kaip 3 mėnesius gavusių vaikų dalis</w:t>
            </w:r>
          </w:p>
        </w:tc>
        <w:tc>
          <w:tcPr>
            <w:tcW w:w="220" w:type="pct"/>
          </w:tcPr>
          <w:p w14:paraId="177B4CE0" w14:textId="77777777" w:rsidR="004C3029" w:rsidRDefault="004C3029" w:rsidP="001147CF">
            <w:pPr>
              <w:overflowPunct w:val="0"/>
              <w:ind w:left="-57" w:right="-57"/>
              <w:jc w:val="center"/>
              <w:textAlignment w:val="baseline"/>
              <w:rPr>
                <w:sz w:val="20"/>
              </w:rPr>
            </w:pPr>
            <w:r>
              <w:rPr>
                <w:sz w:val="20"/>
              </w:rPr>
              <w:t xml:space="preserve">85 </w:t>
            </w:r>
          </w:p>
        </w:tc>
        <w:tc>
          <w:tcPr>
            <w:tcW w:w="263" w:type="pct"/>
            <w:vMerge/>
          </w:tcPr>
          <w:p w14:paraId="7040DBFA" w14:textId="77777777" w:rsidR="004C3029" w:rsidRDefault="004C3029" w:rsidP="001147CF">
            <w:pPr>
              <w:overflowPunct w:val="0"/>
              <w:ind w:left="-57" w:right="-57"/>
              <w:jc w:val="center"/>
              <w:textAlignment w:val="baseline"/>
              <w:rPr>
                <w:sz w:val="20"/>
              </w:rPr>
            </w:pPr>
          </w:p>
        </w:tc>
        <w:tc>
          <w:tcPr>
            <w:tcW w:w="326" w:type="pct"/>
            <w:vMerge/>
          </w:tcPr>
          <w:p w14:paraId="03440547" w14:textId="77777777" w:rsidR="004C3029" w:rsidRDefault="004C3029" w:rsidP="001147CF">
            <w:pPr>
              <w:overflowPunct w:val="0"/>
              <w:ind w:left="-57" w:right="-57"/>
              <w:jc w:val="center"/>
              <w:textAlignment w:val="baseline"/>
              <w:rPr>
                <w:sz w:val="20"/>
              </w:rPr>
            </w:pPr>
          </w:p>
        </w:tc>
        <w:tc>
          <w:tcPr>
            <w:tcW w:w="308" w:type="pct"/>
            <w:vMerge/>
          </w:tcPr>
          <w:p w14:paraId="638B2738" w14:textId="77777777" w:rsidR="004C3029" w:rsidRDefault="004C3029" w:rsidP="001147CF">
            <w:pPr>
              <w:overflowPunct w:val="0"/>
              <w:ind w:left="-57" w:right="-57"/>
              <w:jc w:val="center"/>
              <w:textAlignment w:val="baseline"/>
              <w:rPr>
                <w:sz w:val="20"/>
              </w:rPr>
            </w:pPr>
          </w:p>
        </w:tc>
      </w:tr>
      <w:tr w:rsidR="004C3029" w14:paraId="78BC75A9" w14:textId="77777777" w:rsidTr="001147CF">
        <w:trPr>
          <w:trHeight w:val="461"/>
        </w:trPr>
        <w:tc>
          <w:tcPr>
            <w:tcW w:w="704" w:type="pct"/>
            <w:vMerge w:val="restart"/>
          </w:tcPr>
          <w:p w14:paraId="17736896" w14:textId="77777777" w:rsidR="004C3029" w:rsidRDefault="004C3029" w:rsidP="001147CF">
            <w:pPr>
              <w:overflowPunct w:val="0"/>
              <w:ind w:left="-57" w:right="-57"/>
              <w:textAlignment w:val="baseline"/>
              <w:rPr>
                <w:sz w:val="20"/>
              </w:rPr>
            </w:pPr>
            <w:r>
              <w:rPr>
                <w:sz w:val="20"/>
              </w:rPr>
              <w:t xml:space="preserve">3.3. Didinti koordinuotai teikiamų švietimo pagalbos, socialinės, sveikatos priežiūros paslaugų ikimokyklinio ir priešmokyklinio amžiaus vaikams ir jų tėvams bei  bendrojo ugdymo mokyklų ir profesinio mokymo įstaigų mokiniams ir jų tėvams pasiūlą, prieinamumą pasitelkiant nevalstybinio sektoriaus paslaugų teikėjus Vidurio ir vakarų </w:t>
            </w:r>
            <w:r>
              <w:rPr>
                <w:sz w:val="20"/>
              </w:rPr>
              <w:lastRenderedPageBreak/>
              <w:t>Lietuvos regione.</w:t>
            </w:r>
          </w:p>
        </w:tc>
        <w:tc>
          <w:tcPr>
            <w:tcW w:w="283" w:type="pct"/>
            <w:vMerge w:val="restart"/>
          </w:tcPr>
          <w:p w14:paraId="4180028E" w14:textId="77777777" w:rsidR="004C3029" w:rsidRDefault="004C3029" w:rsidP="001147CF">
            <w:pPr>
              <w:overflowPunct w:val="0"/>
              <w:ind w:left="-57" w:right="-57"/>
              <w:textAlignment w:val="baseline"/>
              <w:rPr>
                <w:sz w:val="20"/>
              </w:rPr>
            </w:pPr>
          </w:p>
        </w:tc>
        <w:tc>
          <w:tcPr>
            <w:tcW w:w="282" w:type="pct"/>
            <w:vMerge w:val="restart"/>
          </w:tcPr>
          <w:p w14:paraId="66EEE709" w14:textId="77777777" w:rsidR="004C3029" w:rsidRDefault="004C3029" w:rsidP="001147CF">
            <w:pPr>
              <w:overflowPunct w:val="0"/>
              <w:ind w:left="-57" w:right="-57"/>
              <w:textAlignment w:val="baseline"/>
              <w:rPr>
                <w:sz w:val="20"/>
              </w:rPr>
            </w:pPr>
          </w:p>
        </w:tc>
        <w:tc>
          <w:tcPr>
            <w:tcW w:w="351" w:type="pct"/>
            <w:vMerge w:val="restart"/>
          </w:tcPr>
          <w:p w14:paraId="76224239" w14:textId="77777777" w:rsidR="004C3029" w:rsidRDefault="004C3029" w:rsidP="001147CF">
            <w:pPr>
              <w:overflowPunct w:val="0"/>
              <w:ind w:left="-57" w:right="-57"/>
              <w:textAlignment w:val="baseline"/>
              <w:rPr>
                <w:sz w:val="20"/>
              </w:rPr>
            </w:pPr>
          </w:p>
        </w:tc>
        <w:tc>
          <w:tcPr>
            <w:tcW w:w="333" w:type="pct"/>
            <w:vMerge w:val="restart"/>
          </w:tcPr>
          <w:p w14:paraId="1B536B83" w14:textId="77777777" w:rsidR="004C3029" w:rsidRDefault="004C3029" w:rsidP="001147CF">
            <w:pPr>
              <w:overflowPunct w:val="0"/>
              <w:ind w:left="-57" w:right="-57"/>
              <w:textAlignment w:val="baseline"/>
              <w:rPr>
                <w:sz w:val="20"/>
              </w:rPr>
            </w:pPr>
          </w:p>
        </w:tc>
        <w:tc>
          <w:tcPr>
            <w:tcW w:w="308" w:type="pct"/>
            <w:vMerge w:val="restart"/>
          </w:tcPr>
          <w:p w14:paraId="6A503C28" w14:textId="77777777" w:rsidR="004C3029" w:rsidRDefault="004C3029" w:rsidP="001147CF">
            <w:pPr>
              <w:overflowPunct w:val="0"/>
              <w:ind w:left="-57" w:right="-57"/>
              <w:textAlignment w:val="baseline"/>
              <w:rPr>
                <w:sz w:val="20"/>
              </w:rPr>
            </w:pPr>
          </w:p>
        </w:tc>
        <w:tc>
          <w:tcPr>
            <w:tcW w:w="262" w:type="pct"/>
            <w:vMerge w:val="restart"/>
          </w:tcPr>
          <w:p w14:paraId="2320B3E2" w14:textId="77777777" w:rsidR="004C3029" w:rsidRDefault="004C3029" w:rsidP="001147CF">
            <w:pPr>
              <w:overflowPunct w:val="0"/>
              <w:ind w:left="-57" w:right="-57"/>
              <w:textAlignment w:val="baseline"/>
              <w:rPr>
                <w:sz w:val="20"/>
              </w:rPr>
            </w:pPr>
          </w:p>
        </w:tc>
        <w:tc>
          <w:tcPr>
            <w:tcW w:w="308" w:type="pct"/>
            <w:vMerge w:val="restart"/>
          </w:tcPr>
          <w:p w14:paraId="38A1A76A" w14:textId="77777777" w:rsidR="004C3029" w:rsidRDefault="004C3029" w:rsidP="001147CF">
            <w:pPr>
              <w:overflowPunct w:val="0"/>
              <w:ind w:left="-57" w:right="-57"/>
              <w:textAlignment w:val="baseline"/>
              <w:rPr>
                <w:sz w:val="20"/>
              </w:rPr>
            </w:pPr>
          </w:p>
        </w:tc>
        <w:tc>
          <w:tcPr>
            <w:tcW w:w="307" w:type="pct"/>
            <w:vMerge w:val="restart"/>
          </w:tcPr>
          <w:p w14:paraId="2CA05DD5" w14:textId="77777777" w:rsidR="004C3029" w:rsidRDefault="004C3029" w:rsidP="001147CF">
            <w:pPr>
              <w:overflowPunct w:val="0"/>
              <w:ind w:left="-57" w:right="-57"/>
              <w:textAlignment w:val="baseline"/>
              <w:rPr>
                <w:sz w:val="20"/>
              </w:rPr>
            </w:pPr>
            <w:r>
              <w:rPr>
                <w:sz w:val="20"/>
              </w:rPr>
              <w:t>VVL: 24 627 (ES – 20 933, BF – 3 694)</w:t>
            </w:r>
          </w:p>
        </w:tc>
        <w:tc>
          <w:tcPr>
            <w:tcW w:w="308" w:type="pct"/>
            <w:vMerge w:val="restart"/>
          </w:tcPr>
          <w:p w14:paraId="1F3C836E" w14:textId="77777777" w:rsidR="004C3029" w:rsidRDefault="004C3029" w:rsidP="001147CF">
            <w:pPr>
              <w:overflowPunct w:val="0"/>
              <w:ind w:left="-57" w:right="-57"/>
              <w:jc w:val="center"/>
              <w:textAlignment w:val="baseline"/>
              <w:rPr>
                <w:sz w:val="20"/>
              </w:rPr>
            </w:pPr>
            <w:r>
              <w:rPr>
                <w:sz w:val="20"/>
              </w:rPr>
              <w:t>2021–2027 IP</w:t>
            </w:r>
          </w:p>
          <w:p w14:paraId="6F8ADEA3" w14:textId="77777777" w:rsidR="004C3029" w:rsidRDefault="004C3029" w:rsidP="001147CF">
            <w:pPr>
              <w:overflowPunct w:val="0"/>
              <w:ind w:left="-57" w:right="-57"/>
              <w:textAlignment w:val="baseline"/>
              <w:rPr>
                <w:sz w:val="20"/>
              </w:rPr>
            </w:pPr>
          </w:p>
        </w:tc>
        <w:tc>
          <w:tcPr>
            <w:tcW w:w="437" w:type="pct"/>
          </w:tcPr>
          <w:p w14:paraId="3D8BFE96" w14:textId="77777777" w:rsidR="004C3029" w:rsidRDefault="004C3029" w:rsidP="001147CF">
            <w:pPr>
              <w:overflowPunct w:val="0"/>
              <w:ind w:left="-57" w:right="-57"/>
              <w:textAlignment w:val="baseline"/>
              <w:rPr>
                <w:sz w:val="20"/>
              </w:rPr>
            </w:pPr>
            <w:r>
              <w:rPr>
                <w:sz w:val="20"/>
              </w:rPr>
              <w:t>P-12-003-03-02-01-06 Jaunesnių nei 18 metų vaikų skaičius</w:t>
            </w:r>
          </w:p>
        </w:tc>
        <w:tc>
          <w:tcPr>
            <w:tcW w:w="220" w:type="pct"/>
          </w:tcPr>
          <w:p w14:paraId="3EB2A592" w14:textId="77777777" w:rsidR="004C3029" w:rsidRDefault="004C3029" w:rsidP="001147CF">
            <w:pPr>
              <w:overflowPunct w:val="0"/>
              <w:ind w:left="-57" w:right="-57"/>
              <w:jc w:val="center"/>
              <w:textAlignment w:val="baseline"/>
              <w:rPr>
                <w:sz w:val="20"/>
              </w:rPr>
            </w:pPr>
            <w:r>
              <w:rPr>
                <w:sz w:val="20"/>
              </w:rPr>
              <w:t>2 770</w:t>
            </w:r>
          </w:p>
        </w:tc>
        <w:tc>
          <w:tcPr>
            <w:tcW w:w="263" w:type="pct"/>
            <w:vMerge w:val="restart"/>
          </w:tcPr>
          <w:p w14:paraId="6686AD26" w14:textId="77777777" w:rsidR="004C3029" w:rsidRDefault="004C3029" w:rsidP="001147CF">
            <w:pPr>
              <w:overflowPunct w:val="0"/>
              <w:ind w:left="-57" w:right="-57"/>
              <w:jc w:val="center"/>
              <w:textAlignment w:val="baseline"/>
              <w:rPr>
                <w:sz w:val="20"/>
              </w:rPr>
            </w:pPr>
            <w:r>
              <w:rPr>
                <w:sz w:val="20"/>
              </w:rPr>
              <w:t xml:space="preserve">2024 </w:t>
            </w:r>
          </w:p>
          <w:p w14:paraId="57AD8636" w14:textId="77777777" w:rsidR="004C3029" w:rsidRDefault="004C3029" w:rsidP="001147CF">
            <w:pPr>
              <w:overflowPunct w:val="0"/>
              <w:ind w:left="-57" w:right="-57"/>
              <w:jc w:val="center"/>
              <w:textAlignment w:val="baseline"/>
              <w:rPr>
                <w:sz w:val="20"/>
              </w:rPr>
            </w:pPr>
          </w:p>
        </w:tc>
        <w:tc>
          <w:tcPr>
            <w:tcW w:w="326" w:type="pct"/>
            <w:vMerge w:val="restart"/>
          </w:tcPr>
          <w:p w14:paraId="3702A5AD"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7B9AB270" w14:textId="77777777" w:rsidR="004C3029" w:rsidRDefault="004C3029" w:rsidP="001147CF">
            <w:pPr>
              <w:overflowPunct w:val="0"/>
              <w:ind w:left="-57" w:right="-57"/>
              <w:jc w:val="center"/>
              <w:textAlignment w:val="baseline"/>
              <w:rPr>
                <w:sz w:val="20"/>
              </w:rPr>
            </w:pPr>
            <w:r>
              <w:rPr>
                <w:sz w:val="20"/>
              </w:rPr>
              <w:t>-</w:t>
            </w:r>
          </w:p>
        </w:tc>
      </w:tr>
      <w:tr w:rsidR="004C3029" w14:paraId="09FFAE13" w14:textId="77777777" w:rsidTr="001147CF">
        <w:trPr>
          <w:trHeight w:val="2851"/>
        </w:trPr>
        <w:tc>
          <w:tcPr>
            <w:tcW w:w="704" w:type="pct"/>
            <w:vMerge/>
          </w:tcPr>
          <w:p w14:paraId="70FAC1B6" w14:textId="77777777" w:rsidR="004C3029" w:rsidRDefault="004C3029" w:rsidP="001147CF">
            <w:pPr>
              <w:overflowPunct w:val="0"/>
              <w:ind w:left="-57" w:right="-57"/>
              <w:textAlignment w:val="baseline"/>
              <w:rPr>
                <w:sz w:val="20"/>
              </w:rPr>
            </w:pPr>
          </w:p>
        </w:tc>
        <w:tc>
          <w:tcPr>
            <w:tcW w:w="283" w:type="pct"/>
            <w:vMerge/>
          </w:tcPr>
          <w:p w14:paraId="5EE663EB" w14:textId="77777777" w:rsidR="004C3029" w:rsidRDefault="004C3029" w:rsidP="001147CF">
            <w:pPr>
              <w:overflowPunct w:val="0"/>
              <w:ind w:left="-57" w:right="-57"/>
              <w:textAlignment w:val="baseline"/>
              <w:rPr>
                <w:sz w:val="20"/>
              </w:rPr>
            </w:pPr>
          </w:p>
        </w:tc>
        <w:tc>
          <w:tcPr>
            <w:tcW w:w="282" w:type="pct"/>
            <w:vMerge/>
          </w:tcPr>
          <w:p w14:paraId="47941180" w14:textId="77777777" w:rsidR="004C3029" w:rsidRDefault="004C3029" w:rsidP="001147CF">
            <w:pPr>
              <w:overflowPunct w:val="0"/>
              <w:ind w:left="-57" w:right="-57"/>
              <w:textAlignment w:val="baseline"/>
              <w:rPr>
                <w:sz w:val="20"/>
              </w:rPr>
            </w:pPr>
          </w:p>
        </w:tc>
        <w:tc>
          <w:tcPr>
            <w:tcW w:w="351" w:type="pct"/>
            <w:vMerge/>
          </w:tcPr>
          <w:p w14:paraId="16704141" w14:textId="77777777" w:rsidR="004C3029" w:rsidRDefault="004C3029" w:rsidP="001147CF">
            <w:pPr>
              <w:overflowPunct w:val="0"/>
              <w:ind w:left="-57" w:right="-57"/>
              <w:textAlignment w:val="baseline"/>
              <w:rPr>
                <w:sz w:val="20"/>
              </w:rPr>
            </w:pPr>
          </w:p>
        </w:tc>
        <w:tc>
          <w:tcPr>
            <w:tcW w:w="333" w:type="pct"/>
            <w:vMerge/>
          </w:tcPr>
          <w:p w14:paraId="6B8427B6" w14:textId="77777777" w:rsidR="004C3029" w:rsidRDefault="004C3029" w:rsidP="001147CF">
            <w:pPr>
              <w:overflowPunct w:val="0"/>
              <w:ind w:left="-57" w:right="-57"/>
              <w:textAlignment w:val="baseline"/>
              <w:rPr>
                <w:sz w:val="20"/>
              </w:rPr>
            </w:pPr>
          </w:p>
        </w:tc>
        <w:tc>
          <w:tcPr>
            <w:tcW w:w="308" w:type="pct"/>
            <w:vMerge/>
          </w:tcPr>
          <w:p w14:paraId="47F46DCC" w14:textId="77777777" w:rsidR="004C3029" w:rsidRDefault="004C3029" w:rsidP="001147CF">
            <w:pPr>
              <w:overflowPunct w:val="0"/>
              <w:ind w:left="-57" w:right="-57"/>
              <w:textAlignment w:val="baseline"/>
              <w:rPr>
                <w:sz w:val="20"/>
              </w:rPr>
            </w:pPr>
          </w:p>
        </w:tc>
        <w:tc>
          <w:tcPr>
            <w:tcW w:w="262" w:type="pct"/>
            <w:vMerge/>
          </w:tcPr>
          <w:p w14:paraId="07250E8B" w14:textId="77777777" w:rsidR="004C3029" w:rsidRDefault="004C3029" w:rsidP="001147CF">
            <w:pPr>
              <w:overflowPunct w:val="0"/>
              <w:ind w:left="-57" w:right="-57"/>
              <w:textAlignment w:val="baseline"/>
              <w:rPr>
                <w:sz w:val="20"/>
              </w:rPr>
            </w:pPr>
          </w:p>
        </w:tc>
        <w:tc>
          <w:tcPr>
            <w:tcW w:w="308" w:type="pct"/>
            <w:vMerge/>
          </w:tcPr>
          <w:p w14:paraId="33AB9F66" w14:textId="77777777" w:rsidR="004C3029" w:rsidRDefault="004C3029" w:rsidP="001147CF">
            <w:pPr>
              <w:overflowPunct w:val="0"/>
              <w:ind w:left="-57" w:right="-57"/>
              <w:textAlignment w:val="baseline"/>
              <w:rPr>
                <w:sz w:val="20"/>
              </w:rPr>
            </w:pPr>
          </w:p>
        </w:tc>
        <w:tc>
          <w:tcPr>
            <w:tcW w:w="307" w:type="pct"/>
            <w:vMerge/>
          </w:tcPr>
          <w:p w14:paraId="5A0EC8AC" w14:textId="77777777" w:rsidR="004C3029" w:rsidRDefault="004C3029" w:rsidP="001147CF">
            <w:pPr>
              <w:overflowPunct w:val="0"/>
              <w:ind w:left="-57" w:right="-57"/>
              <w:textAlignment w:val="baseline"/>
              <w:rPr>
                <w:sz w:val="20"/>
              </w:rPr>
            </w:pPr>
          </w:p>
        </w:tc>
        <w:tc>
          <w:tcPr>
            <w:tcW w:w="308" w:type="pct"/>
            <w:vMerge/>
          </w:tcPr>
          <w:p w14:paraId="0435464E" w14:textId="77777777" w:rsidR="004C3029" w:rsidRDefault="004C3029" w:rsidP="001147CF">
            <w:pPr>
              <w:overflowPunct w:val="0"/>
              <w:ind w:left="-57" w:right="-57"/>
              <w:textAlignment w:val="baseline"/>
              <w:rPr>
                <w:sz w:val="20"/>
              </w:rPr>
            </w:pPr>
          </w:p>
        </w:tc>
        <w:tc>
          <w:tcPr>
            <w:tcW w:w="437" w:type="pct"/>
          </w:tcPr>
          <w:p w14:paraId="0AD6CD52" w14:textId="77777777" w:rsidR="004C3029" w:rsidRDefault="004C3029" w:rsidP="001147CF">
            <w:pPr>
              <w:overflowPunct w:val="0"/>
              <w:ind w:left="-57" w:right="-57"/>
              <w:textAlignment w:val="baseline"/>
              <w:rPr>
                <w:sz w:val="20"/>
              </w:rPr>
            </w:pPr>
            <w:r>
              <w:rPr>
                <w:sz w:val="20"/>
              </w:rPr>
              <w:t>R – Švietimo pagalbą ne trumpiau kaip 3 mėnesius gavusių vaikų dalis</w:t>
            </w:r>
          </w:p>
        </w:tc>
        <w:tc>
          <w:tcPr>
            <w:tcW w:w="220" w:type="pct"/>
          </w:tcPr>
          <w:p w14:paraId="6D8F71FE" w14:textId="77777777" w:rsidR="004C3029" w:rsidRDefault="004C3029" w:rsidP="001147CF">
            <w:pPr>
              <w:overflowPunct w:val="0"/>
              <w:ind w:left="-57" w:right="-57"/>
              <w:jc w:val="center"/>
              <w:textAlignment w:val="baseline"/>
              <w:rPr>
                <w:sz w:val="20"/>
              </w:rPr>
            </w:pPr>
            <w:r>
              <w:rPr>
                <w:sz w:val="20"/>
              </w:rPr>
              <w:t>85</w:t>
            </w:r>
          </w:p>
        </w:tc>
        <w:tc>
          <w:tcPr>
            <w:tcW w:w="263" w:type="pct"/>
            <w:vMerge/>
          </w:tcPr>
          <w:p w14:paraId="331507BF" w14:textId="77777777" w:rsidR="004C3029" w:rsidRDefault="004C3029" w:rsidP="001147CF">
            <w:pPr>
              <w:overflowPunct w:val="0"/>
              <w:ind w:left="-57" w:right="-57"/>
              <w:jc w:val="center"/>
              <w:textAlignment w:val="baseline"/>
              <w:rPr>
                <w:sz w:val="20"/>
              </w:rPr>
            </w:pPr>
          </w:p>
        </w:tc>
        <w:tc>
          <w:tcPr>
            <w:tcW w:w="326" w:type="pct"/>
            <w:vMerge/>
          </w:tcPr>
          <w:p w14:paraId="48D70892" w14:textId="77777777" w:rsidR="004C3029" w:rsidRDefault="004C3029" w:rsidP="001147CF">
            <w:pPr>
              <w:overflowPunct w:val="0"/>
              <w:ind w:left="-57" w:right="-57"/>
              <w:jc w:val="center"/>
              <w:textAlignment w:val="baseline"/>
              <w:rPr>
                <w:sz w:val="20"/>
              </w:rPr>
            </w:pPr>
          </w:p>
        </w:tc>
        <w:tc>
          <w:tcPr>
            <w:tcW w:w="308" w:type="pct"/>
            <w:vMerge/>
          </w:tcPr>
          <w:p w14:paraId="7C70AF3D" w14:textId="77777777" w:rsidR="004C3029" w:rsidRDefault="004C3029" w:rsidP="001147CF">
            <w:pPr>
              <w:overflowPunct w:val="0"/>
              <w:ind w:left="-57" w:right="-57"/>
              <w:jc w:val="center"/>
              <w:textAlignment w:val="baseline"/>
              <w:rPr>
                <w:sz w:val="20"/>
              </w:rPr>
            </w:pPr>
          </w:p>
        </w:tc>
      </w:tr>
      <w:tr w:rsidR="004C3029" w14:paraId="023EED0F" w14:textId="77777777" w:rsidTr="001147CF">
        <w:trPr>
          <w:trHeight w:val="1162"/>
        </w:trPr>
        <w:tc>
          <w:tcPr>
            <w:tcW w:w="704" w:type="pct"/>
            <w:vMerge w:val="restart"/>
          </w:tcPr>
          <w:p w14:paraId="30C5CC92" w14:textId="77777777" w:rsidR="004C3029" w:rsidRDefault="004C3029" w:rsidP="001147CF">
            <w:pPr>
              <w:overflowPunct w:val="0"/>
              <w:ind w:left="-57" w:right="-57"/>
              <w:textAlignment w:val="baseline"/>
              <w:rPr>
                <w:sz w:val="20"/>
              </w:rPr>
            </w:pPr>
            <w:r>
              <w:rPr>
                <w:sz w:val="20"/>
              </w:rPr>
              <w:t>4. Kompleksinių švietimo pagalbos paslaugų įvairių ugdymosi poreikių turintiems mokiniams plėtra, koncentruojant turimus išteklius ir pritaikant infrastruktūrą bei aprūpinant trūkstama įranga</w:t>
            </w:r>
          </w:p>
          <w:p w14:paraId="2F45C353" w14:textId="77777777" w:rsidR="004C3029" w:rsidRDefault="004C3029" w:rsidP="001147CF">
            <w:pPr>
              <w:overflowPunct w:val="0"/>
              <w:textAlignment w:val="baseline"/>
              <w:rPr>
                <w:sz w:val="20"/>
              </w:rPr>
            </w:pPr>
          </w:p>
        </w:tc>
        <w:tc>
          <w:tcPr>
            <w:tcW w:w="283" w:type="pct"/>
            <w:vMerge w:val="restart"/>
          </w:tcPr>
          <w:p w14:paraId="2263092B" w14:textId="77777777" w:rsidR="004C3029" w:rsidRDefault="004C3029" w:rsidP="001147CF">
            <w:pPr>
              <w:overflowPunct w:val="0"/>
              <w:ind w:left="-57" w:right="-57"/>
              <w:jc w:val="center"/>
              <w:textAlignment w:val="baseline"/>
              <w:rPr>
                <w:sz w:val="20"/>
              </w:rPr>
            </w:pPr>
            <w:r>
              <w:rPr>
                <w:sz w:val="20"/>
              </w:rPr>
              <w:t>I</w:t>
            </w:r>
          </w:p>
        </w:tc>
        <w:tc>
          <w:tcPr>
            <w:tcW w:w="282" w:type="pct"/>
            <w:vMerge w:val="restart"/>
          </w:tcPr>
          <w:p w14:paraId="4C636B12" w14:textId="77777777" w:rsidR="004C3029" w:rsidRDefault="004C3029" w:rsidP="001147CF">
            <w:pPr>
              <w:overflowPunct w:val="0"/>
              <w:ind w:left="-57" w:right="-57"/>
              <w:jc w:val="center"/>
              <w:textAlignment w:val="baseline"/>
              <w:rPr>
                <w:sz w:val="20"/>
              </w:rPr>
            </w:pPr>
            <w:r>
              <w:rPr>
                <w:sz w:val="20"/>
              </w:rPr>
              <w:t>Poveiklėse nurodyti galimi pareiškėjai</w:t>
            </w:r>
          </w:p>
        </w:tc>
        <w:tc>
          <w:tcPr>
            <w:tcW w:w="351" w:type="pct"/>
            <w:vMerge w:val="restart"/>
          </w:tcPr>
          <w:p w14:paraId="1D0F7113"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Pr>
          <w:p w14:paraId="7471B014"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487CE8B9"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7AF8EBFA"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3A81CFCE" w14:textId="77777777" w:rsidR="004C3029" w:rsidRDefault="004C3029" w:rsidP="001147CF">
            <w:pPr>
              <w:overflowPunct w:val="0"/>
              <w:ind w:left="-57" w:right="-57"/>
              <w:jc w:val="center"/>
              <w:textAlignment w:val="baseline"/>
              <w:rPr>
                <w:sz w:val="20"/>
              </w:rPr>
            </w:pPr>
            <w:r>
              <w:rPr>
                <w:sz w:val="20"/>
              </w:rPr>
              <w:t>D</w:t>
            </w:r>
          </w:p>
        </w:tc>
        <w:tc>
          <w:tcPr>
            <w:tcW w:w="307" w:type="pct"/>
          </w:tcPr>
          <w:p w14:paraId="210DE096" w14:textId="77777777" w:rsidR="004C3029" w:rsidRDefault="004C3029" w:rsidP="001147CF">
            <w:pPr>
              <w:overflowPunct w:val="0"/>
              <w:ind w:left="-57" w:right="-57"/>
              <w:jc w:val="center"/>
              <w:textAlignment w:val="baseline"/>
              <w:rPr>
                <w:sz w:val="20"/>
              </w:rPr>
            </w:pPr>
            <w:r>
              <w:rPr>
                <w:sz w:val="20"/>
              </w:rPr>
              <w:t xml:space="preserve">SR: 2 000 (ES 1 000, BF – 1 000) </w:t>
            </w:r>
          </w:p>
        </w:tc>
        <w:tc>
          <w:tcPr>
            <w:tcW w:w="308" w:type="pct"/>
          </w:tcPr>
          <w:p w14:paraId="2C6DB0A9"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071F18E4"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4F0A9FF8" w14:textId="77777777" w:rsidR="004C3029" w:rsidRDefault="004C3029" w:rsidP="001147CF">
            <w:pPr>
              <w:overflowPunct w:val="0"/>
              <w:ind w:left="-57" w:right="-57"/>
              <w:jc w:val="center"/>
              <w:textAlignment w:val="baseline"/>
              <w:rPr>
                <w:sz w:val="20"/>
              </w:rPr>
            </w:pPr>
            <w:r>
              <w:rPr>
                <w:sz w:val="20"/>
              </w:rPr>
              <w:t>–</w:t>
            </w:r>
          </w:p>
        </w:tc>
        <w:tc>
          <w:tcPr>
            <w:tcW w:w="263" w:type="pct"/>
          </w:tcPr>
          <w:p w14:paraId="65A7CF53" w14:textId="77777777" w:rsidR="004C3029" w:rsidRDefault="004C3029" w:rsidP="001147CF">
            <w:pPr>
              <w:overflowPunct w:val="0"/>
              <w:ind w:left="-57" w:right="-57"/>
              <w:jc w:val="center"/>
              <w:textAlignment w:val="baseline"/>
              <w:rPr>
                <w:sz w:val="20"/>
              </w:rPr>
            </w:pPr>
            <w:r>
              <w:rPr>
                <w:sz w:val="20"/>
              </w:rPr>
              <w:t>2023</w:t>
            </w:r>
          </w:p>
        </w:tc>
        <w:tc>
          <w:tcPr>
            <w:tcW w:w="326" w:type="pct"/>
          </w:tcPr>
          <w:p w14:paraId="71C98202" w14:textId="77777777" w:rsidR="004C3029" w:rsidRDefault="004C3029" w:rsidP="001147CF">
            <w:pPr>
              <w:overflowPunct w:val="0"/>
              <w:spacing w:line="259" w:lineRule="auto"/>
              <w:ind w:left="-57" w:right="-57"/>
              <w:jc w:val="center"/>
              <w:textAlignment w:val="baseline"/>
              <w:rPr>
                <w:sz w:val="20"/>
              </w:rPr>
            </w:pPr>
            <w:r>
              <w:rPr>
                <w:sz w:val="20"/>
              </w:rPr>
              <w:t xml:space="preserve">CPVA </w:t>
            </w:r>
          </w:p>
        </w:tc>
        <w:tc>
          <w:tcPr>
            <w:tcW w:w="308" w:type="pct"/>
          </w:tcPr>
          <w:p w14:paraId="5A8D8547" w14:textId="77777777" w:rsidR="004C3029" w:rsidRDefault="004C3029" w:rsidP="001147CF">
            <w:pPr>
              <w:overflowPunct w:val="0"/>
              <w:ind w:left="-57" w:right="-57"/>
              <w:jc w:val="center"/>
              <w:textAlignment w:val="baseline"/>
              <w:rPr>
                <w:sz w:val="20"/>
              </w:rPr>
            </w:pPr>
            <w:r>
              <w:rPr>
                <w:sz w:val="20"/>
              </w:rPr>
              <w:t>-</w:t>
            </w:r>
          </w:p>
        </w:tc>
      </w:tr>
      <w:tr w:rsidR="004C3029" w14:paraId="688158C0" w14:textId="77777777" w:rsidTr="001147CF">
        <w:trPr>
          <w:trHeight w:val="487"/>
        </w:trPr>
        <w:tc>
          <w:tcPr>
            <w:tcW w:w="704" w:type="pct"/>
            <w:vMerge/>
          </w:tcPr>
          <w:p w14:paraId="4318FA04" w14:textId="77777777" w:rsidR="004C3029" w:rsidRDefault="004C3029" w:rsidP="001147CF">
            <w:pPr>
              <w:overflowPunct w:val="0"/>
              <w:ind w:left="-57" w:right="-57"/>
              <w:textAlignment w:val="baseline"/>
              <w:rPr>
                <w:sz w:val="20"/>
              </w:rPr>
            </w:pPr>
          </w:p>
        </w:tc>
        <w:tc>
          <w:tcPr>
            <w:tcW w:w="283" w:type="pct"/>
            <w:vMerge/>
          </w:tcPr>
          <w:p w14:paraId="303C53AF" w14:textId="77777777" w:rsidR="004C3029" w:rsidRDefault="004C3029" w:rsidP="001147CF">
            <w:pPr>
              <w:overflowPunct w:val="0"/>
              <w:ind w:left="-57" w:right="-57"/>
              <w:jc w:val="center"/>
              <w:textAlignment w:val="baseline"/>
              <w:rPr>
                <w:sz w:val="20"/>
              </w:rPr>
            </w:pPr>
          </w:p>
        </w:tc>
        <w:tc>
          <w:tcPr>
            <w:tcW w:w="282" w:type="pct"/>
            <w:vMerge/>
          </w:tcPr>
          <w:p w14:paraId="15631E18" w14:textId="77777777" w:rsidR="004C3029" w:rsidRDefault="004C3029" w:rsidP="001147CF">
            <w:pPr>
              <w:overflowPunct w:val="0"/>
              <w:ind w:left="-57" w:right="-57"/>
              <w:jc w:val="center"/>
              <w:textAlignment w:val="baseline"/>
              <w:rPr>
                <w:sz w:val="20"/>
              </w:rPr>
            </w:pPr>
          </w:p>
        </w:tc>
        <w:tc>
          <w:tcPr>
            <w:tcW w:w="351" w:type="pct"/>
            <w:vMerge/>
          </w:tcPr>
          <w:p w14:paraId="16863711" w14:textId="77777777" w:rsidR="004C3029" w:rsidRDefault="004C3029" w:rsidP="001147CF">
            <w:pPr>
              <w:overflowPunct w:val="0"/>
              <w:ind w:left="-57" w:right="-57"/>
              <w:jc w:val="center"/>
              <w:textAlignment w:val="baseline"/>
              <w:rPr>
                <w:sz w:val="20"/>
              </w:rPr>
            </w:pPr>
          </w:p>
        </w:tc>
        <w:tc>
          <w:tcPr>
            <w:tcW w:w="333" w:type="pct"/>
            <w:vMerge/>
          </w:tcPr>
          <w:p w14:paraId="35FB516E" w14:textId="77777777" w:rsidR="004C3029" w:rsidRDefault="004C3029" w:rsidP="001147CF">
            <w:pPr>
              <w:overflowPunct w:val="0"/>
              <w:ind w:left="-57" w:right="-57"/>
              <w:jc w:val="center"/>
              <w:textAlignment w:val="baseline"/>
              <w:rPr>
                <w:sz w:val="20"/>
              </w:rPr>
            </w:pPr>
          </w:p>
        </w:tc>
        <w:tc>
          <w:tcPr>
            <w:tcW w:w="308" w:type="pct"/>
            <w:vMerge/>
          </w:tcPr>
          <w:p w14:paraId="056FC307" w14:textId="77777777" w:rsidR="004C3029" w:rsidRDefault="004C3029" w:rsidP="001147CF">
            <w:pPr>
              <w:overflowPunct w:val="0"/>
              <w:ind w:left="-57" w:right="-57"/>
              <w:jc w:val="center"/>
              <w:textAlignment w:val="baseline"/>
              <w:rPr>
                <w:sz w:val="20"/>
              </w:rPr>
            </w:pPr>
          </w:p>
        </w:tc>
        <w:tc>
          <w:tcPr>
            <w:tcW w:w="262" w:type="pct"/>
            <w:vMerge/>
          </w:tcPr>
          <w:p w14:paraId="2B99A3C2" w14:textId="77777777" w:rsidR="004C3029" w:rsidRDefault="004C3029" w:rsidP="001147CF">
            <w:pPr>
              <w:overflowPunct w:val="0"/>
              <w:ind w:left="-57" w:right="-57"/>
              <w:jc w:val="center"/>
              <w:textAlignment w:val="baseline"/>
              <w:rPr>
                <w:sz w:val="20"/>
              </w:rPr>
            </w:pPr>
          </w:p>
        </w:tc>
        <w:tc>
          <w:tcPr>
            <w:tcW w:w="308" w:type="pct"/>
            <w:vMerge/>
          </w:tcPr>
          <w:p w14:paraId="402C1681" w14:textId="77777777" w:rsidR="004C3029" w:rsidRDefault="004C3029" w:rsidP="001147CF">
            <w:pPr>
              <w:overflowPunct w:val="0"/>
              <w:ind w:left="-57" w:right="-57"/>
              <w:jc w:val="center"/>
              <w:textAlignment w:val="baseline"/>
              <w:rPr>
                <w:sz w:val="20"/>
              </w:rPr>
            </w:pPr>
          </w:p>
        </w:tc>
        <w:tc>
          <w:tcPr>
            <w:tcW w:w="307" w:type="pct"/>
          </w:tcPr>
          <w:p w14:paraId="76682236" w14:textId="77777777" w:rsidR="004C3029" w:rsidRDefault="004C3029" w:rsidP="001147CF">
            <w:pPr>
              <w:overflowPunct w:val="0"/>
              <w:ind w:left="-57" w:right="-57"/>
              <w:jc w:val="center"/>
              <w:textAlignment w:val="baseline"/>
              <w:rPr>
                <w:b/>
                <w:sz w:val="20"/>
              </w:rPr>
            </w:pPr>
            <w:r>
              <w:rPr>
                <w:sz w:val="20"/>
              </w:rPr>
              <w:t>VVL: 10 406 (ES – 8 845, BF – 1 561)</w:t>
            </w:r>
          </w:p>
        </w:tc>
        <w:tc>
          <w:tcPr>
            <w:tcW w:w="308" w:type="pct"/>
          </w:tcPr>
          <w:p w14:paraId="13F5592C"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466AA1A9"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03C89E79" w14:textId="77777777" w:rsidR="004C3029" w:rsidRDefault="004C3029" w:rsidP="001147CF">
            <w:pPr>
              <w:overflowPunct w:val="0"/>
              <w:ind w:left="-57" w:right="-57"/>
              <w:jc w:val="center"/>
              <w:textAlignment w:val="baseline"/>
              <w:rPr>
                <w:sz w:val="20"/>
              </w:rPr>
            </w:pPr>
            <w:r>
              <w:rPr>
                <w:sz w:val="20"/>
              </w:rPr>
              <w:t>–</w:t>
            </w:r>
          </w:p>
        </w:tc>
        <w:tc>
          <w:tcPr>
            <w:tcW w:w="263" w:type="pct"/>
          </w:tcPr>
          <w:p w14:paraId="427445C6" w14:textId="77777777" w:rsidR="004C3029" w:rsidRDefault="004C3029" w:rsidP="001147CF">
            <w:pPr>
              <w:overflowPunct w:val="0"/>
              <w:ind w:left="-57" w:right="-57"/>
              <w:jc w:val="center"/>
              <w:textAlignment w:val="baseline"/>
              <w:rPr>
                <w:sz w:val="20"/>
              </w:rPr>
            </w:pPr>
            <w:r>
              <w:rPr>
                <w:sz w:val="20"/>
              </w:rPr>
              <w:t>2023</w:t>
            </w:r>
          </w:p>
        </w:tc>
        <w:tc>
          <w:tcPr>
            <w:tcW w:w="326" w:type="pct"/>
          </w:tcPr>
          <w:p w14:paraId="01A59127" w14:textId="77777777" w:rsidR="004C3029" w:rsidRDefault="004C3029" w:rsidP="001147CF">
            <w:pPr>
              <w:overflowPunct w:val="0"/>
              <w:spacing w:line="259" w:lineRule="auto"/>
              <w:ind w:left="-57" w:right="-57"/>
              <w:jc w:val="center"/>
              <w:textAlignment w:val="baseline"/>
              <w:rPr>
                <w:sz w:val="20"/>
              </w:rPr>
            </w:pPr>
            <w:r>
              <w:rPr>
                <w:sz w:val="20"/>
              </w:rPr>
              <w:t xml:space="preserve">CPVA </w:t>
            </w:r>
          </w:p>
        </w:tc>
        <w:tc>
          <w:tcPr>
            <w:tcW w:w="308" w:type="pct"/>
          </w:tcPr>
          <w:p w14:paraId="47BE3EF0" w14:textId="77777777" w:rsidR="004C3029" w:rsidRDefault="004C3029" w:rsidP="001147CF">
            <w:pPr>
              <w:overflowPunct w:val="0"/>
              <w:ind w:left="-57" w:right="-57"/>
              <w:jc w:val="center"/>
              <w:textAlignment w:val="baseline"/>
              <w:rPr>
                <w:sz w:val="20"/>
              </w:rPr>
            </w:pPr>
            <w:r>
              <w:rPr>
                <w:sz w:val="20"/>
              </w:rPr>
              <w:t>-</w:t>
            </w:r>
          </w:p>
        </w:tc>
      </w:tr>
      <w:tr w:rsidR="004C3029" w14:paraId="35D1A275" w14:textId="77777777" w:rsidTr="001147CF">
        <w:trPr>
          <w:trHeight w:val="979"/>
        </w:trPr>
        <w:tc>
          <w:tcPr>
            <w:tcW w:w="704" w:type="pct"/>
            <w:vMerge w:val="restart"/>
          </w:tcPr>
          <w:p w14:paraId="4536A1B4" w14:textId="77777777" w:rsidR="004C3029" w:rsidRDefault="004C3029" w:rsidP="001147CF">
            <w:pPr>
              <w:overflowPunct w:val="0"/>
              <w:ind w:left="-57" w:right="-57"/>
              <w:textAlignment w:val="baseline"/>
              <w:rPr>
                <w:sz w:val="20"/>
              </w:rPr>
            </w:pPr>
            <w:r>
              <w:rPr>
                <w:sz w:val="20"/>
              </w:rPr>
              <w:t xml:space="preserve">4.1. Sukurti Lietuvos įtraukties švietime centrą įvairiapusių raidos ir kitų </w:t>
            </w:r>
            <w:r>
              <w:rPr>
                <w:sz w:val="20"/>
              </w:rPr>
              <w:lastRenderedPageBreak/>
              <w:t>sutrikimų turintiems mokiniams, aprūpinant jį reikalinga įranga, baldais, specialiosiomis priemonėmis ir pan. sostinės regione</w:t>
            </w:r>
          </w:p>
        </w:tc>
        <w:tc>
          <w:tcPr>
            <w:tcW w:w="283" w:type="pct"/>
            <w:vMerge w:val="restart"/>
          </w:tcPr>
          <w:p w14:paraId="5BE65C11"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Pr>
          <w:p w14:paraId="2F66E4AC" w14:textId="77777777" w:rsidR="004C3029" w:rsidRDefault="004C3029" w:rsidP="001147CF">
            <w:pPr>
              <w:overflowPunct w:val="0"/>
              <w:ind w:left="-57" w:right="-57"/>
              <w:jc w:val="center"/>
              <w:textAlignment w:val="baseline"/>
              <w:rPr>
                <w:sz w:val="20"/>
              </w:rPr>
            </w:pPr>
            <w:r>
              <w:rPr>
                <w:sz w:val="20"/>
              </w:rPr>
              <w:t>Lietuvos įtraukties švietime centras</w:t>
            </w:r>
          </w:p>
        </w:tc>
        <w:tc>
          <w:tcPr>
            <w:tcW w:w="351" w:type="pct"/>
            <w:vMerge w:val="restart"/>
          </w:tcPr>
          <w:p w14:paraId="195F74ED"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Pr>
          <w:p w14:paraId="7E1564C9"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15C8782C"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46B6DAEB"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6FF94648"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Pr>
          <w:p w14:paraId="490A1AFD" w14:textId="77777777" w:rsidR="004C3029" w:rsidRDefault="004C3029" w:rsidP="001147CF">
            <w:pPr>
              <w:overflowPunct w:val="0"/>
              <w:ind w:left="-57" w:right="-57"/>
              <w:jc w:val="center"/>
              <w:textAlignment w:val="baseline"/>
              <w:rPr>
                <w:sz w:val="20"/>
              </w:rPr>
            </w:pPr>
            <w:r>
              <w:rPr>
                <w:sz w:val="20"/>
              </w:rPr>
              <w:t xml:space="preserve">SR: 1 000 (ES –500, </w:t>
            </w:r>
          </w:p>
          <w:p w14:paraId="23BA25DE" w14:textId="77777777" w:rsidR="004C3029" w:rsidRDefault="004C3029" w:rsidP="001147CF">
            <w:pPr>
              <w:overflowPunct w:val="0"/>
              <w:ind w:left="-57" w:right="-57"/>
              <w:jc w:val="center"/>
              <w:textAlignment w:val="baseline"/>
              <w:rPr>
                <w:sz w:val="20"/>
              </w:rPr>
            </w:pPr>
            <w:r>
              <w:rPr>
                <w:sz w:val="20"/>
              </w:rPr>
              <w:t xml:space="preserve">BF –500) </w:t>
            </w:r>
          </w:p>
        </w:tc>
        <w:tc>
          <w:tcPr>
            <w:tcW w:w="308" w:type="pct"/>
            <w:vMerge w:val="restart"/>
          </w:tcPr>
          <w:p w14:paraId="374B73D7"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64A7CFCD" w14:textId="77777777" w:rsidR="004C3029" w:rsidRDefault="004C3029" w:rsidP="001147CF">
            <w:pPr>
              <w:overflowPunct w:val="0"/>
              <w:ind w:left="-57" w:right="-57"/>
              <w:textAlignment w:val="baseline"/>
              <w:rPr>
                <w:sz w:val="20"/>
              </w:rPr>
            </w:pPr>
            <w:r>
              <w:rPr>
                <w:sz w:val="20"/>
              </w:rPr>
              <w:t>P-12-003-03-02-01-08</w:t>
            </w:r>
            <w:r>
              <w:rPr>
                <w:sz w:val="18"/>
                <w:szCs w:val="18"/>
              </w:rPr>
              <w:t xml:space="preserve"> </w:t>
            </w:r>
            <w:r>
              <w:rPr>
                <w:sz w:val="20"/>
              </w:rPr>
              <w:t xml:space="preserve">Išvystyti regioniniai švietimo pagalbos centrai </w:t>
            </w:r>
          </w:p>
        </w:tc>
        <w:tc>
          <w:tcPr>
            <w:tcW w:w="220" w:type="pct"/>
          </w:tcPr>
          <w:p w14:paraId="14DBDD5E" w14:textId="77777777" w:rsidR="004C3029" w:rsidRDefault="004C3029" w:rsidP="001147CF">
            <w:pPr>
              <w:overflowPunct w:val="0"/>
              <w:ind w:left="-57" w:right="-57"/>
              <w:jc w:val="center"/>
              <w:textAlignment w:val="baseline"/>
              <w:rPr>
                <w:sz w:val="20"/>
              </w:rPr>
            </w:pPr>
            <w:r>
              <w:rPr>
                <w:sz w:val="20"/>
              </w:rPr>
              <w:t>1</w:t>
            </w:r>
          </w:p>
        </w:tc>
        <w:tc>
          <w:tcPr>
            <w:tcW w:w="263" w:type="pct"/>
            <w:vMerge w:val="restart"/>
          </w:tcPr>
          <w:p w14:paraId="51C81638" w14:textId="77777777" w:rsidR="004C3029" w:rsidRDefault="004C3029" w:rsidP="001147CF">
            <w:pPr>
              <w:overflowPunct w:val="0"/>
              <w:ind w:left="-57" w:right="-57"/>
              <w:jc w:val="center"/>
              <w:textAlignment w:val="baseline"/>
              <w:rPr>
                <w:sz w:val="20"/>
              </w:rPr>
            </w:pPr>
            <w:r>
              <w:rPr>
                <w:sz w:val="20"/>
              </w:rPr>
              <w:t>2023</w:t>
            </w:r>
          </w:p>
        </w:tc>
        <w:tc>
          <w:tcPr>
            <w:tcW w:w="326" w:type="pct"/>
            <w:vMerge w:val="restart"/>
          </w:tcPr>
          <w:p w14:paraId="04094F98" w14:textId="77777777" w:rsidR="004C3029" w:rsidRDefault="004C3029" w:rsidP="001147CF">
            <w:pPr>
              <w:overflowPunct w:val="0"/>
              <w:spacing w:line="259" w:lineRule="auto"/>
              <w:ind w:left="-57" w:right="-57"/>
              <w:jc w:val="center"/>
              <w:textAlignment w:val="baseline"/>
              <w:rPr>
                <w:sz w:val="20"/>
              </w:rPr>
            </w:pPr>
            <w:r>
              <w:rPr>
                <w:sz w:val="20"/>
              </w:rPr>
              <w:t xml:space="preserve">CPVA </w:t>
            </w:r>
          </w:p>
        </w:tc>
        <w:tc>
          <w:tcPr>
            <w:tcW w:w="308" w:type="pct"/>
            <w:vMerge w:val="restart"/>
          </w:tcPr>
          <w:p w14:paraId="743F273F" w14:textId="77777777" w:rsidR="004C3029" w:rsidRDefault="004C3029" w:rsidP="001147CF">
            <w:pPr>
              <w:overflowPunct w:val="0"/>
              <w:ind w:left="-57" w:right="-57"/>
              <w:jc w:val="center"/>
              <w:textAlignment w:val="baseline"/>
              <w:rPr>
                <w:sz w:val="20"/>
              </w:rPr>
            </w:pPr>
            <w:r>
              <w:rPr>
                <w:sz w:val="20"/>
              </w:rPr>
              <w:t>-</w:t>
            </w:r>
          </w:p>
        </w:tc>
      </w:tr>
      <w:tr w:rsidR="004C3029" w14:paraId="4ABD36CA" w14:textId="77777777" w:rsidTr="001147CF">
        <w:trPr>
          <w:trHeight w:val="966"/>
        </w:trPr>
        <w:tc>
          <w:tcPr>
            <w:tcW w:w="704" w:type="pct"/>
            <w:vMerge/>
          </w:tcPr>
          <w:p w14:paraId="46524509" w14:textId="77777777" w:rsidR="004C3029" w:rsidRDefault="004C3029" w:rsidP="001147CF">
            <w:pPr>
              <w:overflowPunct w:val="0"/>
              <w:ind w:left="-57" w:right="-57"/>
              <w:textAlignment w:val="baseline"/>
              <w:rPr>
                <w:sz w:val="20"/>
              </w:rPr>
            </w:pPr>
          </w:p>
        </w:tc>
        <w:tc>
          <w:tcPr>
            <w:tcW w:w="283" w:type="pct"/>
            <w:vMerge/>
          </w:tcPr>
          <w:p w14:paraId="5D2F3EA3" w14:textId="77777777" w:rsidR="004C3029" w:rsidRDefault="004C3029" w:rsidP="001147CF">
            <w:pPr>
              <w:overflowPunct w:val="0"/>
              <w:ind w:left="-57" w:right="-57"/>
              <w:jc w:val="center"/>
              <w:textAlignment w:val="baseline"/>
              <w:rPr>
                <w:sz w:val="20"/>
              </w:rPr>
            </w:pPr>
          </w:p>
        </w:tc>
        <w:tc>
          <w:tcPr>
            <w:tcW w:w="282" w:type="pct"/>
            <w:vMerge/>
          </w:tcPr>
          <w:p w14:paraId="7882E148" w14:textId="77777777" w:rsidR="004C3029" w:rsidRDefault="004C3029" w:rsidP="001147CF">
            <w:pPr>
              <w:overflowPunct w:val="0"/>
              <w:ind w:left="-57" w:right="-57"/>
              <w:jc w:val="center"/>
              <w:textAlignment w:val="baseline"/>
              <w:rPr>
                <w:sz w:val="20"/>
              </w:rPr>
            </w:pPr>
          </w:p>
        </w:tc>
        <w:tc>
          <w:tcPr>
            <w:tcW w:w="351" w:type="pct"/>
            <w:vMerge/>
          </w:tcPr>
          <w:p w14:paraId="500980D7" w14:textId="77777777" w:rsidR="004C3029" w:rsidRDefault="004C3029" w:rsidP="001147CF">
            <w:pPr>
              <w:overflowPunct w:val="0"/>
              <w:ind w:left="-57" w:right="-57"/>
              <w:jc w:val="center"/>
              <w:textAlignment w:val="baseline"/>
              <w:rPr>
                <w:sz w:val="20"/>
              </w:rPr>
            </w:pPr>
          </w:p>
        </w:tc>
        <w:tc>
          <w:tcPr>
            <w:tcW w:w="333" w:type="pct"/>
            <w:vMerge/>
          </w:tcPr>
          <w:p w14:paraId="17A09159" w14:textId="77777777" w:rsidR="004C3029" w:rsidRDefault="004C3029" w:rsidP="001147CF">
            <w:pPr>
              <w:overflowPunct w:val="0"/>
              <w:ind w:left="-57" w:right="-57"/>
              <w:jc w:val="center"/>
              <w:textAlignment w:val="baseline"/>
              <w:rPr>
                <w:sz w:val="20"/>
              </w:rPr>
            </w:pPr>
          </w:p>
        </w:tc>
        <w:tc>
          <w:tcPr>
            <w:tcW w:w="308" w:type="pct"/>
            <w:vMerge/>
          </w:tcPr>
          <w:p w14:paraId="05F4C3A0" w14:textId="77777777" w:rsidR="004C3029" w:rsidRDefault="004C3029" w:rsidP="001147CF">
            <w:pPr>
              <w:overflowPunct w:val="0"/>
              <w:ind w:left="-57" w:right="-57"/>
              <w:jc w:val="center"/>
              <w:textAlignment w:val="baseline"/>
              <w:rPr>
                <w:sz w:val="20"/>
              </w:rPr>
            </w:pPr>
          </w:p>
        </w:tc>
        <w:tc>
          <w:tcPr>
            <w:tcW w:w="262" w:type="pct"/>
            <w:vMerge/>
          </w:tcPr>
          <w:p w14:paraId="1A017EC2" w14:textId="77777777" w:rsidR="004C3029" w:rsidRDefault="004C3029" w:rsidP="001147CF">
            <w:pPr>
              <w:overflowPunct w:val="0"/>
              <w:ind w:left="-57" w:right="-57"/>
              <w:jc w:val="center"/>
              <w:textAlignment w:val="baseline"/>
              <w:rPr>
                <w:sz w:val="20"/>
              </w:rPr>
            </w:pPr>
          </w:p>
        </w:tc>
        <w:tc>
          <w:tcPr>
            <w:tcW w:w="308" w:type="pct"/>
            <w:vMerge/>
          </w:tcPr>
          <w:p w14:paraId="4668A3B4" w14:textId="77777777" w:rsidR="004C3029" w:rsidRDefault="004C3029" w:rsidP="001147CF">
            <w:pPr>
              <w:overflowPunct w:val="0"/>
              <w:ind w:left="-57" w:right="-57"/>
              <w:jc w:val="center"/>
              <w:textAlignment w:val="baseline"/>
              <w:rPr>
                <w:sz w:val="20"/>
              </w:rPr>
            </w:pPr>
          </w:p>
        </w:tc>
        <w:tc>
          <w:tcPr>
            <w:tcW w:w="307" w:type="pct"/>
            <w:vMerge/>
          </w:tcPr>
          <w:p w14:paraId="375D1851" w14:textId="77777777" w:rsidR="004C3029" w:rsidRDefault="004C3029" w:rsidP="001147CF">
            <w:pPr>
              <w:overflowPunct w:val="0"/>
              <w:ind w:left="-57" w:right="-57"/>
              <w:jc w:val="center"/>
              <w:textAlignment w:val="baseline"/>
              <w:rPr>
                <w:sz w:val="20"/>
              </w:rPr>
            </w:pPr>
          </w:p>
        </w:tc>
        <w:tc>
          <w:tcPr>
            <w:tcW w:w="308" w:type="pct"/>
            <w:vMerge/>
          </w:tcPr>
          <w:p w14:paraId="097AB2CC" w14:textId="77777777" w:rsidR="004C3029" w:rsidRDefault="004C3029" w:rsidP="001147CF">
            <w:pPr>
              <w:overflowPunct w:val="0"/>
              <w:ind w:left="-57" w:right="-57"/>
              <w:jc w:val="center"/>
              <w:textAlignment w:val="baseline"/>
              <w:rPr>
                <w:sz w:val="20"/>
              </w:rPr>
            </w:pPr>
          </w:p>
        </w:tc>
        <w:tc>
          <w:tcPr>
            <w:tcW w:w="437" w:type="pct"/>
          </w:tcPr>
          <w:p w14:paraId="4329E7A5" w14:textId="77777777" w:rsidR="004C3029" w:rsidRDefault="004C3029" w:rsidP="001147CF">
            <w:pPr>
              <w:overflowPunct w:val="0"/>
              <w:ind w:left="-57" w:right="-57"/>
              <w:textAlignment w:val="baseline"/>
              <w:rPr>
                <w:sz w:val="20"/>
              </w:rPr>
            </w:pPr>
            <w:r>
              <w:rPr>
                <w:sz w:val="20"/>
              </w:rPr>
              <w:t>R – Naujos arba modernizuotos švietimo infrastruktūros naudotojų skaičius per metus</w:t>
            </w:r>
          </w:p>
        </w:tc>
        <w:tc>
          <w:tcPr>
            <w:tcW w:w="220" w:type="pct"/>
          </w:tcPr>
          <w:p w14:paraId="39A86CE0" w14:textId="77777777" w:rsidR="004C3029" w:rsidRDefault="004C3029" w:rsidP="001147CF">
            <w:pPr>
              <w:overflowPunct w:val="0"/>
              <w:ind w:left="-57" w:right="-57"/>
              <w:jc w:val="center"/>
              <w:textAlignment w:val="baseline"/>
              <w:rPr>
                <w:sz w:val="20"/>
              </w:rPr>
            </w:pPr>
            <w:r>
              <w:rPr>
                <w:sz w:val="20"/>
              </w:rPr>
              <w:t>50</w:t>
            </w:r>
          </w:p>
        </w:tc>
        <w:tc>
          <w:tcPr>
            <w:tcW w:w="263" w:type="pct"/>
            <w:vMerge/>
          </w:tcPr>
          <w:p w14:paraId="0D658F3E" w14:textId="77777777" w:rsidR="004C3029" w:rsidRDefault="004C3029" w:rsidP="001147CF">
            <w:pPr>
              <w:overflowPunct w:val="0"/>
              <w:ind w:left="-57" w:right="-57"/>
              <w:jc w:val="center"/>
              <w:textAlignment w:val="baseline"/>
              <w:rPr>
                <w:sz w:val="20"/>
              </w:rPr>
            </w:pPr>
          </w:p>
        </w:tc>
        <w:tc>
          <w:tcPr>
            <w:tcW w:w="326" w:type="pct"/>
            <w:vMerge/>
          </w:tcPr>
          <w:p w14:paraId="0C34E40A" w14:textId="77777777" w:rsidR="004C3029" w:rsidRDefault="004C3029" w:rsidP="001147CF">
            <w:pPr>
              <w:overflowPunct w:val="0"/>
              <w:spacing w:line="259" w:lineRule="auto"/>
              <w:ind w:left="-57" w:right="-57"/>
              <w:jc w:val="center"/>
              <w:textAlignment w:val="baseline"/>
              <w:rPr>
                <w:sz w:val="20"/>
              </w:rPr>
            </w:pPr>
          </w:p>
        </w:tc>
        <w:tc>
          <w:tcPr>
            <w:tcW w:w="308" w:type="pct"/>
            <w:vMerge/>
          </w:tcPr>
          <w:p w14:paraId="641D150B" w14:textId="77777777" w:rsidR="004C3029" w:rsidRDefault="004C3029" w:rsidP="001147CF">
            <w:pPr>
              <w:overflowPunct w:val="0"/>
              <w:ind w:left="-57" w:right="-57"/>
              <w:jc w:val="center"/>
              <w:textAlignment w:val="baseline"/>
              <w:rPr>
                <w:sz w:val="20"/>
              </w:rPr>
            </w:pPr>
          </w:p>
        </w:tc>
      </w:tr>
      <w:tr w:rsidR="004C3029" w14:paraId="47D91756" w14:textId="77777777" w:rsidTr="001147CF">
        <w:trPr>
          <w:trHeight w:val="869"/>
        </w:trPr>
        <w:tc>
          <w:tcPr>
            <w:tcW w:w="704" w:type="pct"/>
            <w:vMerge w:val="restart"/>
          </w:tcPr>
          <w:p w14:paraId="57EBBD85" w14:textId="77777777" w:rsidR="004C3029" w:rsidRDefault="004C3029" w:rsidP="001147CF">
            <w:pPr>
              <w:overflowPunct w:val="0"/>
              <w:ind w:left="-57" w:right="-57"/>
              <w:textAlignment w:val="baseline"/>
              <w:rPr>
                <w:sz w:val="20"/>
              </w:rPr>
            </w:pPr>
            <w:r>
              <w:rPr>
                <w:sz w:val="20"/>
              </w:rPr>
              <w:t>4.2. Sukurti Lietuvos įtraukties švietime centrą įvairiapusių raidos ir kitų sutrikimų turintiems mokiniams, aprūpinant jį reikalinga įranga, baldais, specialiosiomis priemonėmis ir pan.</w:t>
            </w:r>
          </w:p>
        </w:tc>
        <w:tc>
          <w:tcPr>
            <w:tcW w:w="283" w:type="pct"/>
            <w:vMerge w:val="restart"/>
          </w:tcPr>
          <w:p w14:paraId="09D284DD" w14:textId="77777777" w:rsidR="004C3029" w:rsidRDefault="004C3029" w:rsidP="001147CF">
            <w:pPr>
              <w:overflowPunct w:val="0"/>
              <w:ind w:left="-57" w:right="-57"/>
              <w:jc w:val="center"/>
              <w:textAlignment w:val="baseline"/>
              <w:rPr>
                <w:sz w:val="20"/>
              </w:rPr>
            </w:pPr>
          </w:p>
        </w:tc>
        <w:tc>
          <w:tcPr>
            <w:tcW w:w="282" w:type="pct"/>
            <w:vMerge w:val="restart"/>
          </w:tcPr>
          <w:p w14:paraId="6C3FDB30" w14:textId="77777777" w:rsidR="004C3029" w:rsidRDefault="004C3029" w:rsidP="001147CF">
            <w:pPr>
              <w:overflowPunct w:val="0"/>
              <w:ind w:left="-57" w:right="-57"/>
              <w:jc w:val="center"/>
              <w:textAlignment w:val="baseline"/>
              <w:rPr>
                <w:sz w:val="20"/>
              </w:rPr>
            </w:pPr>
          </w:p>
        </w:tc>
        <w:tc>
          <w:tcPr>
            <w:tcW w:w="351" w:type="pct"/>
            <w:vMerge w:val="restart"/>
          </w:tcPr>
          <w:p w14:paraId="68C8B686" w14:textId="77777777" w:rsidR="004C3029" w:rsidRDefault="004C3029" w:rsidP="001147CF">
            <w:pPr>
              <w:overflowPunct w:val="0"/>
              <w:ind w:left="-57" w:right="-57"/>
              <w:jc w:val="center"/>
              <w:textAlignment w:val="baseline"/>
              <w:rPr>
                <w:sz w:val="20"/>
              </w:rPr>
            </w:pPr>
          </w:p>
        </w:tc>
        <w:tc>
          <w:tcPr>
            <w:tcW w:w="333" w:type="pct"/>
            <w:vMerge w:val="restart"/>
          </w:tcPr>
          <w:p w14:paraId="770F16B5" w14:textId="77777777" w:rsidR="004C3029" w:rsidRDefault="004C3029" w:rsidP="001147CF">
            <w:pPr>
              <w:overflowPunct w:val="0"/>
              <w:ind w:left="-57" w:right="-57"/>
              <w:jc w:val="center"/>
              <w:textAlignment w:val="baseline"/>
              <w:rPr>
                <w:sz w:val="20"/>
              </w:rPr>
            </w:pPr>
          </w:p>
        </w:tc>
        <w:tc>
          <w:tcPr>
            <w:tcW w:w="308" w:type="pct"/>
            <w:vMerge w:val="restart"/>
          </w:tcPr>
          <w:p w14:paraId="18E70A67" w14:textId="77777777" w:rsidR="004C3029" w:rsidRDefault="004C3029" w:rsidP="001147CF">
            <w:pPr>
              <w:overflowPunct w:val="0"/>
              <w:ind w:left="-57" w:right="-57"/>
              <w:jc w:val="center"/>
              <w:textAlignment w:val="baseline"/>
              <w:rPr>
                <w:sz w:val="20"/>
              </w:rPr>
            </w:pPr>
          </w:p>
        </w:tc>
        <w:tc>
          <w:tcPr>
            <w:tcW w:w="262" w:type="pct"/>
            <w:vMerge w:val="restart"/>
          </w:tcPr>
          <w:p w14:paraId="7286D394" w14:textId="77777777" w:rsidR="004C3029" w:rsidRDefault="004C3029" w:rsidP="001147CF">
            <w:pPr>
              <w:overflowPunct w:val="0"/>
              <w:ind w:left="-57" w:right="-57"/>
              <w:jc w:val="center"/>
              <w:textAlignment w:val="baseline"/>
              <w:rPr>
                <w:sz w:val="20"/>
              </w:rPr>
            </w:pPr>
          </w:p>
        </w:tc>
        <w:tc>
          <w:tcPr>
            <w:tcW w:w="308" w:type="pct"/>
            <w:vMerge w:val="restart"/>
          </w:tcPr>
          <w:p w14:paraId="396FBD84" w14:textId="77777777" w:rsidR="004C3029" w:rsidRDefault="004C3029" w:rsidP="001147CF">
            <w:pPr>
              <w:overflowPunct w:val="0"/>
              <w:ind w:left="-57" w:right="-57"/>
              <w:jc w:val="center"/>
              <w:textAlignment w:val="baseline"/>
              <w:rPr>
                <w:sz w:val="20"/>
              </w:rPr>
            </w:pPr>
          </w:p>
        </w:tc>
        <w:tc>
          <w:tcPr>
            <w:tcW w:w="307" w:type="pct"/>
            <w:vMerge w:val="restart"/>
          </w:tcPr>
          <w:p w14:paraId="0EC64866" w14:textId="77777777" w:rsidR="004C3029" w:rsidRDefault="004C3029" w:rsidP="001147CF">
            <w:pPr>
              <w:overflowPunct w:val="0"/>
              <w:ind w:left="-57" w:right="-57"/>
              <w:jc w:val="center"/>
              <w:textAlignment w:val="baseline"/>
              <w:rPr>
                <w:sz w:val="20"/>
              </w:rPr>
            </w:pPr>
            <w:r>
              <w:rPr>
                <w:sz w:val="20"/>
              </w:rPr>
              <w:t>VVL: 6 000 (ES –5 100, BF –900)</w:t>
            </w:r>
          </w:p>
        </w:tc>
        <w:tc>
          <w:tcPr>
            <w:tcW w:w="308" w:type="pct"/>
            <w:vMerge w:val="restart"/>
          </w:tcPr>
          <w:p w14:paraId="67D4238E" w14:textId="77777777" w:rsidR="004C3029" w:rsidRDefault="004C3029" w:rsidP="001147CF">
            <w:pPr>
              <w:overflowPunct w:val="0"/>
              <w:ind w:left="-57" w:right="-57"/>
              <w:jc w:val="center"/>
              <w:textAlignment w:val="baseline"/>
              <w:rPr>
                <w:sz w:val="20"/>
              </w:rPr>
            </w:pPr>
            <w:r>
              <w:rPr>
                <w:sz w:val="20"/>
              </w:rPr>
              <w:t>2021-2027 IP</w:t>
            </w:r>
          </w:p>
        </w:tc>
        <w:tc>
          <w:tcPr>
            <w:tcW w:w="437" w:type="pct"/>
          </w:tcPr>
          <w:p w14:paraId="5064E8C2" w14:textId="77777777" w:rsidR="004C3029" w:rsidRDefault="004C3029" w:rsidP="001147CF">
            <w:pPr>
              <w:overflowPunct w:val="0"/>
              <w:ind w:left="-57" w:right="-57"/>
              <w:textAlignment w:val="baseline"/>
              <w:rPr>
                <w:sz w:val="20"/>
              </w:rPr>
            </w:pPr>
            <w:r>
              <w:rPr>
                <w:sz w:val="20"/>
              </w:rPr>
              <w:t>P-12-003-03-02-01-08</w:t>
            </w:r>
            <w:r>
              <w:rPr>
                <w:sz w:val="18"/>
                <w:szCs w:val="18"/>
              </w:rPr>
              <w:t xml:space="preserve"> </w:t>
            </w:r>
            <w:r>
              <w:rPr>
                <w:sz w:val="20"/>
              </w:rPr>
              <w:t>Išvystyti regioniniai švietimo pagalbos centrai</w:t>
            </w:r>
          </w:p>
        </w:tc>
        <w:tc>
          <w:tcPr>
            <w:tcW w:w="220" w:type="pct"/>
          </w:tcPr>
          <w:p w14:paraId="4A424313" w14:textId="77777777" w:rsidR="004C3029" w:rsidRDefault="004C3029" w:rsidP="001147CF">
            <w:pPr>
              <w:overflowPunct w:val="0"/>
              <w:ind w:left="-57" w:right="-57"/>
              <w:jc w:val="center"/>
              <w:textAlignment w:val="baseline"/>
              <w:rPr>
                <w:sz w:val="20"/>
              </w:rPr>
            </w:pPr>
            <w:r>
              <w:rPr>
                <w:sz w:val="20"/>
              </w:rPr>
              <w:t>1*</w:t>
            </w:r>
          </w:p>
        </w:tc>
        <w:tc>
          <w:tcPr>
            <w:tcW w:w="263" w:type="pct"/>
            <w:vMerge w:val="restart"/>
          </w:tcPr>
          <w:p w14:paraId="6B141F9E" w14:textId="77777777" w:rsidR="004C3029" w:rsidRDefault="004C3029" w:rsidP="001147CF">
            <w:pPr>
              <w:overflowPunct w:val="0"/>
              <w:ind w:left="-57" w:right="-57"/>
              <w:jc w:val="center"/>
              <w:textAlignment w:val="baseline"/>
              <w:rPr>
                <w:sz w:val="20"/>
              </w:rPr>
            </w:pPr>
            <w:r>
              <w:rPr>
                <w:sz w:val="20"/>
              </w:rPr>
              <w:t>2023</w:t>
            </w:r>
          </w:p>
        </w:tc>
        <w:tc>
          <w:tcPr>
            <w:tcW w:w="326" w:type="pct"/>
            <w:vMerge w:val="restart"/>
          </w:tcPr>
          <w:p w14:paraId="7E0DE9EE"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76D44146" w14:textId="77777777" w:rsidR="004C3029" w:rsidRDefault="004C3029" w:rsidP="001147CF">
            <w:pPr>
              <w:overflowPunct w:val="0"/>
              <w:ind w:left="-57" w:right="-57"/>
              <w:jc w:val="center"/>
              <w:textAlignment w:val="baseline"/>
              <w:rPr>
                <w:sz w:val="20"/>
              </w:rPr>
            </w:pPr>
            <w:r>
              <w:rPr>
                <w:sz w:val="20"/>
              </w:rPr>
              <w:t>-</w:t>
            </w:r>
          </w:p>
        </w:tc>
      </w:tr>
      <w:tr w:rsidR="004C3029" w14:paraId="337F61C1" w14:textId="77777777" w:rsidTr="001147CF">
        <w:trPr>
          <w:trHeight w:val="1212"/>
        </w:trPr>
        <w:tc>
          <w:tcPr>
            <w:tcW w:w="704" w:type="pct"/>
            <w:vMerge/>
          </w:tcPr>
          <w:p w14:paraId="6E611049" w14:textId="77777777" w:rsidR="004C3029" w:rsidRDefault="004C3029" w:rsidP="001147CF">
            <w:pPr>
              <w:overflowPunct w:val="0"/>
              <w:ind w:left="-57" w:right="-57"/>
              <w:textAlignment w:val="baseline"/>
              <w:rPr>
                <w:sz w:val="20"/>
              </w:rPr>
            </w:pPr>
          </w:p>
        </w:tc>
        <w:tc>
          <w:tcPr>
            <w:tcW w:w="283" w:type="pct"/>
            <w:vMerge/>
          </w:tcPr>
          <w:p w14:paraId="1CBABCC1" w14:textId="77777777" w:rsidR="004C3029" w:rsidRDefault="004C3029" w:rsidP="001147CF">
            <w:pPr>
              <w:overflowPunct w:val="0"/>
              <w:ind w:left="-57" w:right="-57"/>
              <w:jc w:val="center"/>
              <w:textAlignment w:val="baseline"/>
              <w:rPr>
                <w:sz w:val="20"/>
              </w:rPr>
            </w:pPr>
          </w:p>
        </w:tc>
        <w:tc>
          <w:tcPr>
            <w:tcW w:w="282" w:type="pct"/>
            <w:vMerge/>
          </w:tcPr>
          <w:p w14:paraId="42E7F1E2" w14:textId="77777777" w:rsidR="004C3029" w:rsidRDefault="004C3029" w:rsidP="001147CF">
            <w:pPr>
              <w:overflowPunct w:val="0"/>
              <w:ind w:left="-57" w:right="-57"/>
              <w:jc w:val="center"/>
              <w:textAlignment w:val="baseline"/>
              <w:rPr>
                <w:sz w:val="20"/>
              </w:rPr>
            </w:pPr>
          </w:p>
        </w:tc>
        <w:tc>
          <w:tcPr>
            <w:tcW w:w="351" w:type="pct"/>
            <w:vMerge/>
          </w:tcPr>
          <w:p w14:paraId="573746AA" w14:textId="77777777" w:rsidR="004C3029" w:rsidRDefault="004C3029" w:rsidP="001147CF">
            <w:pPr>
              <w:overflowPunct w:val="0"/>
              <w:ind w:left="-57" w:right="-57"/>
              <w:jc w:val="center"/>
              <w:textAlignment w:val="baseline"/>
              <w:rPr>
                <w:sz w:val="20"/>
              </w:rPr>
            </w:pPr>
          </w:p>
        </w:tc>
        <w:tc>
          <w:tcPr>
            <w:tcW w:w="333" w:type="pct"/>
            <w:vMerge/>
          </w:tcPr>
          <w:p w14:paraId="7E9EC03F" w14:textId="77777777" w:rsidR="004C3029" w:rsidRDefault="004C3029" w:rsidP="001147CF">
            <w:pPr>
              <w:overflowPunct w:val="0"/>
              <w:ind w:left="-57" w:right="-57"/>
              <w:jc w:val="center"/>
              <w:textAlignment w:val="baseline"/>
              <w:rPr>
                <w:sz w:val="20"/>
              </w:rPr>
            </w:pPr>
          </w:p>
        </w:tc>
        <w:tc>
          <w:tcPr>
            <w:tcW w:w="308" w:type="pct"/>
            <w:vMerge/>
          </w:tcPr>
          <w:p w14:paraId="2B421E95" w14:textId="77777777" w:rsidR="004C3029" w:rsidRDefault="004C3029" w:rsidP="001147CF">
            <w:pPr>
              <w:overflowPunct w:val="0"/>
              <w:ind w:left="-57" w:right="-57"/>
              <w:jc w:val="center"/>
              <w:textAlignment w:val="baseline"/>
              <w:rPr>
                <w:sz w:val="20"/>
              </w:rPr>
            </w:pPr>
          </w:p>
        </w:tc>
        <w:tc>
          <w:tcPr>
            <w:tcW w:w="262" w:type="pct"/>
            <w:vMerge/>
          </w:tcPr>
          <w:p w14:paraId="229C10F9" w14:textId="77777777" w:rsidR="004C3029" w:rsidRDefault="004C3029" w:rsidP="001147CF">
            <w:pPr>
              <w:overflowPunct w:val="0"/>
              <w:ind w:left="-57" w:right="-57"/>
              <w:jc w:val="center"/>
              <w:textAlignment w:val="baseline"/>
              <w:rPr>
                <w:sz w:val="20"/>
              </w:rPr>
            </w:pPr>
          </w:p>
        </w:tc>
        <w:tc>
          <w:tcPr>
            <w:tcW w:w="308" w:type="pct"/>
            <w:vMerge/>
          </w:tcPr>
          <w:p w14:paraId="5843E7F0" w14:textId="77777777" w:rsidR="004C3029" w:rsidRDefault="004C3029" w:rsidP="001147CF">
            <w:pPr>
              <w:overflowPunct w:val="0"/>
              <w:ind w:left="-57" w:right="-57"/>
              <w:jc w:val="center"/>
              <w:textAlignment w:val="baseline"/>
              <w:rPr>
                <w:sz w:val="20"/>
              </w:rPr>
            </w:pPr>
          </w:p>
        </w:tc>
        <w:tc>
          <w:tcPr>
            <w:tcW w:w="307" w:type="pct"/>
            <w:vMerge/>
          </w:tcPr>
          <w:p w14:paraId="4025C6F7" w14:textId="77777777" w:rsidR="004C3029" w:rsidRDefault="004C3029" w:rsidP="001147CF">
            <w:pPr>
              <w:overflowPunct w:val="0"/>
              <w:ind w:left="-57" w:right="-57"/>
              <w:jc w:val="center"/>
              <w:textAlignment w:val="baseline"/>
              <w:rPr>
                <w:sz w:val="20"/>
              </w:rPr>
            </w:pPr>
          </w:p>
        </w:tc>
        <w:tc>
          <w:tcPr>
            <w:tcW w:w="308" w:type="pct"/>
            <w:vMerge/>
          </w:tcPr>
          <w:p w14:paraId="044ED756" w14:textId="77777777" w:rsidR="004C3029" w:rsidRDefault="004C3029" w:rsidP="001147CF">
            <w:pPr>
              <w:overflowPunct w:val="0"/>
              <w:ind w:left="-57" w:right="-57"/>
              <w:jc w:val="center"/>
              <w:textAlignment w:val="baseline"/>
              <w:rPr>
                <w:sz w:val="20"/>
              </w:rPr>
            </w:pPr>
          </w:p>
        </w:tc>
        <w:tc>
          <w:tcPr>
            <w:tcW w:w="437" w:type="pct"/>
          </w:tcPr>
          <w:p w14:paraId="5FA7BD68" w14:textId="77777777" w:rsidR="004C3029" w:rsidRDefault="004C3029" w:rsidP="001147CF">
            <w:pPr>
              <w:overflowPunct w:val="0"/>
              <w:ind w:left="-57" w:right="-57"/>
              <w:textAlignment w:val="baseline"/>
              <w:rPr>
                <w:sz w:val="20"/>
              </w:rPr>
            </w:pPr>
            <w:r>
              <w:rPr>
                <w:sz w:val="20"/>
              </w:rPr>
              <w:t>R – Naujos arba modernizuotos švietimo infrastruktūros naudotojų skaičius per metus</w:t>
            </w:r>
          </w:p>
        </w:tc>
        <w:tc>
          <w:tcPr>
            <w:tcW w:w="220" w:type="pct"/>
          </w:tcPr>
          <w:p w14:paraId="411A1D57" w14:textId="77777777" w:rsidR="004C3029" w:rsidRDefault="004C3029" w:rsidP="001147CF">
            <w:pPr>
              <w:overflowPunct w:val="0"/>
              <w:ind w:left="-57" w:right="-57"/>
              <w:jc w:val="center"/>
              <w:textAlignment w:val="baseline"/>
              <w:rPr>
                <w:sz w:val="20"/>
              </w:rPr>
            </w:pPr>
            <w:r>
              <w:rPr>
                <w:sz w:val="20"/>
              </w:rPr>
              <w:t>100</w:t>
            </w:r>
          </w:p>
        </w:tc>
        <w:tc>
          <w:tcPr>
            <w:tcW w:w="263" w:type="pct"/>
            <w:vMerge/>
          </w:tcPr>
          <w:p w14:paraId="21E4754A" w14:textId="77777777" w:rsidR="004C3029" w:rsidRDefault="004C3029" w:rsidP="001147CF">
            <w:pPr>
              <w:overflowPunct w:val="0"/>
              <w:ind w:left="-57" w:right="-57"/>
              <w:jc w:val="center"/>
              <w:textAlignment w:val="baseline"/>
              <w:rPr>
                <w:sz w:val="20"/>
              </w:rPr>
            </w:pPr>
          </w:p>
        </w:tc>
        <w:tc>
          <w:tcPr>
            <w:tcW w:w="326" w:type="pct"/>
            <w:vMerge/>
          </w:tcPr>
          <w:p w14:paraId="547453D3" w14:textId="77777777" w:rsidR="004C3029" w:rsidRDefault="004C3029" w:rsidP="001147CF">
            <w:pPr>
              <w:overflowPunct w:val="0"/>
              <w:ind w:left="-57" w:right="-57"/>
              <w:jc w:val="center"/>
              <w:textAlignment w:val="baseline"/>
              <w:rPr>
                <w:sz w:val="20"/>
              </w:rPr>
            </w:pPr>
          </w:p>
        </w:tc>
        <w:tc>
          <w:tcPr>
            <w:tcW w:w="308" w:type="pct"/>
            <w:vMerge/>
          </w:tcPr>
          <w:p w14:paraId="0DC0AB7C" w14:textId="77777777" w:rsidR="004C3029" w:rsidRDefault="004C3029" w:rsidP="001147CF">
            <w:pPr>
              <w:overflowPunct w:val="0"/>
              <w:ind w:left="-57" w:right="-57"/>
              <w:jc w:val="center"/>
              <w:textAlignment w:val="baseline"/>
              <w:rPr>
                <w:sz w:val="20"/>
              </w:rPr>
            </w:pPr>
          </w:p>
        </w:tc>
      </w:tr>
      <w:tr w:rsidR="004C3029" w14:paraId="4F32DC0A" w14:textId="77777777" w:rsidTr="001147CF">
        <w:trPr>
          <w:trHeight w:val="420"/>
        </w:trPr>
        <w:tc>
          <w:tcPr>
            <w:tcW w:w="704" w:type="pct"/>
            <w:vMerge w:val="restart"/>
            <w:tcBorders>
              <w:top w:val="single" w:sz="4" w:space="0" w:color="auto"/>
              <w:left w:val="single" w:sz="4" w:space="0" w:color="auto"/>
              <w:right w:val="single" w:sz="4" w:space="0" w:color="auto"/>
            </w:tcBorders>
          </w:tcPr>
          <w:p w14:paraId="38D5FB4F" w14:textId="77777777" w:rsidR="004C3029" w:rsidRDefault="004C3029" w:rsidP="001147CF">
            <w:pPr>
              <w:overflowPunct w:val="0"/>
              <w:ind w:left="-57" w:right="-57"/>
              <w:textAlignment w:val="baseline"/>
              <w:rPr>
                <w:sz w:val="20"/>
              </w:rPr>
            </w:pPr>
            <w:r>
              <w:rPr>
                <w:sz w:val="20"/>
              </w:rPr>
              <w:t xml:space="preserve">4.3. Modernizuoti regioninius specialiojo ugdymo centrus, pritaikant juos teikti stacionarią ir mobilią metodinę, konsultacinę pagalbą </w:t>
            </w:r>
            <w:r>
              <w:rPr>
                <w:sz w:val="20"/>
              </w:rPr>
              <w:lastRenderedPageBreak/>
              <w:t>sostinės regione</w:t>
            </w:r>
          </w:p>
        </w:tc>
        <w:tc>
          <w:tcPr>
            <w:tcW w:w="283" w:type="pct"/>
            <w:vMerge w:val="restart"/>
            <w:tcBorders>
              <w:top w:val="single" w:sz="4" w:space="0" w:color="auto"/>
              <w:left w:val="single" w:sz="4" w:space="0" w:color="auto"/>
              <w:right w:val="single" w:sz="4" w:space="0" w:color="auto"/>
            </w:tcBorders>
          </w:tcPr>
          <w:p w14:paraId="0416E982"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Borders>
              <w:top w:val="single" w:sz="4" w:space="0" w:color="auto"/>
              <w:left w:val="single" w:sz="4" w:space="0" w:color="auto"/>
              <w:right w:val="single" w:sz="4" w:space="0" w:color="auto"/>
            </w:tcBorders>
          </w:tcPr>
          <w:p w14:paraId="7E08D19A" w14:textId="77777777" w:rsidR="004C3029" w:rsidRDefault="004C3029" w:rsidP="001147CF">
            <w:pPr>
              <w:overflowPunct w:val="0"/>
              <w:ind w:left="-57" w:right="-57"/>
              <w:jc w:val="center"/>
              <w:textAlignment w:val="baseline"/>
              <w:rPr>
                <w:sz w:val="20"/>
              </w:rPr>
            </w:pPr>
            <w:r>
              <w:rPr>
                <w:sz w:val="20"/>
              </w:rPr>
              <w:t>Regioniniai specialiojo ugdymo centrai</w:t>
            </w:r>
          </w:p>
        </w:tc>
        <w:tc>
          <w:tcPr>
            <w:tcW w:w="351" w:type="pct"/>
            <w:vMerge w:val="restart"/>
            <w:tcBorders>
              <w:top w:val="single" w:sz="4" w:space="0" w:color="auto"/>
              <w:left w:val="single" w:sz="4" w:space="0" w:color="auto"/>
              <w:right w:val="single" w:sz="4" w:space="0" w:color="auto"/>
            </w:tcBorders>
          </w:tcPr>
          <w:p w14:paraId="335DF5AF" w14:textId="77777777" w:rsidR="004C3029" w:rsidRDefault="004C3029" w:rsidP="001147CF">
            <w:pPr>
              <w:overflowPunct w:val="0"/>
              <w:ind w:left="-57" w:right="-57"/>
              <w:jc w:val="center"/>
              <w:textAlignment w:val="baseline"/>
              <w:rPr>
                <w:sz w:val="20"/>
              </w:rPr>
            </w:pPr>
            <w:r>
              <w:rPr>
                <w:sz w:val="20"/>
              </w:rPr>
              <w:t>P</w:t>
            </w:r>
          </w:p>
        </w:tc>
        <w:tc>
          <w:tcPr>
            <w:tcW w:w="333" w:type="pct"/>
            <w:vMerge w:val="restart"/>
            <w:tcBorders>
              <w:top w:val="single" w:sz="4" w:space="0" w:color="auto"/>
              <w:left w:val="single" w:sz="4" w:space="0" w:color="auto"/>
              <w:right w:val="single" w:sz="4" w:space="0" w:color="auto"/>
            </w:tcBorders>
          </w:tcPr>
          <w:p w14:paraId="36A7146A"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Borders>
              <w:top w:val="single" w:sz="4" w:space="0" w:color="auto"/>
              <w:left w:val="single" w:sz="4" w:space="0" w:color="auto"/>
              <w:right w:val="single" w:sz="4" w:space="0" w:color="auto"/>
            </w:tcBorders>
          </w:tcPr>
          <w:p w14:paraId="42C6F82E"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Borders>
              <w:top w:val="single" w:sz="4" w:space="0" w:color="auto"/>
              <w:left w:val="single" w:sz="4" w:space="0" w:color="auto"/>
              <w:right w:val="single" w:sz="4" w:space="0" w:color="auto"/>
            </w:tcBorders>
          </w:tcPr>
          <w:p w14:paraId="662BD619"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Borders>
              <w:top w:val="single" w:sz="4" w:space="0" w:color="auto"/>
              <w:left w:val="single" w:sz="4" w:space="0" w:color="auto"/>
              <w:right w:val="single" w:sz="4" w:space="0" w:color="auto"/>
            </w:tcBorders>
          </w:tcPr>
          <w:p w14:paraId="3AC171AC" w14:textId="77777777" w:rsidR="004C3029" w:rsidRDefault="004C3029" w:rsidP="001147CF">
            <w:pPr>
              <w:overflowPunct w:val="0"/>
              <w:ind w:left="-57" w:right="-57"/>
              <w:jc w:val="center"/>
              <w:textAlignment w:val="baseline"/>
              <w:rPr>
                <w:sz w:val="20"/>
              </w:rPr>
            </w:pPr>
            <w:r>
              <w:rPr>
                <w:sz w:val="20"/>
              </w:rPr>
              <w:t>D</w:t>
            </w:r>
          </w:p>
        </w:tc>
        <w:tc>
          <w:tcPr>
            <w:tcW w:w="307" w:type="pct"/>
            <w:vMerge w:val="restart"/>
            <w:tcBorders>
              <w:top w:val="single" w:sz="4" w:space="0" w:color="auto"/>
              <w:left w:val="single" w:sz="4" w:space="0" w:color="auto"/>
              <w:bottom w:val="single" w:sz="4" w:space="0" w:color="auto"/>
              <w:right w:val="single" w:sz="4" w:space="0" w:color="auto"/>
            </w:tcBorders>
          </w:tcPr>
          <w:p w14:paraId="2A329F3D" w14:textId="77777777" w:rsidR="004C3029" w:rsidRDefault="004C3029" w:rsidP="001147CF">
            <w:pPr>
              <w:overflowPunct w:val="0"/>
              <w:ind w:left="-57" w:right="-57"/>
              <w:jc w:val="center"/>
              <w:textAlignment w:val="baseline"/>
              <w:rPr>
                <w:sz w:val="20"/>
              </w:rPr>
            </w:pPr>
            <w:r>
              <w:rPr>
                <w:sz w:val="20"/>
              </w:rPr>
              <w:t xml:space="preserve">SR: 1 000 (ES – 500, BF – 500) </w:t>
            </w:r>
          </w:p>
        </w:tc>
        <w:tc>
          <w:tcPr>
            <w:tcW w:w="308" w:type="pct"/>
            <w:vMerge w:val="restart"/>
            <w:tcBorders>
              <w:top w:val="single" w:sz="4" w:space="0" w:color="auto"/>
              <w:left w:val="single" w:sz="4" w:space="0" w:color="auto"/>
              <w:bottom w:val="single" w:sz="4" w:space="0" w:color="auto"/>
              <w:right w:val="single" w:sz="4" w:space="0" w:color="auto"/>
            </w:tcBorders>
          </w:tcPr>
          <w:p w14:paraId="7313B322" w14:textId="77777777" w:rsidR="004C3029" w:rsidRDefault="004C3029" w:rsidP="001147CF">
            <w:pPr>
              <w:overflowPunct w:val="0"/>
              <w:ind w:left="-57" w:right="-57"/>
              <w:jc w:val="center"/>
              <w:textAlignment w:val="baseline"/>
              <w:rPr>
                <w:sz w:val="20"/>
              </w:rPr>
            </w:pPr>
            <w:r>
              <w:rPr>
                <w:sz w:val="20"/>
              </w:rPr>
              <w:t>2021-2027 IP</w:t>
            </w:r>
          </w:p>
        </w:tc>
        <w:tc>
          <w:tcPr>
            <w:tcW w:w="437" w:type="pct"/>
            <w:tcBorders>
              <w:top w:val="single" w:sz="4" w:space="0" w:color="auto"/>
              <w:left w:val="single" w:sz="4" w:space="0" w:color="auto"/>
              <w:bottom w:val="single" w:sz="4" w:space="0" w:color="auto"/>
              <w:right w:val="single" w:sz="4" w:space="0" w:color="auto"/>
            </w:tcBorders>
          </w:tcPr>
          <w:p w14:paraId="55CC2699" w14:textId="77777777" w:rsidR="004C3029" w:rsidRDefault="004C3029" w:rsidP="001147CF">
            <w:pPr>
              <w:overflowPunct w:val="0"/>
              <w:ind w:left="-57" w:right="-57"/>
              <w:textAlignment w:val="baseline"/>
              <w:rPr>
                <w:sz w:val="20"/>
              </w:rPr>
            </w:pPr>
            <w:r>
              <w:rPr>
                <w:sz w:val="20"/>
              </w:rPr>
              <w:t>P-12-003-03-02-01-08</w:t>
            </w:r>
            <w:r>
              <w:rPr>
                <w:sz w:val="18"/>
                <w:szCs w:val="18"/>
              </w:rPr>
              <w:t xml:space="preserve"> </w:t>
            </w:r>
            <w:r>
              <w:rPr>
                <w:sz w:val="20"/>
              </w:rPr>
              <w:t xml:space="preserve"> </w:t>
            </w:r>
            <w:r>
              <w:rPr>
                <w:sz w:val="20"/>
                <w:lang w:val="pt-BR"/>
              </w:rPr>
              <w:t>Išvystyti regioniniai švietimo pagalbos centrai</w:t>
            </w:r>
          </w:p>
        </w:tc>
        <w:tc>
          <w:tcPr>
            <w:tcW w:w="220" w:type="pct"/>
            <w:tcBorders>
              <w:top w:val="single" w:sz="4" w:space="0" w:color="auto"/>
              <w:left w:val="single" w:sz="4" w:space="0" w:color="auto"/>
              <w:bottom w:val="single" w:sz="4" w:space="0" w:color="auto"/>
              <w:right w:val="single" w:sz="4" w:space="0" w:color="auto"/>
            </w:tcBorders>
          </w:tcPr>
          <w:p w14:paraId="13F1902E" w14:textId="77777777" w:rsidR="004C3029" w:rsidRDefault="004C3029" w:rsidP="001147CF">
            <w:pPr>
              <w:overflowPunct w:val="0"/>
              <w:ind w:left="-57" w:right="-57"/>
              <w:jc w:val="center"/>
              <w:textAlignment w:val="baseline"/>
              <w:rPr>
                <w:sz w:val="20"/>
              </w:rPr>
            </w:pPr>
            <w:r>
              <w:rPr>
                <w:sz w:val="20"/>
              </w:rPr>
              <w:t>1</w:t>
            </w:r>
          </w:p>
        </w:tc>
        <w:tc>
          <w:tcPr>
            <w:tcW w:w="263" w:type="pct"/>
            <w:vMerge w:val="restart"/>
            <w:tcBorders>
              <w:top w:val="single" w:sz="4" w:space="0" w:color="auto"/>
              <w:left w:val="single" w:sz="4" w:space="0" w:color="auto"/>
              <w:bottom w:val="single" w:sz="4" w:space="0" w:color="auto"/>
              <w:right w:val="single" w:sz="4" w:space="0" w:color="auto"/>
            </w:tcBorders>
          </w:tcPr>
          <w:p w14:paraId="3534EAF6"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vMerge w:val="restart"/>
            <w:tcBorders>
              <w:top w:val="single" w:sz="4" w:space="0" w:color="auto"/>
              <w:left w:val="single" w:sz="4" w:space="0" w:color="auto"/>
              <w:bottom w:val="single" w:sz="4" w:space="0" w:color="auto"/>
              <w:right w:val="single" w:sz="4" w:space="0" w:color="auto"/>
            </w:tcBorders>
          </w:tcPr>
          <w:p w14:paraId="4A26A653"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Borders>
              <w:top w:val="single" w:sz="4" w:space="0" w:color="auto"/>
              <w:left w:val="single" w:sz="4" w:space="0" w:color="auto"/>
              <w:bottom w:val="single" w:sz="4" w:space="0" w:color="auto"/>
              <w:right w:val="single" w:sz="4" w:space="0" w:color="auto"/>
            </w:tcBorders>
          </w:tcPr>
          <w:p w14:paraId="47C79884" w14:textId="77777777" w:rsidR="004C3029" w:rsidRDefault="004C3029" w:rsidP="001147CF">
            <w:pPr>
              <w:overflowPunct w:val="0"/>
              <w:ind w:left="-57" w:right="-57"/>
              <w:jc w:val="center"/>
              <w:textAlignment w:val="baseline"/>
              <w:rPr>
                <w:sz w:val="20"/>
              </w:rPr>
            </w:pPr>
            <w:r>
              <w:rPr>
                <w:sz w:val="20"/>
              </w:rPr>
              <w:t>-</w:t>
            </w:r>
          </w:p>
        </w:tc>
      </w:tr>
      <w:tr w:rsidR="004C3029" w14:paraId="1E8D86FC" w14:textId="77777777" w:rsidTr="001147CF">
        <w:trPr>
          <w:trHeight w:val="699"/>
        </w:trPr>
        <w:tc>
          <w:tcPr>
            <w:tcW w:w="704" w:type="pct"/>
            <w:vMerge/>
          </w:tcPr>
          <w:p w14:paraId="6D304E89" w14:textId="77777777" w:rsidR="004C3029" w:rsidRDefault="004C3029" w:rsidP="001147CF">
            <w:pPr>
              <w:overflowPunct w:val="0"/>
              <w:ind w:left="-57" w:right="-57"/>
              <w:textAlignment w:val="baseline"/>
              <w:rPr>
                <w:sz w:val="20"/>
              </w:rPr>
            </w:pPr>
          </w:p>
        </w:tc>
        <w:tc>
          <w:tcPr>
            <w:tcW w:w="283" w:type="pct"/>
            <w:vMerge/>
          </w:tcPr>
          <w:p w14:paraId="7141D4FA" w14:textId="77777777" w:rsidR="004C3029" w:rsidRDefault="004C3029" w:rsidP="001147CF">
            <w:pPr>
              <w:overflowPunct w:val="0"/>
              <w:ind w:left="-57" w:right="-57"/>
              <w:jc w:val="center"/>
              <w:textAlignment w:val="baseline"/>
              <w:rPr>
                <w:sz w:val="20"/>
              </w:rPr>
            </w:pPr>
          </w:p>
        </w:tc>
        <w:tc>
          <w:tcPr>
            <w:tcW w:w="282" w:type="pct"/>
            <w:vMerge/>
          </w:tcPr>
          <w:p w14:paraId="05947ABA" w14:textId="77777777" w:rsidR="004C3029" w:rsidRDefault="004C3029" w:rsidP="001147CF">
            <w:pPr>
              <w:overflowPunct w:val="0"/>
              <w:ind w:left="-57" w:right="-57"/>
              <w:jc w:val="center"/>
              <w:textAlignment w:val="baseline"/>
              <w:rPr>
                <w:sz w:val="20"/>
              </w:rPr>
            </w:pPr>
          </w:p>
        </w:tc>
        <w:tc>
          <w:tcPr>
            <w:tcW w:w="351" w:type="pct"/>
            <w:vMerge/>
          </w:tcPr>
          <w:p w14:paraId="2C34E772" w14:textId="77777777" w:rsidR="004C3029" w:rsidRDefault="004C3029" w:rsidP="001147CF">
            <w:pPr>
              <w:overflowPunct w:val="0"/>
              <w:ind w:left="-57" w:right="-57"/>
              <w:jc w:val="center"/>
              <w:textAlignment w:val="baseline"/>
              <w:rPr>
                <w:sz w:val="20"/>
              </w:rPr>
            </w:pPr>
          </w:p>
        </w:tc>
        <w:tc>
          <w:tcPr>
            <w:tcW w:w="333" w:type="pct"/>
            <w:vMerge/>
          </w:tcPr>
          <w:p w14:paraId="049FCAE6" w14:textId="77777777" w:rsidR="004C3029" w:rsidRDefault="004C3029" w:rsidP="001147CF">
            <w:pPr>
              <w:overflowPunct w:val="0"/>
              <w:ind w:left="-57" w:right="-57"/>
              <w:jc w:val="center"/>
              <w:textAlignment w:val="baseline"/>
              <w:rPr>
                <w:sz w:val="20"/>
              </w:rPr>
            </w:pPr>
          </w:p>
        </w:tc>
        <w:tc>
          <w:tcPr>
            <w:tcW w:w="308" w:type="pct"/>
            <w:vMerge/>
          </w:tcPr>
          <w:p w14:paraId="01377BCD" w14:textId="77777777" w:rsidR="004C3029" w:rsidRDefault="004C3029" w:rsidP="001147CF">
            <w:pPr>
              <w:overflowPunct w:val="0"/>
              <w:ind w:left="-57" w:right="-57"/>
              <w:jc w:val="center"/>
              <w:textAlignment w:val="baseline"/>
              <w:rPr>
                <w:sz w:val="20"/>
              </w:rPr>
            </w:pPr>
          </w:p>
        </w:tc>
        <w:tc>
          <w:tcPr>
            <w:tcW w:w="262" w:type="pct"/>
            <w:vMerge/>
          </w:tcPr>
          <w:p w14:paraId="48951B53" w14:textId="77777777" w:rsidR="004C3029" w:rsidRDefault="004C3029" w:rsidP="001147CF">
            <w:pPr>
              <w:overflowPunct w:val="0"/>
              <w:ind w:left="-57" w:right="-57"/>
              <w:jc w:val="center"/>
              <w:textAlignment w:val="baseline"/>
              <w:rPr>
                <w:sz w:val="20"/>
              </w:rPr>
            </w:pPr>
          </w:p>
        </w:tc>
        <w:tc>
          <w:tcPr>
            <w:tcW w:w="308" w:type="pct"/>
            <w:vMerge/>
          </w:tcPr>
          <w:p w14:paraId="1B460D4E" w14:textId="77777777" w:rsidR="004C3029" w:rsidRDefault="004C3029" w:rsidP="001147CF">
            <w:pPr>
              <w:overflowPunct w:val="0"/>
              <w:ind w:left="-57" w:right="-57"/>
              <w:jc w:val="center"/>
              <w:textAlignment w:val="baseline"/>
              <w:rPr>
                <w:sz w:val="20"/>
              </w:rPr>
            </w:pPr>
          </w:p>
        </w:tc>
        <w:tc>
          <w:tcPr>
            <w:tcW w:w="307" w:type="pct"/>
            <w:vMerge/>
          </w:tcPr>
          <w:p w14:paraId="69793995" w14:textId="77777777" w:rsidR="004C3029" w:rsidRDefault="004C3029" w:rsidP="001147CF">
            <w:pPr>
              <w:overflowPunct w:val="0"/>
              <w:ind w:left="-57" w:right="-57"/>
              <w:jc w:val="center"/>
              <w:textAlignment w:val="baseline"/>
              <w:rPr>
                <w:sz w:val="20"/>
              </w:rPr>
            </w:pPr>
          </w:p>
        </w:tc>
        <w:tc>
          <w:tcPr>
            <w:tcW w:w="308" w:type="pct"/>
            <w:vMerge/>
          </w:tcPr>
          <w:p w14:paraId="6AA2F792" w14:textId="77777777" w:rsidR="004C3029" w:rsidRDefault="004C3029" w:rsidP="001147CF">
            <w:pPr>
              <w:overflowPunct w:val="0"/>
              <w:ind w:left="-57" w:right="-57"/>
              <w:jc w:val="center"/>
              <w:textAlignment w:val="baseline"/>
              <w:rPr>
                <w:sz w:val="20"/>
              </w:rPr>
            </w:pPr>
          </w:p>
        </w:tc>
        <w:tc>
          <w:tcPr>
            <w:tcW w:w="437" w:type="pct"/>
          </w:tcPr>
          <w:p w14:paraId="09009234" w14:textId="77777777" w:rsidR="004C3029" w:rsidRDefault="004C3029" w:rsidP="001147CF">
            <w:pPr>
              <w:overflowPunct w:val="0"/>
              <w:ind w:left="-57" w:right="-57"/>
              <w:textAlignment w:val="baseline"/>
              <w:rPr>
                <w:sz w:val="20"/>
              </w:rPr>
            </w:pPr>
            <w:r>
              <w:rPr>
                <w:sz w:val="20"/>
              </w:rPr>
              <w:t xml:space="preserve">R – Naujos arba modernizuotos švietimo infrastruktūros </w:t>
            </w:r>
            <w:r>
              <w:rPr>
                <w:sz w:val="20"/>
              </w:rPr>
              <w:lastRenderedPageBreak/>
              <w:t>naudotojų skaičius per metus</w:t>
            </w:r>
          </w:p>
        </w:tc>
        <w:tc>
          <w:tcPr>
            <w:tcW w:w="220" w:type="pct"/>
          </w:tcPr>
          <w:p w14:paraId="75F59986" w14:textId="77777777" w:rsidR="004C3029" w:rsidRDefault="004C3029" w:rsidP="001147CF">
            <w:pPr>
              <w:overflowPunct w:val="0"/>
              <w:ind w:left="-57" w:right="-57"/>
              <w:jc w:val="center"/>
              <w:textAlignment w:val="baseline"/>
              <w:rPr>
                <w:sz w:val="20"/>
              </w:rPr>
            </w:pPr>
            <w:r>
              <w:rPr>
                <w:sz w:val="20"/>
              </w:rPr>
              <w:lastRenderedPageBreak/>
              <w:t>150</w:t>
            </w:r>
          </w:p>
        </w:tc>
        <w:tc>
          <w:tcPr>
            <w:tcW w:w="263" w:type="pct"/>
            <w:vMerge/>
          </w:tcPr>
          <w:p w14:paraId="6A0F9234" w14:textId="77777777" w:rsidR="004C3029" w:rsidRDefault="004C3029" w:rsidP="001147CF">
            <w:pPr>
              <w:overflowPunct w:val="0"/>
              <w:ind w:left="-57" w:right="-57"/>
              <w:jc w:val="center"/>
              <w:textAlignment w:val="baseline"/>
              <w:rPr>
                <w:sz w:val="20"/>
              </w:rPr>
            </w:pPr>
          </w:p>
        </w:tc>
        <w:tc>
          <w:tcPr>
            <w:tcW w:w="326" w:type="pct"/>
            <w:vMerge/>
          </w:tcPr>
          <w:p w14:paraId="7268BDB6" w14:textId="77777777" w:rsidR="004C3029" w:rsidRDefault="004C3029" w:rsidP="001147CF">
            <w:pPr>
              <w:overflowPunct w:val="0"/>
              <w:ind w:left="-57" w:right="-57"/>
              <w:jc w:val="center"/>
              <w:textAlignment w:val="baseline"/>
              <w:rPr>
                <w:sz w:val="20"/>
              </w:rPr>
            </w:pPr>
          </w:p>
        </w:tc>
        <w:tc>
          <w:tcPr>
            <w:tcW w:w="308" w:type="pct"/>
            <w:vMerge/>
          </w:tcPr>
          <w:p w14:paraId="3742F3BE" w14:textId="77777777" w:rsidR="004C3029" w:rsidRDefault="004C3029" w:rsidP="001147CF">
            <w:pPr>
              <w:overflowPunct w:val="0"/>
              <w:ind w:left="-57" w:right="-57"/>
              <w:jc w:val="center"/>
              <w:textAlignment w:val="baseline"/>
              <w:rPr>
                <w:sz w:val="20"/>
              </w:rPr>
            </w:pPr>
          </w:p>
        </w:tc>
      </w:tr>
      <w:tr w:rsidR="004C3029" w14:paraId="0F7921F4" w14:textId="77777777" w:rsidTr="001147CF">
        <w:trPr>
          <w:trHeight w:val="1012"/>
        </w:trPr>
        <w:tc>
          <w:tcPr>
            <w:tcW w:w="704" w:type="pct"/>
            <w:vMerge w:val="restart"/>
          </w:tcPr>
          <w:p w14:paraId="3680258C" w14:textId="77777777" w:rsidR="004C3029" w:rsidRDefault="004C3029" w:rsidP="001147CF">
            <w:pPr>
              <w:overflowPunct w:val="0"/>
              <w:ind w:left="-57" w:right="-57"/>
              <w:textAlignment w:val="baseline"/>
              <w:rPr>
                <w:sz w:val="20"/>
              </w:rPr>
            </w:pPr>
            <w:r>
              <w:rPr>
                <w:sz w:val="20"/>
              </w:rPr>
              <w:t>4.4. Modernizuoti regioninius specialiojo ugdymo centrus, pritaikant juos teikti stacionarią ir mobilią metodinę, konsultacinę pagalbą vidurio ir vakarų Lietuvos</w:t>
            </w:r>
          </w:p>
        </w:tc>
        <w:tc>
          <w:tcPr>
            <w:tcW w:w="283" w:type="pct"/>
            <w:vMerge w:val="restart"/>
          </w:tcPr>
          <w:p w14:paraId="6D2D47F2" w14:textId="77777777" w:rsidR="004C3029" w:rsidRDefault="004C3029" w:rsidP="001147CF">
            <w:pPr>
              <w:overflowPunct w:val="0"/>
              <w:ind w:left="-57" w:right="-57"/>
              <w:jc w:val="center"/>
              <w:textAlignment w:val="baseline"/>
              <w:rPr>
                <w:sz w:val="20"/>
              </w:rPr>
            </w:pPr>
          </w:p>
        </w:tc>
        <w:tc>
          <w:tcPr>
            <w:tcW w:w="282" w:type="pct"/>
            <w:vMerge w:val="restart"/>
          </w:tcPr>
          <w:p w14:paraId="7D2DF1D1" w14:textId="77777777" w:rsidR="004C3029" w:rsidRDefault="004C3029" w:rsidP="001147CF">
            <w:pPr>
              <w:overflowPunct w:val="0"/>
              <w:ind w:left="-57" w:right="-57"/>
              <w:jc w:val="center"/>
              <w:textAlignment w:val="baseline"/>
              <w:rPr>
                <w:sz w:val="20"/>
              </w:rPr>
            </w:pPr>
          </w:p>
        </w:tc>
        <w:tc>
          <w:tcPr>
            <w:tcW w:w="351" w:type="pct"/>
            <w:vMerge w:val="restart"/>
          </w:tcPr>
          <w:p w14:paraId="66A2D622" w14:textId="77777777" w:rsidR="004C3029" w:rsidRDefault="004C3029" w:rsidP="001147CF">
            <w:pPr>
              <w:overflowPunct w:val="0"/>
              <w:ind w:left="-57" w:right="-57"/>
              <w:jc w:val="center"/>
              <w:textAlignment w:val="baseline"/>
              <w:rPr>
                <w:sz w:val="20"/>
              </w:rPr>
            </w:pPr>
          </w:p>
        </w:tc>
        <w:tc>
          <w:tcPr>
            <w:tcW w:w="333" w:type="pct"/>
            <w:vMerge w:val="restart"/>
          </w:tcPr>
          <w:p w14:paraId="0FFDD642" w14:textId="77777777" w:rsidR="004C3029" w:rsidRDefault="004C3029" w:rsidP="001147CF">
            <w:pPr>
              <w:overflowPunct w:val="0"/>
              <w:ind w:left="-57" w:right="-57"/>
              <w:jc w:val="center"/>
              <w:textAlignment w:val="baseline"/>
              <w:rPr>
                <w:sz w:val="20"/>
              </w:rPr>
            </w:pPr>
          </w:p>
        </w:tc>
        <w:tc>
          <w:tcPr>
            <w:tcW w:w="308" w:type="pct"/>
            <w:vMerge w:val="restart"/>
          </w:tcPr>
          <w:p w14:paraId="181157C7" w14:textId="77777777" w:rsidR="004C3029" w:rsidRDefault="004C3029" w:rsidP="001147CF">
            <w:pPr>
              <w:overflowPunct w:val="0"/>
              <w:ind w:left="-57" w:right="-57"/>
              <w:jc w:val="center"/>
              <w:textAlignment w:val="baseline"/>
              <w:rPr>
                <w:sz w:val="20"/>
              </w:rPr>
            </w:pPr>
          </w:p>
        </w:tc>
        <w:tc>
          <w:tcPr>
            <w:tcW w:w="262" w:type="pct"/>
            <w:vMerge w:val="restart"/>
          </w:tcPr>
          <w:p w14:paraId="6C6130CD" w14:textId="77777777" w:rsidR="004C3029" w:rsidRDefault="004C3029" w:rsidP="001147CF">
            <w:pPr>
              <w:overflowPunct w:val="0"/>
              <w:ind w:left="-57" w:right="-57"/>
              <w:jc w:val="center"/>
              <w:textAlignment w:val="baseline"/>
              <w:rPr>
                <w:sz w:val="20"/>
              </w:rPr>
            </w:pPr>
          </w:p>
        </w:tc>
        <w:tc>
          <w:tcPr>
            <w:tcW w:w="308" w:type="pct"/>
            <w:vMerge w:val="restart"/>
          </w:tcPr>
          <w:p w14:paraId="679A1B8F" w14:textId="77777777" w:rsidR="004C3029" w:rsidRDefault="004C3029" w:rsidP="001147CF">
            <w:pPr>
              <w:overflowPunct w:val="0"/>
              <w:ind w:left="-57" w:right="-57"/>
              <w:jc w:val="center"/>
              <w:textAlignment w:val="baseline"/>
              <w:rPr>
                <w:sz w:val="20"/>
              </w:rPr>
            </w:pPr>
          </w:p>
        </w:tc>
        <w:tc>
          <w:tcPr>
            <w:tcW w:w="307" w:type="pct"/>
            <w:vMerge w:val="restart"/>
            <w:tcBorders>
              <w:left w:val="single" w:sz="4" w:space="0" w:color="auto"/>
            </w:tcBorders>
          </w:tcPr>
          <w:p w14:paraId="1E203D27" w14:textId="77777777" w:rsidR="004C3029" w:rsidRDefault="004C3029" w:rsidP="001147CF">
            <w:pPr>
              <w:overflowPunct w:val="0"/>
              <w:ind w:left="-57" w:right="-57"/>
              <w:jc w:val="center"/>
              <w:textAlignment w:val="baseline"/>
              <w:rPr>
                <w:sz w:val="20"/>
              </w:rPr>
            </w:pPr>
            <w:r>
              <w:rPr>
                <w:sz w:val="20"/>
              </w:rPr>
              <w:t>VVL: 4 406 (ES – 3 745, BF – 661</w:t>
            </w:r>
          </w:p>
        </w:tc>
        <w:tc>
          <w:tcPr>
            <w:tcW w:w="308" w:type="pct"/>
            <w:vMerge w:val="restart"/>
          </w:tcPr>
          <w:p w14:paraId="55D6D2D7" w14:textId="77777777" w:rsidR="004C3029" w:rsidRDefault="004C3029" w:rsidP="001147CF">
            <w:pPr>
              <w:overflowPunct w:val="0"/>
              <w:ind w:left="-57" w:right="-57"/>
              <w:jc w:val="center"/>
              <w:textAlignment w:val="baseline"/>
              <w:rPr>
                <w:sz w:val="20"/>
              </w:rPr>
            </w:pPr>
            <w:r>
              <w:rPr>
                <w:sz w:val="20"/>
              </w:rPr>
              <w:t>2021–2027 IP</w:t>
            </w:r>
          </w:p>
          <w:p w14:paraId="2D635B7F" w14:textId="77777777" w:rsidR="004C3029" w:rsidRDefault="004C3029" w:rsidP="001147CF">
            <w:pPr>
              <w:overflowPunct w:val="0"/>
              <w:ind w:left="-57" w:right="-57"/>
              <w:jc w:val="center"/>
              <w:textAlignment w:val="baseline"/>
              <w:rPr>
                <w:sz w:val="20"/>
              </w:rPr>
            </w:pPr>
          </w:p>
        </w:tc>
        <w:tc>
          <w:tcPr>
            <w:tcW w:w="437" w:type="pct"/>
          </w:tcPr>
          <w:p w14:paraId="57B9E55C" w14:textId="77777777" w:rsidR="004C3029" w:rsidRDefault="004C3029" w:rsidP="001147CF">
            <w:pPr>
              <w:overflowPunct w:val="0"/>
              <w:ind w:left="-57" w:right="-57"/>
              <w:textAlignment w:val="baseline"/>
              <w:rPr>
                <w:sz w:val="20"/>
              </w:rPr>
            </w:pPr>
            <w:r>
              <w:rPr>
                <w:sz w:val="20"/>
              </w:rPr>
              <w:t>P-12-003-03-02-01-08</w:t>
            </w:r>
            <w:r>
              <w:rPr>
                <w:sz w:val="18"/>
                <w:szCs w:val="18"/>
              </w:rPr>
              <w:t xml:space="preserve"> </w:t>
            </w:r>
            <w:r>
              <w:rPr>
                <w:sz w:val="20"/>
                <w:lang w:val="pt-BR"/>
              </w:rPr>
              <w:t>Išvystyti regioniniai švietimo pagalbos centrai</w:t>
            </w:r>
          </w:p>
        </w:tc>
        <w:tc>
          <w:tcPr>
            <w:tcW w:w="220" w:type="pct"/>
          </w:tcPr>
          <w:p w14:paraId="11A0EC8A" w14:textId="77777777" w:rsidR="004C3029" w:rsidRDefault="004C3029" w:rsidP="001147CF">
            <w:pPr>
              <w:overflowPunct w:val="0"/>
              <w:ind w:left="-57" w:right="-57"/>
              <w:jc w:val="center"/>
              <w:textAlignment w:val="baseline"/>
              <w:rPr>
                <w:sz w:val="20"/>
              </w:rPr>
            </w:pPr>
            <w:r>
              <w:rPr>
                <w:sz w:val="20"/>
              </w:rPr>
              <w:t>7</w:t>
            </w:r>
          </w:p>
        </w:tc>
        <w:tc>
          <w:tcPr>
            <w:tcW w:w="263" w:type="pct"/>
            <w:vMerge w:val="restart"/>
          </w:tcPr>
          <w:p w14:paraId="659F361C"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vMerge w:val="restart"/>
          </w:tcPr>
          <w:p w14:paraId="27EBB10E"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17F43A9C" w14:textId="77777777" w:rsidR="004C3029" w:rsidRDefault="004C3029" w:rsidP="001147CF">
            <w:pPr>
              <w:overflowPunct w:val="0"/>
              <w:ind w:left="-57" w:right="-57"/>
              <w:jc w:val="center"/>
              <w:textAlignment w:val="baseline"/>
              <w:rPr>
                <w:sz w:val="20"/>
              </w:rPr>
            </w:pPr>
            <w:r>
              <w:rPr>
                <w:sz w:val="20"/>
              </w:rPr>
              <w:t>-</w:t>
            </w:r>
          </w:p>
        </w:tc>
      </w:tr>
      <w:tr w:rsidR="004C3029" w14:paraId="66E45513" w14:textId="77777777" w:rsidTr="001147CF">
        <w:trPr>
          <w:trHeight w:val="1141"/>
        </w:trPr>
        <w:tc>
          <w:tcPr>
            <w:tcW w:w="704" w:type="pct"/>
            <w:vMerge/>
          </w:tcPr>
          <w:p w14:paraId="351858B8" w14:textId="77777777" w:rsidR="004C3029" w:rsidRDefault="004C3029" w:rsidP="001147CF">
            <w:pPr>
              <w:overflowPunct w:val="0"/>
              <w:ind w:left="-57" w:right="-57"/>
              <w:textAlignment w:val="baseline"/>
              <w:rPr>
                <w:sz w:val="20"/>
              </w:rPr>
            </w:pPr>
          </w:p>
        </w:tc>
        <w:tc>
          <w:tcPr>
            <w:tcW w:w="283" w:type="pct"/>
            <w:vMerge/>
          </w:tcPr>
          <w:p w14:paraId="021064D6" w14:textId="77777777" w:rsidR="004C3029" w:rsidRDefault="004C3029" w:rsidP="001147CF">
            <w:pPr>
              <w:overflowPunct w:val="0"/>
              <w:ind w:left="-57" w:right="-57"/>
              <w:jc w:val="center"/>
              <w:textAlignment w:val="baseline"/>
              <w:rPr>
                <w:sz w:val="20"/>
              </w:rPr>
            </w:pPr>
          </w:p>
        </w:tc>
        <w:tc>
          <w:tcPr>
            <w:tcW w:w="282" w:type="pct"/>
            <w:vMerge/>
          </w:tcPr>
          <w:p w14:paraId="49F91EFD" w14:textId="77777777" w:rsidR="004C3029" w:rsidRDefault="004C3029" w:rsidP="001147CF">
            <w:pPr>
              <w:overflowPunct w:val="0"/>
              <w:ind w:left="-57" w:right="-57"/>
              <w:jc w:val="center"/>
              <w:textAlignment w:val="baseline"/>
              <w:rPr>
                <w:sz w:val="20"/>
              </w:rPr>
            </w:pPr>
          </w:p>
        </w:tc>
        <w:tc>
          <w:tcPr>
            <w:tcW w:w="351" w:type="pct"/>
            <w:vMerge/>
          </w:tcPr>
          <w:p w14:paraId="7526A10F" w14:textId="77777777" w:rsidR="004C3029" w:rsidRDefault="004C3029" w:rsidP="001147CF">
            <w:pPr>
              <w:overflowPunct w:val="0"/>
              <w:ind w:left="-57" w:right="-57"/>
              <w:jc w:val="center"/>
              <w:textAlignment w:val="baseline"/>
              <w:rPr>
                <w:sz w:val="20"/>
              </w:rPr>
            </w:pPr>
          </w:p>
        </w:tc>
        <w:tc>
          <w:tcPr>
            <w:tcW w:w="333" w:type="pct"/>
            <w:vMerge/>
          </w:tcPr>
          <w:p w14:paraId="65FDA26D" w14:textId="77777777" w:rsidR="004C3029" w:rsidRDefault="004C3029" w:rsidP="001147CF">
            <w:pPr>
              <w:overflowPunct w:val="0"/>
              <w:ind w:left="-57" w:right="-57"/>
              <w:jc w:val="center"/>
              <w:textAlignment w:val="baseline"/>
              <w:rPr>
                <w:sz w:val="20"/>
              </w:rPr>
            </w:pPr>
          </w:p>
        </w:tc>
        <w:tc>
          <w:tcPr>
            <w:tcW w:w="308" w:type="pct"/>
            <w:vMerge/>
          </w:tcPr>
          <w:p w14:paraId="4E4D11AE" w14:textId="77777777" w:rsidR="004C3029" w:rsidRDefault="004C3029" w:rsidP="001147CF">
            <w:pPr>
              <w:overflowPunct w:val="0"/>
              <w:ind w:left="-57" w:right="-57"/>
              <w:jc w:val="center"/>
              <w:textAlignment w:val="baseline"/>
              <w:rPr>
                <w:sz w:val="20"/>
              </w:rPr>
            </w:pPr>
          </w:p>
        </w:tc>
        <w:tc>
          <w:tcPr>
            <w:tcW w:w="262" w:type="pct"/>
            <w:vMerge/>
          </w:tcPr>
          <w:p w14:paraId="7DAC1121" w14:textId="77777777" w:rsidR="004C3029" w:rsidRDefault="004C3029" w:rsidP="001147CF">
            <w:pPr>
              <w:overflowPunct w:val="0"/>
              <w:ind w:left="-57" w:right="-57"/>
              <w:jc w:val="center"/>
              <w:textAlignment w:val="baseline"/>
              <w:rPr>
                <w:sz w:val="20"/>
              </w:rPr>
            </w:pPr>
          </w:p>
        </w:tc>
        <w:tc>
          <w:tcPr>
            <w:tcW w:w="308" w:type="pct"/>
            <w:vMerge/>
          </w:tcPr>
          <w:p w14:paraId="4D1A25C9" w14:textId="77777777" w:rsidR="004C3029" w:rsidRDefault="004C3029" w:rsidP="001147CF">
            <w:pPr>
              <w:overflowPunct w:val="0"/>
              <w:ind w:left="-57" w:right="-57"/>
              <w:jc w:val="center"/>
              <w:textAlignment w:val="baseline"/>
              <w:rPr>
                <w:sz w:val="20"/>
              </w:rPr>
            </w:pPr>
          </w:p>
        </w:tc>
        <w:tc>
          <w:tcPr>
            <w:tcW w:w="307" w:type="pct"/>
            <w:vMerge/>
          </w:tcPr>
          <w:p w14:paraId="7F28612A" w14:textId="77777777" w:rsidR="004C3029" w:rsidRDefault="004C3029" w:rsidP="001147CF">
            <w:pPr>
              <w:overflowPunct w:val="0"/>
              <w:ind w:left="-57" w:right="-57"/>
              <w:jc w:val="center"/>
              <w:textAlignment w:val="baseline"/>
              <w:rPr>
                <w:sz w:val="20"/>
              </w:rPr>
            </w:pPr>
          </w:p>
        </w:tc>
        <w:tc>
          <w:tcPr>
            <w:tcW w:w="308" w:type="pct"/>
            <w:vMerge/>
          </w:tcPr>
          <w:p w14:paraId="4B247D98" w14:textId="77777777" w:rsidR="004C3029" w:rsidRDefault="004C3029" w:rsidP="001147CF">
            <w:pPr>
              <w:overflowPunct w:val="0"/>
              <w:ind w:left="-57" w:right="-57"/>
              <w:jc w:val="center"/>
              <w:textAlignment w:val="baseline"/>
              <w:rPr>
                <w:sz w:val="20"/>
              </w:rPr>
            </w:pPr>
          </w:p>
        </w:tc>
        <w:tc>
          <w:tcPr>
            <w:tcW w:w="437" w:type="pct"/>
          </w:tcPr>
          <w:p w14:paraId="51F31B71" w14:textId="77777777" w:rsidR="004C3029" w:rsidRDefault="004C3029" w:rsidP="001147CF">
            <w:pPr>
              <w:overflowPunct w:val="0"/>
              <w:ind w:left="-57" w:right="-57"/>
              <w:textAlignment w:val="baseline"/>
              <w:rPr>
                <w:sz w:val="20"/>
              </w:rPr>
            </w:pPr>
            <w:r>
              <w:rPr>
                <w:sz w:val="20"/>
              </w:rPr>
              <w:t>R – Naujos arba modernizuotos švietimo infrastruktūros naudotojų skaičius per metus</w:t>
            </w:r>
          </w:p>
        </w:tc>
        <w:tc>
          <w:tcPr>
            <w:tcW w:w="220" w:type="pct"/>
          </w:tcPr>
          <w:p w14:paraId="7670951D" w14:textId="77777777" w:rsidR="004C3029" w:rsidRDefault="004C3029" w:rsidP="001147CF">
            <w:pPr>
              <w:overflowPunct w:val="0"/>
              <w:ind w:left="-57" w:right="-57"/>
              <w:jc w:val="center"/>
              <w:textAlignment w:val="baseline"/>
              <w:rPr>
                <w:sz w:val="20"/>
              </w:rPr>
            </w:pPr>
            <w:r>
              <w:rPr>
                <w:sz w:val="20"/>
              </w:rPr>
              <w:t>1050</w:t>
            </w:r>
          </w:p>
        </w:tc>
        <w:tc>
          <w:tcPr>
            <w:tcW w:w="263" w:type="pct"/>
            <w:vMerge/>
          </w:tcPr>
          <w:p w14:paraId="58157C49" w14:textId="77777777" w:rsidR="004C3029" w:rsidRDefault="004C3029" w:rsidP="001147CF">
            <w:pPr>
              <w:overflowPunct w:val="0"/>
              <w:ind w:left="-57" w:right="-57"/>
              <w:jc w:val="center"/>
              <w:textAlignment w:val="baseline"/>
              <w:rPr>
                <w:sz w:val="20"/>
              </w:rPr>
            </w:pPr>
          </w:p>
        </w:tc>
        <w:tc>
          <w:tcPr>
            <w:tcW w:w="326" w:type="pct"/>
            <w:vMerge/>
          </w:tcPr>
          <w:p w14:paraId="4B4DD502" w14:textId="77777777" w:rsidR="004C3029" w:rsidRDefault="004C3029" w:rsidP="001147CF">
            <w:pPr>
              <w:overflowPunct w:val="0"/>
              <w:ind w:left="-57" w:right="-57"/>
              <w:jc w:val="center"/>
              <w:textAlignment w:val="baseline"/>
              <w:rPr>
                <w:sz w:val="20"/>
              </w:rPr>
            </w:pPr>
          </w:p>
        </w:tc>
        <w:tc>
          <w:tcPr>
            <w:tcW w:w="308" w:type="pct"/>
            <w:vMerge/>
          </w:tcPr>
          <w:p w14:paraId="03F19B6D" w14:textId="77777777" w:rsidR="004C3029" w:rsidRDefault="004C3029" w:rsidP="001147CF">
            <w:pPr>
              <w:overflowPunct w:val="0"/>
              <w:ind w:left="-57" w:right="-57"/>
              <w:jc w:val="center"/>
              <w:textAlignment w:val="baseline"/>
              <w:rPr>
                <w:sz w:val="20"/>
              </w:rPr>
            </w:pPr>
          </w:p>
        </w:tc>
      </w:tr>
      <w:tr w:rsidR="004C3029" w14:paraId="324FEA07" w14:textId="77777777" w:rsidTr="001147CF">
        <w:trPr>
          <w:trHeight w:val="233"/>
        </w:trPr>
        <w:tc>
          <w:tcPr>
            <w:tcW w:w="704" w:type="pct"/>
          </w:tcPr>
          <w:p w14:paraId="60A0A7BF" w14:textId="77777777" w:rsidR="004C3029" w:rsidRDefault="004C3029" w:rsidP="001147CF">
            <w:pPr>
              <w:overflowPunct w:val="0"/>
              <w:ind w:left="-57" w:right="-57"/>
              <w:textAlignment w:val="baseline"/>
              <w:rPr>
                <w:sz w:val="20"/>
              </w:rPr>
            </w:pPr>
            <w:r>
              <w:rPr>
                <w:sz w:val="20"/>
              </w:rPr>
              <w:t>5. Užtikrinant vienodas starto švietime galimybes, padidinti ikimokyklinio ugdymo ir visos dienos mokyklos prieinamas paslaugas asmenims, patiriantiems atskirtį</w:t>
            </w:r>
          </w:p>
        </w:tc>
        <w:tc>
          <w:tcPr>
            <w:tcW w:w="283" w:type="pct"/>
          </w:tcPr>
          <w:p w14:paraId="0E502F2B" w14:textId="77777777" w:rsidR="004C3029" w:rsidRDefault="004C3029" w:rsidP="001147CF">
            <w:pPr>
              <w:overflowPunct w:val="0"/>
              <w:ind w:left="-57" w:right="-57"/>
              <w:jc w:val="center"/>
              <w:textAlignment w:val="baseline"/>
              <w:rPr>
                <w:sz w:val="20"/>
              </w:rPr>
            </w:pPr>
            <w:r>
              <w:rPr>
                <w:sz w:val="20"/>
              </w:rPr>
              <w:t>I</w:t>
            </w:r>
          </w:p>
        </w:tc>
        <w:tc>
          <w:tcPr>
            <w:tcW w:w="282" w:type="pct"/>
          </w:tcPr>
          <w:p w14:paraId="352E43DD" w14:textId="77777777" w:rsidR="004C3029" w:rsidRDefault="004C3029" w:rsidP="001147CF">
            <w:pPr>
              <w:overflowPunct w:val="0"/>
              <w:ind w:left="-57" w:right="-57"/>
              <w:jc w:val="center"/>
              <w:textAlignment w:val="baseline"/>
              <w:rPr>
                <w:sz w:val="20"/>
              </w:rPr>
            </w:pPr>
            <w:r>
              <w:rPr>
                <w:sz w:val="20"/>
              </w:rPr>
              <w:t>Poveiklėse nurodyti galimi pareiškėjai</w:t>
            </w:r>
          </w:p>
        </w:tc>
        <w:tc>
          <w:tcPr>
            <w:tcW w:w="351" w:type="pct"/>
          </w:tcPr>
          <w:p w14:paraId="4AEE3473" w14:textId="77777777" w:rsidR="004C3029" w:rsidRDefault="004C3029" w:rsidP="001147CF">
            <w:pPr>
              <w:overflowPunct w:val="0"/>
              <w:ind w:left="-57" w:right="-57"/>
              <w:jc w:val="center"/>
              <w:textAlignment w:val="baseline"/>
              <w:rPr>
                <w:sz w:val="20"/>
              </w:rPr>
            </w:pPr>
            <w:r>
              <w:rPr>
                <w:sz w:val="20"/>
              </w:rPr>
              <w:t>K</w:t>
            </w:r>
          </w:p>
        </w:tc>
        <w:tc>
          <w:tcPr>
            <w:tcW w:w="333" w:type="pct"/>
          </w:tcPr>
          <w:p w14:paraId="2F5EFE57" w14:textId="77777777" w:rsidR="004C3029" w:rsidRDefault="004C3029" w:rsidP="001147CF">
            <w:pPr>
              <w:overflowPunct w:val="0"/>
              <w:ind w:left="-57" w:right="-57"/>
              <w:jc w:val="center"/>
              <w:textAlignment w:val="baseline"/>
              <w:rPr>
                <w:sz w:val="20"/>
              </w:rPr>
            </w:pPr>
            <w:r>
              <w:rPr>
                <w:sz w:val="20"/>
              </w:rPr>
              <w:t>–</w:t>
            </w:r>
          </w:p>
        </w:tc>
        <w:tc>
          <w:tcPr>
            <w:tcW w:w="308" w:type="pct"/>
          </w:tcPr>
          <w:p w14:paraId="6A500BEC" w14:textId="77777777" w:rsidR="004C3029" w:rsidRDefault="004C3029" w:rsidP="001147CF">
            <w:pPr>
              <w:overflowPunct w:val="0"/>
              <w:ind w:left="-57" w:right="-57"/>
              <w:jc w:val="center"/>
              <w:textAlignment w:val="baseline"/>
              <w:rPr>
                <w:sz w:val="20"/>
              </w:rPr>
            </w:pPr>
            <w:r>
              <w:rPr>
                <w:sz w:val="20"/>
              </w:rPr>
              <w:t>Taip</w:t>
            </w:r>
          </w:p>
        </w:tc>
        <w:tc>
          <w:tcPr>
            <w:tcW w:w="262" w:type="pct"/>
          </w:tcPr>
          <w:p w14:paraId="1BE63F0B" w14:textId="77777777" w:rsidR="004C3029" w:rsidRDefault="004C3029" w:rsidP="001147CF">
            <w:pPr>
              <w:overflowPunct w:val="0"/>
              <w:ind w:left="-57" w:right="-57"/>
              <w:jc w:val="center"/>
              <w:textAlignment w:val="baseline"/>
              <w:rPr>
                <w:sz w:val="20"/>
              </w:rPr>
            </w:pPr>
            <w:r>
              <w:rPr>
                <w:sz w:val="20"/>
              </w:rPr>
              <w:t>Ne</w:t>
            </w:r>
          </w:p>
        </w:tc>
        <w:tc>
          <w:tcPr>
            <w:tcW w:w="308" w:type="pct"/>
          </w:tcPr>
          <w:p w14:paraId="6B0D4875" w14:textId="77777777" w:rsidR="004C3029" w:rsidRDefault="004C3029" w:rsidP="001147CF">
            <w:pPr>
              <w:overflowPunct w:val="0"/>
              <w:spacing w:line="259" w:lineRule="auto"/>
              <w:ind w:left="-57" w:right="-57"/>
              <w:jc w:val="center"/>
              <w:textAlignment w:val="baseline"/>
              <w:rPr>
                <w:sz w:val="20"/>
              </w:rPr>
            </w:pPr>
            <w:r>
              <w:rPr>
                <w:sz w:val="20"/>
              </w:rPr>
              <w:t>D</w:t>
            </w:r>
          </w:p>
        </w:tc>
        <w:tc>
          <w:tcPr>
            <w:tcW w:w="307" w:type="pct"/>
          </w:tcPr>
          <w:p w14:paraId="77A1AAEF" w14:textId="430FAEE6" w:rsidR="004C3029" w:rsidRDefault="004C3029" w:rsidP="001147CF">
            <w:pPr>
              <w:overflowPunct w:val="0"/>
              <w:ind w:left="-57" w:right="-57"/>
              <w:jc w:val="center"/>
              <w:textAlignment w:val="baseline"/>
              <w:rPr>
                <w:sz w:val="20"/>
              </w:rPr>
            </w:pPr>
            <w:r>
              <w:rPr>
                <w:sz w:val="20"/>
              </w:rPr>
              <w:t>VVL: 30 226 (ES – 25 692, BF – 4</w:t>
            </w:r>
            <w:r w:rsidR="00072BBA">
              <w:rPr>
                <w:sz w:val="20"/>
              </w:rPr>
              <w:t xml:space="preserve"> </w:t>
            </w:r>
            <w:r>
              <w:rPr>
                <w:sz w:val="20"/>
              </w:rPr>
              <w:t>534)</w:t>
            </w:r>
          </w:p>
        </w:tc>
        <w:tc>
          <w:tcPr>
            <w:tcW w:w="308" w:type="pct"/>
          </w:tcPr>
          <w:p w14:paraId="10278B89" w14:textId="77777777" w:rsidR="004C3029" w:rsidRDefault="004C3029" w:rsidP="001147CF">
            <w:pPr>
              <w:overflowPunct w:val="0"/>
              <w:ind w:left="-57" w:right="-57"/>
              <w:jc w:val="center"/>
              <w:textAlignment w:val="baseline"/>
              <w:rPr>
                <w:sz w:val="20"/>
              </w:rPr>
            </w:pPr>
            <w:r>
              <w:rPr>
                <w:sz w:val="20"/>
              </w:rPr>
              <w:t>2021–2027 IP</w:t>
            </w:r>
          </w:p>
          <w:p w14:paraId="5820D239" w14:textId="77777777" w:rsidR="004C3029" w:rsidRDefault="004C3029" w:rsidP="001147CF">
            <w:pPr>
              <w:overflowPunct w:val="0"/>
              <w:ind w:left="-57" w:right="-57"/>
              <w:jc w:val="center"/>
              <w:textAlignment w:val="baseline"/>
              <w:rPr>
                <w:sz w:val="20"/>
              </w:rPr>
            </w:pPr>
          </w:p>
        </w:tc>
        <w:tc>
          <w:tcPr>
            <w:tcW w:w="437" w:type="pct"/>
          </w:tcPr>
          <w:p w14:paraId="7E2DAB2C" w14:textId="77777777" w:rsidR="004C3029" w:rsidRDefault="004C3029" w:rsidP="001147CF">
            <w:pPr>
              <w:overflowPunct w:val="0"/>
              <w:ind w:left="-57" w:right="-57"/>
              <w:textAlignment w:val="baseline"/>
              <w:rPr>
                <w:sz w:val="20"/>
              </w:rPr>
            </w:pPr>
            <w:r>
              <w:rPr>
                <w:sz w:val="20"/>
              </w:rPr>
              <w:t>Poveiklėse nurodyti rodikliai ir jų siektinos reikšmės</w:t>
            </w:r>
          </w:p>
        </w:tc>
        <w:tc>
          <w:tcPr>
            <w:tcW w:w="220" w:type="pct"/>
          </w:tcPr>
          <w:p w14:paraId="390CA85A" w14:textId="77777777" w:rsidR="004C3029" w:rsidRDefault="004C3029" w:rsidP="001147CF">
            <w:pPr>
              <w:overflowPunct w:val="0"/>
              <w:ind w:left="-57" w:right="-57"/>
              <w:jc w:val="center"/>
              <w:textAlignment w:val="baseline"/>
              <w:rPr>
                <w:sz w:val="20"/>
              </w:rPr>
            </w:pPr>
            <w:r>
              <w:rPr>
                <w:sz w:val="20"/>
              </w:rPr>
              <w:t>-</w:t>
            </w:r>
          </w:p>
        </w:tc>
        <w:tc>
          <w:tcPr>
            <w:tcW w:w="263" w:type="pct"/>
          </w:tcPr>
          <w:p w14:paraId="35A357CB"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tcPr>
          <w:p w14:paraId="566BCB14" w14:textId="77777777" w:rsidR="004C3029" w:rsidRDefault="004C3029" w:rsidP="001147CF">
            <w:pPr>
              <w:overflowPunct w:val="0"/>
              <w:spacing w:line="259" w:lineRule="auto"/>
              <w:ind w:left="-57" w:right="-57"/>
              <w:jc w:val="center"/>
              <w:textAlignment w:val="baseline"/>
              <w:rPr>
                <w:sz w:val="20"/>
              </w:rPr>
            </w:pPr>
            <w:r>
              <w:rPr>
                <w:sz w:val="20"/>
              </w:rPr>
              <w:t xml:space="preserve">CPVA </w:t>
            </w:r>
          </w:p>
        </w:tc>
        <w:tc>
          <w:tcPr>
            <w:tcW w:w="308" w:type="pct"/>
          </w:tcPr>
          <w:p w14:paraId="005AB149" w14:textId="77777777" w:rsidR="004C3029" w:rsidRDefault="004C3029" w:rsidP="001147CF">
            <w:pPr>
              <w:overflowPunct w:val="0"/>
              <w:ind w:left="-57" w:right="-57"/>
              <w:jc w:val="center"/>
              <w:textAlignment w:val="baseline"/>
              <w:rPr>
                <w:sz w:val="20"/>
              </w:rPr>
            </w:pPr>
            <w:r>
              <w:rPr>
                <w:sz w:val="20"/>
              </w:rPr>
              <w:t>-</w:t>
            </w:r>
          </w:p>
        </w:tc>
      </w:tr>
      <w:tr w:rsidR="004C3029" w14:paraId="7FE204A4" w14:textId="77777777" w:rsidTr="001147CF">
        <w:trPr>
          <w:trHeight w:val="571"/>
        </w:trPr>
        <w:tc>
          <w:tcPr>
            <w:tcW w:w="704" w:type="pct"/>
            <w:vMerge w:val="restart"/>
          </w:tcPr>
          <w:p w14:paraId="3ED1E456" w14:textId="77777777" w:rsidR="004C3029" w:rsidRDefault="004C3029" w:rsidP="001147CF">
            <w:pPr>
              <w:overflowPunct w:val="0"/>
              <w:ind w:left="-57" w:right="-57"/>
              <w:textAlignment w:val="baseline"/>
              <w:rPr>
                <w:sz w:val="20"/>
              </w:rPr>
            </w:pPr>
            <w:r>
              <w:rPr>
                <w:sz w:val="20"/>
              </w:rPr>
              <w:t xml:space="preserve">5.1. Sukurti ir įdiegti priemonių įtraukiajam ugdymui ir švietimo </w:t>
            </w:r>
            <w:r>
              <w:rPr>
                <w:sz w:val="20"/>
              </w:rPr>
              <w:lastRenderedPageBreak/>
              <w:t>pagalbai mokyklose, įgyvendinančiose ikimokyklinio ir priešmokyklinio ugdymo programas, paketą, užtikrinantį švietimo didesnį prieinamumą, visos dienos mokyklos paslaugas, aprūpinimą reikalingomis specialiojo ugdymo priemonėmis, specialiųjų ugdymosi poreikių turintiems vaikams</w:t>
            </w:r>
          </w:p>
        </w:tc>
        <w:tc>
          <w:tcPr>
            <w:tcW w:w="283" w:type="pct"/>
            <w:vMerge w:val="restart"/>
          </w:tcPr>
          <w:p w14:paraId="15319EA5"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Pr>
          <w:p w14:paraId="2B9FECE5" w14:textId="77777777" w:rsidR="004C3029" w:rsidRDefault="004C3029" w:rsidP="001147CF">
            <w:pPr>
              <w:overflowPunct w:val="0"/>
              <w:ind w:left="-57" w:right="-57"/>
              <w:jc w:val="center"/>
              <w:textAlignment w:val="baseline"/>
              <w:rPr>
                <w:sz w:val="20"/>
              </w:rPr>
            </w:pPr>
            <w:r>
              <w:rPr>
                <w:sz w:val="20"/>
              </w:rPr>
              <w:t xml:space="preserve">Savivaldybės, mokyklos, PMĮ </w:t>
            </w:r>
          </w:p>
        </w:tc>
        <w:tc>
          <w:tcPr>
            <w:tcW w:w="351" w:type="pct"/>
            <w:vMerge w:val="restart"/>
          </w:tcPr>
          <w:p w14:paraId="314FD593" w14:textId="77777777" w:rsidR="004C3029" w:rsidRDefault="004C3029" w:rsidP="001147CF">
            <w:pPr>
              <w:overflowPunct w:val="0"/>
              <w:ind w:left="-57" w:right="-57"/>
              <w:jc w:val="center"/>
              <w:textAlignment w:val="baseline"/>
              <w:rPr>
                <w:sz w:val="20"/>
              </w:rPr>
            </w:pPr>
            <w:r>
              <w:rPr>
                <w:sz w:val="20"/>
              </w:rPr>
              <w:t>K</w:t>
            </w:r>
          </w:p>
        </w:tc>
        <w:tc>
          <w:tcPr>
            <w:tcW w:w="333" w:type="pct"/>
            <w:vMerge w:val="restart"/>
          </w:tcPr>
          <w:p w14:paraId="5EC12DB6"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340379A2"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045DFF84"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25201F41" w14:textId="77777777" w:rsidR="004C3029" w:rsidRDefault="004C3029" w:rsidP="001147CF">
            <w:pPr>
              <w:overflowPunct w:val="0"/>
              <w:spacing w:line="259" w:lineRule="auto"/>
              <w:ind w:left="-57" w:right="-57"/>
              <w:jc w:val="center"/>
              <w:textAlignment w:val="baseline"/>
              <w:rPr>
                <w:sz w:val="20"/>
              </w:rPr>
            </w:pPr>
            <w:r>
              <w:rPr>
                <w:sz w:val="20"/>
              </w:rPr>
              <w:t>D</w:t>
            </w:r>
          </w:p>
        </w:tc>
        <w:tc>
          <w:tcPr>
            <w:tcW w:w="307" w:type="pct"/>
            <w:vMerge w:val="restart"/>
          </w:tcPr>
          <w:p w14:paraId="5C5BD235" w14:textId="3F338E67" w:rsidR="004C3029" w:rsidRDefault="004C3029" w:rsidP="001147CF">
            <w:pPr>
              <w:overflowPunct w:val="0"/>
              <w:ind w:left="-57" w:right="-57"/>
              <w:jc w:val="center"/>
              <w:textAlignment w:val="baseline"/>
              <w:rPr>
                <w:sz w:val="20"/>
              </w:rPr>
            </w:pPr>
            <w:r>
              <w:rPr>
                <w:sz w:val="20"/>
              </w:rPr>
              <w:t xml:space="preserve">VVL: </w:t>
            </w:r>
            <w:r w:rsidR="00133D07">
              <w:rPr>
                <w:sz w:val="20"/>
              </w:rPr>
              <w:t xml:space="preserve">511 </w:t>
            </w:r>
            <w:r>
              <w:rPr>
                <w:b/>
                <w:sz w:val="20"/>
              </w:rPr>
              <w:t>(</w:t>
            </w:r>
            <w:r>
              <w:rPr>
                <w:sz w:val="20"/>
              </w:rPr>
              <w:t>ES –</w:t>
            </w:r>
            <w:r w:rsidR="002C5919">
              <w:rPr>
                <w:sz w:val="20"/>
              </w:rPr>
              <w:t xml:space="preserve"> </w:t>
            </w:r>
            <w:r w:rsidR="003308AB">
              <w:rPr>
                <w:sz w:val="20"/>
              </w:rPr>
              <w:t>434</w:t>
            </w:r>
            <w:r>
              <w:rPr>
                <w:sz w:val="20"/>
              </w:rPr>
              <w:t xml:space="preserve">, BF – </w:t>
            </w:r>
            <w:r w:rsidR="003308AB">
              <w:rPr>
                <w:sz w:val="20"/>
              </w:rPr>
              <w:t>77</w:t>
            </w:r>
            <w:r>
              <w:rPr>
                <w:sz w:val="20"/>
              </w:rPr>
              <w:t>)</w:t>
            </w:r>
          </w:p>
        </w:tc>
        <w:tc>
          <w:tcPr>
            <w:tcW w:w="308" w:type="pct"/>
            <w:vMerge w:val="restart"/>
          </w:tcPr>
          <w:p w14:paraId="499C340A" w14:textId="77777777" w:rsidR="004C3029" w:rsidRDefault="004C3029" w:rsidP="001147CF">
            <w:pPr>
              <w:overflowPunct w:val="0"/>
              <w:ind w:left="-57" w:right="-57"/>
              <w:jc w:val="center"/>
              <w:textAlignment w:val="baseline"/>
              <w:rPr>
                <w:sz w:val="20"/>
              </w:rPr>
            </w:pPr>
            <w:r>
              <w:rPr>
                <w:sz w:val="20"/>
              </w:rPr>
              <w:t>2021–2027 IP</w:t>
            </w:r>
          </w:p>
          <w:p w14:paraId="088535FC" w14:textId="77777777" w:rsidR="004C3029" w:rsidRDefault="004C3029" w:rsidP="001147CF">
            <w:pPr>
              <w:overflowPunct w:val="0"/>
              <w:ind w:left="-57" w:right="-57"/>
              <w:jc w:val="center"/>
              <w:textAlignment w:val="baseline"/>
              <w:rPr>
                <w:sz w:val="20"/>
              </w:rPr>
            </w:pPr>
          </w:p>
        </w:tc>
        <w:tc>
          <w:tcPr>
            <w:tcW w:w="437" w:type="pct"/>
          </w:tcPr>
          <w:p w14:paraId="7974A98F" w14:textId="77777777" w:rsidR="004C3029" w:rsidRDefault="004C3029" w:rsidP="001147CF">
            <w:pPr>
              <w:overflowPunct w:val="0"/>
              <w:ind w:left="-57" w:right="-57"/>
              <w:textAlignment w:val="baseline"/>
              <w:rPr>
                <w:sz w:val="20"/>
              </w:rPr>
            </w:pPr>
            <w:r>
              <w:rPr>
                <w:sz w:val="20"/>
              </w:rPr>
              <w:t>P-12-003-03-02-01-06 Jaunesnių nei 18 metų vaikų skaičius</w:t>
            </w:r>
          </w:p>
        </w:tc>
        <w:tc>
          <w:tcPr>
            <w:tcW w:w="220" w:type="pct"/>
          </w:tcPr>
          <w:p w14:paraId="02F3C504" w14:textId="46B7BD24" w:rsidR="00881864" w:rsidRDefault="001E3AF0" w:rsidP="001147CF">
            <w:pPr>
              <w:overflowPunct w:val="0"/>
              <w:ind w:left="-57" w:right="-57"/>
              <w:jc w:val="center"/>
              <w:textAlignment w:val="baseline"/>
              <w:rPr>
                <w:sz w:val="20"/>
              </w:rPr>
            </w:pPr>
            <w:r>
              <w:rPr>
                <w:sz w:val="20"/>
              </w:rPr>
              <w:t>2</w:t>
            </w:r>
            <w:r w:rsidR="008A5C4D">
              <w:rPr>
                <w:sz w:val="20"/>
              </w:rPr>
              <w:t>22</w:t>
            </w:r>
          </w:p>
          <w:p w14:paraId="0B99C8D1" w14:textId="1938F8A3" w:rsidR="004C3029" w:rsidRDefault="004C3029" w:rsidP="001147CF">
            <w:pPr>
              <w:overflowPunct w:val="0"/>
              <w:ind w:left="-57" w:right="-57"/>
              <w:jc w:val="center"/>
              <w:textAlignment w:val="baseline"/>
              <w:rPr>
                <w:sz w:val="20"/>
              </w:rPr>
            </w:pPr>
          </w:p>
        </w:tc>
        <w:tc>
          <w:tcPr>
            <w:tcW w:w="263" w:type="pct"/>
            <w:vMerge w:val="restart"/>
          </w:tcPr>
          <w:p w14:paraId="25B9A2C3"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vMerge w:val="restart"/>
          </w:tcPr>
          <w:p w14:paraId="5DA5EC74"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416D0145" w14:textId="77777777" w:rsidR="004C3029" w:rsidRDefault="004C3029" w:rsidP="001147CF">
            <w:pPr>
              <w:overflowPunct w:val="0"/>
              <w:ind w:left="-57" w:right="-57"/>
              <w:jc w:val="center"/>
              <w:textAlignment w:val="baseline"/>
              <w:rPr>
                <w:sz w:val="20"/>
              </w:rPr>
            </w:pPr>
          </w:p>
          <w:p w14:paraId="0DD699D3" w14:textId="77777777" w:rsidR="004C3029" w:rsidRDefault="004C3029" w:rsidP="001147CF">
            <w:pPr>
              <w:overflowPunct w:val="0"/>
              <w:ind w:left="-57" w:right="-57"/>
              <w:jc w:val="center"/>
              <w:textAlignment w:val="baseline"/>
              <w:rPr>
                <w:sz w:val="20"/>
              </w:rPr>
            </w:pPr>
          </w:p>
          <w:p w14:paraId="7CD7DA63" w14:textId="77777777" w:rsidR="004C3029" w:rsidRDefault="004C3029" w:rsidP="001147CF">
            <w:pPr>
              <w:overflowPunct w:val="0"/>
              <w:ind w:left="-57" w:right="-57"/>
              <w:jc w:val="center"/>
              <w:textAlignment w:val="baseline"/>
              <w:rPr>
                <w:sz w:val="20"/>
              </w:rPr>
            </w:pPr>
          </w:p>
        </w:tc>
      </w:tr>
      <w:tr w:rsidR="004C3029" w14:paraId="01E24A2E" w14:textId="77777777" w:rsidTr="001147CF">
        <w:trPr>
          <w:trHeight w:val="591"/>
        </w:trPr>
        <w:tc>
          <w:tcPr>
            <w:tcW w:w="704" w:type="pct"/>
            <w:vMerge/>
          </w:tcPr>
          <w:p w14:paraId="1CD91160" w14:textId="77777777" w:rsidR="004C3029" w:rsidRDefault="004C3029" w:rsidP="001147CF">
            <w:pPr>
              <w:overflowPunct w:val="0"/>
              <w:ind w:left="-57" w:right="-57"/>
              <w:textAlignment w:val="baseline"/>
              <w:rPr>
                <w:sz w:val="20"/>
              </w:rPr>
            </w:pPr>
          </w:p>
        </w:tc>
        <w:tc>
          <w:tcPr>
            <w:tcW w:w="283" w:type="pct"/>
            <w:vMerge/>
          </w:tcPr>
          <w:p w14:paraId="4E7C44D9" w14:textId="77777777" w:rsidR="004C3029" w:rsidRDefault="004C3029" w:rsidP="001147CF">
            <w:pPr>
              <w:overflowPunct w:val="0"/>
              <w:ind w:left="-57" w:right="-57"/>
              <w:jc w:val="center"/>
              <w:textAlignment w:val="baseline"/>
              <w:rPr>
                <w:sz w:val="20"/>
              </w:rPr>
            </w:pPr>
          </w:p>
        </w:tc>
        <w:tc>
          <w:tcPr>
            <w:tcW w:w="282" w:type="pct"/>
            <w:vMerge/>
          </w:tcPr>
          <w:p w14:paraId="106A22C9" w14:textId="77777777" w:rsidR="004C3029" w:rsidRDefault="004C3029" w:rsidP="001147CF">
            <w:pPr>
              <w:overflowPunct w:val="0"/>
              <w:ind w:left="-57" w:right="-57"/>
              <w:jc w:val="center"/>
              <w:textAlignment w:val="baseline"/>
              <w:rPr>
                <w:sz w:val="20"/>
              </w:rPr>
            </w:pPr>
          </w:p>
        </w:tc>
        <w:tc>
          <w:tcPr>
            <w:tcW w:w="351" w:type="pct"/>
            <w:vMerge/>
          </w:tcPr>
          <w:p w14:paraId="52C5265A" w14:textId="77777777" w:rsidR="004C3029" w:rsidRDefault="004C3029" w:rsidP="001147CF">
            <w:pPr>
              <w:overflowPunct w:val="0"/>
              <w:ind w:left="-57" w:right="-57"/>
              <w:jc w:val="center"/>
              <w:textAlignment w:val="baseline"/>
              <w:rPr>
                <w:sz w:val="20"/>
              </w:rPr>
            </w:pPr>
          </w:p>
        </w:tc>
        <w:tc>
          <w:tcPr>
            <w:tcW w:w="333" w:type="pct"/>
            <w:vMerge/>
          </w:tcPr>
          <w:p w14:paraId="705D2069" w14:textId="77777777" w:rsidR="004C3029" w:rsidRDefault="004C3029" w:rsidP="001147CF">
            <w:pPr>
              <w:overflowPunct w:val="0"/>
              <w:ind w:left="-57" w:right="-57"/>
              <w:jc w:val="center"/>
              <w:textAlignment w:val="baseline"/>
              <w:rPr>
                <w:sz w:val="20"/>
              </w:rPr>
            </w:pPr>
          </w:p>
        </w:tc>
        <w:tc>
          <w:tcPr>
            <w:tcW w:w="308" w:type="pct"/>
            <w:vMerge/>
          </w:tcPr>
          <w:p w14:paraId="3FB1548E" w14:textId="77777777" w:rsidR="004C3029" w:rsidRDefault="004C3029" w:rsidP="001147CF">
            <w:pPr>
              <w:overflowPunct w:val="0"/>
              <w:ind w:left="-57" w:right="-57"/>
              <w:jc w:val="center"/>
              <w:textAlignment w:val="baseline"/>
              <w:rPr>
                <w:sz w:val="20"/>
              </w:rPr>
            </w:pPr>
          </w:p>
        </w:tc>
        <w:tc>
          <w:tcPr>
            <w:tcW w:w="262" w:type="pct"/>
            <w:vMerge/>
          </w:tcPr>
          <w:p w14:paraId="1105A188" w14:textId="77777777" w:rsidR="004C3029" w:rsidRDefault="004C3029" w:rsidP="001147CF">
            <w:pPr>
              <w:overflowPunct w:val="0"/>
              <w:ind w:left="-57" w:right="-57"/>
              <w:jc w:val="center"/>
              <w:textAlignment w:val="baseline"/>
              <w:rPr>
                <w:sz w:val="20"/>
              </w:rPr>
            </w:pPr>
          </w:p>
        </w:tc>
        <w:tc>
          <w:tcPr>
            <w:tcW w:w="308" w:type="pct"/>
            <w:vMerge/>
          </w:tcPr>
          <w:p w14:paraId="20129EFF" w14:textId="77777777" w:rsidR="004C3029" w:rsidRDefault="004C3029" w:rsidP="001147CF">
            <w:pPr>
              <w:overflowPunct w:val="0"/>
              <w:ind w:left="-57" w:right="-57"/>
              <w:jc w:val="center"/>
              <w:textAlignment w:val="baseline"/>
              <w:rPr>
                <w:sz w:val="20"/>
              </w:rPr>
            </w:pPr>
          </w:p>
        </w:tc>
        <w:tc>
          <w:tcPr>
            <w:tcW w:w="307" w:type="pct"/>
            <w:vMerge/>
          </w:tcPr>
          <w:p w14:paraId="056A6625" w14:textId="77777777" w:rsidR="004C3029" w:rsidRDefault="004C3029" w:rsidP="001147CF">
            <w:pPr>
              <w:overflowPunct w:val="0"/>
              <w:ind w:left="-57" w:right="-57"/>
              <w:jc w:val="center"/>
              <w:textAlignment w:val="baseline"/>
              <w:rPr>
                <w:sz w:val="20"/>
              </w:rPr>
            </w:pPr>
          </w:p>
        </w:tc>
        <w:tc>
          <w:tcPr>
            <w:tcW w:w="308" w:type="pct"/>
            <w:vMerge/>
          </w:tcPr>
          <w:p w14:paraId="5DDD542F" w14:textId="77777777" w:rsidR="004C3029" w:rsidRDefault="004C3029" w:rsidP="001147CF">
            <w:pPr>
              <w:overflowPunct w:val="0"/>
              <w:ind w:left="-57" w:right="-57"/>
              <w:jc w:val="center"/>
              <w:textAlignment w:val="baseline"/>
              <w:rPr>
                <w:sz w:val="20"/>
              </w:rPr>
            </w:pPr>
          </w:p>
        </w:tc>
        <w:tc>
          <w:tcPr>
            <w:tcW w:w="437" w:type="pct"/>
          </w:tcPr>
          <w:p w14:paraId="0EF37880" w14:textId="77777777" w:rsidR="004C3029" w:rsidRDefault="004C3029" w:rsidP="001147CF">
            <w:pPr>
              <w:overflowPunct w:val="0"/>
              <w:ind w:left="-57" w:right="-57"/>
              <w:textAlignment w:val="baseline"/>
              <w:rPr>
                <w:sz w:val="20"/>
              </w:rPr>
            </w:pPr>
            <w:r>
              <w:rPr>
                <w:sz w:val="20"/>
              </w:rPr>
              <w:t>R – Švietimo pagalbą ne trumpiau kaip 3 mėnesius gavusių vaikų, dalis</w:t>
            </w:r>
          </w:p>
        </w:tc>
        <w:tc>
          <w:tcPr>
            <w:tcW w:w="220" w:type="pct"/>
          </w:tcPr>
          <w:p w14:paraId="2D628FC8" w14:textId="77777777" w:rsidR="004C3029" w:rsidRDefault="004C3029" w:rsidP="001147CF">
            <w:pPr>
              <w:overflowPunct w:val="0"/>
              <w:ind w:left="-57" w:right="-57"/>
              <w:jc w:val="center"/>
              <w:textAlignment w:val="baseline"/>
              <w:rPr>
                <w:sz w:val="20"/>
              </w:rPr>
            </w:pPr>
            <w:r>
              <w:rPr>
                <w:sz w:val="20"/>
              </w:rPr>
              <w:t>85</w:t>
            </w:r>
          </w:p>
        </w:tc>
        <w:tc>
          <w:tcPr>
            <w:tcW w:w="263" w:type="pct"/>
            <w:vMerge/>
          </w:tcPr>
          <w:p w14:paraId="3932B7DC" w14:textId="77777777" w:rsidR="004C3029" w:rsidRDefault="004C3029" w:rsidP="001147CF">
            <w:pPr>
              <w:overflowPunct w:val="0"/>
              <w:ind w:left="-57" w:right="-57"/>
              <w:jc w:val="center"/>
              <w:textAlignment w:val="baseline"/>
              <w:rPr>
                <w:sz w:val="20"/>
              </w:rPr>
            </w:pPr>
          </w:p>
        </w:tc>
        <w:tc>
          <w:tcPr>
            <w:tcW w:w="326" w:type="pct"/>
            <w:vMerge/>
          </w:tcPr>
          <w:p w14:paraId="69C44258" w14:textId="77777777" w:rsidR="004C3029" w:rsidRDefault="004C3029" w:rsidP="001147CF">
            <w:pPr>
              <w:overflowPunct w:val="0"/>
              <w:ind w:left="-57" w:right="-57"/>
              <w:jc w:val="center"/>
              <w:textAlignment w:val="baseline"/>
              <w:rPr>
                <w:sz w:val="20"/>
              </w:rPr>
            </w:pPr>
          </w:p>
        </w:tc>
        <w:tc>
          <w:tcPr>
            <w:tcW w:w="308" w:type="pct"/>
            <w:vMerge/>
          </w:tcPr>
          <w:p w14:paraId="2932187D" w14:textId="77777777" w:rsidR="004C3029" w:rsidRDefault="004C3029" w:rsidP="001147CF">
            <w:pPr>
              <w:overflowPunct w:val="0"/>
              <w:ind w:left="-57" w:right="-57"/>
              <w:jc w:val="center"/>
              <w:textAlignment w:val="baseline"/>
              <w:rPr>
                <w:sz w:val="20"/>
              </w:rPr>
            </w:pPr>
          </w:p>
        </w:tc>
      </w:tr>
      <w:tr w:rsidR="004C3029" w14:paraId="2B633829" w14:textId="77777777" w:rsidTr="001147CF">
        <w:trPr>
          <w:trHeight w:val="691"/>
        </w:trPr>
        <w:tc>
          <w:tcPr>
            <w:tcW w:w="704" w:type="pct"/>
            <w:vMerge/>
          </w:tcPr>
          <w:p w14:paraId="61448739" w14:textId="77777777" w:rsidR="004C3029" w:rsidRDefault="004C3029" w:rsidP="001147CF">
            <w:pPr>
              <w:overflowPunct w:val="0"/>
              <w:ind w:left="-57" w:right="-57"/>
              <w:textAlignment w:val="baseline"/>
              <w:rPr>
                <w:sz w:val="20"/>
              </w:rPr>
            </w:pPr>
          </w:p>
        </w:tc>
        <w:tc>
          <w:tcPr>
            <w:tcW w:w="283" w:type="pct"/>
            <w:vMerge/>
          </w:tcPr>
          <w:p w14:paraId="1D047E9D" w14:textId="77777777" w:rsidR="004C3029" w:rsidRDefault="004C3029" w:rsidP="001147CF">
            <w:pPr>
              <w:overflowPunct w:val="0"/>
              <w:ind w:left="-57" w:right="-57"/>
              <w:jc w:val="center"/>
              <w:textAlignment w:val="baseline"/>
              <w:rPr>
                <w:sz w:val="20"/>
              </w:rPr>
            </w:pPr>
          </w:p>
        </w:tc>
        <w:tc>
          <w:tcPr>
            <w:tcW w:w="282" w:type="pct"/>
            <w:vMerge/>
          </w:tcPr>
          <w:p w14:paraId="5079FC8A" w14:textId="77777777" w:rsidR="004C3029" w:rsidRDefault="004C3029" w:rsidP="001147CF">
            <w:pPr>
              <w:overflowPunct w:val="0"/>
              <w:ind w:left="-57" w:right="-57"/>
              <w:jc w:val="center"/>
              <w:textAlignment w:val="baseline"/>
              <w:rPr>
                <w:sz w:val="20"/>
              </w:rPr>
            </w:pPr>
          </w:p>
        </w:tc>
        <w:tc>
          <w:tcPr>
            <w:tcW w:w="351" w:type="pct"/>
            <w:vMerge/>
          </w:tcPr>
          <w:p w14:paraId="72DA1A1D" w14:textId="77777777" w:rsidR="004C3029" w:rsidRDefault="004C3029" w:rsidP="001147CF">
            <w:pPr>
              <w:overflowPunct w:val="0"/>
              <w:ind w:left="-57" w:right="-57"/>
              <w:jc w:val="center"/>
              <w:textAlignment w:val="baseline"/>
              <w:rPr>
                <w:sz w:val="20"/>
              </w:rPr>
            </w:pPr>
          </w:p>
        </w:tc>
        <w:tc>
          <w:tcPr>
            <w:tcW w:w="333" w:type="pct"/>
            <w:vMerge/>
          </w:tcPr>
          <w:p w14:paraId="3428BE86" w14:textId="77777777" w:rsidR="004C3029" w:rsidRDefault="004C3029" w:rsidP="001147CF">
            <w:pPr>
              <w:overflowPunct w:val="0"/>
              <w:ind w:left="-57" w:right="-57"/>
              <w:jc w:val="center"/>
              <w:textAlignment w:val="baseline"/>
              <w:rPr>
                <w:sz w:val="20"/>
              </w:rPr>
            </w:pPr>
          </w:p>
        </w:tc>
        <w:tc>
          <w:tcPr>
            <w:tcW w:w="308" w:type="pct"/>
            <w:vMerge/>
          </w:tcPr>
          <w:p w14:paraId="1A21FB6A" w14:textId="77777777" w:rsidR="004C3029" w:rsidRDefault="004C3029" w:rsidP="001147CF">
            <w:pPr>
              <w:overflowPunct w:val="0"/>
              <w:ind w:left="-57" w:right="-57"/>
              <w:jc w:val="center"/>
              <w:textAlignment w:val="baseline"/>
              <w:rPr>
                <w:sz w:val="20"/>
              </w:rPr>
            </w:pPr>
          </w:p>
        </w:tc>
        <w:tc>
          <w:tcPr>
            <w:tcW w:w="262" w:type="pct"/>
            <w:vMerge/>
          </w:tcPr>
          <w:p w14:paraId="24B6D818" w14:textId="77777777" w:rsidR="004C3029" w:rsidRDefault="004C3029" w:rsidP="001147CF">
            <w:pPr>
              <w:overflowPunct w:val="0"/>
              <w:ind w:left="-57" w:right="-57"/>
              <w:jc w:val="center"/>
              <w:textAlignment w:val="baseline"/>
              <w:rPr>
                <w:sz w:val="20"/>
              </w:rPr>
            </w:pPr>
          </w:p>
        </w:tc>
        <w:tc>
          <w:tcPr>
            <w:tcW w:w="308" w:type="pct"/>
            <w:vMerge/>
          </w:tcPr>
          <w:p w14:paraId="158CC83E" w14:textId="77777777" w:rsidR="004C3029" w:rsidRDefault="004C3029" w:rsidP="001147CF">
            <w:pPr>
              <w:overflowPunct w:val="0"/>
              <w:ind w:left="-57" w:right="-57"/>
              <w:jc w:val="center"/>
              <w:textAlignment w:val="baseline"/>
              <w:rPr>
                <w:sz w:val="20"/>
              </w:rPr>
            </w:pPr>
          </w:p>
        </w:tc>
        <w:tc>
          <w:tcPr>
            <w:tcW w:w="307" w:type="pct"/>
            <w:vMerge/>
          </w:tcPr>
          <w:p w14:paraId="54EABCDA" w14:textId="77777777" w:rsidR="004C3029" w:rsidRDefault="004C3029" w:rsidP="001147CF">
            <w:pPr>
              <w:overflowPunct w:val="0"/>
              <w:ind w:left="-57" w:right="-57"/>
              <w:jc w:val="center"/>
              <w:textAlignment w:val="baseline"/>
              <w:rPr>
                <w:sz w:val="20"/>
              </w:rPr>
            </w:pPr>
          </w:p>
        </w:tc>
        <w:tc>
          <w:tcPr>
            <w:tcW w:w="308" w:type="pct"/>
            <w:vMerge/>
          </w:tcPr>
          <w:p w14:paraId="4C5BD83A" w14:textId="77777777" w:rsidR="004C3029" w:rsidRDefault="004C3029" w:rsidP="001147CF">
            <w:pPr>
              <w:overflowPunct w:val="0"/>
              <w:ind w:left="-57" w:right="-57"/>
              <w:jc w:val="center"/>
              <w:textAlignment w:val="baseline"/>
              <w:rPr>
                <w:sz w:val="20"/>
              </w:rPr>
            </w:pPr>
          </w:p>
        </w:tc>
        <w:tc>
          <w:tcPr>
            <w:tcW w:w="437" w:type="pct"/>
          </w:tcPr>
          <w:p w14:paraId="7A830B86" w14:textId="77777777" w:rsidR="004C3029" w:rsidRDefault="004C3029" w:rsidP="001147CF">
            <w:pPr>
              <w:overflowPunct w:val="0"/>
              <w:ind w:left="-57" w:right="-57"/>
              <w:textAlignment w:val="baseline"/>
              <w:rPr>
                <w:sz w:val="20"/>
              </w:rPr>
            </w:pPr>
            <w:r>
              <w:rPr>
                <w:sz w:val="20"/>
              </w:rPr>
              <w:t>P-12-003-03-02-01-07</w:t>
            </w:r>
            <w:r>
              <w:rPr>
                <w:sz w:val="18"/>
                <w:szCs w:val="18"/>
              </w:rPr>
              <w:t xml:space="preserve"> </w:t>
            </w:r>
            <w:r>
              <w:rPr>
                <w:sz w:val="20"/>
              </w:rPr>
              <w:t>Asmenys, turintys tretinį (ISCED 5–8 kodai) išsilavinimą</w:t>
            </w:r>
          </w:p>
        </w:tc>
        <w:tc>
          <w:tcPr>
            <w:tcW w:w="220" w:type="pct"/>
          </w:tcPr>
          <w:p w14:paraId="3D3687BB" w14:textId="0EB1BA2C" w:rsidR="00881864" w:rsidRDefault="0096756F" w:rsidP="001147CF">
            <w:pPr>
              <w:overflowPunct w:val="0"/>
              <w:ind w:left="-57" w:right="-57"/>
              <w:jc w:val="center"/>
              <w:textAlignment w:val="baseline"/>
              <w:rPr>
                <w:sz w:val="20"/>
              </w:rPr>
            </w:pPr>
            <w:r>
              <w:rPr>
                <w:sz w:val="20"/>
              </w:rPr>
              <w:t>50</w:t>
            </w:r>
          </w:p>
          <w:p w14:paraId="105E0772" w14:textId="39A74CD9" w:rsidR="004C3029" w:rsidRDefault="004C3029" w:rsidP="001147CF">
            <w:pPr>
              <w:overflowPunct w:val="0"/>
              <w:ind w:left="-57" w:right="-57"/>
              <w:jc w:val="center"/>
              <w:textAlignment w:val="baseline"/>
              <w:rPr>
                <w:sz w:val="20"/>
              </w:rPr>
            </w:pPr>
          </w:p>
        </w:tc>
        <w:tc>
          <w:tcPr>
            <w:tcW w:w="263" w:type="pct"/>
            <w:vMerge/>
          </w:tcPr>
          <w:p w14:paraId="02506C52" w14:textId="77777777" w:rsidR="004C3029" w:rsidRDefault="004C3029" w:rsidP="001147CF">
            <w:pPr>
              <w:overflowPunct w:val="0"/>
              <w:ind w:left="-57" w:right="-57"/>
              <w:jc w:val="center"/>
              <w:textAlignment w:val="baseline"/>
              <w:rPr>
                <w:sz w:val="20"/>
              </w:rPr>
            </w:pPr>
          </w:p>
        </w:tc>
        <w:tc>
          <w:tcPr>
            <w:tcW w:w="326" w:type="pct"/>
            <w:vMerge/>
          </w:tcPr>
          <w:p w14:paraId="62583957" w14:textId="77777777" w:rsidR="004C3029" w:rsidRDefault="004C3029" w:rsidP="001147CF">
            <w:pPr>
              <w:overflowPunct w:val="0"/>
              <w:ind w:left="-57" w:right="-57"/>
              <w:jc w:val="center"/>
              <w:textAlignment w:val="baseline"/>
              <w:rPr>
                <w:sz w:val="20"/>
              </w:rPr>
            </w:pPr>
          </w:p>
        </w:tc>
        <w:tc>
          <w:tcPr>
            <w:tcW w:w="308" w:type="pct"/>
            <w:vMerge/>
          </w:tcPr>
          <w:p w14:paraId="6D9C973F" w14:textId="77777777" w:rsidR="004C3029" w:rsidRDefault="004C3029" w:rsidP="001147CF">
            <w:pPr>
              <w:overflowPunct w:val="0"/>
              <w:ind w:left="-57" w:right="-57"/>
              <w:jc w:val="center"/>
              <w:textAlignment w:val="baseline"/>
              <w:rPr>
                <w:sz w:val="20"/>
              </w:rPr>
            </w:pPr>
          </w:p>
        </w:tc>
      </w:tr>
      <w:tr w:rsidR="004C3029" w14:paraId="4DBE02D6" w14:textId="77777777" w:rsidTr="001147CF">
        <w:trPr>
          <w:trHeight w:val="799"/>
        </w:trPr>
        <w:tc>
          <w:tcPr>
            <w:tcW w:w="704" w:type="pct"/>
            <w:vMerge/>
          </w:tcPr>
          <w:p w14:paraId="186E4281" w14:textId="77777777" w:rsidR="004C3029" w:rsidRDefault="004C3029" w:rsidP="001147CF">
            <w:pPr>
              <w:overflowPunct w:val="0"/>
              <w:ind w:left="-57" w:right="-57"/>
              <w:textAlignment w:val="baseline"/>
              <w:rPr>
                <w:sz w:val="20"/>
              </w:rPr>
            </w:pPr>
          </w:p>
        </w:tc>
        <w:tc>
          <w:tcPr>
            <w:tcW w:w="283" w:type="pct"/>
            <w:vMerge/>
          </w:tcPr>
          <w:p w14:paraId="58FA1EE3" w14:textId="77777777" w:rsidR="004C3029" w:rsidRDefault="004C3029" w:rsidP="001147CF">
            <w:pPr>
              <w:overflowPunct w:val="0"/>
              <w:ind w:left="-57" w:right="-57"/>
              <w:jc w:val="center"/>
              <w:textAlignment w:val="baseline"/>
              <w:rPr>
                <w:sz w:val="20"/>
              </w:rPr>
            </w:pPr>
          </w:p>
        </w:tc>
        <w:tc>
          <w:tcPr>
            <w:tcW w:w="282" w:type="pct"/>
            <w:vMerge/>
          </w:tcPr>
          <w:p w14:paraId="0E7FC402" w14:textId="77777777" w:rsidR="004C3029" w:rsidRDefault="004C3029" w:rsidP="001147CF">
            <w:pPr>
              <w:overflowPunct w:val="0"/>
              <w:ind w:left="-57" w:right="-57"/>
              <w:jc w:val="center"/>
              <w:textAlignment w:val="baseline"/>
              <w:rPr>
                <w:sz w:val="20"/>
              </w:rPr>
            </w:pPr>
          </w:p>
        </w:tc>
        <w:tc>
          <w:tcPr>
            <w:tcW w:w="351" w:type="pct"/>
            <w:vMerge/>
          </w:tcPr>
          <w:p w14:paraId="568F3686" w14:textId="77777777" w:rsidR="004C3029" w:rsidRDefault="004C3029" w:rsidP="001147CF">
            <w:pPr>
              <w:overflowPunct w:val="0"/>
              <w:ind w:left="-57" w:right="-57"/>
              <w:jc w:val="center"/>
              <w:textAlignment w:val="baseline"/>
              <w:rPr>
                <w:sz w:val="20"/>
              </w:rPr>
            </w:pPr>
          </w:p>
        </w:tc>
        <w:tc>
          <w:tcPr>
            <w:tcW w:w="333" w:type="pct"/>
            <w:vMerge/>
          </w:tcPr>
          <w:p w14:paraId="4F2B9C8E" w14:textId="77777777" w:rsidR="004C3029" w:rsidRDefault="004C3029" w:rsidP="001147CF">
            <w:pPr>
              <w:overflowPunct w:val="0"/>
              <w:ind w:left="-57" w:right="-57"/>
              <w:jc w:val="center"/>
              <w:textAlignment w:val="baseline"/>
              <w:rPr>
                <w:sz w:val="20"/>
              </w:rPr>
            </w:pPr>
          </w:p>
        </w:tc>
        <w:tc>
          <w:tcPr>
            <w:tcW w:w="308" w:type="pct"/>
            <w:vMerge/>
          </w:tcPr>
          <w:p w14:paraId="5721C050" w14:textId="77777777" w:rsidR="004C3029" w:rsidRDefault="004C3029" w:rsidP="001147CF">
            <w:pPr>
              <w:overflowPunct w:val="0"/>
              <w:ind w:left="-57" w:right="-57"/>
              <w:jc w:val="center"/>
              <w:textAlignment w:val="baseline"/>
              <w:rPr>
                <w:sz w:val="20"/>
              </w:rPr>
            </w:pPr>
          </w:p>
        </w:tc>
        <w:tc>
          <w:tcPr>
            <w:tcW w:w="262" w:type="pct"/>
            <w:vMerge/>
          </w:tcPr>
          <w:p w14:paraId="44DB96E7" w14:textId="77777777" w:rsidR="004C3029" w:rsidRDefault="004C3029" w:rsidP="001147CF">
            <w:pPr>
              <w:overflowPunct w:val="0"/>
              <w:ind w:left="-57" w:right="-57"/>
              <w:jc w:val="center"/>
              <w:textAlignment w:val="baseline"/>
              <w:rPr>
                <w:sz w:val="20"/>
              </w:rPr>
            </w:pPr>
          </w:p>
        </w:tc>
        <w:tc>
          <w:tcPr>
            <w:tcW w:w="308" w:type="pct"/>
            <w:vMerge/>
          </w:tcPr>
          <w:p w14:paraId="3738ED97" w14:textId="77777777" w:rsidR="004C3029" w:rsidRDefault="004C3029" w:rsidP="001147CF">
            <w:pPr>
              <w:overflowPunct w:val="0"/>
              <w:ind w:left="-57" w:right="-57"/>
              <w:jc w:val="center"/>
              <w:textAlignment w:val="baseline"/>
              <w:rPr>
                <w:sz w:val="20"/>
              </w:rPr>
            </w:pPr>
          </w:p>
        </w:tc>
        <w:tc>
          <w:tcPr>
            <w:tcW w:w="307" w:type="pct"/>
            <w:vMerge/>
          </w:tcPr>
          <w:p w14:paraId="1DFF933F" w14:textId="77777777" w:rsidR="004C3029" w:rsidRDefault="004C3029" w:rsidP="001147CF">
            <w:pPr>
              <w:overflowPunct w:val="0"/>
              <w:ind w:left="-57" w:right="-57"/>
              <w:jc w:val="center"/>
              <w:textAlignment w:val="baseline"/>
              <w:rPr>
                <w:sz w:val="20"/>
              </w:rPr>
            </w:pPr>
          </w:p>
        </w:tc>
        <w:tc>
          <w:tcPr>
            <w:tcW w:w="308" w:type="pct"/>
            <w:vMerge/>
          </w:tcPr>
          <w:p w14:paraId="70C0A61C" w14:textId="77777777" w:rsidR="004C3029" w:rsidRDefault="004C3029" w:rsidP="001147CF">
            <w:pPr>
              <w:overflowPunct w:val="0"/>
              <w:ind w:left="-57" w:right="-57"/>
              <w:jc w:val="center"/>
              <w:textAlignment w:val="baseline"/>
              <w:rPr>
                <w:sz w:val="20"/>
              </w:rPr>
            </w:pPr>
          </w:p>
        </w:tc>
        <w:tc>
          <w:tcPr>
            <w:tcW w:w="437" w:type="pct"/>
          </w:tcPr>
          <w:p w14:paraId="29B1724A" w14:textId="77777777" w:rsidR="004C3029" w:rsidRDefault="004C3029" w:rsidP="001147CF">
            <w:pPr>
              <w:overflowPunct w:val="0"/>
              <w:ind w:left="-57" w:right="-57"/>
              <w:textAlignment w:val="baseline"/>
              <w:rPr>
                <w:sz w:val="20"/>
              </w:rPr>
            </w:pPr>
            <w:r>
              <w:rPr>
                <w:sz w:val="20"/>
              </w:rPr>
              <w:t>R – Asmenų, kurie dalyvavę mokymuose įgijo kompetenciją, dalis</w:t>
            </w:r>
          </w:p>
        </w:tc>
        <w:tc>
          <w:tcPr>
            <w:tcW w:w="220" w:type="pct"/>
          </w:tcPr>
          <w:p w14:paraId="177A4CF0" w14:textId="77777777" w:rsidR="004C3029" w:rsidRDefault="004C3029" w:rsidP="001147CF">
            <w:pPr>
              <w:overflowPunct w:val="0"/>
              <w:ind w:left="-57" w:right="-57"/>
              <w:jc w:val="center"/>
              <w:textAlignment w:val="baseline"/>
              <w:rPr>
                <w:sz w:val="20"/>
              </w:rPr>
            </w:pPr>
            <w:r>
              <w:rPr>
                <w:sz w:val="20"/>
              </w:rPr>
              <w:t>80</w:t>
            </w:r>
          </w:p>
        </w:tc>
        <w:tc>
          <w:tcPr>
            <w:tcW w:w="263" w:type="pct"/>
            <w:vMerge/>
          </w:tcPr>
          <w:p w14:paraId="49E654AD" w14:textId="77777777" w:rsidR="004C3029" w:rsidRDefault="004C3029" w:rsidP="001147CF">
            <w:pPr>
              <w:overflowPunct w:val="0"/>
              <w:ind w:left="-57" w:right="-57"/>
              <w:jc w:val="center"/>
              <w:textAlignment w:val="baseline"/>
              <w:rPr>
                <w:sz w:val="20"/>
              </w:rPr>
            </w:pPr>
          </w:p>
        </w:tc>
        <w:tc>
          <w:tcPr>
            <w:tcW w:w="326" w:type="pct"/>
            <w:vMerge/>
          </w:tcPr>
          <w:p w14:paraId="244B413F" w14:textId="77777777" w:rsidR="004C3029" w:rsidRDefault="004C3029" w:rsidP="001147CF">
            <w:pPr>
              <w:overflowPunct w:val="0"/>
              <w:ind w:left="-57" w:right="-57"/>
              <w:jc w:val="center"/>
              <w:textAlignment w:val="baseline"/>
              <w:rPr>
                <w:sz w:val="20"/>
              </w:rPr>
            </w:pPr>
          </w:p>
        </w:tc>
        <w:tc>
          <w:tcPr>
            <w:tcW w:w="308" w:type="pct"/>
            <w:vMerge/>
          </w:tcPr>
          <w:p w14:paraId="7612E3E7" w14:textId="77777777" w:rsidR="004C3029" w:rsidRDefault="004C3029" w:rsidP="001147CF">
            <w:pPr>
              <w:overflowPunct w:val="0"/>
              <w:ind w:left="-57" w:right="-57"/>
              <w:jc w:val="center"/>
              <w:textAlignment w:val="baseline"/>
              <w:rPr>
                <w:sz w:val="20"/>
              </w:rPr>
            </w:pPr>
          </w:p>
        </w:tc>
      </w:tr>
      <w:tr w:rsidR="004C3029" w14:paraId="2DA90C74" w14:textId="77777777" w:rsidTr="001147CF">
        <w:trPr>
          <w:trHeight w:val="494"/>
        </w:trPr>
        <w:tc>
          <w:tcPr>
            <w:tcW w:w="704" w:type="pct"/>
            <w:vMerge w:val="restart"/>
          </w:tcPr>
          <w:p w14:paraId="0D7FB791" w14:textId="77777777" w:rsidR="004C3029" w:rsidRDefault="004C3029" w:rsidP="001147CF">
            <w:pPr>
              <w:overflowPunct w:val="0"/>
              <w:ind w:left="-57" w:right="-57"/>
              <w:textAlignment w:val="baseline"/>
              <w:rPr>
                <w:sz w:val="20"/>
              </w:rPr>
            </w:pPr>
            <w:r>
              <w:rPr>
                <w:sz w:val="20"/>
              </w:rPr>
              <w:t xml:space="preserve">5.2. Sukurti ir įdiegti priemonių įtraukiajam ugdymui ir švietimo pagalbai bendrojo ugdymo mokyklose paketą, užtikrinantį švietimo didesnį </w:t>
            </w:r>
            <w:r>
              <w:rPr>
                <w:sz w:val="20"/>
              </w:rPr>
              <w:lastRenderedPageBreak/>
              <w:t>prieinamumą, visos dienos mokyklos paslaugas, aprūpinimą reikalingomis specialiojo ugdymo priemonėmis, specialiųjų ugdymosi poreikių turintiems vaikams</w:t>
            </w:r>
          </w:p>
        </w:tc>
        <w:tc>
          <w:tcPr>
            <w:tcW w:w="283" w:type="pct"/>
            <w:vMerge w:val="restart"/>
          </w:tcPr>
          <w:p w14:paraId="77B1F7C2"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vMerge w:val="restart"/>
          </w:tcPr>
          <w:p w14:paraId="017AD5A0" w14:textId="77777777" w:rsidR="004C3029" w:rsidRDefault="004C3029" w:rsidP="001147CF">
            <w:pPr>
              <w:overflowPunct w:val="0"/>
              <w:ind w:left="-57" w:right="-57"/>
              <w:jc w:val="center"/>
              <w:textAlignment w:val="baseline"/>
              <w:rPr>
                <w:sz w:val="20"/>
              </w:rPr>
            </w:pPr>
            <w:r>
              <w:rPr>
                <w:sz w:val="20"/>
              </w:rPr>
              <w:t>Savivaldybės, mokyklos, PMĮ</w:t>
            </w:r>
          </w:p>
        </w:tc>
        <w:tc>
          <w:tcPr>
            <w:tcW w:w="351" w:type="pct"/>
            <w:vMerge w:val="restart"/>
          </w:tcPr>
          <w:p w14:paraId="6062103F" w14:textId="77777777" w:rsidR="004C3029" w:rsidRDefault="004C3029" w:rsidP="001147CF">
            <w:pPr>
              <w:overflowPunct w:val="0"/>
              <w:ind w:left="-57" w:right="-57"/>
              <w:jc w:val="center"/>
              <w:textAlignment w:val="baseline"/>
              <w:rPr>
                <w:sz w:val="20"/>
              </w:rPr>
            </w:pPr>
            <w:r>
              <w:rPr>
                <w:sz w:val="20"/>
              </w:rPr>
              <w:t>K</w:t>
            </w:r>
          </w:p>
        </w:tc>
        <w:tc>
          <w:tcPr>
            <w:tcW w:w="333" w:type="pct"/>
            <w:vMerge w:val="restart"/>
          </w:tcPr>
          <w:p w14:paraId="2D1638C6" w14:textId="77777777" w:rsidR="004C3029" w:rsidRDefault="004C3029" w:rsidP="001147CF">
            <w:pPr>
              <w:overflowPunct w:val="0"/>
              <w:ind w:left="-57" w:right="-57"/>
              <w:jc w:val="center"/>
              <w:textAlignment w:val="baseline"/>
              <w:rPr>
                <w:sz w:val="20"/>
              </w:rPr>
            </w:pPr>
            <w:r>
              <w:rPr>
                <w:sz w:val="20"/>
              </w:rPr>
              <w:t>–</w:t>
            </w:r>
          </w:p>
        </w:tc>
        <w:tc>
          <w:tcPr>
            <w:tcW w:w="308" w:type="pct"/>
            <w:vMerge w:val="restart"/>
          </w:tcPr>
          <w:p w14:paraId="488CDAD9" w14:textId="77777777" w:rsidR="004C3029" w:rsidRDefault="004C3029" w:rsidP="001147CF">
            <w:pPr>
              <w:overflowPunct w:val="0"/>
              <w:ind w:left="-57" w:right="-57"/>
              <w:jc w:val="center"/>
              <w:textAlignment w:val="baseline"/>
              <w:rPr>
                <w:sz w:val="20"/>
              </w:rPr>
            </w:pPr>
            <w:r>
              <w:rPr>
                <w:sz w:val="20"/>
              </w:rPr>
              <w:t>Taip</w:t>
            </w:r>
          </w:p>
        </w:tc>
        <w:tc>
          <w:tcPr>
            <w:tcW w:w="262" w:type="pct"/>
            <w:vMerge w:val="restart"/>
          </w:tcPr>
          <w:p w14:paraId="5EB48548" w14:textId="77777777" w:rsidR="004C3029" w:rsidRDefault="004C3029" w:rsidP="001147CF">
            <w:pPr>
              <w:overflowPunct w:val="0"/>
              <w:ind w:left="-57" w:right="-57"/>
              <w:jc w:val="center"/>
              <w:textAlignment w:val="baseline"/>
              <w:rPr>
                <w:sz w:val="20"/>
              </w:rPr>
            </w:pPr>
            <w:r>
              <w:rPr>
                <w:sz w:val="20"/>
              </w:rPr>
              <w:t>Ne</w:t>
            </w:r>
          </w:p>
        </w:tc>
        <w:tc>
          <w:tcPr>
            <w:tcW w:w="308" w:type="pct"/>
            <w:vMerge w:val="restart"/>
          </w:tcPr>
          <w:p w14:paraId="4E69FBD0" w14:textId="77777777" w:rsidR="004C3029" w:rsidRDefault="004C3029" w:rsidP="001147CF">
            <w:pPr>
              <w:overflowPunct w:val="0"/>
              <w:spacing w:line="259" w:lineRule="auto"/>
              <w:ind w:left="-57" w:right="-57"/>
              <w:jc w:val="center"/>
              <w:textAlignment w:val="baseline"/>
              <w:rPr>
                <w:sz w:val="20"/>
              </w:rPr>
            </w:pPr>
            <w:r>
              <w:rPr>
                <w:sz w:val="20"/>
              </w:rPr>
              <w:t>D</w:t>
            </w:r>
          </w:p>
        </w:tc>
        <w:tc>
          <w:tcPr>
            <w:tcW w:w="307" w:type="pct"/>
            <w:vMerge w:val="restart"/>
          </w:tcPr>
          <w:p w14:paraId="52EE408A" w14:textId="4A07C730" w:rsidR="004C3029" w:rsidRDefault="004C3029" w:rsidP="001147CF">
            <w:pPr>
              <w:overflowPunct w:val="0"/>
              <w:ind w:left="-57" w:right="-57" w:firstLine="38"/>
              <w:jc w:val="center"/>
              <w:textAlignment w:val="baseline"/>
              <w:rPr>
                <w:sz w:val="20"/>
              </w:rPr>
            </w:pPr>
            <w:r>
              <w:rPr>
                <w:sz w:val="20"/>
              </w:rPr>
              <w:t xml:space="preserve">VVL: </w:t>
            </w:r>
            <w:r w:rsidR="00755AB1">
              <w:rPr>
                <w:sz w:val="20"/>
              </w:rPr>
              <w:t>29</w:t>
            </w:r>
            <w:r w:rsidR="00BC0A70">
              <w:rPr>
                <w:sz w:val="20"/>
              </w:rPr>
              <w:t xml:space="preserve"> 715 </w:t>
            </w:r>
            <w:r>
              <w:rPr>
                <w:sz w:val="20"/>
              </w:rPr>
              <w:t>(ES –</w:t>
            </w:r>
            <w:r w:rsidR="002C5919">
              <w:rPr>
                <w:sz w:val="20"/>
              </w:rPr>
              <w:t xml:space="preserve"> </w:t>
            </w:r>
            <w:r w:rsidR="00BC0A70">
              <w:rPr>
                <w:sz w:val="20"/>
              </w:rPr>
              <w:t>25 258</w:t>
            </w:r>
            <w:r>
              <w:rPr>
                <w:sz w:val="20"/>
              </w:rPr>
              <w:t>, BF –</w:t>
            </w:r>
            <w:r w:rsidR="002C5919">
              <w:rPr>
                <w:sz w:val="20"/>
              </w:rPr>
              <w:t xml:space="preserve"> </w:t>
            </w:r>
            <w:r w:rsidR="00115C56">
              <w:rPr>
                <w:sz w:val="20"/>
              </w:rPr>
              <w:t>4 457</w:t>
            </w:r>
            <w:r>
              <w:rPr>
                <w:sz w:val="20"/>
              </w:rPr>
              <w:t>)</w:t>
            </w:r>
          </w:p>
        </w:tc>
        <w:tc>
          <w:tcPr>
            <w:tcW w:w="308" w:type="pct"/>
            <w:vMerge w:val="restart"/>
          </w:tcPr>
          <w:p w14:paraId="192ED024" w14:textId="77777777" w:rsidR="004C3029" w:rsidRDefault="004C3029" w:rsidP="001147CF">
            <w:pPr>
              <w:overflowPunct w:val="0"/>
              <w:ind w:left="-57" w:right="-57"/>
              <w:jc w:val="center"/>
              <w:textAlignment w:val="baseline"/>
              <w:rPr>
                <w:sz w:val="20"/>
              </w:rPr>
            </w:pPr>
            <w:r>
              <w:rPr>
                <w:sz w:val="20"/>
              </w:rPr>
              <w:t>2021–2027 IP</w:t>
            </w:r>
          </w:p>
          <w:p w14:paraId="33F3BF09" w14:textId="77777777" w:rsidR="004C3029" w:rsidRDefault="004C3029" w:rsidP="001147CF">
            <w:pPr>
              <w:overflowPunct w:val="0"/>
              <w:ind w:left="-57" w:right="-57"/>
              <w:jc w:val="center"/>
              <w:textAlignment w:val="baseline"/>
              <w:rPr>
                <w:sz w:val="20"/>
              </w:rPr>
            </w:pPr>
          </w:p>
        </w:tc>
        <w:tc>
          <w:tcPr>
            <w:tcW w:w="437" w:type="pct"/>
          </w:tcPr>
          <w:p w14:paraId="28F47A76" w14:textId="77777777" w:rsidR="004C3029" w:rsidRDefault="004C3029" w:rsidP="001147CF">
            <w:pPr>
              <w:overflowPunct w:val="0"/>
              <w:ind w:left="-57" w:right="-57"/>
              <w:textAlignment w:val="baseline"/>
              <w:rPr>
                <w:sz w:val="20"/>
              </w:rPr>
            </w:pPr>
            <w:r>
              <w:rPr>
                <w:sz w:val="20"/>
              </w:rPr>
              <w:t>P-12-003-03-02-01-06 Jaunesnių nei 18 metų vaikų skaičius</w:t>
            </w:r>
          </w:p>
        </w:tc>
        <w:tc>
          <w:tcPr>
            <w:tcW w:w="220" w:type="pct"/>
          </w:tcPr>
          <w:p w14:paraId="460AD191" w14:textId="4022071C" w:rsidR="004C3029" w:rsidRDefault="00C20645" w:rsidP="001147CF">
            <w:pPr>
              <w:overflowPunct w:val="0"/>
              <w:ind w:left="-57" w:right="-57"/>
              <w:jc w:val="center"/>
              <w:textAlignment w:val="baseline"/>
              <w:rPr>
                <w:sz w:val="20"/>
              </w:rPr>
            </w:pPr>
            <w:r>
              <w:rPr>
                <w:sz w:val="20"/>
              </w:rPr>
              <w:t>5</w:t>
            </w:r>
            <w:r w:rsidR="00E1504C">
              <w:rPr>
                <w:sz w:val="20"/>
              </w:rPr>
              <w:t>778</w:t>
            </w:r>
            <w:r w:rsidR="00B57E37">
              <w:rPr>
                <w:sz w:val="20"/>
              </w:rPr>
              <w:t xml:space="preserve"> </w:t>
            </w:r>
          </w:p>
        </w:tc>
        <w:tc>
          <w:tcPr>
            <w:tcW w:w="263" w:type="pct"/>
            <w:vMerge w:val="restart"/>
          </w:tcPr>
          <w:p w14:paraId="28167335" w14:textId="77777777" w:rsidR="004C3029" w:rsidRDefault="004C3029" w:rsidP="001147CF">
            <w:pPr>
              <w:overflowPunct w:val="0"/>
              <w:ind w:left="-57" w:right="-57"/>
              <w:jc w:val="center"/>
              <w:textAlignment w:val="baseline"/>
              <w:rPr>
                <w:sz w:val="20"/>
              </w:rPr>
            </w:pPr>
            <w:r>
              <w:rPr>
                <w:sz w:val="20"/>
              </w:rPr>
              <w:t xml:space="preserve">2023 </w:t>
            </w:r>
          </w:p>
        </w:tc>
        <w:tc>
          <w:tcPr>
            <w:tcW w:w="326" w:type="pct"/>
            <w:vMerge w:val="restart"/>
          </w:tcPr>
          <w:p w14:paraId="004E6F55" w14:textId="77777777" w:rsidR="004C3029" w:rsidRDefault="004C3029" w:rsidP="001147CF">
            <w:pPr>
              <w:overflowPunct w:val="0"/>
              <w:ind w:left="-57" w:right="-57"/>
              <w:jc w:val="center"/>
              <w:textAlignment w:val="baseline"/>
              <w:rPr>
                <w:sz w:val="20"/>
              </w:rPr>
            </w:pPr>
            <w:r>
              <w:rPr>
                <w:sz w:val="20"/>
              </w:rPr>
              <w:t xml:space="preserve">CPVA </w:t>
            </w:r>
          </w:p>
        </w:tc>
        <w:tc>
          <w:tcPr>
            <w:tcW w:w="308" w:type="pct"/>
            <w:vMerge w:val="restart"/>
          </w:tcPr>
          <w:p w14:paraId="5C11B065" w14:textId="77777777" w:rsidR="004C3029" w:rsidRDefault="004C3029" w:rsidP="001147CF">
            <w:pPr>
              <w:overflowPunct w:val="0"/>
              <w:ind w:left="-57" w:right="-57"/>
              <w:jc w:val="center"/>
              <w:textAlignment w:val="baseline"/>
              <w:rPr>
                <w:sz w:val="20"/>
              </w:rPr>
            </w:pPr>
          </w:p>
        </w:tc>
      </w:tr>
      <w:tr w:rsidR="004C3029" w14:paraId="38B3EA1A" w14:textId="77777777" w:rsidTr="001147CF">
        <w:trPr>
          <w:trHeight w:val="651"/>
        </w:trPr>
        <w:tc>
          <w:tcPr>
            <w:tcW w:w="704" w:type="pct"/>
            <w:vMerge/>
          </w:tcPr>
          <w:p w14:paraId="494F865F" w14:textId="77777777" w:rsidR="004C3029" w:rsidRDefault="004C3029" w:rsidP="001147CF">
            <w:pPr>
              <w:overflowPunct w:val="0"/>
              <w:ind w:left="-57" w:right="-57"/>
              <w:textAlignment w:val="baseline"/>
              <w:rPr>
                <w:sz w:val="20"/>
              </w:rPr>
            </w:pPr>
          </w:p>
        </w:tc>
        <w:tc>
          <w:tcPr>
            <w:tcW w:w="283" w:type="pct"/>
            <w:vMerge/>
          </w:tcPr>
          <w:p w14:paraId="0AE2C840" w14:textId="77777777" w:rsidR="004C3029" w:rsidRDefault="004C3029" w:rsidP="001147CF">
            <w:pPr>
              <w:overflowPunct w:val="0"/>
              <w:ind w:left="-57" w:right="-57"/>
              <w:jc w:val="center"/>
              <w:textAlignment w:val="baseline"/>
              <w:rPr>
                <w:sz w:val="20"/>
              </w:rPr>
            </w:pPr>
          </w:p>
        </w:tc>
        <w:tc>
          <w:tcPr>
            <w:tcW w:w="282" w:type="pct"/>
            <w:vMerge/>
          </w:tcPr>
          <w:p w14:paraId="3928FBA5" w14:textId="77777777" w:rsidR="004C3029" w:rsidRDefault="004C3029" w:rsidP="001147CF">
            <w:pPr>
              <w:overflowPunct w:val="0"/>
              <w:ind w:left="-57" w:right="-57"/>
              <w:jc w:val="center"/>
              <w:textAlignment w:val="baseline"/>
              <w:rPr>
                <w:sz w:val="20"/>
              </w:rPr>
            </w:pPr>
          </w:p>
        </w:tc>
        <w:tc>
          <w:tcPr>
            <w:tcW w:w="351" w:type="pct"/>
            <w:vMerge/>
          </w:tcPr>
          <w:p w14:paraId="744AABD9" w14:textId="77777777" w:rsidR="004C3029" w:rsidRDefault="004C3029" w:rsidP="001147CF">
            <w:pPr>
              <w:overflowPunct w:val="0"/>
              <w:ind w:left="-57" w:right="-57"/>
              <w:jc w:val="center"/>
              <w:textAlignment w:val="baseline"/>
              <w:rPr>
                <w:sz w:val="20"/>
              </w:rPr>
            </w:pPr>
          </w:p>
        </w:tc>
        <w:tc>
          <w:tcPr>
            <w:tcW w:w="333" w:type="pct"/>
            <w:vMerge/>
          </w:tcPr>
          <w:p w14:paraId="6FAFABE6" w14:textId="77777777" w:rsidR="004C3029" w:rsidRDefault="004C3029" w:rsidP="001147CF">
            <w:pPr>
              <w:overflowPunct w:val="0"/>
              <w:ind w:left="-57" w:right="-57"/>
              <w:jc w:val="center"/>
              <w:textAlignment w:val="baseline"/>
              <w:rPr>
                <w:sz w:val="20"/>
              </w:rPr>
            </w:pPr>
          </w:p>
        </w:tc>
        <w:tc>
          <w:tcPr>
            <w:tcW w:w="308" w:type="pct"/>
            <w:vMerge/>
          </w:tcPr>
          <w:p w14:paraId="4162915D" w14:textId="77777777" w:rsidR="004C3029" w:rsidRDefault="004C3029" w:rsidP="001147CF">
            <w:pPr>
              <w:overflowPunct w:val="0"/>
              <w:ind w:left="-57" w:right="-57"/>
              <w:jc w:val="center"/>
              <w:textAlignment w:val="baseline"/>
              <w:rPr>
                <w:sz w:val="20"/>
              </w:rPr>
            </w:pPr>
          </w:p>
        </w:tc>
        <w:tc>
          <w:tcPr>
            <w:tcW w:w="262" w:type="pct"/>
            <w:vMerge/>
          </w:tcPr>
          <w:p w14:paraId="7D6F6B88" w14:textId="77777777" w:rsidR="004C3029" w:rsidRDefault="004C3029" w:rsidP="001147CF">
            <w:pPr>
              <w:overflowPunct w:val="0"/>
              <w:ind w:left="-57" w:right="-57"/>
              <w:jc w:val="center"/>
              <w:textAlignment w:val="baseline"/>
              <w:rPr>
                <w:sz w:val="20"/>
              </w:rPr>
            </w:pPr>
          </w:p>
        </w:tc>
        <w:tc>
          <w:tcPr>
            <w:tcW w:w="308" w:type="pct"/>
            <w:vMerge/>
          </w:tcPr>
          <w:p w14:paraId="367D3CF0" w14:textId="77777777" w:rsidR="004C3029" w:rsidRDefault="004C3029" w:rsidP="001147CF">
            <w:pPr>
              <w:overflowPunct w:val="0"/>
              <w:ind w:left="-57" w:right="-57"/>
              <w:jc w:val="center"/>
              <w:textAlignment w:val="baseline"/>
              <w:rPr>
                <w:sz w:val="20"/>
              </w:rPr>
            </w:pPr>
          </w:p>
        </w:tc>
        <w:tc>
          <w:tcPr>
            <w:tcW w:w="307" w:type="pct"/>
            <w:vMerge/>
          </w:tcPr>
          <w:p w14:paraId="7D9798D4" w14:textId="77777777" w:rsidR="004C3029" w:rsidRDefault="004C3029" w:rsidP="001147CF">
            <w:pPr>
              <w:overflowPunct w:val="0"/>
              <w:ind w:left="-57" w:right="-57"/>
              <w:jc w:val="center"/>
              <w:textAlignment w:val="baseline"/>
              <w:rPr>
                <w:sz w:val="20"/>
              </w:rPr>
            </w:pPr>
          </w:p>
        </w:tc>
        <w:tc>
          <w:tcPr>
            <w:tcW w:w="308" w:type="pct"/>
            <w:vMerge/>
          </w:tcPr>
          <w:p w14:paraId="3BCEEE75" w14:textId="77777777" w:rsidR="004C3029" w:rsidRDefault="004C3029" w:rsidP="001147CF">
            <w:pPr>
              <w:overflowPunct w:val="0"/>
              <w:ind w:left="-57" w:right="-57"/>
              <w:jc w:val="center"/>
              <w:textAlignment w:val="baseline"/>
              <w:rPr>
                <w:sz w:val="20"/>
              </w:rPr>
            </w:pPr>
          </w:p>
        </w:tc>
        <w:tc>
          <w:tcPr>
            <w:tcW w:w="437" w:type="pct"/>
          </w:tcPr>
          <w:p w14:paraId="0C9ED8A5" w14:textId="77777777" w:rsidR="004C3029" w:rsidRDefault="004C3029" w:rsidP="001147CF">
            <w:pPr>
              <w:overflowPunct w:val="0"/>
              <w:ind w:left="-57" w:right="-57"/>
              <w:textAlignment w:val="baseline"/>
              <w:rPr>
                <w:sz w:val="20"/>
              </w:rPr>
            </w:pPr>
            <w:r>
              <w:rPr>
                <w:sz w:val="20"/>
              </w:rPr>
              <w:t>R – Švietimo pagalbą ne trumpiau kaip 3 mėnesius gavusių vaikų, dalis</w:t>
            </w:r>
          </w:p>
        </w:tc>
        <w:tc>
          <w:tcPr>
            <w:tcW w:w="220" w:type="pct"/>
          </w:tcPr>
          <w:p w14:paraId="44E9F920" w14:textId="77777777" w:rsidR="004C3029" w:rsidRDefault="004C3029" w:rsidP="001147CF">
            <w:pPr>
              <w:overflowPunct w:val="0"/>
              <w:ind w:left="-57" w:right="-57"/>
              <w:jc w:val="center"/>
              <w:textAlignment w:val="baseline"/>
              <w:rPr>
                <w:sz w:val="20"/>
              </w:rPr>
            </w:pPr>
            <w:r>
              <w:rPr>
                <w:sz w:val="20"/>
              </w:rPr>
              <w:t>85</w:t>
            </w:r>
          </w:p>
        </w:tc>
        <w:tc>
          <w:tcPr>
            <w:tcW w:w="263" w:type="pct"/>
            <w:vMerge/>
          </w:tcPr>
          <w:p w14:paraId="5F070987" w14:textId="77777777" w:rsidR="004C3029" w:rsidRDefault="004C3029" w:rsidP="001147CF">
            <w:pPr>
              <w:overflowPunct w:val="0"/>
              <w:ind w:left="-57" w:right="-57"/>
              <w:jc w:val="center"/>
              <w:textAlignment w:val="baseline"/>
              <w:rPr>
                <w:sz w:val="20"/>
              </w:rPr>
            </w:pPr>
          </w:p>
        </w:tc>
        <w:tc>
          <w:tcPr>
            <w:tcW w:w="326" w:type="pct"/>
            <w:vMerge/>
          </w:tcPr>
          <w:p w14:paraId="2C057622" w14:textId="77777777" w:rsidR="004C3029" w:rsidRDefault="004C3029" w:rsidP="001147CF">
            <w:pPr>
              <w:overflowPunct w:val="0"/>
              <w:ind w:left="-57" w:right="-57"/>
              <w:jc w:val="center"/>
              <w:textAlignment w:val="baseline"/>
              <w:rPr>
                <w:sz w:val="20"/>
              </w:rPr>
            </w:pPr>
          </w:p>
        </w:tc>
        <w:tc>
          <w:tcPr>
            <w:tcW w:w="308" w:type="pct"/>
            <w:vMerge/>
          </w:tcPr>
          <w:p w14:paraId="6891B404" w14:textId="77777777" w:rsidR="004C3029" w:rsidRDefault="004C3029" w:rsidP="001147CF">
            <w:pPr>
              <w:overflowPunct w:val="0"/>
              <w:ind w:left="-57" w:right="-57"/>
              <w:jc w:val="center"/>
              <w:textAlignment w:val="baseline"/>
              <w:rPr>
                <w:sz w:val="20"/>
              </w:rPr>
            </w:pPr>
          </w:p>
        </w:tc>
      </w:tr>
      <w:tr w:rsidR="004C3029" w14:paraId="22EF8D26" w14:textId="77777777" w:rsidTr="001147CF">
        <w:trPr>
          <w:trHeight w:val="771"/>
        </w:trPr>
        <w:tc>
          <w:tcPr>
            <w:tcW w:w="704" w:type="pct"/>
            <w:vMerge/>
          </w:tcPr>
          <w:p w14:paraId="6928A974" w14:textId="77777777" w:rsidR="004C3029" w:rsidRDefault="004C3029" w:rsidP="001147CF">
            <w:pPr>
              <w:overflowPunct w:val="0"/>
              <w:ind w:left="-57" w:right="-57"/>
              <w:textAlignment w:val="baseline"/>
              <w:rPr>
                <w:sz w:val="20"/>
              </w:rPr>
            </w:pPr>
          </w:p>
        </w:tc>
        <w:tc>
          <w:tcPr>
            <w:tcW w:w="283" w:type="pct"/>
            <w:vMerge/>
          </w:tcPr>
          <w:p w14:paraId="57F9C851" w14:textId="77777777" w:rsidR="004C3029" w:rsidRDefault="004C3029" w:rsidP="001147CF">
            <w:pPr>
              <w:overflowPunct w:val="0"/>
              <w:ind w:left="-57" w:right="-57"/>
              <w:jc w:val="center"/>
              <w:textAlignment w:val="baseline"/>
              <w:rPr>
                <w:sz w:val="20"/>
              </w:rPr>
            </w:pPr>
          </w:p>
        </w:tc>
        <w:tc>
          <w:tcPr>
            <w:tcW w:w="282" w:type="pct"/>
            <w:vMerge/>
          </w:tcPr>
          <w:p w14:paraId="2486AAF6" w14:textId="77777777" w:rsidR="004C3029" w:rsidRDefault="004C3029" w:rsidP="001147CF">
            <w:pPr>
              <w:overflowPunct w:val="0"/>
              <w:ind w:left="-57" w:right="-57"/>
              <w:jc w:val="center"/>
              <w:textAlignment w:val="baseline"/>
              <w:rPr>
                <w:sz w:val="20"/>
              </w:rPr>
            </w:pPr>
          </w:p>
        </w:tc>
        <w:tc>
          <w:tcPr>
            <w:tcW w:w="351" w:type="pct"/>
            <w:vMerge/>
          </w:tcPr>
          <w:p w14:paraId="5D59698B" w14:textId="77777777" w:rsidR="004C3029" w:rsidRDefault="004C3029" w:rsidP="001147CF">
            <w:pPr>
              <w:overflowPunct w:val="0"/>
              <w:ind w:left="-57" w:right="-57"/>
              <w:jc w:val="center"/>
              <w:textAlignment w:val="baseline"/>
              <w:rPr>
                <w:sz w:val="20"/>
              </w:rPr>
            </w:pPr>
          </w:p>
        </w:tc>
        <w:tc>
          <w:tcPr>
            <w:tcW w:w="333" w:type="pct"/>
            <w:vMerge/>
          </w:tcPr>
          <w:p w14:paraId="4A32F2F4" w14:textId="77777777" w:rsidR="004C3029" w:rsidRDefault="004C3029" w:rsidP="001147CF">
            <w:pPr>
              <w:overflowPunct w:val="0"/>
              <w:ind w:left="-57" w:right="-57"/>
              <w:jc w:val="center"/>
              <w:textAlignment w:val="baseline"/>
              <w:rPr>
                <w:sz w:val="20"/>
              </w:rPr>
            </w:pPr>
          </w:p>
        </w:tc>
        <w:tc>
          <w:tcPr>
            <w:tcW w:w="308" w:type="pct"/>
            <w:vMerge/>
          </w:tcPr>
          <w:p w14:paraId="1F9F6557" w14:textId="77777777" w:rsidR="004C3029" w:rsidRDefault="004C3029" w:rsidP="001147CF">
            <w:pPr>
              <w:overflowPunct w:val="0"/>
              <w:ind w:left="-57" w:right="-57"/>
              <w:jc w:val="center"/>
              <w:textAlignment w:val="baseline"/>
              <w:rPr>
                <w:sz w:val="20"/>
              </w:rPr>
            </w:pPr>
          </w:p>
        </w:tc>
        <w:tc>
          <w:tcPr>
            <w:tcW w:w="262" w:type="pct"/>
            <w:vMerge/>
          </w:tcPr>
          <w:p w14:paraId="40FF8742" w14:textId="77777777" w:rsidR="004C3029" w:rsidRDefault="004C3029" w:rsidP="001147CF">
            <w:pPr>
              <w:overflowPunct w:val="0"/>
              <w:ind w:left="-57" w:right="-57"/>
              <w:jc w:val="center"/>
              <w:textAlignment w:val="baseline"/>
              <w:rPr>
                <w:sz w:val="20"/>
              </w:rPr>
            </w:pPr>
          </w:p>
        </w:tc>
        <w:tc>
          <w:tcPr>
            <w:tcW w:w="308" w:type="pct"/>
            <w:vMerge/>
          </w:tcPr>
          <w:p w14:paraId="25F4C1D9" w14:textId="77777777" w:rsidR="004C3029" w:rsidRDefault="004C3029" w:rsidP="001147CF">
            <w:pPr>
              <w:overflowPunct w:val="0"/>
              <w:ind w:left="-57" w:right="-57"/>
              <w:jc w:val="center"/>
              <w:textAlignment w:val="baseline"/>
              <w:rPr>
                <w:sz w:val="20"/>
              </w:rPr>
            </w:pPr>
          </w:p>
        </w:tc>
        <w:tc>
          <w:tcPr>
            <w:tcW w:w="307" w:type="pct"/>
            <w:vMerge/>
          </w:tcPr>
          <w:p w14:paraId="39BD77A0" w14:textId="77777777" w:rsidR="004C3029" w:rsidRDefault="004C3029" w:rsidP="001147CF">
            <w:pPr>
              <w:overflowPunct w:val="0"/>
              <w:ind w:left="-57" w:right="-57"/>
              <w:jc w:val="center"/>
              <w:textAlignment w:val="baseline"/>
              <w:rPr>
                <w:sz w:val="20"/>
              </w:rPr>
            </w:pPr>
          </w:p>
        </w:tc>
        <w:tc>
          <w:tcPr>
            <w:tcW w:w="308" w:type="pct"/>
            <w:vMerge/>
          </w:tcPr>
          <w:p w14:paraId="34A30E24" w14:textId="77777777" w:rsidR="004C3029" w:rsidRDefault="004C3029" w:rsidP="001147CF">
            <w:pPr>
              <w:overflowPunct w:val="0"/>
              <w:ind w:left="-57" w:right="-57"/>
              <w:jc w:val="center"/>
              <w:textAlignment w:val="baseline"/>
              <w:rPr>
                <w:sz w:val="20"/>
              </w:rPr>
            </w:pPr>
          </w:p>
        </w:tc>
        <w:tc>
          <w:tcPr>
            <w:tcW w:w="437" w:type="pct"/>
          </w:tcPr>
          <w:p w14:paraId="6E624CD3" w14:textId="77777777" w:rsidR="004C3029" w:rsidRDefault="004C3029" w:rsidP="001147CF">
            <w:pPr>
              <w:overflowPunct w:val="0"/>
              <w:ind w:left="-57" w:right="-57"/>
              <w:textAlignment w:val="baseline"/>
              <w:rPr>
                <w:sz w:val="20"/>
              </w:rPr>
            </w:pPr>
            <w:r>
              <w:rPr>
                <w:sz w:val="20"/>
              </w:rPr>
              <w:t>P-12-003-03-02-01-07</w:t>
            </w:r>
            <w:r>
              <w:rPr>
                <w:sz w:val="18"/>
                <w:szCs w:val="18"/>
              </w:rPr>
              <w:t xml:space="preserve"> </w:t>
            </w:r>
            <w:r>
              <w:rPr>
                <w:sz w:val="20"/>
              </w:rPr>
              <w:t xml:space="preserve">Asmenys, turintys tretinį (ISCED 5–8 kodai) išsilavinimą </w:t>
            </w:r>
          </w:p>
        </w:tc>
        <w:tc>
          <w:tcPr>
            <w:tcW w:w="220" w:type="pct"/>
          </w:tcPr>
          <w:p w14:paraId="4C2A1B02" w14:textId="3835DFF2" w:rsidR="004C3029" w:rsidRDefault="004E1D10" w:rsidP="001147CF">
            <w:pPr>
              <w:overflowPunct w:val="0"/>
              <w:ind w:left="-57" w:right="-57"/>
              <w:jc w:val="center"/>
              <w:textAlignment w:val="baseline"/>
              <w:rPr>
                <w:sz w:val="20"/>
              </w:rPr>
            </w:pPr>
            <w:r>
              <w:rPr>
                <w:sz w:val="20"/>
              </w:rPr>
              <w:t>1</w:t>
            </w:r>
            <w:r w:rsidR="005779C6">
              <w:rPr>
                <w:sz w:val="20"/>
              </w:rPr>
              <w:t>150</w:t>
            </w:r>
          </w:p>
        </w:tc>
        <w:tc>
          <w:tcPr>
            <w:tcW w:w="263" w:type="pct"/>
            <w:vMerge/>
          </w:tcPr>
          <w:p w14:paraId="065B0C59" w14:textId="77777777" w:rsidR="004C3029" w:rsidRDefault="004C3029" w:rsidP="001147CF">
            <w:pPr>
              <w:overflowPunct w:val="0"/>
              <w:ind w:left="-57" w:right="-57"/>
              <w:jc w:val="center"/>
              <w:textAlignment w:val="baseline"/>
              <w:rPr>
                <w:sz w:val="20"/>
              </w:rPr>
            </w:pPr>
          </w:p>
        </w:tc>
        <w:tc>
          <w:tcPr>
            <w:tcW w:w="326" w:type="pct"/>
            <w:vMerge/>
          </w:tcPr>
          <w:p w14:paraId="6DF56608" w14:textId="77777777" w:rsidR="004C3029" w:rsidRDefault="004C3029" w:rsidP="001147CF">
            <w:pPr>
              <w:overflowPunct w:val="0"/>
              <w:ind w:left="-57" w:right="-57"/>
              <w:jc w:val="center"/>
              <w:textAlignment w:val="baseline"/>
              <w:rPr>
                <w:sz w:val="20"/>
              </w:rPr>
            </w:pPr>
          </w:p>
        </w:tc>
        <w:tc>
          <w:tcPr>
            <w:tcW w:w="308" w:type="pct"/>
            <w:vMerge/>
          </w:tcPr>
          <w:p w14:paraId="7A58277B" w14:textId="77777777" w:rsidR="004C3029" w:rsidRDefault="004C3029" w:rsidP="001147CF">
            <w:pPr>
              <w:overflowPunct w:val="0"/>
              <w:ind w:left="-57" w:right="-57"/>
              <w:jc w:val="center"/>
              <w:textAlignment w:val="baseline"/>
              <w:rPr>
                <w:sz w:val="20"/>
              </w:rPr>
            </w:pPr>
          </w:p>
        </w:tc>
      </w:tr>
      <w:tr w:rsidR="004C3029" w14:paraId="449A6402" w14:textId="77777777" w:rsidTr="001147CF">
        <w:trPr>
          <w:trHeight w:val="731"/>
        </w:trPr>
        <w:tc>
          <w:tcPr>
            <w:tcW w:w="704" w:type="pct"/>
            <w:vMerge/>
          </w:tcPr>
          <w:p w14:paraId="5B06C132" w14:textId="77777777" w:rsidR="004C3029" w:rsidRDefault="004C3029" w:rsidP="001147CF">
            <w:pPr>
              <w:overflowPunct w:val="0"/>
              <w:ind w:left="-57" w:right="-57"/>
              <w:textAlignment w:val="baseline"/>
              <w:rPr>
                <w:sz w:val="20"/>
              </w:rPr>
            </w:pPr>
          </w:p>
        </w:tc>
        <w:tc>
          <w:tcPr>
            <w:tcW w:w="283" w:type="pct"/>
            <w:vMerge/>
          </w:tcPr>
          <w:p w14:paraId="2D2E8590" w14:textId="77777777" w:rsidR="004C3029" w:rsidRDefault="004C3029" w:rsidP="001147CF">
            <w:pPr>
              <w:overflowPunct w:val="0"/>
              <w:ind w:left="-57" w:right="-57"/>
              <w:jc w:val="center"/>
              <w:textAlignment w:val="baseline"/>
              <w:rPr>
                <w:sz w:val="20"/>
              </w:rPr>
            </w:pPr>
          </w:p>
        </w:tc>
        <w:tc>
          <w:tcPr>
            <w:tcW w:w="282" w:type="pct"/>
            <w:vMerge/>
          </w:tcPr>
          <w:p w14:paraId="6CC6BC74" w14:textId="77777777" w:rsidR="004C3029" w:rsidRDefault="004C3029" w:rsidP="001147CF">
            <w:pPr>
              <w:overflowPunct w:val="0"/>
              <w:ind w:left="-57" w:right="-57"/>
              <w:jc w:val="center"/>
              <w:textAlignment w:val="baseline"/>
              <w:rPr>
                <w:sz w:val="20"/>
              </w:rPr>
            </w:pPr>
          </w:p>
        </w:tc>
        <w:tc>
          <w:tcPr>
            <w:tcW w:w="351" w:type="pct"/>
            <w:vMerge/>
          </w:tcPr>
          <w:p w14:paraId="1F38917F" w14:textId="77777777" w:rsidR="004C3029" w:rsidRDefault="004C3029" w:rsidP="001147CF">
            <w:pPr>
              <w:overflowPunct w:val="0"/>
              <w:ind w:left="-57" w:right="-57"/>
              <w:jc w:val="center"/>
              <w:textAlignment w:val="baseline"/>
              <w:rPr>
                <w:sz w:val="20"/>
              </w:rPr>
            </w:pPr>
          </w:p>
        </w:tc>
        <w:tc>
          <w:tcPr>
            <w:tcW w:w="333" w:type="pct"/>
            <w:vMerge/>
          </w:tcPr>
          <w:p w14:paraId="58328994" w14:textId="77777777" w:rsidR="004C3029" w:rsidRDefault="004C3029" w:rsidP="001147CF">
            <w:pPr>
              <w:overflowPunct w:val="0"/>
              <w:ind w:left="-57" w:right="-57"/>
              <w:jc w:val="center"/>
              <w:textAlignment w:val="baseline"/>
              <w:rPr>
                <w:sz w:val="20"/>
              </w:rPr>
            </w:pPr>
          </w:p>
        </w:tc>
        <w:tc>
          <w:tcPr>
            <w:tcW w:w="308" w:type="pct"/>
            <w:vMerge/>
          </w:tcPr>
          <w:p w14:paraId="25D4E7CE" w14:textId="77777777" w:rsidR="004C3029" w:rsidRDefault="004C3029" w:rsidP="001147CF">
            <w:pPr>
              <w:overflowPunct w:val="0"/>
              <w:ind w:left="-57" w:right="-57"/>
              <w:jc w:val="center"/>
              <w:textAlignment w:val="baseline"/>
              <w:rPr>
                <w:sz w:val="20"/>
              </w:rPr>
            </w:pPr>
          </w:p>
        </w:tc>
        <w:tc>
          <w:tcPr>
            <w:tcW w:w="262" w:type="pct"/>
            <w:vMerge/>
          </w:tcPr>
          <w:p w14:paraId="73CD9908" w14:textId="77777777" w:rsidR="004C3029" w:rsidRDefault="004C3029" w:rsidP="001147CF">
            <w:pPr>
              <w:overflowPunct w:val="0"/>
              <w:ind w:left="-57" w:right="-57"/>
              <w:jc w:val="center"/>
              <w:textAlignment w:val="baseline"/>
              <w:rPr>
                <w:sz w:val="20"/>
              </w:rPr>
            </w:pPr>
          </w:p>
        </w:tc>
        <w:tc>
          <w:tcPr>
            <w:tcW w:w="308" w:type="pct"/>
            <w:vMerge/>
          </w:tcPr>
          <w:p w14:paraId="3174C7E3" w14:textId="77777777" w:rsidR="004C3029" w:rsidRDefault="004C3029" w:rsidP="001147CF">
            <w:pPr>
              <w:overflowPunct w:val="0"/>
              <w:ind w:left="-57" w:right="-57"/>
              <w:jc w:val="center"/>
              <w:textAlignment w:val="baseline"/>
              <w:rPr>
                <w:sz w:val="20"/>
              </w:rPr>
            </w:pPr>
          </w:p>
        </w:tc>
        <w:tc>
          <w:tcPr>
            <w:tcW w:w="307" w:type="pct"/>
            <w:vMerge/>
          </w:tcPr>
          <w:p w14:paraId="68250C3B" w14:textId="77777777" w:rsidR="004C3029" w:rsidRDefault="004C3029" w:rsidP="001147CF">
            <w:pPr>
              <w:overflowPunct w:val="0"/>
              <w:ind w:left="-57" w:right="-57"/>
              <w:jc w:val="center"/>
              <w:textAlignment w:val="baseline"/>
              <w:rPr>
                <w:sz w:val="20"/>
              </w:rPr>
            </w:pPr>
          </w:p>
        </w:tc>
        <w:tc>
          <w:tcPr>
            <w:tcW w:w="308" w:type="pct"/>
            <w:vMerge/>
          </w:tcPr>
          <w:p w14:paraId="7053192F" w14:textId="77777777" w:rsidR="004C3029" w:rsidRDefault="004C3029" w:rsidP="001147CF">
            <w:pPr>
              <w:overflowPunct w:val="0"/>
              <w:ind w:left="-57" w:right="-57"/>
              <w:jc w:val="center"/>
              <w:textAlignment w:val="baseline"/>
              <w:rPr>
                <w:sz w:val="20"/>
              </w:rPr>
            </w:pPr>
          </w:p>
        </w:tc>
        <w:tc>
          <w:tcPr>
            <w:tcW w:w="437" w:type="pct"/>
          </w:tcPr>
          <w:p w14:paraId="3EFA138A" w14:textId="77777777" w:rsidR="004C3029" w:rsidRDefault="004C3029" w:rsidP="001147CF">
            <w:pPr>
              <w:overflowPunct w:val="0"/>
              <w:ind w:left="-57" w:right="-57"/>
              <w:textAlignment w:val="baseline"/>
              <w:rPr>
                <w:sz w:val="20"/>
              </w:rPr>
            </w:pPr>
            <w:r>
              <w:rPr>
                <w:sz w:val="20"/>
              </w:rPr>
              <w:t>R – Asmenų, kurie dalyvavę mokymuose įgijo kompetenciją, dalis</w:t>
            </w:r>
          </w:p>
        </w:tc>
        <w:tc>
          <w:tcPr>
            <w:tcW w:w="220" w:type="pct"/>
          </w:tcPr>
          <w:p w14:paraId="1ACC6B87" w14:textId="77777777" w:rsidR="004C3029" w:rsidRDefault="004C3029" w:rsidP="001147CF">
            <w:pPr>
              <w:overflowPunct w:val="0"/>
              <w:ind w:left="-57" w:right="-57"/>
              <w:jc w:val="center"/>
              <w:textAlignment w:val="baseline"/>
              <w:rPr>
                <w:sz w:val="20"/>
              </w:rPr>
            </w:pPr>
            <w:r>
              <w:rPr>
                <w:sz w:val="20"/>
              </w:rPr>
              <w:t>80</w:t>
            </w:r>
          </w:p>
        </w:tc>
        <w:tc>
          <w:tcPr>
            <w:tcW w:w="263" w:type="pct"/>
            <w:vMerge/>
          </w:tcPr>
          <w:p w14:paraId="2F45DE14" w14:textId="77777777" w:rsidR="004C3029" w:rsidRDefault="004C3029" w:rsidP="001147CF">
            <w:pPr>
              <w:overflowPunct w:val="0"/>
              <w:ind w:left="-57" w:right="-57"/>
              <w:jc w:val="center"/>
              <w:textAlignment w:val="baseline"/>
              <w:rPr>
                <w:sz w:val="20"/>
              </w:rPr>
            </w:pPr>
          </w:p>
        </w:tc>
        <w:tc>
          <w:tcPr>
            <w:tcW w:w="326" w:type="pct"/>
            <w:vMerge/>
          </w:tcPr>
          <w:p w14:paraId="26657C69" w14:textId="77777777" w:rsidR="004C3029" w:rsidRDefault="004C3029" w:rsidP="001147CF">
            <w:pPr>
              <w:overflowPunct w:val="0"/>
              <w:ind w:left="-57" w:right="-57"/>
              <w:jc w:val="center"/>
              <w:textAlignment w:val="baseline"/>
              <w:rPr>
                <w:sz w:val="20"/>
              </w:rPr>
            </w:pPr>
          </w:p>
        </w:tc>
        <w:tc>
          <w:tcPr>
            <w:tcW w:w="308" w:type="pct"/>
            <w:vMerge/>
          </w:tcPr>
          <w:p w14:paraId="1E628523" w14:textId="77777777" w:rsidR="004C3029" w:rsidRDefault="004C3029" w:rsidP="001147CF">
            <w:pPr>
              <w:overflowPunct w:val="0"/>
              <w:ind w:left="-57" w:right="-57"/>
              <w:jc w:val="center"/>
              <w:textAlignment w:val="baseline"/>
              <w:rPr>
                <w:sz w:val="20"/>
              </w:rPr>
            </w:pPr>
          </w:p>
        </w:tc>
      </w:tr>
      <w:tr w:rsidR="004C3029" w14:paraId="35C11D1C" w14:textId="77777777" w:rsidTr="001147CF">
        <w:trPr>
          <w:trHeight w:val="731"/>
        </w:trPr>
        <w:tc>
          <w:tcPr>
            <w:tcW w:w="704" w:type="pct"/>
          </w:tcPr>
          <w:p w14:paraId="71FB87D3" w14:textId="77777777" w:rsidR="004C3029" w:rsidRDefault="004C3029" w:rsidP="001147CF">
            <w:pPr>
              <w:overflowPunct w:val="0"/>
              <w:ind w:left="-57" w:right="-57"/>
              <w:textAlignment w:val="baseline"/>
              <w:rPr>
                <w:sz w:val="20"/>
              </w:rPr>
            </w:pPr>
            <w:r>
              <w:rPr>
                <w:sz w:val="20"/>
              </w:rPr>
              <w:t xml:space="preserve">6. Sukurti ir įdiegti įtraukiojo ugdymo organizavimo modelius, sudarant sąlygas didelių ar labai didelių SUP turintiems mokiniams ugdytis bendrosios paskirties mokyklose </w:t>
            </w:r>
          </w:p>
        </w:tc>
        <w:tc>
          <w:tcPr>
            <w:tcW w:w="283" w:type="pct"/>
          </w:tcPr>
          <w:p w14:paraId="5996A775" w14:textId="77777777" w:rsidR="004C3029" w:rsidRDefault="004C3029" w:rsidP="001147CF">
            <w:pPr>
              <w:overflowPunct w:val="0"/>
              <w:ind w:left="-57" w:right="-57"/>
              <w:jc w:val="center"/>
              <w:textAlignment w:val="baseline"/>
              <w:rPr>
                <w:sz w:val="20"/>
              </w:rPr>
            </w:pPr>
            <w:r>
              <w:rPr>
                <w:sz w:val="20"/>
              </w:rPr>
              <w:t>I</w:t>
            </w:r>
          </w:p>
        </w:tc>
        <w:tc>
          <w:tcPr>
            <w:tcW w:w="282" w:type="pct"/>
          </w:tcPr>
          <w:p w14:paraId="03A30C73" w14:textId="77777777" w:rsidR="004C3029" w:rsidRDefault="004C3029" w:rsidP="001147CF">
            <w:pPr>
              <w:overflowPunct w:val="0"/>
              <w:ind w:left="-57" w:right="-57"/>
              <w:jc w:val="center"/>
              <w:textAlignment w:val="baseline"/>
              <w:rPr>
                <w:sz w:val="20"/>
              </w:rPr>
            </w:pPr>
            <w:r>
              <w:rPr>
                <w:sz w:val="20"/>
              </w:rPr>
              <w:t>Savivaldybės, mokyklos</w:t>
            </w:r>
          </w:p>
        </w:tc>
        <w:tc>
          <w:tcPr>
            <w:tcW w:w="351" w:type="pct"/>
          </w:tcPr>
          <w:p w14:paraId="21213C32" w14:textId="77777777" w:rsidR="004C3029" w:rsidRDefault="004C3029" w:rsidP="001147CF">
            <w:pPr>
              <w:overflowPunct w:val="0"/>
              <w:ind w:left="-57" w:right="-57"/>
              <w:jc w:val="center"/>
              <w:textAlignment w:val="baseline"/>
              <w:rPr>
                <w:sz w:val="20"/>
              </w:rPr>
            </w:pPr>
            <w:r>
              <w:rPr>
                <w:sz w:val="20"/>
              </w:rPr>
              <w:t>P</w:t>
            </w:r>
          </w:p>
        </w:tc>
        <w:tc>
          <w:tcPr>
            <w:tcW w:w="333" w:type="pct"/>
          </w:tcPr>
          <w:p w14:paraId="130F0848" w14:textId="77777777" w:rsidR="004C3029" w:rsidRDefault="004C3029" w:rsidP="001147CF">
            <w:pPr>
              <w:overflowPunct w:val="0"/>
              <w:ind w:left="-57" w:right="-57"/>
              <w:jc w:val="center"/>
              <w:textAlignment w:val="baseline"/>
              <w:rPr>
                <w:sz w:val="20"/>
              </w:rPr>
            </w:pPr>
            <w:r>
              <w:rPr>
                <w:sz w:val="20"/>
              </w:rPr>
              <w:t>-</w:t>
            </w:r>
          </w:p>
        </w:tc>
        <w:tc>
          <w:tcPr>
            <w:tcW w:w="308" w:type="pct"/>
          </w:tcPr>
          <w:p w14:paraId="42BD7BE3" w14:textId="77777777" w:rsidR="004C3029" w:rsidRDefault="004C3029" w:rsidP="001147CF">
            <w:pPr>
              <w:overflowPunct w:val="0"/>
              <w:ind w:left="-57" w:right="-57"/>
              <w:jc w:val="center"/>
              <w:textAlignment w:val="baseline"/>
              <w:rPr>
                <w:sz w:val="20"/>
              </w:rPr>
            </w:pPr>
            <w:r>
              <w:rPr>
                <w:sz w:val="20"/>
              </w:rPr>
              <w:t>Taip</w:t>
            </w:r>
          </w:p>
        </w:tc>
        <w:tc>
          <w:tcPr>
            <w:tcW w:w="262" w:type="pct"/>
          </w:tcPr>
          <w:p w14:paraId="7A46831C" w14:textId="77777777" w:rsidR="004C3029" w:rsidRDefault="004C3029" w:rsidP="001147CF">
            <w:pPr>
              <w:overflowPunct w:val="0"/>
              <w:ind w:left="-57" w:right="-57"/>
              <w:jc w:val="center"/>
              <w:textAlignment w:val="baseline"/>
              <w:rPr>
                <w:sz w:val="20"/>
              </w:rPr>
            </w:pPr>
            <w:r>
              <w:rPr>
                <w:sz w:val="20"/>
              </w:rPr>
              <w:t>Ne</w:t>
            </w:r>
          </w:p>
        </w:tc>
        <w:tc>
          <w:tcPr>
            <w:tcW w:w="308" w:type="pct"/>
          </w:tcPr>
          <w:p w14:paraId="7E20CC98" w14:textId="77777777" w:rsidR="004C3029" w:rsidRDefault="004C3029" w:rsidP="001147CF">
            <w:pPr>
              <w:overflowPunct w:val="0"/>
              <w:ind w:left="-57" w:right="-57"/>
              <w:jc w:val="center"/>
              <w:textAlignment w:val="baseline"/>
              <w:rPr>
                <w:sz w:val="20"/>
              </w:rPr>
            </w:pPr>
            <w:r>
              <w:rPr>
                <w:sz w:val="20"/>
              </w:rPr>
              <w:t>D</w:t>
            </w:r>
          </w:p>
        </w:tc>
        <w:tc>
          <w:tcPr>
            <w:tcW w:w="307" w:type="pct"/>
          </w:tcPr>
          <w:p w14:paraId="4B55D423" w14:textId="77777777" w:rsidR="004C3029" w:rsidRDefault="004C3029" w:rsidP="001147CF">
            <w:pPr>
              <w:overflowPunct w:val="0"/>
              <w:ind w:left="-57" w:right="-57"/>
              <w:jc w:val="center"/>
              <w:textAlignment w:val="baseline"/>
              <w:rPr>
                <w:sz w:val="20"/>
              </w:rPr>
            </w:pPr>
            <w:r>
              <w:rPr>
                <w:sz w:val="20"/>
              </w:rPr>
              <w:t>6 552</w:t>
            </w:r>
          </w:p>
        </w:tc>
        <w:tc>
          <w:tcPr>
            <w:tcW w:w="308" w:type="pct"/>
          </w:tcPr>
          <w:p w14:paraId="36B8125D" w14:textId="77777777" w:rsidR="004C3029" w:rsidRDefault="004C3029" w:rsidP="001147CF">
            <w:pPr>
              <w:overflowPunct w:val="0"/>
              <w:ind w:left="-57" w:right="-57"/>
              <w:jc w:val="center"/>
              <w:textAlignment w:val="baseline"/>
              <w:rPr>
                <w:sz w:val="20"/>
              </w:rPr>
            </w:pPr>
            <w:r>
              <w:rPr>
                <w:sz w:val="20"/>
              </w:rPr>
              <w:t>Valstybės biudžetas</w:t>
            </w:r>
          </w:p>
        </w:tc>
        <w:tc>
          <w:tcPr>
            <w:tcW w:w="437" w:type="pct"/>
          </w:tcPr>
          <w:p w14:paraId="4EA556D8" w14:textId="77777777" w:rsidR="004C3029" w:rsidRDefault="004C3029" w:rsidP="001147CF">
            <w:pPr>
              <w:overflowPunct w:val="0"/>
              <w:ind w:left="-57" w:right="-57"/>
              <w:textAlignment w:val="baseline"/>
              <w:rPr>
                <w:sz w:val="20"/>
              </w:rPr>
            </w:pPr>
            <w:r>
              <w:rPr>
                <w:sz w:val="20"/>
              </w:rPr>
              <w:t>P-12-003-03-02-01-01</w:t>
            </w:r>
            <w:r>
              <w:rPr>
                <w:sz w:val="18"/>
                <w:szCs w:val="18"/>
              </w:rPr>
              <w:t xml:space="preserve"> </w:t>
            </w:r>
            <w:r>
              <w:rPr>
                <w:sz w:val="20"/>
              </w:rPr>
              <w:t>Įsteigtos įtraukios klasės</w:t>
            </w:r>
          </w:p>
        </w:tc>
        <w:tc>
          <w:tcPr>
            <w:tcW w:w="220" w:type="pct"/>
          </w:tcPr>
          <w:p w14:paraId="38018D3D" w14:textId="77777777" w:rsidR="004C3029" w:rsidRDefault="004C3029" w:rsidP="001147CF">
            <w:pPr>
              <w:overflowPunct w:val="0"/>
              <w:ind w:left="-57" w:right="-57"/>
              <w:jc w:val="center"/>
              <w:textAlignment w:val="baseline"/>
              <w:rPr>
                <w:sz w:val="20"/>
              </w:rPr>
            </w:pPr>
            <w:r>
              <w:rPr>
                <w:sz w:val="20"/>
              </w:rPr>
              <w:t>100</w:t>
            </w:r>
          </w:p>
        </w:tc>
        <w:tc>
          <w:tcPr>
            <w:tcW w:w="263" w:type="pct"/>
          </w:tcPr>
          <w:p w14:paraId="2E941ECC" w14:textId="77777777" w:rsidR="004C3029" w:rsidRDefault="004C3029" w:rsidP="001147CF">
            <w:pPr>
              <w:overflowPunct w:val="0"/>
              <w:ind w:left="-57" w:right="-57"/>
              <w:jc w:val="center"/>
              <w:textAlignment w:val="baseline"/>
              <w:rPr>
                <w:sz w:val="20"/>
              </w:rPr>
            </w:pPr>
            <w:r>
              <w:rPr>
                <w:sz w:val="20"/>
              </w:rPr>
              <w:t>2023</w:t>
            </w:r>
          </w:p>
        </w:tc>
        <w:tc>
          <w:tcPr>
            <w:tcW w:w="326" w:type="pct"/>
          </w:tcPr>
          <w:p w14:paraId="036E5673" w14:textId="77777777" w:rsidR="004C3029" w:rsidRDefault="004C3029" w:rsidP="001147CF">
            <w:pPr>
              <w:overflowPunct w:val="0"/>
              <w:ind w:left="-57" w:right="-57"/>
              <w:jc w:val="center"/>
              <w:textAlignment w:val="baseline"/>
              <w:rPr>
                <w:sz w:val="20"/>
              </w:rPr>
            </w:pPr>
            <w:r>
              <w:rPr>
                <w:sz w:val="20"/>
              </w:rPr>
              <w:t>ŠMSM</w:t>
            </w:r>
          </w:p>
        </w:tc>
        <w:tc>
          <w:tcPr>
            <w:tcW w:w="308" w:type="pct"/>
          </w:tcPr>
          <w:p w14:paraId="3AF72131" w14:textId="77777777" w:rsidR="004C3029" w:rsidRDefault="004C3029" w:rsidP="001147CF">
            <w:pPr>
              <w:overflowPunct w:val="0"/>
              <w:ind w:left="-57" w:right="-57"/>
              <w:jc w:val="center"/>
              <w:textAlignment w:val="baseline"/>
              <w:rPr>
                <w:sz w:val="20"/>
              </w:rPr>
            </w:pPr>
          </w:p>
        </w:tc>
      </w:tr>
      <w:tr w:rsidR="004C3029" w14:paraId="3998C876" w14:textId="77777777" w:rsidTr="001147CF">
        <w:trPr>
          <w:trHeight w:val="731"/>
        </w:trPr>
        <w:tc>
          <w:tcPr>
            <w:tcW w:w="704" w:type="pct"/>
            <w:tcBorders>
              <w:top w:val="single" w:sz="4" w:space="0" w:color="auto"/>
              <w:left w:val="single" w:sz="4" w:space="0" w:color="auto"/>
              <w:bottom w:val="single" w:sz="4" w:space="0" w:color="auto"/>
              <w:right w:val="single" w:sz="4" w:space="0" w:color="auto"/>
            </w:tcBorders>
          </w:tcPr>
          <w:p w14:paraId="4C867983" w14:textId="77777777" w:rsidR="004C3029" w:rsidRDefault="004C3029" w:rsidP="001147CF">
            <w:pPr>
              <w:overflowPunct w:val="0"/>
              <w:ind w:left="-57" w:right="-57"/>
              <w:textAlignment w:val="baseline"/>
              <w:rPr>
                <w:sz w:val="20"/>
              </w:rPr>
            </w:pPr>
            <w:r>
              <w:rPr>
                <w:sz w:val="20"/>
              </w:rPr>
              <w:t xml:space="preserve">7. Modernizuoti ir plėsti Lietuvos Respublikos švietimo, mokslo ir sporto ministerijai </w:t>
            </w:r>
            <w:r>
              <w:rPr>
                <w:sz w:val="20"/>
              </w:rPr>
              <w:lastRenderedPageBreak/>
              <w:t>pavaldžias Vilniaus ir Šalčininkų rajonuose esančias mokyklas, pritaikant jas įtraukiajam ugdymui</w:t>
            </w:r>
          </w:p>
        </w:tc>
        <w:tc>
          <w:tcPr>
            <w:tcW w:w="283" w:type="pct"/>
            <w:tcBorders>
              <w:top w:val="single" w:sz="4" w:space="0" w:color="auto"/>
              <w:left w:val="single" w:sz="4" w:space="0" w:color="auto"/>
              <w:bottom w:val="single" w:sz="4" w:space="0" w:color="auto"/>
              <w:right w:val="single" w:sz="4" w:space="0" w:color="auto"/>
            </w:tcBorders>
          </w:tcPr>
          <w:p w14:paraId="5DF07539" w14:textId="77777777" w:rsidR="004C3029" w:rsidRDefault="004C3029" w:rsidP="001147CF">
            <w:pPr>
              <w:overflowPunct w:val="0"/>
              <w:ind w:left="-57" w:right="-57"/>
              <w:jc w:val="center"/>
              <w:textAlignment w:val="baseline"/>
              <w:rPr>
                <w:sz w:val="20"/>
              </w:rPr>
            </w:pPr>
            <w:r>
              <w:rPr>
                <w:sz w:val="20"/>
              </w:rPr>
              <w:lastRenderedPageBreak/>
              <w:t>I</w:t>
            </w:r>
          </w:p>
        </w:tc>
        <w:tc>
          <w:tcPr>
            <w:tcW w:w="282" w:type="pct"/>
            <w:tcBorders>
              <w:top w:val="single" w:sz="4" w:space="0" w:color="auto"/>
              <w:left w:val="single" w:sz="4" w:space="0" w:color="auto"/>
              <w:bottom w:val="single" w:sz="4" w:space="0" w:color="auto"/>
              <w:right w:val="single" w:sz="4" w:space="0" w:color="auto"/>
            </w:tcBorders>
          </w:tcPr>
          <w:p w14:paraId="6CCDF55A" w14:textId="77777777" w:rsidR="004C3029" w:rsidRDefault="004C3029" w:rsidP="001147CF">
            <w:pPr>
              <w:overflowPunct w:val="0"/>
              <w:ind w:left="-57" w:right="-57"/>
              <w:jc w:val="center"/>
              <w:textAlignment w:val="baseline"/>
              <w:rPr>
                <w:sz w:val="20"/>
              </w:rPr>
            </w:pPr>
            <w:r>
              <w:rPr>
                <w:sz w:val="20"/>
              </w:rPr>
              <w:t>Vilniaus ir Šalčininkų rajonuose esančios mokyklos</w:t>
            </w:r>
          </w:p>
        </w:tc>
        <w:tc>
          <w:tcPr>
            <w:tcW w:w="351" w:type="pct"/>
            <w:tcBorders>
              <w:top w:val="single" w:sz="4" w:space="0" w:color="auto"/>
              <w:left w:val="single" w:sz="4" w:space="0" w:color="auto"/>
              <w:bottom w:val="single" w:sz="4" w:space="0" w:color="auto"/>
              <w:right w:val="single" w:sz="4" w:space="0" w:color="auto"/>
            </w:tcBorders>
          </w:tcPr>
          <w:p w14:paraId="344A823F" w14:textId="77777777" w:rsidR="004C3029" w:rsidRDefault="004C3029" w:rsidP="001147CF">
            <w:pPr>
              <w:overflowPunct w:val="0"/>
              <w:ind w:left="-57" w:right="-57"/>
              <w:jc w:val="center"/>
              <w:textAlignment w:val="baseline"/>
              <w:rPr>
                <w:sz w:val="20"/>
              </w:rPr>
            </w:pPr>
            <w:r>
              <w:rPr>
                <w:sz w:val="20"/>
              </w:rPr>
              <w:t>P</w:t>
            </w:r>
          </w:p>
        </w:tc>
        <w:tc>
          <w:tcPr>
            <w:tcW w:w="333" w:type="pct"/>
            <w:tcBorders>
              <w:top w:val="single" w:sz="4" w:space="0" w:color="auto"/>
              <w:left w:val="single" w:sz="4" w:space="0" w:color="auto"/>
              <w:bottom w:val="single" w:sz="4" w:space="0" w:color="auto"/>
              <w:right w:val="single" w:sz="4" w:space="0" w:color="auto"/>
            </w:tcBorders>
          </w:tcPr>
          <w:p w14:paraId="29736ACD" w14:textId="77777777" w:rsidR="004C3029" w:rsidRDefault="004C3029" w:rsidP="001147CF">
            <w:pPr>
              <w:overflowPunct w:val="0"/>
              <w:ind w:left="-57" w:right="-57"/>
              <w:jc w:val="center"/>
              <w:textAlignment w:val="baseline"/>
              <w:rPr>
                <w:sz w:val="20"/>
              </w:rPr>
            </w:pPr>
            <w:r>
              <w:rPr>
                <w:sz w:val="20"/>
              </w:rPr>
              <w:t>-</w:t>
            </w:r>
          </w:p>
        </w:tc>
        <w:tc>
          <w:tcPr>
            <w:tcW w:w="308" w:type="pct"/>
            <w:tcBorders>
              <w:top w:val="single" w:sz="4" w:space="0" w:color="auto"/>
              <w:left w:val="single" w:sz="4" w:space="0" w:color="auto"/>
              <w:bottom w:val="single" w:sz="4" w:space="0" w:color="auto"/>
              <w:right w:val="single" w:sz="4" w:space="0" w:color="auto"/>
            </w:tcBorders>
          </w:tcPr>
          <w:p w14:paraId="4BD511FD" w14:textId="77777777" w:rsidR="004C3029" w:rsidRDefault="004C3029" w:rsidP="001147CF">
            <w:pPr>
              <w:overflowPunct w:val="0"/>
              <w:ind w:left="-57" w:right="-57"/>
              <w:jc w:val="center"/>
              <w:textAlignment w:val="baseline"/>
              <w:rPr>
                <w:sz w:val="20"/>
              </w:rPr>
            </w:pPr>
            <w:r>
              <w:rPr>
                <w:sz w:val="20"/>
              </w:rPr>
              <w:t>Taip</w:t>
            </w:r>
          </w:p>
        </w:tc>
        <w:tc>
          <w:tcPr>
            <w:tcW w:w="262" w:type="pct"/>
            <w:tcBorders>
              <w:top w:val="single" w:sz="4" w:space="0" w:color="auto"/>
              <w:left w:val="single" w:sz="4" w:space="0" w:color="auto"/>
              <w:bottom w:val="single" w:sz="4" w:space="0" w:color="auto"/>
              <w:right w:val="single" w:sz="4" w:space="0" w:color="auto"/>
            </w:tcBorders>
          </w:tcPr>
          <w:p w14:paraId="481FF6BE" w14:textId="77777777" w:rsidR="004C3029" w:rsidRDefault="004C3029" w:rsidP="001147CF">
            <w:pPr>
              <w:overflowPunct w:val="0"/>
              <w:ind w:left="-57" w:right="-57"/>
              <w:jc w:val="center"/>
              <w:textAlignment w:val="baseline"/>
              <w:rPr>
                <w:sz w:val="20"/>
              </w:rPr>
            </w:pPr>
            <w:r>
              <w:rPr>
                <w:sz w:val="20"/>
              </w:rPr>
              <w:t>Ne</w:t>
            </w:r>
          </w:p>
        </w:tc>
        <w:tc>
          <w:tcPr>
            <w:tcW w:w="308" w:type="pct"/>
            <w:tcBorders>
              <w:top w:val="single" w:sz="4" w:space="0" w:color="auto"/>
              <w:left w:val="single" w:sz="4" w:space="0" w:color="auto"/>
              <w:bottom w:val="single" w:sz="4" w:space="0" w:color="auto"/>
              <w:right w:val="single" w:sz="4" w:space="0" w:color="auto"/>
            </w:tcBorders>
          </w:tcPr>
          <w:p w14:paraId="0D49BD14" w14:textId="77777777" w:rsidR="004C3029" w:rsidRDefault="004C3029" w:rsidP="001147CF">
            <w:pPr>
              <w:overflowPunct w:val="0"/>
              <w:ind w:left="-57" w:right="-57"/>
              <w:jc w:val="center"/>
              <w:textAlignment w:val="baseline"/>
              <w:rPr>
                <w:sz w:val="20"/>
              </w:rPr>
            </w:pPr>
            <w:r>
              <w:rPr>
                <w:sz w:val="20"/>
              </w:rPr>
              <w:t>D</w:t>
            </w:r>
          </w:p>
        </w:tc>
        <w:tc>
          <w:tcPr>
            <w:tcW w:w="307" w:type="pct"/>
            <w:tcBorders>
              <w:top w:val="single" w:sz="4" w:space="0" w:color="auto"/>
              <w:left w:val="single" w:sz="4" w:space="0" w:color="auto"/>
              <w:bottom w:val="single" w:sz="4" w:space="0" w:color="auto"/>
              <w:right w:val="single" w:sz="4" w:space="0" w:color="auto"/>
            </w:tcBorders>
          </w:tcPr>
          <w:p w14:paraId="60E76AE0" w14:textId="77777777" w:rsidR="004C3029" w:rsidRDefault="004C3029" w:rsidP="001147CF">
            <w:pPr>
              <w:overflowPunct w:val="0"/>
              <w:ind w:left="-57" w:right="-57"/>
              <w:jc w:val="center"/>
              <w:textAlignment w:val="baseline"/>
              <w:rPr>
                <w:sz w:val="20"/>
              </w:rPr>
            </w:pPr>
            <w:r>
              <w:rPr>
                <w:sz w:val="20"/>
              </w:rPr>
              <w:t>113 012</w:t>
            </w:r>
          </w:p>
        </w:tc>
        <w:tc>
          <w:tcPr>
            <w:tcW w:w="308" w:type="pct"/>
            <w:tcBorders>
              <w:top w:val="single" w:sz="4" w:space="0" w:color="auto"/>
              <w:left w:val="single" w:sz="4" w:space="0" w:color="auto"/>
              <w:bottom w:val="single" w:sz="4" w:space="0" w:color="auto"/>
              <w:right w:val="single" w:sz="4" w:space="0" w:color="auto"/>
            </w:tcBorders>
          </w:tcPr>
          <w:p w14:paraId="28FBFF93" w14:textId="77777777" w:rsidR="004C3029" w:rsidRDefault="004C3029" w:rsidP="001147CF">
            <w:pPr>
              <w:overflowPunct w:val="0"/>
              <w:ind w:left="-57" w:right="-57"/>
              <w:jc w:val="center"/>
              <w:textAlignment w:val="baseline"/>
              <w:rPr>
                <w:sz w:val="20"/>
              </w:rPr>
            </w:pPr>
            <w:r>
              <w:rPr>
                <w:sz w:val="20"/>
              </w:rPr>
              <w:t xml:space="preserve">Valstybės biudžetas </w:t>
            </w:r>
          </w:p>
        </w:tc>
        <w:tc>
          <w:tcPr>
            <w:tcW w:w="437" w:type="pct"/>
            <w:tcBorders>
              <w:top w:val="single" w:sz="4" w:space="0" w:color="auto"/>
              <w:left w:val="single" w:sz="4" w:space="0" w:color="auto"/>
              <w:bottom w:val="single" w:sz="4" w:space="0" w:color="auto"/>
              <w:right w:val="single" w:sz="4" w:space="0" w:color="auto"/>
            </w:tcBorders>
          </w:tcPr>
          <w:p w14:paraId="668868F7" w14:textId="77777777" w:rsidR="004C3029" w:rsidRDefault="004C3029" w:rsidP="001147CF">
            <w:pPr>
              <w:overflowPunct w:val="0"/>
              <w:ind w:left="-57" w:right="-57"/>
              <w:textAlignment w:val="baseline"/>
              <w:rPr>
                <w:sz w:val="20"/>
              </w:rPr>
            </w:pPr>
            <w:r>
              <w:rPr>
                <w:sz w:val="20"/>
              </w:rPr>
              <w:t>R – Mokyklų, pritaikytų asmenims su negalia, dalis</w:t>
            </w:r>
          </w:p>
        </w:tc>
        <w:tc>
          <w:tcPr>
            <w:tcW w:w="220" w:type="pct"/>
            <w:tcBorders>
              <w:top w:val="single" w:sz="4" w:space="0" w:color="auto"/>
              <w:left w:val="single" w:sz="4" w:space="0" w:color="auto"/>
              <w:bottom w:val="single" w:sz="4" w:space="0" w:color="auto"/>
              <w:right w:val="single" w:sz="4" w:space="0" w:color="auto"/>
            </w:tcBorders>
          </w:tcPr>
          <w:p w14:paraId="1A2FBF46" w14:textId="77777777" w:rsidR="004C3029" w:rsidRDefault="004C3029" w:rsidP="001147CF">
            <w:pPr>
              <w:overflowPunct w:val="0"/>
              <w:ind w:left="-57" w:right="-57"/>
              <w:jc w:val="center"/>
              <w:textAlignment w:val="baseline"/>
              <w:rPr>
                <w:sz w:val="20"/>
              </w:rPr>
            </w:pPr>
            <w:r>
              <w:rPr>
                <w:sz w:val="20"/>
              </w:rPr>
              <w:t>20</w:t>
            </w:r>
          </w:p>
        </w:tc>
        <w:tc>
          <w:tcPr>
            <w:tcW w:w="263" w:type="pct"/>
            <w:tcBorders>
              <w:top w:val="single" w:sz="4" w:space="0" w:color="auto"/>
              <w:left w:val="single" w:sz="4" w:space="0" w:color="auto"/>
              <w:bottom w:val="single" w:sz="4" w:space="0" w:color="auto"/>
              <w:right w:val="single" w:sz="4" w:space="0" w:color="auto"/>
            </w:tcBorders>
          </w:tcPr>
          <w:p w14:paraId="34C9975A" w14:textId="77777777" w:rsidR="004C3029" w:rsidRDefault="004C3029" w:rsidP="001147CF">
            <w:pPr>
              <w:overflowPunct w:val="0"/>
              <w:ind w:left="-57" w:right="-57"/>
              <w:jc w:val="center"/>
              <w:textAlignment w:val="baseline"/>
              <w:rPr>
                <w:sz w:val="20"/>
              </w:rPr>
            </w:pPr>
            <w:r>
              <w:rPr>
                <w:sz w:val="20"/>
              </w:rPr>
              <w:t xml:space="preserve">2025 </w:t>
            </w:r>
          </w:p>
        </w:tc>
        <w:tc>
          <w:tcPr>
            <w:tcW w:w="326" w:type="pct"/>
            <w:tcBorders>
              <w:top w:val="single" w:sz="4" w:space="0" w:color="auto"/>
              <w:left w:val="single" w:sz="4" w:space="0" w:color="auto"/>
              <w:bottom w:val="single" w:sz="4" w:space="0" w:color="auto"/>
              <w:right w:val="single" w:sz="4" w:space="0" w:color="auto"/>
            </w:tcBorders>
          </w:tcPr>
          <w:p w14:paraId="34C03701" w14:textId="77777777" w:rsidR="004C3029" w:rsidRDefault="004C3029" w:rsidP="001147CF">
            <w:pPr>
              <w:overflowPunct w:val="0"/>
              <w:ind w:left="-57" w:right="-57"/>
              <w:jc w:val="center"/>
              <w:textAlignment w:val="baseline"/>
              <w:rPr>
                <w:sz w:val="20"/>
              </w:rPr>
            </w:pPr>
            <w:r>
              <w:rPr>
                <w:sz w:val="20"/>
              </w:rPr>
              <w:t>ŠMSM</w:t>
            </w:r>
          </w:p>
        </w:tc>
        <w:tc>
          <w:tcPr>
            <w:tcW w:w="308" w:type="pct"/>
            <w:tcBorders>
              <w:top w:val="single" w:sz="4" w:space="0" w:color="auto"/>
              <w:left w:val="single" w:sz="4" w:space="0" w:color="auto"/>
              <w:bottom w:val="single" w:sz="4" w:space="0" w:color="auto"/>
              <w:right w:val="single" w:sz="4" w:space="0" w:color="auto"/>
            </w:tcBorders>
          </w:tcPr>
          <w:p w14:paraId="4D0AFD00" w14:textId="77777777" w:rsidR="004C3029" w:rsidRDefault="004C3029" w:rsidP="001147CF">
            <w:pPr>
              <w:overflowPunct w:val="0"/>
              <w:ind w:left="-57" w:right="-57"/>
              <w:jc w:val="center"/>
              <w:textAlignment w:val="baseline"/>
              <w:rPr>
                <w:sz w:val="20"/>
              </w:rPr>
            </w:pPr>
          </w:p>
        </w:tc>
      </w:tr>
      <w:tr w:rsidR="004C3029" w14:paraId="09B1FEA1" w14:textId="77777777" w:rsidTr="001147CF">
        <w:trPr>
          <w:trHeight w:val="731"/>
        </w:trPr>
        <w:tc>
          <w:tcPr>
            <w:tcW w:w="704" w:type="pct"/>
            <w:tcBorders>
              <w:top w:val="single" w:sz="4" w:space="0" w:color="auto"/>
              <w:left w:val="single" w:sz="4" w:space="0" w:color="auto"/>
              <w:bottom w:val="single" w:sz="4" w:space="0" w:color="auto"/>
              <w:right w:val="single" w:sz="4" w:space="0" w:color="auto"/>
            </w:tcBorders>
          </w:tcPr>
          <w:p w14:paraId="354F1A14" w14:textId="77777777" w:rsidR="004C3029" w:rsidRDefault="004C3029" w:rsidP="001147CF">
            <w:pPr>
              <w:overflowPunct w:val="0"/>
              <w:ind w:left="-57" w:right="-57"/>
              <w:textAlignment w:val="baseline"/>
              <w:rPr>
                <w:sz w:val="20"/>
              </w:rPr>
            </w:pPr>
          </w:p>
        </w:tc>
        <w:tc>
          <w:tcPr>
            <w:tcW w:w="283" w:type="pct"/>
            <w:tcBorders>
              <w:top w:val="single" w:sz="4" w:space="0" w:color="auto"/>
              <w:left w:val="single" w:sz="4" w:space="0" w:color="auto"/>
              <w:bottom w:val="single" w:sz="4" w:space="0" w:color="auto"/>
              <w:right w:val="single" w:sz="4" w:space="0" w:color="auto"/>
            </w:tcBorders>
          </w:tcPr>
          <w:p w14:paraId="36A8487C" w14:textId="77777777" w:rsidR="004C3029" w:rsidRDefault="004C3029" w:rsidP="001147CF">
            <w:pPr>
              <w:overflowPunct w:val="0"/>
              <w:ind w:left="-57" w:right="-57"/>
              <w:jc w:val="center"/>
              <w:textAlignment w:val="baseline"/>
              <w:rPr>
                <w:sz w:val="20"/>
              </w:rPr>
            </w:pPr>
          </w:p>
        </w:tc>
        <w:tc>
          <w:tcPr>
            <w:tcW w:w="282" w:type="pct"/>
            <w:tcBorders>
              <w:top w:val="single" w:sz="4" w:space="0" w:color="auto"/>
              <w:left w:val="single" w:sz="4" w:space="0" w:color="auto"/>
              <w:bottom w:val="single" w:sz="4" w:space="0" w:color="auto"/>
              <w:right w:val="single" w:sz="4" w:space="0" w:color="auto"/>
            </w:tcBorders>
          </w:tcPr>
          <w:p w14:paraId="70F18101" w14:textId="77777777" w:rsidR="004C3029" w:rsidRDefault="004C3029" w:rsidP="001147CF">
            <w:pPr>
              <w:overflowPunct w:val="0"/>
              <w:ind w:left="-57" w:right="-57"/>
              <w:jc w:val="center"/>
              <w:textAlignment w:val="baseline"/>
              <w:rPr>
                <w:sz w:val="20"/>
              </w:rPr>
            </w:pPr>
          </w:p>
        </w:tc>
        <w:tc>
          <w:tcPr>
            <w:tcW w:w="351" w:type="pct"/>
            <w:tcBorders>
              <w:top w:val="single" w:sz="4" w:space="0" w:color="auto"/>
              <w:left w:val="single" w:sz="4" w:space="0" w:color="auto"/>
              <w:bottom w:val="single" w:sz="4" w:space="0" w:color="auto"/>
              <w:right w:val="single" w:sz="4" w:space="0" w:color="auto"/>
            </w:tcBorders>
          </w:tcPr>
          <w:p w14:paraId="7BEEF9E6" w14:textId="77777777" w:rsidR="004C3029" w:rsidRDefault="004C3029" w:rsidP="001147CF">
            <w:pPr>
              <w:overflowPunct w:val="0"/>
              <w:ind w:left="-57" w:right="-57"/>
              <w:jc w:val="center"/>
              <w:textAlignment w:val="baseline"/>
              <w:rPr>
                <w:sz w:val="20"/>
              </w:rPr>
            </w:pPr>
          </w:p>
        </w:tc>
        <w:tc>
          <w:tcPr>
            <w:tcW w:w="333" w:type="pct"/>
            <w:tcBorders>
              <w:top w:val="single" w:sz="4" w:space="0" w:color="auto"/>
              <w:left w:val="single" w:sz="4" w:space="0" w:color="auto"/>
              <w:bottom w:val="single" w:sz="4" w:space="0" w:color="auto"/>
              <w:right w:val="single" w:sz="4" w:space="0" w:color="auto"/>
            </w:tcBorders>
          </w:tcPr>
          <w:p w14:paraId="19F5D42F"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06D9CAA5" w14:textId="77777777" w:rsidR="004C3029" w:rsidRDefault="004C3029" w:rsidP="001147CF">
            <w:pPr>
              <w:overflowPunct w:val="0"/>
              <w:ind w:left="-57" w:right="-57"/>
              <w:jc w:val="center"/>
              <w:textAlignment w:val="baseline"/>
              <w:rPr>
                <w:sz w:val="20"/>
              </w:rPr>
            </w:pPr>
          </w:p>
        </w:tc>
        <w:tc>
          <w:tcPr>
            <w:tcW w:w="262" w:type="pct"/>
            <w:tcBorders>
              <w:top w:val="single" w:sz="4" w:space="0" w:color="auto"/>
              <w:left w:val="single" w:sz="4" w:space="0" w:color="auto"/>
              <w:bottom w:val="single" w:sz="4" w:space="0" w:color="auto"/>
              <w:right w:val="single" w:sz="4" w:space="0" w:color="auto"/>
            </w:tcBorders>
          </w:tcPr>
          <w:p w14:paraId="6C3FDEED"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695812C5" w14:textId="77777777" w:rsidR="004C3029" w:rsidRDefault="004C3029" w:rsidP="001147CF">
            <w:pPr>
              <w:overflowPunct w:val="0"/>
              <w:ind w:left="-57" w:right="-57"/>
              <w:jc w:val="center"/>
              <w:textAlignment w:val="baseline"/>
              <w:rPr>
                <w:sz w:val="20"/>
              </w:rPr>
            </w:pPr>
          </w:p>
        </w:tc>
        <w:tc>
          <w:tcPr>
            <w:tcW w:w="307" w:type="pct"/>
            <w:tcBorders>
              <w:top w:val="single" w:sz="4" w:space="0" w:color="auto"/>
              <w:left w:val="single" w:sz="4" w:space="0" w:color="auto"/>
              <w:bottom w:val="single" w:sz="4" w:space="0" w:color="auto"/>
              <w:right w:val="single" w:sz="4" w:space="0" w:color="auto"/>
            </w:tcBorders>
          </w:tcPr>
          <w:p w14:paraId="72D50653"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71609A88" w14:textId="77777777" w:rsidR="004C3029" w:rsidRDefault="004C3029" w:rsidP="001147CF">
            <w:pPr>
              <w:overflowPunct w:val="0"/>
              <w:ind w:left="-57" w:right="-57"/>
              <w:jc w:val="center"/>
              <w:textAlignment w:val="baseline"/>
              <w:rPr>
                <w:sz w:val="20"/>
              </w:rPr>
            </w:pPr>
          </w:p>
        </w:tc>
        <w:tc>
          <w:tcPr>
            <w:tcW w:w="437" w:type="pct"/>
            <w:tcBorders>
              <w:top w:val="single" w:sz="4" w:space="0" w:color="auto"/>
              <w:left w:val="single" w:sz="4" w:space="0" w:color="auto"/>
              <w:bottom w:val="single" w:sz="4" w:space="0" w:color="auto"/>
              <w:right w:val="single" w:sz="4" w:space="0" w:color="auto"/>
            </w:tcBorders>
          </w:tcPr>
          <w:p w14:paraId="22154154" w14:textId="77777777" w:rsidR="004C3029" w:rsidRDefault="004C3029" w:rsidP="001147CF">
            <w:pPr>
              <w:overflowPunct w:val="0"/>
              <w:ind w:left="-57" w:right="-57"/>
              <w:textAlignment w:val="baseline"/>
              <w:rPr>
                <w:sz w:val="20"/>
              </w:rPr>
            </w:pPr>
            <w:r>
              <w:rPr>
                <w:sz w:val="20"/>
              </w:rPr>
              <w:t>P-12-003-03-02-01-11</w:t>
            </w:r>
            <w:r>
              <w:rPr>
                <w:sz w:val="18"/>
                <w:szCs w:val="18"/>
              </w:rPr>
              <w:t xml:space="preserve"> </w:t>
            </w:r>
            <w:r>
              <w:rPr>
                <w:sz w:val="20"/>
              </w:rPr>
              <w:t>Asmenims su negalia pritaikytų (atnaujintų arba naujai pastatytų) Lietuvos Respublikos švietimo, mokslo ir sporto ministerijai pavaldžių Vilniaus ir Šalčininkų rajonų mokyklų skaičius</w:t>
            </w:r>
          </w:p>
        </w:tc>
        <w:tc>
          <w:tcPr>
            <w:tcW w:w="220" w:type="pct"/>
            <w:tcBorders>
              <w:top w:val="single" w:sz="4" w:space="0" w:color="auto"/>
              <w:left w:val="single" w:sz="4" w:space="0" w:color="auto"/>
              <w:bottom w:val="single" w:sz="4" w:space="0" w:color="auto"/>
              <w:right w:val="single" w:sz="4" w:space="0" w:color="auto"/>
            </w:tcBorders>
          </w:tcPr>
          <w:p w14:paraId="2477F8FA" w14:textId="77777777" w:rsidR="004C3029" w:rsidRDefault="004C3029" w:rsidP="001147CF">
            <w:pPr>
              <w:overflowPunct w:val="0"/>
              <w:ind w:left="-57" w:right="-57"/>
              <w:jc w:val="center"/>
              <w:textAlignment w:val="baseline"/>
              <w:rPr>
                <w:sz w:val="20"/>
              </w:rPr>
            </w:pPr>
            <w:r>
              <w:rPr>
                <w:sz w:val="20"/>
              </w:rPr>
              <w:t>9</w:t>
            </w:r>
          </w:p>
        </w:tc>
        <w:tc>
          <w:tcPr>
            <w:tcW w:w="263" w:type="pct"/>
            <w:tcBorders>
              <w:top w:val="single" w:sz="4" w:space="0" w:color="auto"/>
              <w:left w:val="single" w:sz="4" w:space="0" w:color="auto"/>
              <w:bottom w:val="single" w:sz="4" w:space="0" w:color="auto"/>
              <w:right w:val="single" w:sz="4" w:space="0" w:color="auto"/>
            </w:tcBorders>
          </w:tcPr>
          <w:p w14:paraId="299750E9" w14:textId="77777777" w:rsidR="004C3029" w:rsidRDefault="004C3029" w:rsidP="001147CF">
            <w:pPr>
              <w:overflowPunct w:val="0"/>
              <w:ind w:left="-57" w:right="-57"/>
              <w:jc w:val="center"/>
              <w:textAlignment w:val="baseline"/>
              <w:rPr>
                <w:sz w:val="20"/>
              </w:rPr>
            </w:pPr>
          </w:p>
        </w:tc>
        <w:tc>
          <w:tcPr>
            <w:tcW w:w="326" w:type="pct"/>
            <w:tcBorders>
              <w:top w:val="single" w:sz="4" w:space="0" w:color="auto"/>
              <w:left w:val="single" w:sz="4" w:space="0" w:color="auto"/>
              <w:bottom w:val="single" w:sz="4" w:space="0" w:color="auto"/>
              <w:right w:val="single" w:sz="4" w:space="0" w:color="auto"/>
            </w:tcBorders>
          </w:tcPr>
          <w:p w14:paraId="2D07B610"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1BE05F3A" w14:textId="77777777" w:rsidR="004C3029" w:rsidRDefault="004C3029" w:rsidP="001147CF">
            <w:pPr>
              <w:overflowPunct w:val="0"/>
              <w:ind w:left="-57" w:right="-57"/>
              <w:jc w:val="center"/>
              <w:textAlignment w:val="baseline"/>
              <w:rPr>
                <w:sz w:val="20"/>
              </w:rPr>
            </w:pPr>
          </w:p>
        </w:tc>
      </w:tr>
      <w:tr w:rsidR="004C3029" w14:paraId="3F8835E2" w14:textId="77777777" w:rsidTr="001147CF">
        <w:trPr>
          <w:trHeight w:val="731"/>
        </w:trPr>
        <w:tc>
          <w:tcPr>
            <w:tcW w:w="704" w:type="pct"/>
            <w:tcBorders>
              <w:top w:val="single" w:sz="4" w:space="0" w:color="auto"/>
              <w:left w:val="single" w:sz="4" w:space="0" w:color="auto"/>
              <w:bottom w:val="single" w:sz="4" w:space="0" w:color="auto"/>
              <w:right w:val="single" w:sz="4" w:space="0" w:color="auto"/>
            </w:tcBorders>
          </w:tcPr>
          <w:p w14:paraId="0C820FB4" w14:textId="77777777" w:rsidR="004C3029" w:rsidRDefault="004C3029" w:rsidP="001147CF">
            <w:pPr>
              <w:overflowPunct w:val="0"/>
              <w:ind w:left="-57" w:right="-57"/>
              <w:textAlignment w:val="baseline"/>
              <w:rPr>
                <w:sz w:val="20"/>
              </w:rPr>
            </w:pPr>
          </w:p>
        </w:tc>
        <w:tc>
          <w:tcPr>
            <w:tcW w:w="283" w:type="pct"/>
            <w:tcBorders>
              <w:top w:val="single" w:sz="4" w:space="0" w:color="auto"/>
              <w:left w:val="single" w:sz="4" w:space="0" w:color="auto"/>
              <w:bottom w:val="single" w:sz="4" w:space="0" w:color="auto"/>
              <w:right w:val="single" w:sz="4" w:space="0" w:color="auto"/>
            </w:tcBorders>
          </w:tcPr>
          <w:p w14:paraId="74A11C1E" w14:textId="77777777" w:rsidR="004C3029" w:rsidRDefault="004C3029" w:rsidP="001147CF">
            <w:pPr>
              <w:overflowPunct w:val="0"/>
              <w:ind w:left="-57" w:right="-57"/>
              <w:jc w:val="center"/>
              <w:textAlignment w:val="baseline"/>
              <w:rPr>
                <w:sz w:val="20"/>
              </w:rPr>
            </w:pPr>
          </w:p>
        </w:tc>
        <w:tc>
          <w:tcPr>
            <w:tcW w:w="282" w:type="pct"/>
            <w:tcBorders>
              <w:top w:val="single" w:sz="4" w:space="0" w:color="auto"/>
              <w:left w:val="single" w:sz="4" w:space="0" w:color="auto"/>
              <w:bottom w:val="single" w:sz="4" w:space="0" w:color="auto"/>
              <w:right w:val="single" w:sz="4" w:space="0" w:color="auto"/>
            </w:tcBorders>
          </w:tcPr>
          <w:p w14:paraId="63C09FC9" w14:textId="77777777" w:rsidR="004C3029" w:rsidRDefault="004C3029" w:rsidP="001147CF">
            <w:pPr>
              <w:overflowPunct w:val="0"/>
              <w:ind w:left="-57" w:right="-57"/>
              <w:jc w:val="center"/>
              <w:textAlignment w:val="baseline"/>
              <w:rPr>
                <w:sz w:val="20"/>
              </w:rPr>
            </w:pPr>
          </w:p>
        </w:tc>
        <w:tc>
          <w:tcPr>
            <w:tcW w:w="351" w:type="pct"/>
            <w:tcBorders>
              <w:top w:val="single" w:sz="4" w:space="0" w:color="auto"/>
              <w:left w:val="single" w:sz="4" w:space="0" w:color="auto"/>
              <w:bottom w:val="single" w:sz="4" w:space="0" w:color="auto"/>
              <w:right w:val="single" w:sz="4" w:space="0" w:color="auto"/>
            </w:tcBorders>
          </w:tcPr>
          <w:p w14:paraId="6FBEC9A5" w14:textId="77777777" w:rsidR="004C3029" w:rsidRDefault="004C3029" w:rsidP="001147CF">
            <w:pPr>
              <w:overflowPunct w:val="0"/>
              <w:ind w:left="-57" w:right="-57"/>
              <w:jc w:val="center"/>
              <w:textAlignment w:val="baseline"/>
              <w:rPr>
                <w:sz w:val="20"/>
              </w:rPr>
            </w:pPr>
          </w:p>
        </w:tc>
        <w:tc>
          <w:tcPr>
            <w:tcW w:w="333" w:type="pct"/>
            <w:tcBorders>
              <w:top w:val="single" w:sz="4" w:space="0" w:color="auto"/>
              <w:left w:val="single" w:sz="4" w:space="0" w:color="auto"/>
              <w:bottom w:val="single" w:sz="4" w:space="0" w:color="auto"/>
              <w:right w:val="single" w:sz="4" w:space="0" w:color="auto"/>
            </w:tcBorders>
          </w:tcPr>
          <w:p w14:paraId="054AA0CD"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1B0794A5" w14:textId="77777777" w:rsidR="004C3029" w:rsidRDefault="004C3029" w:rsidP="001147CF">
            <w:pPr>
              <w:overflowPunct w:val="0"/>
              <w:ind w:left="-57" w:right="-57"/>
              <w:jc w:val="center"/>
              <w:textAlignment w:val="baseline"/>
              <w:rPr>
                <w:sz w:val="20"/>
              </w:rPr>
            </w:pPr>
          </w:p>
        </w:tc>
        <w:tc>
          <w:tcPr>
            <w:tcW w:w="262" w:type="pct"/>
            <w:tcBorders>
              <w:top w:val="single" w:sz="4" w:space="0" w:color="auto"/>
              <w:left w:val="single" w:sz="4" w:space="0" w:color="auto"/>
              <w:bottom w:val="single" w:sz="4" w:space="0" w:color="auto"/>
              <w:right w:val="single" w:sz="4" w:space="0" w:color="auto"/>
            </w:tcBorders>
          </w:tcPr>
          <w:p w14:paraId="0CDE2BF3"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4248D0FC" w14:textId="77777777" w:rsidR="004C3029" w:rsidRDefault="004C3029" w:rsidP="001147CF">
            <w:pPr>
              <w:overflowPunct w:val="0"/>
              <w:ind w:left="-57" w:right="-57"/>
              <w:jc w:val="center"/>
              <w:textAlignment w:val="baseline"/>
              <w:rPr>
                <w:sz w:val="20"/>
              </w:rPr>
            </w:pPr>
          </w:p>
        </w:tc>
        <w:tc>
          <w:tcPr>
            <w:tcW w:w="307" w:type="pct"/>
            <w:tcBorders>
              <w:top w:val="single" w:sz="4" w:space="0" w:color="auto"/>
              <w:left w:val="single" w:sz="4" w:space="0" w:color="auto"/>
              <w:bottom w:val="single" w:sz="4" w:space="0" w:color="auto"/>
              <w:right w:val="single" w:sz="4" w:space="0" w:color="auto"/>
            </w:tcBorders>
          </w:tcPr>
          <w:p w14:paraId="7E8626DD"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7B8DEBE2" w14:textId="77777777" w:rsidR="004C3029" w:rsidRDefault="004C3029" w:rsidP="001147CF">
            <w:pPr>
              <w:overflowPunct w:val="0"/>
              <w:ind w:left="-57" w:right="-57"/>
              <w:jc w:val="center"/>
              <w:textAlignment w:val="baseline"/>
              <w:rPr>
                <w:sz w:val="20"/>
              </w:rPr>
            </w:pPr>
          </w:p>
        </w:tc>
        <w:tc>
          <w:tcPr>
            <w:tcW w:w="437" w:type="pct"/>
            <w:tcBorders>
              <w:top w:val="single" w:sz="4" w:space="0" w:color="auto"/>
              <w:left w:val="single" w:sz="4" w:space="0" w:color="auto"/>
              <w:bottom w:val="single" w:sz="4" w:space="0" w:color="auto"/>
              <w:right w:val="single" w:sz="4" w:space="0" w:color="auto"/>
            </w:tcBorders>
          </w:tcPr>
          <w:p w14:paraId="0E9F4A32" w14:textId="77777777" w:rsidR="004C3029" w:rsidRDefault="004C3029" w:rsidP="001147CF">
            <w:pPr>
              <w:overflowPunct w:val="0"/>
              <w:textAlignment w:val="baseline"/>
              <w:rPr>
                <w:sz w:val="20"/>
              </w:rPr>
            </w:pPr>
            <w:r>
              <w:rPr>
                <w:sz w:val="20"/>
              </w:rPr>
              <w:t>P-12-003-03-02-01-12</w:t>
            </w:r>
            <w:r>
              <w:rPr>
                <w:sz w:val="18"/>
                <w:szCs w:val="18"/>
              </w:rPr>
              <w:t xml:space="preserve"> </w:t>
            </w:r>
            <w:r>
              <w:rPr>
                <w:sz w:val="20"/>
              </w:rPr>
              <w:t>Mokinių, besimokančių valstybine kalba (atnaujintose arba naujai pastatytose</w:t>
            </w:r>
            <w:r>
              <w:rPr>
                <w:sz w:val="20"/>
              </w:rPr>
              <w:lastRenderedPageBreak/>
              <w:t>), valstybinėse bendrojo ir ikimokyklinio ugdymo mokyklose</w:t>
            </w:r>
          </w:p>
          <w:p w14:paraId="0FEE14D8" w14:textId="77777777" w:rsidR="004C3029" w:rsidRDefault="004C3029" w:rsidP="001147CF">
            <w:pPr>
              <w:overflowPunct w:val="0"/>
              <w:textAlignment w:val="baseline"/>
              <w:rPr>
                <w:sz w:val="20"/>
              </w:rPr>
            </w:pPr>
            <w:r>
              <w:rPr>
                <w:sz w:val="20"/>
              </w:rPr>
              <w:t>, esančiose Vilniaus rajone ir Šalčininkų rajone, kurių savininko teises ir pareigas įgyvendina Lietuvos Respublikos švietimo, mokslo ir sporto ministerija, skaičius</w:t>
            </w:r>
          </w:p>
          <w:p w14:paraId="3BA24A2E" w14:textId="77777777" w:rsidR="004C3029" w:rsidRDefault="004C3029" w:rsidP="001147CF">
            <w:pPr>
              <w:overflowPunct w:val="0"/>
              <w:ind w:left="-57" w:right="-57"/>
              <w:textAlignment w:val="baseline"/>
              <w:rPr>
                <w:sz w:val="20"/>
              </w:rPr>
            </w:pPr>
          </w:p>
        </w:tc>
        <w:tc>
          <w:tcPr>
            <w:tcW w:w="220" w:type="pct"/>
            <w:tcBorders>
              <w:top w:val="single" w:sz="4" w:space="0" w:color="auto"/>
              <w:left w:val="single" w:sz="4" w:space="0" w:color="auto"/>
              <w:bottom w:val="single" w:sz="4" w:space="0" w:color="auto"/>
              <w:right w:val="single" w:sz="4" w:space="0" w:color="auto"/>
            </w:tcBorders>
          </w:tcPr>
          <w:p w14:paraId="5C04AAE4" w14:textId="77777777" w:rsidR="004C3029" w:rsidRDefault="004C3029" w:rsidP="001147CF">
            <w:pPr>
              <w:overflowPunct w:val="0"/>
              <w:ind w:left="-57" w:right="-57"/>
              <w:jc w:val="center"/>
              <w:textAlignment w:val="baseline"/>
              <w:rPr>
                <w:sz w:val="20"/>
              </w:rPr>
            </w:pPr>
            <w:r>
              <w:rPr>
                <w:sz w:val="20"/>
              </w:rPr>
              <w:lastRenderedPageBreak/>
              <w:t>6500</w:t>
            </w:r>
          </w:p>
        </w:tc>
        <w:tc>
          <w:tcPr>
            <w:tcW w:w="263" w:type="pct"/>
            <w:tcBorders>
              <w:top w:val="single" w:sz="4" w:space="0" w:color="auto"/>
              <w:left w:val="single" w:sz="4" w:space="0" w:color="auto"/>
              <w:bottom w:val="single" w:sz="4" w:space="0" w:color="auto"/>
              <w:right w:val="single" w:sz="4" w:space="0" w:color="auto"/>
            </w:tcBorders>
          </w:tcPr>
          <w:p w14:paraId="3A1CC10C" w14:textId="77777777" w:rsidR="004C3029" w:rsidRDefault="004C3029" w:rsidP="001147CF">
            <w:pPr>
              <w:overflowPunct w:val="0"/>
              <w:ind w:left="-57" w:right="-57"/>
              <w:jc w:val="center"/>
              <w:textAlignment w:val="baseline"/>
              <w:rPr>
                <w:sz w:val="20"/>
              </w:rPr>
            </w:pPr>
          </w:p>
        </w:tc>
        <w:tc>
          <w:tcPr>
            <w:tcW w:w="326" w:type="pct"/>
            <w:tcBorders>
              <w:top w:val="single" w:sz="4" w:space="0" w:color="auto"/>
              <w:left w:val="single" w:sz="4" w:space="0" w:color="auto"/>
              <w:bottom w:val="single" w:sz="4" w:space="0" w:color="auto"/>
              <w:right w:val="single" w:sz="4" w:space="0" w:color="auto"/>
            </w:tcBorders>
          </w:tcPr>
          <w:p w14:paraId="7C26C97D" w14:textId="77777777" w:rsidR="004C3029" w:rsidRDefault="004C3029" w:rsidP="001147CF">
            <w:pPr>
              <w:overflowPunct w:val="0"/>
              <w:ind w:left="-57" w:right="-57"/>
              <w:jc w:val="center"/>
              <w:textAlignment w:val="baseline"/>
              <w:rPr>
                <w:sz w:val="20"/>
              </w:rPr>
            </w:pPr>
          </w:p>
        </w:tc>
        <w:tc>
          <w:tcPr>
            <w:tcW w:w="308" w:type="pct"/>
            <w:tcBorders>
              <w:top w:val="single" w:sz="4" w:space="0" w:color="auto"/>
              <w:left w:val="single" w:sz="4" w:space="0" w:color="auto"/>
              <w:bottom w:val="single" w:sz="4" w:space="0" w:color="auto"/>
              <w:right w:val="single" w:sz="4" w:space="0" w:color="auto"/>
            </w:tcBorders>
          </w:tcPr>
          <w:p w14:paraId="770CC255" w14:textId="77777777" w:rsidR="004C3029" w:rsidRDefault="004C3029" w:rsidP="001147CF">
            <w:pPr>
              <w:overflowPunct w:val="0"/>
              <w:ind w:left="-57" w:right="-57"/>
              <w:jc w:val="center"/>
              <w:textAlignment w:val="baseline"/>
              <w:rPr>
                <w:sz w:val="20"/>
              </w:rPr>
            </w:pPr>
          </w:p>
        </w:tc>
      </w:tr>
    </w:tbl>
    <w:p w14:paraId="6787F471" w14:textId="77777777" w:rsidR="004C3029" w:rsidRDefault="004C3029" w:rsidP="004C3029">
      <w:pPr>
        <w:overflowPunct w:val="0"/>
        <w:jc w:val="both"/>
        <w:textAlignment w:val="baseline"/>
        <w:rPr>
          <w:sz w:val="22"/>
          <w:szCs w:val="22"/>
        </w:rPr>
      </w:pPr>
      <w:r>
        <w:rPr>
          <w:b/>
          <w:bCs/>
          <w:sz w:val="22"/>
          <w:szCs w:val="22"/>
        </w:rPr>
        <w:t xml:space="preserve">Pastaba. </w:t>
      </w:r>
      <w:r>
        <w:rPr>
          <w:sz w:val="22"/>
          <w:szCs w:val="22"/>
        </w:rPr>
        <w:t xml:space="preserve">Lyginant su </w:t>
      </w:r>
      <w:r>
        <w:rPr>
          <w:sz w:val="22"/>
          <w:szCs w:val="22"/>
          <w:lang w:eastAsia="lt-LT"/>
        </w:rPr>
        <w:t>2021–2027 metų Europos Sąjungos fondų investicijų programa</w:t>
      </w:r>
      <w:r>
        <w:rPr>
          <w:sz w:val="22"/>
          <w:szCs w:val="22"/>
        </w:rPr>
        <w:t xml:space="preserve"> (toliau – </w:t>
      </w:r>
      <w:r>
        <w:rPr>
          <w:sz w:val="22"/>
          <w:szCs w:val="22"/>
          <w:lang w:eastAsia="lt-LT"/>
        </w:rPr>
        <w:t xml:space="preserve">2021–2027 </w:t>
      </w:r>
      <w:r>
        <w:rPr>
          <w:sz w:val="22"/>
          <w:szCs w:val="22"/>
        </w:rPr>
        <w:t>IP), produkto rodiklio „Asmenys, turintys tretinį (ISCED 5–8 kodai) išsilavinimą“ (rodiklio kodas P-12-003-03-02-01-07) skirtumas gaunasi 1 590, iš jų 220 bus pažangos priemonėje Nr. 12-003-03-01-03„Užtikrinti visiems prieinamą šiuolaikinį ugdymo turinį“ ir 1 370 pažangos priemonėje Nr. 12-003-03-01-04 „Užtikrinti visiems prieinamą ankstyvąjį ugdymą“.</w:t>
      </w:r>
    </w:p>
    <w:p w14:paraId="65B98EFB" w14:textId="77777777" w:rsidR="004C3029" w:rsidRDefault="004C3029" w:rsidP="004C3029">
      <w:pPr>
        <w:overflowPunct w:val="0"/>
        <w:jc w:val="both"/>
        <w:textAlignment w:val="baseline"/>
        <w:rPr>
          <w:sz w:val="22"/>
          <w:szCs w:val="22"/>
        </w:rPr>
      </w:pPr>
      <w:r>
        <w:rPr>
          <w:sz w:val="22"/>
          <w:szCs w:val="22"/>
        </w:rPr>
        <w:t>Poveiklėje Nr. 4.1 „Sukurti Lietuvos įtraukties švietime centrą įvairiapusių raidos ir kitų sutrikimų turintiems mokiniams, aprūpinant jį reikalinga įranga, baldais, specialiosiomis priemonėmis ir pan. sostinės regione“ ir poveiklėje Nr. 4.2  „Sukurti Lietuvos įtraukties švietime centrą įvairiapusių raidos ir kitų sutrikimų turintiems mokiniams, aprūpinant jį reikalinga įranga, baldais, specialiosiomis priemonėmis ir pan.“ nurodytas tas pats centras, o produkto rodiklio „Išvystyti regioniniai švietimo pagalbos centrai“ (rodiklio kodas P-12-003-03-02-01-08) minimali siektina reikšmė – 1 (aptarnaujantis visą Lietuvos teritoriją).“</w:t>
      </w:r>
    </w:p>
    <w:p w14:paraId="1AAF1DA9" w14:textId="77777777" w:rsidR="00306450" w:rsidRDefault="00C3645C">
      <w:pPr>
        <w:ind w:firstLine="567"/>
        <w:jc w:val="center"/>
        <w:rPr>
          <w:sz w:val="22"/>
          <w:szCs w:val="22"/>
        </w:rPr>
      </w:pPr>
      <w:r>
        <w:rPr>
          <w:sz w:val="22"/>
          <w:szCs w:val="22"/>
        </w:rPr>
        <w:t>________________________</w:t>
      </w:r>
    </w:p>
    <w:sectPr w:rsidR="00306450" w:rsidSect="004C3029">
      <w:pgSz w:w="16838" w:h="11906" w:orient="landscape"/>
      <w:pgMar w:top="1418"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FB037" w14:textId="77777777" w:rsidR="0014443A" w:rsidRDefault="0014443A">
      <w:pPr>
        <w:rPr>
          <w:sz w:val="22"/>
          <w:szCs w:val="22"/>
        </w:rPr>
      </w:pPr>
      <w:r>
        <w:rPr>
          <w:sz w:val="22"/>
          <w:szCs w:val="22"/>
        </w:rPr>
        <w:separator/>
      </w:r>
    </w:p>
  </w:endnote>
  <w:endnote w:type="continuationSeparator" w:id="0">
    <w:p w14:paraId="151D27D8" w14:textId="77777777" w:rsidR="0014443A" w:rsidRDefault="0014443A">
      <w:pPr>
        <w:rPr>
          <w:sz w:val="22"/>
          <w:szCs w:val="22"/>
        </w:rPr>
      </w:pPr>
      <w:r>
        <w:rPr>
          <w:sz w:val="22"/>
          <w:szCs w:val="22"/>
        </w:rPr>
        <w:continuationSeparator/>
      </w:r>
    </w:p>
  </w:endnote>
  <w:endnote w:type="continuationNotice" w:id="1">
    <w:p w14:paraId="61A1B519" w14:textId="77777777" w:rsidR="0014443A" w:rsidRDefault="0014443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091D" w14:textId="77777777" w:rsidR="00CE00EF" w:rsidRDefault="00CE00EF">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31446" w14:textId="77777777" w:rsidR="00CE00EF" w:rsidRDefault="00CE00EF">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2957" w14:textId="77777777" w:rsidR="00CE00EF" w:rsidRDefault="00CE00EF">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94C30" w14:textId="77777777" w:rsidR="0014443A" w:rsidRDefault="0014443A">
      <w:pPr>
        <w:rPr>
          <w:sz w:val="22"/>
          <w:szCs w:val="22"/>
        </w:rPr>
      </w:pPr>
      <w:r>
        <w:rPr>
          <w:sz w:val="22"/>
          <w:szCs w:val="22"/>
        </w:rPr>
        <w:separator/>
      </w:r>
    </w:p>
  </w:footnote>
  <w:footnote w:type="continuationSeparator" w:id="0">
    <w:p w14:paraId="39182EF3" w14:textId="77777777" w:rsidR="0014443A" w:rsidRDefault="0014443A">
      <w:pPr>
        <w:rPr>
          <w:sz w:val="22"/>
          <w:szCs w:val="22"/>
        </w:rPr>
      </w:pPr>
      <w:r>
        <w:rPr>
          <w:sz w:val="22"/>
          <w:szCs w:val="22"/>
        </w:rPr>
        <w:continuationSeparator/>
      </w:r>
    </w:p>
  </w:footnote>
  <w:footnote w:type="continuationNotice" w:id="1">
    <w:p w14:paraId="4C1DE147" w14:textId="77777777" w:rsidR="0014443A" w:rsidRDefault="0014443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E1A81" w14:textId="77777777" w:rsidR="00CE00EF" w:rsidRDefault="00CE00EF">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9811" w14:textId="77777777" w:rsidR="00CE00EF" w:rsidRDefault="00CE00EF">
    <w:pPr>
      <w:tabs>
        <w:tab w:val="center" w:pos="4513"/>
        <w:tab w:val="right" w:pos="9026"/>
      </w:tabs>
      <w:jc w:val="center"/>
    </w:pPr>
    <w:r>
      <w:fldChar w:fldCharType="begin"/>
    </w:r>
    <w:r>
      <w:instrText>PAGE   \* MERGEFORMAT</w:instrText>
    </w:r>
    <w:r>
      <w:fldChar w:fldCharType="separate"/>
    </w:r>
    <w:r w:rsidR="00BB3C2A">
      <w:rPr>
        <w:noProof/>
      </w:rPr>
      <w:t>16</w:t>
    </w:r>
    <w:r>
      <w:fldChar w:fldCharType="end"/>
    </w:r>
  </w:p>
  <w:p w14:paraId="064EAC41" w14:textId="77777777" w:rsidR="00CE00EF" w:rsidRDefault="00CE00EF">
    <w:pPr>
      <w:tabs>
        <w:tab w:val="center" w:pos="4819"/>
        <w:tab w:val="right" w:pos="9638"/>
      </w:tab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496F8" w14:textId="77777777" w:rsidR="00CE00EF" w:rsidRDefault="00CE00EF">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72BBA"/>
    <w:rsid w:val="00115C56"/>
    <w:rsid w:val="00133D07"/>
    <w:rsid w:val="0014443A"/>
    <w:rsid w:val="00146D45"/>
    <w:rsid w:val="001B731E"/>
    <w:rsid w:val="001E3AF0"/>
    <w:rsid w:val="001F187E"/>
    <w:rsid w:val="002027F5"/>
    <w:rsid w:val="00206F70"/>
    <w:rsid w:val="002C5919"/>
    <w:rsid w:val="00306450"/>
    <w:rsid w:val="003308AB"/>
    <w:rsid w:val="00375E18"/>
    <w:rsid w:val="00406FE1"/>
    <w:rsid w:val="004863A8"/>
    <w:rsid w:val="004C3029"/>
    <w:rsid w:val="004C3939"/>
    <w:rsid w:val="004E1D10"/>
    <w:rsid w:val="005779C6"/>
    <w:rsid w:val="006400DD"/>
    <w:rsid w:val="006A1EA6"/>
    <w:rsid w:val="00755AB1"/>
    <w:rsid w:val="00881864"/>
    <w:rsid w:val="008A5C4D"/>
    <w:rsid w:val="008D36F6"/>
    <w:rsid w:val="0096756F"/>
    <w:rsid w:val="00974AD6"/>
    <w:rsid w:val="00B57E37"/>
    <w:rsid w:val="00BB3C2A"/>
    <w:rsid w:val="00BC0A70"/>
    <w:rsid w:val="00C20645"/>
    <w:rsid w:val="00C3645C"/>
    <w:rsid w:val="00CE00EF"/>
    <w:rsid w:val="00E112AF"/>
    <w:rsid w:val="00E1504C"/>
    <w:rsid w:val="00E415BD"/>
    <w:rsid w:val="00E54021"/>
    <w:rsid w:val="00FB1F78"/>
    <w:rsid w:val="00FB56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8008"/>
  <w15:docId w15:val="{6A5DB8EC-94EE-4705-826A-F4EBAAD8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C3645C"/>
  </w:style>
  <w:style w:type="paragraph" w:styleId="Pataisymai">
    <w:name w:val="Revision"/>
    <w:hidden/>
    <w:semiHidden/>
    <w:rsid w:val="0020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756004">
      <w:bodyDiv w:val="1"/>
      <w:marLeft w:val="0"/>
      <w:marRight w:val="0"/>
      <w:marTop w:val="0"/>
      <w:marBottom w:val="0"/>
      <w:divBdr>
        <w:top w:val="none" w:sz="0" w:space="0" w:color="auto"/>
        <w:left w:val="none" w:sz="0" w:space="0" w:color="auto"/>
        <w:bottom w:val="none" w:sz="0" w:space="0" w:color="auto"/>
        <w:right w:val="none" w:sz="0" w:space="0" w:color="auto"/>
      </w:divBdr>
    </w:div>
    <w:div w:id="940994505">
      <w:bodyDiv w:val="1"/>
      <w:marLeft w:val="0"/>
      <w:marRight w:val="0"/>
      <w:marTop w:val="0"/>
      <w:marBottom w:val="0"/>
      <w:divBdr>
        <w:top w:val="none" w:sz="0" w:space="0" w:color="auto"/>
        <w:left w:val="none" w:sz="0" w:space="0" w:color="auto"/>
        <w:bottom w:val="none" w:sz="0" w:space="0" w:color="auto"/>
        <w:right w:val="none" w:sz="0" w:space="0" w:color="auto"/>
      </w:divBdr>
    </w:div>
    <w:div w:id="1035932228">
      <w:bodyDiv w:val="1"/>
      <w:marLeft w:val="0"/>
      <w:marRight w:val="0"/>
      <w:marTop w:val="0"/>
      <w:marBottom w:val="0"/>
      <w:divBdr>
        <w:top w:val="none" w:sz="0" w:space="0" w:color="auto"/>
        <w:left w:val="none" w:sz="0" w:space="0" w:color="auto"/>
        <w:bottom w:val="none" w:sz="0" w:space="0" w:color="auto"/>
        <w:right w:val="none" w:sz="0" w:space="0" w:color="auto"/>
      </w:divBdr>
    </w:div>
    <w:div w:id="12204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31171-AD47-405C-8CF9-5A771A040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697B5-88C5-4B0F-A41D-F6EFB5600B32}">
  <ds:schemaRefs>
    <ds:schemaRef ds:uri="http://schemas.openxmlformats.org/officeDocument/2006/bibliography"/>
  </ds:schemaRefs>
</ds:datastoreItem>
</file>

<file path=customXml/itemProps3.xml><?xml version="1.0" encoding="utf-8"?>
<ds:datastoreItem xmlns:ds="http://schemas.openxmlformats.org/officeDocument/2006/customXml" ds:itemID="{4B6A6FE4-D229-4B77-ACD2-D4FB63EE6363}">
  <ds:schemaRefs>
    <ds:schemaRef ds:uri="http://schemas.microsoft.com/sharepoint/v3/contenttype/forms"/>
  </ds:schemaRefs>
</ds:datastoreItem>
</file>

<file path=customXml/itemProps4.xml><?xml version="1.0" encoding="utf-8"?>
<ds:datastoreItem xmlns:ds="http://schemas.openxmlformats.org/officeDocument/2006/customXml" ds:itemID="{A594B9CC-48A6-4E06-905E-6492B6C1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9249</Words>
  <Characters>5272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805a90c4-4093-499c-8619-2bba9b9460f1</vt:lpstr>
    </vt:vector>
  </TitlesOfParts>
  <Company>HP Inc.</Company>
  <LinksUpToDate>false</LinksUpToDate>
  <CharactersWithSpaces>14493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2024-12-05T07:22:00Z</dcterms:created>
  <dc:creator>Božena Zaikovska-Tomkevičienė</dc:creator>
  <cp:lastModifiedBy>Janavičienė Lina | ŠMSM</cp:lastModifiedBy>
  <dcterms:modified xsi:type="dcterms:W3CDTF">2025-06-19T14:08:00Z</dcterms:modified>
  <cp:revision>32</cp:revision>
  <dc:title>805a90c4-4093-499c-8619-2bba9b9460f1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