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07F0CE3" w:rsidR="0036662A" w:rsidRPr="00017566" w:rsidRDefault="0036662A" w:rsidP="006C4311">
      <w:pPr>
        <w:jc w:val="center"/>
        <w:rPr>
          <w:b/>
          <w:bCs/>
        </w:rPr>
      </w:pPr>
      <w:r w:rsidRPr="00017566">
        <w:rPr>
          <w:b/>
          <w:bCs/>
        </w:rPr>
        <w:t xml:space="preserve">LIETUVOS RESPUBLIKOS </w:t>
      </w:r>
      <w:r w:rsidR="00EC6042">
        <w:rPr>
          <w:b/>
          <w:bCs/>
        </w:rPr>
        <w:t>ŠVIETIMO, MOKSLO</w:t>
      </w:r>
      <w:r w:rsidRPr="00017566">
        <w:rPr>
          <w:b/>
          <w:bCs/>
        </w:rPr>
        <w:t xml:space="preserve"> </w:t>
      </w:r>
      <w:r w:rsidR="00EC6042">
        <w:rPr>
          <w:b/>
          <w:bCs/>
        </w:rPr>
        <w:t xml:space="preserve">IR SPORTO </w:t>
      </w:r>
      <w:r w:rsidRPr="00017566">
        <w:rPr>
          <w:b/>
          <w:bCs/>
        </w:rPr>
        <w:t>MINISTERIJA</w:t>
      </w:r>
    </w:p>
    <w:p w14:paraId="4BE9C383" w14:textId="77777777" w:rsidR="0036662A" w:rsidRPr="00017566" w:rsidRDefault="0036662A" w:rsidP="002842BA">
      <w:pPr>
        <w:jc w:val="both"/>
        <w:rPr>
          <w:b/>
          <w:bCs/>
        </w:rPr>
      </w:pPr>
    </w:p>
    <w:p w14:paraId="74978168" w14:textId="271D127E" w:rsidR="00EF1BA8" w:rsidRDefault="00FC0B15" w:rsidP="00BA1CAF">
      <w:pPr>
        <w:jc w:val="center"/>
        <w:rPr>
          <w:b/>
          <w:bCs/>
        </w:rPr>
      </w:pPr>
      <w:r w:rsidRPr="00EF1BA8">
        <w:rPr>
          <w:b/>
          <w:bCs/>
        </w:rPr>
        <w:t>2022–2030 M. PLĖTROS PROGRAMOS VALDYTOJOS LIETUVOS RESPUBLIKOS ŠVIETIMO, MOKSLO IR SPORTO MINISTERIJOS MOKSLO PLĖTROS PROGRAMOS PAŽANGOS PRIEMONĖS NR. 12-001-01-02-01 „STIPRINTI INOVACIJŲ EKOSISTEMAS MOKSLO CENTRUOSE“ PROJEKTŲ FINANSAVIMO SĄLYGŲ APRAŠ</w:t>
      </w:r>
      <w:r>
        <w:rPr>
          <w:b/>
          <w:bCs/>
        </w:rPr>
        <w:t>O</w:t>
      </w:r>
      <w:r w:rsidRPr="00EF1BA8">
        <w:rPr>
          <w:b/>
          <w:bCs/>
        </w:rPr>
        <w:t xml:space="preserve"> NR. 16, SKIRT</w:t>
      </w:r>
      <w:r>
        <w:rPr>
          <w:b/>
          <w:bCs/>
        </w:rPr>
        <w:t>O</w:t>
      </w:r>
      <w:r w:rsidRPr="00EF1BA8">
        <w:rPr>
          <w:b/>
          <w:bCs/>
        </w:rPr>
        <w:t xml:space="preserve"> PAŽANGOS PRIEMONĖS VEIKLAI 2.7 „PARAMA LABORATORIJŲ ĮRANGAI IR MTEP INFRASTRUKTŪRAI ATNAUJINTI“</w:t>
      </w:r>
      <w:r>
        <w:rPr>
          <w:b/>
          <w:bCs/>
        </w:rPr>
        <w:t>, DERINIMAS</w:t>
      </w:r>
    </w:p>
    <w:p w14:paraId="5AD37790" w14:textId="77777777" w:rsidR="002F44C0" w:rsidRDefault="002F44C0" w:rsidP="00BA1CAF">
      <w:pPr>
        <w:jc w:val="center"/>
        <w:rPr>
          <w:b/>
          <w:bCs/>
        </w:rPr>
      </w:pPr>
    </w:p>
    <w:p w14:paraId="4ACC0ED7" w14:textId="5EC3C909" w:rsidR="002F44C0" w:rsidRPr="00930FD1" w:rsidRDefault="002F44C0" w:rsidP="00BA1CAF">
      <w:pPr>
        <w:jc w:val="center"/>
        <w:rPr>
          <w:b/>
          <w:bCs/>
          <w:szCs w:val="24"/>
        </w:rPr>
      </w:pPr>
      <w:r>
        <w:rPr>
          <w:b/>
          <w:bCs/>
        </w:rPr>
        <w:t>KONSULTACIJŲ PAŽYMA</w:t>
      </w:r>
    </w:p>
    <w:p w14:paraId="74CF9614" w14:textId="77777777" w:rsidR="0036662A" w:rsidRPr="00017566" w:rsidRDefault="0036662A" w:rsidP="002842BA">
      <w:pPr>
        <w:jc w:val="both"/>
        <w:rPr>
          <w:b/>
          <w:bCs/>
        </w:rPr>
      </w:pPr>
    </w:p>
    <w:tbl>
      <w:tblPr>
        <w:tblStyle w:val="Lentelstinklelis"/>
        <w:tblW w:w="14488" w:type="dxa"/>
        <w:tblInd w:w="108" w:type="dxa"/>
        <w:tblLook w:val="04A0" w:firstRow="1" w:lastRow="0" w:firstColumn="1" w:lastColumn="0" w:noHBand="0" w:noVBand="1"/>
      </w:tblPr>
      <w:tblGrid>
        <w:gridCol w:w="6804"/>
        <w:gridCol w:w="7684"/>
      </w:tblGrid>
      <w:tr w:rsidR="0036662A" w:rsidRPr="00017566" w14:paraId="186CD4CE" w14:textId="77777777" w:rsidTr="0050586A">
        <w:tc>
          <w:tcPr>
            <w:tcW w:w="6804" w:type="dxa"/>
          </w:tcPr>
          <w:p w14:paraId="5ABD71ED" w14:textId="53972006" w:rsidR="0036662A" w:rsidRPr="00017566" w:rsidRDefault="0036662A" w:rsidP="002842BA">
            <w:pPr>
              <w:jc w:val="both"/>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2129A0B0" w:rsidR="0036662A" w:rsidRPr="005837FF" w:rsidRDefault="706150A3" w:rsidP="002842BA">
            <w:pPr>
              <w:jc w:val="both"/>
              <w:rPr>
                <w:highlight w:val="yellow"/>
                <w:lang w:val="en-GB"/>
              </w:rPr>
            </w:pPr>
            <w:r>
              <w:t>202</w:t>
            </w:r>
            <w:r w:rsidR="1E5F7521" w:rsidRPr="2ED31983">
              <w:rPr>
                <w:lang w:val="en-GB"/>
              </w:rPr>
              <w:t>5-0</w:t>
            </w:r>
            <w:r w:rsidR="2A390CD3" w:rsidRPr="2ED31983">
              <w:rPr>
                <w:lang w:val="en-GB"/>
              </w:rPr>
              <w:t>6</w:t>
            </w:r>
            <w:r w:rsidR="1E5F7521" w:rsidRPr="2ED31983">
              <w:rPr>
                <w:lang w:val="en-GB"/>
              </w:rPr>
              <w:t>-</w:t>
            </w:r>
            <w:r w:rsidR="2A390CD3" w:rsidRPr="2ED31983">
              <w:rPr>
                <w:lang w:val="en-GB"/>
              </w:rPr>
              <w:t>30</w:t>
            </w:r>
          </w:p>
        </w:tc>
      </w:tr>
      <w:tr w:rsidR="0036662A" w:rsidRPr="00017566" w14:paraId="0B887416" w14:textId="77777777" w:rsidTr="0050586A">
        <w:tc>
          <w:tcPr>
            <w:tcW w:w="6804"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684" w:type="dxa"/>
          </w:tcPr>
          <w:p w14:paraId="3F99D4E0" w14:textId="17E46964" w:rsidR="0036662A" w:rsidRPr="00017566" w:rsidRDefault="005B09A6" w:rsidP="002842BA">
            <w:pPr>
              <w:jc w:val="both"/>
            </w:pPr>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50586A">
        <w:tc>
          <w:tcPr>
            <w:tcW w:w="6804"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684" w:type="dxa"/>
          </w:tcPr>
          <w:p w14:paraId="3B6FBCDB" w14:textId="3C306CD3" w:rsidR="0036662A" w:rsidRPr="00017566" w:rsidRDefault="0036662A" w:rsidP="002842BA">
            <w:pPr>
              <w:jc w:val="both"/>
              <w:rPr>
                <w:szCs w:val="24"/>
              </w:rPr>
            </w:pPr>
            <w:r w:rsidRPr="00017566">
              <w:fldChar w:fldCharType="begin">
                <w:ffData>
                  <w:name w:val=""/>
                  <w:enabled/>
                  <w:calcOnExit w:val="0"/>
                  <w:checkBox>
                    <w:sizeAuto/>
                    <w:default w:val="0"/>
                  </w:checkBox>
                </w:ffData>
              </w:fldChar>
            </w:r>
            <w:r w:rsidRPr="00017566">
              <w:instrText xml:space="preserve"> FORMCHECKBOX </w:instrText>
            </w:r>
            <w:r w:rsidRPr="00017566">
              <w:fldChar w:fldCharType="separate"/>
            </w:r>
            <w:r w:rsidRPr="00017566">
              <w:fldChar w:fldCharType="end"/>
            </w:r>
            <w:r w:rsidRPr="00017566">
              <w:rPr>
                <w:szCs w:val="24"/>
              </w:rPr>
              <w:t xml:space="preserve"> Taip </w:t>
            </w:r>
            <w:r w:rsidR="005B09A6">
              <w:fldChar w:fldCharType="begin">
                <w:ffData>
                  <w:name w:val=""/>
                  <w:enabled/>
                  <w:calcOnExit w:val="0"/>
                  <w:checkBox>
                    <w:sizeAuto/>
                    <w:default w:val="1"/>
                  </w:checkBox>
                </w:ffData>
              </w:fldChar>
            </w:r>
            <w:r w:rsidR="005B09A6">
              <w:instrText xml:space="preserve"> FORMCHECKBOX </w:instrText>
            </w:r>
            <w:r w:rsidR="005B09A6">
              <w:fldChar w:fldCharType="separate"/>
            </w:r>
            <w:r w:rsidR="005B09A6">
              <w:fldChar w:fldCharType="end"/>
            </w:r>
            <w:r w:rsidRPr="00017566">
              <w:rPr>
                <w:szCs w:val="24"/>
              </w:rPr>
              <w:t xml:space="preserve"> </w:t>
            </w:r>
            <w:r w:rsidRPr="002E51FD">
              <w:rPr>
                <w:szCs w:val="24"/>
              </w:rPr>
              <w:t>Ne</w:t>
            </w:r>
            <w:r w:rsidRPr="00017566">
              <w:rPr>
                <w:szCs w:val="24"/>
              </w:rPr>
              <w:t xml:space="preserve"> </w:t>
            </w:r>
          </w:p>
        </w:tc>
      </w:tr>
    </w:tbl>
    <w:p w14:paraId="2CB04BD8" w14:textId="77777777" w:rsidR="0036662A" w:rsidRPr="00017566" w:rsidRDefault="0036662A" w:rsidP="002842BA">
      <w:pPr>
        <w:jc w:val="both"/>
        <w:rPr>
          <w:szCs w:val="24"/>
        </w:rPr>
      </w:pPr>
    </w:p>
    <w:tbl>
      <w:tblPr>
        <w:tblStyle w:val="Lentelstinklelis"/>
        <w:tblW w:w="14312" w:type="dxa"/>
        <w:tblLayout w:type="fixed"/>
        <w:tblLook w:val="04A0" w:firstRow="1" w:lastRow="0" w:firstColumn="1" w:lastColumn="0" w:noHBand="0" w:noVBand="1"/>
      </w:tblPr>
      <w:tblGrid>
        <w:gridCol w:w="567"/>
        <w:gridCol w:w="1980"/>
        <w:gridCol w:w="6237"/>
        <w:gridCol w:w="5528"/>
      </w:tblGrid>
      <w:tr w:rsidR="0036662A" w:rsidRPr="006C4311" w14:paraId="6A4E2F17" w14:textId="77777777" w:rsidTr="00D50E86">
        <w:tc>
          <w:tcPr>
            <w:tcW w:w="567" w:type="dxa"/>
          </w:tcPr>
          <w:p w14:paraId="025A5EA9" w14:textId="77777777" w:rsidR="0036662A" w:rsidRPr="006C4311" w:rsidRDefault="0036662A" w:rsidP="002842BA">
            <w:pPr>
              <w:jc w:val="both"/>
              <w:rPr>
                <w:b/>
                <w:szCs w:val="24"/>
              </w:rPr>
            </w:pPr>
            <w:r w:rsidRPr="006C4311">
              <w:rPr>
                <w:b/>
                <w:szCs w:val="24"/>
              </w:rPr>
              <w:t>Nr.</w:t>
            </w:r>
          </w:p>
        </w:tc>
        <w:tc>
          <w:tcPr>
            <w:tcW w:w="198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237"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528"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161B4E" w:rsidRPr="006C4311" w14:paraId="0889DDFC" w14:textId="77777777" w:rsidTr="00D50E86">
        <w:tc>
          <w:tcPr>
            <w:tcW w:w="567" w:type="dxa"/>
          </w:tcPr>
          <w:p w14:paraId="11BDDE3F" w14:textId="5FD2A0E0" w:rsidR="00161B4E" w:rsidRPr="006C4311" w:rsidRDefault="00161B4E" w:rsidP="002842BA">
            <w:pPr>
              <w:jc w:val="both"/>
              <w:rPr>
                <w:bCs/>
                <w:szCs w:val="24"/>
              </w:rPr>
            </w:pPr>
            <w:r w:rsidRPr="006C4311">
              <w:rPr>
                <w:bCs/>
                <w:szCs w:val="24"/>
              </w:rPr>
              <w:t>1</w:t>
            </w:r>
            <w:r>
              <w:rPr>
                <w:bCs/>
                <w:szCs w:val="24"/>
              </w:rPr>
              <w:t>.</w:t>
            </w:r>
          </w:p>
        </w:tc>
        <w:tc>
          <w:tcPr>
            <w:tcW w:w="1980" w:type="dxa"/>
            <w:vMerge w:val="restart"/>
          </w:tcPr>
          <w:p w14:paraId="3C03CCC3" w14:textId="5715B48E" w:rsidR="00161B4E" w:rsidRPr="004B725C" w:rsidRDefault="00161B4E" w:rsidP="002842BA">
            <w:pPr>
              <w:jc w:val="both"/>
              <w:rPr>
                <w:bCs/>
                <w:szCs w:val="24"/>
              </w:rPr>
            </w:pPr>
            <w:r>
              <w:rPr>
                <w:bCs/>
                <w:szCs w:val="24"/>
              </w:rPr>
              <w:t>Lietuvos energetikos institutas</w:t>
            </w:r>
          </w:p>
        </w:tc>
        <w:tc>
          <w:tcPr>
            <w:tcW w:w="6237" w:type="dxa"/>
          </w:tcPr>
          <w:p w14:paraId="789F2B2F" w14:textId="727CA472" w:rsidR="00FC57B5" w:rsidRPr="00FC57B5" w:rsidRDefault="00FC57B5" w:rsidP="00FC57B5">
            <w:pPr>
              <w:autoSpaceDE w:val="0"/>
              <w:autoSpaceDN w:val="0"/>
              <w:adjustRightInd w:val="0"/>
              <w:contextualSpacing/>
              <w:jc w:val="both"/>
              <w:rPr>
                <w:bCs/>
                <w:szCs w:val="24"/>
              </w:rPr>
            </w:pPr>
            <w:r w:rsidRPr="00FC57B5">
              <w:rPr>
                <w:bCs/>
                <w:szCs w:val="24"/>
              </w:rPr>
              <w:t>Minimas WIDERA kvietimas p. 5.1.2.1.4., bet jo projektų įvertinimas p. 12.3 neaptariamas.</w:t>
            </w:r>
          </w:p>
          <w:p w14:paraId="78D31F51" w14:textId="68DD39C5" w:rsidR="00161B4E" w:rsidRPr="006C4311" w:rsidRDefault="00161B4E" w:rsidP="00321EB2">
            <w:pPr>
              <w:autoSpaceDE w:val="0"/>
              <w:autoSpaceDN w:val="0"/>
              <w:adjustRightInd w:val="0"/>
              <w:contextualSpacing/>
              <w:jc w:val="both"/>
              <w:rPr>
                <w:bCs/>
                <w:szCs w:val="24"/>
              </w:rPr>
            </w:pPr>
          </w:p>
        </w:tc>
        <w:tc>
          <w:tcPr>
            <w:tcW w:w="5528" w:type="dxa"/>
          </w:tcPr>
          <w:p w14:paraId="6311950A" w14:textId="77777777" w:rsidR="003756B0" w:rsidRDefault="00A625E9" w:rsidP="005D17B9">
            <w:pPr>
              <w:jc w:val="both"/>
              <w:rPr>
                <w:b/>
                <w:bCs/>
              </w:rPr>
            </w:pPr>
            <w:r w:rsidRPr="00A625E9">
              <w:rPr>
                <w:b/>
                <w:bCs/>
              </w:rPr>
              <w:t xml:space="preserve">Atsižvelgta. </w:t>
            </w:r>
          </w:p>
          <w:p w14:paraId="56655565" w14:textId="5494947E" w:rsidR="00161B4E" w:rsidRPr="00E375F3" w:rsidRDefault="00E375F3" w:rsidP="005D17B9">
            <w:pPr>
              <w:jc w:val="both"/>
            </w:pPr>
            <w:r>
              <w:t xml:space="preserve">Papildytas </w:t>
            </w:r>
            <w:r w:rsidR="00527845" w:rsidRPr="00527845">
              <w:t xml:space="preserve">2022–2030 m. plėtros programos valdytojos </w:t>
            </w:r>
            <w:r w:rsidR="00527845">
              <w:t>L</w:t>
            </w:r>
            <w:r w:rsidR="00527845" w:rsidRPr="00527845">
              <w:t xml:space="preserve">ietuvos </w:t>
            </w:r>
            <w:r w:rsidR="00527845">
              <w:t>R</w:t>
            </w:r>
            <w:r w:rsidR="00527845" w:rsidRPr="00527845">
              <w:t xml:space="preserve">espublikos švietimo, mokslo ir sporto ministerijos mokslo plėtros programos pažangos priemonės </w:t>
            </w:r>
            <w:r w:rsidR="00527845">
              <w:t>N</w:t>
            </w:r>
            <w:r w:rsidR="00527845" w:rsidRPr="00527845">
              <w:t>r. 12-001-01-02-01 „</w:t>
            </w:r>
            <w:r w:rsidR="00EF000C">
              <w:t>S</w:t>
            </w:r>
            <w:r w:rsidR="00527845" w:rsidRPr="00527845">
              <w:t>tiprinti inovacijų ekosistemas mokslo centruose“ projektų finansavimo sąlygų apraš</w:t>
            </w:r>
            <w:r w:rsidR="00EF000C">
              <w:t>o</w:t>
            </w:r>
            <w:r w:rsidR="00527845" w:rsidRPr="00527845">
              <w:t xml:space="preserve"> </w:t>
            </w:r>
            <w:r w:rsidR="00EF000C">
              <w:t>N</w:t>
            </w:r>
            <w:r w:rsidR="00527845" w:rsidRPr="00527845">
              <w:t>r. 16</w:t>
            </w:r>
            <w:r w:rsidR="00EF000C">
              <w:t xml:space="preserve"> (toliau – PFSA) </w:t>
            </w:r>
            <w:r w:rsidR="00052821">
              <w:t>12.3 papunktis</w:t>
            </w:r>
            <w:r w:rsidR="00B624DB">
              <w:t xml:space="preserve">, nurodant ir </w:t>
            </w:r>
            <w:r w:rsidR="00F75D5B">
              <w:t xml:space="preserve">už </w:t>
            </w:r>
            <w:r w:rsidR="00287FF1">
              <w:t>W</w:t>
            </w:r>
            <w:r w:rsidR="00862003">
              <w:t>IDERA twinni</w:t>
            </w:r>
            <w:r w:rsidR="006D1436">
              <w:t xml:space="preserve">ng </w:t>
            </w:r>
            <w:r w:rsidR="00453D8D">
              <w:t xml:space="preserve">ir ERA chairs </w:t>
            </w:r>
            <w:r w:rsidR="00F75D5B">
              <w:t xml:space="preserve">projektų paraiškas suteikiamus </w:t>
            </w:r>
            <w:r w:rsidR="002345E5">
              <w:t>balus.</w:t>
            </w:r>
          </w:p>
        </w:tc>
      </w:tr>
      <w:tr w:rsidR="00161B4E" w:rsidRPr="006C4311" w14:paraId="2E733AF9" w14:textId="77777777" w:rsidTr="00D50E86">
        <w:tc>
          <w:tcPr>
            <w:tcW w:w="567" w:type="dxa"/>
          </w:tcPr>
          <w:p w14:paraId="12CA9F6B" w14:textId="01B2539F" w:rsidR="00161B4E" w:rsidRPr="006C4311" w:rsidRDefault="00161B4E" w:rsidP="002842BA">
            <w:pPr>
              <w:jc w:val="both"/>
              <w:rPr>
                <w:bCs/>
                <w:szCs w:val="24"/>
              </w:rPr>
            </w:pPr>
            <w:r w:rsidRPr="006C4311">
              <w:rPr>
                <w:bCs/>
                <w:szCs w:val="24"/>
              </w:rPr>
              <w:t>2</w:t>
            </w:r>
            <w:r>
              <w:rPr>
                <w:bCs/>
                <w:szCs w:val="24"/>
              </w:rPr>
              <w:t>.</w:t>
            </w:r>
          </w:p>
        </w:tc>
        <w:tc>
          <w:tcPr>
            <w:tcW w:w="1980" w:type="dxa"/>
            <w:vMerge/>
          </w:tcPr>
          <w:p w14:paraId="02527AC8" w14:textId="11F31704" w:rsidR="00161B4E" w:rsidRPr="006C4311" w:rsidRDefault="00161B4E" w:rsidP="002842BA">
            <w:pPr>
              <w:jc w:val="both"/>
              <w:rPr>
                <w:bCs/>
                <w:szCs w:val="24"/>
              </w:rPr>
            </w:pPr>
          </w:p>
        </w:tc>
        <w:tc>
          <w:tcPr>
            <w:tcW w:w="6237" w:type="dxa"/>
          </w:tcPr>
          <w:p w14:paraId="0C7C185B" w14:textId="2D46F06E" w:rsidR="00321EB2" w:rsidRPr="00FC57B5" w:rsidRDefault="00321EB2" w:rsidP="00321EB2">
            <w:pPr>
              <w:autoSpaceDE w:val="0"/>
              <w:autoSpaceDN w:val="0"/>
              <w:adjustRightInd w:val="0"/>
              <w:contextualSpacing/>
              <w:jc w:val="both"/>
              <w:rPr>
                <w:bCs/>
                <w:szCs w:val="24"/>
              </w:rPr>
            </w:pPr>
            <w:r w:rsidRPr="00FC57B5">
              <w:rPr>
                <w:bCs/>
                <w:szCs w:val="24"/>
              </w:rPr>
              <w:t xml:space="preserve">5.2.6.1. p. reikalauja patvirtinančių dokumentų, kad paraiška  buvo pateikta kaip konsorciumo partnerio ar konsorciumo koordinatoriaus. Reikėtų aiškiau įvardinti, kas tai per dokumentai : ESR ar oficialus EK raštas. Siūlome apjungti šį reikalavimą su 5.1.3 p. nuostata, kad </w:t>
            </w:r>
            <w:r w:rsidRPr="00DD42EE">
              <w:rPr>
                <w:bCs/>
                <w:szCs w:val="24"/>
              </w:rPr>
              <w:t>Pareiškėjas teikia paraišką tik gavęs NCP patvirtinimą dėl atitikimo 5.2.1. p. reikalavimui, tikime, kad tai pagreitintų vertinimo procesą.</w:t>
            </w:r>
          </w:p>
          <w:p w14:paraId="313CF2E5" w14:textId="2598755F" w:rsidR="00161B4E" w:rsidRPr="006C4311" w:rsidRDefault="00161B4E" w:rsidP="005F0E67">
            <w:pPr>
              <w:autoSpaceDE w:val="0"/>
              <w:autoSpaceDN w:val="0"/>
              <w:adjustRightInd w:val="0"/>
              <w:contextualSpacing/>
              <w:jc w:val="both"/>
              <w:rPr>
                <w:bCs/>
                <w:szCs w:val="24"/>
              </w:rPr>
            </w:pPr>
          </w:p>
        </w:tc>
        <w:tc>
          <w:tcPr>
            <w:tcW w:w="5528" w:type="dxa"/>
          </w:tcPr>
          <w:p w14:paraId="586AEDDE" w14:textId="77777777" w:rsidR="00D97E3B" w:rsidRDefault="0BBB9119" w:rsidP="2ED31983">
            <w:pPr>
              <w:jc w:val="both"/>
              <w:rPr>
                <w:b/>
                <w:bCs/>
              </w:rPr>
            </w:pPr>
            <w:r w:rsidRPr="0050586A">
              <w:rPr>
                <w:b/>
                <w:bCs/>
              </w:rPr>
              <w:t xml:space="preserve">Atsižvelgta iš dalies. </w:t>
            </w:r>
          </w:p>
          <w:p w14:paraId="657DC435" w14:textId="4DA9CB20" w:rsidR="00161B4E" w:rsidRDefault="0BBB9119" w:rsidP="2ED31983">
            <w:pPr>
              <w:jc w:val="both"/>
              <w:rPr>
                <w:szCs w:val="24"/>
              </w:rPr>
            </w:pPr>
            <w:r>
              <w:t xml:space="preserve">PFSA </w:t>
            </w:r>
            <w:r w:rsidR="19855144">
              <w:t>patikslintas</w:t>
            </w:r>
            <w:r w:rsidR="5C58DFF6">
              <w:t xml:space="preserve">, </w:t>
            </w:r>
            <w:r w:rsidR="2D3814C6">
              <w:t>kaip pagrindžian</w:t>
            </w:r>
            <w:r w:rsidR="3B4476C8">
              <w:t>tį</w:t>
            </w:r>
            <w:r w:rsidR="2D3814C6">
              <w:t xml:space="preserve"> dokument</w:t>
            </w:r>
            <w:r w:rsidR="30ACE59D">
              <w:t>ą</w:t>
            </w:r>
            <w:r w:rsidR="2D3814C6">
              <w:t xml:space="preserve"> </w:t>
            </w:r>
            <w:r w:rsidR="5C58DFF6">
              <w:t>nurodant</w:t>
            </w:r>
            <w:r w:rsidR="64224C38">
              <w:t xml:space="preserve"> </w:t>
            </w:r>
            <w:r w:rsidR="64224C38" w:rsidRPr="2ED31983">
              <w:rPr>
                <w:szCs w:val="24"/>
              </w:rPr>
              <w:t xml:space="preserve">paraiškos įvertinimo suvestinės ataskaitos (angl. </w:t>
            </w:r>
            <w:r w:rsidR="64224C38" w:rsidRPr="2ED31983">
              <w:rPr>
                <w:i/>
                <w:iCs/>
                <w:szCs w:val="24"/>
              </w:rPr>
              <w:t>Evaluation Summary Report</w:t>
            </w:r>
            <w:r w:rsidR="00C61411">
              <w:rPr>
                <w:i/>
                <w:iCs/>
                <w:szCs w:val="24"/>
              </w:rPr>
              <w:t xml:space="preserve">, </w:t>
            </w:r>
            <w:r w:rsidR="00A17C2A">
              <w:rPr>
                <w:i/>
                <w:iCs/>
                <w:szCs w:val="24"/>
              </w:rPr>
              <w:t>ESR</w:t>
            </w:r>
            <w:r w:rsidR="64224C38" w:rsidRPr="2ED31983">
              <w:rPr>
                <w:szCs w:val="24"/>
              </w:rPr>
              <w:t>) kopiją</w:t>
            </w:r>
            <w:r w:rsidR="1B479EC3" w:rsidRPr="2ED31983">
              <w:rPr>
                <w:szCs w:val="24"/>
              </w:rPr>
              <w:t>.</w:t>
            </w:r>
          </w:p>
          <w:p w14:paraId="0A3F036E" w14:textId="56729589" w:rsidR="00BA7D4D" w:rsidRPr="00B76CB2" w:rsidRDefault="1B479EC3" w:rsidP="001C48EF">
            <w:pPr>
              <w:jc w:val="both"/>
            </w:pPr>
            <w:r>
              <w:t>Ministerija pažymi</w:t>
            </w:r>
            <w:r w:rsidR="43469174">
              <w:t xml:space="preserve">, kad </w:t>
            </w:r>
            <w:r w:rsidR="0E963ADC" w:rsidRPr="2ED31983">
              <w:rPr>
                <w:szCs w:val="24"/>
              </w:rPr>
              <w:t xml:space="preserve">programų „Europos horizontas“ ir ,,Euratomas“ nacionaliniai kontaktiniai asmenys (angl. </w:t>
            </w:r>
            <w:r w:rsidR="0E963ADC" w:rsidRPr="2ED31983">
              <w:rPr>
                <w:i/>
                <w:iCs/>
                <w:szCs w:val="24"/>
              </w:rPr>
              <w:t xml:space="preserve">National Contact Points, </w:t>
            </w:r>
            <w:r w:rsidR="0E963ADC" w:rsidRPr="2ED31983">
              <w:rPr>
                <w:szCs w:val="24"/>
              </w:rPr>
              <w:t xml:space="preserve">NCP) </w:t>
            </w:r>
            <w:r w:rsidR="62E48385">
              <w:t xml:space="preserve">negali priimti sprendimo, kuriuos </w:t>
            </w:r>
            <w:r w:rsidR="69497EAC">
              <w:t xml:space="preserve">projektų įgyvendinimo planus (toliau – </w:t>
            </w:r>
            <w:r w:rsidR="62E48385">
              <w:t>PĮP</w:t>
            </w:r>
            <w:r w:rsidR="53DD67B2">
              <w:t>)</w:t>
            </w:r>
            <w:r w:rsidR="62E48385">
              <w:t xml:space="preserve"> tur</w:t>
            </w:r>
            <w:r w:rsidR="3A7961F5">
              <w:t>ėtų</w:t>
            </w:r>
            <w:r w:rsidR="62E48385">
              <w:t xml:space="preserve"> teikti </w:t>
            </w:r>
            <w:r w:rsidR="2731EDA7">
              <w:t xml:space="preserve">mokslo ir studijų </w:t>
            </w:r>
            <w:r w:rsidR="2731EDA7">
              <w:lastRenderedPageBreak/>
              <w:t xml:space="preserve">institucijos (toliau – </w:t>
            </w:r>
            <w:r w:rsidR="7D18DF78">
              <w:t>MSI</w:t>
            </w:r>
            <w:r w:rsidR="0DC9C778">
              <w:t>)</w:t>
            </w:r>
            <w:r w:rsidR="7D18DF78">
              <w:t xml:space="preserve">, tačiau gali pakonsultuoti MSI dėl jų </w:t>
            </w:r>
            <w:r w:rsidR="58C23AE4">
              <w:t xml:space="preserve">susietųjų projektų </w:t>
            </w:r>
            <w:r w:rsidR="006B7E32" w:rsidRPr="00885D4C">
              <w:t>paraiškų</w:t>
            </w:r>
            <w:r w:rsidR="006B7E32">
              <w:t xml:space="preserve"> </w:t>
            </w:r>
            <w:r w:rsidR="5D80994E">
              <w:t xml:space="preserve">Europos Komisijos (toliau – </w:t>
            </w:r>
            <w:r w:rsidR="3ACAE803">
              <w:t>EK</w:t>
            </w:r>
            <w:r w:rsidR="1F569F03">
              <w:t>)</w:t>
            </w:r>
            <w:r w:rsidR="3ACAE803">
              <w:t xml:space="preserve"> vertinimo</w:t>
            </w:r>
            <w:r w:rsidR="0F22E166">
              <w:t xml:space="preserve">. </w:t>
            </w:r>
          </w:p>
        </w:tc>
      </w:tr>
      <w:tr w:rsidR="00161B4E" w:rsidRPr="006C4311" w14:paraId="23FCFB8F" w14:textId="77777777" w:rsidTr="00D50E86">
        <w:tc>
          <w:tcPr>
            <w:tcW w:w="567" w:type="dxa"/>
          </w:tcPr>
          <w:p w14:paraId="188570A3" w14:textId="74038115" w:rsidR="00161B4E" w:rsidRPr="00161B4E" w:rsidRDefault="00161B4E" w:rsidP="002842BA">
            <w:pPr>
              <w:jc w:val="both"/>
              <w:rPr>
                <w:bCs/>
                <w:szCs w:val="24"/>
                <w:lang w:val="en-US"/>
              </w:rPr>
            </w:pPr>
            <w:r>
              <w:rPr>
                <w:bCs/>
                <w:szCs w:val="24"/>
                <w:lang w:val="en-US"/>
              </w:rPr>
              <w:lastRenderedPageBreak/>
              <w:t>3.</w:t>
            </w:r>
          </w:p>
        </w:tc>
        <w:tc>
          <w:tcPr>
            <w:tcW w:w="1980" w:type="dxa"/>
            <w:vMerge/>
          </w:tcPr>
          <w:p w14:paraId="523EDE2D" w14:textId="77777777" w:rsidR="00161B4E" w:rsidRPr="006C4311" w:rsidRDefault="00161B4E" w:rsidP="002842BA">
            <w:pPr>
              <w:jc w:val="both"/>
              <w:rPr>
                <w:bCs/>
                <w:szCs w:val="24"/>
              </w:rPr>
            </w:pPr>
          </w:p>
        </w:tc>
        <w:tc>
          <w:tcPr>
            <w:tcW w:w="6237" w:type="dxa"/>
          </w:tcPr>
          <w:p w14:paraId="2C96BC4C" w14:textId="6F772D9C" w:rsidR="00321EB2" w:rsidRPr="00FC57B5" w:rsidRDefault="00321EB2" w:rsidP="00321EB2">
            <w:pPr>
              <w:autoSpaceDE w:val="0"/>
              <w:autoSpaceDN w:val="0"/>
              <w:adjustRightInd w:val="0"/>
              <w:contextualSpacing/>
              <w:jc w:val="both"/>
              <w:rPr>
                <w:bCs/>
                <w:szCs w:val="24"/>
              </w:rPr>
            </w:pPr>
            <w:r w:rsidRPr="00FC57B5">
              <w:rPr>
                <w:bCs/>
                <w:szCs w:val="24"/>
              </w:rPr>
              <w:t>5.1.2 p. aiškiai deklaruojama, kad  paraiškos  vertinamos pagal  2023-2025 m. darbo programų kvietimų rezultatus, tačiau kvietimų; HORIZON ERC -2025-COG ; HORIZON-JU-CLEANH2- 2025-02-01 (RIA) ir 2025-06-01(IA), rezultatai bus žinomi tik rugsėjo  pabaigoje, todėl jeigu terminai neleidžia  galbūt reikėtų aiškiai reglamentuoti, kad paraiškos  vertinamos pagal  2023, 2024 ir iki 2025 m. xx mėnesio yy d. darbo programų kvietimų rezultatus.</w:t>
            </w:r>
          </w:p>
          <w:p w14:paraId="50DE50B1" w14:textId="77777777" w:rsidR="00161B4E" w:rsidRPr="006C4311" w:rsidRDefault="00161B4E" w:rsidP="005F0E67">
            <w:pPr>
              <w:autoSpaceDE w:val="0"/>
              <w:autoSpaceDN w:val="0"/>
              <w:adjustRightInd w:val="0"/>
              <w:contextualSpacing/>
              <w:jc w:val="both"/>
              <w:rPr>
                <w:bCs/>
                <w:szCs w:val="24"/>
              </w:rPr>
            </w:pPr>
          </w:p>
        </w:tc>
        <w:tc>
          <w:tcPr>
            <w:tcW w:w="5528" w:type="dxa"/>
          </w:tcPr>
          <w:p w14:paraId="2A98803C" w14:textId="3C7ADF4D" w:rsidR="00F81AC0" w:rsidRDefault="00FE14C5" w:rsidP="001C48EF">
            <w:pPr>
              <w:jc w:val="both"/>
              <w:rPr>
                <w:b/>
                <w:bCs/>
              </w:rPr>
            </w:pPr>
            <w:r>
              <w:rPr>
                <w:b/>
                <w:bCs/>
              </w:rPr>
              <w:t>Atsižvelgta iš dalies</w:t>
            </w:r>
            <w:r w:rsidR="00F81AC0">
              <w:rPr>
                <w:b/>
                <w:bCs/>
              </w:rPr>
              <w:t xml:space="preserve">. </w:t>
            </w:r>
          </w:p>
          <w:p w14:paraId="11648CF6" w14:textId="4AEED17F" w:rsidR="00161B4E" w:rsidRDefault="00F41813" w:rsidP="001C48EF">
            <w:pPr>
              <w:jc w:val="both"/>
            </w:pPr>
            <w:r w:rsidRPr="006A1C69">
              <w:t>Įvertinus visų MSI prašymus</w:t>
            </w:r>
            <w:r w:rsidR="004E5FCE">
              <w:t>,</w:t>
            </w:r>
            <w:r w:rsidR="00505535" w:rsidRPr="006A1C69">
              <w:t xml:space="preserve"> </w:t>
            </w:r>
            <w:r w:rsidR="00A566A2">
              <w:t xml:space="preserve">planuojama, kad </w:t>
            </w:r>
            <w:r w:rsidR="00565E0C" w:rsidRPr="006A1C69">
              <w:t>susiet</w:t>
            </w:r>
            <w:r w:rsidR="005955E2">
              <w:t xml:space="preserve">ųjų </w:t>
            </w:r>
            <w:r w:rsidR="00A566A2">
              <w:t xml:space="preserve"> projekt</w:t>
            </w:r>
            <w:r w:rsidR="005955E2">
              <w:t>ų paraiškos</w:t>
            </w:r>
            <w:r w:rsidR="00A566A2">
              <w:t xml:space="preserve"> bus vertinam</w:t>
            </w:r>
            <w:r w:rsidR="005955E2">
              <w:t>os</w:t>
            </w:r>
            <w:r w:rsidR="00A566A2">
              <w:t xml:space="preserve"> pagal </w:t>
            </w:r>
            <w:r w:rsidR="004278D7">
              <w:t>program</w:t>
            </w:r>
            <w:r w:rsidR="00D50E86">
              <w:t xml:space="preserve">ų </w:t>
            </w:r>
            <w:r w:rsidR="004278D7">
              <w:t>,,Europos hori</w:t>
            </w:r>
            <w:r w:rsidR="00696FA3">
              <w:t>zontas“</w:t>
            </w:r>
            <w:r w:rsidR="00D50E86">
              <w:t xml:space="preserve"> ir „Euratomas“ </w:t>
            </w:r>
            <w:r w:rsidR="00696FA3">
              <w:t xml:space="preserve"> </w:t>
            </w:r>
            <w:r w:rsidR="004278D7">
              <w:t>2021-2024 metų</w:t>
            </w:r>
            <w:r w:rsidR="00696FA3">
              <w:t xml:space="preserve"> darbo programų kvietimus. Atitinkamai patikslintas PFSA projektas.</w:t>
            </w:r>
          </w:p>
          <w:p w14:paraId="7BCA892A" w14:textId="075E04C6" w:rsidR="00161B4E" w:rsidRPr="003B6070" w:rsidRDefault="00EA73B7" w:rsidP="001C48EF">
            <w:pPr>
              <w:jc w:val="both"/>
            </w:pPr>
            <w:r w:rsidRPr="00DC5DE8">
              <w:t xml:space="preserve">Atkreipiame dėmesį, kad, siekiant išvengti dvigubo finansavimo, nebus </w:t>
            </w:r>
            <w:r w:rsidRPr="00885D4C">
              <w:t>vertinam</w:t>
            </w:r>
            <w:r w:rsidR="006A449A" w:rsidRPr="00885D4C">
              <w:t>os</w:t>
            </w:r>
            <w:r w:rsidRPr="00885D4C">
              <w:t xml:space="preserve"> susiet</w:t>
            </w:r>
            <w:r w:rsidR="006A449A" w:rsidRPr="00885D4C">
              <w:t>ųjų</w:t>
            </w:r>
            <w:r w:rsidRPr="00885D4C">
              <w:t xml:space="preserve"> projekt</w:t>
            </w:r>
            <w:r w:rsidR="006A449A" w:rsidRPr="00885D4C">
              <w:t>ų paraiškos</w:t>
            </w:r>
            <w:r w:rsidRPr="00885D4C">
              <w:t>, kuri</w:t>
            </w:r>
            <w:r w:rsidR="006A449A" w:rsidRPr="00885D4C">
              <w:t>os</w:t>
            </w:r>
            <w:r w:rsidRPr="00885D4C">
              <w:t xml:space="preserve"> buvo siejam</w:t>
            </w:r>
            <w:r w:rsidR="006A449A" w:rsidRPr="00885D4C">
              <w:t>os</w:t>
            </w:r>
            <w:r w:rsidRPr="00885D4C">
              <w:t xml:space="preserve"> su 2022–2024 metais vykusių Lietuvos mokslo tarybos (toliau – LMT) kvietimų teikti paraiškas mokslo infrastruktūrai atnaujinti paraiškomis, jeigu pagal jas buvo skirta bent dalis LMT finansavimo, bei projekt</w:t>
            </w:r>
            <w:r w:rsidR="004A0F8C" w:rsidRPr="00885D4C">
              <w:t>ai</w:t>
            </w:r>
            <w:r w:rsidR="00577B80" w:rsidRPr="00885D4C">
              <w:t xml:space="preserve"> </w:t>
            </w:r>
            <w:r w:rsidRPr="00885D4C">
              <w:t>pa</w:t>
            </w:r>
            <w:r w:rsidRPr="00DC5DE8">
              <w:t>gal programos ,,Europos horizontas“ kvietimus, kuri</w:t>
            </w:r>
            <w:r w:rsidR="00F70DAF">
              <w:t>e</w:t>
            </w:r>
            <w:r w:rsidRPr="00DC5DE8">
              <w:t xml:space="preserve"> 2024</w:t>
            </w:r>
            <w:r>
              <w:t>-2025</w:t>
            </w:r>
            <w:r w:rsidRPr="00DC5DE8">
              <w:t xml:space="preserve"> m. finansuoti iš Lietuvos perkeltų Europos regioninio plėtros fondo lėšų.</w:t>
            </w:r>
          </w:p>
        </w:tc>
      </w:tr>
      <w:tr w:rsidR="00161B4E" w:rsidRPr="006C4311" w14:paraId="172F8DDF" w14:textId="77777777" w:rsidTr="00D50E86">
        <w:tc>
          <w:tcPr>
            <w:tcW w:w="567" w:type="dxa"/>
          </w:tcPr>
          <w:p w14:paraId="44C7E5DB" w14:textId="585E0A14" w:rsidR="00161B4E" w:rsidRDefault="00161B4E" w:rsidP="002842BA">
            <w:pPr>
              <w:jc w:val="both"/>
              <w:rPr>
                <w:bCs/>
                <w:szCs w:val="24"/>
                <w:lang w:val="en-US"/>
              </w:rPr>
            </w:pPr>
            <w:r>
              <w:rPr>
                <w:bCs/>
                <w:szCs w:val="24"/>
                <w:lang w:val="en-US"/>
              </w:rPr>
              <w:t>4.</w:t>
            </w:r>
          </w:p>
        </w:tc>
        <w:tc>
          <w:tcPr>
            <w:tcW w:w="1980" w:type="dxa"/>
            <w:vMerge/>
          </w:tcPr>
          <w:p w14:paraId="43C9E3E4" w14:textId="77777777" w:rsidR="00161B4E" w:rsidRPr="006C4311" w:rsidRDefault="00161B4E" w:rsidP="002842BA">
            <w:pPr>
              <w:jc w:val="both"/>
              <w:rPr>
                <w:bCs/>
                <w:szCs w:val="24"/>
              </w:rPr>
            </w:pPr>
          </w:p>
        </w:tc>
        <w:tc>
          <w:tcPr>
            <w:tcW w:w="6237" w:type="dxa"/>
          </w:tcPr>
          <w:p w14:paraId="09FE3887" w14:textId="77777777" w:rsidR="00321EB2" w:rsidRPr="00FC57B5" w:rsidRDefault="00321EB2" w:rsidP="00321EB2">
            <w:pPr>
              <w:autoSpaceDE w:val="0"/>
              <w:autoSpaceDN w:val="0"/>
              <w:adjustRightInd w:val="0"/>
              <w:contextualSpacing/>
              <w:jc w:val="both"/>
              <w:rPr>
                <w:bCs/>
                <w:szCs w:val="24"/>
              </w:rPr>
            </w:pPr>
            <w:r w:rsidRPr="00FC57B5">
              <w:rPr>
                <w:bCs/>
                <w:szCs w:val="24"/>
              </w:rPr>
              <w:t>Anksčiau siųstame Kriterijų aprašyme buvo užfiksuota: Daugiau balų suteikiama už aukščiausiai įvertintas susietųjų projektų paraiškas. ERC kvietimų paraiškoms, gavusioms A įvertinimą, suteikiamas vienodas, aukščiausias balas.</w:t>
            </w:r>
          </w:p>
          <w:p w14:paraId="07F735D6" w14:textId="29E5D587" w:rsidR="00161B4E" w:rsidRDefault="00321EB2" w:rsidP="00321EB2">
            <w:pPr>
              <w:autoSpaceDE w:val="0"/>
              <w:autoSpaceDN w:val="0"/>
              <w:adjustRightInd w:val="0"/>
              <w:contextualSpacing/>
              <w:jc w:val="both"/>
              <w:rPr>
                <w:bCs/>
                <w:szCs w:val="24"/>
              </w:rPr>
            </w:pPr>
            <w:r w:rsidRPr="00FC57B5">
              <w:rPr>
                <w:bCs/>
                <w:szCs w:val="24"/>
              </w:rPr>
              <w:t>Tuomet neaišku ar į B kategoriją ir kaip mažiau balų (64-73 proc. įvertinimas) surinkusi paraiška gali būti teikiama konkursui?</w:t>
            </w:r>
          </w:p>
          <w:p w14:paraId="333879CC" w14:textId="78CB441E" w:rsidR="00321EB2" w:rsidRPr="006C4311" w:rsidRDefault="00321EB2" w:rsidP="00321EB2">
            <w:pPr>
              <w:autoSpaceDE w:val="0"/>
              <w:autoSpaceDN w:val="0"/>
              <w:adjustRightInd w:val="0"/>
              <w:contextualSpacing/>
              <w:jc w:val="both"/>
              <w:rPr>
                <w:bCs/>
                <w:szCs w:val="24"/>
              </w:rPr>
            </w:pPr>
          </w:p>
        </w:tc>
        <w:tc>
          <w:tcPr>
            <w:tcW w:w="5528" w:type="dxa"/>
          </w:tcPr>
          <w:p w14:paraId="6705163C" w14:textId="7B14B555" w:rsidR="00161B4E" w:rsidRPr="00AA4579" w:rsidRDefault="03E93716" w:rsidP="001C48EF">
            <w:pPr>
              <w:jc w:val="both"/>
            </w:pPr>
            <w:r w:rsidRPr="2ED31983">
              <w:rPr>
                <w:b/>
                <w:bCs/>
              </w:rPr>
              <w:t xml:space="preserve">Teikiamas paaiškinimas. </w:t>
            </w:r>
          </w:p>
          <w:p w14:paraId="18A54407" w14:textId="7F04B7C8" w:rsidR="00161B4E" w:rsidRPr="00AA4579" w:rsidRDefault="5A2471CC" w:rsidP="001C48EF">
            <w:pPr>
              <w:jc w:val="both"/>
            </w:pPr>
            <w:r>
              <w:t xml:space="preserve">Atsižvelgiant į tai, kad B įvertinimas reiškia atmestą </w:t>
            </w:r>
            <w:r w:rsidR="4CFA342E">
              <w:t xml:space="preserve">projekto </w:t>
            </w:r>
            <w:r>
              <w:t xml:space="preserve">paraišką (angl. </w:t>
            </w:r>
            <w:r w:rsidR="4F36061F" w:rsidRPr="00C03A42">
              <w:rPr>
                <w:i/>
                <w:iCs/>
              </w:rPr>
              <w:t>rejected</w:t>
            </w:r>
            <w:r w:rsidR="4F36061F">
              <w:t>), tokia</w:t>
            </w:r>
            <w:r w:rsidR="5F70E421">
              <w:t xml:space="preserve"> paraiška nėra tinkama sąsajai su pagal PFSA </w:t>
            </w:r>
            <w:r w:rsidR="5FC71630">
              <w:t>finansuojama projektų veikla pagrįsti.</w:t>
            </w:r>
          </w:p>
        </w:tc>
      </w:tr>
      <w:tr w:rsidR="00CA2606" w:rsidRPr="006C4311" w14:paraId="618207F3" w14:textId="77777777" w:rsidTr="00D50E86">
        <w:trPr>
          <w:trHeight w:val="300"/>
        </w:trPr>
        <w:tc>
          <w:tcPr>
            <w:tcW w:w="567" w:type="dxa"/>
          </w:tcPr>
          <w:p w14:paraId="7CD71449" w14:textId="7995F185" w:rsidR="00CA2606" w:rsidRPr="00E331B0" w:rsidRDefault="00CA2606" w:rsidP="002842BA">
            <w:pPr>
              <w:jc w:val="both"/>
              <w:rPr>
                <w:bCs/>
                <w:szCs w:val="24"/>
                <w:lang w:val="en-GB"/>
              </w:rPr>
            </w:pPr>
            <w:r>
              <w:rPr>
                <w:bCs/>
                <w:szCs w:val="24"/>
                <w:lang w:val="en-GB"/>
              </w:rPr>
              <w:t>5.</w:t>
            </w:r>
          </w:p>
        </w:tc>
        <w:tc>
          <w:tcPr>
            <w:tcW w:w="1980" w:type="dxa"/>
            <w:vMerge w:val="restart"/>
          </w:tcPr>
          <w:p w14:paraId="62322D9A" w14:textId="22C36761" w:rsidR="00CA2606" w:rsidRPr="006C4311" w:rsidRDefault="002235E8" w:rsidP="002842BA">
            <w:pPr>
              <w:jc w:val="both"/>
              <w:rPr>
                <w:bCs/>
                <w:szCs w:val="24"/>
              </w:rPr>
            </w:pPr>
            <w:r w:rsidRPr="002235E8">
              <w:rPr>
                <w:bCs/>
                <w:szCs w:val="24"/>
              </w:rPr>
              <w:t>Valstybinis mokslinių tyrimų institutas Fizinių ir technologijos mokslų centras</w:t>
            </w:r>
          </w:p>
        </w:tc>
        <w:tc>
          <w:tcPr>
            <w:tcW w:w="6237" w:type="dxa"/>
          </w:tcPr>
          <w:p w14:paraId="5F5F59B4" w14:textId="63BACEFA" w:rsidR="00D12BD5" w:rsidRPr="00D12BD5" w:rsidRDefault="00D12BD5" w:rsidP="00D12BD5">
            <w:pPr>
              <w:jc w:val="both"/>
              <w:rPr>
                <w:szCs w:val="24"/>
              </w:rPr>
            </w:pPr>
            <w:r w:rsidRPr="00D12BD5">
              <w:rPr>
                <w:szCs w:val="24"/>
              </w:rPr>
              <w:t>Dėl reikalavimo „Susietojo projekto paraiškos vertinamos pagal 2023–2025 metų darbo programų kvietimų rezultatus, EK pateiktus iki kvietimo teikti PĮP paskelbimo dienos įskaitytinai“</w:t>
            </w:r>
          </w:p>
          <w:p w14:paraId="68014A9F" w14:textId="77777777" w:rsidR="00D12BD5" w:rsidRPr="00D12BD5" w:rsidRDefault="00D12BD5" w:rsidP="00D12BD5">
            <w:pPr>
              <w:jc w:val="both"/>
              <w:rPr>
                <w:szCs w:val="24"/>
              </w:rPr>
            </w:pPr>
          </w:p>
          <w:p w14:paraId="149895BF" w14:textId="77777777" w:rsidR="00D12BD5" w:rsidRPr="00D12BD5" w:rsidRDefault="00D12BD5" w:rsidP="00D12BD5">
            <w:pPr>
              <w:jc w:val="both"/>
              <w:rPr>
                <w:szCs w:val="24"/>
              </w:rPr>
            </w:pPr>
            <w:r w:rsidRPr="00D12BD5">
              <w:rPr>
                <w:szCs w:val="24"/>
              </w:rPr>
              <w:t xml:space="preserve">Jei susietojo projekto paraiškos vertinamos tik pagal programos ,,Europos horizontas“ 2023–2025 metų darbo programų kvietimų rezultatus, toks laiko apribojimas eliminuoja </w:t>
            </w:r>
            <w:r w:rsidRPr="00D12BD5">
              <w:rPr>
                <w:szCs w:val="24"/>
              </w:rPr>
              <w:lastRenderedPageBreak/>
              <w:t>projektus, kurie buvo pateikti ar pripažinti tinkamais ankstesniais metais (pvz., 2021–2022 m.) ir vis dar yra aktualūs. Tai ypač svarbu atsižvelgiant į tai, kad 2021–2027 m. apima visą daugiametį programinį „Europos horizontas“ laikotarpį, todėl logiška taikyti platesnį laiko intervalą.</w:t>
            </w:r>
          </w:p>
          <w:p w14:paraId="3CB58E03" w14:textId="77777777" w:rsidR="00D12BD5" w:rsidRPr="00D12BD5" w:rsidRDefault="00D12BD5" w:rsidP="00D12BD5">
            <w:pPr>
              <w:jc w:val="both"/>
              <w:rPr>
                <w:szCs w:val="24"/>
              </w:rPr>
            </w:pPr>
            <w:r w:rsidRPr="00D12BD5">
              <w:rPr>
                <w:szCs w:val="24"/>
              </w:rPr>
              <w:t>Be to, vertinimo apribojimas tik 2023–2025 metų darbo programų kvietimų rezultatais atskleidžia metodinį nelogiškumą, nes šiuo metu (2025 m. viduryje) dar nėra žinomi visi 2025 m. kvietimų vertinimo rezultatai – paraiškos tebėra vertinimo stadijoje arba finansavimo sprendimai dar nepaskelbti. Dėl to tokia metodika faktiškai eliminuoja 2025 m. teiktas paraiškas, kurios galimai būtų buvusios aukštai įvertintos. Toks požiūris ne tik sukuria netolygias vertinimo sąlygas, bet ir iškraipo realų MSI aktyvumo „Europos horizontas“ programoje vaizdą, nes neapima viso aktualaus laikotarpio nuo programos pradžios.</w:t>
            </w:r>
          </w:p>
          <w:p w14:paraId="3A0C5B2A" w14:textId="1C15E9D3" w:rsidR="00CA2606" w:rsidRPr="00A8776E" w:rsidRDefault="00D12BD5" w:rsidP="00D12BD5">
            <w:pPr>
              <w:jc w:val="both"/>
              <w:rPr>
                <w:szCs w:val="24"/>
              </w:rPr>
            </w:pPr>
            <w:r w:rsidRPr="00D12BD5">
              <w:rPr>
                <w:szCs w:val="24"/>
              </w:rPr>
              <w:t>Atsižvelgiant į išdėstytus argumentus, siūlome taikyti platesnį vertinimo laikotarpį – įtraukiant visus susietojo projekto kvietimus nuo 2021 m., t. y. nuo „Europos horizontas“ programos pradžios, kad būtų užtikrintas nuoseklus ir proporcingas vertinimas viso daugiametės programos laikotarpio kontekste.</w:t>
            </w:r>
          </w:p>
        </w:tc>
        <w:tc>
          <w:tcPr>
            <w:tcW w:w="5528" w:type="dxa"/>
            <w:shd w:val="clear" w:color="auto" w:fill="FFFFFF" w:themeFill="background1"/>
          </w:tcPr>
          <w:p w14:paraId="11F90CD8" w14:textId="4478B09E" w:rsidR="005D2ACB" w:rsidRPr="0050586A" w:rsidRDefault="005D2ACB" w:rsidP="00D8635C">
            <w:pPr>
              <w:jc w:val="both"/>
              <w:rPr>
                <w:b/>
                <w:bCs/>
                <w:iCs/>
              </w:rPr>
            </w:pPr>
            <w:r w:rsidRPr="0050586A">
              <w:rPr>
                <w:b/>
                <w:bCs/>
                <w:iCs/>
              </w:rPr>
              <w:lastRenderedPageBreak/>
              <w:t>Atsižvelgta.</w:t>
            </w:r>
          </w:p>
          <w:p w14:paraId="4759F96E" w14:textId="753C673D" w:rsidR="00DB7E8E" w:rsidRDefault="00C95E62" w:rsidP="00D8635C">
            <w:pPr>
              <w:jc w:val="both"/>
            </w:pPr>
            <w:r>
              <w:t xml:space="preserve">Planuojama, kad </w:t>
            </w:r>
            <w:r w:rsidR="00D62485" w:rsidRPr="000C0A5E">
              <w:t xml:space="preserve">susietųjų projektų paraiškos </w:t>
            </w:r>
            <w:r w:rsidRPr="000C0A5E">
              <w:t xml:space="preserve">bus </w:t>
            </w:r>
            <w:r w:rsidR="00D62485" w:rsidRPr="000C0A5E">
              <w:t xml:space="preserve">vertinamos </w:t>
            </w:r>
            <w:r w:rsidRPr="000C0A5E">
              <w:t xml:space="preserve">pagal </w:t>
            </w:r>
            <w:r w:rsidR="00FE269E" w:rsidRPr="000C0A5E">
              <w:t xml:space="preserve">programų </w:t>
            </w:r>
            <w:r w:rsidRPr="000C0A5E">
              <w:t xml:space="preserve">,,Europos horizontas“ </w:t>
            </w:r>
            <w:r w:rsidR="00FE269E" w:rsidRPr="000C0A5E">
              <w:t>ir „Euratomas“</w:t>
            </w:r>
            <w:r w:rsidR="00FE269E">
              <w:t xml:space="preserve"> </w:t>
            </w:r>
            <w:r>
              <w:t>2021-2024 metų darbo programų kvietimus</w:t>
            </w:r>
            <w:r w:rsidR="00E9078B">
              <w:t xml:space="preserve">, o 2025 m. </w:t>
            </w:r>
            <w:r w:rsidR="00883F6F">
              <w:t>darbo programų</w:t>
            </w:r>
            <w:r w:rsidR="00B51899">
              <w:t xml:space="preserve"> </w:t>
            </w:r>
            <w:r w:rsidR="00CD15F5">
              <w:t>kvietimų rezultatai</w:t>
            </w:r>
            <w:r w:rsidR="00AB4A59">
              <w:t xml:space="preserve"> nebus vertinami</w:t>
            </w:r>
            <w:r>
              <w:t>. Atitinkamai patikslintas PFSA projektas.</w:t>
            </w:r>
          </w:p>
          <w:p w14:paraId="775B1DA3" w14:textId="685E43FD" w:rsidR="007468C3" w:rsidRDefault="00011636" w:rsidP="00D8635C">
            <w:pPr>
              <w:jc w:val="both"/>
            </w:pPr>
            <w:r w:rsidRPr="00DC5DE8">
              <w:lastRenderedPageBreak/>
              <w:t>Atkreipiame dėmesį, kad, siekiant išvengti dvigubo finansavimo, nebus vertinam</w:t>
            </w:r>
            <w:r w:rsidR="004723F7">
              <w:t>os</w:t>
            </w:r>
            <w:r w:rsidRPr="00DC5DE8">
              <w:t xml:space="preserve"> </w:t>
            </w:r>
            <w:r w:rsidR="00397539" w:rsidRPr="005C16DB">
              <w:t>susiet</w:t>
            </w:r>
            <w:r w:rsidR="009F594B" w:rsidRPr="005C16DB">
              <w:t>ųjų</w:t>
            </w:r>
            <w:r w:rsidR="00397539" w:rsidRPr="005C16DB">
              <w:t xml:space="preserve"> projekt</w:t>
            </w:r>
            <w:r w:rsidR="009F594B" w:rsidRPr="005C16DB">
              <w:t>ų paraiškos</w:t>
            </w:r>
            <w:r w:rsidRPr="005C16DB">
              <w:t>, kuri</w:t>
            </w:r>
            <w:r w:rsidR="00D62485" w:rsidRPr="005C16DB">
              <w:t>os</w:t>
            </w:r>
            <w:r w:rsidRPr="005C16DB">
              <w:t xml:space="preserve"> buvo siejam</w:t>
            </w:r>
            <w:r w:rsidR="00D62485" w:rsidRPr="005C16DB">
              <w:t>os</w:t>
            </w:r>
            <w:r w:rsidRPr="00DC5DE8">
              <w:t xml:space="preserve"> su 202</w:t>
            </w:r>
            <w:r w:rsidR="002A6CF1">
              <w:t>2</w:t>
            </w:r>
            <w:r w:rsidRPr="00DC5DE8">
              <w:t xml:space="preserve">–2024 metais vykusių Lietuvos mokslo tarybos </w:t>
            </w:r>
            <w:r w:rsidR="00062500">
              <w:t xml:space="preserve">(toliau – LMT) </w:t>
            </w:r>
            <w:r w:rsidRPr="00DC5DE8">
              <w:t xml:space="preserve">kvietimų </w:t>
            </w:r>
            <w:r w:rsidR="000F2865">
              <w:t xml:space="preserve">teikti paraiškas </w:t>
            </w:r>
            <w:r w:rsidRPr="00DC5DE8">
              <w:t>mokslo infrastruktūrai atnaujinti paraiškomis</w:t>
            </w:r>
            <w:r w:rsidR="002D1EBC">
              <w:t xml:space="preserve">, jeigu pagal jas </w:t>
            </w:r>
            <w:r w:rsidR="004378C4">
              <w:t xml:space="preserve">buvo </w:t>
            </w:r>
            <w:r w:rsidR="00062500">
              <w:t>skirta bent dalis LMT</w:t>
            </w:r>
            <w:r w:rsidRPr="00DC5DE8">
              <w:t xml:space="preserve"> finansavim</w:t>
            </w:r>
            <w:r w:rsidR="00062500">
              <w:t>o</w:t>
            </w:r>
            <w:r w:rsidRPr="00DC5DE8">
              <w:t>, bei projekt</w:t>
            </w:r>
            <w:r w:rsidR="00BF6657">
              <w:t>ai</w:t>
            </w:r>
            <w:r w:rsidR="001251FF">
              <w:t xml:space="preserve"> </w:t>
            </w:r>
            <w:r w:rsidRPr="00DC5DE8">
              <w:t>pagal programos ,,Europos horizontas“ kvietimus, kurie 2024</w:t>
            </w:r>
            <w:r w:rsidR="0036105D">
              <w:t>-2025</w:t>
            </w:r>
            <w:r w:rsidRPr="00DC5DE8">
              <w:t xml:space="preserve"> m. finansuot</w:t>
            </w:r>
            <w:r w:rsidR="00205CC0">
              <w:t>i</w:t>
            </w:r>
            <w:r w:rsidRPr="00DC5DE8">
              <w:t xml:space="preserve"> iš Lietuvos perkeltų Europos regioninio plėtros fondo lėšų.</w:t>
            </w:r>
            <w:r w:rsidR="00C95E62">
              <w:t xml:space="preserve">  </w:t>
            </w:r>
          </w:p>
          <w:p w14:paraId="07123B85" w14:textId="0363386D" w:rsidR="00CA2606" w:rsidRPr="00DF7642" w:rsidRDefault="00CA2606" w:rsidP="00D8635C">
            <w:pPr>
              <w:jc w:val="both"/>
              <w:rPr>
                <w:iCs/>
                <w:highlight w:val="magenta"/>
              </w:rPr>
            </w:pPr>
          </w:p>
        </w:tc>
      </w:tr>
      <w:tr w:rsidR="00DC569A" w:rsidRPr="006C4311" w14:paraId="5FAB91D1" w14:textId="77777777" w:rsidTr="00D50E86">
        <w:tc>
          <w:tcPr>
            <w:tcW w:w="567" w:type="dxa"/>
          </w:tcPr>
          <w:p w14:paraId="5CFABB8B" w14:textId="50D07D8C" w:rsidR="00DC569A" w:rsidRDefault="00DC569A" w:rsidP="00DC569A">
            <w:pPr>
              <w:jc w:val="both"/>
              <w:rPr>
                <w:bCs/>
                <w:szCs w:val="24"/>
                <w:lang w:val="en-US"/>
              </w:rPr>
            </w:pPr>
            <w:r>
              <w:rPr>
                <w:bCs/>
                <w:szCs w:val="24"/>
                <w:lang w:val="en-US"/>
              </w:rPr>
              <w:lastRenderedPageBreak/>
              <w:t>6.</w:t>
            </w:r>
          </w:p>
        </w:tc>
        <w:tc>
          <w:tcPr>
            <w:tcW w:w="1980" w:type="dxa"/>
            <w:vMerge/>
          </w:tcPr>
          <w:p w14:paraId="19F9BC35" w14:textId="77777777" w:rsidR="00DC569A" w:rsidRPr="006C4311" w:rsidRDefault="00DC569A" w:rsidP="00DC569A">
            <w:pPr>
              <w:jc w:val="both"/>
              <w:rPr>
                <w:bCs/>
                <w:szCs w:val="24"/>
              </w:rPr>
            </w:pPr>
          </w:p>
        </w:tc>
        <w:tc>
          <w:tcPr>
            <w:tcW w:w="6237" w:type="dxa"/>
          </w:tcPr>
          <w:p w14:paraId="7B818688" w14:textId="3577EAB0" w:rsidR="00DC569A" w:rsidRDefault="00DC569A" w:rsidP="00DC569A">
            <w:pPr>
              <w:jc w:val="both"/>
            </w:pPr>
            <w:r>
              <w:t>Dėl Kriterijaus Nr. 1 „Pareiškėjo vaidmuo programos ,,Europos horizontas“ arba programos „Euratomas“ susietojo projekto paraiškoje“</w:t>
            </w:r>
          </w:p>
          <w:p w14:paraId="331302B9" w14:textId="77777777" w:rsidR="00DC569A" w:rsidRDefault="00DC569A" w:rsidP="00DC569A">
            <w:pPr>
              <w:jc w:val="both"/>
            </w:pPr>
          </w:p>
          <w:p w14:paraId="7B5C3BA9" w14:textId="6EC3FD60" w:rsidR="00DC569A" w:rsidRDefault="00DC569A" w:rsidP="00DC569A">
            <w:pPr>
              <w:jc w:val="both"/>
            </w:pPr>
            <w:r>
              <w:t>Pagal šį kriterijų suteikiama 40 ir 20 balų, jei MSI teikdama paraišką pagal atitinkamus EH kvietimus buvo koordinatorius, tačiau 0 balų, jei buvo partneris.</w:t>
            </w:r>
          </w:p>
          <w:p w14:paraId="1C69B50A" w14:textId="6FDC43FC" w:rsidR="00DC569A" w:rsidRDefault="00DC569A" w:rsidP="00DC569A">
            <w:pPr>
              <w:jc w:val="both"/>
            </w:pPr>
            <w:r>
              <w:t xml:space="preserve">Nors koordinavimo vaidmuo pagrįstai laikomas vienu iš institucinio pajėgumo rodiklių, jo sureikšminimas kaip pagrindinio vertinimo elemento neadekvačiai ignoruoja realų mokslinį indėlį partnerio lygmeniu ir sumažina paskatas institucijoms tikslingai bendradarbiauti, ypač tais atvejais, kai institucija atlieka svarbius uždavinius MTEPI projekte, tačiau </w:t>
            </w:r>
            <w:r>
              <w:lastRenderedPageBreak/>
              <w:t>neturi galimybių ar jai nėra tikslinga prisiimti administracines koordinatoriaus funkcijas.</w:t>
            </w:r>
          </w:p>
          <w:p w14:paraId="1E52F0D0" w14:textId="77777777" w:rsidR="00DC569A" w:rsidRDefault="00DC569A" w:rsidP="00DC569A">
            <w:pPr>
              <w:jc w:val="both"/>
            </w:pPr>
            <w:r>
              <w:t>Pakarotinai pabrėžiame, kad suteikiant 0 balų už partnerio „rolę“ EH paraiškoje, iš esmės nuvertinama partnerystė tarptautiniuose konsorciumuose ir neskatinamas MSI įsitraukimas lygiaverčiu partneriu, taip mažinant institucijų motyvaciją prisidėti prie bendrų Europos mokslinių tyrimų iniciatyvų.</w:t>
            </w:r>
          </w:p>
          <w:p w14:paraId="1CB608A2" w14:textId="6EED2D88" w:rsidR="00DC569A" w:rsidRPr="00A8776E" w:rsidRDefault="00DC569A" w:rsidP="00DC569A">
            <w:pPr>
              <w:jc w:val="both"/>
            </w:pPr>
            <w:r>
              <w:t>Būtina peržiūrėti šio kriterijaus vertinimo logiką ir numatyti dalinį įvertinimą (pvz., 10–20 balų intervale) už aktyvų ir pagrįstą partnerystės vaidmenį, atsižvelgiant į pareiškėjo indėlį susietame projekte.</w:t>
            </w:r>
          </w:p>
        </w:tc>
        <w:tc>
          <w:tcPr>
            <w:tcW w:w="5528" w:type="dxa"/>
          </w:tcPr>
          <w:p w14:paraId="1589BF59" w14:textId="10785636" w:rsidR="00DC569A" w:rsidRPr="001679A4" w:rsidRDefault="005D2ACB" w:rsidP="00DC569A">
            <w:pPr>
              <w:jc w:val="both"/>
              <w:rPr>
                <w:b/>
                <w:bCs/>
              </w:rPr>
            </w:pPr>
            <w:r w:rsidRPr="001679A4">
              <w:rPr>
                <w:b/>
                <w:bCs/>
              </w:rPr>
              <w:lastRenderedPageBreak/>
              <w:t>Atsižvelgta</w:t>
            </w:r>
            <w:r w:rsidR="00DC569A" w:rsidRPr="001679A4">
              <w:rPr>
                <w:b/>
                <w:bCs/>
              </w:rPr>
              <w:t xml:space="preserve">. </w:t>
            </w:r>
          </w:p>
          <w:p w14:paraId="0E75FE5B" w14:textId="01A5B86B" w:rsidR="00732BBD" w:rsidRPr="0050586A" w:rsidRDefault="005842F7" w:rsidP="003D368A">
            <w:pPr>
              <w:jc w:val="both"/>
              <w:rPr>
                <w:highlight w:val="yellow"/>
              </w:rPr>
            </w:pPr>
            <w:r>
              <w:t>Patikslintas</w:t>
            </w:r>
            <w:r w:rsidR="00F20572">
              <w:t xml:space="preserve"> projektų atrankos kriterijus Nr. 1 „Pareiškėjo vaidmuo programos ,,Europos horizontas“ arba programos „Euratomas“ susietojo projekto paraiškoje“</w:t>
            </w:r>
            <w:r>
              <w:t xml:space="preserve"> </w:t>
            </w:r>
            <w:r w:rsidR="00F20572">
              <w:t>s</w:t>
            </w:r>
            <w:r w:rsidR="00137977">
              <w:t xml:space="preserve">umažintas </w:t>
            </w:r>
            <w:r w:rsidR="00E81770">
              <w:t xml:space="preserve">iki 30 balų </w:t>
            </w:r>
            <w:r w:rsidR="00DB6783">
              <w:t xml:space="preserve">vertinimas, jeigu </w:t>
            </w:r>
            <w:r w:rsidR="00DB6783" w:rsidRPr="00944019">
              <w:t>susiet</w:t>
            </w:r>
            <w:r w:rsidR="00423AFB" w:rsidRPr="00944019">
              <w:t>ojo</w:t>
            </w:r>
            <w:r w:rsidR="00DB6783" w:rsidRPr="00944019">
              <w:t xml:space="preserve"> projekt</w:t>
            </w:r>
            <w:r w:rsidR="00423AFB" w:rsidRPr="00944019">
              <w:t>o paraiška</w:t>
            </w:r>
            <w:r w:rsidR="00DB6783" w:rsidRPr="00944019">
              <w:t xml:space="preserve"> susij</w:t>
            </w:r>
            <w:r w:rsidR="00423AFB" w:rsidRPr="00944019">
              <w:t>usi</w:t>
            </w:r>
            <w:r w:rsidR="00DB6783" w:rsidRPr="00944019">
              <w:t xml:space="preserve"> su MSCA-DN, MSCA-SE, WIDERA twinni</w:t>
            </w:r>
            <w:r w:rsidR="00F83ACE" w:rsidRPr="00944019">
              <w:t>n</w:t>
            </w:r>
            <w:r w:rsidR="00DB6783" w:rsidRPr="00944019">
              <w:t>g, EIC Pathfinder veiklomis</w:t>
            </w:r>
            <w:r w:rsidR="00E24ED9" w:rsidRPr="00944019">
              <w:t>.</w:t>
            </w:r>
            <w:r w:rsidR="00DB6783" w:rsidRPr="00944019">
              <w:t xml:space="preserve"> </w:t>
            </w:r>
            <w:r w:rsidR="006F4310" w:rsidRPr="00944019">
              <w:t xml:space="preserve">10 balų suteikiama </w:t>
            </w:r>
            <w:r w:rsidR="00770048" w:rsidRPr="00944019">
              <w:t xml:space="preserve">PĮP, jeigu </w:t>
            </w:r>
            <w:r w:rsidR="00F20572" w:rsidRPr="00944019">
              <w:t>pareiškėj</w:t>
            </w:r>
            <w:r w:rsidR="0083376A" w:rsidRPr="00944019">
              <w:t xml:space="preserve">as </w:t>
            </w:r>
            <w:r w:rsidR="004E72F8" w:rsidRPr="00944019">
              <w:t xml:space="preserve">buvo susietojo projekto </w:t>
            </w:r>
            <w:r w:rsidR="00E24ED9" w:rsidRPr="00944019">
              <w:t>paraiškos</w:t>
            </w:r>
            <w:r w:rsidR="00E24ED9">
              <w:t xml:space="preserve"> </w:t>
            </w:r>
            <w:r w:rsidR="00702B57">
              <w:t xml:space="preserve">konsorciumo </w:t>
            </w:r>
            <w:r w:rsidR="004E72F8" w:rsidRPr="0050586A">
              <w:t>partneris</w:t>
            </w:r>
            <w:r w:rsidR="0083376A" w:rsidRPr="0050586A">
              <w:t>.</w:t>
            </w:r>
            <w:r w:rsidR="0083376A">
              <w:t xml:space="preserve"> </w:t>
            </w:r>
            <w:r w:rsidR="00B56C04">
              <w:t>Atitinkamai padidinta m</w:t>
            </w:r>
            <w:r w:rsidR="00B56C04" w:rsidRPr="00D11992">
              <w:rPr>
                <w:color w:val="000000"/>
              </w:rPr>
              <w:t>ažiausia prioritetinių atrankos kriterijų balų suma, kurią turi surinkti planuojamas finansuoti projektas</w:t>
            </w:r>
            <w:r w:rsidR="00B56C04">
              <w:rPr>
                <w:color w:val="000000"/>
              </w:rPr>
              <w:t>, iki 25 balų.</w:t>
            </w:r>
            <w:r w:rsidR="0083376A">
              <w:rPr>
                <w:b/>
                <w:bCs/>
              </w:rPr>
              <w:t xml:space="preserve"> </w:t>
            </w:r>
          </w:p>
        </w:tc>
      </w:tr>
      <w:tr w:rsidR="00DC569A" w:rsidRPr="006C4311" w14:paraId="63B6E396" w14:textId="77777777" w:rsidTr="00D50E86">
        <w:tc>
          <w:tcPr>
            <w:tcW w:w="567" w:type="dxa"/>
          </w:tcPr>
          <w:p w14:paraId="332F1C37" w14:textId="200CE062" w:rsidR="00DC569A" w:rsidRDefault="00DC569A" w:rsidP="00DC569A">
            <w:pPr>
              <w:jc w:val="both"/>
              <w:rPr>
                <w:bCs/>
                <w:szCs w:val="24"/>
                <w:lang w:val="en-US"/>
              </w:rPr>
            </w:pPr>
            <w:r>
              <w:rPr>
                <w:bCs/>
                <w:szCs w:val="24"/>
                <w:lang w:val="en-US"/>
              </w:rPr>
              <w:t>7.</w:t>
            </w:r>
          </w:p>
        </w:tc>
        <w:tc>
          <w:tcPr>
            <w:tcW w:w="1980" w:type="dxa"/>
            <w:vMerge/>
          </w:tcPr>
          <w:p w14:paraId="315A4B8A" w14:textId="77777777" w:rsidR="00DC569A" w:rsidRPr="006C4311" w:rsidRDefault="00DC569A" w:rsidP="00DC569A">
            <w:pPr>
              <w:jc w:val="both"/>
              <w:rPr>
                <w:bCs/>
                <w:szCs w:val="24"/>
              </w:rPr>
            </w:pPr>
          </w:p>
        </w:tc>
        <w:tc>
          <w:tcPr>
            <w:tcW w:w="6237" w:type="dxa"/>
          </w:tcPr>
          <w:p w14:paraId="48E8BD44" w14:textId="64F326E6" w:rsidR="00DC569A" w:rsidRPr="009A578F" w:rsidRDefault="00DC569A" w:rsidP="00DC569A">
            <w:pPr>
              <w:jc w:val="both"/>
              <w:rPr>
                <w:szCs w:val="24"/>
              </w:rPr>
            </w:pPr>
            <w:r w:rsidRPr="009A578F">
              <w:rPr>
                <w:szCs w:val="24"/>
              </w:rPr>
              <w:t>Dėl Kriterijaus Nr. 2 „Susietojo projekto paraiškai EK suteiktas galutinis įvertinimas“</w:t>
            </w:r>
          </w:p>
          <w:p w14:paraId="23B1ADC6" w14:textId="77777777" w:rsidR="00DC569A" w:rsidRPr="009A578F" w:rsidRDefault="00DC569A" w:rsidP="00DC569A">
            <w:pPr>
              <w:jc w:val="both"/>
              <w:rPr>
                <w:szCs w:val="24"/>
              </w:rPr>
            </w:pPr>
          </w:p>
          <w:p w14:paraId="72645720" w14:textId="77777777" w:rsidR="00DC569A" w:rsidRPr="009A578F" w:rsidRDefault="00DC569A" w:rsidP="00DC569A">
            <w:pPr>
              <w:jc w:val="both"/>
              <w:rPr>
                <w:szCs w:val="24"/>
              </w:rPr>
            </w:pPr>
            <w:r w:rsidRPr="009A578F">
              <w:rPr>
                <w:szCs w:val="24"/>
              </w:rPr>
              <w:t>Vertinimo lentelėje taikomas skirtingų kvietimų ir priemonių sujungimas į vieną kategoriją remiantis vien tik balų skaitine išraiška yra metodologiškai nepagrįstas ir klaidinantis. Šis požiūris ignoruoja esminius struktūrinius, teminius ir konkurencinius skirtumus tarp programų ir jų poveiklių.</w:t>
            </w:r>
          </w:p>
          <w:p w14:paraId="0E6F4A6F" w14:textId="77777777" w:rsidR="00DC569A" w:rsidRPr="009A578F" w:rsidRDefault="00DC569A" w:rsidP="00DC569A">
            <w:pPr>
              <w:jc w:val="both"/>
              <w:rPr>
                <w:szCs w:val="24"/>
              </w:rPr>
            </w:pPr>
            <w:r w:rsidRPr="009A578F">
              <w:rPr>
                <w:szCs w:val="24"/>
              </w:rPr>
              <w:t xml:space="preserve">Pavyzdžiui, MSCA veiklos vertinamos kaip vienalytė grupė, nors jose egzistuoja reikšmingai skirtingi instrumentai, tokie kaip MSCA </w:t>
            </w:r>
            <w:r w:rsidRPr="00944019">
              <w:rPr>
                <w:szCs w:val="24"/>
              </w:rPr>
              <w:t>Postdoctoral Fellowships (PF)</w:t>
            </w:r>
            <w:r w:rsidRPr="009A578F">
              <w:rPr>
                <w:szCs w:val="24"/>
              </w:rPr>
              <w:t>, Staff Exchange (SE) ar Doctoral Networks (DN). Šios schemos pasižymi skirtingais tikslais, vertinimo kriterijais, partnerystės logika ir paraiškų rengimo mastu, todėl jų sujungimas į vieną bloką neleidžia objektyviai vertinti pareiškėjo pastangų ir sėkmės konkrečiose MSCA srityse.</w:t>
            </w:r>
          </w:p>
          <w:p w14:paraId="5E8735B3" w14:textId="77777777" w:rsidR="00DC569A" w:rsidRPr="009A578F" w:rsidRDefault="00DC569A" w:rsidP="00DC569A">
            <w:pPr>
              <w:jc w:val="both"/>
              <w:rPr>
                <w:szCs w:val="24"/>
              </w:rPr>
            </w:pPr>
            <w:r w:rsidRPr="009A578F">
              <w:rPr>
                <w:szCs w:val="24"/>
              </w:rPr>
              <w:t xml:space="preserve">RIA (Research and Innovation Actions) ir IA (Innovation Actions) kvietimai taip pat vertinami bendrai, nors tai yra iš esmės skirtingo pobūdžio veiklos. RIA kvietimai orientuoti į fundamentalius ar eksperimentinius tyrimus, IA – į rinkai artimų sprendimų plėtrą, dažnai reikalaujant intensyvaus verslo įsitraukimo. Tiek jų vertinimo kriterijai, tiek sėkmės rodikliai </w:t>
            </w:r>
            <w:r w:rsidRPr="009A578F">
              <w:rPr>
                <w:szCs w:val="24"/>
              </w:rPr>
              <w:lastRenderedPageBreak/>
              <w:t>ir paraiškų apimtis skiriasi, todėl jų apjungimas dirbtinai sulygina nepalyginamus dalykus.</w:t>
            </w:r>
          </w:p>
          <w:p w14:paraId="042408C5" w14:textId="77777777" w:rsidR="00DC569A" w:rsidRPr="009A578F" w:rsidRDefault="00DC569A" w:rsidP="00DC569A">
            <w:pPr>
              <w:jc w:val="both"/>
              <w:rPr>
                <w:szCs w:val="24"/>
              </w:rPr>
            </w:pPr>
            <w:r w:rsidRPr="009A578F">
              <w:rPr>
                <w:szCs w:val="24"/>
              </w:rPr>
              <w:t>Ypač abejotinas sprendimas sujungti EIC Pathfinder kvietimus su ERC Proof of Concept (PoC) iniciatyvomis. Nors šiems instrumentams vertinimo balai pateikiami ta pačia skaitine forma (pvz., 0–5), jų esmė, pobūdis ir konkurencinė aplinka yra diametraliai priešingi. EIC Pathfinder – tai aukštos rizikos tarpdisciplininiai tyrimai su orientacija į proveržio inovacijas, reikalaujantys konsorciumų ir dažnai apimantys didelės apimties eksperimentus. Tuo tarpu ERC PoC – tai nedidelės apimties, individualiems tyrėjams skirti projektai, pagrįsti anksčiau vykdytų ERC tyrimų rezultatais. Todėl jų mechaninis sugretinimas iš esmės iškraipo vertinimo rezultatų logiką.</w:t>
            </w:r>
          </w:p>
          <w:p w14:paraId="757120E4" w14:textId="77777777" w:rsidR="00DC569A" w:rsidRPr="009A578F" w:rsidRDefault="00DC569A" w:rsidP="00DC569A">
            <w:pPr>
              <w:jc w:val="both"/>
              <w:rPr>
                <w:szCs w:val="24"/>
              </w:rPr>
            </w:pPr>
            <w:r w:rsidRPr="009A578F">
              <w:rPr>
                <w:szCs w:val="24"/>
              </w:rPr>
              <w:t>Apibendrinant, vienodas balų formatas (pvz., 15,0 ar 5,0) neturėtų būti pagrindas šių programų ar veiklų sujungimui į bendrą vertinimo matricą. Tokie sprendimai neleidžia užtikrinti nei palyginamumo, nei skaidrumo, nei proporcingumo principų, ir kelia riziką priimti neteisingus sprendimus dėl institucijų rezultatų įvertinimo ir finansavimo skyrimo.</w:t>
            </w:r>
          </w:p>
          <w:p w14:paraId="7010B3A3" w14:textId="1007B4EE" w:rsidR="00DC569A" w:rsidRPr="00A8776E" w:rsidRDefault="00DC569A" w:rsidP="00DC569A">
            <w:pPr>
              <w:jc w:val="both"/>
              <w:rPr>
                <w:szCs w:val="24"/>
              </w:rPr>
            </w:pPr>
            <w:r w:rsidRPr="009A578F">
              <w:rPr>
                <w:szCs w:val="24"/>
              </w:rPr>
              <w:t>Siekiant užtikrinti objektyvų ir metodologiškai pagrįstą vertinimą, būtų tikslinga kiekvieną programos „Europos horizontas“ veiklos tipą (pvz., RIA, IA, MSCA, ERC, EIC ir kt.) bei jų poveikles vertinti atskirai, atsižvelgiant į jų specifiką, tikslus ir vertinimo logiką. Be to, svarbu įtraukti laiko aspektą, t. y. vertinti paraiškas pagal konkrečių metų kvietimus, o ne agreguoti kelių metų rezultatus bendrai.</w:t>
            </w:r>
          </w:p>
        </w:tc>
        <w:tc>
          <w:tcPr>
            <w:tcW w:w="5528" w:type="dxa"/>
          </w:tcPr>
          <w:p w14:paraId="296CBE30" w14:textId="32A4A748" w:rsidR="00D20CA8" w:rsidRPr="0050586A" w:rsidRDefault="00815E54" w:rsidP="00DC569A">
            <w:pPr>
              <w:jc w:val="both"/>
              <w:rPr>
                <w:b/>
                <w:bCs/>
              </w:rPr>
            </w:pPr>
            <w:r w:rsidRPr="0050586A">
              <w:rPr>
                <w:b/>
                <w:bCs/>
              </w:rPr>
              <w:lastRenderedPageBreak/>
              <w:t>Atsižvelgta iš dalies.</w:t>
            </w:r>
          </w:p>
          <w:p w14:paraId="5126C545" w14:textId="6DB05F51" w:rsidR="00DE541B" w:rsidRDefault="00DE541B" w:rsidP="00DE541B">
            <w:pPr>
              <w:jc w:val="both"/>
            </w:pPr>
            <w:r>
              <w:t xml:space="preserve">ERC PoC </w:t>
            </w:r>
            <w:r w:rsidR="004870C6">
              <w:t xml:space="preserve">išskirtas į atskirą susietojo projekto </w:t>
            </w:r>
            <w:r w:rsidR="00055AF2" w:rsidRPr="00944019">
              <w:t>paraiškos</w:t>
            </w:r>
            <w:r w:rsidR="00055AF2">
              <w:t xml:space="preserve"> </w:t>
            </w:r>
            <w:r w:rsidR="009B22C9">
              <w:t>EK į</w:t>
            </w:r>
            <w:r w:rsidR="004870C6">
              <w:t xml:space="preserve">vertinimo </w:t>
            </w:r>
            <w:r w:rsidR="009B22C9">
              <w:t>skalę</w:t>
            </w:r>
            <w:r w:rsidR="006B575A">
              <w:t>, toki</w:t>
            </w:r>
            <w:r w:rsidR="00ED56F9">
              <w:t>om</w:t>
            </w:r>
            <w:r w:rsidR="006B575A">
              <w:t xml:space="preserve">s </w:t>
            </w:r>
            <w:r w:rsidR="00ED56F9">
              <w:t>susietojo projekto paraiškoms</w:t>
            </w:r>
            <w:r w:rsidR="001439EA">
              <w:t>, gavusi</w:t>
            </w:r>
            <w:r w:rsidR="00ED56F9">
              <w:t xml:space="preserve">oms </w:t>
            </w:r>
            <w:r w:rsidR="001439EA" w:rsidRPr="0050586A">
              <w:rPr>
                <w:color w:val="000000"/>
                <w:szCs w:val="24"/>
              </w:rPr>
              <w:t>daugiau kaip 100 proc.</w:t>
            </w:r>
            <w:r w:rsidR="00ED56F9">
              <w:rPr>
                <w:color w:val="000000"/>
                <w:szCs w:val="24"/>
              </w:rPr>
              <w:t xml:space="preserve"> EK įvertinimą</w:t>
            </w:r>
            <w:r w:rsidR="00065350">
              <w:rPr>
                <w:color w:val="000000"/>
                <w:szCs w:val="24"/>
              </w:rPr>
              <w:t>,</w:t>
            </w:r>
            <w:r w:rsidR="006B575A">
              <w:t xml:space="preserve"> suteikiant 10</w:t>
            </w:r>
            <w:r w:rsidR="001545E6">
              <w:t xml:space="preserve"> balų. </w:t>
            </w:r>
          </w:p>
          <w:p w14:paraId="78481180" w14:textId="77777777" w:rsidR="00FB718A" w:rsidRDefault="00FB718A" w:rsidP="00DE541B">
            <w:pPr>
              <w:jc w:val="both"/>
            </w:pPr>
          </w:p>
          <w:p w14:paraId="268EB07F" w14:textId="6A1E0C80" w:rsidR="006A2A24" w:rsidRDefault="001545E6" w:rsidP="00DE541B">
            <w:pPr>
              <w:jc w:val="both"/>
            </w:pPr>
            <w:r>
              <w:t xml:space="preserve">Atkreipiame dėmesį, kad </w:t>
            </w:r>
            <w:r w:rsidR="00B24D20">
              <w:t xml:space="preserve">PFSA 12.3 pateiktoje lentelėje </w:t>
            </w:r>
            <w:r w:rsidR="009D09E2">
              <w:t xml:space="preserve">visos </w:t>
            </w:r>
            <w:r w:rsidR="00D5183B" w:rsidRPr="00944019">
              <w:t>program</w:t>
            </w:r>
            <w:r w:rsidR="00E5722C" w:rsidRPr="00944019">
              <w:t>ų</w:t>
            </w:r>
            <w:r w:rsidR="00D5183B">
              <w:t xml:space="preserve"> „</w:t>
            </w:r>
            <w:r w:rsidR="001B66ED">
              <w:t>Europos horizont</w:t>
            </w:r>
            <w:r w:rsidR="00D5183B">
              <w:t xml:space="preserve">as“ </w:t>
            </w:r>
            <w:r w:rsidR="00D5183B" w:rsidRPr="00944019">
              <w:t>ir „Euratomas“</w:t>
            </w:r>
            <w:r w:rsidR="001B66ED">
              <w:t xml:space="preserve"> </w:t>
            </w:r>
            <w:r w:rsidR="009D09E2">
              <w:t>veiklos suskirstytos pagal EK skirtingoms veikloms taikomas</w:t>
            </w:r>
            <w:r w:rsidR="000F60D5">
              <w:t xml:space="preserve"> skirtingas paraiškų vertinimo metodikas</w:t>
            </w:r>
            <w:r w:rsidR="00577F01">
              <w:t xml:space="preserve"> bei </w:t>
            </w:r>
            <w:r w:rsidR="00D54CA0">
              <w:t>skaitines reikšmes</w:t>
            </w:r>
            <w:r w:rsidR="002B27A5">
              <w:t xml:space="preserve"> </w:t>
            </w:r>
            <w:r w:rsidR="001B66ED">
              <w:t>(</w:t>
            </w:r>
            <w:r w:rsidR="002B27A5">
              <w:t>procentais, vienetais</w:t>
            </w:r>
            <w:r w:rsidR="001B66ED">
              <w:t>)</w:t>
            </w:r>
            <w:r w:rsidR="002B27A5">
              <w:t xml:space="preserve"> bei jų </w:t>
            </w:r>
            <w:r w:rsidR="00556EEF">
              <w:t xml:space="preserve">skalėmis, pagal kurias </w:t>
            </w:r>
            <w:r w:rsidR="00055AF2" w:rsidRPr="00944019">
              <w:t>projektų</w:t>
            </w:r>
            <w:r w:rsidR="00055AF2">
              <w:t xml:space="preserve"> </w:t>
            </w:r>
            <w:r w:rsidR="00556EEF">
              <w:t>paraiškos laikomos perėjusios slenkstį (</w:t>
            </w:r>
            <w:r w:rsidR="00D34708">
              <w:t xml:space="preserve">angl. </w:t>
            </w:r>
            <w:r w:rsidR="00556EEF" w:rsidRPr="0050586A">
              <w:rPr>
                <w:i/>
                <w:iCs/>
              </w:rPr>
              <w:t xml:space="preserve">passed </w:t>
            </w:r>
            <w:r w:rsidR="00D0502C" w:rsidRPr="0050586A">
              <w:rPr>
                <w:i/>
                <w:iCs/>
              </w:rPr>
              <w:t xml:space="preserve">the </w:t>
            </w:r>
            <w:r w:rsidR="00556EEF" w:rsidRPr="0050586A">
              <w:rPr>
                <w:i/>
                <w:iCs/>
              </w:rPr>
              <w:t>threshold</w:t>
            </w:r>
            <w:r w:rsidR="00556EEF">
              <w:t>)</w:t>
            </w:r>
            <w:r w:rsidR="00D34708">
              <w:t>.</w:t>
            </w:r>
            <w:r w:rsidR="00C11183">
              <w:t xml:space="preserve"> </w:t>
            </w:r>
            <w:r w:rsidR="00732207">
              <w:t xml:space="preserve">Kvietimo </w:t>
            </w:r>
            <w:r w:rsidR="00E96F4C">
              <w:t xml:space="preserve">laboratorijų </w:t>
            </w:r>
            <w:r w:rsidR="002820C8">
              <w:t>ir kitos MTEP infrastruktū</w:t>
            </w:r>
            <w:r w:rsidR="002B17CA">
              <w:t>r</w:t>
            </w:r>
            <w:r w:rsidR="002820C8">
              <w:t>os įrangai atnaujinti</w:t>
            </w:r>
            <w:r w:rsidR="00732207">
              <w:t xml:space="preserve"> p</w:t>
            </w:r>
            <w:r w:rsidR="003B5071">
              <w:t>areiškėjai</w:t>
            </w:r>
            <w:r w:rsidR="00852E17">
              <w:t xml:space="preserve"> kartu su PĮP pateiks informaciją apie susiet</w:t>
            </w:r>
            <w:r w:rsidR="0039481E">
              <w:t>ųjų projektų</w:t>
            </w:r>
            <w:r w:rsidR="00055AF2">
              <w:t xml:space="preserve"> </w:t>
            </w:r>
            <w:r w:rsidR="00055AF2" w:rsidRPr="00944019">
              <w:t>paraiškų</w:t>
            </w:r>
            <w:r w:rsidR="0039481E">
              <w:t xml:space="preserve"> EK gautą įvertinimą</w:t>
            </w:r>
            <w:r w:rsidR="001B1195">
              <w:t>, kur nebus disponuojama kita informacija apie vertinimų svorius, priklausomai nuo kvietimų metų ar pan.</w:t>
            </w:r>
            <w:r w:rsidR="00617ADE">
              <w:t xml:space="preserve"> Siekiant aiškaus ir skaidraus PĮP vertinimo proceso</w:t>
            </w:r>
            <w:r w:rsidR="001B1195">
              <w:t xml:space="preserve">, </w:t>
            </w:r>
            <w:r w:rsidR="007C3A65">
              <w:t xml:space="preserve">VšĮ </w:t>
            </w:r>
            <w:r w:rsidR="00E974B2">
              <w:t xml:space="preserve">Centrinė projektų valdymo agentūra </w:t>
            </w:r>
            <w:r w:rsidR="007C3A65">
              <w:t xml:space="preserve">turės vadovautis </w:t>
            </w:r>
            <w:r w:rsidR="00432F3B">
              <w:t>oficialiais EK duomenimis</w:t>
            </w:r>
            <w:r w:rsidR="006A2A24">
              <w:t>.</w:t>
            </w:r>
          </w:p>
          <w:p w14:paraId="16C7DEE8" w14:textId="56A367C8" w:rsidR="001545E6" w:rsidRDefault="006A2A24" w:rsidP="00DE541B">
            <w:pPr>
              <w:jc w:val="both"/>
            </w:pPr>
            <w:r>
              <w:t xml:space="preserve">Atkreipiame dėmesį, kad </w:t>
            </w:r>
            <w:r w:rsidR="001C5BEB" w:rsidRPr="009A578F">
              <w:rPr>
                <w:szCs w:val="24"/>
              </w:rPr>
              <w:t>RIA</w:t>
            </w:r>
            <w:r w:rsidR="001C5BEB">
              <w:rPr>
                <w:szCs w:val="24"/>
              </w:rPr>
              <w:t>,</w:t>
            </w:r>
            <w:r w:rsidR="001C5BEB" w:rsidRPr="009A578F">
              <w:rPr>
                <w:szCs w:val="24"/>
              </w:rPr>
              <w:t xml:space="preserve"> IA </w:t>
            </w:r>
            <w:r w:rsidR="00EE1907">
              <w:rPr>
                <w:szCs w:val="24"/>
              </w:rPr>
              <w:t xml:space="preserve">veiklų </w:t>
            </w:r>
            <w:r w:rsidR="006B7E32" w:rsidRPr="00885D4C">
              <w:rPr>
                <w:szCs w:val="24"/>
              </w:rPr>
              <w:t>projektų</w:t>
            </w:r>
            <w:r w:rsidR="00555386">
              <w:rPr>
                <w:szCs w:val="24"/>
              </w:rPr>
              <w:t xml:space="preserve"> paraišk</w:t>
            </w:r>
            <w:r w:rsidR="00EE1907">
              <w:rPr>
                <w:szCs w:val="24"/>
              </w:rPr>
              <w:t>oms</w:t>
            </w:r>
            <w:r w:rsidR="00555386">
              <w:rPr>
                <w:szCs w:val="24"/>
              </w:rPr>
              <w:t xml:space="preserve"> </w:t>
            </w:r>
            <w:r w:rsidR="008204DD">
              <w:rPr>
                <w:szCs w:val="24"/>
              </w:rPr>
              <w:t xml:space="preserve">EK </w:t>
            </w:r>
            <w:r w:rsidR="00EE1907">
              <w:rPr>
                <w:szCs w:val="24"/>
              </w:rPr>
              <w:t xml:space="preserve">taiko </w:t>
            </w:r>
            <w:r w:rsidR="003F11D5">
              <w:rPr>
                <w:szCs w:val="24"/>
              </w:rPr>
              <w:t xml:space="preserve">vieną </w:t>
            </w:r>
            <w:r w:rsidR="00555386">
              <w:rPr>
                <w:szCs w:val="24"/>
              </w:rPr>
              <w:t>vertinimo metodik</w:t>
            </w:r>
            <w:r w:rsidR="003F11D5">
              <w:rPr>
                <w:szCs w:val="24"/>
              </w:rPr>
              <w:t>ą:</w:t>
            </w:r>
            <w:r w:rsidR="00555386">
              <w:rPr>
                <w:szCs w:val="24"/>
              </w:rPr>
              <w:t xml:space="preserve"> </w:t>
            </w:r>
            <w:r w:rsidR="00655615" w:rsidRPr="00655615">
              <w:rPr>
                <w:szCs w:val="24"/>
              </w:rPr>
              <w:lastRenderedPageBreak/>
              <w:t>https://ec.europa.eu/info/funding-tenders/opportunities/docs/2021-2027/horizon/temp-form/ef/ef_he-ria-ia_en.pdf</w:t>
            </w:r>
            <w:r w:rsidR="003E6917">
              <w:t xml:space="preserve"> </w:t>
            </w:r>
          </w:p>
          <w:p w14:paraId="4BC8717F" w14:textId="7B10DBE7" w:rsidR="00A57D78" w:rsidRPr="0050586A" w:rsidRDefault="00D969F9" w:rsidP="00DC569A">
            <w:pPr>
              <w:jc w:val="both"/>
            </w:pPr>
            <w:r>
              <w:t xml:space="preserve">Jeigu </w:t>
            </w:r>
            <w:r w:rsidR="000F0253" w:rsidRPr="000F0253">
              <w:t>kiekvienam projekt</w:t>
            </w:r>
            <w:r w:rsidR="00D5183B">
              <w:t>o</w:t>
            </w:r>
            <w:r w:rsidR="000F0253" w:rsidRPr="000F0253">
              <w:t xml:space="preserve"> tipui, kvietimui ar tyrimų grupei taik</w:t>
            </w:r>
            <w:r>
              <w:t>oma</w:t>
            </w:r>
            <w:r w:rsidR="000F0253" w:rsidRPr="000F0253">
              <w:t xml:space="preserve"> atskir</w:t>
            </w:r>
            <w:r w:rsidR="00431CF4">
              <w:t>a</w:t>
            </w:r>
            <w:r w:rsidR="000F0253" w:rsidRPr="000F0253">
              <w:t xml:space="preserve"> </w:t>
            </w:r>
            <w:r>
              <w:t xml:space="preserve">vertinimo </w:t>
            </w:r>
            <w:r w:rsidR="000F0253" w:rsidRPr="000F0253">
              <w:t>schem</w:t>
            </w:r>
            <w:r w:rsidR="00431CF4">
              <w:t>a</w:t>
            </w:r>
            <w:r>
              <w:t xml:space="preserve">, </w:t>
            </w:r>
            <w:r w:rsidR="000F0253" w:rsidRPr="000F0253">
              <w:t>kvietimo administravimas taptų neproporcingai painus ir sunkiai įgyvendinam</w:t>
            </w:r>
            <w:r w:rsidR="00431CF4">
              <w:t>as</w:t>
            </w:r>
            <w:r>
              <w:t xml:space="preserve"> laike</w:t>
            </w:r>
            <w:r w:rsidR="00431CF4">
              <w:t>.</w:t>
            </w:r>
          </w:p>
        </w:tc>
      </w:tr>
      <w:tr w:rsidR="00DC569A" w:rsidRPr="006C4311" w14:paraId="3D5B0DE7" w14:textId="77777777" w:rsidTr="00D50E86">
        <w:tc>
          <w:tcPr>
            <w:tcW w:w="567" w:type="dxa"/>
          </w:tcPr>
          <w:p w14:paraId="357E802F" w14:textId="2DD5BB95" w:rsidR="00DC569A" w:rsidRDefault="00DC569A" w:rsidP="00DC569A">
            <w:pPr>
              <w:jc w:val="both"/>
              <w:rPr>
                <w:bCs/>
                <w:szCs w:val="24"/>
                <w:lang w:val="en-US"/>
              </w:rPr>
            </w:pPr>
            <w:r>
              <w:rPr>
                <w:bCs/>
                <w:szCs w:val="24"/>
                <w:lang w:val="en-US"/>
              </w:rPr>
              <w:lastRenderedPageBreak/>
              <w:t>8.</w:t>
            </w:r>
          </w:p>
        </w:tc>
        <w:tc>
          <w:tcPr>
            <w:tcW w:w="1980" w:type="dxa"/>
            <w:vMerge/>
          </w:tcPr>
          <w:p w14:paraId="51086882" w14:textId="77777777" w:rsidR="00DC569A" w:rsidRPr="006C4311" w:rsidRDefault="00DC569A" w:rsidP="00DC569A">
            <w:pPr>
              <w:jc w:val="both"/>
              <w:rPr>
                <w:bCs/>
                <w:szCs w:val="24"/>
              </w:rPr>
            </w:pPr>
          </w:p>
        </w:tc>
        <w:tc>
          <w:tcPr>
            <w:tcW w:w="6237" w:type="dxa"/>
          </w:tcPr>
          <w:p w14:paraId="47A54F4E" w14:textId="4C7E6705" w:rsidR="00DC569A" w:rsidRPr="00E847F3" w:rsidRDefault="00DC569A" w:rsidP="00DC569A">
            <w:pPr>
              <w:jc w:val="both"/>
              <w:rPr>
                <w:szCs w:val="24"/>
              </w:rPr>
            </w:pPr>
            <w:r w:rsidRPr="00E847F3">
              <w:rPr>
                <w:szCs w:val="24"/>
              </w:rPr>
              <w:t>Dėl Kriterijaus Nr. 3 „Pareiškėjo nuosavo įnašo dydis veiklai įrangai įsigyti ir (arba) atnaujinti“</w:t>
            </w:r>
          </w:p>
          <w:p w14:paraId="5272B1B8" w14:textId="77777777" w:rsidR="00DC569A" w:rsidRPr="00E847F3" w:rsidRDefault="00DC569A" w:rsidP="00DC569A">
            <w:pPr>
              <w:jc w:val="both"/>
              <w:rPr>
                <w:szCs w:val="24"/>
              </w:rPr>
            </w:pPr>
            <w:r w:rsidRPr="00E847F3">
              <w:rPr>
                <w:szCs w:val="24"/>
              </w:rPr>
              <w:t xml:space="preserve">Pakartotinai pabrėžiame, kad nors šis kriterijus tai priemonė skatinti finansinę atsakomybę ir institucijų įsitraukimą į projektų finansavimą, praktikoje jis kelia rimtų abejonių dėl lygiateisio vertinimo ir socialinio teisingumo. </w:t>
            </w:r>
          </w:p>
          <w:p w14:paraId="1518CD18" w14:textId="77777777" w:rsidR="00DC569A" w:rsidRPr="00E847F3" w:rsidRDefault="00DC569A" w:rsidP="00DC569A">
            <w:pPr>
              <w:jc w:val="both"/>
              <w:rPr>
                <w:szCs w:val="24"/>
              </w:rPr>
            </w:pPr>
            <w:r w:rsidRPr="00E847F3">
              <w:rPr>
                <w:szCs w:val="24"/>
              </w:rPr>
              <w:t xml:space="preserve">Vienodo žingsnio balų mažinimas (kas 2 balus) nepriklausomai nuo įnašo skirtumo – kad ir minimalus jis būtų – yra mechaniškas ir neadekvatus skirtumų reikšmei. Pavyzdžiui, 0,1 </w:t>
            </w:r>
            <w:r w:rsidRPr="00E847F3">
              <w:rPr>
                <w:szCs w:val="24"/>
              </w:rPr>
              <w:lastRenderedPageBreak/>
              <w:t>proc. skirtumas tarp pareiškėjų gali lemti 2 balų praradimą, nors reali įtaka projekto vertei yra menka.</w:t>
            </w:r>
          </w:p>
          <w:p w14:paraId="7380BEBF" w14:textId="77777777" w:rsidR="00DC569A" w:rsidRPr="00E847F3" w:rsidRDefault="00DC569A" w:rsidP="00DC569A">
            <w:pPr>
              <w:jc w:val="both"/>
              <w:rPr>
                <w:szCs w:val="24"/>
              </w:rPr>
            </w:pPr>
            <w:r w:rsidRPr="00E847F3">
              <w:rPr>
                <w:szCs w:val="24"/>
              </w:rPr>
              <w:t>Pranašumas automatiškai atiteks didesnėms ir finansiškai stipresnėms mokslo ir studijų institucijoms, kurios tiesiog gali skirti didesnį nuosavą indėlį. Tokios įstaigos dažniausiai vykdo ir aktyvią ūkinę veiklą, turi sukauptų rezervų ar nuolatinių finansavimo šaltinių, todėl joms lengviau atitikti šį kriterijų. Tuo tarpu mažesnės (ar regioninės) institucijos, net ir turinčios stiprų mokslinį potencialą, atsiduria nepalankioje pozicijoje dėl ribotų galimybių skirti reikšmingą finansinį prisidėjimą.</w:t>
            </w:r>
          </w:p>
          <w:p w14:paraId="4A9E3079" w14:textId="2D22ABF6" w:rsidR="00DC569A" w:rsidRPr="00A8776E" w:rsidRDefault="00DC569A" w:rsidP="00DC569A">
            <w:pPr>
              <w:jc w:val="both"/>
              <w:rPr>
                <w:szCs w:val="24"/>
              </w:rPr>
            </w:pPr>
            <w:r w:rsidRPr="00E847F3">
              <w:rPr>
                <w:szCs w:val="24"/>
              </w:rPr>
              <w:t>Toks vertinimo modelis iškreipia konkurenciją – projektai vertinami ne pagal turinį ar mokslinę kokybę, o pagal tai, kieno finansinės galimybės yra didesnės. Tai didina netolygumus tarp institucijų ir neskatina subalansuoto mokslo ir inovacijų sistemos augimo visos šalies mastu.</w:t>
            </w:r>
          </w:p>
        </w:tc>
        <w:tc>
          <w:tcPr>
            <w:tcW w:w="5528" w:type="dxa"/>
          </w:tcPr>
          <w:p w14:paraId="23C69198" w14:textId="77777777" w:rsidR="00DC569A" w:rsidRDefault="00EE4E88" w:rsidP="00DC569A">
            <w:pPr>
              <w:jc w:val="both"/>
              <w:rPr>
                <w:b/>
                <w:bCs/>
              </w:rPr>
            </w:pPr>
            <w:r>
              <w:rPr>
                <w:b/>
                <w:bCs/>
              </w:rPr>
              <w:lastRenderedPageBreak/>
              <w:t>Neatsižvelgta.</w:t>
            </w:r>
          </w:p>
          <w:p w14:paraId="3B88DE0E" w14:textId="36507FB7" w:rsidR="00DF5C22" w:rsidRPr="0050586A" w:rsidRDefault="00361002" w:rsidP="00DC569A">
            <w:pPr>
              <w:jc w:val="both"/>
            </w:pPr>
            <w:r w:rsidRPr="00361002">
              <w:t xml:space="preserve">Ministerijos nuomone, </w:t>
            </w:r>
            <w:r w:rsidR="00F23B9E" w:rsidRPr="0050586A">
              <w:t>t</w:t>
            </w:r>
            <w:r w:rsidR="003D181B" w:rsidRPr="0050586A">
              <w:t>eiginiai</w:t>
            </w:r>
            <w:r w:rsidR="000B3C57" w:rsidRPr="0050586A">
              <w:t xml:space="preserve"> dėl </w:t>
            </w:r>
            <w:r w:rsidR="003E1967" w:rsidRPr="0050586A">
              <w:t xml:space="preserve">keliančių abejones </w:t>
            </w:r>
            <w:r w:rsidRPr="0050586A">
              <w:t xml:space="preserve">lygiateisio vertinimo ir socialinio teisingumo nėra pagrįsti. </w:t>
            </w:r>
          </w:p>
          <w:p w14:paraId="355EA7A4" w14:textId="71411D5C" w:rsidR="00DF5C22" w:rsidRPr="00CA28DB" w:rsidRDefault="67BB1554" w:rsidP="00DF5C22">
            <w:pPr>
              <w:jc w:val="both"/>
            </w:pPr>
            <w:r>
              <w:t>S</w:t>
            </w:r>
            <w:r w:rsidR="1609E855">
              <w:t xml:space="preserve">iūlomas kriterijus parodo pareiškėjo motyvaciją, investicijų poreikio pagrįstumą bei pareiškėjo pasiryžimą ieškoti ir nuosavų institucinių resursų bendrai finansuoti planuojamą mokslo laboratorijų ar kitos mokslo infrastruktūros įrangos įsigijimą ir (arba) </w:t>
            </w:r>
            <w:r w:rsidR="1609E855">
              <w:lastRenderedPageBreak/>
              <w:t xml:space="preserve">atnaujinimą. Tokio kriterijaus nustatymas taip pat yra naudingas tuo atveju, jei pagal kitus atrankos kriterijus į prioritetinę eilę įtrauktų projektų dalis surinktų vienodą prioritetinių balų sumą, o planuojamo skirti finansavimo neužtektų visiems  minimalią privalomą prioritetinių atrankos kriterijų balų sumą surinkusiems projektams. Šiam vertinimo kriterijui </w:t>
            </w:r>
            <w:r w:rsidR="05CC773B">
              <w:t>nėra</w:t>
            </w:r>
            <w:r w:rsidR="002771AB">
              <w:t xml:space="preserve"> </w:t>
            </w:r>
            <w:r w:rsidR="1609E855">
              <w:t>suteikiamas didelis vertinimo svoris</w:t>
            </w:r>
            <w:r w:rsidR="0898A3A3">
              <w:t xml:space="preserve"> (</w:t>
            </w:r>
            <w:r w:rsidR="1609E855">
              <w:t>didžiausias kriterijaus balas – 20 iš 100</w:t>
            </w:r>
            <w:r w:rsidR="078BA880">
              <w:t>)</w:t>
            </w:r>
            <w:r w:rsidR="1609E855">
              <w:t>.</w:t>
            </w:r>
          </w:p>
          <w:p w14:paraId="31B6655A" w14:textId="7B91F07B" w:rsidR="00EE4E88" w:rsidRPr="00CA28DB" w:rsidRDefault="1609E855" w:rsidP="00DF5C22">
            <w:pPr>
              <w:jc w:val="both"/>
              <w:rPr>
                <w:b/>
                <w:bCs/>
              </w:rPr>
            </w:pPr>
            <w:r>
              <w:t>Atkreip</w:t>
            </w:r>
            <w:r w:rsidR="3BE8AEED">
              <w:t>tinas</w:t>
            </w:r>
            <w:r>
              <w:t xml:space="preserve"> dėmes</w:t>
            </w:r>
            <w:r w:rsidR="3A08E827">
              <w:t>ys</w:t>
            </w:r>
            <w:r>
              <w:t xml:space="preserve">, kad Ministerijos siūlomas kriterijus nėra privalomas. Pareiškėjai, įvertinę galimybes </w:t>
            </w:r>
            <w:r w:rsidR="68D1FE98">
              <w:t xml:space="preserve">PFSA nurodytą </w:t>
            </w:r>
            <w:r>
              <w:t>mažiausią prioritetinių atrankos kriterijų balų sumą, kurią turi surinkti planuojamas finansuoti projektas, surinkti pagal kitus prioritetinius atrankos kriterijus, gali pasirinkti neprisidėti prie projekto įgyvendinimo nuosavu įnašu.</w:t>
            </w:r>
          </w:p>
        </w:tc>
      </w:tr>
      <w:tr w:rsidR="00DC569A" w:rsidRPr="006C4311" w14:paraId="6F3512C2" w14:textId="77777777" w:rsidTr="00D50E86">
        <w:tc>
          <w:tcPr>
            <w:tcW w:w="567" w:type="dxa"/>
          </w:tcPr>
          <w:p w14:paraId="763CC1E2" w14:textId="78759694" w:rsidR="00DC569A" w:rsidRDefault="00DC569A" w:rsidP="00DC569A">
            <w:pPr>
              <w:jc w:val="both"/>
              <w:rPr>
                <w:bCs/>
                <w:szCs w:val="24"/>
                <w:lang w:val="en-US"/>
              </w:rPr>
            </w:pPr>
            <w:r>
              <w:rPr>
                <w:bCs/>
                <w:szCs w:val="24"/>
                <w:lang w:val="en-US"/>
              </w:rPr>
              <w:lastRenderedPageBreak/>
              <w:t>9.</w:t>
            </w:r>
          </w:p>
        </w:tc>
        <w:tc>
          <w:tcPr>
            <w:tcW w:w="1980" w:type="dxa"/>
            <w:vMerge/>
          </w:tcPr>
          <w:p w14:paraId="13E6E1C2" w14:textId="77777777" w:rsidR="00DC569A" w:rsidRPr="006C4311" w:rsidRDefault="00DC569A" w:rsidP="00DC569A">
            <w:pPr>
              <w:jc w:val="both"/>
              <w:rPr>
                <w:bCs/>
                <w:szCs w:val="24"/>
              </w:rPr>
            </w:pPr>
          </w:p>
        </w:tc>
        <w:tc>
          <w:tcPr>
            <w:tcW w:w="6237" w:type="dxa"/>
          </w:tcPr>
          <w:p w14:paraId="779065B8" w14:textId="4FE438B3" w:rsidR="00DC569A" w:rsidRPr="007C7F13" w:rsidRDefault="00DC569A" w:rsidP="00DC569A">
            <w:pPr>
              <w:jc w:val="both"/>
              <w:rPr>
                <w:szCs w:val="24"/>
              </w:rPr>
            </w:pPr>
            <w:r w:rsidRPr="007C7F13">
              <w:rPr>
                <w:szCs w:val="24"/>
              </w:rPr>
              <w:t>Dėl Kriterijaus Nr. 4 „Pareiškėjo negautos EK dotacijos pagal konkrečią susietojo projekto paraišką santykis su pareiškėjo mokslo laboratorijos ar kitos mokslo infrastruktūros įrangos įsigijimui ir (arba) atnaujinimui prašoma projektui skirti finansavimo lėšų suma“</w:t>
            </w:r>
          </w:p>
          <w:p w14:paraId="799B294B" w14:textId="77777777" w:rsidR="00DC569A" w:rsidRPr="007C7F13" w:rsidRDefault="00DC569A" w:rsidP="00DC569A">
            <w:pPr>
              <w:jc w:val="both"/>
              <w:rPr>
                <w:szCs w:val="24"/>
              </w:rPr>
            </w:pPr>
          </w:p>
          <w:p w14:paraId="508C205A" w14:textId="77777777" w:rsidR="00DC569A" w:rsidRPr="007C7F13" w:rsidRDefault="00DC569A" w:rsidP="00DC569A">
            <w:pPr>
              <w:jc w:val="both"/>
              <w:rPr>
                <w:szCs w:val="24"/>
              </w:rPr>
            </w:pPr>
            <w:r w:rsidRPr="007C7F13">
              <w:rPr>
                <w:szCs w:val="24"/>
              </w:rPr>
              <w:t>Visų pirma, fiksuotas slenkstis (1,5 santykis) tarp negautos EK dotacijos ir prašomos lėšų sumos yra dirbtinai suabsoliutintas, neatsižvelgiant į paraiškos kontekstą, projekto mastą ar jo pobūdį, t. y. į tai, kokiam Europos horizontas veiksmui buvo teikta paraiška (pvz., MSCA, ERC, EIC Pathfinder, RIA, IA, WIDERA), kokio lygio partnerystė buvo planuojama, koks buvo finansavimo intensyvumas, trukmė, geografinė apimtis ar mokslinis tikslas. Skirtingi kvietimai kelia nevienodus reikalavimus bei sąlygas, todėl vieno finansinio santykio taikymas visiems atvejams neatspindi tikrosios pareiškėjo pastangų ar projekto vertės.</w:t>
            </w:r>
          </w:p>
          <w:p w14:paraId="2AC1EB26" w14:textId="77777777" w:rsidR="00DC569A" w:rsidRPr="007C7F13" w:rsidRDefault="00DC569A" w:rsidP="00DC569A">
            <w:pPr>
              <w:jc w:val="both"/>
              <w:rPr>
                <w:szCs w:val="24"/>
              </w:rPr>
            </w:pPr>
            <w:r w:rsidRPr="007C7F13">
              <w:rPr>
                <w:szCs w:val="24"/>
              </w:rPr>
              <w:t xml:space="preserve">Antra, ekonominis neatitikimas tarp dotacijos dydžio ir nacionalinės paramos poreikio ne visada yra mokslinės  </w:t>
            </w:r>
            <w:r w:rsidRPr="007C7F13">
              <w:rPr>
                <w:szCs w:val="24"/>
              </w:rPr>
              <w:lastRenderedPageBreak/>
              <w:t>paraiškos kokybės atspindys. Įvairių programos „Europos horizontas“ priemonių intensyvumo lygiai skiriasi – kai kur nacionalinis finansavimas reikalingas tik daliai įrangos, kitur – platesniam mokslinių veiklų vystymui. Todėl vien santykio lyginimas ignoruoja šį kontekstą.</w:t>
            </w:r>
          </w:p>
          <w:p w14:paraId="1B6F7D43" w14:textId="6C66CB19" w:rsidR="00DC569A" w:rsidRPr="00A8776E" w:rsidRDefault="00DC569A" w:rsidP="00DC569A">
            <w:pPr>
              <w:jc w:val="both"/>
              <w:rPr>
                <w:szCs w:val="24"/>
              </w:rPr>
            </w:pPr>
            <w:r w:rsidRPr="00885D4C">
              <w:rPr>
                <w:szCs w:val="24"/>
              </w:rPr>
              <w:t>Trečia, dviejų pakopų balų sistema (10 arba 5 balai) yra neproporcingai grubi, kadangi nedidelis skirtumas (pvz., 1,48 vietoje 1,5) lemia reikšmingą 5 balų praradimą. Tokia sistema ne tik neskatina skaidrumo, bet ir kuria motyvaciją „dirbtinai išpūsti“ deklaruojamas negautas sumas, kad būtų pasiektas aukštesnis balas.</w:t>
            </w:r>
          </w:p>
        </w:tc>
        <w:tc>
          <w:tcPr>
            <w:tcW w:w="5528" w:type="dxa"/>
          </w:tcPr>
          <w:p w14:paraId="103EEF88" w14:textId="5F0948FE" w:rsidR="00DC569A" w:rsidRDefault="00A52543" w:rsidP="00DC569A">
            <w:pPr>
              <w:jc w:val="both"/>
              <w:rPr>
                <w:b/>
                <w:bCs/>
              </w:rPr>
            </w:pPr>
            <w:r>
              <w:rPr>
                <w:b/>
                <w:bCs/>
              </w:rPr>
              <w:lastRenderedPageBreak/>
              <w:t>Atsižvelgta</w:t>
            </w:r>
            <w:r w:rsidR="00B51F9D">
              <w:rPr>
                <w:b/>
                <w:bCs/>
              </w:rPr>
              <w:t xml:space="preserve"> iš dalies</w:t>
            </w:r>
            <w:r>
              <w:rPr>
                <w:b/>
                <w:bCs/>
              </w:rPr>
              <w:t xml:space="preserve">. </w:t>
            </w:r>
          </w:p>
          <w:p w14:paraId="6D2882AA" w14:textId="798ADE2E" w:rsidR="00BC60BE" w:rsidRPr="00581193" w:rsidRDefault="00E75930" w:rsidP="00BC60BE">
            <w:pPr>
              <w:jc w:val="both"/>
            </w:pPr>
            <w:r w:rsidRPr="0050586A">
              <w:t>Nepritariame nuomonei, kad negaut</w:t>
            </w:r>
            <w:r w:rsidR="004705F0">
              <w:t>os</w:t>
            </w:r>
            <w:r w:rsidRPr="0050586A">
              <w:t xml:space="preserve"> EK dotacij</w:t>
            </w:r>
            <w:r w:rsidR="004705F0">
              <w:t>os dydis</w:t>
            </w:r>
            <w:r w:rsidRPr="0050586A">
              <w:t xml:space="preserve"> </w:t>
            </w:r>
            <w:r w:rsidR="00FB2720" w:rsidRPr="0050586A">
              <w:t>neparodo, kokia apimtimi planuotos pareiškėjo veiklos ir atsakomybės</w:t>
            </w:r>
            <w:r w:rsidR="004D48FE">
              <w:t xml:space="preserve">, pvz., </w:t>
            </w:r>
            <w:r w:rsidR="0065027F" w:rsidRPr="0065027F">
              <w:t>6937500</w:t>
            </w:r>
            <w:r w:rsidR="0065027F">
              <w:t xml:space="preserve"> eurų ar </w:t>
            </w:r>
            <w:r w:rsidR="00E12DC9">
              <w:t>50100 eurų</w:t>
            </w:r>
            <w:r w:rsidR="00FB65CE">
              <w:t xml:space="preserve">, </w:t>
            </w:r>
            <w:r w:rsidR="00E92040" w:rsidRPr="00E92040">
              <w:t>761750</w:t>
            </w:r>
            <w:r w:rsidR="00E92040">
              <w:t xml:space="preserve"> eurų ar </w:t>
            </w:r>
            <w:r w:rsidR="00DF1C04" w:rsidRPr="00DF1C04">
              <w:t>105250</w:t>
            </w:r>
            <w:r w:rsidR="00DF1C04">
              <w:t xml:space="preserve"> eurų</w:t>
            </w:r>
            <w:r w:rsidR="00964209">
              <w:t>.</w:t>
            </w:r>
            <w:r w:rsidR="00D92E6F">
              <w:t xml:space="preserve"> </w:t>
            </w:r>
            <w:r w:rsidR="00BC60BE">
              <w:t>Laikomės nuomonės, kad nėra teisinga ir sąžininga lygiaverčiai vertinti toki</w:t>
            </w:r>
            <w:r w:rsidR="001D2668">
              <w:t>a</w:t>
            </w:r>
            <w:r w:rsidR="00BC60BE">
              <w:t>s skirting</w:t>
            </w:r>
            <w:r w:rsidR="001D2668">
              <w:t>a</w:t>
            </w:r>
            <w:r w:rsidR="00BC60BE">
              <w:t>s susiet</w:t>
            </w:r>
            <w:r w:rsidR="001D2668">
              <w:t>ųjų</w:t>
            </w:r>
            <w:r w:rsidR="00BC60BE">
              <w:t xml:space="preserve"> projekt</w:t>
            </w:r>
            <w:r w:rsidR="001D2668">
              <w:t>ų paraiškas</w:t>
            </w:r>
            <w:r w:rsidR="00641FC2">
              <w:t>, o k</w:t>
            </w:r>
            <w:r w:rsidR="00BC60BE">
              <w:t>adangi vienas iš svarbiausių Lietuvos sėkmingo dalyvavimo programose ,,Europos horizontas“ ir ,,Euratomas“ požymių yra gauta EK dotacija, jos dydis tiesiogiai koreliuoja ir su susietojo projekto vykdytojo prisiimamomis, planuotomis prisiimti atsakomybėmis vykdyti platesnes veiklas ar papildomai investuoti į infrastruktūrą.</w:t>
            </w:r>
          </w:p>
          <w:p w14:paraId="10B1F37A" w14:textId="6C858B2E" w:rsidR="00A52543" w:rsidRDefault="00E53F2E" w:rsidP="00DC569A">
            <w:pPr>
              <w:jc w:val="both"/>
            </w:pPr>
            <w:r w:rsidRPr="00725D7D">
              <w:t>Pažymime, kad pareiškėjai negalės</w:t>
            </w:r>
            <w:r w:rsidRPr="0050586A">
              <w:t xml:space="preserve"> </w:t>
            </w:r>
            <w:r w:rsidR="00B13776">
              <w:t>nepagrįstai</w:t>
            </w:r>
            <w:r>
              <w:t xml:space="preserve"> </w:t>
            </w:r>
            <w:r w:rsidR="00C7363B" w:rsidRPr="0050586A">
              <w:t>padidinti</w:t>
            </w:r>
            <w:r w:rsidRPr="0050586A">
              <w:t xml:space="preserve"> negautos EK dotacijos</w:t>
            </w:r>
            <w:r w:rsidR="00CB1B10" w:rsidRPr="0050586A">
              <w:t>, išreikštos eurais</w:t>
            </w:r>
            <w:r w:rsidR="00027B3A" w:rsidRPr="0050586A">
              <w:t xml:space="preserve">, sumos, nes ji yra nurodyta </w:t>
            </w:r>
            <w:r w:rsidR="00027B3A" w:rsidRPr="001F52D0">
              <w:t xml:space="preserve">kiekvienoje </w:t>
            </w:r>
            <w:r w:rsidR="5891639C" w:rsidRPr="001F52D0">
              <w:t xml:space="preserve">programos </w:t>
            </w:r>
            <w:r w:rsidR="000E1D84" w:rsidRPr="001F52D0">
              <w:t>„</w:t>
            </w:r>
            <w:r w:rsidR="00027B3A" w:rsidRPr="001F52D0">
              <w:t>Europos horizont</w:t>
            </w:r>
            <w:r w:rsidR="30692270" w:rsidRPr="001F52D0">
              <w:t>as</w:t>
            </w:r>
            <w:r w:rsidR="000E1D84" w:rsidRPr="001F52D0">
              <w:t>“</w:t>
            </w:r>
            <w:r w:rsidR="00E51067" w:rsidRPr="001F52D0">
              <w:t xml:space="preserve"> ar ,,Euratomas“</w:t>
            </w:r>
            <w:r w:rsidR="00027B3A" w:rsidRPr="001F52D0">
              <w:t xml:space="preserve"> </w:t>
            </w:r>
            <w:r w:rsidR="001D260C" w:rsidRPr="001F52D0">
              <w:t>projekto</w:t>
            </w:r>
            <w:r w:rsidR="001D260C">
              <w:t xml:space="preserve"> </w:t>
            </w:r>
            <w:r w:rsidR="00027B3A" w:rsidRPr="0050586A">
              <w:t>paraiškoje.</w:t>
            </w:r>
          </w:p>
          <w:p w14:paraId="2D4D1BB5" w14:textId="77777777" w:rsidR="00975202" w:rsidRDefault="00975202" w:rsidP="00DC569A">
            <w:pPr>
              <w:jc w:val="both"/>
            </w:pPr>
          </w:p>
          <w:p w14:paraId="735286B6" w14:textId="3956966A" w:rsidR="00975202" w:rsidRPr="005922E1" w:rsidRDefault="00CC7534" w:rsidP="00975202">
            <w:r>
              <w:lastRenderedPageBreak/>
              <w:t xml:space="preserve">Atliepiant </w:t>
            </w:r>
            <w:r w:rsidR="00D526AB">
              <w:t>trečiąjį siūlymą ir s</w:t>
            </w:r>
            <w:r w:rsidR="00975202">
              <w:t>iekiant didesn</w:t>
            </w:r>
            <w:r w:rsidR="00607ADC">
              <w:t>io</w:t>
            </w:r>
            <w:r w:rsidR="00975202">
              <w:t xml:space="preserve"> duomenų </w:t>
            </w:r>
            <w:r w:rsidR="00607ADC">
              <w:t>pasiskirstymo pagal šį kriterijų</w:t>
            </w:r>
            <w:r w:rsidR="00756951">
              <w:t xml:space="preserve">, balų vertinimo </w:t>
            </w:r>
            <w:r w:rsidR="003C0B87">
              <w:t xml:space="preserve">skalė </w:t>
            </w:r>
            <w:r w:rsidR="00502F32">
              <w:t>išskaidyta smulkiau</w:t>
            </w:r>
            <w:r w:rsidR="009A31D8">
              <w:t xml:space="preserve">. </w:t>
            </w:r>
            <w:r w:rsidR="00975202">
              <w:t>Vertinama pagal pareiškėjo PĮP pateiktą informaciją apie prašomą projektui skirti finansavimo lėšų sumą ir susietojo projekto paraiškoje suplanuotą pareiškėjo gautiną EK dotaciją:</w:t>
            </w:r>
          </w:p>
          <w:p w14:paraId="657BC3AC" w14:textId="335CEE49" w:rsidR="00975202" w:rsidRPr="00346B6B" w:rsidRDefault="00975202" w:rsidP="00975202">
            <w:pPr>
              <w:jc w:val="both"/>
              <w:rPr>
                <w:szCs w:val="24"/>
              </w:rPr>
            </w:pPr>
            <w:r>
              <w:rPr>
                <w:szCs w:val="24"/>
              </w:rPr>
              <w:t xml:space="preserve">- </w:t>
            </w:r>
            <w:r w:rsidRPr="00346B6B">
              <w:rPr>
                <w:szCs w:val="24"/>
              </w:rPr>
              <w:t xml:space="preserve">jeigu negautos EK dotacijos, išreikštos eurais, santykis su pareiškėjo PĮP nurodoma prašoma projektui skirti finansavimo lėšų suma, išreikšta eurais, yra </w:t>
            </w:r>
            <w:r w:rsidR="0021046F" w:rsidRPr="00346B6B">
              <w:rPr>
                <w:szCs w:val="24"/>
              </w:rPr>
              <w:t>10</w:t>
            </w:r>
            <w:r w:rsidRPr="00346B6B">
              <w:rPr>
                <w:szCs w:val="24"/>
              </w:rPr>
              <w:t>,0</w:t>
            </w:r>
            <w:r w:rsidR="000B766A">
              <w:rPr>
                <w:szCs w:val="24"/>
              </w:rPr>
              <w:t>0</w:t>
            </w:r>
            <w:r w:rsidRPr="00346B6B">
              <w:rPr>
                <w:szCs w:val="24"/>
              </w:rPr>
              <w:t xml:space="preserve"> ir daugiau – 10 balų;</w:t>
            </w:r>
          </w:p>
          <w:p w14:paraId="580E8EA0" w14:textId="0F2E325A" w:rsidR="00975202" w:rsidRPr="00346B6B" w:rsidRDefault="00975202" w:rsidP="00975202">
            <w:pPr>
              <w:jc w:val="both"/>
              <w:rPr>
                <w:szCs w:val="24"/>
              </w:rPr>
            </w:pPr>
            <w:r w:rsidRPr="00346B6B">
              <w:rPr>
                <w:szCs w:val="24"/>
              </w:rPr>
              <w:t xml:space="preserve">- jeigu negautos EK dotacijos, išreikštos eurais, santykis su pareiškėjo PĮP nurodoma prašoma projektui skirti finansavimo lėšų suma, išreikšta eurais, yra nuo </w:t>
            </w:r>
            <w:r w:rsidR="0021046F" w:rsidRPr="00346B6B">
              <w:rPr>
                <w:szCs w:val="24"/>
              </w:rPr>
              <w:t>8</w:t>
            </w:r>
            <w:r w:rsidRPr="00346B6B">
              <w:rPr>
                <w:szCs w:val="24"/>
              </w:rPr>
              <w:t>,0</w:t>
            </w:r>
            <w:r w:rsidR="000B766A">
              <w:rPr>
                <w:szCs w:val="24"/>
              </w:rPr>
              <w:t>0</w:t>
            </w:r>
            <w:r w:rsidRPr="00346B6B">
              <w:rPr>
                <w:szCs w:val="24"/>
              </w:rPr>
              <w:t xml:space="preserve"> iki </w:t>
            </w:r>
            <w:r w:rsidR="0021046F" w:rsidRPr="00346B6B">
              <w:rPr>
                <w:szCs w:val="24"/>
              </w:rPr>
              <w:t>9</w:t>
            </w:r>
            <w:r w:rsidRPr="00346B6B">
              <w:rPr>
                <w:szCs w:val="24"/>
              </w:rPr>
              <w:t>,99 – 8 balai;</w:t>
            </w:r>
          </w:p>
          <w:p w14:paraId="4182749B" w14:textId="7A4E5346" w:rsidR="00975202" w:rsidRPr="00346B6B" w:rsidRDefault="00975202" w:rsidP="00975202">
            <w:pPr>
              <w:jc w:val="both"/>
              <w:rPr>
                <w:szCs w:val="24"/>
              </w:rPr>
            </w:pPr>
            <w:r w:rsidRPr="00346B6B">
              <w:rPr>
                <w:szCs w:val="24"/>
              </w:rPr>
              <w:t xml:space="preserve"> </w:t>
            </w:r>
            <w:r w:rsidR="00D113E6" w:rsidRPr="00346B6B">
              <w:rPr>
                <w:szCs w:val="24"/>
              </w:rPr>
              <w:t>-</w:t>
            </w:r>
            <w:r w:rsidRPr="00346B6B">
              <w:rPr>
                <w:szCs w:val="24"/>
              </w:rPr>
              <w:t xml:space="preserve">jeigu negautos EK dotacijos, išreikštos eurais, santykis su pareiškėjo PĮP nurodoma prašoma projektui skirti finansavimo lėšų suma, išreikšta eurais, yra nuo </w:t>
            </w:r>
            <w:r w:rsidR="0021046F" w:rsidRPr="00346B6B">
              <w:rPr>
                <w:szCs w:val="24"/>
              </w:rPr>
              <w:t>6</w:t>
            </w:r>
            <w:r w:rsidRPr="00346B6B">
              <w:rPr>
                <w:szCs w:val="24"/>
              </w:rPr>
              <w:t>,0</w:t>
            </w:r>
            <w:r w:rsidR="000B766A">
              <w:rPr>
                <w:szCs w:val="24"/>
              </w:rPr>
              <w:t>0</w:t>
            </w:r>
            <w:r w:rsidRPr="00346B6B">
              <w:rPr>
                <w:szCs w:val="24"/>
              </w:rPr>
              <w:t xml:space="preserve"> iki </w:t>
            </w:r>
            <w:r w:rsidR="0021046F" w:rsidRPr="00346B6B">
              <w:rPr>
                <w:szCs w:val="24"/>
              </w:rPr>
              <w:t>7</w:t>
            </w:r>
            <w:r w:rsidRPr="00346B6B">
              <w:rPr>
                <w:szCs w:val="24"/>
              </w:rPr>
              <w:t>,99 – 6 balai;</w:t>
            </w:r>
          </w:p>
          <w:p w14:paraId="44C0280A" w14:textId="23044B8C" w:rsidR="00975202" w:rsidRPr="00346B6B" w:rsidRDefault="00975202" w:rsidP="00975202">
            <w:pPr>
              <w:jc w:val="both"/>
              <w:rPr>
                <w:szCs w:val="24"/>
              </w:rPr>
            </w:pPr>
            <w:r w:rsidRPr="00346B6B">
              <w:rPr>
                <w:szCs w:val="24"/>
              </w:rPr>
              <w:t>- jeigu negautos EK dotacijos, išreikštos eurais, santykis su pareiškėjo PĮP nurodoma prašoma projektui skirti finansavimo lėšų suma, išreikšta eurais, yra nuo</w:t>
            </w:r>
            <w:r w:rsidR="0021046F" w:rsidRPr="00346B6B">
              <w:rPr>
                <w:szCs w:val="24"/>
              </w:rPr>
              <w:t xml:space="preserve"> 3</w:t>
            </w:r>
            <w:r w:rsidR="000B766A">
              <w:rPr>
                <w:szCs w:val="24"/>
              </w:rPr>
              <w:t>,00</w:t>
            </w:r>
            <w:r w:rsidRPr="00346B6B">
              <w:rPr>
                <w:szCs w:val="24"/>
              </w:rPr>
              <w:t xml:space="preserve"> iki </w:t>
            </w:r>
            <w:r w:rsidR="0021046F" w:rsidRPr="00346B6B">
              <w:rPr>
                <w:szCs w:val="24"/>
              </w:rPr>
              <w:t>5,99</w:t>
            </w:r>
            <w:r w:rsidRPr="00346B6B">
              <w:rPr>
                <w:szCs w:val="24"/>
              </w:rPr>
              <w:t xml:space="preserve"> – 4 balai;</w:t>
            </w:r>
          </w:p>
          <w:p w14:paraId="1F252625" w14:textId="76D30E73" w:rsidR="00DC569A" w:rsidRPr="0050586A" w:rsidRDefault="00975202" w:rsidP="00DC569A">
            <w:pPr>
              <w:jc w:val="both"/>
            </w:pPr>
            <w:r w:rsidRPr="00346B6B">
              <w:rPr>
                <w:szCs w:val="24"/>
              </w:rPr>
              <w:t xml:space="preserve">- jeigu negautos EK dotacijos, išreikštos eurais, santykis su pareiškėjo PĮP nurodoma prašoma projektui skirti finansavimo lėšų suma, išreikšta eurais, yra </w:t>
            </w:r>
            <w:r w:rsidR="0021046F" w:rsidRPr="00346B6B">
              <w:rPr>
                <w:szCs w:val="24"/>
              </w:rPr>
              <w:t xml:space="preserve">nuo </w:t>
            </w:r>
            <w:r w:rsidRPr="00346B6B">
              <w:rPr>
                <w:szCs w:val="24"/>
              </w:rPr>
              <w:t>1,0</w:t>
            </w:r>
            <w:r w:rsidR="000B766A">
              <w:rPr>
                <w:szCs w:val="24"/>
              </w:rPr>
              <w:t>0</w:t>
            </w:r>
            <w:r w:rsidRPr="00346B6B">
              <w:rPr>
                <w:szCs w:val="24"/>
              </w:rPr>
              <w:t xml:space="preserve"> </w:t>
            </w:r>
            <w:r w:rsidR="0021046F" w:rsidRPr="00346B6B">
              <w:rPr>
                <w:szCs w:val="24"/>
              </w:rPr>
              <w:t xml:space="preserve">iki  2,99 </w:t>
            </w:r>
            <w:r w:rsidRPr="00346B6B">
              <w:rPr>
                <w:szCs w:val="24"/>
              </w:rPr>
              <w:t>– 2 balai.</w:t>
            </w:r>
          </w:p>
        </w:tc>
      </w:tr>
      <w:tr w:rsidR="00DC569A" w:rsidRPr="006C4311" w14:paraId="79027880" w14:textId="77777777" w:rsidTr="00D50E86">
        <w:tc>
          <w:tcPr>
            <w:tcW w:w="567" w:type="dxa"/>
          </w:tcPr>
          <w:p w14:paraId="48D7E144" w14:textId="7D00231D" w:rsidR="00DC569A" w:rsidRDefault="00DC569A" w:rsidP="00DC569A">
            <w:pPr>
              <w:jc w:val="both"/>
              <w:rPr>
                <w:bCs/>
                <w:szCs w:val="24"/>
                <w:lang w:val="en-US"/>
              </w:rPr>
            </w:pPr>
            <w:r>
              <w:rPr>
                <w:bCs/>
                <w:szCs w:val="24"/>
                <w:lang w:val="en-US"/>
              </w:rPr>
              <w:lastRenderedPageBreak/>
              <w:t>10</w:t>
            </w:r>
          </w:p>
        </w:tc>
        <w:tc>
          <w:tcPr>
            <w:tcW w:w="1980" w:type="dxa"/>
            <w:vMerge/>
          </w:tcPr>
          <w:p w14:paraId="1CE9C73F" w14:textId="77777777" w:rsidR="00DC569A" w:rsidRPr="006C4311" w:rsidRDefault="00DC569A" w:rsidP="00DC569A">
            <w:pPr>
              <w:jc w:val="both"/>
              <w:rPr>
                <w:bCs/>
                <w:szCs w:val="24"/>
              </w:rPr>
            </w:pPr>
          </w:p>
        </w:tc>
        <w:tc>
          <w:tcPr>
            <w:tcW w:w="6237" w:type="dxa"/>
          </w:tcPr>
          <w:p w14:paraId="2097F3E8" w14:textId="77777777" w:rsidR="00DC569A" w:rsidRPr="00DF49D2" w:rsidRDefault="00DC569A" w:rsidP="00DC569A">
            <w:pPr>
              <w:jc w:val="both"/>
              <w:rPr>
                <w:szCs w:val="24"/>
              </w:rPr>
            </w:pPr>
            <w:r w:rsidRPr="00DF49D2">
              <w:rPr>
                <w:szCs w:val="24"/>
              </w:rPr>
              <w:t>Dėl formalaus proceso ir konkurso procedūros imitacijos</w:t>
            </w:r>
          </w:p>
          <w:p w14:paraId="0074D970" w14:textId="77777777" w:rsidR="00DC569A" w:rsidRPr="00DF49D2" w:rsidRDefault="00DC569A" w:rsidP="00DC569A">
            <w:pPr>
              <w:jc w:val="both"/>
              <w:rPr>
                <w:szCs w:val="24"/>
              </w:rPr>
            </w:pPr>
          </w:p>
          <w:p w14:paraId="1DC63C1C" w14:textId="77777777" w:rsidR="00DC569A" w:rsidRPr="00DF49D2" w:rsidRDefault="00DC569A" w:rsidP="00DC569A">
            <w:pPr>
              <w:jc w:val="both"/>
              <w:rPr>
                <w:szCs w:val="24"/>
              </w:rPr>
            </w:pPr>
            <w:r w:rsidRPr="00DF49D2">
              <w:rPr>
                <w:szCs w:val="24"/>
              </w:rPr>
              <w:t>Pagal PFSA 16 veiklos ar poveiklės rodiklių duomenis, numatoma finansuoti apie 67 projektus. Šis skaičius gali nežymiai kisti, jei dalies projektų vertė nesieks maksimalios leistinos ribos, t. y. 300 000 eurų.</w:t>
            </w:r>
          </w:p>
          <w:p w14:paraId="58FCCE45" w14:textId="77777777" w:rsidR="00DC569A" w:rsidRPr="00DF49D2" w:rsidRDefault="00DC569A" w:rsidP="00DC569A">
            <w:pPr>
              <w:jc w:val="both"/>
              <w:rPr>
                <w:szCs w:val="24"/>
              </w:rPr>
            </w:pPr>
            <w:r w:rsidRPr="00DF49D2">
              <w:rPr>
                <w:szCs w:val="24"/>
              </w:rPr>
              <w:t xml:space="preserve">Atsižvelgiant į FTMC turimą statistiką, oficialiai paskelbtus „Europos horizontas“ programos kvietimų dalyvavimo ir </w:t>
            </w:r>
            <w:r w:rsidRPr="00DF49D2">
              <w:rPr>
                <w:szCs w:val="24"/>
              </w:rPr>
              <w:lastRenderedPageBreak/>
              <w:t>sėkmės rodiklius bei konsultacijas su kitų mokslo ir studijų institucijų atstovais, galima pagrįstai prognozuoti, kad PFSA 16 sąlygas – t. y. būti susietojo projekto paraiškos koordinatoriumi – atitiks apie 45–50 MSI paraiškų, o partnerio vaidmenį deklaruos dar apie 250 paraiškų.</w:t>
            </w:r>
          </w:p>
          <w:p w14:paraId="75821913" w14:textId="275B1DEB" w:rsidR="00DC569A" w:rsidRPr="00DF49D2" w:rsidRDefault="00DC569A" w:rsidP="00DC569A">
            <w:pPr>
              <w:jc w:val="both"/>
              <w:rPr>
                <w:szCs w:val="24"/>
              </w:rPr>
            </w:pPr>
            <w:r w:rsidRPr="00DF49D2">
              <w:rPr>
                <w:szCs w:val="24"/>
              </w:rPr>
              <w:t>Tai reiškia, kad iš planuojamų finansuoti 67 projektų, jau a priori atrinktos 45–50 paraiškų, kurioms koordinatoriaus statusas pagal pirmąjį vertinimo kriterijų suteiks maksimalų balų skaičių (40 arba 20 balų). Likusios 17–22 finansuojamos vietos lieka paskesniajai konkurencijai tarp maždaug 250 paraiškų, kuriose mokslo ir studijų institucijų paraiškos yra partnerio vaidmenyje.</w:t>
            </w:r>
          </w:p>
          <w:p w14:paraId="1B08D48F" w14:textId="77777777" w:rsidR="00DC569A" w:rsidRPr="00DF49D2" w:rsidRDefault="00DC569A" w:rsidP="00DC569A">
            <w:pPr>
              <w:jc w:val="both"/>
              <w:rPr>
                <w:szCs w:val="24"/>
              </w:rPr>
            </w:pPr>
            <w:r w:rsidRPr="00DF49D2">
              <w:rPr>
                <w:szCs w:val="24"/>
              </w:rPr>
              <w:t xml:space="preserve">Tokiu atveju preliminarus sėkmės rodiklis partnerio paraiškoms sudarytų vos 6,8–8,8 proc., o tai reiškia, kad virš 90 proc. paraiškų negaus finansavimo nepaisant įdėtų žmogiškųjų, finansinių ir administracinių resursų. </w:t>
            </w:r>
          </w:p>
          <w:p w14:paraId="3CCF1FBB" w14:textId="77777777" w:rsidR="00DC569A" w:rsidRPr="00DF49D2" w:rsidRDefault="00DC569A" w:rsidP="00DC569A">
            <w:pPr>
              <w:jc w:val="both"/>
              <w:rPr>
                <w:szCs w:val="24"/>
              </w:rPr>
            </w:pPr>
            <w:r w:rsidRPr="00DF49D2">
              <w:rPr>
                <w:szCs w:val="24"/>
              </w:rPr>
              <w:t>Atsižvelgiant į numatomą itin žemą sėkmės rodiklį, kyla rimtų abejonių dėl tokio ,,konkurso“ efektyvumo. Mokslo ir studijų institucijų mokslininkai intensyviai dirbs ruošdami paraiškas: bendraus su tiekėjais, siekdami gauti komercinius pasiūlymus įrangai pagal kvietimo reikalavimus, koordinuos techninę informaciją bei derins dokumentaciją. Lygiagrečiai įsitrauks mokslo ir studijų institucijų administracijos darbuotojai, rengsiantys bei teiksiantys PĮP, bei CPVA darbuotojai, vykdysiantys išsamias administracines maždaug 250 PĮP patikras.</w:t>
            </w:r>
          </w:p>
          <w:p w14:paraId="71012218" w14:textId="77777777" w:rsidR="00DC569A" w:rsidRPr="00DF49D2" w:rsidRDefault="00DC569A" w:rsidP="00DC569A">
            <w:pPr>
              <w:jc w:val="both"/>
              <w:rPr>
                <w:szCs w:val="24"/>
              </w:rPr>
            </w:pPr>
            <w:r w:rsidRPr="00DF49D2">
              <w:rPr>
                <w:szCs w:val="24"/>
              </w:rPr>
              <w:t xml:space="preserve">Visa tai pareikalaus didelių laiko, žmogiškųjų ir finansinių išteklių, nors reali galimybė gauti finansavimą – itin menka. Tokiomis sąlygomis konkursas tampa ne tik neefektyvus, bet ir neadekvatus viešųjų resursų požiūriu, o valstybės biudžeto lėšos bus naudojamos neracionaliai, nes didžioji dalis įdėtų pastangų bus nukreipta į paraiškas, kurios neturi realių galimybių būti finansuotos. </w:t>
            </w:r>
          </w:p>
          <w:p w14:paraId="5385F8C4" w14:textId="77777777" w:rsidR="00DC569A" w:rsidRPr="00DF49D2" w:rsidRDefault="00DC569A" w:rsidP="00DC569A">
            <w:pPr>
              <w:jc w:val="both"/>
              <w:rPr>
                <w:szCs w:val="24"/>
              </w:rPr>
            </w:pPr>
            <w:r w:rsidRPr="00DF49D2">
              <w:rPr>
                <w:szCs w:val="24"/>
              </w:rPr>
              <w:t>Tokia sistema ne tik mažina motyvaciją dalyvauti, bet ir kelia klausimų dėl tvaraus bei pagrįsto valstybės lėšų planavimo.</w:t>
            </w:r>
          </w:p>
          <w:p w14:paraId="55A54F65" w14:textId="77777777" w:rsidR="00DC569A" w:rsidRPr="00DF49D2" w:rsidRDefault="00DC569A" w:rsidP="00DC569A">
            <w:pPr>
              <w:jc w:val="both"/>
              <w:rPr>
                <w:szCs w:val="24"/>
              </w:rPr>
            </w:pPr>
            <w:r w:rsidRPr="00DF49D2">
              <w:rPr>
                <w:szCs w:val="24"/>
              </w:rPr>
              <w:lastRenderedPageBreak/>
              <w:t>Atkreipiame dėmesį, kad 2025 m. liepos 9 d. vykusio PFSA 16 pristatymo metu (TEAMS platformoje) buvo prašoma ŠMSM pateikti oficialią statistiką, kuri leistų tinkamai įsivertinti planuojamų finansuoti projektų pasiskirstymą pagal koordinatoriaus ir partnerio vaidmenis, numatomą paraiškų skaičių, kas leistų įsivertinti  galimą sėkmės tikimybės santykį, siekiant išvengti perteklinių administracinių sąnaudų ir užtikrinti racionalų valstybės biudžeto lėšų panaudojimą. Tačiau ŠMSM atstovų atsakymas buvo nekonkretus ir dviprasmiškas, leidžiantis daryti prielaidą, kad visa informacija ir statistika yra žinoma.</w:t>
            </w:r>
          </w:p>
          <w:p w14:paraId="41E3A783" w14:textId="104D1E69" w:rsidR="00DC569A" w:rsidRPr="00DF49D2" w:rsidRDefault="00DC569A" w:rsidP="00DC569A">
            <w:pPr>
              <w:jc w:val="both"/>
              <w:rPr>
                <w:szCs w:val="24"/>
              </w:rPr>
            </w:pPr>
            <w:r w:rsidRPr="00DF49D2">
              <w:rPr>
                <w:szCs w:val="24"/>
              </w:rPr>
              <w:t>Konstatuotina, kad ŠMSM turi visą reikalingą informaciją, įgalinančią objektyvų situacijos vertinimą – ne tik apie tai, kiek paraiškų buvo teikta koordinatoriaus ar partnerio vaidmenyje, bet ir apie kiekvienos paraiškos tematiką, vertinimo rezultatą, gautus ekspertinius balus.</w:t>
            </w:r>
            <w:r>
              <w:rPr>
                <w:szCs w:val="24"/>
              </w:rPr>
              <w:t xml:space="preserve"> </w:t>
            </w:r>
            <w:r w:rsidRPr="00DF49D2">
              <w:rPr>
                <w:szCs w:val="24"/>
              </w:rPr>
              <w:t xml:space="preserve">Taip pat ŠMSM disponuoja duomenimis apie kiekvienos mokslo ir studijų institucijos prašytas finansavimo sumas, todėl turi visas galimybes atlikti sisteminę analizę. </w:t>
            </w:r>
          </w:p>
          <w:p w14:paraId="559E33EA" w14:textId="77777777" w:rsidR="00DC569A" w:rsidRPr="00DF49D2" w:rsidRDefault="00DC569A" w:rsidP="00DC569A">
            <w:pPr>
              <w:jc w:val="both"/>
              <w:rPr>
                <w:szCs w:val="24"/>
              </w:rPr>
            </w:pPr>
            <w:r w:rsidRPr="00DF49D2">
              <w:rPr>
                <w:szCs w:val="24"/>
              </w:rPr>
              <w:t xml:space="preserve">Be to, tokia analizė galėjo (ir turėjo) būti pateikta dar prieš rengiant PFSA, siekiant užtikrinti skaidresnį, labiau duomenimis grįstą planavimą bei pagrįstų lūkesčių formavimą mokslo bendruomenėje. </w:t>
            </w:r>
          </w:p>
          <w:p w14:paraId="4F8D71AF" w14:textId="313A845B" w:rsidR="00DC569A" w:rsidRPr="00A8776E" w:rsidRDefault="00DC569A" w:rsidP="00DC569A">
            <w:pPr>
              <w:jc w:val="both"/>
              <w:rPr>
                <w:szCs w:val="24"/>
              </w:rPr>
            </w:pPr>
            <w:r w:rsidRPr="00DF49D2">
              <w:rPr>
                <w:szCs w:val="24"/>
              </w:rPr>
              <w:t>Esant tokiam iš anksto nulemtam vertinimo modeliui, nes PFSA 16 suformuoti vertinimo kriterijai iš esmės prilygsta reitingavimui, o ne konkursiniam projektų vertinimui, planuojamas ,,konkursas“ tampa formalia procedūra, kurios, teoriškai, būtų galima apskritai atsisakyti – vietoje to tiesiogiai sudarant tinkamų pareiškėjų eilę pagal taikomą vertinimo lentelę. Tai leistų taupyti valstybės biudžeto lėšas, tokiu būdu būtų išvengta perteklinių procedūrų ir imituojamos konkurencijos, kuri neatitinka tikrojo konkursinio projektų vertinimo esmės.</w:t>
            </w:r>
          </w:p>
        </w:tc>
        <w:tc>
          <w:tcPr>
            <w:tcW w:w="5528" w:type="dxa"/>
          </w:tcPr>
          <w:p w14:paraId="6200A371" w14:textId="77777777" w:rsidR="00773BA1" w:rsidRDefault="0948C978" w:rsidP="2ED31983">
            <w:pPr>
              <w:jc w:val="both"/>
              <w:rPr>
                <w:b/>
                <w:bCs/>
              </w:rPr>
            </w:pPr>
            <w:r w:rsidRPr="0050586A">
              <w:rPr>
                <w:b/>
                <w:bCs/>
              </w:rPr>
              <w:lastRenderedPageBreak/>
              <w:t>Neatsižvelgta.</w:t>
            </w:r>
          </w:p>
          <w:p w14:paraId="6BAA8830" w14:textId="047F42DB" w:rsidR="004F173F" w:rsidRDefault="41343DDD" w:rsidP="00DC569A">
            <w:pPr>
              <w:jc w:val="both"/>
            </w:pPr>
            <w:r w:rsidRPr="0050586A">
              <w:t xml:space="preserve">Ministerija siekia įgyvendinti su EK suderintą </w:t>
            </w:r>
            <w:r w:rsidR="745413D1" w:rsidRPr="2ED31983">
              <w:rPr>
                <w:szCs w:val="24"/>
              </w:rPr>
              <w:t xml:space="preserve"> Ekonomikos gaivinimo ir atsparumo didinimo plano „Naujos kartos Lietuva“, priimto 2021 m. liepos 28 d. Europos Sąjungos Tarybos įgyvendinimo sprendimu Nr. CM 4171/21 dėl Lietuvos ekonomikos gaivinimo ir atsparumo didinimo plano patvirtinimo</w:t>
            </w:r>
            <w:r w:rsidR="0DB6888D" w:rsidRPr="2ED31983">
              <w:rPr>
                <w:szCs w:val="24"/>
              </w:rPr>
              <w:t xml:space="preserve"> (toliau – NKL planas)</w:t>
            </w:r>
            <w:r w:rsidR="745413D1" w:rsidRPr="2ED31983">
              <w:rPr>
                <w:szCs w:val="24"/>
              </w:rPr>
              <w:t>,</w:t>
            </w:r>
            <w:r w:rsidRPr="0050586A">
              <w:t xml:space="preserve"> </w:t>
            </w:r>
            <w:r w:rsidR="2CEC2246">
              <w:t>pa</w:t>
            </w:r>
            <w:r w:rsidRPr="0050586A">
              <w:t xml:space="preserve">keitimą, o </w:t>
            </w:r>
            <w:r w:rsidR="7D2112F2">
              <w:t xml:space="preserve">tam </w:t>
            </w:r>
            <w:r w:rsidRPr="0050586A">
              <w:t xml:space="preserve">turint itin trumpą </w:t>
            </w:r>
            <w:r w:rsidR="670FE1E7" w:rsidRPr="0050586A">
              <w:lastRenderedPageBreak/>
              <w:t xml:space="preserve">įgyvendinimo </w:t>
            </w:r>
            <w:r w:rsidRPr="0050586A">
              <w:t xml:space="preserve">terminą </w:t>
            </w:r>
            <w:r w:rsidR="670FE1E7" w:rsidRPr="0050586A">
              <w:t xml:space="preserve">atsisakyta </w:t>
            </w:r>
            <w:r w:rsidR="15469AA1" w:rsidRPr="0050586A">
              <w:t xml:space="preserve">projektų ekspertinio </w:t>
            </w:r>
            <w:r w:rsidR="73A8426F">
              <w:t xml:space="preserve">naudos ir </w:t>
            </w:r>
            <w:r w:rsidR="15469AA1" w:rsidRPr="0050586A">
              <w:t>kokybės vertinimo, k</w:t>
            </w:r>
            <w:r w:rsidR="68E8B6F9">
              <w:t>uris</w:t>
            </w:r>
            <w:r w:rsidR="15469AA1" w:rsidRPr="0050586A">
              <w:t xml:space="preserve"> PĮP vertinimo procesą dar pratęstų apie 30</w:t>
            </w:r>
            <w:r w:rsidR="00D526AB">
              <w:t>-40</w:t>
            </w:r>
            <w:r w:rsidR="15469AA1" w:rsidRPr="0050586A">
              <w:t xml:space="preserve"> d.</w:t>
            </w:r>
            <w:r w:rsidR="73F03B41">
              <w:t xml:space="preserve"> </w:t>
            </w:r>
            <w:r w:rsidR="15469AA1" w:rsidRPr="0050586A">
              <w:t>d.</w:t>
            </w:r>
          </w:p>
          <w:p w14:paraId="400C31AD" w14:textId="21348661" w:rsidR="00C34E1E" w:rsidRDefault="73F03B41" w:rsidP="00DC569A">
            <w:pPr>
              <w:jc w:val="both"/>
            </w:pPr>
            <w:r>
              <w:t>Kiekviena MSI turi teis</w:t>
            </w:r>
            <w:r w:rsidR="3ED9EAB3">
              <w:t>ę</w:t>
            </w:r>
            <w:r>
              <w:t xml:space="preserve"> apsispręsti, kiek ir </w:t>
            </w:r>
            <w:r w:rsidR="63C6B10F">
              <w:t xml:space="preserve">kokių PĮP, skirtų laboratorinei įrangai atnaujinti, planuoja </w:t>
            </w:r>
            <w:r w:rsidR="3ED9EAB3">
              <w:t>pa</w:t>
            </w:r>
            <w:r w:rsidR="63C6B10F">
              <w:t>teikti</w:t>
            </w:r>
            <w:r w:rsidR="3ED9EAB3">
              <w:t xml:space="preserve"> </w:t>
            </w:r>
            <w:r w:rsidR="092487FD">
              <w:t>kvietimo teikti PĮP metu</w:t>
            </w:r>
            <w:r w:rsidR="4D66AF21">
              <w:t xml:space="preserve">. </w:t>
            </w:r>
          </w:p>
          <w:p w14:paraId="45151808" w14:textId="2FE29681" w:rsidR="00DC569A" w:rsidRPr="0050586A" w:rsidRDefault="3ED9EAB3" w:rsidP="00DC569A">
            <w:pPr>
              <w:jc w:val="both"/>
            </w:pPr>
            <w:r>
              <w:t>M</w:t>
            </w:r>
            <w:r w:rsidR="4D66AF21">
              <w:t xml:space="preserve">inisterija </w:t>
            </w:r>
            <w:r w:rsidR="6D3FB28C">
              <w:t xml:space="preserve">dėl konkurencijos tarp pareiškėjų </w:t>
            </w:r>
            <w:r w:rsidR="4D66AF21">
              <w:t xml:space="preserve">yra įpareigota </w:t>
            </w:r>
            <w:r w:rsidR="228744DE">
              <w:t>projektų atranką atlikti konkurso būdu</w:t>
            </w:r>
            <w:r w:rsidR="002944ED">
              <w:t>, o</w:t>
            </w:r>
            <w:r w:rsidR="3A9C4888">
              <w:t xml:space="preserve"> konkursuose</w:t>
            </w:r>
            <w:r w:rsidR="38046685">
              <w:t xml:space="preserve"> dažna praktika ir būna, kad tik dalis projektų yra finansuojama.</w:t>
            </w:r>
            <w:r w:rsidR="3A9C4888">
              <w:t xml:space="preserve"> </w:t>
            </w:r>
          </w:p>
          <w:p w14:paraId="004F3074" w14:textId="4CEADD6D" w:rsidR="00A63B0E" w:rsidRPr="00CA28DB" w:rsidRDefault="0541A7F6" w:rsidP="00DC569A">
            <w:pPr>
              <w:jc w:val="both"/>
              <w:rPr>
                <w:b/>
                <w:bCs/>
              </w:rPr>
            </w:pPr>
            <w:r>
              <w:t>Valstybinio mokslinių tyrimų instituto Fizinių ir technologijos mokslų centro</w:t>
            </w:r>
            <w:r w:rsidR="00B032E7">
              <w:t xml:space="preserve"> </w:t>
            </w:r>
            <w:r w:rsidR="38046685">
              <w:t>r</w:t>
            </w:r>
            <w:r w:rsidR="15469AA1" w:rsidRPr="0050586A">
              <w:t>eikalavimas paskelbti</w:t>
            </w:r>
            <w:r w:rsidR="547FE9F5" w:rsidRPr="0050586A">
              <w:t xml:space="preserve"> viešai </w:t>
            </w:r>
            <w:r w:rsidR="3AF11FD6">
              <w:t xml:space="preserve">EK </w:t>
            </w:r>
            <w:r w:rsidR="547FE9F5" w:rsidRPr="0050586A">
              <w:t>e-</w:t>
            </w:r>
            <w:r w:rsidR="00D56B1C">
              <w:t>C</w:t>
            </w:r>
            <w:r w:rsidR="547FE9F5" w:rsidRPr="0050586A">
              <w:t xml:space="preserve">orda </w:t>
            </w:r>
            <w:r w:rsidR="0DEF17AA">
              <w:t xml:space="preserve">sistemos </w:t>
            </w:r>
            <w:r w:rsidR="547FE9F5" w:rsidRPr="0050586A">
              <w:t xml:space="preserve">duomenis </w:t>
            </w:r>
            <w:r w:rsidR="00627C36">
              <w:t>būtų</w:t>
            </w:r>
            <w:r w:rsidR="547FE9F5" w:rsidRPr="0050586A">
              <w:t xml:space="preserve"> neteisėtas</w:t>
            </w:r>
            <w:r w:rsidR="00F80789">
              <w:t xml:space="preserve"> pagal šalies įsipareigojimus EK</w:t>
            </w:r>
            <w:r w:rsidR="547FE9F5">
              <w:t xml:space="preserve"> </w:t>
            </w:r>
            <w:r w:rsidR="547FE9F5" w:rsidRPr="0050586A">
              <w:t xml:space="preserve">ir nebus vykdomas, </w:t>
            </w:r>
            <w:r w:rsidR="37A5A3C1" w:rsidRPr="0050586A">
              <w:t xml:space="preserve">kaip ir </w:t>
            </w:r>
            <w:r w:rsidR="7B6ED2AE">
              <w:t xml:space="preserve">reikalavimas </w:t>
            </w:r>
            <w:r w:rsidR="37A5A3C1" w:rsidRPr="0050586A">
              <w:t>d</w:t>
            </w:r>
            <w:r w:rsidR="547FE9F5" w:rsidRPr="0050586A">
              <w:t xml:space="preserve">irbtinai sudaryti </w:t>
            </w:r>
            <w:r w:rsidR="3DB39C4F">
              <w:t xml:space="preserve">sėkmingų </w:t>
            </w:r>
            <w:r w:rsidR="37A5A3C1" w:rsidRPr="0050586A">
              <w:t xml:space="preserve">PĮP </w:t>
            </w:r>
            <w:r w:rsidR="73F03B41" w:rsidRPr="0050586A">
              <w:t>sąrašą.</w:t>
            </w:r>
            <w:r w:rsidR="15469AA1" w:rsidRPr="2ED31983">
              <w:rPr>
                <w:b/>
                <w:bCs/>
              </w:rPr>
              <w:t xml:space="preserve"> </w:t>
            </w:r>
          </w:p>
        </w:tc>
      </w:tr>
      <w:tr w:rsidR="00DC569A" w:rsidRPr="006C4311" w14:paraId="01E068AF" w14:textId="77777777" w:rsidTr="00D50E86">
        <w:tc>
          <w:tcPr>
            <w:tcW w:w="567" w:type="dxa"/>
          </w:tcPr>
          <w:p w14:paraId="1B1CD4D4" w14:textId="05B64010" w:rsidR="00DC569A" w:rsidRDefault="00DC569A" w:rsidP="00DC569A">
            <w:pPr>
              <w:jc w:val="both"/>
              <w:rPr>
                <w:bCs/>
                <w:szCs w:val="24"/>
                <w:lang w:val="en-US"/>
              </w:rPr>
            </w:pPr>
            <w:r>
              <w:rPr>
                <w:bCs/>
                <w:szCs w:val="24"/>
                <w:lang w:val="en-US"/>
              </w:rPr>
              <w:lastRenderedPageBreak/>
              <w:t>11.</w:t>
            </w:r>
          </w:p>
        </w:tc>
        <w:tc>
          <w:tcPr>
            <w:tcW w:w="1980" w:type="dxa"/>
            <w:vMerge/>
          </w:tcPr>
          <w:p w14:paraId="3C1D87CE" w14:textId="77777777" w:rsidR="00DC569A" w:rsidRPr="006C4311" w:rsidRDefault="00DC569A" w:rsidP="00DC569A">
            <w:pPr>
              <w:jc w:val="both"/>
              <w:rPr>
                <w:bCs/>
                <w:szCs w:val="24"/>
              </w:rPr>
            </w:pPr>
          </w:p>
        </w:tc>
        <w:tc>
          <w:tcPr>
            <w:tcW w:w="6237" w:type="dxa"/>
          </w:tcPr>
          <w:p w14:paraId="53EFCBEB" w14:textId="35FCE34C" w:rsidR="00DC569A" w:rsidRPr="00A8776E" w:rsidRDefault="00DC569A" w:rsidP="00DC569A">
            <w:pPr>
              <w:jc w:val="both"/>
              <w:rPr>
                <w:szCs w:val="24"/>
              </w:rPr>
            </w:pPr>
            <w:r w:rsidRPr="004B0371">
              <w:rPr>
                <w:szCs w:val="24"/>
              </w:rPr>
              <w:t xml:space="preserve">Atsižvelgiant į išdėstytas aplinkybes, dar kartą primygtinai raginame ŠMSM iš esmės peržiūrėti PFSA 16 kvietimo logiką </w:t>
            </w:r>
            <w:r w:rsidRPr="004B0371">
              <w:rPr>
                <w:szCs w:val="24"/>
              </w:rPr>
              <w:lastRenderedPageBreak/>
              <w:t>– įskaitant jo turinį, vertinimo kriterijus bei jų struktūrą, proporcingumo ir taikymo principus. Tik sisteminė peržiūra gali užtikrinti, kad kvietimas, skirtas mokslo ir studijų institucijų laboratorijų ir infrastruktūros atnaujinimui, atlieptų tikruosius poreikius, skatintų kokybišką konkurenciją, efektyvų biudžeto panaudojimą ir būtų grindžiamas aiškiais, skaidriais bei vienodai taikomais (o ne iš anksto nulemtais) principais visoms mokslo ir studijų institucijoms.</w:t>
            </w:r>
          </w:p>
        </w:tc>
        <w:tc>
          <w:tcPr>
            <w:tcW w:w="5528" w:type="dxa"/>
          </w:tcPr>
          <w:p w14:paraId="762A38FE" w14:textId="77777777" w:rsidR="00DC569A" w:rsidRPr="00711E3B" w:rsidRDefault="00BE540F" w:rsidP="00DC569A">
            <w:pPr>
              <w:jc w:val="both"/>
              <w:rPr>
                <w:b/>
                <w:bCs/>
              </w:rPr>
            </w:pPr>
            <w:r w:rsidRPr="00711E3B">
              <w:rPr>
                <w:b/>
                <w:bCs/>
              </w:rPr>
              <w:lastRenderedPageBreak/>
              <w:t>Atsižvelgta.</w:t>
            </w:r>
          </w:p>
          <w:p w14:paraId="316EC74B" w14:textId="01C0817B" w:rsidR="00BE540F" w:rsidRPr="00CA28DB" w:rsidRDefault="19D0A595" w:rsidP="00DC569A">
            <w:pPr>
              <w:jc w:val="both"/>
              <w:rPr>
                <w:b/>
                <w:bCs/>
              </w:rPr>
            </w:pPr>
            <w:r w:rsidRPr="0050586A">
              <w:lastRenderedPageBreak/>
              <w:t>Į</w:t>
            </w:r>
            <w:r w:rsidRPr="00DD42EE">
              <w:t xml:space="preserve"> </w:t>
            </w:r>
            <w:r w:rsidR="00D32C8D">
              <w:t xml:space="preserve">pagrįstas </w:t>
            </w:r>
            <w:r w:rsidR="07494069" w:rsidRPr="0050586A">
              <w:t>MSI pastabas</w:t>
            </w:r>
            <w:r w:rsidR="07494069">
              <w:t xml:space="preserve"> </w:t>
            </w:r>
            <w:r w:rsidR="006D22E3">
              <w:t>M</w:t>
            </w:r>
            <w:r w:rsidR="07494069" w:rsidRPr="0050586A">
              <w:t>inisterija atsižvelgs</w:t>
            </w:r>
            <w:r w:rsidR="7B6627BE" w:rsidRPr="0050586A">
              <w:t xml:space="preserve"> </w:t>
            </w:r>
            <w:r w:rsidR="167DE7E5">
              <w:t>tikslindama</w:t>
            </w:r>
            <w:r w:rsidR="7B6627BE" w:rsidRPr="0050586A">
              <w:t xml:space="preserve"> PFSA</w:t>
            </w:r>
            <w:r w:rsidR="4C6E8EB4">
              <w:t xml:space="preserve"> projektą</w:t>
            </w:r>
            <w:r w:rsidR="07494069" w:rsidRPr="0050586A">
              <w:t xml:space="preserve">. </w:t>
            </w:r>
            <w:r w:rsidR="64676C42">
              <w:t>P</w:t>
            </w:r>
            <w:r w:rsidR="07494069" w:rsidRPr="0050586A">
              <w:t xml:space="preserve">raktika rodo, kad ši priemonė yra </w:t>
            </w:r>
            <w:r w:rsidR="75BE8C01">
              <w:t>labai aktuali</w:t>
            </w:r>
            <w:r w:rsidR="07494069" w:rsidRPr="0050586A">
              <w:t xml:space="preserve"> </w:t>
            </w:r>
            <w:r w:rsidR="179E041E" w:rsidRPr="0050586A">
              <w:t xml:space="preserve">MSI, todėl yra svarbu išlaikyti veiklos tęstinumą </w:t>
            </w:r>
            <w:r w:rsidR="7B6627BE" w:rsidRPr="0050586A">
              <w:t xml:space="preserve">iš </w:t>
            </w:r>
            <w:r w:rsidR="179E041E" w:rsidRPr="0050586A">
              <w:t>nacionalin</w:t>
            </w:r>
            <w:r w:rsidR="7B6627BE" w:rsidRPr="0050586A">
              <w:t>ių</w:t>
            </w:r>
            <w:r w:rsidR="179E041E" w:rsidRPr="0050586A">
              <w:t xml:space="preserve"> lėš</w:t>
            </w:r>
            <w:r w:rsidR="7B6627BE" w:rsidRPr="0050586A">
              <w:t>ų</w:t>
            </w:r>
            <w:r w:rsidR="006D22E3">
              <w:t xml:space="preserve">. </w:t>
            </w:r>
            <w:r w:rsidR="00B5163A">
              <w:t>Ateityje t</w:t>
            </w:r>
            <w:r w:rsidR="2D6DEDCC">
              <w:t>ai</w:t>
            </w:r>
            <w:r w:rsidR="179E041E" w:rsidRPr="0050586A">
              <w:t xml:space="preserve"> </w:t>
            </w:r>
            <w:r w:rsidR="7B6627BE" w:rsidRPr="0050586A">
              <w:t xml:space="preserve">planuoja įgyvendinti </w:t>
            </w:r>
            <w:r w:rsidR="004719B3">
              <w:t>LMT</w:t>
            </w:r>
            <w:r w:rsidR="5BCE79BA" w:rsidRPr="0050586A">
              <w:t xml:space="preserve"> iš institucijai skiriamų asignavimų.</w:t>
            </w:r>
          </w:p>
        </w:tc>
      </w:tr>
      <w:tr w:rsidR="00DC569A" w:rsidRPr="006C4311" w14:paraId="61F161E6" w14:textId="77777777" w:rsidTr="00D50E86">
        <w:tc>
          <w:tcPr>
            <w:tcW w:w="567" w:type="dxa"/>
          </w:tcPr>
          <w:p w14:paraId="6BF41D46" w14:textId="077FDFF1" w:rsidR="00DC569A" w:rsidRPr="00A14141" w:rsidRDefault="00DC569A" w:rsidP="00DC569A">
            <w:pPr>
              <w:jc w:val="both"/>
              <w:rPr>
                <w:bCs/>
                <w:szCs w:val="24"/>
                <w:lang w:val="en-US"/>
              </w:rPr>
            </w:pPr>
            <w:r>
              <w:rPr>
                <w:bCs/>
                <w:szCs w:val="24"/>
                <w:lang w:val="en-US"/>
              </w:rPr>
              <w:lastRenderedPageBreak/>
              <w:t>12.</w:t>
            </w:r>
          </w:p>
        </w:tc>
        <w:tc>
          <w:tcPr>
            <w:tcW w:w="1980" w:type="dxa"/>
            <w:vMerge w:val="restart"/>
          </w:tcPr>
          <w:p w14:paraId="0F13E751" w14:textId="2E85F2C2" w:rsidR="00DC569A" w:rsidRPr="006C4311" w:rsidRDefault="00DC569A" w:rsidP="00DC569A">
            <w:pPr>
              <w:jc w:val="both"/>
              <w:rPr>
                <w:bCs/>
                <w:szCs w:val="24"/>
              </w:rPr>
            </w:pPr>
            <w:r>
              <w:rPr>
                <w:bCs/>
                <w:szCs w:val="24"/>
              </w:rPr>
              <w:t>Vilniaus universitetas</w:t>
            </w:r>
          </w:p>
        </w:tc>
        <w:tc>
          <w:tcPr>
            <w:tcW w:w="6237" w:type="dxa"/>
          </w:tcPr>
          <w:p w14:paraId="67D5106F" w14:textId="77777777" w:rsidR="00DC569A" w:rsidRPr="008B4621" w:rsidRDefault="00DC569A" w:rsidP="00DC569A">
            <w:pPr>
              <w:jc w:val="both"/>
              <w:rPr>
                <w:szCs w:val="24"/>
              </w:rPr>
            </w:pPr>
            <w:r w:rsidRPr="008B4621">
              <w:rPr>
                <w:szCs w:val="24"/>
              </w:rPr>
              <w:t>Dėl informacijos, esančios 2025 m. gegužės 26 d. paskelbtoje Konsultacijų pažymoje, neatitikimo lyginant su PFSA projekte išdėstytais reikalavimais projektams:</w:t>
            </w:r>
          </w:p>
          <w:p w14:paraId="099DBCA9" w14:textId="73E45574" w:rsidR="00DC569A" w:rsidRPr="00A35DDC" w:rsidRDefault="00DC569A" w:rsidP="00DC569A">
            <w:pPr>
              <w:jc w:val="both"/>
              <w:rPr>
                <w:szCs w:val="24"/>
              </w:rPr>
            </w:pPr>
            <w:r w:rsidRPr="008B4621">
              <w:rPr>
                <w:szCs w:val="24"/>
              </w:rPr>
              <w:t xml:space="preserve">Paskelbtame PFSA projekte identifikuojame šį neatitikimą: „Pagal Aprašą remiama veikla – mokslo laboratorijų ar kitos mokslo infrastruktūros įrangos (toliau – įranga), susijusios su Europos Sąjungos (toliau – ES) bendrosios mokslinių tyrimų ir inovacijų programos „Europos horizontas“ (toliau – programa „Europos horizontas“) arba Europos atominės energijos bendrijos mokslinių tyrimų ir mokymo programos, papildančios programą „Europos horizontas“ (toliau – programa „Euratomas“), projekto paraiška (toliau – susietojo projekto paraiška), galutiniame programos ,,Europos horizontas“ ir programos ,,Euratomas“ paraiškų vertinime pripažinta finansuotina (angl. passed the threshold), tačiau negavusia Europos Komisijos (toliau – EK) finansavimo dėl lėšų trūkumo pagal programų „Europos horizontas“ ar „Euratomas“ kvietimus, įsigijimas ir (arba) atnaujinimas (toliau – veikla įrangai įsigyti ir (arba) atnaujinti)“. Derinimui paskelbtų priemonės „Parama laboratorijų įrangai ir MTEP infrastruktūrai atnaujinti“ specialiųjų ir prioritetinių atrankos kriterijų derinimo su socialiniais ir ekonominiais partneriais pažymoje teigiama, kad į Universiteto 2025-05-09 raštu Nr. SRP-1718, Lietuvos agrarinių ir miškų mokslų centro 2025-05-09 raštu Nr. CD-4-498 teiktą pastabą dėl Pažangos priemonės veiklos (poveiklės) pavadinimo atsižvelgta – t. y., į tinkamų finansuoti projektų sąrašą turėjo būti įtraukti ir tie projektai, </w:t>
            </w:r>
            <w:r w:rsidRPr="008B4621">
              <w:rPr>
                <w:szCs w:val="24"/>
              </w:rPr>
              <w:lastRenderedPageBreak/>
              <w:t>kurie siejami su programa „Europos horizontas“ bei programa „Euratomas“, gavę EK finansavimą. Šiuo metu derinimui teikiamame PFSA šios pareiškėjų grupės neliko. Universitetas tvirtai įsitikinęs, kad taip mažinant tinkamų pareiškėjų sąrašą pažeidžiamas teisėtų lūkesčių apsaugos principas – programos „Europos Horizontas“ finansavimą gavę mokslininkai yra baudžiami už finansavimo gavimą, tuo labiau, kad ši opcija buvo numatyta prieš tai skelbtame PFSA. Be to, sėkmingas ir finansuojamas paraiškas parengusių komandų skatinimas teikti daugiau paraiškų pagal kitus kvietimus, tiesiogiai atliepia pagrindinį priemonės tikslą – parengti ir pateikti kuo daugiau ir kuo geresnių programos „Europos horizontas“ paraiškų. Universitetas pakartotinai prašo į tinkamų pareiškėjų sąrašą įtraukti ir EK finansavimą gavusius projektus bei paaiškinti, kodėl Ministerija nesilaikė nuoseklumo tarp atrankos kriterijų derinimo pažymoje pateikiamos informacijos ir PFSA projekto.</w:t>
            </w:r>
          </w:p>
        </w:tc>
        <w:tc>
          <w:tcPr>
            <w:tcW w:w="5528" w:type="dxa"/>
          </w:tcPr>
          <w:p w14:paraId="6D40256C" w14:textId="63AB1E4F" w:rsidR="00DC569A" w:rsidRPr="0050586A" w:rsidRDefault="005479F5" w:rsidP="00DC569A">
            <w:pPr>
              <w:jc w:val="both"/>
            </w:pPr>
            <w:r>
              <w:rPr>
                <w:color w:val="000000" w:themeColor="text1"/>
                <w:szCs w:val="24"/>
                <w:lang w:val="lt"/>
              </w:rPr>
              <w:lastRenderedPageBreak/>
              <w:t xml:space="preserve">Pagal </w:t>
            </w:r>
            <w:r w:rsidR="37E7AF5F" w:rsidRPr="2ED31983">
              <w:rPr>
                <w:color w:val="000000" w:themeColor="text1"/>
                <w:szCs w:val="24"/>
                <w:lang w:val="lt"/>
              </w:rPr>
              <w:t xml:space="preserve">2021–2027 metų Europos Sąjungos fondų investicijų programos ir Ekonomikos gaivinimo ir atsparumo didinimo plano „Naujos kartos Lietuva“ </w:t>
            </w:r>
            <w:r w:rsidR="008F5670" w:rsidRPr="005C16DB">
              <w:rPr>
                <w:color w:val="000000" w:themeColor="text1"/>
                <w:szCs w:val="24"/>
                <w:lang w:val="lt"/>
              </w:rPr>
              <w:t>(toliau – NKL)</w:t>
            </w:r>
            <w:r w:rsidR="008F5670">
              <w:rPr>
                <w:color w:val="000000" w:themeColor="text1"/>
                <w:szCs w:val="24"/>
                <w:lang w:val="lt"/>
              </w:rPr>
              <w:t xml:space="preserve"> </w:t>
            </w:r>
            <w:r w:rsidR="37E7AF5F" w:rsidRPr="2ED31983">
              <w:rPr>
                <w:color w:val="000000" w:themeColor="text1"/>
                <w:szCs w:val="24"/>
                <w:lang w:val="lt"/>
              </w:rPr>
              <w:t>administravimo taisyklių</w:t>
            </w:r>
            <w:r w:rsidR="7A011C1A" w:rsidRPr="0050586A">
              <w:t xml:space="preserve"> </w:t>
            </w:r>
            <w:r w:rsidR="18B620F1">
              <w:t xml:space="preserve">127 </w:t>
            </w:r>
            <w:r w:rsidR="7A011C1A" w:rsidRPr="0050586A">
              <w:t>p</w:t>
            </w:r>
            <w:r w:rsidR="7D0B8546">
              <w:t>unktą</w:t>
            </w:r>
            <w:r w:rsidR="53E1AE1E">
              <w:t>,</w:t>
            </w:r>
            <w:r w:rsidR="4776BA90">
              <w:t xml:space="preserve"> </w:t>
            </w:r>
            <w:r w:rsidR="619A1E43" w:rsidRPr="0050586A">
              <w:t>p</w:t>
            </w:r>
            <w:r w:rsidR="0DB052D6" w:rsidRPr="0050586A">
              <w:t>o derinimo su socialiniais partneriais</w:t>
            </w:r>
            <w:r w:rsidR="6258604A">
              <w:t xml:space="preserve"> projektų atrankos kriterijai </w:t>
            </w:r>
            <w:r w:rsidR="619A1E43" w:rsidRPr="0050586A">
              <w:t xml:space="preserve">buvo derinami su </w:t>
            </w:r>
            <w:r w:rsidR="775E0FF1">
              <w:t>NKL plano</w:t>
            </w:r>
            <w:r w:rsidR="619A1E43" w:rsidRPr="0050586A">
              <w:t xml:space="preserve"> </w:t>
            </w:r>
            <w:r w:rsidR="0DD7B8FA">
              <w:t>vadovaujanči</w:t>
            </w:r>
            <w:r w:rsidR="005F39CB">
              <w:t>ą</w:t>
            </w:r>
            <w:r w:rsidR="0DD7B8FA">
              <w:t>ja</w:t>
            </w:r>
            <w:r w:rsidR="619A1E43" w:rsidRPr="0050586A">
              <w:t xml:space="preserve"> ir administruojančia</w:t>
            </w:r>
            <w:r w:rsidR="5FE0BAA6" w:rsidRPr="0050586A">
              <w:t xml:space="preserve"> institucijomis, kurių nuomone</w:t>
            </w:r>
            <w:r w:rsidR="760712A8" w:rsidRPr="0050586A">
              <w:t xml:space="preserve"> </w:t>
            </w:r>
            <w:r w:rsidR="4C77C7AF" w:rsidRPr="0050586A">
              <w:t xml:space="preserve">projektus pagal </w:t>
            </w:r>
            <w:r w:rsidR="005041D6">
              <w:t>program</w:t>
            </w:r>
            <w:r w:rsidR="006D22E3">
              <w:t>ų</w:t>
            </w:r>
            <w:r w:rsidR="005041D6">
              <w:t xml:space="preserve"> „Europos horizontas“ ir </w:t>
            </w:r>
            <w:r w:rsidR="006D22E3">
              <w:t>„Euratomas“</w:t>
            </w:r>
            <w:r w:rsidR="4C77C7AF" w:rsidRPr="0050586A">
              <w:t xml:space="preserve"> kvietimus įgyvendinančios mokslininkų komandos jau yra paskatintos, gavusios EK finansavimą, jos taip pat turi galimybę </w:t>
            </w:r>
            <w:r w:rsidR="61C0F189" w:rsidRPr="0050586A">
              <w:t>kompensuoti laboratorinės įrangos amortizacines sąnaudas</w:t>
            </w:r>
            <w:r w:rsidR="00F70FDB">
              <w:t>.</w:t>
            </w:r>
            <w:r w:rsidR="61C0F189" w:rsidRPr="0050586A">
              <w:t xml:space="preserve"> </w:t>
            </w:r>
            <w:r w:rsidR="00F70FDB">
              <w:t>T</w:t>
            </w:r>
            <w:r w:rsidR="61C0F189" w:rsidRPr="0050586A">
              <w:t xml:space="preserve">uo tarpu </w:t>
            </w:r>
            <w:r w:rsidR="00880F08" w:rsidRPr="00411C85">
              <w:t>programos</w:t>
            </w:r>
            <w:r w:rsidR="00880F08">
              <w:t xml:space="preserve"> „</w:t>
            </w:r>
            <w:r w:rsidR="61C0F189" w:rsidRPr="0050586A">
              <w:t>Europos horiz</w:t>
            </w:r>
            <w:r w:rsidR="3B2FDC9B" w:rsidRPr="0050586A">
              <w:t>ont</w:t>
            </w:r>
            <w:r w:rsidR="00880F08">
              <w:t>as“</w:t>
            </w:r>
            <w:r w:rsidR="3B2FDC9B" w:rsidRPr="0050586A">
              <w:t xml:space="preserve"> akceleravimo tikslas </w:t>
            </w:r>
            <w:r w:rsidR="002402C1" w:rsidRPr="008B4621">
              <w:rPr>
                <w:szCs w:val="24"/>
              </w:rPr>
              <w:t>–</w:t>
            </w:r>
            <w:r w:rsidR="00F70FDB">
              <w:rPr>
                <w:szCs w:val="24"/>
              </w:rPr>
              <w:t xml:space="preserve"> </w:t>
            </w:r>
            <w:r w:rsidR="618B072C" w:rsidRPr="0050586A">
              <w:t xml:space="preserve">paskatinti rengti labai kokybiškas </w:t>
            </w:r>
            <w:r w:rsidR="19B0F052">
              <w:t>program</w:t>
            </w:r>
            <w:r w:rsidR="000461BA">
              <w:t>ų</w:t>
            </w:r>
            <w:r w:rsidR="19B0F052">
              <w:t xml:space="preserve"> </w:t>
            </w:r>
            <w:r w:rsidR="00F70FDB">
              <w:t>„</w:t>
            </w:r>
            <w:r w:rsidR="19B0F052">
              <w:t>Europos horizontas</w:t>
            </w:r>
            <w:r w:rsidR="00F70FDB">
              <w:t>“</w:t>
            </w:r>
            <w:r w:rsidR="000461BA">
              <w:t xml:space="preserve"> </w:t>
            </w:r>
            <w:r w:rsidR="000461BA" w:rsidRPr="005C16DB">
              <w:t>ir „Euratomas“</w:t>
            </w:r>
            <w:r w:rsidR="4E75A0AE" w:rsidRPr="005C16DB">
              <w:t xml:space="preserve"> </w:t>
            </w:r>
            <w:r w:rsidR="00F70FDB" w:rsidRPr="005C16DB">
              <w:t>projektų</w:t>
            </w:r>
            <w:r w:rsidR="00F70FDB">
              <w:t xml:space="preserve"> </w:t>
            </w:r>
            <w:r w:rsidR="4E75A0AE" w:rsidRPr="0050586A">
              <w:t xml:space="preserve">paraiškas ir paskatinti tas mokslininkų komandas, kurios pagal EK vertinimus </w:t>
            </w:r>
            <w:r w:rsidR="526EF0D3">
              <w:t xml:space="preserve">yra </w:t>
            </w:r>
            <w:r w:rsidR="1DBF813D" w:rsidRPr="0050586A">
              <w:t>gavusios aukštus įvertinimus, tačiau nepakankamus EK finansavimui gauti.</w:t>
            </w:r>
            <w:r w:rsidR="4C77C7AF" w:rsidRPr="0050586A">
              <w:t xml:space="preserve"> </w:t>
            </w:r>
          </w:p>
          <w:p w14:paraId="108C423B" w14:textId="168E7119" w:rsidR="00D055CD" w:rsidRPr="0050586A" w:rsidRDefault="4ED8BB21" w:rsidP="00DC569A">
            <w:pPr>
              <w:jc w:val="both"/>
            </w:pPr>
            <w:r w:rsidRPr="0050586A">
              <w:t>Atkreip</w:t>
            </w:r>
            <w:r w:rsidR="7E8FBC93">
              <w:t>tinas</w:t>
            </w:r>
            <w:r w:rsidRPr="0050586A">
              <w:t xml:space="preserve"> dėmes</w:t>
            </w:r>
            <w:r w:rsidR="39F2FA9B">
              <w:t>ys</w:t>
            </w:r>
            <w:r w:rsidRPr="0050586A">
              <w:t xml:space="preserve">, kad pagal dabartinę </w:t>
            </w:r>
            <w:r w:rsidR="00595BD1">
              <w:t xml:space="preserve">2023-2024 metų </w:t>
            </w:r>
            <w:r w:rsidRPr="0050586A">
              <w:t xml:space="preserve">statistiką </w:t>
            </w:r>
            <w:r w:rsidR="0AB73211">
              <w:t>MSI</w:t>
            </w:r>
            <w:r w:rsidR="299B0745" w:rsidRPr="0050586A">
              <w:t xml:space="preserve"> gali pateikti </w:t>
            </w:r>
            <w:r w:rsidR="0F72B15E" w:rsidRPr="0050586A">
              <w:t xml:space="preserve">virš 250 </w:t>
            </w:r>
            <w:r w:rsidR="0BAC8272">
              <w:t>PĮP</w:t>
            </w:r>
            <w:r w:rsidR="0F72B15E" w:rsidRPr="0050586A">
              <w:t>, kuri</w:t>
            </w:r>
            <w:r w:rsidR="35001D20">
              <w:t>e</w:t>
            </w:r>
            <w:r w:rsidR="0F72B15E" w:rsidRPr="0050586A">
              <w:t xml:space="preserve"> būtų susiet</w:t>
            </w:r>
            <w:r w:rsidR="00860922">
              <w:t>i</w:t>
            </w:r>
            <w:r w:rsidR="0F72B15E" w:rsidRPr="0050586A">
              <w:t xml:space="preserve"> su </w:t>
            </w:r>
            <w:r w:rsidR="00860922">
              <w:t xml:space="preserve">EK finansavimo </w:t>
            </w:r>
            <w:r w:rsidR="00A64CAC">
              <w:t>negavusiomis</w:t>
            </w:r>
            <w:r w:rsidR="0F72B15E" w:rsidRPr="0050586A">
              <w:t xml:space="preserve"> projekt</w:t>
            </w:r>
            <w:r w:rsidR="29003F91">
              <w:t>ų</w:t>
            </w:r>
            <w:r w:rsidR="2767D502">
              <w:t xml:space="preserve"> paraiškomis</w:t>
            </w:r>
            <w:r w:rsidR="0F72B15E" w:rsidRPr="0050586A">
              <w:t xml:space="preserve">. </w:t>
            </w:r>
            <w:r w:rsidR="3C93EC1A" w:rsidRPr="0050586A">
              <w:t>Kadangi prognozuojam</w:t>
            </w:r>
            <w:r w:rsidR="706739DF">
              <w:t>a</w:t>
            </w:r>
            <w:r w:rsidR="3C93EC1A" w:rsidRPr="0050586A">
              <w:t xml:space="preserve">, kad </w:t>
            </w:r>
            <w:r w:rsidR="49EF54A9">
              <w:t xml:space="preserve">Ministerija </w:t>
            </w:r>
            <w:r w:rsidR="3C93EC1A" w:rsidRPr="0050586A">
              <w:t xml:space="preserve">galės finansuoti apie 67 projektus, tai iš tų pateiktų </w:t>
            </w:r>
            <w:r w:rsidR="5FE8C2FB">
              <w:t>PĮP</w:t>
            </w:r>
            <w:r w:rsidR="00F70FDB">
              <w:t xml:space="preserve"> </w:t>
            </w:r>
            <w:r w:rsidR="3C93EC1A" w:rsidRPr="0050586A">
              <w:t xml:space="preserve">finansavimą </w:t>
            </w:r>
            <w:r w:rsidR="11A26DC1" w:rsidRPr="0050586A">
              <w:t>laboratorijo</w:t>
            </w:r>
            <w:r w:rsidR="114ED449">
              <w:t>m</w:t>
            </w:r>
            <w:r w:rsidR="11A26DC1" w:rsidRPr="0050586A">
              <w:t xml:space="preserve">s atnaujinti </w:t>
            </w:r>
            <w:r w:rsidR="3C93EC1A" w:rsidRPr="0050586A">
              <w:t>gautų maždaug kas ketvirta</w:t>
            </w:r>
            <w:r w:rsidR="2077FFE4">
              <w:t>s</w:t>
            </w:r>
            <w:r w:rsidR="3C93EC1A" w:rsidRPr="0050586A">
              <w:t xml:space="preserve"> </w:t>
            </w:r>
            <w:r w:rsidR="6A5FF061">
              <w:t>PĮP</w:t>
            </w:r>
            <w:r w:rsidR="11A26DC1" w:rsidRPr="0050586A">
              <w:t xml:space="preserve">. </w:t>
            </w:r>
          </w:p>
          <w:p w14:paraId="035B55A6" w14:textId="6CFCDB47" w:rsidR="000F7592" w:rsidRPr="00CA28DB" w:rsidRDefault="11A26DC1" w:rsidP="00DC569A">
            <w:pPr>
              <w:jc w:val="both"/>
              <w:rPr>
                <w:b/>
                <w:bCs/>
              </w:rPr>
            </w:pPr>
            <w:r w:rsidRPr="0050586A">
              <w:lastRenderedPageBreak/>
              <w:t xml:space="preserve">Jeigu </w:t>
            </w:r>
            <w:r w:rsidR="0BDD2724">
              <w:t>būtų</w:t>
            </w:r>
            <w:r w:rsidRPr="0050586A">
              <w:t xml:space="preserve"> </w:t>
            </w:r>
            <w:r w:rsidR="538DBEB4">
              <w:t xml:space="preserve">įtraukti </w:t>
            </w:r>
            <w:r w:rsidRPr="0050586A">
              <w:t>ir finansuot</w:t>
            </w:r>
            <w:r w:rsidR="66C4F61C">
              <w:t>i</w:t>
            </w:r>
            <w:r w:rsidRPr="0050586A">
              <w:t xml:space="preserve"> </w:t>
            </w:r>
            <w:r w:rsidR="741BBF2A">
              <w:t>program</w:t>
            </w:r>
            <w:r w:rsidR="00F70FDB">
              <w:t>ų</w:t>
            </w:r>
            <w:r w:rsidR="741BBF2A">
              <w:t xml:space="preserve"> </w:t>
            </w:r>
            <w:r w:rsidR="0035230B">
              <w:t>„</w:t>
            </w:r>
            <w:r w:rsidR="741BBF2A">
              <w:t>Europos horizontas</w:t>
            </w:r>
            <w:r w:rsidR="0035230B">
              <w:t>“</w:t>
            </w:r>
            <w:r w:rsidR="741BBF2A">
              <w:t xml:space="preserve"> </w:t>
            </w:r>
            <w:r w:rsidR="00F70FDB" w:rsidRPr="005C16DB">
              <w:t>ir „Euratomas“</w:t>
            </w:r>
            <w:r w:rsidR="00F70FDB">
              <w:t xml:space="preserve"> </w:t>
            </w:r>
            <w:r w:rsidRPr="0050586A">
              <w:t>projekt</w:t>
            </w:r>
            <w:r w:rsidR="14D7A5ED">
              <w:t>ai</w:t>
            </w:r>
            <w:r w:rsidRPr="0050586A">
              <w:t xml:space="preserve">, tai tokių susietųjų projektų </w:t>
            </w:r>
            <w:r w:rsidR="00F70FDB">
              <w:t xml:space="preserve">ir </w:t>
            </w:r>
            <w:r w:rsidR="000461BA" w:rsidRPr="005C16DB">
              <w:t xml:space="preserve">projektų </w:t>
            </w:r>
            <w:r w:rsidR="00F70FDB" w:rsidRPr="005C16DB">
              <w:t>paraiškų</w:t>
            </w:r>
            <w:r w:rsidR="00F70FDB">
              <w:t xml:space="preserve"> </w:t>
            </w:r>
            <w:r w:rsidRPr="0050586A">
              <w:t>b</w:t>
            </w:r>
            <w:r w:rsidR="1C82ED78">
              <w:t>ūtų</w:t>
            </w:r>
            <w:r w:rsidRPr="0050586A">
              <w:t xml:space="preserve"> virš 400 ir </w:t>
            </w:r>
            <w:r w:rsidR="4DCBD2BB" w:rsidRPr="0050586A">
              <w:t xml:space="preserve">finansavimą gautų maždaug kas </w:t>
            </w:r>
            <w:r w:rsidR="5C301E56" w:rsidRPr="0050586A">
              <w:t>šešta</w:t>
            </w:r>
            <w:r w:rsidR="66C2D14A">
              <w:t>s</w:t>
            </w:r>
            <w:r w:rsidR="5C301E56" w:rsidRPr="0050586A">
              <w:t xml:space="preserve"> </w:t>
            </w:r>
            <w:r w:rsidR="6012A3E9">
              <w:t>PĮP</w:t>
            </w:r>
            <w:r w:rsidR="5C301E56" w:rsidRPr="0050586A">
              <w:t>, t.</w:t>
            </w:r>
            <w:r w:rsidR="7B3D3E2C">
              <w:t xml:space="preserve"> </w:t>
            </w:r>
            <w:r w:rsidR="5C301E56" w:rsidRPr="0050586A">
              <w:t xml:space="preserve">y. finansuotų projektų tikrai nepadaugėtų, tačiau </w:t>
            </w:r>
            <w:r w:rsidR="3714B15F" w:rsidRPr="0050586A">
              <w:t>našta MSI rengti paraiškas išaug</w:t>
            </w:r>
            <w:r w:rsidR="46DE444B">
              <w:t>tų</w:t>
            </w:r>
            <w:r w:rsidR="3714B15F" w:rsidRPr="0050586A">
              <w:t xml:space="preserve"> ženkliai</w:t>
            </w:r>
            <w:r w:rsidR="000461BA">
              <w:t>.</w:t>
            </w:r>
            <w:r w:rsidR="3714B15F">
              <w:t xml:space="preserve"> </w:t>
            </w:r>
            <w:r w:rsidR="7FD35F6A">
              <w:t>Administruojanči</w:t>
            </w:r>
            <w:r w:rsidR="000D5157">
              <w:t>a</w:t>
            </w:r>
            <w:r w:rsidR="7FD35F6A">
              <w:t>jai institucijai</w:t>
            </w:r>
            <w:r w:rsidR="3714B15F">
              <w:t xml:space="preserve"> </w:t>
            </w:r>
            <w:r w:rsidR="57304641">
              <w:t xml:space="preserve">labai </w:t>
            </w:r>
            <w:r w:rsidR="3714B15F">
              <w:t>išaugtų</w:t>
            </w:r>
            <w:r w:rsidR="57304641">
              <w:t xml:space="preserve"> administravimo našta bei </w:t>
            </w:r>
            <w:r w:rsidR="38DB7013">
              <w:t xml:space="preserve">pailgėtų </w:t>
            </w:r>
            <w:r w:rsidR="57304641">
              <w:t xml:space="preserve">PĮP vertinimo periodas, kas sąlygotų </w:t>
            </w:r>
            <w:r w:rsidR="43257676">
              <w:t>trumpesnį projektų įgyvendinimo laikotarpį bei dar didesnį MSI nepasitenkinimą dėl per didelės konkurencijos.</w:t>
            </w:r>
            <w:r w:rsidR="3714B15F">
              <w:t xml:space="preserve"> </w:t>
            </w:r>
          </w:p>
        </w:tc>
      </w:tr>
      <w:tr w:rsidR="00DC569A" w:rsidRPr="006C4311" w14:paraId="3CF82C9A" w14:textId="77777777" w:rsidTr="00D50E86">
        <w:tc>
          <w:tcPr>
            <w:tcW w:w="567" w:type="dxa"/>
          </w:tcPr>
          <w:p w14:paraId="73C9CFE0" w14:textId="0F7A7979" w:rsidR="00DC569A" w:rsidRDefault="00DC569A" w:rsidP="00DC569A">
            <w:pPr>
              <w:jc w:val="both"/>
              <w:rPr>
                <w:bCs/>
                <w:szCs w:val="24"/>
                <w:lang w:val="en-US"/>
              </w:rPr>
            </w:pPr>
            <w:r>
              <w:rPr>
                <w:bCs/>
                <w:szCs w:val="24"/>
                <w:lang w:val="en-US"/>
              </w:rPr>
              <w:lastRenderedPageBreak/>
              <w:t>13.</w:t>
            </w:r>
          </w:p>
        </w:tc>
        <w:tc>
          <w:tcPr>
            <w:tcW w:w="1980" w:type="dxa"/>
            <w:vMerge/>
          </w:tcPr>
          <w:p w14:paraId="2038CA93" w14:textId="77777777" w:rsidR="00DC569A" w:rsidRPr="006C4311" w:rsidRDefault="00DC569A" w:rsidP="00DC569A">
            <w:pPr>
              <w:jc w:val="both"/>
              <w:rPr>
                <w:bCs/>
                <w:szCs w:val="24"/>
              </w:rPr>
            </w:pPr>
          </w:p>
        </w:tc>
        <w:tc>
          <w:tcPr>
            <w:tcW w:w="6237" w:type="dxa"/>
          </w:tcPr>
          <w:p w14:paraId="3DC0292B" w14:textId="5102C590" w:rsidR="00DC569A" w:rsidRPr="00A35DDC" w:rsidRDefault="00DC569A" w:rsidP="00DC569A">
            <w:pPr>
              <w:jc w:val="both"/>
              <w:rPr>
                <w:highlight w:val="yellow"/>
              </w:rPr>
            </w:pPr>
            <w:r w:rsidRPr="00437831">
              <w:t xml:space="preserve">Dėl reikalavimo projektams „Susietojo projekto paraiška vertinama pagal 2023-2025 metų darbo programų kvietimų rezultatus: &lt;...&gt;“. Konsultacijų pažymoje pažymima, kad mokslo ir studijų institucijų paraiškos, teiktos ir negavusios finansavimo pagal 2021–2022 metų programos „Europos horizontas“ ar programos „Euratomas“ darbo programų kvietimus, galėjo būti pakoreguotos ir pateiktos pagal vėlesnius kvietimus. Antrosios veiklos srities „Pasauliniai iššūkiai ir Europos pramonės konkurencingumas“ mokslinių tyrimų ir inovacijų veiksmų bei inovacijų veiksmų kvietimų iš anksto numatytos (angl. top-down) tematikos, kuriose pagal šią akceleravimo priemonę itin skatinamas aktyvus Lietuvos mokslo institucijų įsitraukimas į stiprius tarptautinius konsorciumus, o ypatingai tokių konsorciumų paraiškų koordinavimas, paprastai nėra kartojamos vėlesnėse darbo programose, taip pat  atkreiptinas dėmesys, kad didžiosios daugumos 2025 m. antrosios veiklos srities kvietimų paraiškų teikimo terminai numatomi š.m. rugsėjo ir lapkričio mėn. </w:t>
            </w:r>
            <w:r w:rsidRPr="00437831">
              <w:lastRenderedPageBreak/>
              <w:t>Trečiosios veiklos srities „Inovatyvi Europa“ Europos inovacijų tarybos „Pathfinder Open“ 2025 m. kvietimo rezultatai numatomi skelbti 2025 m. spalio mėn., Marie Skłodowska-Curie 2025 m. darbo programos pagal PFSA tinkančių veiksmų kvietimai atitinkamai baigiasi rugsėjo – lapkričio mėn., taigi 2025 m. darbo programos (išskyrus didžiąją dalimi ERC) negali būti traukiamos į tinkamų finansuoti veiklų sąrašą, nes didžiosios dalies paraiškų tinkamumo finansuoti sąlyga yra neįgyvendinama.</w:t>
            </w:r>
          </w:p>
        </w:tc>
        <w:tc>
          <w:tcPr>
            <w:tcW w:w="5528" w:type="dxa"/>
          </w:tcPr>
          <w:p w14:paraId="364AD5EF" w14:textId="2E5E6E06" w:rsidR="001662ED" w:rsidRDefault="00045D4F" w:rsidP="00DC569A">
            <w:pPr>
              <w:jc w:val="both"/>
            </w:pPr>
            <w:r w:rsidRPr="005C16DB">
              <w:rPr>
                <w:b/>
                <w:bCs/>
              </w:rPr>
              <w:lastRenderedPageBreak/>
              <w:t>Atsižvelgta.</w:t>
            </w:r>
            <w:r>
              <w:t xml:space="preserve"> </w:t>
            </w:r>
          </w:p>
          <w:p w14:paraId="758FC9AB" w14:textId="03C5EBF5" w:rsidR="00045D4F" w:rsidRPr="002301E8" w:rsidRDefault="6A5D7AFC" w:rsidP="00DC569A">
            <w:pPr>
              <w:jc w:val="both"/>
            </w:pPr>
            <w:r>
              <w:t>Planuojama, kad susiet</w:t>
            </w:r>
            <w:r w:rsidR="003921AD">
              <w:t>ųjų</w:t>
            </w:r>
            <w:r>
              <w:t xml:space="preserve"> projekt</w:t>
            </w:r>
            <w:r w:rsidR="003921AD">
              <w:t xml:space="preserve">ų </w:t>
            </w:r>
            <w:r w:rsidR="003921AD" w:rsidRPr="005C16DB">
              <w:t>paraiškos</w:t>
            </w:r>
            <w:r w:rsidRPr="005C16DB">
              <w:t xml:space="preserve"> bus vertinam</w:t>
            </w:r>
            <w:r w:rsidR="003921AD" w:rsidRPr="005C16DB">
              <w:t>os</w:t>
            </w:r>
            <w:r w:rsidRPr="005C16DB">
              <w:t xml:space="preserve"> pagal program</w:t>
            </w:r>
            <w:r w:rsidR="00955B99" w:rsidRPr="005C16DB">
              <w:t>ų</w:t>
            </w:r>
            <w:r w:rsidRPr="005C16DB">
              <w:t xml:space="preserve"> ,,Europos horizontas“</w:t>
            </w:r>
            <w:r w:rsidR="00FE269E" w:rsidRPr="005C16DB">
              <w:t xml:space="preserve"> ir „Euratomas“</w:t>
            </w:r>
            <w:r w:rsidRPr="005C16DB">
              <w:t xml:space="preserve"> 2021-2024 metų darbo p</w:t>
            </w:r>
            <w:r>
              <w:t>rogramų kvietimus, o 2025 m. darbo programų kvietimų rezultatai nebus vertinami. Atitinkamai patikslintas PFSA projektas.</w:t>
            </w:r>
          </w:p>
          <w:p w14:paraId="4E5C00DE" w14:textId="185CD5EE" w:rsidR="00045D4F" w:rsidRPr="002301E8" w:rsidRDefault="6A5D7AFC" w:rsidP="00DC569A">
            <w:pPr>
              <w:jc w:val="both"/>
            </w:pPr>
            <w:r>
              <w:t>Atkreipiame dėmesį, kad, siekiant išvengti dvigubo finansavimo, nebus vertinam</w:t>
            </w:r>
            <w:r w:rsidR="001251FF">
              <w:t>os</w:t>
            </w:r>
            <w:r>
              <w:t xml:space="preserve"> susiet</w:t>
            </w:r>
            <w:r w:rsidR="00227CDA">
              <w:t>ųjų</w:t>
            </w:r>
            <w:r>
              <w:t xml:space="preserve"> projekt</w:t>
            </w:r>
            <w:r w:rsidR="00227CDA">
              <w:t xml:space="preserve">ų </w:t>
            </w:r>
            <w:r w:rsidR="00227CDA" w:rsidRPr="005C16DB">
              <w:t>paraiškos</w:t>
            </w:r>
            <w:r w:rsidRPr="005C16DB">
              <w:t>,</w:t>
            </w:r>
            <w:r>
              <w:t xml:space="preserve"> kuri</w:t>
            </w:r>
            <w:r w:rsidR="00227CDA">
              <w:t>os</w:t>
            </w:r>
            <w:r>
              <w:t xml:space="preserve"> buvo siejam</w:t>
            </w:r>
            <w:r w:rsidR="00227CDA">
              <w:t>os</w:t>
            </w:r>
            <w:r>
              <w:t xml:space="preserve"> su 2022–2024 metais vykusių LMT kvietimų teikti paraiškas mokslo infrastruktūrai atnaujinti paraiškomis, jeigu pagal jas buvo skirta bent dalis </w:t>
            </w:r>
            <w:r w:rsidR="00227CDA">
              <w:t>L</w:t>
            </w:r>
            <w:r>
              <w:t xml:space="preserve">MT finansavimo, bei </w:t>
            </w:r>
            <w:r w:rsidRPr="006F1AD0">
              <w:t>projekt</w:t>
            </w:r>
            <w:r w:rsidR="006F1AD0" w:rsidRPr="006F1AD0">
              <w:t>ai</w:t>
            </w:r>
            <w:r w:rsidR="006F1AD0">
              <w:t xml:space="preserve"> </w:t>
            </w:r>
            <w:r>
              <w:t>pagal programos ,,Europos horizontas“ kvietimus, kuri</w:t>
            </w:r>
            <w:r w:rsidR="00FD50FE">
              <w:t>e</w:t>
            </w:r>
            <w:r>
              <w:t xml:space="preserve"> 2024-2025 m. finansuot</w:t>
            </w:r>
            <w:r w:rsidR="00FD50FE">
              <w:t>i</w:t>
            </w:r>
            <w:r>
              <w:t xml:space="preserve"> iš Lietuvos perkeltų Europos regioninio plėtros fondo lėšų.</w:t>
            </w:r>
          </w:p>
          <w:p w14:paraId="0FF82034" w14:textId="69CB7019" w:rsidR="00045D4F" w:rsidRPr="002301E8" w:rsidRDefault="00045D4F" w:rsidP="00DC569A">
            <w:pPr>
              <w:jc w:val="both"/>
            </w:pPr>
          </w:p>
        </w:tc>
      </w:tr>
      <w:tr w:rsidR="00DC569A" w:rsidRPr="006C4311" w14:paraId="64F8BAE6" w14:textId="77777777" w:rsidTr="00D50E86">
        <w:tc>
          <w:tcPr>
            <w:tcW w:w="567" w:type="dxa"/>
          </w:tcPr>
          <w:p w14:paraId="4326C240" w14:textId="3130F475" w:rsidR="00DC569A" w:rsidRDefault="00DC569A" w:rsidP="00DC569A">
            <w:pPr>
              <w:jc w:val="both"/>
              <w:rPr>
                <w:bCs/>
                <w:szCs w:val="24"/>
                <w:lang w:val="en-US"/>
              </w:rPr>
            </w:pPr>
            <w:r>
              <w:rPr>
                <w:bCs/>
                <w:szCs w:val="24"/>
                <w:lang w:val="en-US"/>
              </w:rPr>
              <w:t>14.</w:t>
            </w:r>
          </w:p>
        </w:tc>
        <w:tc>
          <w:tcPr>
            <w:tcW w:w="1980" w:type="dxa"/>
            <w:vMerge/>
          </w:tcPr>
          <w:p w14:paraId="40F6FCC6" w14:textId="77777777" w:rsidR="00DC569A" w:rsidRPr="006C4311" w:rsidRDefault="00DC569A" w:rsidP="00DC569A">
            <w:pPr>
              <w:jc w:val="both"/>
              <w:rPr>
                <w:bCs/>
                <w:szCs w:val="24"/>
              </w:rPr>
            </w:pPr>
          </w:p>
        </w:tc>
        <w:tc>
          <w:tcPr>
            <w:tcW w:w="6237" w:type="dxa"/>
          </w:tcPr>
          <w:p w14:paraId="1DC09B0B" w14:textId="3DD2DB0D" w:rsidR="00DC569A" w:rsidRDefault="00DC569A" w:rsidP="00DC569A">
            <w:pPr>
              <w:jc w:val="both"/>
            </w:pPr>
            <w:r>
              <w:t xml:space="preserve">Reikalingi papildomi patikslinimai: </w:t>
            </w:r>
          </w:p>
          <w:p w14:paraId="0108A5A1" w14:textId="77777777" w:rsidR="00DC569A" w:rsidRDefault="00DC569A" w:rsidP="00DC569A">
            <w:pPr>
              <w:jc w:val="both"/>
            </w:pPr>
            <w:r>
              <w:t xml:space="preserve">12.3. p.: „Susietojo projekto paraiškos galutinio EK įvertinimo, kurį atliko tarptautiniai ekspertai, skaitinei vertei (vienetais, procentais) suteikiamas didžiausias galimas kriterijaus „Susietojo projekto paraiškai EK suteiktas galutinis įvertinimas“ balas“: </w:t>
            </w:r>
          </w:p>
          <w:p w14:paraId="43C6C08B" w14:textId="77777777" w:rsidR="00DC569A" w:rsidRDefault="00DC569A" w:rsidP="00DC569A">
            <w:pPr>
              <w:jc w:val="both"/>
            </w:pPr>
            <w:r>
              <w:t>•</w:t>
            </w:r>
            <w:r>
              <w:tab/>
              <w:t>ERC PoC atveju paraiškos vertinamos procentais – reitingavimo intervalas (angl. - ranking range) išreiškiamas kaip procentinė dalis nuo atitinkamam kvietimui skirtos biudžeto sumos, t. y. paraiškos, kurių vertinimas yra mažesnis nei 100 %, yra finansuojamos, o viršijančios 100 % – nefinansuojamos.</w:t>
            </w:r>
          </w:p>
          <w:p w14:paraId="3AD57109" w14:textId="77777777" w:rsidR="00DC569A" w:rsidRDefault="00DC569A" w:rsidP="00DC569A">
            <w:pPr>
              <w:jc w:val="both"/>
            </w:pPr>
            <w:r>
              <w:t>•</w:t>
            </w:r>
            <w:r>
              <w:tab/>
              <w:t>EIC „Pathfinder“ atveju – kokį balą gaus paraiška, įvertinta, pavyzdžiui, 4,25 ar 4,45 balo?</w:t>
            </w:r>
          </w:p>
          <w:p w14:paraId="295E31B9" w14:textId="5E36661E" w:rsidR="00DC569A" w:rsidRDefault="00DC569A" w:rsidP="00DC569A">
            <w:pPr>
              <w:jc w:val="both"/>
            </w:pPr>
            <w:r>
              <w:t>•</w:t>
            </w:r>
            <w:r>
              <w:tab/>
              <w:t>Kaip bus vertinamos paraiškos, dalyvaujančios dviejų pakopų (angl. „two-stage“ kvietimuose)?</w:t>
            </w:r>
          </w:p>
          <w:p w14:paraId="1DA65CAD" w14:textId="77777777" w:rsidR="00DC569A" w:rsidRDefault="00DC569A" w:rsidP="00DC569A">
            <w:pPr>
              <w:jc w:val="both"/>
            </w:pPr>
            <w:r>
              <w:t>•</w:t>
            </w:r>
            <w:r>
              <w:tab/>
              <w:t>Kaip bus vertinamos Twinning ir Era-Chairs paraiškos?</w:t>
            </w:r>
          </w:p>
          <w:p w14:paraId="310FF75E" w14:textId="77777777" w:rsidR="00444536" w:rsidRDefault="00444536" w:rsidP="00DC569A">
            <w:pPr>
              <w:jc w:val="both"/>
            </w:pPr>
          </w:p>
          <w:p w14:paraId="123E23DB" w14:textId="77777777" w:rsidR="00DC569A" w:rsidRDefault="00DC569A" w:rsidP="00DC569A">
            <w:pPr>
              <w:jc w:val="both"/>
            </w:pPr>
            <w:r>
              <w:t xml:space="preserve">5.1.7 punkte nurodoma, kad pareiškėjo prašoma finansuoti išlaidų suma negali būti didesnė nei planuota gauti EK dotacija.  </w:t>
            </w:r>
          </w:p>
          <w:p w14:paraId="74F23537" w14:textId="77777777" w:rsidR="00DC569A" w:rsidRDefault="00DC569A" w:rsidP="00DC569A">
            <w:pPr>
              <w:jc w:val="both"/>
            </w:pPr>
            <w:r>
              <w:t>•</w:t>
            </w:r>
            <w:r>
              <w:tab/>
              <w:t>Ar prašoma įrangos suma turi neviršyti projekto vertės įskaitant PVM ar be PVM?</w:t>
            </w:r>
          </w:p>
          <w:p w14:paraId="0AF062B7" w14:textId="067CB6F1" w:rsidR="00DC569A" w:rsidRDefault="00DC569A" w:rsidP="00DC569A">
            <w:pPr>
              <w:jc w:val="both"/>
            </w:pPr>
            <w:r>
              <w:t>•</w:t>
            </w:r>
            <w:r>
              <w:tab/>
              <w:t xml:space="preserve"> 4-ojo prioritetinio kriterijaus aprašyme nenumatytas minimalus leistinas santykis, ar jis gali būti mažesnis nei 1?</w:t>
            </w:r>
          </w:p>
          <w:p w14:paraId="1E33A9F8" w14:textId="77777777" w:rsidR="00E45D9E" w:rsidRDefault="00E45D9E" w:rsidP="00DC569A">
            <w:pPr>
              <w:jc w:val="both"/>
            </w:pPr>
          </w:p>
          <w:p w14:paraId="5AAB5D90" w14:textId="77777777" w:rsidR="00E45D9E" w:rsidRDefault="00E45D9E" w:rsidP="00DC569A">
            <w:pPr>
              <w:jc w:val="both"/>
            </w:pPr>
          </w:p>
          <w:p w14:paraId="35C06791" w14:textId="760CEA22" w:rsidR="2ED31983" w:rsidRDefault="2ED31983" w:rsidP="2ED31983">
            <w:pPr>
              <w:jc w:val="both"/>
            </w:pPr>
          </w:p>
          <w:p w14:paraId="7560FBD4" w14:textId="397AC4A8" w:rsidR="2ED31983" w:rsidRDefault="2ED31983" w:rsidP="2ED31983">
            <w:pPr>
              <w:jc w:val="both"/>
            </w:pPr>
          </w:p>
          <w:p w14:paraId="5F192F8B" w14:textId="4059DDE7" w:rsidR="2ED31983" w:rsidRDefault="2ED31983" w:rsidP="2ED31983">
            <w:pPr>
              <w:jc w:val="both"/>
            </w:pPr>
          </w:p>
          <w:p w14:paraId="4307B0F7" w14:textId="77777777" w:rsidR="00DC569A" w:rsidRDefault="4BA2A155" w:rsidP="00DC569A">
            <w:pPr>
              <w:jc w:val="both"/>
            </w:pPr>
            <w:r>
              <w:t>•</w:t>
            </w:r>
            <w:r w:rsidR="00DC569A">
              <w:tab/>
            </w:r>
            <w:r>
              <w:t>Ar reikalavimai santykio reikšmei vienodi tiek pareiškėjams, vykdantiems gamtos, technologijos, medicinos, sveikatos arba žemės ūkio mokslų, tiek vykdantiems humanitarinių arba socialinių mokslų MTEP veiklą?</w:t>
            </w:r>
          </w:p>
          <w:p w14:paraId="659C7C09" w14:textId="7346CB90" w:rsidR="2ED31983" w:rsidRDefault="2ED31983" w:rsidP="2ED31983">
            <w:pPr>
              <w:jc w:val="both"/>
            </w:pPr>
          </w:p>
          <w:p w14:paraId="317618B0" w14:textId="77777777" w:rsidR="001879CF" w:rsidRDefault="001879CF" w:rsidP="2ED31983">
            <w:pPr>
              <w:jc w:val="both"/>
            </w:pPr>
          </w:p>
          <w:p w14:paraId="191CCD33" w14:textId="7982EFFF" w:rsidR="00DC569A" w:rsidRDefault="00DC569A" w:rsidP="00DC569A">
            <w:pPr>
              <w:jc w:val="both"/>
            </w:pPr>
            <w:r>
              <w:t xml:space="preserve">14 punkto reikalavimai įgyvendinus projektų veiklas: </w:t>
            </w:r>
          </w:p>
          <w:p w14:paraId="00F8CC5D" w14:textId="77777777" w:rsidR="00DC569A" w:rsidRDefault="00DC569A" w:rsidP="00DC569A">
            <w:pPr>
              <w:jc w:val="both"/>
            </w:pPr>
            <w:r>
              <w:t>•</w:t>
            </w:r>
            <w:r>
              <w:tab/>
              <w:t>patikslinkite, apie kurias COST paraiškas kalbama, nes galimi variantai:  a) kaip atstovas COST veiklos valdymo komitete, pateikiant paraišką Lietuvos mokslo tarybai.  b) kaip COST veiklos darbo grupės nariai, pateikiant paraišką COST veiklai. Paraiška teikiama COST sistemoje. c) Inicijuoti naują COST veiklą (tapti COST veiklos koordinatoriais), pateikiant paraišką COST asociacijai (šiuo atveju ar kaip koordinatorius ar ir kaip partneris turi pateikti). Daugiau info: https://lmt.lrv.lt/lt/veiklos-sritys/mokslo-finansavimas/tarptautinio-bendradarbiavimo-priemones/tarptautinio-bendradarbiavimo-programos/cost/</w:t>
            </w:r>
          </w:p>
          <w:p w14:paraId="5E4C0481" w14:textId="63C4AD0D" w:rsidR="00DC569A" w:rsidRPr="00A35DDC" w:rsidRDefault="00DC569A" w:rsidP="00DC569A">
            <w:pPr>
              <w:jc w:val="both"/>
            </w:pPr>
            <w:r>
              <w:t>•</w:t>
            </w:r>
            <w:r>
              <w:tab/>
              <w:t>Ar pateikus paraišką ne po projekto įgyvendinimo pabaigos, o pvz., tik pradėjus jį įgyvendinti, bus traktuojama, kad šis reikalavimas yra išpildytas?</w:t>
            </w:r>
          </w:p>
        </w:tc>
        <w:tc>
          <w:tcPr>
            <w:tcW w:w="5528" w:type="dxa"/>
          </w:tcPr>
          <w:p w14:paraId="0B3E4DBA" w14:textId="77777777" w:rsidR="00DC569A" w:rsidRDefault="00DC569A" w:rsidP="00DC569A">
            <w:pPr>
              <w:jc w:val="both"/>
              <w:rPr>
                <w:b/>
                <w:szCs w:val="24"/>
              </w:rPr>
            </w:pPr>
          </w:p>
          <w:p w14:paraId="6D787C11" w14:textId="77777777" w:rsidR="006C7A92" w:rsidRDefault="006C7A92" w:rsidP="00DC569A">
            <w:pPr>
              <w:jc w:val="both"/>
              <w:rPr>
                <w:b/>
                <w:szCs w:val="24"/>
              </w:rPr>
            </w:pPr>
          </w:p>
          <w:p w14:paraId="71E16590" w14:textId="77777777" w:rsidR="006C7A92" w:rsidRDefault="006C7A92" w:rsidP="00DC569A">
            <w:pPr>
              <w:jc w:val="both"/>
              <w:rPr>
                <w:b/>
                <w:szCs w:val="24"/>
              </w:rPr>
            </w:pPr>
          </w:p>
          <w:p w14:paraId="345D45D0" w14:textId="77777777" w:rsidR="006C7A92" w:rsidRDefault="006C7A92" w:rsidP="00DC569A">
            <w:pPr>
              <w:jc w:val="both"/>
              <w:rPr>
                <w:b/>
                <w:szCs w:val="24"/>
              </w:rPr>
            </w:pPr>
          </w:p>
          <w:p w14:paraId="24AB2DD8" w14:textId="77777777" w:rsidR="003D6BBF" w:rsidRDefault="003D6BBF" w:rsidP="00DC569A">
            <w:pPr>
              <w:jc w:val="both"/>
              <w:rPr>
                <w:b/>
                <w:szCs w:val="24"/>
              </w:rPr>
            </w:pPr>
          </w:p>
          <w:p w14:paraId="031C9934" w14:textId="77777777" w:rsidR="006C7A92" w:rsidRDefault="006C7A92" w:rsidP="00DC569A">
            <w:pPr>
              <w:jc w:val="both"/>
              <w:rPr>
                <w:b/>
                <w:szCs w:val="24"/>
              </w:rPr>
            </w:pPr>
          </w:p>
          <w:p w14:paraId="4021BFAF" w14:textId="538C0043" w:rsidR="001662ED" w:rsidRDefault="006C7A92" w:rsidP="00DC569A">
            <w:pPr>
              <w:jc w:val="both"/>
              <w:rPr>
                <w:bCs/>
                <w:szCs w:val="24"/>
              </w:rPr>
            </w:pPr>
            <w:r w:rsidRPr="00D1575E">
              <w:rPr>
                <w:b/>
                <w:szCs w:val="24"/>
              </w:rPr>
              <w:t>Atsižvelgta</w:t>
            </w:r>
            <w:r w:rsidR="009802D6" w:rsidRPr="0050586A">
              <w:rPr>
                <w:b/>
                <w:szCs w:val="24"/>
              </w:rPr>
              <w:t>.</w:t>
            </w:r>
            <w:r w:rsidR="001723B9" w:rsidRPr="0050586A">
              <w:rPr>
                <w:bCs/>
                <w:szCs w:val="24"/>
              </w:rPr>
              <w:t xml:space="preserve"> </w:t>
            </w:r>
          </w:p>
          <w:p w14:paraId="4E7576F1" w14:textId="3CF2FA95" w:rsidR="006C7A92" w:rsidRPr="0050586A" w:rsidRDefault="001723B9" w:rsidP="00DC569A">
            <w:pPr>
              <w:jc w:val="both"/>
              <w:rPr>
                <w:bCs/>
                <w:szCs w:val="24"/>
              </w:rPr>
            </w:pPr>
            <w:r w:rsidRPr="0050586A">
              <w:rPr>
                <w:bCs/>
                <w:szCs w:val="24"/>
              </w:rPr>
              <w:t>ERC PoC vertinimas išskirtas atskir</w:t>
            </w:r>
            <w:r w:rsidR="00A711CA" w:rsidRPr="0050586A">
              <w:rPr>
                <w:bCs/>
                <w:szCs w:val="24"/>
              </w:rPr>
              <w:t>ai</w:t>
            </w:r>
            <w:r w:rsidR="00B40999">
              <w:rPr>
                <w:bCs/>
                <w:szCs w:val="24"/>
              </w:rPr>
              <w:t xml:space="preserve"> </w:t>
            </w:r>
            <w:r w:rsidR="00B35394">
              <w:rPr>
                <w:bCs/>
                <w:szCs w:val="24"/>
              </w:rPr>
              <w:t>s</w:t>
            </w:r>
            <w:r w:rsidR="00B35394" w:rsidRPr="00520D9E">
              <w:rPr>
                <w:szCs w:val="24"/>
              </w:rPr>
              <w:t>usietojo projekto paraišk</w:t>
            </w:r>
            <w:r w:rsidR="00B35394">
              <w:rPr>
                <w:szCs w:val="24"/>
              </w:rPr>
              <w:t xml:space="preserve">os galutinio EK įvertinimo </w:t>
            </w:r>
            <w:r w:rsidR="00B40999">
              <w:rPr>
                <w:bCs/>
                <w:szCs w:val="24"/>
              </w:rPr>
              <w:t xml:space="preserve">lentelėje </w:t>
            </w:r>
            <w:r w:rsidR="001662ED">
              <w:rPr>
                <w:bCs/>
                <w:szCs w:val="24"/>
              </w:rPr>
              <w:t>(</w:t>
            </w:r>
            <w:r w:rsidR="00B40999">
              <w:rPr>
                <w:bCs/>
                <w:szCs w:val="24"/>
              </w:rPr>
              <w:t>PFSA 12.3 p</w:t>
            </w:r>
            <w:r w:rsidR="001662ED">
              <w:rPr>
                <w:bCs/>
                <w:szCs w:val="24"/>
              </w:rPr>
              <w:t>)</w:t>
            </w:r>
            <w:r w:rsidR="00B40999">
              <w:rPr>
                <w:bCs/>
                <w:szCs w:val="24"/>
              </w:rPr>
              <w:t>.</w:t>
            </w:r>
            <w:r w:rsidRPr="0050586A">
              <w:rPr>
                <w:bCs/>
                <w:szCs w:val="24"/>
              </w:rPr>
              <w:t xml:space="preserve"> </w:t>
            </w:r>
          </w:p>
          <w:p w14:paraId="0EE0AA53" w14:textId="77777777" w:rsidR="001723B9" w:rsidRPr="0050586A" w:rsidRDefault="001723B9" w:rsidP="00DC569A">
            <w:pPr>
              <w:jc w:val="both"/>
              <w:rPr>
                <w:bCs/>
                <w:szCs w:val="24"/>
              </w:rPr>
            </w:pPr>
          </w:p>
          <w:p w14:paraId="1D7291B6" w14:textId="77777777" w:rsidR="001723B9" w:rsidRPr="0050586A" w:rsidRDefault="001723B9" w:rsidP="00DC569A">
            <w:pPr>
              <w:jc w:val="both"/>
              <w:rPr>
                <w:bCs/>
                <w:szCs w:val="24"/>
              </w:rPr>
            </w:pPr>
          </w:p>
          <w:p w14:paraId="43D42DA6" w14:textId="508403B7" w:rsidR="001723B9" w:rsidRPr="0050586A" w:rsidRDefault="624C96B8" w:rsidP="2ED31983">
            <w:pPr>
              <w:jc w:val="both"/>
            </w:pPr>
            <w:r w:rsidRPr="00A50225">
              <w:rPr>
                <w:b/>
              </w:rPr>
              <w:t>Atsižvelgta</w:t>
            </w:r>
            <w:r w:rsidR="00444536">
              <w:rPr>
                <w:b/>
              </w:rPr>
              <w:t xml:space="preserve"> į pastebėjimą</w:t>
            </w:r>
            <w:r w:rsidR="009B2863" w:rsidRPr="0050586A">
              <w:rPr>
                <w:b/>
              </w:rPr>
              <w:t>.</w:t>
            </w:r>
            <w:r w:rsidRPr="0050586A">
              <w:t xml:space="preserve"> </w:t>
            </w:r>
            <w:r w:rsidR="27D4FBD2">
              <w:t xml:space="preserve">EIC „Pathfinder“ </w:t>
            </w:r>
            <w:r w:rsidRPr="0050586A">
              <w:t>vertinimas patikslintas.</w:t>
            </w:r>
          </w:p>
          <w:p w14:paraId="65303CDE" w14:textId="59A207F3" w:rsidR="00A711CA" w:rsidRDefault="3ED5A9ED" w:rsidP="2ED31983">
            <w:pPr>
              <w:jc w:val="both"/>
            </w:pPr>
            <w:r w:rsidRPr="0050586A">
              <w:t>Vertinama pagal galutinio, II etapo</w:t>
            </w:r>
            <w:r w:rsidR="006D2068">
              <w:t>,</w:t>
            </w:r>
            <w:r w:rsidRPr="0050586A">
              <w:t xml:space="preserve"> vertinimo rezultatus</w:t>
            </w:r>
            <w:r w:rsidR="05B8CB38">
              <w:t>.</w:t>
            </w:r>
          </w:p>
          <w:p w14:paraId="3D7694C0" w14:textId="470AA5A8" w:rsidR="00A711CA" w:rsidRDefault="3ED5A9ED" w:rsidP="00DC569A">
            <w:pPr>
              <w:jc w:val="both"/>
            </w:pPr>
            <w:r w:rsidRPr="0050586A">
              <w:rPr>
                <w:b/>
              </w:rPr>
              <w:t>Atsižvelgta</w:t>
            </w:r>
            <w:r w:rsidR="00444536">
              <w:rPr>
                <w:b/>
              </w:rPr>
              <w:t xml:space="preserve"> į pastebėjimą</w:t>
            </w:r>
            <w:r w:rsidR="009B2863" w:rsidRPr="0050586A">
              <w:rPr>
                <w:b/>
              </w:rPr>
              <w:t>.</w:t>
            </w:r>
            <w:r>
              <w:t xml:space="preserve"> </w:t>
            </w:r>
            <w:r w:rsidR="009B2863">
              <w:t>V</w:t>
            </w:r>
            <w:r>
              <w:t xml:space="preserve">ertinimo lentelė </w:t>
            </w:r>
            <w:r w:rsidR="602DED3B">
              <w:t>(PFSA 12</w:t>
            </w:r>
            <w:r w:rsidR="005038D8">
              <w:t>.</w:t>
            </w:r>
            <w:r w:rsidR="602DED3B">
              <w:t xml:space="preserve">3 papunktis) </w:t>
            </w:r>
            <w:r>
              <w:t xml:space="preserve">papildyta </w:t>
            </w:r>
            <w:r w:rsidR="017DCA9A">
              <w:t xml:space="preserve">WIDERA </w:t>
            </w:r>
            <w:r>
              <w:t xml:space="preserve">twinning ir ERA chairs </w:t>
            </w:r>
            <w:r w:rsidR="40D6265A">
              <w:t>vertinimais bei jų skalėmis.</w:t>
            </w:r>
          </w:p>
          <w:p w14:paraId="27D9768C" w14:textId="77777777" w:rsidR="001E3ADF" w:rsidRDefault="001E3ADF" w:rsidP="00DC569A">
            <w:pPr>
              <w:jc w:val="both"/>
              <w:rPr>
                <w:bCs/>
                <w:szCs w:val="24"/>
              </w:rPr>
            </w:pPr>
          </w:p>
          <w:p w14:paraId="1EE4BDCB" w14:textId="77777777" w:rsidR="001E3ADF" w:rsidRDefault="001E3ADF" w:rsidP="00DC569A">
            <w:pPr>
              <w:jc w:val="both"/>
              <w:rPr>
                <w:bCs/>
                <w:szCs w:val="24"/>
              </w:rPr>
            </w:pPr>
          </w:p>
          <w:p w14:paraId="54D5E4E9" w14:textId="7E82007C" w:rsidR="00CF4163" w:rsidRDefault="00CF4163" w:rsidP="00DC569A">
            <w:pPr>
              <w:jc w:val="both"/>
              <w:rPr>
                <w:bCs/>
                <w:szCs w:val="24"/>
              </w:rPr>
            </w:pPr>
            <w:r w:rsidRPr="0050586A">
              <w:rPr>
                <w:b/>
                <w:szCs w:val="24"/>
              </w:rPr>
              <w:t>Atsižvelgta.</w:t>
            </w:r>
            <w:r>
              <w:rPr>
                <w:bCs/>
                <w:szCs w:val="24"/>
              </w:rPr>
              <w:t xml:space="preserve"> </w:t>
            </w:r>
            <w:r w:rsidR="00E53327">
              <w:rPr>
                <w:bCs/>
                <w:szCs w:val="24"/>
              </w:rPr>
              <w:t>Atitinkamai p</w:t>
            </w:r>
            <w:r>
              <w:rPr>
                <w:bCs/>
                <w:szCs w:val="24"/>
              </w:rPr>
              <w:t>atikslint</w:t>
            </w:r>
            <w:r w:rsidR="00E53327">
              <w:rPr>
                <w:bCs/>
                <w:szCs w:val="24"/>
              </w:rPr>
              <w:t>a</w:t>
            </w:r>
            <w:r>
              <w:rPr>
                <w:bCs/>
                <w:szCs w:val="24"/>
              </w:rPr>
              <w:t xml:space="preserve"> PFSA</w:t>
            </w:r>
            <w:r w:rsidR="00E53327">
              <w:rPr>
                <w:bCs/>
                <w:szCs w:val="24"/>
              </w:rPr>
              <w:t xml:space="preserve"> nuostata</w:t>
            </w:r>
            <w:r w:rsidR="00CC2AFB" w:rsidRPr="00885D4C">
              <w:rPr>
                <w:bCs/>
                <w:szCs w:val="24"/>
              </w:rPr>
              <w:t>, lėšos nurodomos be PVM</w:t>
            </w:r>
            <w:r w:rsidR="00E94723" w:rsidRPr="00885D4C">
              <w:rPr>
                <w:bCs/>
                <w:szCs w:val="24"/>
              </w:rPr>
              <w:t>.</w:t>
            </w:r>
          </w:p>
          <w:p w14:paraId="6ED0CC07" w14:textId="3EC8775A" w:rsidR="00CC2AFB" w:rsidRDefault="00175BAE" w:rsidP="00DC569A">
            <w:pPr>
              <w:jc w:val="both"/>
            </w:pPr>
            <w:r w:rsidRPr="0050586A">
              <w:rPr>
                <w:b/>
                <w:bCs/>
              </w:rPr>
              <w:t>Patikslinta</w:t>
            </w:r>
            <w:r>
              <w:t xml:space="preserve"> (</w:t>
            </w:r>
            <w:r w:rsidRPr="0050586A">
              <w:rPr>
                <w:i/>
                <w:iCs/>
              </w:rPr>
              <w:t>žiūr.</w:t>
            </w:r>
            <w:r>
              <w:t xml:space="preserve"> Derinimo lentelės 9 </w:t>
            </w:r>
            <w:r w:rsidR="002509E4">
              <w:t xml:space="preserve">p.) </w:t>
            </w:r>
            <w:r w:rsidR="00E53327">
              <w:t>S</w:t>
            </w:r>
            <w:r w:rsidR="00AC62A8">
              <w:t>iekiant didesnio duomenų pasiskirstymo pagal šį kriterijų, balų vertinimo skalė išskaidyta smulkiau.</w:t>
            </w:r>
            <w:r w:rsidR="00737E2E">
              <w:t xml:space="preserve"> </w:t>
            </w:r>
            <w:r w:rsidR="00737E2E">
              <w:rPr>
                <w:szCs w:val="24"/>
              </w:rPr>
              <w:t>J</w:t>
            </w:r>
            <w:r w:rsidR="00737E2E" w:rsidRPr="0049009C">
              <w:rPr>
                <w:szCs w:val="24"/>
              </w:rPr>
              <w:t xml:space="preserve">eigu negautos EK </w:t>
            </w:r>
            <w:r w:rsidR="00737E2E" w:rsidRPr="0049009C">
              <w:rPr>
                <w:szCs w:val="24"/>
              </w:rPr>
              <w:lastRenderedPageBreak/>
              <w:t xml:space="preserve">dotacijos, išreikštos eurais, santykis su pareiškėjo PĮP nurodoma prašoma projektui skirti finansavimo lėšų suma, išreikšta eurais, yra </w:t>
            </w:r>
            <w:r w:rsidR="00737E2E" w:rsidRPr="002135B6">
              <w:rPr>
                <w:szCs w:val="24"/>
              </w:rPr>
              <w:t>mažiau</w:t>
            </w:r>
            <w:r w:rsidR="00C96A36" w:rsidRPr="002135B6">
              <w:rPr>
                <w:szCs w:val="24"/>
              </w:rPr>
              <w:t xml:space="preserve"> nei 1</w:t>
            </w:r>
            <w:r w:rsidR="001879CF" w:rsidRPr="002135B6">
              <w:rPr>
                <w:szCs w:val="24"/>
              </w:rPr>
              <w:t>,</w:t>
            </w:r>
            <w:r w:rsidR="00737E2E" w:rsidRPr="002135B6">
              <w:rPr>
                <w:szCs w:val="24"/>
              </w:rPr>
              <w:t xml:space="preserve"> </w:t>
            </w:r>
            <w:r w:rsidR="00C96A36" w:rsidRPr="002135B6">
              <w:rPr>
                <w:szCs w:val="24"/>
              </w:rPr>
              <w:t>balų nesuteikiama</w:t>
            </w:r>
            <w:r w:rsidR="001879CF" w:rsidRPr="002135B6">
              <w:rPr>
                <w:szCs w:val="24"/>
              </w:rPr>
              <w:t>.</w:t>
            </w:r>
            <w:r w:rsidR="00737E2E" w:rsidDel="00AC62A8">
              <w:t xml:space="preserve"> </w:t>
            </w:r>
          </w:p>
          <w:p w14:paraId="70D33F1E" w14:textId="77777777" w:rsidR="00657C06" w:rsidRDefault="00657C06" w:rsidP="00DC569A">
            <w:pPr>
              <w:jc w:val="both"/>
            </w:pPr>
          </w:p>
          <w:p w14:paraId="250356C2" w14:textId="4BC1217C" w:rsidR="00E45D9E" w:rsidRDefault="54583688" w:rsidP="2ED31983">
            <w:pPr>
              <w:jc w:val="both"/>
            </w:pPr>
            <w:r>
              <w:t xml:space="preserve">Taip, </w:t>
            </w:r>
            <w:r w:rsidR="6343F76B">
              <w:t xml:space="preserve">reikalavimai </w:t>
            </w:r>
            <w:r w:rsidR="2AF6288C">
              <w:t xml:space="preserve">santykio reikšmei </w:t>
            </w:r>
            <w:r w:rsidR="6343F76B">
              <w:t xml:space="preserve">yra </w:t>
            </w:r>
            <w:r>
              <w:t>vienodi</w:t>
            </w:r>
            <w:r w:rsidR="19D2DE6F">
              <w:t xml:space="preserve"> </w:t>
            </w:r>
            <w:r w:rsidR="6C1A3877">
              <w:t>tiek pareiškėjams, vykdantiems gamtos, technologijos, medicinos, sveikatos arba žemės ūkio mokslų, tiek vykdantiems humanitarinių arba socialinių mokslų MTEP veiklą</w:t>
            </w:r>
            <w:r>
              <w:t>.</w:t>
            </w:r>
          </w:p>
          <w:p w14:paraId="5B3ED1B7" w14:textId="77777777" w:rsidR="00674E58" w:rsidRDefault="00674E58" w:rsidP="00DC569A">
            <w:pPr>
              <w:jc w:val="both"/>
              <w:rPr>
                <w:bCs/>
                <w:szCs w:val="24"/>
              </w:rPr>
            </w:pPr>
          </w:p>
          <w:p w14:paraId="471A4EF3" w14:textId="6BB7964D" w:rsidR="008A425C" w:rsidRDefault="000A5B17" w:rsidP="00DC569A">
            <w:pPr>
              <w:jc w:val="both"/>
              <w:rPr>
                <w:bCs/>
                <w:szCs w:val="24"/>
              </w:rPr>
            </w:pPr>
            <w:r w:rsidRPr="0049009C">
              <w:rPr>
                <w:b/>
                <w:bCs/>
              </w:rPr>
              <w:t>Atsižvelgta</w:t>
            </w:r>
            <w:r w:rsidR="002509E4">
              <w:rPr>
                <w:b/>
                <w:bCs/>
              </w:rPr>
              <w:t xml:space="preserve"> į abu pastebėjimus dėl PFSA 14 </w:t>
            </w:r>
            <w:r w:rsidR="0089671C">
              <w:rPr>
                <w:b/>
                <w:bCs/>
              </w:rPr>
              <w:t>p</w:t>
            </w:r>
            <w:r w:rsidRPr="0049009C">
              <w:rPr>
                <w:b/>
                <w:bCs/>
              </w:rPr>
              <w:t>.</w:t>
            </w:r>
            <w:r>
              <w:t xml:space="preserve"> </w:t>
            </w:r>
            <w:r w:rsidR="35CAB2FC">
              <w:t>Patikslinta</w:t>
            </w:r>
            <w:r w:rsidR="002509E4">
              <w:t>s</w:t>
            </w:r>
            <w:r w:rsidR="35CAB2FC">
              <w:t xml:space="preserve"> PFSA </w:t>
            </w:r>
            <w:r w:rsidR="14868444">
              <w:t>14.2 papunktis</w:t>
            </w:r>
            <w:r w:rsidR="0017450E">
              <w:t>:</w:t>
            </w:r>
            <w:r w:rsidR="14868444">
              <w:t xml:space="preserve"> </w:t>
            </w:r>
            <w:r w:rsidR="0017450E" w:rsidRPr="00D00F2E">
              <w:rPr>
                <w:szCs w:val="24"/>
              </w:rPr>
              <w:t xml:space="preserve">Projekto vykdytojas </w:t>
            </w:r>
            <w:r w:rsidR="0017450E" w:rsidRPr="00885D4C">
              <w:rPr>
                <w:bCs/>
                <w:szCs w:val="24"/>
              </w:rPr>
              <w:t>projekto įgyvendinimo metu arba</w:t>
            </w:r>
            <w:r w:rsidR="0017450E">
              <w:rPr>
                <w:bCs/>
                <w:szCs w:val="24"/>
              </w:rPr>
              <w:t xml:space="preserve"> </w:t>
            </w:r>
            <w:r w:rsidR="0017450E" w:rsidRPr="00D00F2E">
              <w:rPr>
                <w:szCs w:val="24"/>
              </w:rPr>
              <w:t xml:space="preserve">ne vėliau kaip per 3 metus po projekto įgyvendinimo pabaigos pateikia bent vieną paraišką pagal Europos Sąjungos bendrosios mokslinių tyrimų ir inovacijų programos, įskaitant Europos partnerysčių ir Europos bendradarbiavimo mokslo ir technologijų srityje (angl. </w:t>
            </w:r>
            <w:r w:rsidR="0017450E" w:rsidRPr="0049009C">
              <w:rPr>
                <w:i/>
                <w:iCs/>
                <w:szCs w:val="24"/>
              </w:rPr>
              <w:t xml:space="preserve">European Cooperation in Science and Technology, </w:t>
            </w:r>
            <w:r w:rsidR="0017450E" w:rsidRPr="003E6B8D">
              <w:rPr>
                <w:szCs w:val="24"/>
              </w:rPr>
              <w:t>COST</w:t>
            </w:r>
            <w:r w:rsidR="0017450E" w:rsidRPr="00D00F2E">
              <w:rPr>
                <w:szCs w:val="24"/>
              </w:rPr>
              <w:t xml:space="preserve">) programos </w:t>
            </w:r>
            <w:r w:rsidR="0017450E" w:rsidRPr="00885D4C">
              <w:rPr>
                <w:szCs w:val="24"/>
              </w:rPr>
              <w:t>(dėl naujų COST veiklų inicijavimo), kvietimus.</w:t>
            </w:r>
            <w:r w:rsidR="0017450E">
              <w:t xml:space="preserve"> </w:t>
            </w:r>
          </w:p>
          <w:p w14:paraId="63DEF53F" w14:textId="77777777" w:rsidR="008A425C" w:rsidRDefault="008A425C" w:rsidP="00DC569A">
            <w:pPr>
              <w:jc w:val="both"/>
              <w:rPr>
                <w:bCs/>
                <w:szCs w:val="24"/>
              </w:rPr>
            </w:pPr>
          </w:p>
          <w:p w14:paraId="2555BB22" w14:textId="7B07BAD6" w:rsidR="008A425C" w:rsidRPr="00CA28DB" w:rsidRDefault="008A425C" w:rsidP="2ED31983">
            <w:pPr>
              <w:jc w:val="both"/>
              <w:rPr>
                <w:b/>
                <w:bCs/>
              </w:rPr>
            </w:pPr>
          </w:p>
        </w:tc>
      </w:tr>
      <w:tr w:rsidR="00DC569A" w:rsidRPr="006C4311" w14:paraId="6D4FD0ED" w14:textId="77777777" w:rsidTr="00D50E86">
        <w:tc>
          <w:tcPr>
            <w:tcW w:w="567" w:type="dxa"/>
          </w:tcPr>
          <w:p w14:paraId="2F21C449" w14:textId="796E6407" w:rsidR="00DC569A" w:rsidRDefault="00DC569A" w:rsidP="00DC569A">
            <w:pPr>
              <w:jc w:val="both"/>
              <w:rPr>
                <w:bCs/>
                <w:szCs w:val="24"/>
                <w:lang w:val="en-US"/>
              </w:rPr>
            </w:pPr>
            <w:r>
              <w:rPr>
                <w:bCs/>
                <w:szCs w:val="24"/>
                <w:lang w:val="en-US"/>
              </w:rPr>
              <w:lastRenderedPageBreak/>
              <w:t>15.</w:t>
            </w:r>
          </w:p>
        </w:tc>
        <w:tc>
          <w:tcPr>
            <w:tcW w:w="1980" w:type="dxa"/>
            <w:vMerge/>
          </w:tcPr>
          <w:p w14:paraId="3D73F19F" w14:textId="77777777" w:rsidR="00DC569A" w:rsidRPr="006C4311" w:rsidRDefault="00DC569A" w:rsidP="00DC569A">
            <w:pPr>
              <w:jc w:val="both"/>
              <w:rPr>
                <w:bCs/>
                <w:szCs w:val="24"/>
              </w:rPr>
            </w:pPr>
          </w:p>
        </w:tc>
        <w:tc>
          <w:tcPr>
            <w:tcW w:w="6237" w:type="dxa"/>
          </w:tcPr>
          <w:p w14:paraId="24093715" w14:textId="22193854" w:rsidR="00DC569A" w:rsidRPr="00A35DDC" w:rsidRDefault="00DC569A" w:rsidP="00DC569A">
            <w:pPr>
              <w:jc w:val="both"/>
              <w:rPr>
                <w:szCs w:val="24"/>
              </w:rPr>
            </w:pPr>
            <w:r w:rsidRPr="008177BD">
              <w:rPr>
                <w:szCs w:val="24"/>
              </w:rPr>
              <w:t xml:space="preserve">Atkreiptinas dėmesys, kad, remiantis LR finansų ministro 2022 m. birželio 22 d. įsakymu Nr. 1K-237 patvirtintų Projektų administravimo ir finansavimo taisyklių 50.2 ir 51 punktais, projektų paraiškas atrenkant ir vertinant konkurso būdu turi būti atliekamas projektų naudos ir kokybės vertinimas bei atrenkami tinkami finansuoti, geriausiai atrankos kriterijus atitinkantys projektai. Šiuo atveju, pagal pateiktus projektų atrankos kriterijus akivaizdu, kad paraiškų naudos ir kokybės vertinimas nėra atliekamas, jos tik sureitinguojamos pagal </w:t>
            </w:r>
            <w:r w:rsidRPr="008177BD">
              <w:rPr>
                <w:szCs w:val="24"/>
              </w:rPr>
              <w:lastRenderedPageBreak/>
              <w:t>formalius techninio pobūdžio kriterijus (priemonę, vertę, prašomą sumą ir pan.). Tai preziumuoja, kad projektai savo esme yra vienarūšiai ir jų atitiktį parinktiems reikalavimams pagal pirmąjį ir antrąjį prioritetinius atrankos kriterijus yra nesudėtinga patikrinti bei iš anksto pateikti pagal du pirmuosius kriterijus sureitinguotų paraiškų sąrašą. Tai padėtų išvengti perteklinių procedūrų, optimizuoti skiriamą laiką bei taupyti lėšas tiek mokslo ir studijų institucijoms, rengsiančioms PĮP, tiek administruojančiai institucijai, atliekant formalų paraiškų vertinimą, tiek nacionaliniams kontaktiniams asmenims, į kuriuos dėl atitikties PFSA projekto 5.1.2 punkto reikalavimams administruojančiai institucijai jau nebereiktų kreiptis.</w:t>
            </w:r>
          </w:p>
        </w:tc>
        <w:tc>
          <w:tcPr>
            <w:tcW w:w="5528" w:type="dxa"/>
          </w:tcPr>
          <w:p w14:paraId="504209DB" w14:textId="1F214719" w:rsidR="00DC569A" w:rsidRDefault="545C28F7" w:rsidP="00DC569A">
            <w:pPr>
              <w:jc w:val="both"/>
            </w:pPr>
            <w:r>
              <w:lastRenderedPageBreak/>
              <w:t>Kadangi veiklai įgyvendinti yra likę</w:t>
            </w:r>
            <w:r w:rsidR="63B1EEEA">
              <w:t>s</w:t>
            </w:r>
            <w:r>
              <w:t xml:space="preserve"> </w:t>
            </w:r>
            <w:r w:rsidR="63B1EEEA">
              <w:t xml:space="preserve">santykinai trumpas laikotarpis, </w:t>
            </w:r>
            <w:r w:rsidR="17D92EEC">
              <w:t xml:space="preserve">PĮP naudos ir kokybės vertinimui </w:t>
            </w:r>
            <w:r w:rsidR="63B1EEEA">
              <w:t>pasirinkti ir su</w:t>
            </w:r>
            <w:r w:rsidR="17D92EEC">
              <w:t xml:space="preserve"> </w:t>
            </w:r>
            <w:r w:rsidR="09B9BC4B">
              <w:t>NKL plano vadovaujanči</w:t>
            </w:r>
            <w:r w:rsidR="00762C7D">
              <w:t>a</w:t>
            </w:r>
            <w:r w:rsidR="17D92EEC">
              <w:t xml:space="preserve"> bei administruojanči</w:t>
            </w:r>
            <w:r w:rsidR="004B6B60">
              <w:t>a</w:t>
            </w:r>
            <w:r w:rsidR="17D92EEC">
              <w:t xml:space="preserve"> institucijomis suderinti </w:t>
            </w:r>
            <w:r w:rsidR="00E25E7F">
              <w:t>daugiausiai statistinius duomenis reprezentuojantys</w:t>
            </w:r>
            <w:r w:rsidR="001509F2">
              <w:t>, todėl paprasčiau</w:t>
            </w:r>
            <w:r w:rsidR="7CC734AE">
              <w:t xml:space="preserve"> </w:t>
            </w:r>
            <w:r w:rsidR="11DF8B8F">
              <w:t>įvertinami</w:t>
            </w:r>
            <w:r w:rsidR="7CC734AE">
              <w:t xml:space="preserve"> kriterijai, siekiant minimaliai sutrumpinti </w:t>
            </w:r>
            <w:r w:rsidR="649FDA22">
              <w:t xml:space="preserve">PĮP vertinimo procesus, finansavimo skyrimo bei sutarčių pasirašymo procesus, kad kuo </w:t>
            </w:r>
            <w:r w:rsidR="649FDA22">
              <w:lastRenderedPageBreak/>
              <w:t xml:space="preserve">daugiau laiko liktų </w:t>
            </w:r>
            <w:r w:rsidR="4B8BE334">
              <w:t xml:space="preserve">MSI įgyvendinti </w:t>
            </w:r>
            <w:r w:rsidR="00572FA1">
              <w:t xml:space="preserve">laboratorinės ir kitos MTEP infrastruktūros atnaujinimo </w:t>
            </w:r>
            <w:r w:rsidR="4B8BE334">
              <w:t>projektus.</w:t>
            </w:r>
            <w:r w:rsidR="7CC734AE">
              <w:t xml:space="preserve"> </w:t>
            </w:r>
            <w:r w:rsidR="63B1EEEA">
              <w:t xml:space="preserve"> </w:t>
            </w:r>
          </w:p>
          <w:p w14:paraId="1092DDB3" w14:textId="4ADBDC42" w:rsidR="00623E3D" w:rsidRPr="00CA28DB" w:rsidRDefault="4B8BE334" w:rsidP="00DC569A">
            <w:pPr>
              <w:jc w:val="both"/>
            </w:pPr>
            <w:r>
              <w:t xml:space="preserve">Su administruojančia institucija buvo konsultuotasi dėl </w:t>
            </w:r>
            <w:r w:rsidR="36C1E571">
              <w:t xml:space="preserve">galimo pasirinkti </w:t>
            </w:r>
            <w:r w:rsidR="001A6F61">
              <w:t>ekspertinio</w:t>
            </w:r>
            <w:r w:rsidR="36C1E571">
              <w:t xml:space="preserve"> </w:t>
            </w:r>
            <w:r w:rsidR="00572FA1">
              <w:t xml:space="preserve">naudos ir </w:t>
            </w:r>
            <w:r w:rsidR="36C1E571">
              <w:t>kokyb</w:t>
            </w:r>
            <w:r w:rsidR="00E827F5">
              <w:t>ės</w:t>
            </w:r>
            <w:r w:rsidR="36C1E571">
              <w:t xml:space="preserve"> PĮP vertinimo, tačiau tokiam procesui </w:t>
            </w:r>
            <w:r w:rsidR="36CFE9BF">
              <w:t xml:space="preserve">įgyvendinti </w:t>
            </w:r>
            <w:r w:rsidR="36C1E571">
              <w:t>papildomai</w:t>
            </w:r>
            <w:r w:rsidR="36CFE9BF">
              <w:t xml:space="preserve"> dar reiktų </w:t>
            </w:r>
            <w:r w:rsidR="001A6F61">
              <w:t>planuoti</w:t>
            </w:r>
            <w:r w:rsidR="36CFE9BF">
              <w:t xml:space="preserve"> 30</w:t>
            </w:r>
            <w:r w:rsidR="00E827F5">
              <w:t>-40</w:t>
            </w:r>
            <w:r w:rsidR="36CFE9BF">
              <w:t xml:space="preserve"> d.</w:t>
            </w:r>
            <w:r w:rsidR="41915A07">
              <w:t xml:space="preserve"> </w:t>
            </w:r>
            <w:r w:rsidR="36CFE9BF">
              <w:t>d</w:t>
            </w:r>
            <w:r w:rsidR="00A60FDE">
              <w:t>.</w:t>
            </w:r>
            <w:r w:rsidR="301637D7">
              <w:t>,</w:t>
            </w:r>
            <w:r w:rsidR="36CFE9BF">
              <w:t xml:space="preserve"> kas rizikingai sutrumpintų projektų įgyvendinimo laikotarpį.</w:t>
            </w:r>
            <w:r w:rsidR="36C1E571">
              <w:t xml:space="preserve"> </w:t>
            </w:r>
            <w:r w:rsidR="002B6A14">
              <w:t xml:space="preserve">Susietojo projekto paraiškai EK </w:t>
            </w:r>
            <w:r w:rsidR="002B6A14" w:rsidRPr="181E9AFB">
              <w:t xml:space="preserve">suteiktas </w:t>
            </w:r>
            <w:r w:rsidR="002B6A14">
              <w:t xml:space="preserve">galutinis </w:t>
            </w:r>
            <w:r w:rsidR="002B6A14" w:rsidRPr="181E9AFB">
              <w:t>įvertinimas</w:t>
            </w:r>
            <w:r w:rsidR="002B6A14">
              <w:t xml:space="preserve"> iš dalies </w:t>
            </w:r>
            <w:r w:rsidR="0090296F">
              <w:t>reprezentuoja p</w:t>
            </w:r>
            <w:r w:rsidR="00E827F5">
              <w:t>rojektų kokyb</w:t>
            </w:r>
            <w:r w:rsidR="0090296F">
              <w:t xml:space="preserve">ę. </w:t>
            </w:r>
            <w:r w:rsidR="007F34D3">
              <w:t xml:space="preserve"> </w:t>
            </w:r>
          </w:p>
        </w:tc>
      </w:tr>
      <w:tr w:rsidR="00DC569A" w:rsidRPr="006C4311" w14:paraId="79F4CEB2" w14:textId="77777777" w:rsidTr="00D50E86">
        <w:tc>
          <w:tcPr>
            <w:tcW w:w="567" w:type="dxa"/>
          </w:tcPr>
          <w:p w14:paraId="161B436D" w14:textId="2CA52C8D" w:rsidR="00DC569A" w:rsidRDefault="00DC569A" w:rsidP="00DC569A">
            <w:pPr>
              <w:jc w:val="both"/>
              <w:rPr>
                <w:bCs/>
                <w:szCs w:val="24"/>
                <w:lang w:val="en-US"/>
              </w:rPr>
            </w:pPr>
            <w:r>
              <w:rPr>
                <w:bCs/>
                <w:szCs w:val="24"/>
                <w:lang w:val="en-US"/>
              </w:rPr>
              <w:lastRenderedPageBreak/>
              <w:t>1</w:t>
            </w:r>
            <w:r>
              <w:rPr>
                <w:bCs/>
                <w:szCs w:val="24"/>
                <w:lang w:val="en-GB"/>
              </w:rPr>
              <w:t>6</w:t>
            </w:r>
            <w:r>
              <w:rPr>
                <w:bCs/>
                <w:szCs w:val="24"/>
                <w:lang w:val="en-US"/>
              </w:rPr>
              <w:t>.</w:t>
            </w:r>
          </w:p>
        </w:tc>
        <w:tc>
          <w:tcPr>
            <w:tcW w:w="1980" w:type="dxa"/>
            <w:vMerge/>
          </w:tcPr>
          <w:p w14:paraId="2EF65E20" w14:textId="77777777" w:rsidR="00DC569A" w:rsidRPr="006C4311" w:rsidRDefault="00DC569A" w:rsidP="00DC569A">
            <w:pPr>
              <w:jc w:val="both"/>
              <w:rPr>
                <w:bCs/>
                <w:szCs w:val="24"/>
              </w:rPr>
            </w:pPr>
          </w:p>
        </w:tc>
        <w:tc>
          <w:tcPr>
            <w:tcW w:w="6237" w:type="dxa"/>
          </w:tcPr>
          <w:p w14:paraId="3C85CDF0" w14:textId="33F19614" w:rsidR="00DC569A" w:rsidRPr="00A35DDC" w:rsidRDefault="00DC569A" w:rsidP="00DC569A">
            <w:pPr>
              <w:jc w:val="both"/>
              <w:rPr>
                <w:szCs w:val="24"/>
              </w:rPr>
            </w:pPr>
            <w:r w:rsidRPr="00594A0B">
              <w:rPr>
                <w:szCs w:val="24"/>
              </w:rPr>
              <w:t>Atsižvelgiant į pastabas, prašome atitinkamai pakoreguoti PFSA projektą ir pateikti pagal pakoreguotus prioritetinius atrankos kriterijus sureitinguotų ir pagal PFSA projekto 5.1.2 punktą tinkamų paraiškų sąrašą.</w:t>
            </w:r>
          </w:p>
        </w:tc>
        <w:tc>
          <w:tcPr>
            <w:tcW w:w="5528" w:type="dxa"/>
          </w:tcPr>
          <w:p w14:paraId="28B30DF4" w14:textId="77777777" w:rsidR="00840EB6" w:rsidRDefault="2CD0BF48" w:rsidP="2ED31983">
            <w:pPr>
              <w:jc w:val="both"/>
              <w:rPr>
                <w:b/>
                <w:bCs/>
              </w:rPr>
            </w:pPr>
            <w:r w:rsidRPr="0050586A">
              <w:rPr>
                <w:b/>
                <w:bCs/>
              </w:rPr>
              <w:t>Neatsižvelgta.</w:t>
            </w:r>
          </w:p>
          <w:p w14:paraId="743A41A2" w14:textId="10BACD2B" w:rsidR="00DC569A" w:rsidRPr="00DA43D4" w:rsidRDefault="67B5AB06" w:rsidP="00DC569A">
            <w:pPr>
              <w:jc w:val="both"/>
            </w:pPr>
            <w:r>
              <w:t xml:space="preserve">Tokio </w:t>
            </w:r>
            <w:r w:rsidR="00386399">
              <w:t xml:space="preserve">tinkamo paraiškų </w:t>
            </w:r>
            <w:r>
              <w:t xml:space="preserve">sąrašo </w:t>
            </w:r>
            <w:r w:rsidR="22176855">
              <w:t>M</w:t>
            </w:r>
            <w:r>
              <w:t>inisterija pateikti negali</w:t>
            </w:r>
            <w:r w:rsidR="00386399">
              <w:t xml:space="preserve"> ir neturi teisin</w:t>
            </w:r>
            <w:r w:rsidR="00E341FC">
              <w:t>ių galimybių</w:t>
            </w:r>
            <w:r w:rsidR="00F63F53">
              <w:t>.</w:t>
            </w:r>
            <w:r w:rsidR="00E341FC">
              <w:t xml:space="preserve"> MSI savarankiškai apsispręs, kokius </w:t>
            </w:r>
            <w:r w:rsidR="00B372A0">
              <w:t>PĮP teikti konkursui, sieki</w:t>
            </w:r>
            <w:r w:rsidR="00F63F53">
              <w:t>an</w:t>
            </w:r>
            <w:r w:rsidR="00B372A0">
              <w:t>t surinkti maksimalius projektų atrankos kriterijus</w:t>
            </w:r>
            <w:r w:rsidR="00F63F53">
              <w:t xml:space="preserve"> ir planuojant investicijas į </w:t>
            </w:r>
            <w:r w:rsidR="00C259D3">
              <w:t xml:space="preserve">didžiausią pridėtinę vertę generuojančias institucijų </w:t>
            </w:r>
            <w:r w:rsidR="00DE520A">
              <w:t xml:space="preserve">mokslines </w:t>
            </w:r>
            <w:r w:rsidR="00C259D3">
              <w:t>laboratorijas</w:t>
            </w:r>
            <w:r w:rsidR="001144B2">
              <w:t>.</w:t>
            </w:r>
            <w:r>
              <w:t xml:space="preserve"> </w:t>
            </w:r>
          </w:p>
        </w:tc>
      </w:tr>
    </w:tbl>
    <w:p w14:paraId="1938C6D7" w14:textId="56291A85"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9073C4">
      <w:headerReference w:type="default" r:id="rId11"/>
      <w:pgSz w:w="16838" w:h="11906" w:orient="landscape"/>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2861" w14:textId="77777777" w:rsidR="00DE3ACE" w:rsidRDefault="00DE3ACE" w:rsidP="002916D9">
      <w:r>
        <w:separator/>
      </w:r>
    </w:p>
  </w:endnote>
  <w:endnote w:type="continuationSeparator" w:id="0">
    <w:p w14:paraId="0A4B5F88" w14:textId="77777777" w:rsidR="00DE3ACE" w:rsidRDefault="00DE3ACE" w:rsidP="002916D9">
      <w:r>
        <w:continuationSeparator/>
      </w:r>
    </w:p>
  </w:endnote>
  <w:endnote w:type="continuationNotice" w:id="1">
    <w:p w14:paraId="7D783F5D" w14:textId="77777777" w:rsidR="00DE3ACE" w:rsidRDefault="00DE3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5CAE" w14:textId="77777777" w:rsidR="00DE3ACE" w:rsidRDefault="00DE3ACE" w:rsidP="002916D9">
      <w:r>
        <w:separator/>
      </w:r>
    </w:p>
  </w:footnote>
  <w:footnote w:type="continuationSeparator" w:id="0">
    <w:p w14:paraId="5DAB08C8" w14:textId="77777777" w:rsidR="00DE3ACE" w:rsidRDefault="00DE3ACE" w:rsidP="002916D9">
      <w:r>
        <w:continuationSeparator/>
      </w:r>
    </w:p>
  </w:footnote>
  <w:footnote w:type="continuationNotice" w:id="1">
    <w:p w14:paraId="217DB899" w14:textId="77777777" w:rsidR="00DE3ACE" w:rsidRDefault="00DE3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4661"/>
    <w:multiLevelType w:val="hybridMultilevel"/>
    <w:tmpl w:val="0FF8E78E"/>
    <w:lvl w:ilvl="0" w:tplc="C4F47E92">
      <w:start w:val="1"/>
      <w:numFmt w:val="decimal"/>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0F3717"/>
    <w:multiLevelType w:val="hybridMultilevel"/>
    <w:tmpl w:val="4BCC3A46"/>
    <w:lvl w:ilvl="0" w:tplc="FB3003E4">
      <w:start w:val="1"/>
      <w:numFmt w:val="bullet"/>
      <w:lvlText w:val=""/>
      <w:lvlJc w:val="left"/>
      <w:pPr>
        <w:ind w:left="720" w:hanging="360"/>
      </w:pPr>
      <w:rPr>
        <w:rFonts w:ascii="Symbol" w:hAnsi="Symbol"/>
      </w:rPr>
    </w:lvl>
    <w:lvl w:ilvl="1" w:tplc="8C6A5614">
      <w:start w:val="1"/>
      <w:numFmt w:val="bullet"/>
      <w:lvlText w:val=""/>
      <w:lvlJc w:val="left"/>
      <w:pPr>
        <w:ind w:left="720" w:hanging="360"/>
      </w:pPr>
      <w:rPr>
        <w:rFonts w:ascii="Symbol" w:hAnsi="Symbol"/>
      </w:rPr>
    </w:lvl>
    <w:lvl w:ilvl="2" w:tplc="B560BFA4">
      <w:start w:val="1"/>
      <w:numFmt w:val="bullet"/>
      <w:lvlText w:val=""/>
      <w:lvlJc w:val="left"/>
      <w:pPr>
        <w:ind w:left="720" w:hanging="360"/>
      </w:pPr>
      <w:rPr>
        <w:rFonts w:ascii="Symbol" w:hAnsi="Symbol"/>
      </w:rPr>
    </w:lvl>
    <w:lvl w:ilvl="3" w:tplc="677A091E">
      <w:start w:val="1"/>
      <w:numFmt w:val="bullet"/>
      <w:lvlText w:val=""/>
      <w:lvlJc w:val="left"/>
      <w:pPr>
        <w:ind w:left="720" w:hanging="360"/>
      </w:pPr>
      <w:rPr>
        <w:rFonts w:ascii="Symbol" w:hAnsi="Symbol"/>
      </w:rPr>
    </w:lvl>
    <w:lvl w:ilvl="4" w:tplc="0820F7B0">
      <w:start w:val="1"/>
      <w:numFmt w:val="bullet"/>
      <w:lvlText w:val=""/>
      <w:lvlJc w:val="left"/>
      <w:pPr>
        <w:ind w:left="720" w:hanging="360"/>
      </w:pPr>
      <w:rPr>
        <w:rFonts w:ascii="Symbol" w:hAnsi="Symbol"/>
      </w:rPr>
    </w:lvl>
    <w:lvl w:ilvl="5" w:tplc="C9CC438E">
      <w:start w:val="1"/>
      <w:numFmt w:val="bullet"/>
      <w:lvlText w:val=""/>
      <w:lvlJc w:val="left"/>
      <w:pPr>
        <w:ind w:left="720" w:hanging="360"/>
      </w:pPr>
      <w:rPr>
        <w:rFonts w:ascii="Symbol" w:hAnsi="Symbol"/>
      </w:rPr>
    </w:lvl>
    <w:lvl w:ilvl="6" w:tplc="172C3B82">
      <w:start w:val="1"/>
      <w:numFmt w:val="bullet"/>
      <w:lvlText w:val=""/>
      <w:lvlJc w:val="left"/>
      <w:pPr>
        <w:ind w:left="720" w:hanging="360"/>
      </w:pPr>
      <w:rPr>
        <w:rFonts w:ascii="Symbol" w:hAnsi="Symbol"/>
      </w:rPr>
    </w:lvl>
    <w:lvl w:ilvl="7" w:tplc="74F688F0">
      <w:start w:val="1"/>
      <w:numFmt w:val="bullet"/>
      <w:lvlText w:val=""/>
      <w:lvlJc w:val="left"/>
      <w:pPr>
        <w:ind w:left="720" w:hanging="360"/>
      </w:pPr>
      <w:rPr>
        <w:rFonts w:ascii="Symbol" w:hAnsi="Symbol"/>
      </w:rPr>
    </w:lvl>
    <w:lvl w:ilvl="8" w:tplc="DE003FAC">
      <w:start w:val="1"/>
      <w:numFmt w:val="bullet"/>
      <w:lvlText w:val=""/>
      <w:lvlJc w:val="left"/>
      <w:pPr>
        <w:ind w:left="720" w:hanging="360"/>
      </w:pPr>
      <w:rPr>
        <w:rFonts w:ascii="Symbol" w:hAnsi="Symbol"/>
      </w:rPr>
    </w:lvl>
  </w:abstractNum>
  <w:abstractNum w:abstractNumId="9"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D66656C"/>
    <w:multiLevelType w:val="hybridMultilevel"/>
    <w:tmpl w:val="47166E00"/>
    <w:lvl w:ilvl="0" w:tplc="539880EC">
      <w:start w:val="1"/>
      <w:numFmt w:val="bullet"/>
      <w:lvlText w:val=""/>
      <w:lvlJc w:val="left"/>
      <w:pPr>
        <w:ind w:left="720" w:hanging="360"/>
      </w:pPr>
      <w:rPr>
        <w:rFonts w:ascii="Symbol" w:hAnsi="Symbol"/>
      </w:rPr>
    </w:lvl>
    <w:lvl w:ilvl="1" w:tplc="6A047DCA">
      <w:start w:val="1"/>
      <w:numFmt w:val="bullet"/>
      <w:lvlText w:val=""/>
      <w:lvlJc w:val="left"/>
      <w:pPr>
        <w:ind w:left="720" w:hanging="360"/>
      </w:pPr>
      <w:rPr>
        <w:rFonts w:ascii="Symbol" w:hAnsi="Symbol"/>
      </w:rPr>
    </w:lvl>
    <w:lvl w:ilvl="2" w:tplc="50EA7AA4">
      <w:start w:val="1"/>
      <w:numFmt w:val="bullet"/>
      <w:lvlText w:val=""/>
      <w:lvlJc w:val="left"/>
      <w:pPr>
        <w:ind w:left="720" w:hanging="360"/>
      </w:pPr>
      <w:rPr>
        <w:rFonts w:ascii="Symbol" w:hAnsi="Symbol"/>
      </w:rPr>
    </w:lvl>
    <w:lvl w:ilvl="3" w:tplc="53429A22">
      <w:start w:val="1"/>
      <w:numFmt w:val="bullet"/>
      <w:lvlText w:val=""/>
      <w:lvlJc w:val="left"/>
      <w:pPr>
        <w:ind w:left="720" w:hanging="360"/>
      </w:pPr>
      <w:rPr>
        <w:rFonts w:ascii="Symbol" w:hAnsi="Symbol"/>
      </w:rPr>
    </w:lvl>
    <w:lvl w:ilvl="4" w:tplc="70B0A864">
      <w:start w:val="1"/>
      <w:numFmt w:val="bullet"/>
      <w:lvlText w:val=""/>
      <w:lvlJc w:val="left"/>
      <w:pPr>
        <w:ind w:left="720" w:hanging="360"/>
      </w:pPr>
      <w:rPr>
        <w:rFonts w:ascii="Symbol" w:hAnsi="Symbol"/>
      </w:rPr>
    </w:lvl>
    <w:lvl w:ilvl="5" w:tplc="B5924484">
      <w:start w:val="1"/>
      <w:numFmt w:val="bullet"/>
      <w:lvlText w:val=""/>
      <w:lvlJc w:val="left"/>
      <w:pPr>
        <w:ind w:left="720" w:hanging="360"/>
      </w:pPr>
      <w:rPr>
        <w:rFonts w:ascii="Symbol" w:hAnsi="Symbol"/>
      </w:rPr>
    </w:lvl>
    <w:lvl w:ilvl="6" w:tplc="C80CF61A">
      <w:start w:val="1"/>
      <w:numFmt w:val="bullet"/>
      <w:lvlText w:val=""/>
      <w:lvlJc w:val="left"/>
      <w:pPr>
        <w:ind w:left="720" w:hanging="360"/>
      </w:pPr>
      <w:rPr>
        <w:rFonts w:ascii="Symbol" w:hAnsi="Symbol"/>
      </w:rPr>
    </w:lvl>
    <w:lvl w:ilvl="7" w:tplc="D83E46F2">
      <w:start w:val="1"/>
      <w:numFmt w:val="bullet"/>
      <w:lvlText w:val=""/>
      <w:lvlJc w:val="left"/>
      <w:pPr>
        <w:ind w:left="720" w:hanging="360"/>
      </w:pPr>
      <w:rPr>
        <w:rFonts w:ascii="Symbol" w:hAnsi="Symbol"/>
      </w:rPr>
    </w:lvl>
    <w:lvl w:ilvl="8" w:tplc="26501CAE">
      <w:start w:val="1"/>
      <w:numFmt w:val="bullet"/>
      <w:lvlText w:val=""/>
      <w:lvlJc w:val="left"/>
      <w:pPr>
        <w:ind w:left="720" w:hanging="360"/>
      </w:pPr>
      <w:rPr>
        <w:rFonts w:ascii="Symbol" w:hAnsi="Symbol"/>
      </w:rPr>
    </w:lvl>
  </w:abstractNum>
  <w:abstractNum w:abstractNumId="12"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7"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23FD3"/>
    <w:multiLevelType w:val="hybridMultilevel"/>
    <w:tmpl w:val="7F78B098"/>
    <w:lvl w:ilvl="0" w:tplc="65B8E512">
      <w:start w:val="1"/>
      <w:numFmt w:val="bullet"/>
      <w:lvlText w:val=""/>
      <w:lvlJc w:val="left"/>
      <w:pPr>
        <w:ind w:left="720" w:hanging="360"/>
      </w:pPr>
      <w:rPr>
        <w:rFonts w:ascii="Symbol" w:hAnsi="Symbol"/>
      </w:rPr>
    </w:lvl>
    <w:lvl w:ilvl="1" w:tplc="84346784">
      <w:start w:val="1"/>
      <w:numFmt w:val="bullet"/>
      <w:lvlText w:val=""/>
      <w:lvlJc w:val="left"/>
      <w:pPr>
        <w:ind w:left="720" w:hanging="360"/>
      </w:pPr>
      <w:rPr>
        <w:rFonts w:ascii="Symbol" w:hAnsi="Symbol"/>
      </w:rPr>
    </w:lvl>
    <w:lvl w:ilvl="2" w:tplc="9F946202">
      <w:start w:val="1"/>
      <w:numFmt w:val="bullet"/>
      <w:lvlText w:val=""/>
      <w:lvlJc w:val="left"/>
      <w:pPr>
        <w:ind w:left="720" w:hanging="360"/>
      </w:pPr>
      <w:rPr>
        <w:rFonts w:ascii="Symbol" w:hAnsi="Symbol"/>
      </w:rPr>
    </w:lvl>
    <w:lvl w:ilvl="3" w:tplc="64A4545C">
      <w:start w:val="1"/>
      <w:numFmt w:val="bullet"/>
      <w:lvlText w:val=""/>
      <w:lvlJc w:val="left"/>
      <w:pPr>
        <w:ind w:left="720" w:hanging="360"/>
      </w:pPr>
      <w:rPr>
        <w:rFonts w:ascii="Symbol" w:hAnsi="Symbol"/>
      </w:rPr>
    </w:lvl>
    <w:lvl w:ilvl="4" w:tplc="DC6A8108">
      <w:start w:val="1"/>
      <w:numFmt w:val="bullet"/>
      <w:lvlText w:val=""/>
      <w:lvlJc w:val="left"/>
      <w:pPr>
        <w:ind w:left="720" w:hanging="360"/>
      </w:pPr>
      <w:rPr>
        <w:rFonts w:ascii="Symbol" w:hAnsi="Symbol"/>
      </w:rPr>
    </w:lvl>
    <w:lvl w:ilvl="5" w:tplc="AAD2C824">
      <w:start w:val="1"/>
      <w:numFmt w:val="bullet"/>
      <w:lvlText w:val=""/>
      <w:lvlJc w:val="left"/>
      <w:pPr>
        <w:ind w:left="720" w:hanging="360"/>
      </w:pPr>
      <w:rPr>
        <w:rFonts w:ascii="Symbol" w:hAnsi="Symbol"/>
      </w:rPr>
    </w:lvl>
    <w:lvl w:ilvl="6" w:tplc="87DC776C">
      <w:start w:val="1"/>
      <w:numFmt w:val="bullet"/>
      <w:lvlText w:val=""/>
      <w:lvlJc w:val="left"/>
      <w:pPr>
        <w:ind w:left="720" w:hanging="360"/>
      </w:pPr>
      <w:rPr>
        <w:rFonts w:ascii="Symbol" w:hAnsi="Symbol"/>
      </w:rPr>
    </w:lvl>
    <w:lvl w:ilvl="7" w:tplc="FF04FF32">
      <w:start w:val="1"/>
      <w:numFmt w:val="bullet"/>
      <w:lvlText w:val=""/>
      <w:lvlJc w:val="left"/>
      <w:pPr>
        <w:ind w:left="720" w:hanging="360"/>
      </w:pPr>
      <w:rPr>
        <w:rFonts w:ascii="Symbol" w:hAnsi="Symbol"/>
      </w:rPr>
    </w:lvl>
    <w:lvl w:ilvl="8" w:tplc="AC8E42BA">
      <w:start w:val="1"/>
      <w:numFmt w:val="bullet"/>
      <w:lvlText w:val=""/>
      <w:lvlJc w:val="left"/>
      <w:pPr>
        <w:ind w:left="720" w:hanging="360"/>
      </w:pPr>
      <w:rPr>
        <w:rFonts w:ascii="Symbol" w:hAnsi="Symbol"/>
      </w:rPr>
    </w:lvl>
  </w:abstractNum>
  <w:abstractNum w:abstractNumId="24"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5"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603FF"/>
    <w:multiLevelType w:val="hybridMultilevel"/>
    <w:tmpl w:val="FF52A270"/>
    <w:lvl w:ilvl="0" w:tplc="322C2846">
      <w:start w:val="1"/>
      <w:numFmt w:val="decimal"/>
      <w:lvlText w:val="%1."/>
      <w:lvlJc w:val="left"/>
      <w:pPr>
        <w:ind w:left="1020" w:hanging="360"/>
      </w:pPr>
    </w:lvl>
    <w:lvl w:ilvl="1" w:tplc="81D43582">
      <w:start w:val="1"/>
      <w:numFmt w:val="decimal"/>
      <w:lvlText w:val="%2."/>
      <w:lvlJc w:val="left"/>
      <w:pPr>
        <w:ind w:left="1020" w:hanging="360"/>
      </w:pPr>
    </w:lvl>
    <w:lvl w:ilvl="2" w:tplc="05FAA41C">
      <w:start w:val="1"/>
      <w:numFmt w:val="decimal"/>
      <w:lvlText w:val="%3."/>
      <w:lvlJc w:val="left"/>
      <w:pPr>
        <w:ind w:left="1020" w:hanging="360"/>
      </w:pPr>
    </w:lvl>
    <w:lvl w:ilvl="3" w:tplc="3F703340">
      <w:start w:val="1"/>
      <w:numFmt w:val="decimal"/>
      <w:lvlText w:val="%4."/>
      <w:lvlJc w:val="left"/>
      <w:pPr>
        <w:ind w:left="1020" w:hanging="360"/>
      </w:pPr>
    </w:lvl>
    <w:lvl w:ilvl="4" w:tplc="66A43770">
      <w:start w:val="1"/>
      <w:numFmt w:val="decimal"/>
      <w:lvlText w:val="%5."/>
      <w:lvlJc w:val="left"/>
      <w:pPr>
        <w:ind w:left="1020" w:hanging="360"/>
      </w:pPr>
    </w:lvl>
    <w:lvl w:ilvl="5" w:tplc="2258071A">
      <w:start w:val="1"/>
      <w:numFmt w:val="decimal"/>
      <w:lvlText w:val="%6."/>
      <w:lvlJc w:val="left"/>
      <w:pPr>
        <w:ind w:left="1020" w:hanging="360"/>
      </w:pPr>
    </w:lvl>
    <w:lvl w:ilvl="6" w:tplc="DFF2CF44">
      <w:start w:val="1"/>
      <w:numFmt w:val="decimal"/>
      <w:lvlText w:val="%7."/>
      <w:lvlJc w:val="left"/>
      <w:pPr>
        <w:ind w:left="1020" w:hanging="360"/>
      </w:pPr>
    </w:lvl>
    <w:lvl w:ilvl="7" w:tplc="E682CDEE">
      <w:start w:val="1"/>
      <w:numFmt w:val="decimal"/>
      <w:lvlText w:val="%8."/>
      <w:lvlJc w:val="left"/>
      <w:pPr>
        <w:ind w:left="1020" w:hanging="360"/>
      </w:pPr>
    </w:lvl>
    <w:lvl w:ilvl="8" w:tplc="BFD018AE">
      <w:start w:val="1"/>
      <w:numFmt w:val="decimal"/>
      <w:lvlText w:val="%9."/>
      <w:lvlJc w:val="left"/>
      <w:pPr>
        <w:ind w:left="1020" w:hanging="360"/>
      </w:pPr>
    </w:lvl>
  </w:abstractNum>
  <w:abstractNum w:abstractNumId="32"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A0922"/>
    <w:multiLevelType w:val="hybridMultilevel"/>
    <w:tmpl w:val="2B2EF440"/>
    <w:lvl w:ilvl="0" w:tplc="03F8B050">
      <w:start w:val="1"/>
      <w:numFmt w:val="bullet"/>
      <w:lvlText w:val=""/>
      <w:lvlJc w:val="left"/>
      <w:pPr>
        <w:ind w:left="720" w:hanging="360"/>
      </w:pPr>
      <w:rPr>
        <w:rFonts w:ascii="Symbol" w:hAnsi="Symbol"/>
      </w:rPr>
    </w:lvl>
    <w:lvl w:ilvl="1" w:tplc="9BEC1448">
      <w:start w:val="1"/>
      <w:numFmt w:val="bullet"/>
      <w:lvlText w:val=""/>
      <w:lvlJc w:val="left"/>
      <w:pPr>
        <w:ind w:left="720" w:hanging="360"/>
      </w:pPr>
      <w:rPr>
        <w:rFonts w:ascii="Symbol" w:hAnsi="Symbol"/>
      </w:rPr>
    </w:lvl>
    <w:lvl w:ilvl="2" w:tplc="916A0CCA">
      <w:start w:val="1"/>
      <w:numFmt w:val="bullet"/>
      <w:lvlText w:val=""/>
      <w:lvlJc w:val="left"/>
      <w:pPr>
        <w:ind w:left="720" w:hanging="360"/>
      </w:pPr>
      <w:rPr>
        <w:rFonts w:ascii="Symbol" w:hAnsi="Symbol"/>
      </w:rPr>
    </w:lvl>
    <w:lvl w:ilvl="3" w:tplc="DDC208BE">
      <w:start w:val="1"/>
      <w:numFmt w:val="bullet"/>
      <w:lvlText w:val=""/>
      <w:lvlJc w:val="left"/>
      <w:pPr>
        <w:ind w:left="720" w:hanging="360"/>
      </w:pPr>
      <w:rPr>
        <w:rFonts w:ascii="Symbol" w:hAnsi="Symbol"/>
      </w:rPr>
    </w:lvl>
    <w:lvl w:ilvl="4" w:tplc="CD6E8406">
      <w:start w:val="1"/>
      <w:numFmt w:val="bullet"/>
      <w:lvlText w:val=""/>
      <w:lvlJc w:val="left"/>
      <w:pPr>
        <w:ind w:left="720" w:hanging="360"/>
      </w:pPr>
      <w:rPr>
        <w:rFonts w:ascii="Symbol" w:hAnsi="Symbol"/>
      </w:rPr>
    </w:lvl>
    <w:lvl w:ilvl="5" w:tplc="47609138">
      <w:start w:val="1"/>
      <w:numFmt w:val="bullet"/>
      <w:lvlText w:val=""/>
      <w:lvlJc w:val="left"/>
      <w:pPr>
        <w:ind w:left="720" w:hanging="360"/>
      </w:pPr>
      <w:rPr>
        <w:rFonts w:ascii="Symbol" w:hAnsi="Symbol"/>
      </w:rPr>
    </w:lvl>
    <w:lvl w:ilvl="6" w:tplc="9DD46848">
      <w:start w:val="1"/>
      <w:numFmt w:val="bullet"/>
      <w:lvlText w:val=""/>
      <w:lvlJc w:val="left"/>
      <w:pPr>
        <w:ind w:left="720" w:hanging="360"/>
      </w:pPr>
      <w:rPr>
        <w:rFonts w:ascii="Symbol" w:hAnsi="Symbol"/>
      </w:rPr>
    </w:lvl>
    <w:lvl w:ilvl="7" w:tplc="173A66A4">
      <w:start w:val="1"/>
      <w:numFmt w:val="bullet"/>
      <w:lvlText w:val=""/>
      <w:lvlJc w:val="left"/>
      <w:pPr>
        <w:ind w:left="720" w:hanging="360"/>
      </w:pPr>
      <w:rPr>
        <w:rFonts w:ascii="Symbol" w:hAnsi="Symbol"/>
      </w:rPr>
    </w:lvl>
    <w:lvl w:ilvl="8" w:tplc="3256903C">
      <w:start w:val="1"/>
      <w:numFmt w:val="bullet"/>
      <w:lvlText w:val=""/>
      <w:lvlJc w:val="left"/>
      <w:pPr>
        <w:ind w:left="720" w:hanging="360"/>
      </w:pPr>
      <w:rPr>
        <w:rFonts w:ascii="Symbol" w:hAnsi="Symbol"/>
      </w:rPr>
    </w:lvl>
  </w:abstractNum>
  <w:abstractNum w:abstractNumId="34"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9"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5"/>
  </w:num>
  <w:num w:numId="2" w16cid:durableId="590823639">
    <w:abstractNumId w:val="32"/>
  </w:num>
  <w:num w:numId="3" w16cid:durableId="1781342471">
    <w:abstractNumId w:val="37"/>
  </w:num>
  <w:num w:numId="4" w16cid:durableId="2136214109">
    <w:abstractNumId w:val="5"/>
  </w:num>
  <w:num w:numId="5" w16cid:durableId="910963805">
    <w:abstractNumId w:val="7"/>
  </w:num>
  <w:num w:numId="6" w16cid:durableId="333655149">
    <w:abstractNumId w:val="1"/>
  </w:num>
  <w:num w:numId="7" w16cid:durableId="312101155">
    <w:abstractNumId w:val="12"/>
  </w:num>
  <w:num w:numId="8" w16cid:durableId="1336803479">
    <w:abstractNumId w:val="17"/>
  </w:num>
  <w:num w:numId="9" w16cid:durableId="434331772">
    <w:abstractNumId w:val="38"/>
  </w:num>
  <w:num w:numId="10" w16cid:durableId="103614791">
    <w:abstractNumId w:val="14"/>
  </w:num>
  <w:num w:numId="11" w16cid:durableId="2028557522">
    <w:abstractNumId w:val="39"/>
  </w:num>
  <w:num w:numId="12" w16cid:durableId="972831739">
    <w:abstractNumId w:val="29"/>
  </w:num>
  <w:num w:numId="13" w16cid:durableId="1793934882">
    <w:abstractNumId w:val="9"/>
  </w:num>
  <w:num w:numId="14" w16cid:durableId="1149008943">
    <w:abstractNumId w:val="0"/>
  </w:num>
  <w:num w:numId="15" w16cid:durableId="1491947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6"/>
  </w:num>
  <w:num w:numId="17" w16cid:durableId="1922636461">
    <w:abstractNumId w:val="4"/>
  </w:num>
  <w:num w:numId="18" w16cid:durableId="1282762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5"/>
  </w:num>
  <w:num w:numId="20" w16cid:durableId="394553583">
    <w:abstractNumId w:val="2"/>
  </w:num>
  <w:num w:numId="21" w16cid:durableId="469903781">
    <w:abstractNumId w:val="28"/>
  </w:num>
  <w:num w:numId="22" w16cid:durableId="1984893922">
    <w:abstractNumId w:val="27"/>
  </w:num>
  <w:num w:numId="23" w16cid:durableId="1565066008">
    <w:abstractNumId w:val="10"/>
  </w:num>
  <w:num w:numId="24" w16cid:durableId="1359235010">
    <w:abstractNumId w:val="22"/>
  </w:num>
  <w:num w:numId="25" w16cid:durableId="222563417">
    <w:abstractNumId w:val="25"/>
  </w:num>
  <w:num w:numId="26" w16cid:durableId="10913881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0"/>
  </w:num>
  <w:num w:numId="28" w16cid:durableId="1218130174">
    <w:abstractNumId w:val="30"/>
  </w:num>
  <w:num w:numId="29" w16cid:durableId="1643653455">
    <w:abstractNumId w:val="21"/>
  </w:num>
  <w:num w:numId="30" w16cid:durableId="758523444">
    <w:abstractNumId w:val="26"/>
  </w:num>
  <w:num w:numId="31" w16cid:durableId="1642617968">
    <w:abstractNumId w:val="16"/>
  </w:num>
  <w:num w:numId="32" w16cid:durableId="775558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923298">
    <w:abstractNumId w:val="13"/>
  </w:num>
  <w:num w:numId="34" w16cid:durableId="965045853">
    <w:abstractNumId w:val="34"/>
  </w:num>
  <w:num w:numId="35" w16cid:durableId="2132550663">
    <w:abstractNumId w:val="3"/>
  </w:num>
  <w:num w:numId="36" w16cid:durableId="1406993098">
    <w:abstractNumId w:val="11"/>
  </w:num>
  <w:num w:numId="37" w16cid:durableId="632908092">
    <w:abstractNumId w:val="23"/>
  </w:num>
  <w:num w:numId="38" w16cid:durableId="1707170293">
    <w:abstractNumId w:val="33"/>
  </w:num>
  <w:num w:numId="39" w16cid:durableId="474297160">
    <w:abstractNumId w:val="8"/>
  </w:num>
  <w:num w:numId="40" w16cid:durableId="2659666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293"/>
    <w:rsid w:val="00000458"/>
    <w:rsid w:val="000007DC"/>
    <w:rsid w:val="00000ED3"/>
    <w:rsid w:val="00001965"/>
    <w:rsid w:val="0000217F"/>
    <w:rsid w:val="00002CC0"/>
    <w:rsid w:val="00003A99"/>
    <w:rsid w:val="00004149"/>
    <w:rsid w:val="00004392"/>
    <w:rsid w:val="00005FAA"/>
    <w:rsid w:val="00006121"/>
    <w:rsid w:val="00006E5C"/>
    <w:rsid w:val="000070C4"/>
    <w:rsid w:val="00007463"/>
    <w:rsid w:val="00007CFF"/>
    <w:rsid w:val="00010B6A"/>
    <w:rsid w:val="00010F10"/>
    <w:rsid w:val="0001147D"/>
    <w:rsid w:val="00011636"/>
    <w:rsid w:val="0001178F"/>
    <w:rsid w:val="000120FF"/>
    <w:rsid w:val="0001243D"/>
    <w:rsid w:val="00013F4E"/>
    <w:rsid w:val="00013F98"/>
    <w:rsid w:val="0001428A"/>
    <w:rsid w:val="0001538E"/>
    <w:rsid w:val="0001597C"/>
    <w:rsid w:val="00016435"/>
    <w:rsid w:val="000165F8"/>
    <w:rsid w:val="00016707"/>
    <w:rsid w:val="00016999"/>
    <w:rsid w:val="00017566"/>
    <w:rsid w:val="0001759E"/>
    <w:rsid w:val="000176A7"/>
    <w:rsid w:val="0002029A"/>
    <w:rsid w:val="000202E8"/>
    <w:rsid w:val="0002056E"/>
    <w:rsid w:val="00020D4A"/>
    <w:rsid w:val="00021A4E"/>
    <w:rsid w:val="0002223D"/>
    <w:rsid w:val="00023010"/>
    <w:rsid w:val="00023445"/>
    <w:rsid w:val="00023B1E"/>
    <w:rsid w:val="00023F0A"/>
    <w:rsid w:val="000240C4"/>
    <w:rsid w:val="00024C2D"/>
    <w:rsid w:val="00024F5C"/>
    <w:rsid w:val="0002523A"/>
    <w:rsid w:val="000269E5"/>
    <w:rsid w:val="00026CF8"/>
    <w:rsid w:val="00027137"/>
    <w:rsid w:val="00027B3A"/>
    <w:rsid w:val="00030048"/>
    <w:rsid w:val="0003045B"/>
    <w:rsid w:val="00030C6F"/>
    <w:rsid w:val="00030D25"/>
    <w:rsid w:val="00030DBB"/>
    <w:rsid w:val="0003109A"/>
    <w:rsid w:val="0003188A"/>
    <w:rsid w:val="000324F6"/>
    <w:rsid w:val="00032985"/>
    <w:rsid w:val="00033545"/>
    <w:rsid w:val="0003386B"/>
    <w:rsid w:val="00033B45"/>
    <w:rsid w:val="00033CEB"/>
    <w:rsid w:val="000340A0"/>
    <w:rsid w:val="000347F0"/>
    <w:rsid w:val="00034859"/>
    <w:rsid w:val="00034EB2"/>
    <w:rsid w:val="00035D74"/>
    <w:rsid w:val="000371FF"/>
    <w:rsid w:val="00037538"/>
    <w:rsid w:val="00037EB9"/>
    <w:rsid w:val="000409BE"/>
    <w:rsid w:val="00041896"/>
    <w:rsid w:val="00042496"/>
    <w:rsid w:val="00042744"/>
    <w:rsid w:val="00042B10"/>
    <w:rsid w:val="00043D74"/>
    <w:rsid w:val="00044CAB"/>
    <w:rsid w:val="0004536D"/>
    <w:rsid w:val="00045D4F"/>
    <w:rsid w:val="00045E01"/>
    <w:rsid w:val="000461BA"/>
    <w:rsid w:val="00046B27"/>
    <w:rsid w:val="00046DFE"/>
    <w:rsid w:val="00050427"/>
    <w:rsid w:val="0005068B"/>
    <w:rsid w:val="00051597"/>
    <w:rsid w:val="00052821"/>
    <w:rsid w:val="000528D8"/>
    <w:rsid w:val="000529D2"/>
    <w:rsid w:val="00052AA5"/>
    <w:rsid w:val="00052BA4"/>
    <w:rsid w:val="00053009"/>
    <w:rsid w:val="00053566"/>
    <w:rsid w:val="00053D41"/>
    <w:rsid w:val="00054912"/>
    <w:rsid w:val="000553A9"/>
    <w:rsid w:val="00055508"/>
    <w:rsid w:val="00055843"/>
    <w:rsid w:val="0005586F"/>
    <w:rsid w:val="00055AF2"/>
    <w:rsid w:val="000561B1"/>
    <w:rsid w:val="000602E2"/>
    <w:rsid w:val="0006040F"/>
    <w:rsid w:val="00060919"/>
    <w:rsid w:val="000609AF"/>
    <w:rsid w:val="00060B0B"/>
    <w:rsid w:val="0006228C"/>
    <w:rsid w:val="00062500"/>
    <w:rsid w:val="00062518"/>
    <w:rsid w:val="000630E5"/>
    <w:rsid w:val="00063152"/>
    <w:rsid w:val="00063343"/>
    <w:rsid w:val="000640C7"/>
    <w:rsid w:val="00065350"/>
    <w:rsid w:val="00066215"/>
    <w:rsid w:val="000662F8"/>
    <w:rsid w:val="00066715"/>
    <w:rsid w:val="00066864"/>
    <w:rsid w:val="00066CA2"/>
    <w:rsid w:val="000671F1"/>
    <w:rsid w:val="000675BB"/>
    <w:rsid w:val="0007038C"/>
    <w:rsid w:val="00070B21"/>
    <w:rsid w:val="00070ED6"/>
    <w:rsid w:val="00070EF3"/>
    <w:rsid w:val="00072E5E"/>
    <w:rsid w:val="0007360A"/>
    <w:rsid w:val="00073922"/>
    <w:rsid w:val="00073C77"/>
    <w:rsid w:val="0007505F"/>
    <w:rsid w:val="0007551C"/>
    <w:rsid w:val="0007650C"/>
    <w:rsid w:val="00076AC4"/>
    <w:rsid w:val="00077247"/>
    <w:rsid w:val="0007737E"/>
    <w:rsid w:val="00077390"/>
    <w:rsid w:val="000778BC"/>
    <w:rsid w:val="00077D7A"/>
    <w:rsid w:val="00077E01"/>
    <w:rsid w:val="00077E4C"/>
    <w:rsid w:val="000817EE"/>
    <w:rsid w:val="00081BC9"/>
    <w:rsid w:val="00081E72"/>
    <w:rsid w:val="00083C73"/>
    <w:rsid w:val="0008406D"/>
    <w:rsid w:val="00084C77"/>
    <w:rsid w:val="000851EF"/>
    <w:rsid w:val="0008521B"/>
    <w:rsid w:val="0008573A"/>
    <w:rsid w:val="00086E54"/>
    <w:rsid w:val="0009063A"/>
    <w:rsid w:val="000909EB"/>
    <w:rsid w:val="0009223B"/>
    <w:rsid w:val="0009254C"/>
    <w:rsid w:val="000926E7"/>
    <w:rsid w:val="00093DC0"/>
    <w:rsid w:val="00094430"/>
    <w:rsid w:val="00094B0B"/>
    <w:rsid w:val="00094C43"/>
    <w:rsid w:val="00095198"/>
    <w:rsid w:val="00095A64"/>
    <w:rsid w:val="00095B14"/>
    <w:rsid w:val="00095C67"/>
    <w:rsid w:val="00096A65"/>
    <w:rsid w:val="00096EE2"/>
    <w:rsid w:val="0009714E"/>
    <w:rsid w:val="0009718B"/>
    <w:rsid w:val="00097A69"/>
    <w:rsid w:val="000A0128"/>
    <w:rsid w:val="000A0E20"/>
    <w:rsid w:val="000A122E"/>
    <w:rsid w:val="000A12CC"/>
    <w:rsid w:val="000A20C1"/>
    <w:rsid w:val="000A275B"/>
    <w:rsid w:val="000A305F"/>
    <w:rsid w:val="000A382A"/>
    <w:rsid w:val="000A3B4A"/>
    <w:rsid w:val="000A3BDF"/>
    <w:rsid w:val="000A3E74"/>
    <w:rsid w:val="000A3FD2"/>
    <w:rsid w:val="000A4AB0"/>
    <w:rsid w:val="000A4C22"/>
    <w:rsid w:val="000A5016"/>
    <w:rsid w:val="000A521A"/>
    <w:rsid w:val="000A55DB"/>
    <w:rsid w:val="000A5B17"/>
    <w:rsid w:val="000A679C"/>
    <w:rsid w:val="000A693B"/>
    <w:rsid w:val="000A726B"/>
    <w:rsid w:val="000A7CD1"/>
    <w:rsid w:val="000B05EC"/>
    <w:rsid w:val="000B0AF8"/>
    <w:rsid w:val="000B0B78"/>
    <w:rsid w:val="000B12BA"/>
    <w:rsid w:val="000B1370"/>
    <w:rsid w:val="000B19E9"/>
    <w:rsid w:val="000B1AF5"/>
    <w:rsid w:val="000B26DA"/>
    <w:rsid w:val="000B2D7C"/>
    <w:rsid w:val="000B39ED"/>
    <w:rsid w:val="000B3AE6"/>
    <w:rsid w:val="000B3C13"/>
    <w:rsid w:val="000B3C57"/>
    <w:rsid w:val="000B4193"/>
    <w:rsid w:val="000B4D31"/>
    <w:rsid w:val="000B5388"/>
    <w:rsid w:val="000B6467"/>
    <w:rsid w:val="000B7125"/>
    <w:rsid w:val="000B732B"/>
    <w:rsid w:val="000B758E"/>
    <w:rsid w:val="000B766A"/>
    <w:rsid w:val="000C0A5E"/>
    <w:rsid w:val="000C1405"/>
    <w:rsid w:val="000C1C44"/>
    <w:rsid w:val="000C1C66"/>
    <w:rsid w:val="000C230F"/>
    <w:rsid w:val="000C273E"/>
    <w:rsid w:val="000C27BC"/>
    <w:rsid w:val="000C2CCA"/>
    <w:rsid w:val="000C2E92"/>
    <w:rsid w:val="000C3DA4"/>
    <w:rsid w:val="000C4E7E"/>
    <w:rsid w:val="000C58E0"/>
    <w:rsid w:val="000C5A63"/>
    <w:rsid w:val="000C618B"/>
    <w:rsid w:val="000C6406"/>
    <w:rsid w:val="000C6D2B"/>
    <w:rsid w:val="000C6DCD"/>
    <w:rsid w:val="000D18C9"/>
    <w:rsid w:val="000D1F79"/>
    <w:rsid w:val="000D22BB"/>
    <w:rsid w:val="000D2662"/>
    <w:rsid w:val="000D2E71"/>
    <w:rsid w:val="000D333B"/>
    <w:rsid w:val="000D359C"/>
    <w:rsid w:val="000D3EFE"/>
    <w:rsid w:val="000D4B04"/>
    <w:rsid w:val="000D5157"/>
    <w:rsid w:val="000D59F9"/>
    <w:rsid w:val="000D5FD0"/>
    <w:rsid w:val="000D673D"/>
    <w:rsid w:val="000D6D52"/>
    <w:rsid w:val="000D6EE2"/>
    <w:rsid w:val="000D72BC"/>
    <w:rsid w:val="000D748B"/>
    <w:rsid w:val="000D7588"/>
    <w:rsid w:val="000D7DE9"/>
    <w:rsid w:val="000E057B"/>
    <w:rsid w:val="000E083E"/>
    <w:rsid w:val="000E0FDB"/>
    <w:rsid w:val="000E128C"/>
    <w:rsid w:val="000E16B5"/>
    <w:rsid w:val="000E1D84"/>
    <w:rsid w:val="000E1EF2"/>
    <w:rsid w:val="000E1F09"/>
    <w:rsid w:val="000E1F0C"/>
    <w:rsid w:val="000E275C"/>
    <w:rsid w:val="000E2A01"/>
    <w:rsid w:val="000E33CC"/>
    <w:rsid w:val="000E3A82"/>
    <w:rsid w:val="000E46D9"/>
    <w:rsid w:val="000E4A39"/>
    <w:rsid w:val="000E50C0"/>
    <w:rsid w:val="000E5789"/>
    <w:rsid w:val="000E5950"/>
    <w:rsid w:val="000E59F7"/>
    <w:rsid w:val="000E5A48"/>
    <w:rsid w:val="000E6E14"/>
    <w:rsid w:val="000E7717"/>
    <w:rsid w:val="000E7A99"/>
    <w:rsid w:val="000F0253"/>
    <w:rsid w:val="000F02E6"/>
    <w:rsid w:val="000F0FBD"/>
    <w:rsid w:val="000F1049"/>
    <w:rsid w:val="000F1B07"/>
    <w:rsid w:val="000F2865"/>
    <w:rsid w:val="000F28AF"/>
    <w:rsid w:val="000F292B"/>
    <w:rsid w:val="000F38CA"/>
    <w:rsid w:val="000F4278"/>
    <w:rsid w:val="000F490F"/>
    <w:rsid w:val="000F5BFA"/>
    <w:rsid w:val="000F5CE6"/>
    <w:rsid w:val="000F5E23"/>
    <w:rsid w:val="000F60D5"/>
    <w:rsid w:val="000F7592"/>
    <w:rsid w:val="000F7F48"/>
    <w:rsid w:val="0010064A"/>
    <w:rsid w:val="00100F51"/>
    <w:rsid w:val="00101B54"/>
    <w:rsid w:val="00101CC4"/>
    <w:rsid w:val="00102DF5"/>
    <w:rsid w:val="00102F57"/>
    <w:rsid w:val="00103C39"/>
    <w:rsid w:val="00104BD2"/>
    <w:rsid w:val="00105525"/>
    <w:rsid w:val="00105F91"/>
    <w:rsid w:val="00106151"/>
    <w:rsid w:val="001069AE"/>
    <w:rsid w:val="00106C0D"/>
    <w:rsid w:val="00107A55"/>
    <w:rsid w:val="00110746"/>
    <w:rsid w:val="00111310"/>
    <w:rsid w:val="00111C45"/>
    <w:rsid w:val="001120CB"/>
    <w:rsid w:val="001123AC"/>
    <w:rsid w:val="00112494"/>
    <w:rsid w:val="0011253A"/>
    <w:rsid w:val="0011264A"/>
    <w:rsid w:val="001132AD"/>
    <w:rsid w:val="001144B2"/>
    <w:rsid w:val="001145CF"/>
    <w:rsid w:val="00114CCE"/>
    <w:rsid w:val="00115372"/>
    <w:rsid w:val="0011578F"/>
    <w:rsid w:val="00115A6F"/>
    <w:rsid w:val="00115CD2"/>
    <w:rsid w:val="001166BA"/>
    <w:rsid w:val="00116E5B"/>
    <w:rsid w:val="00117700"/>
    <w:rsid w:val="00120021"/>
    <w:rsid w:val="0012053E"/>
    <w:rsid w:val="00120D42"/>
    <w:rsid w:val="001210BF"/>
    <w:rsid w:val="0012173B"/>
    <w:rsid w:val="001225F3"/>
    <w:rsid w:val="00122DFB"/>
    <w:rsid w:val="00123AD2"/>
    <w:rsid w:val="001240DE"/>
    <w:rsid w:val="00124A1B"/>
    <w:rsid w:val="001251FF"/>
    <w:rsid w:val="0012566C"/>
    <w:rsid w:val="00125AD1"/>
    <w:rsid w:val="00125D6A"/>
    <w:rsid w:val="00125E23"/>
    <w:rsid w:val="00126E7D"/>
    <w:rsid w:val="00126FC4"/>
    <w:rsid w:val="00127A4A"/>
    <w:rsid w:val="00127B00"/>
    <w:rsid w:val="001301FB"/>
    <w:rsid w:val="0013139C"/>
    <w:rsid w:val="001315FC"/>
    <w:rsid w:val="001316A7"/>
    <w:rsid w:val="001319B0"/>
    <w:rsid w:val="00131B8D"/>
    <w:rsid w:val="00132124"/>
    <w:rsid w:val="0013250E"/>
    <w:rsid w:val="001327F1"/>
    <w:rsid w:val="00132BE3"/>
    <w:rsid w:val="00133B12"/>
    <w:rsid w:val="00134352"/>
    <w:rsid w:val="0013550C"/>
    <w:rsid w:val="0013724B"/>
    <w:rsid w:val="00137484"/>
    <w:rsid w:val="00137572"/>
    <w:rsid w:val="00137977"/>
    <w:rsid w:val="0014004C"/>
    <w:rsid w:val="00140061"/>
    <w:rsid w:val="00141D1C"/>
    <w:rsid w:val="001423D2"/>
    <w:rsid w:val="00142D44"/>
    <w:rsid w:val="00143277"/>
    <w:rsid w:val="0014366E"/>
    <w:rsid w:val="00143962"/>
    <w:rsid w:val="001439EA"/>
    <w:rsid w:val="001445E4"/>
    <w:rsid w:val="00144982"/>
    <w:rsid w:val="00144C8E"/>
    <w:rsid w:val="00145073"/>
    <w:rsid w:val="0014642C"/>
    <w:rsid w:val="0014696E"/>
    <w:rsid w:val="001477D6"/>
    <w:rsid w:val="00147922"/>
    <w:rsid w:val="0015038D"/>
    <w:rsid w:val="001509F2"/>
    <w:rsid w:val="00150B26"/>
    <w:rsid w:val="00150DC1"/>
    <w:rsid w:val="00150F42"/>
    <w:rsid w:val="00152ED2"/>
    <w:rsid w:val="0015384F"/>
    <w:rsid w:val="00153F4C"/>
    <w:rsid w:val="001545E6"/>
    <w:rsid w:val="0015545C"/>
    <w:rsid w:val="001555C1"/>
    <w:rsid w:val="00155834"/>
    <w:rsid w:val="00155BDC"/>
    <w:rsid w:val="00156FCF"/>
    <w:rsid w:val="00157004"/>
    <w:rsid w:val="0015779B"/>
    <w:rsid w:val="001577E4"/>
    <w:rsid w:val="00160667"/>
    <w:rsid w:val="00161120"/>
    <w:rsid w:val="00161B4E"/>
    <w:rsid w:val="00162289"/>
    <w:rsid w:val="00162301"/>
    <w:rsid w:val="00162A42"/>
    <w:rsid w:val="001637C1"/>
    <w:rsid w:val="001643B9"/>
    <w:rsid w:val="00164F33"/>
    <w:rsid w:val="00165764"/>
    <w:rsid w:val="0016589D"/>
    <w:rsid w:val="001661A8"/>
    <w:rsid w:val="001662ED"/>
    <w:rsid w:val="001671B8"/>
    <w:rsid w:val="0016727F"/>
    <w:rsid w:val="00167681"/>
    <w:rsid w:val="001679A4"/>
    <w:rsid w:val="001705CF"/>
    <w:rsid w:val="00171E0A"/>
    <w:rsid w:val="001723B9"/>
    <w:rsid w:val="001732BE"/>
    <w:rsid w:val="00173D5F"/>
    <w:rsid w:val="0017450E"/>
    <w:rsid w:val="00174520"/>
    <w:rsid w:val="00175171"/>
    <w:rsid w:val="00175863"/>
    <w:rsid w:val="00175B04"/>
    <w:rsid w:val="00175BAE"/>
    <w:rsid w:val="001764FE"/>
    <w:rsid w:val="00176A7F"/>
    <w:rsid w:val="00176F27"/>
    <w:rsid w:val="00177AE2"/>
    <w:rsid w:val="00177BA8"/>
    <w:rsid w:val="00177DD0"/>
    <w:rsid w:val="00180A52"/>
    <w:rsid w:val="00180D9F"/>
    <w:rsid w:val="00181145"/>
    <w:rsid w:val="0018182D"/>
    <w:rsid w:val="00181958"/>
    <w:rsid w:val="00182126"/>
    <w:rsid w:val="001827AB"/>
    <w:rsid w:val="00182F5E"/>
    <w:rsid w:val="001833B7"/>
    <w:rsid w:val="00183715"/>
    <w:rsid w:val="0018373E"/>
    <w:rsid w:val="00183F62"/>
    <w:rsid w:val="0018469B"/>
    <w:rsid w:val="00184E86"/>
    <w:rsid w:val="00184FC3"/>
    <w:rsid w:val="00185E4E"/>
    <w:rsid w:val="00185F02"/>
    <w:rsid w:val="00186511"/>
    <w:rsid w:val="001873B6"/>
    <w:rsid w:val="0018742A"/>
    <w:rsid w:val="001879CF"/>
    <w:rsid w:val="00187CA7"/>
    <w:rsid w:val="0019085C"/>
    <w:rsid w:val="00190CF2"/>
    <w:rsid w:val="00190F35"/>
    <w:rsid w:val="001914C1"/>
    <w:rsid w:val="00191782"/>
    <w:rsid w:val="0019207F"/>
    <w:rsid w:val="001923DD"/>
    <w:rsid w:val="00192D15"/>
    <w:rsid w:val="00194702"/>
    <w:rsid w:val="00194C45"/>
    <w:rsid w:val="001952E0"/>
    <w:rsid w:val="0019567C"/>
    <w:rsid w:val="00195C80"/>
    <w:rsid w:val="001A0DA9"/>
    <w:rsid w:val="001A0E47"/>
    <w:rsid w:val="001A19F3"/>
    <w:rsid w:val="001A276C"/>
    <w:rsid w:val="001A311F"/>
    <w:rsid w:val="001A471F"/>
    <w:rsid w:val="001A4F21"/>
    <w:rsid w:val="001A50C3"/>
    <w:rsid w:val="001A5935"/>
    <w:rsid w:val="001A59B0"/>
    <w:rsid w:val="001A5DFD"/>
    <w:rsid w:val="001A661C"/>
    <w:rsid w:val="001A6F61"/>
    <w:rsid w:val="001A6FFE"/>
    <w:rsid w:val="001A70A4"/>
    <w:rsid w:val="001A782E"/>
    <w:rsid w:val="001B1195"/>
    <w:rsid w:val="001B1A72"/>
    <w:rsid w:val="001B1D6A"/>
    <w:rsid w:val="001B34D9"/>
    <w:rsid w:val="001B40B5"/>
    <w:rsid w:val="001B4136"/>
    <w:rsid w:val="001B427F"/>
    <w:rsid w:val="001B4D9F"/>
    <w:rsid w:val="001B5E4A"/>
    <w:rsid w:val="001B5EBD"/>
    <w:rsid w:val="001B62B8"/>
    <w:rsid w:val="001B66ED"/>
    <w:rsid w:val="001C2575"/>
    <w:rsid w:val="001C2F60"/>
    <w:rsid w:val="001C304C"/>
    <w:rsid w:val="001C35AE"/>
    <w:rsid w:val="001C3B18"/>
    <w:rsid w:val="001C48EF"/>
    <w:rsid w:val="001C4F45"/>
    <w:rsid w:val="001C5AEA"/>
    <w:rsid w:val="001C5BEB"/>
    <w:rsid w:val="001C64AB"/>
    <w:rsid w:val="001C65B5"/>
    <w:rsid w:val="001C7223"/>
    <w:rsid w:val="001C767B"/>
    <w:rsid w:val="001C7FE2"/>
    <w:rsid w:val="001D01F5"/>
    <w:rsid w:val="001D0D59"/>
    <w:rsid w:val="001D0FA0"/>
    <w:rsid w:val="001D1083"/>
    <w:rsid w:val="001D1209"/>
    <w:rsid w:val="001D16CD"/>
    <w:rsid w:val="001D260C"/>
    <w:rsid w:val="001D2668"/>
    <w:rsid w:val="001D26CB"/>
    <w:rsid w:val="001D31D4"/>
    <w:rsid w:val="001D3475"/>
    <w:rsid w:val="001D3752"/>
    <w:rsid w:val="001D3C04"/>
    <w:rsid w:val="001D4485"/>
    <w:rsid w:val="001D44E2"/>
    <w:rsid w:val="001D4A59"/>
    <w:rsid w:val="001D6507"/>
    <w:rsid w:val="001D6F4A"/>
    <w:rsid w:val="001D75F9"/>
    <w:rsid w:val="001E1A29"/>
    <w:rsid w:val="001E214C"/>
    <w:rsid w:val="001E3ADF"/>
    <w:rsid w:val="001E3BFE"/>
    <w:rsid w:val="001E41B9"/>
    <w:rsid w:val="001E4C57"/>
    <w:rsid w:val="001E4CE7"/>
    <w:rsid w:val="001E5399"/>
    <w:rsid w:val="001E64DE"/>
    <w:rsid w:val="001E6748"/>
    <w:rsid w:val="001E67A5"/>
    <w:rsid w:val="001E6ACE"/>
    <w:rsid w:val="001E6C04"/>
    <w:rsid w:val="001E6E96"/>
    <w:rsid w:val="001E754D"/>
    <w:rsid w:val="001E7F1C"/>
    <w:rsid w:val="001F0557"/>
    <w:rsid w:val="001F0D94"/>
    <w:rsid w:val="001F13C7"/>
    <w:rsid w:val="001F18C3"/>
    <w:rsid w:val="001F324F"/>
    <w:rsid w:val="001F3A1C"/>
    <w:rsid w:val="001F3CDE"/>
    <w:rsid w:val="001F3F63"/>
    <w:rsid w:val="001F4A02"/>
    <w:rsid w:val="001F52D0"/>
    <w:rsid w:val="001F5AAC"/>
    <w:rsid w:val="001F5C98"/>
    <w:rsid w:val="001F71FA"/>
    <w:rsid w:val="001F7DCC"/>
    <w:rsid w:val="002001C2"/>
    <w:rsid w:val="0020037D"/>
    <w:rsid w:val="0020065E"/>
    <w:rsid w:val="002008A2"/>
    <w:rsid w:val="00200D15"/>
    <w:rsid w:val="00201631"/>
    <w:rsid w:val="00201BB6"/>
    <w:rsid w:val="0020200B"/>
    <w:rsid w:val="00203289"/>
    <w:rsid w:val="00203B57"/>
    <w:rsid w:val="00203E62"/>
    <w:rsid w:val="00203F40"/>
    <w:rsid w:val="0020434A"/>
    <w:rsid w:val="00204A18"/>
    <w:rsid w:val="00205CC0"/>
    <w:rsid w:val="00207219"/>
    <w:rsid w:val="00207387"/>
    <w:rsid w:val="00207E63"/>
    <w:rsid w:val="0021046F"/>
    <w:rsid w:val="00210EBE"/>
    <w:rsid w:val="00211B2A"/>
    <w:rsid w:val="002126A9"/>
    <w:rsid w:val="00212ADD"/>
    <w:rsid w:val="002135B6"/>
    <w:rsid w:val="00214A12"/>
    <w:rsid w:val="00214F18"/>
    <w:rsid w:val="002158A1"/>
    <w:rsid w:val="002170A5"/>
    <w:rsid w:val="00220945"/>
    <w:rsid w:val="00221144"/>
    <w:rsid w:val="00222EC1"/>
    <w:rsid w:val="002235E8"/>
    <w:rsid w:val="002236F0"/>
    <w:rsid w:val="00223F16"/>
    <w:rsid w:val="00224074"/>
    <w:rsid w:val="00224286"/>
    <w:rsid w:val="0022435B"/>
    <w:rsid w:val="00224F4D"/>
    <w:rsid w:val="002252EF"/>
    <w:rsid w:val="002257B2"/>
    <w:rsid w:val="00225A5C"/>
    <w:rsid w:val="002268D9"/>
    <w:rsid w:val="002279E4"/>
    <w:rsid w:val="00227AD6"/>
    <w:rsid w:val="00227CDA"/>
    <w:rsid w:val="002301E8"/>
    <w:rsid w:val="0023024D"/>
    <w:rsid w:val="002305C8"/>
    <w:rsid w:val="00230631"/>
    <w:rsid w:val="002315AB"/>
    <w:rsid w:val="00231A15"/>
    <w:rsid w:val="0023224F"/>
    <w:rsid w:val="00232804"/>
    <w:rsid w:val="00233335"/>
    <w:rsid w:val="002345E5"/>
    <w:rsid w:val="00234746"/>
    <w:rsid w:val="0023481C"/>
    <w:rsid w:val="00234AE2"/>
    <w:rsid w:val="002352B1"/>
    <w:rsid w:val="002357C1"/>
    <w:rsid w:val="0023598D"/>
    <w:rsid w:val="002361AA"/>
    <w:rsid w:val="00236886"/>
    <w:rsid w:val="002402C1"/>
    <w:rsid w:val="00240D00"/>
    <w:rsid w:val="00241069"/>
    <w:rsid w:val="0024189B"/>
    <w:rsid w:val="00241A66"/>
    <w:rsid w:val="00241C11"/>
    <w:rsid w:val="00241C69"/>
    <w:rsid w:val="0024220F"/>
    <w:rsid w:val="00242CDA"/>
    <w:rsid w:val="00243369"/>
    <w:rsid w:val="002439EB"/>
    <w:rsid w:val="00244145"/>
    <w:rsid w:val="00245065"/>
    <w:rsid w:val="002450AB"/>
    <w:rsid w:val="0024541C"/>
    <w:rsid w:val="002463A8"/>
    <w:rsid w:val="00247831"/>
    <w:rsid w:val="00247BB5"/>
    <w:rsid w:val="002509E4"/>
    <w:rsid w:val="00251EBD"/>
    <w:rsid w:val="00252650"/>
    <w:rsid w:val="00252760"/>
    <w:rsid w:val="00252A1D"/>
    <w:rsid w:val="00253355"/>
    <w:rsid w:val="00253AA6"/>
    <w:rsid w:val="00254161"/>
    <w:rsid w:val="00254C15"/>
    <w:rsid w:val="002554E9"/>
    <w:rsid w:val="002565C6"/>
    <w:rsid w:val="00256A28"/>
    <w:rsid w:val="00256BE3"/>
    <w:rsid w:val="00256E98"/>
    <w:rsid w:val="00257092"/>
    <w:rsid w:val="00260857"/>
    <w:rsid w:val="002608DD"/>
    <w:rsid w:val="00261976"/>
    <w:rsid w:val="00261CCD"/>
    <w:rsid w:val="00261EC9"/>
    <w:rsid w:val="00261F30"/>
    <w:rsid w:val="0026235E"/>
    <w:rsid w:val="00263077"/>
    <w:rsid w:val="00263359"/>
    <w:rsid w:val="002633DE"/>
    <w:rsid w:val="00263E73"/>
    <w:rsid w:val="00264CC7"/>
    <w:rsid w:val="0026501D"/>
    <w:rsid w:val="00265217"/>
    <w:rsid w:val="00265DE3"/>
    <w:rsid w:val="00266209"/>
    <w:rsid w:val="0026693A"/>
    <w:rsid w:val="002669A8"/>
    <w:rsid w:val="00266F48"/>
    <w:rsid w:val="002675BA"/>
    <w:rsid w:val="00267743"/>
    <w:rsid w:val="00267F2E"/>
    <w:rsid w:val="00270AE5"/>
    <w:rsid w:val="00271242"/>
    <w:rsid w:val="0027186C"/>
    <w:rsid w:val="00272342"/>
    <w:rsid w:val="002730D8"/>
    <w:rsid w:val="002732FB"/>
    <w:rsid w:val="002738AD"/>
    <w:rsid w:val="00274173"/>
    <w:rsid w:val="0027487E"/>
    <w:rsid w:val="00275F80"/>
    <w:rsid w:val="002760D6"/>
    <w:rsid w:val="00276B19"/>
    <w:rsid w:val="002771AB"/>
    <w:rsid w:val="00277882"/>
    <w:rsid w:val="002778AB"/>
    <w:rsid w:val="0028087D"/>
    <w:rsid w:val="00280FCB"/>
    <w:rsid w:val="0028114E"/>
    <w:rsid w:val="00281473"/>
    <w:rsid w:val="0028196D"/>
    <w:rsid w:val="002820C8"/>
    <w:rsid w:val="00282D46"/>
    <w:rsid w:val="00282DD5"/>
    <w:rsid w:val="002842BA"/>
    <w:rsid w:val="00284754"/>
    <w:rsid w:val="00284A14"/>
    <w:rsid w:val="00285325"/>
    <w:rsid w:val="00285500"/>
    <w:rsid w:val="00286261"/>
    <w:rsid w:val="002868D0"/>
    <w:rsid w:val="00287C92"/>
    <w:rsid w:val="00287DCB"/>
    <w:rsid w:val="00287E20"/>
    <w:rsid w:val="00287FF1"/>
    <w:rsid w:val="002903CE"/>
    <w:rsid w:val="00290AD5"/>
    <w:rsid w:val="00290BAB"/>
    <w:rsid w:val="0029165A"/>
    <w:rsid w:val="002916D9"/>
    <w:rsid w:val="00291B2D"/>
    <w:rsid w:val="002923A6"/>
    <w:rsid w:val="002929F7"/>
    <w:rsid w:val="00293051"/>
    <w:rsid w:val="00294411"/>
    <w:rsid w:val="002944ED"/>
    <w:rsid w:val="00294FB1"/>
    <w:rsid w:val="00295231"/>
    <w:rsid w:val="0029534A"/>
    <w:rsid w:val="0029667A"/>
    <w:rsid w:val="00296702"/>
    <w:rsid w:val="00296BD3"/>
    <w:rsid w:val="00296C35"/>
    <w:rsid w:val="0029717C"/>
    <w:rsid w:val="002976A7"/>
    <w:rsid w:val="00297D19"/>
    <w:rsid w:val="002A0CCE"/>
    <w:rsid w:val="002A0FAE"/>
    <w:rsid w:val="002A273B"/>
    <w:rsid w:val="002A27A2"/>
    <w:rsid w:val="002A28C8"/>
    <w:rsid w:val="002A2BDD"/>
    <w:rsid w:val="002A50BA"/>
    <w:rsid w:val="002A618A"/>
    <w:rsid w:val="002A6C2F"/>
    <w:rsid w:val="002A6CF1"/>
    <w:rsid w:val="002A7554"/>
    <w:rsid w:val="002A7DF6"/>
    <w:rsid w:val="002B1648"/>
    <w:rsid w:val="002B17CA"/>
    <w:rsid w:val="002B23EB"/>
    <w:rsid w:val="002B27A5"/>
    <w:rsid w:val="002B310F"/>
    <w:rsid w:val="002B31F3"/>
    <w:rsid w:val="002B33C8"/>
    <w:rsid w:val="002B352D"/>
    <w:rsid w:val="002B37D8"/>
    <w:rsid w:val="002B3907"/>
    <w:rsid w:val="002B40F8"/>
    <w:rsid w:val="002B489D"/>
    <w:rsid w:val="002B4DD3"/>
    <w:rsid w:val="002B5B8B"/>
    <w:rsid w:val="002B6697"/>
    <w:rsid w:val="002B6A14"/>
    <w:rsid w:val="002B6A3C"/>
    <w:rsid w:val="002B6D47"/>
    <w:rsid w:val="002B6E50"/>
    <w:rsid w:val="002B74C0"/>
    <w:rsid w:val="002B7525"/>
    <w:rsid w:val="002B79E5"/>
    <w:rsid w:val="002C1008"/>
    <w:rsid w:val="002C100D"/>
    <w:rsid w:val="002C12CA"/>
    <w:rsid w:val="002C17F9"/>
    <w:rsid w:val="002C1890"/>
    <w:rsid w:val="002C1E40"/>
    <w:rsid w:val="002C2259"/>
    <w:rsid w:val="002C264F"/>
    <w:rsid w:val="002C365D"/>
    <w:rsid w:val="002C3963"/>
    <w:rsid w:val="002C3ACE"/>
    <w:rsid w:val="002C4E96"/>
    <w:rsid w:val="002C57F4"/>
    <w:rsid w:val="002C5EE6"/>
    <w:rsid w:val="002C60D8"/>
    <w:rsid w:val="002C666A"/>
    <w:rsid w:val="002C7407"/>
    <w:rsid w:val="002C79BA"/>
    <w:rsid w:val="002D0485"/>
    <w:rsid w:val="002D048A"/>
    <w:rsid w:val="002D0531"/>
    <w:rsid w:val="002D064D"/>
    <w:rsid w:val="002D0914"/>
    <w:rsid w:val="002D0B08"/>
    <w:rsid w:val="002D1220"/>
    <w:rsid w:val="002D1CED"/>
    <w:rsid w:val="002D1EBC"/>
    <w:rsid w:val="002D252F"/>
    <w:rsid w:val="002D2B72"/>
    <w:rsid w:val="002D32B6"/>
    <w:rsid w:val="002D3B56"/>
    <w:rsid w:val="002D4BB1"/>
    <w:rsid w:val="002D4C53"/>
    <w:rsid w:val="002D4D56"/>
    <w:rsid w:val="002D53C2"/>
    <w:rsid w:val="002D5B41"/>
    <w:rsid w:val="002D5E99"/>
    <w:rsid w:val="002D6433"/>
    <w:rsid w:val="002D6825"/>
    <w:rsid w:val="002D6CB7"/>
    <w:rsid w:val="002D6D79"/>
    <w:rsid w:val="002D72D4"/>
    <w:rsid w:val="002D74DD"/>
    <w:rsid w:val="002E020F"/>
    <w:rsid w:val="002E025D"/>
    <w:rsid w:val="002E0A0F"/>
    <w:rsid w:val="002E14E7"/>
    <w:rsid w:val="002E17D0"/>
    <w:rsid w:val="002E1B28"/>
    <w:rsid w:val="002E1D67"/>
    <w:rsid w:val="002E1F4D"/>
    <w:rsid w:val="002E21F5"/>
    <w:rsid w:val="002E2892"/>
    <w:rsid w:val="002E4009"/>
    <w:rsid w:val="002E51FD"/>
    <w:rsid w:val="002E5F56"/>
    <w:rsid w:val="002E5F5C"/>
    <w:rsid w:val="002E6733"/>
    <w:rsid w:val="002F0016"/>
    <w:rsid w:val="002F05B7"/>
    <w:rsid w:val="002F19DA"/>
    <w:rsid w:val="002F1DD7"/>
    <w:rsid w:val="002F25AC"/>
    <w:rsid w:val="002F2614"/>
    <w:rsid w:val="002F276B"/>
    <w:rsid w:val="002F2D90"/>
    <w:rsid w:val="002F2EED"/>
    <w:rsid w:val="002F3746"/>
    <w:rsid w:val="002F37D3"/>
    <w:rsid w:val="002F44C0"/>
    <w:rsid w:val="002F5AE7"/>
    <w:rsid w:val="002F5C95"/>
    <w:rsid w:val="002F6D21"/>
    <w:rsid w:val="0030006F"/>
    <w:rsid w:val="00300640"/>
    <w:rsid w:val="003014D4"/>
    <w:rsid w:val="00301F81"/>
    <w:rsid w:val="00301FF4"/>
    <w:rsid w:val="0030239D"/>
    <w:rsid w:val="003026AE"/>
    <w:rsid w:val="00302AC1"/>
    <w:rsid w:val="00302C58"/>
    <w:rsid w:val="00302C63"/>
    <w:rsid w:val="00304209"/>
    <w:rsid w:val="00304A76"/>
    <w:rsid w:val="00305895"/>
    <w:rsid w:val="003059A0"/>
    <w:rsid w:val="00306CEA"/>
    <w:rsid w:val="00310262"/>
    <w:rsid w:val="0031093D"/>
    <w:rsid w:val="00310DAA"/>
    <w:rsid w:val="003116A9"/>
    <w:rsid w:val="00313A64"/>
    <w:rsid w:val="00313DE0"/>
    <w:rsid w:val="00314322"/>
    <w:rsid w:val="0031458D"/>
    <w:rsid w:val="003162F3"/>
    <w:rsid w:val="003163D7"/>
    <w:rsid w:val="00316D2C"/>
    <w:rsid w:val="00316DF2"/>
    <w:rsid w:val="0032093D"/>
    <w:rsid w:val="00320A8F"/>
    <w:rsid w:val="003214A4"/>
    <w:rsid w:val="00321EB2"/>
    <w:rsid w:val="0032285E"/>
    <w:rsid w:val="00322871"/>
    <w:rsid w:val="00322FEF"/>
    <w:rsid w:val="003235D2"/>
    <w:rsid w:val="003235E9"/>
    <w:rsid w:val="00323769"/>
    <w:rsid w:val="00323F81"/>
    <w:rsid w:val="003241AD"/>
    <w:rsid w:val="00325039"/>
    <w:rsid w:val="003256B3"/>
    <w:rsid w:val="0032627E"/>
    <w:rsid w:val="0033015C"/>
    <w:rsid w:val="0033087C"/>
    <w:rsid w:val="00330974"/>
    <w:rsid w:val="00330EC9"/>
    <w:rsid w:val="00331096"/>
    <w:rsid w:val="00331303"/>
    <w:rsid w:val="00331326"/>
    <w:rsid w:val="00331566"/>
    <w:rsid w:val="003317F1"/>
    <w:rsid w:val="00331A7A"/>
    <w:rsid w:val="00332421"/>
    <w:rsid w:val="003333C8"/>
    <w:rsid w:val="00333A39"/>
    <w:rsid w:val="0033406B"/>
    <w:rsid w:val="003344B4"/>
    <w:rsid w:val="003346C5"/>
    <w:rsid w:val="003349D6"/>
    <w:rsid w:val="00334C5B"/>
    <w:rsid w:val="003356B0"/>
    <w:rsid w:val="003359FB"/>
    <w:rsid w:val="00336123"/>
    <w:rsid w:val="003367D0"/>
    <w:rsid w:val="00336A2C"/>
    <w:rsid w:val="00337033"/>
    <w:rsid w:val="00337F42"/>
    <w:rsid w:val="00340186"/>
    <w:rsid w:val="00340870"/>
    <w:rsid w:val="00341384"/>
    <w:rsid w:val="003422AA"/>
    <w:rsid w:val="003424AA"/>
    <w:rsid w:val="00343097"/>
    <w:rsid w:val="00343186"/>
    <w:rsid w:val="00344A49"/>
    <w:rsid w:val="0034505E"/>
    <w:rsid w:val="0034540C"/>
    <w:rsid w:val="00345FCF"/>
    <w:rsid w:val="003465EF"/>
    <w:rsid w:val="00346979"/>
    <w:rsid w:val="00346B6B"/>
    <w:rsid w:val="00346F41"/>
    <w:rsid w:val="003473B9"/>
    <w:rsid w:val="00347C65"/>
    <w:rsid w:val="00347FCC"/>
    <w:rsid w:val="003501EB"/>
    <w:rsid w:val="00350439"/>
    <w:rsid w:val="003510C1"/>
    <w:rsid w:val="00351AB0"/>
    <w:rsid w:val="00351B0D"/>
    <w:rsid w:val="00352031"/>
    <w:rsid w:val="0035230B"/>
    <w:rsid w:val="003523DF"/>
    <w:rsid w:val="003524F0"/>
    <w:rsid w:val="00352933"/>
    <w:rsid w:val="003529B3"/>
    <w:rsid w:val="003534ED"/>
    <w:rsid w:val="00353779"/>
    <w:rsid w:val="00353ACF"/>
    <w:rsid w:val="00353B2F"/>
    <w:rsid w:val="00353BE6"/>
    <w:rsid w:val="0035407A"/>
    <w:rsid w:val="00354D7B"/>
    <w:rsid w:val="003554BA"/>
    <w:rsid w:val="003556F0"/>
    <w:rsid w:val="00355828"/>
    <w:rsid w:val="00355FCF"/>
    <w:rsid w:val="00357700"/>
    <w:rsid w:val="00357D28"/>
    <w:rsid w:val="003601DE"/>
    <w:rsid w:val="00360447"/>
    <w:rsid w:val="003606E2"/>
    <w:rsid w:val="003609B8"/>
    <w:rsid w:val="00360BE5"/>
    <w:rsid w:val="00360EB9"/>
    <w:rsid w:val="00361002"/>
    <w:rsid w:val="0036105D"/>
    <w:rsid w:val="003613E2"/>
    <w:rsid w:val="003621D2"/>
    <w:rsid w:val="00362BB4"/>
    <w:rsid w:val="00363556"/>
    <w:rsid w:val="0036457E"/>
    <w:rsid w:val="00364795"/>
    <w:rsid w:val="003652F0"/>
    <w:rsid w:val="00365808"/>
    <w:rsid w:val="00366151"/>
    <w:rsid w:val="0036662A"/>
    <w:rsid w:val="0036679F"/>
    <w:rsid w:val="00366A87"/>
    <w:rsid w:val="00366BF3"/>
    <w:rsid w:val="003677B8"/>
    <w:rsid w:val="0037045C"/>
    <w:rsid w:val="00370FE5"/>
    <w:rsid w:val="00371DA8"/>
    <w:rsid w:val="003720CA"/>
    <w:rsid w:val="00372864"/>
    <w:rsid w:val="00373974"/>
    <w:rsid w:val="00373B56"/>
    <w:rsid w:val="00375190"/>
    <w:rsid w:val="003756B0"/>
    <w:rsid w:val="0037684F"/>
    <w:rsid w:val="003769E1"/>
    <w:rsid w:val="00377940"/>
    <w:rsid w:val="00377BAA"/>
    <w:rsid w:val="003802AF"/>
    <w:rsid w:val="00380550"/>
    <w:rsid w:val="0038083D"/>
    <w:rsid w:val="00380AF4"/>
    <w:rsid w:val="003817CD"/>
    <w:rsid w:val="00382361"/>
    <w:rsid w:val="00382474"/>
    <w:rsid w:val="0038289E"/>
    <w:rsid w:val="00383A1D"/>
    <w:rsid w:val="003847D6"/>
    <w:rsid w:val="00385255"/>
    <w:rsid w:val="003855DA"/>
    <w:rsid w:val="00385B06"/>
    <w:rsid w:val="00386399"/>
    <w:rsid w:val="003865B8"/>
    <w:rsid w:val="003865F9"/>
    <w:rsid w:val="00386739"/>
    <w:rsid w:val="00387A9C"/>
    <w:rsid w:val="00391584"/>
    <w:rsid w:val="00391916"/>
    <w:rsid w:val="003921AD"/>
    <w:rsid w:val="003921D9"/>
    <w:rsid w:val="0039235B"/>
    <w:rsid w:val="0039259D"/>
    <w:rsid w:val="0039337E"/>
    <w:rsid w:val="00393935"/>
    <w:rsid w:val="00393A9C"/>
    <w:rsid w:val="00393D4E"/>
    <w:rsid w:val="0039481E"/>
    <w:rsid w:val="0039501D"/>
    <w:rsid w:val="00395ED5"/>
    <w:rsid w:val="00396546"/>
    <w:rsid w:val="00396DB5"/>
    <w:rsid w:val="00397539"/>
    <w:rsid w:val="00397797"/>
    <w:rsid w:val="00397A9B"/>
    <w:rsid w:val="00397AD7"/>
    <w:rsid w:val="003A0BC4"/>
    <w:rsid w:val="003A1273"/>
    <w:rsid w:val="003A14C6"/>
    <w:rsid w:val="003A15B7"/>
    <w:rsid w:val="003A1AD9"/>
    <w:rsid w:val="003A2671"/>
    <w:rsid w:val="003A31F9"/>
    <w:rsid w:val="003A332E"/>
    <w:rsid w:val="003A39F8"/>
    <w:rsid w:val="003A3AC1"/>
    <w:rsid w:val="003A4E9D"/>
    <w:rsid w:val="003A6340"/>
    <w:rsid w:val="003A720D"/>
    <w:rsid w:val="003A727C"/>
    <w:rsid w:val="003A761A"/>
    <w:rsid w:val="003B0026"/>
    <w:rsid w:val="003B055B"/>
    <w:rsid w:val="003B0791"/>
    <w:rsid w:val="003B0999"/>
    <w:rsid w:val="003B0CEE"/>
    <w:rsid w:val="003B1544"/>
    <w:rsid w:val="003B1BF7"/>
    <w:rsid w:val="003B1C25"/>
    <w:rsid w:val="003B2233"/>
    <w:rsid w:val="003B2DCD"/>
    <w:rsid w:val="003B2FAE"/>
    <w:rsid w:val="003B35BE"/>
    <w:rsid w:val="003B36F7"/>
    <w:rsid w:val="003B3C01"/>
    <w:rsid w:val="003B4705"/>
    <w:rsid w:val="003B5071"/>
    <w:rsid w:val="003B6070"/>
    <w:rsid w:val="003B6643"/>
    <w:rsid w:val="003B6900"/>
    <w:rsid w:val="003B69CF"/>
    <w:rsid w:val="003B726A"/>
    <w:rsid w:val="003B7A6E"/>
    <w:rsid w:val="003C0B87"/>
    <w:rsid w:val="003C0C36"/>
    <w:rsid w:val="003C1FBC"/>
    <w:rsid w:val="003C2CBD"/>
    <w:rsid w:val="003C35AE"/>
    <w:rsid w:val="003C44A8"/>
    <w:rsid w:val="003C4BBA"/>
    <w:rsid w:val="003C5AB7"/>
    <w:rsid w:val="003C6054"/>
    <w:rsid w:val="003C61CE"/>
    <w:rsid w:val="003C6553"/>
    <w:rsid w:val="003C67CA"/>
    <w:rsid w:val="003C763B"/>
    <w:rsid w:val="003C7665"/>
    <w:rsid w:val="003C7684"/>
    <w:rsid w:val="003D0504"/>
    <w:rsid w:val="003D0AC7"/>
    <w:rsid w:val="003D1157"/>
    <w:rsid w:val="003D1307"/>
    <w:rsid w:val="003D181B"/>
    <w:rsid w:val="003D1A2B"/>
    <w:rsid w:val="003D2338"/>
    <w:rsid w:val="003D234A"/>
    <w:rsid w:val="003D368A"/>
    <w:rsid w:val="003D41FE"/>
    <w:rsid w:val="003D4EB4"/>
    <w:rsid w:val="003D6076"/>
    <w:rsid w:val="003D63CE"/>
    <w:rsid w:val="003D63D4"/>
    <w:rsid w:val="003D64B8"/>
    <w:rsid w:val="003D6BBF"/>
    <w:rsid w:val="003D7CEC"/>
    <w:rsid w:val="003E0234"/>
    <w:rsid w:val="003E03F8"/>
    <w:rsid w:val="003E09D5"/>
    <w:rsid w:val="003E1799"/>
    <w:rsid w:val="003E1967"/>
    <w:rsid w:val="003E1D50"/>
    <w:rsid w:val="003E2769"/>
    <w:rsid w:val="003E2F0D"/>
    <w:rsid w:val="003E3026"/>
    <w:rsid w:val="003E32BF"/>
    <w:rsid w:val="003E3C86"/>
    <w:rsid w:val="003E4F82"/>
    <w:rsid w:val="003E5026"/>
    <w:rsid w:val="003E541E"/>
    <w:rsid w:val="003E5902"/>
    <w:rsid w:val="003E6868"/>
    <w:rsid w:val="003E6917"/>
    <w:rsid w:val="003E77A4"/>
    <w:rsid w:val="003E7E79"/>
    <w:rsid w:val="003F11D5"/>
    <w:rsid w:val="003F2B48"/>
    <w:rsid w:val="003F2C16"/>
    <w:rsid w:val="003F3490"/>
    <w:rsid w:val="003F4A4D"/>
    <w:rsid w:val="003F540C"/>
    <w:rsid w:val="003F5676"/>
    <w:rsid w:val="003F5F95"/>
    <w:rsid w:val="003F646A"/>
    <w:rsid w:val="003F6673"/>
    <w:rsid w:val="003F6EC3"/>
    <w:rsid w:val="003F70BF"/>
    <w:rsid w:val="003F72E4"/>
    <w:rsid w:val="003F7DF8"/>
    <w:rsid w:val="00400DC7"/>
    <w:rsid w:val="00400FA7"/>
    <w:rsid w:val="00402C2C"/>
    <w:rsid w:val="00405059"/>
    <w:rsid w:val="0040510B"/>
    <w:rsid w:val="0040515C"/>
    <w:rsid w:val="00405835"/>
    <w:rsid w:val="00405E55"/>
    <w:rsid w:val="004060A1"/>
    <w:rsid w:val="0040628C"/>
    <w:rsid w:val="00406B2C"/>
    <w:rsid w:val="00410BFC"/>
    <w:rsid w:val="00410EF5"/>
    <w:rsid w:val="00410FA0"/>
    <w:rsid w:val="00411124"/>
    <w:rsid w:val="0041243E"/>
    <w:rsid w:val="004124F4"/>
    <w:rsid w:val="00412BC3"/>
    <w:rsid w:val="004136A8"/>
    <w:rsid w:val="00414392"/>
    <w:rsid w:val="0041503C"/>
    <w:rsid w:val="00415C34"/>
    <w:rsid w:val="004162AD"/>
    <w:rsid w:val="00416D30"/>
    <w:rsid w:val="004177C2"/>
    <w:rsid w:val="00417DC7"/>
    <w:rsid w:val="004200AE"/>
    <w:rsid w:val="00420BF1"/>
    <w:rsid w:val="0042157D"/>
    <w:rsid w:val="00421757"/>
    <w:rsid w:val="00421A44"/>
    <w:rsid w:val="00421AD5"/>
    <w:rsid w:val="00422125"/>
    <w:rsid w:val="00422ACE"/>
    <w:rsid w:val="004238AF"/>
    <w:rsid w:val="00423AFB"/>
    <w:rsid w:val="0042598E"/>
    <w:rsid w:val="00425A58"/>
    <w:rsid w:val="00425F97"/>
    <w:rsid w:val="00426766"/>
    <w:rsid w:val="00426793"/>
    <w:rsid w:val="0042734B"/>
    <w:rsid w:val="004278D7"/>
    <w:rsid w:val="00431AEF"/>
    <w:rsid w:val="00431CF4"/>
    <w:rsid w:val="004322A4"/>
    <w:rsid w:val="0043238B"/>
    <w:rsid w:val="00432F3B"/>
    <w:rsid w:val="00434710"/>
    <w:rsid w:val="00437303"/>
    <w:rsid w:val="00437831"/>
    <w:rsid w:val="004378C4"/>
    <w:rsid w:val="004378EE"/>
    <w:rsid w:val="00437B11"/>
    <w:rsid w:val="00440112"/>
    <w:rsid w:val="00441D45"/>
    <w:rsid w:val="00443A52"/>
    <w:rsid w:val="00443C94"/>
    <w:rsid w:val="00443CFE"/>
    <w:rsid w:val="00443DAD"/>
    <w:rsid w:val="00443E79"/>
    <w:rsid w:val="00444314"/>
    <w:rsid w:val="00444536"/>
    <w:rsid w:val="00444D48"/>
    <w:rsid w:val="00444D7E"/>
    <w:rsid w:val="004464F5"/>
    <w:rsid w:val="0044722C"/>
    <w:rsid w:val="00447D74"/>
    <w:rsid w:val="00452056"/>
    <w:rsid w:val="00452AAF"/>
    <w:rsid w:val="00452FA3"/>
    <w:rsid w:val="004538DE"/>
    <w:rsid w:val="00453D09"/>
    <w:rsid w:val="00453D8D"/>
    <w:rsid w:val="00453EAE"/>
    <w:rsid w:val="00453FAF"/>
    <w:rsid w:val="004550B4"/>
    <w:rsid w:val="00455305"/>
    <w:rsid w:val="00455447"/>
    <w:rsid w:val="0045559A"/>
    <w:rsid w:val="00455971"/>
    <w:rsid w:val="00456267"/>
    <w:rsid w:val="00456A9D"/>
    <w:rsid w:val="004609A9"/>
    <w:rsid w:val="004631DA"/>
    <w:rsid w:val="00463828"/>
    <w:rsid w:val="004639C4"/>
    <w:rsid w:val="00463A02"/>
    <w:rsid w:val="00464DEF"/>
    <w:rsid w:val="00464F3D"/>
    <w:rsid w:val="00465FDF"/>
    <w:rsid w:val="00466665"/>
    <w:rsid w:val="00466795"/>
    <w:rsid w:val="00466A09"/>
    <w:rsid w:val="00467384"/>
    <w:rsid w:val="00467667"/>
    <w:rsid w:val="00467E88"/>
    <w:rsid w:val="00470130"/>
    <w:rsid w:val="00470488"/>
    <w:rsid w:val="004705F0"/>
    <w:rsid w:val="00470C1B"/>
    <w:rsid w:val="00471451"/>
    <w:rsid w:val="0047152F"/>
    <w:rsid w:val="004716A1"/>
    <w:rsid w:val="004719B3"/>
    <w:rsid w:val="00471C90"/>
    <w:rsid w:val="004723F7"/>
    <w:rsid w:val="00472D27"/>
    <w:rsid w:val="00473063"/>
    <w:rsid w:val="004732C4"/>
    <w:rsid w:val="00474FD7"/>
    <w:rsid w:val="00475359"/>
    <w:rsid w:val="00475D1E"/>
    <w:rsid w:val="00475E13"/>
    <w:rsid w:val="00475E25"/>
    <w:rsid w:val="0047640E"/>
    <w:rsid w:val="00476956"/>
    <w:rsid w:val="0047717F"/>
    <w:rsid w:val="0047758D"/>
    <w:rsid w:val="00477C03"/>
    <w:rsid w:val="0048056E"/>
    <w:rsid w:val="00482A5B"/>
    <w:rsid w:val="00482B56"/>
    <w:rsid w:val="00483584"/>
    <w:rsid w:val="00483A39"/>
    <w:rsid w:val="00483C15"/>
    <w:rsid w:val="0048419C"/>
    <w:rsid w:val="00484E97"/>
    <w:rsid w:val="004853EA"/>
    <w:rsid w:val="00485F22"/>
    <w:rsid w:val="00485FA2"/>
    <w:rsid w:val="00486440"/>
    <w:rsid w:val="004864F1"/>
    <w:rsid w:val="00486F43"/>
    <w:rsid w:val="004870C6"/>
    <w:rsid w:val="00487204"/>
    <w:rsid w:val="004876E5"/>
    <w:rsid w:val="0048783C"/>
    <w:rsid w:val="0049028E"/>
    <w:rsid w:val="004915ED"/>
    <w:rsid w:val="004923DB"/>
    <w:rsid w:val="00492CC9"/>
    <w:rsid w:val="00493322"/>
    <w:rsid w:val="0049588B"/>
    <w:rsid w:val="004959F5"/>
    <w:rsid w:val="00496096"/>
    <w:rsid w:val="00496433"/>
    <w:rsid w:val="00496DBC"/>
    <w:rsid w:val="00496F07"/>
    <w:rsid w:val="004A0897"/>
    <w:rsid w:val="004A0F8C"/>
    <w:rsid w:val="004A149B"/>
    <w:rsid w:val="004A2D3A"/>
    <w:rsid w:val="004A31E0"/>
    <w:rsid w:val="004A3536"/>
    <w:rsid w:val="004A42BF"/>
    <w:rsid w:val="004A49D9"/>
    <w:rsid w:val="004A4DF2"/>
    <w:rsid w:val="004A4F4E"/>
    <w:rsid w:val="004A5B5D"/>
    <w:rsid w:val="004A5C12"/>
    <w:rsid w:val="004A5F41"/>
    <w:rsid w:val="004A6A07"/>
    <w:rsid w:val="004A6E9D"/>
    <w:rsid w:val="004A704E"/>
    <w:rsid w:val="004A748F"/>
    <w:rsid w:val="004B02B5"/>
    <w:rsid w:val="004B0371"/>
    <w:rsid w:val="004B0B0B"/>
    <w:rsid w:val="004B1774"/>
    <w:rsid w:val="004B1EA3"/>
    <w:rsid w:val="004B275E"/>
    <w:rsid w:val="004B2CB4"/>
    <w:rsid w:val="004B2CD5"/>
    <w:rsid w:val="004B3352"/>
    <w:rsid w:val="004B42B4"/>
    <w:rsid w:val="004B4AB2"/>
    <w:rsid w:val="004B584E"/>
    <w:rsid w:val="004B5C52"/>
    <w:rsid w:val="004B5CCA"/>
    <w:rsid w:val="004B5F81"/>
    <w:rsid w:val="004B617C"/>
    <w:rsid w:val="004B6B60"/>
    <w:rsid w:val="004B725C"/>
    <w:rsid w:val="004C0F4B"/>
    <w:rsid w:val="004C1CE4"/>
    <w:rsid w:val="004C1E31"/>
    <w:rsid w:val="004C4179"/>
    <w:rsid w:val="004C44BD"/>
    <w:rsid w:val="004C472B"/>
    <w:rsid w:val="004C57F3"/>
    <w:rsid w:val="004C58E9"/>
    <w:rsid w:val="004C58F6"/>
    <w:rsid w:val="004C63D1"/>
    <w:rsid w:val="004C7427"/>
    <w:rsid w:val="004C74DD"/>
    <w:rsid w:val="004C7837"/>
    <w:rsid w:val="004C7ADB"/>
    <w:rsid w:val="004D06F7"/>
    <w:rsid w:val="004D08AA"/>
    <w:rsid w:val="004D0906"/>
    <w:rsid w:val="004D0C87"/>
    <w:rsid w:val="004D0CC7"/>
    <w:rsid w:val="004D11D5"/>
    <w:rsid w:val="004D1CCB"/>
    <w:rsid w:val="004D1FB6"/>
    <w:rsid w:val="004D2894"/>
    <w:rsid w:val="004D29C6"/>
    <w:rsid w:val="004D2C67"/>
    <w:rsid w:val="004D4730"/>
    <w:rsid w:val="004D48FE"/>
    <w:rsid w:val="004D526B"/>
    <w:rsid w:val="004D5FC3"/>
    <w:rsid w:val="004D6481"/>
    <w:rsid w:val="004D66FF"/>
    <w:rsid w:val="004D67E3"/>
    <w:rsid w:val="004D7358"/>
    <w:rsid w:val="004E009B"/>
    <w:rsid w:val="004E02CC"/>
    <w:rsid w:val="004E0590"/>
    <w:rsid w:val="004E1729"/>
    <w:rsid w:val="004E177D"/>
    <w:rsid w:val="004E1BD8"/>
    <w:rsid w:val="004E2B89"/>
    <w:rsid w:val="004E34B9"/>
    <w:rsid w:val="004E358F"/>
    <w:rsid w:val="004E4144"/>
    <w:rsid w:val="004E445D"/>
    <w:rsid w:val="004E5598"/>
    <w:rsid w:val="004E5FCE"/>
    <w:rsid w:val="004E6022"/>
    <w:rsid w:val="004E6028"/>
    <w:rsid w:val="004E607A"/>
    <w:rsid w:val="004E6624"/>
    <w:rsid w:val="004E6B69"/>
    <w:rsid w:val="004E6CC8"/>
    <w:rsid w:val="004E6FFD"/>
    <w:rsid w:val="004E72F8"/>
    <w:rsid w:val="004E7374"/>
    <w:rsid w:val="004E745B"/>
    <w:rsid w:val="004F0A8B"/>
    <w:rsid w:val="004F0A9C"/>
    <w:rsid w:val="004F173F"/>
    <w:rsid w:val="004F1D6B"/>
    <w:rsid w:val="004F2491"/>
    <w:rsid w:val="004F28CD"/>
    <w:rsid w:val="004F2AD2"/>
    <w:rsid w:val="004F2C32"/>
    <w:rsid w:val="004F32C5"/>
    <w:rsid w:val="004F3DAC"/>
    <w:rsid w:val="004F40AD"/>
    <w:rsid w:val="004F43B4"/>
    <w:rsid w:val="004F5999"/>
    <w:rsid w:val="004F60F6"/>
    <w:rsid w:val="004F6829"/>
    <w:rsid w:val="004F73D7"/>
    <w:rsid w:val="004F7FBD"/>
    <w:rsid w:val="00500060"/>
    <w:rsid w:val="005004F3"/>
    <w:rsid w:val="00500CDF"/>
    <w:rsid w:val="00501688"/>
    <w:rsid w:val="00501BBA"/>
    <w:rsid w:val="00501E25"/>
    <w:rsid w:val="00502F32"/>
    <w:rsid w:val="00503305"/>
    <w:rsid w:val="005038D8"/>
    <w:rsid w:val="00503CE5"/>
    <w:rsid w:val="00503D74"/>
    <w:rsid w:val="00503DB1"/>
    <w:rsid w:val="005041D6"/>
    <w:rsid w:val="0050529B"/>
    <w:rsid w:val="005054C5"/>
    <w:rsid w:val="00505535"/>
    <w:rsid w:val="0050586A"/>
    <w:rsid w:val="00505EDF"/>
    <w:rsid w:val="005063FA"/>
    <w:rsid w:val="0050723D"/>
    <w:rsid w:val="00510777"/>
    <w:rsid w:val="00510A85"/>
    <w:rsid w:val="00510D5A"/>
    <w:rsid w:val="005111A1"/>
    <w:rsid w:val="00511AAF"/>
    <w:rsid w:val="00512FE2"/>
    <w:rsid w:val="00513D9B"/>
    <w:rsid w:val="00513EBE"/>
    <w:rsid w:val="005148D1"/>
    <w:rsid w:val="00514AFC"/>
    <w:rsid w:val="00514C38"/>
    <w:rsid w:val="00514F13"/>
    <w:rsid w:val="00514F77"/>
    <w:rsid w:val="005154BC"/>
    <w:rsid w:val="005156D0"/>
    <w:rsid w:val="005158BC"/>
    <w:rsid w:val="005159D4"/>
    <w:rsid w:val="005160BA"/>
    <w:rsid w:val="00516779"/>
    <w:rsid w:val="0051741B"/>
    <w:rsid w:val="005202FC"/>
    <w:rsid w:val="005206B0"/>
    <w:rsid w:val="00520904"/>
    <w:rsid w:val="00520A7C"/>
    <w:rsid w:val="00520E9A"/>
    <w:rsid w:val="005210EF"/>
    <w:rsid w:val="005220F2"/>
    <w:rsid w:val="005227C6"/>
    <w:rsid w:val="00522900"/>
    <w:rsid w:val="0052326E"/>
    <w:rsid w:val="005237C7"/>
    <w:rsid w:val="0052393F"/>
    <w:rsid w:val="00523F5A"/>
    <w:rsid w:val="00524350"/>
    <w:rsid w:val="0052552A"/>
    <w:rsid w:val="00525F1B"/>
    <w:rsid w:val="00525F9F"/>
    <w:rsid w:val="00526286"/>
    <w:rsid w:val="0052638C"/>
    <w:rsid w:val="00526418"/>
    <w:rsid w:val="00526A4F"/>
    <w:rsid w:val="005270AB"/>
    <w:rsid w:val="00527115"/>
    <w:rsid w:val="00527160"/>
    <w:rsid w:val="00527845"/>
    <w:rsid w:val="0052790B"/>
    <w:rsid w:val="0053023F"/>
    <w:rsid w:val="005302E4"/>
    <w:rsid w:val="0053035F"/>
    <w:rsid w:val="005303DC"/>
    <w:rsid w:val="00530480"/>
    <w:rsid w:val="00530AD0"/>
    <w:rsid w:val="00531803"/>
    <w:rsid w:val="0053182B"/>
    <w:rsid w:val="00531C7D"/>
    <w:rsid w:val="00532638"/>
    <w:rsid w:val="0053343A"/>
    <w:rsid w:val="00533B40"/>
    <w:rsid w:val="00533B75"/>
    <w:rsid w:val="00533E6D"/>
    <w:rsid w:val="00535094"/>
    <w:rsid w:val="005363AF"/>
    <w:rsid w:val="00536861"/>
    <w:rsid w:val="00536BB1"/>
    <w:rsid w:val="0053706B"/>
    <w:rsid w:val="00540485"/>
    <w:rsid w:val="00540DAB"/>
    <w:rsid w:val="0054109D"/>
    <w:rsid w:val="005412F9"/>
    <w:rsid w:val="00542A7F"/>
    <w:rsid w:val="00543684"/>
    <w:rsid w:val="0054453C"/>
    <w:rsid w:val="005448D5"/>
    <w:rsid w:val="00544967"/>
    <w:rsid w:val="00546409"/>
    <w:rsid w:val="00546864"/>
    <w:rsid w:val="00546EED"/>
    <w:rsid w:val="005472A1"/>
    <w:rsid w:val="005477CB"/>
    <w:rsid w:val="005479F5"/>
    <w:rsid w:val="00547B7B"/>
    <w:rsid w:val="00547C74"/>
    <w:rsid w:val="005516A5"/>
    <w:rsid w:val="00551B94"/>
    <w:rsid w:val="00551D09"/>
    <w:rsid w:val="005533C2"/>
    <w:rsid w:val="00553D49"/>
    <w:rsid w:val="00554F03"/>
    <w:rsid w:val="00555386"/>
    <w:rsid w:val="00556BAB"/>
    <w:rsid w:val="00556EEF"/>
    <w:rsid w:val="00556FC6"/>
    <w:rsid w:val="005602D1"/>
    <w:rsid w:val="00560F0D"/>
    <w:rsid w:val="00561F8F"/>
    <w:rsid w:val="005620DA"/>
    <w:rsid w:val="0056211A"/>
    <w:rsid w:val="00563838"/>
    <w:rsid w:val="00563B3D"/>
    <w:rsid w:val="00564D0E"/>
    <w:rsid w:val="005653B4"/>
    <w:rsid w:val="00565E0C"/>
    <w:rsid w:val="00566865"/>
    <w:rsid w:val="00566D35"/>
    <w:rsid w:val="005671CE"/>
    <w:rsid w:val="0056794A"/>
    <w:rsid w:val="00567F97"/>
    <w:rsid w:val="0057033B"/>
    <w:rsid w:val="00571061"/>
    <w:rsid w:val="00571253"/>
    <w:rsid w:val="00571D9B"/>
    <w:rsid w:val="00572545"/>
    <w:rsid w:val="00572C97"/>
    <w:rsid w:val="00572FA1"/>
    <w:rsid w:val="0057371A"/>
    <w:rsid w:val="00573E4F"/>
    <w:rsid w:val="0057419A"/>
    <w:rsid w:val="0057493A"/>
    <w:rsid w:val="00575DD5"/>
    <w:rsid w:val="00576F39"/>
    <w:rsid w:val="005771BF"/>
    <w:rsid w:val="00577B80"/>
    <w:rsid w:val="00577E55"/>
    <w:rsid w:val="00577F01"/>
    <w:rsid w:val="005809BA"/>
    <w:rsid w:val="00580A86"/>
    <w:rsid w:val="00581193"/>
    <w:rsid w:val="00581B51"/>
    <w:rsid w:val="00581EF9"/>
    <w:rsid w:val="0058217E"/>
    <w:rsid w:val="0058287F"/>
    <w:rsid w:val="00583642"/>
    <w:rsid w:val="00583704"/>
    <w:rsid w:val="005837FF"/>
    <w:rsid w:val="005842F7"/>
    <w:rsid w:val="005854FD"/>
    <w:rsid w:val="005861BE"/>
    <w:rsid w:val="00586EFC"/>
    <w:rsid w:val="005903F9"/>
    <w:rsid w:val="00590408"/>
    <w:rsid w:val="005904F6"/>
    <w:rsid w:val="00591FC2"/>
    <w:rsid w:val="00592441"/>
    <w:rsid w:val="00592F51"/>
    <w:rsid w:val="00592F75"/>
    <w:rsid w:val="00593EE0"/>
    <w:rsid w:val="005946F1"/>
    <w:rsid w:val="00594A0B"/>
    <w:rsid w:val="00594DA2"/>
    <w:rsid w:val="005953D7"/>
    <w:rsid w:val="005955E2"/>
    <w:rsid w:val="00595BD1"/>
    <w:rsid w:val="00595C30"/>
    <w:rsid w:val="00596557"/>
    <w:rsid w:val="00596BE9"/>
    <w:rsid w:val="00597AFF"/>
    <w:rsid w:val="005A078D"/>
    <w:rsid w:val="005A0AC7"/>
    <w:rsid w:val="005A0E03"/>
    <w:rsid w:val="005A0E05"/>
    <w:rsid w:val="005A1521"/>
    <w:rsid w:val="005A1A85"/>
    <w:rsid w:val="005A260F"/>
    <w:rsid w:val="005A27A3"/>
    <w:rsid w:val="005A2FB2"/>
    <w:rsid w:val="005A340F"/>
    <w:rsid w:val="005A3704"/>
    <w:rsid w:val="005A3FE6"/>
    <w:rsid w:val="005A4A5F"/>
    <w:rsid w:val="005A660B"/>
    <w:rsid w:val="005A771F"/>
    <w:rsid w:val="005B09A6"/>
    <w:rsid w:val="005B0CA5"/>
    <w:rsid w:val="005B1293"/>
    <w:rsid w:val="005B1528"/>
    <w:rsid w:val="005B1761"/>
    <w:rsid w:val="005B1CE9"/>
    <w:rsid w:val="005B2739"/>
    <w:rsid w:val="005B2B86"/>
    <w:rsid w:val="005B3187"/>
    <w:rsid w:val="005B34A8"/>
    <w:rsid w:val="005B3BB0"/>
    <w:rsid w:val="005B3EDE"/>
    <w:rsid w:val="005B4FC2"/>
    <w:rsid w:val="005B6C28"/>
    <w:rsid w:val="005B70B1"/>
    <w:rsid w:val="005B70DE"/>
    <w:rsid w:val="005B718D"/>
    <w:rsid w:val="005B76AF"/>
    <w:rsid w:val="005B78D4"/>
    <w:rsid w:val="005B79FB"/>
    <w:rsid w:val="005B7C13"/>
    <w:rsid w:val="005C11A9"/>
    <w:rsid w:val="005C11F6"/>
    <w:rsid w:val="005C16DB"/>
    <w:rsid w:val="005C311B"/>
    <w:rsid w:val="005C492A"/>
    <w:rsid w:val="005C49FB"/>
    <w:rsid w:val="005C4B53"/>
    <w:rsid w:val="005C5B4A"/>
    <w:rsid w:val="005C5ECB"/>
    <w:rsid w:val="005C6203"/>
    <w:rsid w:val="005C7A18"/>
    <w:rsid w:val="005D0227"/>
    <w:rsid w:val="005D1053"/>
    <w:rsid w:val="005D14AB"/>
    <w:rsid w:val="005D17B9"/>
    <w:rsid w:val="005D2734"/>
    <w:rsid w:val="005D2ACB"/>
    <w:rsid w:val="005D3922"/>
    <w:rsid w:val="005D3C44"/>
    <w:rsid w:val="005D4430"/>
    <w:rsid w:val="005D4719"/>
    <w:rsid w:val="005D5C4B"/>
    <w:rsid w:val="005D6293"/>
    <w:rsid w:val="005D6B7E"/>
    <w:rsid w:val="005D6E15"/>
    <w:rsid w:val="005D7216"/>
    <w:rsid w:val="005D7CDE"/>
    <w:rsid w:val="005D7D85"/>
    <w:rsid w:val="005E0451"/>
    <w:rsid w:val="005E0604"/>
    <w:rsid w:val="005E09BE"/>
    <w:rsid w:val="005E10E9"/>
    <w:rsid w:val="005E1221"/>
    <w:rsid w:val="005E1F42"/>
    <w:rsid w:val="005E31D2"/>
    <w:rsid w:val="005E5167"/>
    <w:rsid w:val="005E5744"/>
    <w:rsid w:val="005E5794"/>
    <w:rsid w:val="005E658A"/>
    <w:rsid w:val="005E66AB"/>
    <w:rsid w:val="005E7BED"/>
    <w:rsid w:val="005F038F"/>
    <w:rsid w:val="005F04B5"/>
    <w:rsid w:val="005F04C2"/>
    <w:rsid w:val="005F0E67"/>
    <w:rsid w:val="005F0F88"/>
    <w:rsid w:val="005F1E62"/>
    <w:rsid w:val="005F1F56"/>
    <w:rsid w:val="005F29FD"/>
    <w:rsid w:val="005F2A77"/>
    <w:rsid w:val="005F39CB"/>
    <w:rsid w:val="005F4357"/>
    <w:rsid w:val="005F4CB3"/>
    <w:rsid w:val="005F7ABD"/>
    <w:rsid w:val="00600066"/>
    <w:rsid w:val="00600EC4"/>
    <w:rsid w:val="00600FB7"/>
    <w:rsid w:val="006012F2"/>
    <w:rsid w:val="00601E5A"/>
    <w:rsid w:val="0060346F"/>
    <w:rsid w:val="006043D4"/>
    <w:rsid w:val="00604572"/>
    <w:rsid w:val="00605066"/>
    <w:rsid w:val="00605142"/>
    <w:rsid w:val="006063F3"/>
    <w:rsid w:val="00606508"/>
    <w:rsid w:val="006068B2"/>
    <w:rsid w:val="006078D1"/>
    <w:rsid w:val="00607ADC"/>
    <w:rsid w:val="00607C88"/>
    <w:rsid w:val="00607F2C"/>
    <w:rsid w:val="0061028E"/>
    <w:rsid w:val="006106A7"/>
    <w:rsid w:val="00610728"/>
    <w:rsid w:val="00610A6B"/>
    <w:rsid w:val="00611290"/>
    <w:rsid w:val="00611C52"/>
    <w:rsid w:val="00612064"/>
    <w:rsid w:val="0061238E"/>
    <w:rsid w:val="0061274A"/>
    <w:rsid w:val="00612900"/>
    <w:rsid w:val="00612FFA"/>
    <w:rsid w:val="00613765"/>
    <w:rsid w:val="0061394D"/>
    <w:rsid w:val="00613BBB"/>
    <w:rsid w:val="00613BCD"/>
    <w:rsid w:val="00613C50"/>
    <w:rsid w:val="006140DB"/>
    <w:rsid w:val="00615355"/>
    <w:rsid w:val="00615ACB"/>
    <w:rsid w:val="00615E3B"/>
    <w:rsid w:val="00616E99"/>
    <w:rsid w:val="006171C7"/>
    <w:rsid w:val="0061750F"/>
    <w:rsid w:val="0061772B"/>
    <w:rsid w:val="006179ED"/>
    <w:rsid w:val="00617ADE"/>
    <w:rsid w:val="00620151"/>
    <w:rsid w:val="0062043A"/>
    <w:rsid w:val="00620B27"/>
    <w:rsid w:val="0062155D"/>
    <w:rsid w:val="0062164C"/>
    <w:rsid w:val="00622715"/>
    <w:rsid w:val="00622F42"/>
    <w:rsid w:val="00623A9C"/>
    <w:rsid w:val="00623E3D"/>
    <w:rsid w:val="0062401A"/>
    <w:rsid w:val="0062409A"/>
    <w:rsid w:val="00624BAD"/>
    <w:rsid w:val="00625903"/>
    <w:rsid w:val="006259D7"/>
    <w:rsid w:val="0062678D"/>
    <w:rsid w:val="006267A0"/>
    <w:rsid w:val="00626D21"/>
    <w:rsid w:val="006272FE"/>
    <w:rsid w:val="00627633"/>
    <w:rsid w:val="00627C36"/>
    <w:rsid w:val="00627FE0"/>
    <w:rsid w:val="006301B9"/>
    <w:rsid w:val="00631726"/>
    <w:rsid w:val="00631981"/>
    <w:rsid w:val="00632431"/>
    <w:rsid w:val="006325E1"/>
    <w:rsid w:val="00633261"/>
    <w:rsid w:val="006334A9"/>
    <w:rsid w:val="00633EC5"/>
    <w:rsid w:val="0063486A"/>
    <w:rsid w:val="006351B9"/>
    <w:rsid w:val="00635B87"/>
    <w:rsid w:val="0063669F"/>
    <w:rsid w:val="006366FD"/>
    <w:rsid w:val="0063689F"/>
    <w:rsid w:val="00637092"/>
    <w:rsid w:val="006400BC"/>
    <w:rsid w:val="00640593"/>
    <w:rsid w:val="00641258"/>
    <w:rsid w:val="00641821"/>
    <w:rsid w:val="00641C23"/>
    <w:rsid w:val="00641FC2"/>
    <w:rsid w:val="00642298"/>
    <w:rsid w:val="0064296E"/>
    <w:rsid w:val="00642A83"/>
    <w:rsid w:val="00642F95"/>
    <w:rsid w:val="0064379A"/>
    <w:rsid w:val="00643B25"/>
    <w:rsid w:val="00643D02"/>
    <w:rsid w:val="00644891"/>
    <w:rsid w:val="00644D4D"/>
    <w:rsid w:val="00645314"/>
    <w:rsid w:val="00650250"/>
    <w:rsid w:val="0065027F"/>
    <w:rsid w:val="00650603"/>
    <w:rsid w:val="006507EE"/>
    <w:rsid w:val="006509F5"/>
    <w:rsid w:val="00651057"/>
    <w:rsid w:val="00651C57"/>
    <w:rsid w:val="00651CC3"/>
    <w:rsid w:val="00652905"/>
    <w:rsid w:val="00653A11"/>
    <w:rsid w:val="0065473C"/>
    <w:rsid w:val="00654D5D"/>
    <w:rsid w:val="006550EC"/>
    <w:rsid w:val="00655615"/>
    <w:rsid w:val="00655825"/>
    <w:rsid w:val="006568C6"/>
    <w:rsid w:val="00656F6B"/>
    <w:rsid w:val="00657080"/>
    <w:rsid w:val="00657C06"/>
    <w:rsid w:val="00660804"/>
    <w:rsid w:val="00660FFA"/>
    <w:rsid w:val="0066106C"/>
    <w:rsid w:val="00661871"/>
    <w:rsid w:val="00661A31"/>
    <w:rsid w:val="00661D02"/>
    <w:rsid w:val="0066244B"/>
    <w:rsid w:val="00662549"/>
    <w:rsid w:val="006628DE"/>
    <w:rsid w:val="00662A5E"/>
    <w:rsid w:val="006645BE"/>
    <w:rsid w:val="0066567A"/>
    <w:rsid w:val="00665AC8"/>
    <w:rsid w:val="00665BE2"/>
    <w:rsid w:val="00667125"/>
    <w:rsid w:val="0066760B"/>
    <w:rsid w:val="006678D1"/>
    <w:rsid w:val="00667964"/>
    <w:rsid w:val="00667EF4"/>
    <w:rsid w:val="0067063C"/>
    <w:rsid w:val="006715D5"/>
    <w:rsid w:val="00671BF5"/>
    <w:rsid w:val="00671CFA"/>
    <w:rsid w:val="006725EF"/>
    <w:rsid w:val="00672A9D"/>
    <w:rsid w:val="00673032"/>
    <w:rsid w:val="006736FE"/>
    <w:rsid w:val="006741B6"/>
    <w:rsid w:val="00674E58"/>
    <w:rsid w:val="006754CB"/>
    <w:rsid w:val="00676600"/>
    <w:rsid w:val="00676CBC"/>
    <w:rsid w:val="00676F2B"/>
    <w:rsid w:val="00676F35"/>
    <w:rsid w:val="0067708D"/>
    <w:rsid w:val="0067760E"/>
    <w:rsid w:val="0067787C"/>
    <w:rsid w:val="00677B1E"/>
    <w:rsid w:val="00677C93"/>
    <w:rsid w:val="00680230"/>
    <w:rsid w:val="00680539"/>
    <w:rsid w:val="0068160A"/>
    <w:rsid w:val="00681CFB"/>
    <w:rsid w:val="00681F20"/>
    <w:rsid w:val="00681F5A"/>
    <w:rsid w:val="0068201A"/>
    <w:rsid w:val="00682048"/>
    <w:rsid w:val="006822AC"/>
    <w:rsid w:val="006824CC"/>
    <w:rsid w:val="00683169"/>
    <w:rsid w:val="006836FA"/>
    <w:rsid w:val="00683CEC"/>
    <w:rsid w:val="00683DB0"/>
    <w:rsid w:val="00684074"/>
    <w:rsid w:val="006849F2"/>
    <w:rsid w:val="006850FB"/>
    <w:rsid w:val="006856AD"/>
    <w:rsid w:val="00685FFF"/>
    <w:rsid w:val="00686780"/>
    <w:rsid w:val="00686E67"/>
    <w:rsid w:val="00690593"/>
    <w:rsid w:val="00690AB6"/>
    <w:rsid w:val="00690B46"/>
    <w:rsid w:val="00690CF3"/>
    <w:rsid w:val="00690F1C"/>
    <w:rsid w:val="00691A0A"/>
    <w:rsid w:val="00691C21"/>
    <w:rsid w:val="00691D18"/>
    <w:rsid w:val="006920F7"/>
    <w:rsid w:val="0069298E"/>
    <w:rsid w:val="00693035"/>
    <w:rsid w:val="006937CB"/>
    <w:rsid w:val="00694C09"/>
    <w:rsid w:val="00694C68"/>
    <w:rsid w:val="00694F03"/>
    <w:rsid w:val="00695069"/>
    <w:rsid w:val="00695A15"/>
    <w:rsid w:val="00696071"/>
    <w:rsid w:val="00696DBF"/>
    <w:rsid w:val="00696E7D"/>
    <w:rsid w:val="00696FA3"/>
    <w:rsid w:val="00697EC4"/>
    <w:rsid w:val="006A1C69"/>
    <w:rsid w:val="006A1E78"/>
    <w:rsid w:val="006A22E2"/>
    <w:rsid w:val="006A2A24"/>
    <w:rsid w:val="006A3530"/>
    <w:rsid w:val="006A449A"/>
    <w:rsid w:val="006A4AB5"/>
    <w:rsid w:val="006A4BB1"/>
    <w:rsid w:val="006A4CA2"/>
    <w:rsid w:val="006A60A1"/>
    <w:rsid w:val="006A6D8E"/>
    <w:rsid w:val="006A6E4A"/>
    <w:rsid w:val="006B0D85"/>
    <w:rsid w:val="006B15C1"/>
    <w:rsid w:val="006B19A2"/>
    <w:rsid w:val="006B1F23"/>
    <w:rsid w:val="006B2841"/>
    <w:rsid w:val="006B2F4C"/>
    <w:rsid w:val="006B475D"/>
    <w:rsid w:val="006B4A78"/>
    <w:rsid w:val="006B4BFD"/>
    <w:rsid w:val="006B4EDC"/>
    <w:rsid w:val="006B520A"/>
    <w:rsid w:val="006B5226"/>
    <w:rsid w:val="006B526A"/>
    <w:rsid w:val="006B5622"/>
    <w:rsid w:val="006B575A"/>
    <w:rsid w:val="006B5C30"/>
    <w:rsid w:val="006B64D1"/>
    <w:rsid w:val="006B75D2"/>
    <w:rsid w:val="006B7E32"/>
    <w:rsid w:val="006B7F23"/>
    <w:rsid w:val="006C0163"/>
    <w:rsid w:val="006C0BB5"/>
    <w:rsid w:val="006C0F62"/>
    <w:rsid w:val="006C13C0"/>
    <w:rsid w:val="006C28F3"/>
    <w:rsid w:val="006C2A7D"/>
    <w:rsid w:val="006C2B3C"/>
    <w:rsid w:val="006C2F82"/>
    <w:rsid w:val="006C3CFD"/>
    <w:rsid w:val="006C427E"/>
    <w:rsid w:val="006C4311"/>
    <w:rsid w:val="006C50A2"/>
    <w:rsid w:val="006C5272"/>
    <w:rsid w:val="006C5439"/>
    <w:rsid w:val="006C5909"/>
    <w:rsid w:val="006C5A46"/>
    <w:rsid w:val="006C5A5E"/>
    <w:rsid w:val="006C6372"/>
    <w:rsid w:val="006C6B74"/>
    <w:rsid w:val="006C6EB1"/>
    <w:rsid w:val="006C787C"/>
    <w:rsid w:val="006C7A79"/>
    <w:rsid w:val="006C7A92"/>
    <w:rsid w:val="006D019A"/>
    <w:rsid w:val="006D089D"/>
    <w:rsid w:val="006D08F7"/>
    <w:rsid w:val="006D1436"/>
    <w:rsid w:val="006D14D7"/>
    <w:rsid w:val="006D16C3"/>
    <w:rsid w:val="006D1718"/>
    <w:rsid w:val="006D18B5"/>
    <w:rsid w:val="006D2068"/>
    <w:rsid w:val="006D22E3"/>
    <w:rsid w:val="006D2365"/>
    <w:rsid w:val="006D3589"/>
    <w:rsid w:val="006D381A"/>
    <w:rsid w:val="006D392D"/>
    <w:rsid w:val="006D3D3E"/>
    <w:rsid w:val="006D3E6C"/>
    <w:rsid w:val="006D447A"/>
    <w:rsid w:val="006D4B98"/>
    <w:rsid w:val="006D59A2"/>
    <w:rsid w:val="006D5B3E"/>
    <w:rsid w:val="006D5C9A"/>
    <w:rsid w:val="006D5CE9"/>
    <w:rsid w:val="006E05A9"/>
    <w:rsid w:val="006E08C4"/>
    <w:rsid w:val="006E0B8B"/>
    <w:rsid w:val="006E16C9"/>
    <w:rsid w:val="006E25C5"/>
    <w:rsid w:val="006E2686"/>
    <w:rsid w:val="006E2937"/>
    <w:rsid w:val="006E2974"/>
    <w:rsid w:val="006E3582"/>
    <w:rsid w:val="006E3883"/>
    <w:rsid w:val="006E39C6"/>
    <w:rsid w:val="006E3B3D"/>
    <w:rsid w:val="006E67AE"/>
    <w:rsid w:val="006E6885"/>
    <w:rsid w:val="006E798D"/>
    <w:rsid w:val="006E7C89"/>
    <w:rsid w:val="006F0D4F"/>
    <w:rsid w:val="006F1444"/>
    <w:rsid w:val="006F197C"/>
    <w:rsid w:val="006F1AD0"/>
    <w:rsid w:val="006F1B5F"/>
    <w:rsid w:val="006F23CE"/>
    <w:rsid w:val="006F3395"/>
    <w:rsid w:val="006F4310"/>
    <w:rsid w:val="006F4E6F"/>
    <w:rsid w:val="006F6696"/>
    <w:rsid w:val="006F6D4D"/>
    <w:rsid w:val="006F734A"/>
    <w:rsid w:val="006F7B23"/>
    <w:rsid w:val="007005B6"/>
    <w:rsid w:val="007010F3"/>
    <w:rsid w:val="0070221E"/>
    <w:rsid w:val="00702B57"/>
    <w:rsid w:val="00703751"/>
    <w:rsid w:val="007039C5"/>
    <w:rsid w:val="00704376"/>
    <w:rsid w:val="00704B57"/>
    <w:rsid w:val="0070585C"/>
    <w:rsid w:val="00705BA1"/>
    <w:rsid w:val="00705FCC"/>
    <w:rsid w:val="007070DF"/>
    <w:rsid w:val="007070F4"/>
    <w:rsid w:val="0070774E"/>
    <w:rsid w:val="00707C95"/>
    <w:rsid w:val="00710D1E"/>
    <w:rsid w:val="00710DD2"/>
    <w:rsid w:val="00711354"/>
    <w:rsid w:val="00711A0C"/>
    <w:rsid w:val="00711AD8"/>
    <w:rsid w:val="00711E3B"/>
    <w:rsid w:val="007129EC"/>
    <w:rsid w:val="00712ACF"/>
    <w:rsid w:val="00712BFB"/>
    <w:rsid w:val="0071313B"/>
    <w:rsid w:val="00714018"/>
    <w:rsid w:val="0071432E"/>
    <w:rsid w:val="007143F0"/>
    <w:rsid w:val="007146FF"/>
    <w:rsid w:val="00714D16"/>
    <w:rsid w:val="00714DE5"/>
    <w:rsid w:val="00715EC2"/>
    <w:rsid w:val="00716C03"/>
    <w:rsid w:val="00716C6B"/>
    <w:rsid w:val="007170B5"/>
    <w:rsid w:val="00720507"/>
    <w:rsid w:val="007209A9"/>
    <w:rsid w:val="007219A0"/>
    <w:rsid w:val="0072322A"/>
    <w:rsid w:val="00724E78"/>
    <w:rsid w:val="007250C5"/>
    <w:rsid w:val="007253FD"/>
    <w:rsid w:val="007258A5"/>
    <w:rsid w:val="00725D7D"/>
    <w:rsid w:val="0072623F"/>
    <w:rsid w:val="007263AF"/>
    <w:rsid w:val="00727011"/>
    <w:rsid w:val="00727C27"/>
    <w:rsid w:val="007307A3"/>
    <w:rsid w:val="00730C7F"/>
    <w:rsid w:val="00730DDE"/>
    <w:rsid w:val="007312A2"/>
    <w:rsid w:val="00731977"/>
    <w:rsid w:val="00731A6F"/>
    <w:rsid w:val="00731F71"/>
    <w:rsid w:val="00732207"/>
    <w:rsid w:val="00732B6C"/>
    <w:rsid w:val="00732BBD"/>
    <w:rsid w:val="0073313C"/>
    <w:rsid w:val="00733A36"/>
    <w:rsid w:val="00733C16"/>
    <w:rsid w:val="00733EC4"/>
    <w:rsid w:val="00734A5F"/>
    <w:rsid w:val="00734AFB"/>
    <w:rsid w:val="007350FF"/>
    <w:rsid w:val="007358A2"/>
    <w:rsid w:val="00735E17"/>
    <w:rsid w:val="0073600B"/>
    <w:rsid w:val="00736624"/>
    <w:rsid w:val="0073697B"/>
    <w:rsid w:val="00736BE5"/>
    <w:rsid w:val="00736D82"/>
    <w:rsid w:val="007372DD"/>
    <w:rsid w:val="00737E2E"/>
    <w:rsid w:val="00741C32"/>
    <w:rsid w:val="00742585"/>
    <w:rsid w:val="00742E4B"/>
    <w:rsid w:val="00742FB6"/>
    <w:rsid w:val="007445AC"/>
    <w:rsid w:val="00745498"/>
    <w:rsid w:val="007467F1"/>
    <w:rsid w:val="007468C3"/>
    <w:rsid w:val="00747161"/>
    <w:rsid w:val="00747B1B"/>
    <w:rsid w:val="00747BC9"/>
    <w:rsid w:val="00747E17"/>
    <w:rsid w:val="007503A2"/>
    <w:rsid w:val="00750455"/>
    <w:rsid w:val="00750BF2"/>
    <w:rsid w:val="00751DDD"/>
    <w:rsid w:val="00753518"/>
    <w:rsid w:val="007537EC"/>
    <w:rsid w:val="0075396D"/>
    <w:rsid w:val="007546EA"/>
    <w:rsid w:val="007556DB"/>
    <w:rsid w:val="00755E65"/>
    <w:rsid w:val="00756951"/>
    <w:rsid w:val="007571EF"/>
    <w:rsid w:val="0075724D"/>
    <w:rsid w:val="00757CE2"/>
    <w:rsid w:val="00757E72"/>
    <w:rsid w:val="00760318"/>
    <w:rsid w:val="007610B0"/>
    <w:rsid w:val="00761496"/>
    <w:rsid w:val="00761A8B"/>
    <w:rsid w:val="00761F33"/>
    <w:rsid w:val="00762210"/>
    <w:rsid w:val="0076280A"/>
    <w:rsid w:val="007628CB"/>
    <w:rsid w:val="00762C7D"/>
    <w:rsid w:val="00762CC0"/>
    <w:rsid w:val="0076331D"/>
    <w:rsid w:val="0076361C"/>
    <w:rsid w:val="0076418F"/>
    <w:rsid w:val="00764612"/>
    <w:rsid w:val="007661CD"/>
    <w:rsid w:val="007663FF"/>
    <w:rsid w:val="00766449"/>
    <w:rsid w:val="007667F0"/>
    <w:rsid w:val="0076699F"/>
    <w:rsid w:val="00766F4B"/>
    <w:rsid w:val="0076720D"/>
    <w:rsid w:val="00770048"/>
    <w:rsid w:val="00770812"/>
    <w:rsid w:val="007717E8"/>
    <w:rsid w:val="00772F72"/>
    <w:rsid w:val="00773BA1"/>
    <w:rsid w:val="0077469E"/>
    <w:rsid w:val="00774980"/>
    <w:rsid w:val="00774D87"/>
    <w:rsid w:val="00774E61"/>
    <w:rsid w:val="007769FC"/>
    <w:rsid w:val="00776D03"/>
    <w:rsid w:val="00776FD3"/>
    <w:rsid w:val="00777338"/>
    <w:rsid w:val="00777CF9"/>
    <w:rsid w:val="0078014A"/>
    <w:rsid w:val="00780FF8"/>
    <w:rsid w:val="0078277A"/>
    <w:rsid w:val="00782904"/>
    <w:rsid w:val="00782F36"/>
    <w:rsid w:val="007830AC"/>
    <w:rsid w:val="00783AAD"/>
    <w:rsid w:val="00783CC9"/>
    <w:rsid w:val="007844E4"/>
    <w:rsid w:val="0078534B"/>
    <w:rsid w:val="007857AC"/>
    <w:rsid w:val="0078580F"/>
    <w:rsid w:val="00785B9A"/>
    <w:rsid w:val="00786F57"/>
    <w:rsid w:val="00787A84"/>
    <w:rsid w:val="00787C89"/>
    <w:rsid w:val="0079083B"/>
    <w:rsid w:val="00791279"/>
    <w:rsid w:val="00791815"/>
    <w:rsid w:val="0079191D"/>
    <w:rsid w:val="00792204"/>
    <w:rsid w:val="007922AC"/>
    <w:rsid w:val="00792606"/>
    <w:rsid w:val="00792AB9"/>
    <w:rsid w:val="00792C63"/>
    <w:rsid w:val="00792D7B"/>
    <w:rsid w:val="0079330E"/>
    <w:rsid w:val="00793418"/>
    <w:rsid w:val="00793516"/>
    <w:rsid w:val="00793F66"/>
    <w:rsid w:val="00794CB4"/>
    <w:rsid w:val="00795370"/>
    <w:rsid w:val="00796CCA"/>
    <w:rsid w:val="007972A2"/>
    <w:rsid w:val="00797AC2"/>
    <w:rsid w:val="007A0FAD"/>
    <w:rsid w:val="007A183B"/>
    <w:rsid w:val="007A1AA6"/>
    <w:rsid w:val="007A2A77"/>
    <w:rsid w:val="007A3021"/>
    <w:rsid w:val="007A361B"/>
    <w:rsid w:val="007A39D6"/>
    <w:rsid w:val="007A3F3B"/>
    <w:rsid w:val="007A3FE7"/>
    <w:rsid w:val="007A42EC"/>
    <w:rsid w:val="007A4F7E"/>
    <w:rsid w:val="007A7BFD"/>
    <w:rsid w:val="007B0662"/>
    <w:rsid w:val="007B08ED"/>
    <w:rsid w:val="007B0CD8"/>
    <w:rsid w:val="007B235E"/>
    <w:rsid w:val="007B3E81"/>
    <w:rsid w:val="007B5302"/>
    <w:rsid w:val="007B555E"/>
    <w:rsid w:val="007B5DF9"/>
    <w:rsid w:val="007B6DE0"/>
    <w:rsid w:val="007B7C3D"/>
    <w:rsid w:val="007B7E21"/>
    <w:rsid w:val="007C0F3F"/>
    <w:rsid w:val="007C1026"/>
    <w:rsid w:val="007C17CC"/>
    <w:rsid w:val="007C1CA1"/>
    <w:rsid w:val="007C2543"/>
    <w:rsid w:val="007C26F6"/>
    <w:rsid w:val="007C292F"/>
    <w:rsid w:val="007C369D"/>
    <w:rsid w:val="007C3A65"/>
    <w:rsid w:val="007C3F66"/>
    <w:rsid w:val="007C451E"/>
    <w:rsid w:val="007C4700"/>
    <w:rsid w:val="007C54D3"/>
    <w:rsid w:val="007C5C8D"/>
    <w:rsid w:val="007C63BD"/>
    <w:rsid w:val="007C6A50"/>
    <w:rsid w:val="007C76D1"/>
    <w:rsid w:val="007C7B36"/>
    <w:rsid w:val="007C7D6E"/>
    <w:rsid w:val="007C7F13"/>
    <w:rsid w:val="007D0525"/>
    <w:rsid w:val="007D14D6"/>
    <w:rsid w:val="007D1B24"/>
    <w:rsid w:val="007D27EF"/>
    <w:rsid w:val="007D2F82"/>
    <w:rsid w:val="007D3038"/>
    <w:rsid w:val="007D34B5"/>
    <w:rsid w:val="007D418E"/>
    <w:rsid w:val="007D42C6"/>
    <w:rsid w:val="007D47A2"/>
    <w:rsid w:val="007D52C1"/>
    <w:rsid w:val="007D76CD"/>
    <w:rsid w:val="007D7E72"/>
    <w:rsid w:val="007D8EFF"/>
    <w:rsid w:val="007E0582"/>
    <w:rsid w:val="007E1291"/>
    <w:rsid w:val="007E1501"/>
    <w:rsid w:val="007E1B18"/>
    <w:rsid w:val="007E2813"/>
    <w:rsid w:val="007E2C6E"/>
    <w:rsid w:val="007E2D9E"/>
    <w:rsid w:val="007E33DA"/>
    <w:rsid w:val="007E3A69"/>
    <w:rsid w:val="007E3B07"/>
    <w:rsid w:val="007E3D4F"/>
    <w:rsid w:val="007E4A56"/>
    <w:rsid w:val="007E4CEE"/>
    <w:rsid w:val="007E4D88"/>
    <w:rsid w:val="007E5542"/>
    <w:rsid w:val="007E69B5"/>
    <w:rsid w:val="007E7ED0"/>
    <w:rsid w:val="007F0196"/>
    <w:rsid w:val="007F029B"/>
    <w:rsid w:val="007F0739"/>
    <w:rsid w:val="007F26FF"/>
    <w:rsid w:val="007F34D3"/>
    <w:rsid w:val="007F36CB"/>
    <w:rsid w:val="007F5737"/>
    <w:rsid w:val="007F5F38"/>
    <w:rsid w:val="007F7899"/>
    <w:rsid w:val="007F7AE2"/>
    <w:rsid w:val="007F7EB0"/>
    <w:rsid w:val="00800AB9"/>
    <w:rsid w:val="00800D2B"/>
    <w:rsid w:val="00800D5B"/>
    <w:rsid w:val="0080172F"/>
    <w:rsid w:val="00802178"/>
    <w:rsid w:val="00802A0B"/>
    <w:rsid w:val="00802CAC"/>
    <w:rsid w:val="00803010"/>
    <w:rsid w:val="00803206"/>
    <w:rsid w:val="00803CD1"/>
    <w:rsid w:val="00803E5C"/>
    <w:rsid w:val="00806528"/>
    <w:rsid w:val="00806542"/>
    <w:rsid w:val="00807CA5"/>
    <w:rsid w:val="008103CF"/>
    <w:rsid w:val="00810C04"/>
    <w:rsid w:val="00810C99"/>
    <w:rsid w:val="0081119D"/>
    <w:rsid w:val="00811BF1"/>
    <w:rsid w:val="00811C6E"/>
    <w:rsid w:val="00812618"/>
    <w:rsid w:val="008127AF"/>
    <w:rsid w:val="00812C24"/>
    <w:rsid w:val="00813A65"/>
    <w:rsid w:val="00813B53"/>
    <w:rsid w:val="00813B79"/>
    <w:rsid w:val="00813F3E"/>
    <w:rsid w:val="00814122"/>
    <w:rsid w:val="00815E54"/>
    <w:rsid w:val="00816D17"/>
    <w:rsid w:val="0081759E"/>
    <w:rsid w:val="008177BD"/>
    <w:rsid w:val="00817EF3"/>
    <w:rsid w:val="008204DD"/>
    <w:rsid w:val="00820649"/>
    <w:rsid w:val="0082144A"/>
    <w:rsid w:val="008214AD"/>
    <w:rsid w:val="008220F0"/>
    <w:rsid w:val="00822185"/>
    <w:rsid w:val="00822807"/>
    <w:rsid w:val="008230F8"/>
    <w:rsid w:val="00823770"/>
    <w:rsid w:val="00823D69"/>
    <w:rsid w:val="0082428A"/>
    <w:rsid w:val="00824726"/>
    <w:rsid w:val="00824A99"/>
    <w:rsid w:val="008251A3"/>
    <w:rsid w:val="0082667A"/>
    <w:rsid w:val="00826B58"/>
    <w:rsid w:val="008306EC"/>
    <w:rsid w:val="00830F81"/>
    <w:rsid w:val="00832244"/>
    <w:rsid w:val="008331D2"/>
    <w:rsid w:val="0083376A"/>
    <w:rsid w:val="00833971"/>
    <w:rsid w:val="00834771"/>
    <w:rsid w:val="00834F9D"/>
    <w:rsid w:val="0083559C"/>
    <w:rsid w:val="008359DC"/>
    <w:rsid w:val="00836F2D"/>
    <w:rsid w:val="00837259"/>
    <w:rsid w:val="00837D07"/>
    <w:rsid w:val="00837E5C"/>
    <w:rsid w:val="00840EB6"/>
    <w:rsid w:val="0084195D"/>
    <w:rsid w:val="00841C59"/>
    <w:rsid w:val="0084217F"/>
    <w:rsid w:val="00842295"/>
    <w:rsid w:val="008427E4"/>
    <w:rsid w:val="00842E8E"/>
    <w:rsid w:val="00842ED9"/>
    <w:rsid w:val="008436F5"/>
    <w:rsid w:val="00843962"/>
    <w:rsid w:val="00843F0D"/>
    <w:rsid w:val="008443BB"/>
    <w:rsid w:val="00844907"/>
    <w:rsid w:val="008456AF"/>
    <w:rsid w:val="0084594A"/>
    <w:rsid w:val="00845B77"/>
    <w:rsid w:val="00845BA1"/>
    <w:rsid w:val="00845D90"/>
    <w:rsid w:val="00845ECF"/>
    <w:rsid w:val="00846936"/>
    <w:rsid w:val="00846D25"/>
    <w:rsid w:val="00846F9C"/>
    <w:rsid w:val="00847DCC"/>
    <w:rsid w:val="0085015A"/>
    <w:rsid w:val="0085043D"/>
    <w:rsid w:val="008504E5"/>
    <w:rsid w:val="008508E8"/>
    <w:rsid w:val="0085182D"/>
    <w:rsid w:val="00852942"/>
    <w:rsid w:val="00852964"/>
    <w:rsid w:val="00852E17"/>
    <w:rsid w:val="0085384B"/>
    <w:rsid w:val="0085385C"/>
    <w:rsid w:val="0085430B"/>
    <w:rsid w:val="0085518A"/>
    <w:rsid w:val="008558E9"/>
    <w:rsid w:val="008562A0"/>
    <w:rsid w:val="00856EDA"/>
    <w:rsid w:val="00856F89"/>
    <w:rsid w:val="008576A6"/>
    <w:rsid w:val="0085771B"/>
    <w:rsid w:val="00857BE1"/>
    <w:rsid w:val="008602D1"/>
    <w:rsid w:val="00860425"/>
    <w:rsid w:val="00860922"/>
    <w:rsid w:val="00862003"/>
    <w:rsid w:val="008629E1"/>
    <w:rsid w:val="008645FC"/>
    <w:rsid w:val="00865960"/>
    <w:rsid w:val="00865C80"/>
    <w:rsid w:val="008663E3"/>
    <w:rsid w:val="00866429"/>
    <w:rsid w:val="00866AEB"/>
    <w:rsid w:val="00866E83"/>
    <w:rsid w:val="00867709"/>
    <w:rsid w:val="00867BF1"/>
    <w:rsid w:val="00867C39"/>
    <w:rsid w:val="00867F5D"/>
    <w:rsid w:val="00870098"/>
    <w:rsid w:val="008712D2"/>
    <w:rsid w:val="0087404A"/>
    <w:rsid w:val="00874085"/>
    <w:rsid w:val="00874659"/>
    <w:rsid w:val="00874DBA"/>
    <w:rsid w:val="008753FE"/>
    <w:rsid w:val="00875546"/>
    <w:rsid w:val="00875AB1"/>
    <w:rsid w:val="00875BEC"/>
    <w:rsid w:val="00876937"/>
    <w:rsid w:val="00876946"/>
    <w:rsid w:val="00876A51"/>
    <w:rsid w:val="00877014"/>
    <w:rsid w:val="0087706E"/>
    <w:rsid w:val="00877462"/>
    <w:rsid w:val="00877698"/>
    <w:rsid w:val="008806E4"/>
    <w:rsid w:val="00880909"/>
    <w:rsid w:val="00880DCB"/>
    <w:rsid w:val="00880F08"/>
    <w:rsid w:val="008818CF"/>
    <w:rsid w:val="008818E9"/>
    <w:rsid w:val="008820BA"/>
    <w:rsid w:val="008821AB"/>
    <w:rsid w:val="008822C8"/>
    <w:rsid w:val="00882EF3"/>
    <w:rsid w:val="008837CE"/>
    <w:rsid w:val="00883E72"/>
    <w:rsid w:val="00883F6F"/>
    <w:rsid w:val="00884672"/>
    <w:rsid w:val="00885C3D"/>
    <w:rsid w:val="00885D4C"/>
    <w:rsid w:val="0088650A"/>
    <w:rsid w:val="0088666B"/>
    <w:rsid w:val="008866AB"/>
    <w:rsid w:val="00886733"/>
    <w:rsid w:val="00886BDB"/>
    <w:rsid w:val="00886EBC"/>
    <w:rsid w:val="008873EC"/>
    <w:rsid w:val="00890386"/>
    <w:rsid w:val="00890A7C"/>
    <w:rsid w:val="00890ABB"/>
    <w:rsid w:val="00891A8B"/>
    <w:rsid w:val="00892340"/>
    <w:rsid w:val="008923B9"/>
    <w:rsid w:val="00892985"/>
    <w:rsid w:val="00892F7E"/>
    <w:rsid w:val="00893A29"/>
    <w:rsid w:val="00893CE8"/>
    <w:rsid w:val="00894683"/>
    <w:rsid w:val="0089671C"/>
    <w:rsid w:val="008A0CD9"/>
    <w:rsid w:val="008A0F09"/>
    <w:rsid w:val="008A16E6"/>
    <w:rsid w:val="008A2A18"/>
    <w:rsid w:val="008A2B81"/>
    <w:rsid w:val="008A3D8E"/>
    <w:rsid w:val="008A3E24"/>
    <w:rsid w:val="008A425C"/>
    <w:rsid w:val="008A49DA"/>
    <w:rsid w:val="008A49E2"/>
    <w:rsid w:val="008A5133"/>
    <w:rsid w:val="008A53CB"/>
    <w:rsid w:val="008A5490"/>
    <w:rsid w:val="008A57E4"/>
    <w:rsid w:val="008A5A0D"/>
    <w:rsid w:val="008A6658"/>
    <w:rsid w:val="008A75E9"/>
    <w:rsid w:val="008B09D0"/>
    <w:rsid w:val="008B1E32"/>
    <w:rsid w:val="008B2941"/>
    <w:rsid w:val="008B3037"/>
    <w:rsid w:val="008B35B2"/>
    <w:rsid w:val="008B35F2"/>
    <w:rsid w:val="008B3CA0"/>
    <w:rsid w:val="008B4621"/>
    <w:rsid w:val="008B4E96"/>
    <w:rsid w:val="008B6756"/>
    <w:rsid w:val="008B6950"/>
    <w:rsid w:val="008B6E60"/>
    <w:rsid w:val="008B7572"/>
    <w:rsid w:val="008C014F"/>
    <w:rsid w:val="008C090C"/>
    <w:rsid w:val="008C0FCF"/>
    <w:rsid w:val="008C1DFF"/>
    <w:rsid w:val="008C2429"/>
    <w:rsid w:val="008C2766"/>
    <w:rsid w:val="008C2DB3"/>
    <w:rsid w:val="008C329F"/>
    <w:rsid w:val="008C32E2"/>
    <w:rsid w:val="008C3871"/>
    <w:rsid w:val="008C3D5B"/>
    <w:rsid w:val="008C3DAE"/>
    <w:rsid w:val="008C3EA5"/>
    <w:rsid w:val="008C4CE9"/>
    <w:rsid w:val="008C4E0C"/>
    <w:rsid w:val="008C5091"/>
    <w:rsid w:val="008C580D"/>
    <w:rsid w:val="008C5B24"/>
    <w:rsid w:val="008C5D5E"/>
    <w:rsid w:val="008C6DDC"/>
    <w:rsid w:val="008C6EE5"/>
    <w:rsid w:val="008C755B"/>
    <w:rsid w:val="008C7713"/>
    <w:rsid w:val="008C7E08"/>
    <w:rsid w:val="008D1580"/>
    <w:rsid w:val="008D179D"/>
    <w:rsid w:val="008D1FDA"/>
    <w:rsid w:val="008D2074"/>
    <w:rsid w:val="008D252B"/>
    <w:rsid w:val="008D4415"/>
    <w:rsid w:val="008D444C"/>
    <w:rsid w:val="008D55D4"/>
    <w:rsid w:val="008D5613"/>
    <w:rsid w:val="008D5B6C"/>
    <w:rsid w:val="008D5E5C"/>
    <w:rsid w:val="008D5F38"/>
    <w:rsid w:val="008D6ACB"/>
    <w:rsid w:val="008D706D"/>
    <w:rsid w:val="008D7278"/>
    <w:rsid w:val="008D7440"/>
    <w:rsid w:val="008D746B"/>
    <w:rsid w:val="008D748C"/>
    <w:rsid w:val="008E03E8"/>
    <w:rsid w:val="008E0477"/>
    <w:rsid w:val="008E0E8E"/>
    <w:rsid w:val="008E1223"/>
    <w:rsid w:val="008E1CBE"/>
    <w:rsid w:val="008E2069"/>
    <w:rsid w:val="008E20E0"/>
    <w:rsid w:val="008E2C43"/>
    <w:rsid w:val="008E3079"/>
    <w:rsid w:val="008E393D"/>
    <w:rsid w:val="008E3A92"/>
    <w:rsid w:val="008E3C68"/>
    <w:rsid w:val="008E4CF9"/>
    <w:rsid w:val="008E5036"/>
    <w:rsid w:val="008E7523"/>
    <w:rsid w:val="008E790F"/>
    <w:rsid w:val="008E7C06"/>
    <w:rsid w:val="008E7C09"/>
    <w:rsid w:val="008E7D88"/>
    <w:rsid w:val="008F0628"/>
    <w:rsid w:val="008F263F"/>
    <w:rsid w:val="008F38C3"/>
    <w:rsid w:val="008F3E5F"/>
    <w:rsid w:val="008F434D"/>
    <w:rsid w:val="008F4961"/>
    <w:rsid w:val="008F4E99"/>
    <w:rsid w:val="008F5670"/>
    <w:rsid w:val="008F5BA4"/>
    <w:rsid w:val="008F6FAB"/>
    <w:rsid w:val="008F786A"/>
    <w:rsid w:val="0090024C"/>
    <w:rsid w:val="00900A28"/>
    <w:rsid w:val="00901034"/>
    <w:rsid w:val="009019C3"/>
    <w:rsid w:val="00902021"/>
    <w:rsid w:val="009021B8"/>
    <w:rsid w:val="0090296F"/>
    <w:rsid w:val="0090326E"/>
    <w:rsid w:val="0090328E"/>
    <w:rsid w:val="0090344A"/>
    <w:rsid w:val="00903E54"/>
    <w:rsid w:val="009043DC"/>
    <w:rsid w:val="00905ED1"/>
    <w:rsid w:val="0090618B"/>
    <w:rsid w:val="0090732C"/>
    <w:rsid w:val="009073C4"/>
    <w:rsid w:val="00907C15"/>
    <w:rsid w:val="00911486"/>
    <w:rsid w:val="009114C6"/>
    <w:rsid w:val="009119C5"/>
    <w:rsid w:val="00912B1D"/>
    <w:rsid w:val="00913A09"/>
    <w:rsid w:val="00913D36"/>
    <w:rsid w:val="009149E2"/>
    <w:rsid w:val="0091588E"/>
    <w:rsid w:val="00915D41"/>
    <w:rsid w:val="00916CC1"/>
    <w:rsid w:val="009175A0"/>
    <w:rsid w:val="009210A0"/>
    <w:rsid w:val="009220EC"/>
    <w:rsid w:val="009224F9"/>
    <w:rsid w:val="009241D8"/>
    <w:rsid w:val="00925256"/>
    <w:rsid w:val="00926630"/>
    <w:rsid w:val="00926988"/>
    <w:rsid w:val="00926FED"/>
    <w:rsid w:val="0092768B"/>
    <w:rsid w:val="009278F7"/>
    <w:rsid w:val="009279FF"/>
    <w:rsid w:val="00930876"/>
    <w:rsid w:val="00930D15"/>
    <w:rsid w:val="00930FD1"/>
    <w:rsid w:val="009318F5"/>
    <w:rsid w:val="00931D04"/>
    <w:rsid w:val="00932993"/>
    <w:rsid w:val="00932CF0"/>
    <w:rsid w:val="00932DFD"/>
    <w:rsid w:val="00933886"/>
    <w:rsid w:val="00934BBE"/>
    <w:rsid w:val="00934F45"/>
    <w:rsid w:val="009356B3"/>
    <w:rsid w:val="009359D1"/>
    <w:rsid w:val="009367A7"/>
    <w:rsid w:val="00936D79"/>
    <w:rsid w:val="009405FE"/>
    <w:rsid w:val="00940ED1"/>
    <w:rsid w:val="00941F81"/>
    <w:rsid w:val="009420F3"/>
    <w:rsid w:val="009422B0"/>
    <w:rsid w:val="00942B61"/>
    <w:rsid w:val="0094320C"/>
    <w:rsid w:val="009436FA"/>
    <w:rsid w:val="00943DA8"/>
    <w:rsid w:val="00944019"/>
    <w:rsid w:val="0094431F"/>
    <w:rsid w:val="0094500E"/>
    <w:rsid w:val="009453C2"/>
    <w:rsid w:val="00945FFE"/>
    <w:rsid w:val="00946096"/>
    <w:rsid w:val="00947469"/>
    <w:rsid w:val="00947C9D"/>
    <w:rsid w:val="00951376"/>
    <w:rsid w:val="00951655"/>
    <w:rsid w:val="009517A7"/>
    <w:rsid w:val="009529EA"/>
    <w:rsid w:val="00952B55"/>
    <w:rsid w:val="00952C69"/>
    <w:rsid w:val="00953752"/>
    <w:rsid w:val="00953C7B"/>
    <w:rsid w:val="009544D5"/>
    <w:rsid w:val="009545D3"/>
    <w:rsid w:val="009547F4"/>
    <w:rsid w:val="00954EEB"/>
    <w:rsid w:val="00955A85"/>
    <w:rsid w:val="00955B99"/>
    <w:rsid w:val="00955C05"/>
    <w:rsid w:val="0095607D"/>
    <w:rsid w:val="009567ED"/>
    <w:rsid w:val="00956C1E"/>
    <w:rsid w:val="00957AB1"/>
    <w:rsid w:val="00960D20"/>
    <w:rsid w:val="00961268"/>
    <w:rsid w:val="0096133F"/>
    <w:rsid w:val="009613E9"/>
    <w:rsid w:val="009615CE"/>
    <w:rsid w:val="0096162B"/>
    <w:rsid w:val="009617E2"/>
    <w:rsid w:val="009619DB"/>
    <w:rsid w:val="00962363"/>
    <w:rsid w:val="00962901"/>
    <w:rsid w:val="00962BB8"/>
    <w:rsid w:val="00962EA8"/>
    <w:rsid w:val="00964209"/>
    <w:rsid w:val="00964C0F"/>
    <w:rsid w:val="009659A4"/>
    <w:rsid w:val="00965B35"/>
    <w:rsid w:val="0096612D"/>
    <w:rsid w:val="0096647A"/>
    <w:rsid w:val="00966688"/>
    <w:rsid w:val="009672D0"/>
    <w:rsid w:val="00967483"/>
    <w:rsid w:val="00967963"/>
    <w:rsid w:val="00967B92"/>
    <w:rsid w:val="009704C0"/>
    <w:rsid w:val="00970895"/>
    <w:rsid w:val="00971394"/>
    <w:rsid w:val="00972796"/>
    <w:rsid w:val="00972994"/>
    <w:rsid w:val="00972BF5"/>
    <w:rsid w:val="00973006"/>
    <w:rsid w:val="009733AB"/>
    <w:rsid w:val="0097341D"/>
    <w:rsid w:val="0097391D"/>
    <w:rsid w:val="00973E70"/>
    <w:rsid w:val="00973F48"/>
    <w:rsid w:val="00974E4D"/>
    <w:rsid w:val="00975202"/>
    <w:rsid w:val="00975241"/>
    <w:rsid w:val="00977E32"/>
    <w:rsid w:val="009802D6"/>
    <w:rsid w:val="00980817"/>
    <w:rsid w:val="009813D8"/>
    <w:rsid w:val="009813E9"/>
    <w:rsid w:val="009815DC"/>
    <w:rsid w:val="00981835"/>
    <w:rsid w:val="0098332D"/>
    <w:rsid w:val="0098344F"/>
    <w:rsid w:val="0098417B"/>
    <w:rsid w:val="009847C8"/>
    <w:rsid w:val="00984D10"/>
    <w:rsid w:val="00984EEE"/>
    <w:rsid w:val="009856A7"/>
    <w:rsid w:val="00986A8F"/>
    <w:rsid w:val="00986AB5"/>
    <w:rsid w:val="00986D50"/>
    <w:rsid w:val="00986DAE"/>
    <w:rsid w:val="00990587"/>
    <w:rsid w:val="00990EC6"/>
    <w:rsid w:val="00990FAC"/>
    <w:rsid w:val="009913E3"/>
    <w:rsid w:val="00991D49"/>
    <w:rsid w:val="00992072"/>
    <w:rsid w:val="009924A0"/>
    <w:rsid w:val="00992739"/>
    <w:rsid w:val="00992E1A"/>
    <w:rsid w:val="0099342A"/>
    <w:rsid w:val="00993890"/>
    <w:rsid w:val="00994226"/>
    <w:rsid w:val="009942FD"/>
    <w:rsid w:val="009944EE"/>
    <w:rsid w:val="00995694"/>
    <w:rsid w:val="00995742"/>
    <w:rsid w:val="009961A8"/>
    <w:rsid w:val="009961EE"/>
    <w:rsid w:val="00996516"/>
    <w:rsid w:val="00996554"/>
    <w:rsid w:val="00996E34"/>
    <w:rsid w:val="0099715B"/>
    <w:rsid w:val="0099717D"/>
    <w:rsid w:val="00997A27"/>
    <w:rsid w:val="00997F35"/>
    <w:rsid w:val="009A0F05"/>
    <w:rsid w:val="009A1219"/>
    <w:rsid w:val="009A1446"/>
    <w:rsid w:val="009A16BA"/>
    <w:rsid w:val="009A24AF"/>
    <w:rsid w:val="009A27A3"/>
    <w:rsid w:val="009A31D8"/>
    <w:rsid w:val="009A3E23"/>
    <w:rsid w:val="009A3F00"/>
    <w:rsid w:val="009A4913"/>
    <w:rsid w:val="009A578F"/>
    <w:rsid w:val="009A5DC1"/>
    <w:rsid w:val="009A662F"/>
    <w:rsid w:val="009A69A0"/>
    <w:rsid w:val="009A6A17"/>
    <w:rsid w:val="009A6B60"/>
    <w:rsid w:val="009A6F89"/>
    <w:rsid w:val="009A7181"/>
    <w:rsid w:val="009B0023"/>
    <w:rsid w:val="009B0ED8"/>
    <w:rsid w:val="009B1591"/>
    <w:rsid w:val="009B16FE"/>
    <w:rsid w:val="009B1927"/>
    <w:rsid w:val="009B1E4F"/>
    <w:rsid w:val="009B22C9"/>
    <w:rsid w:val="009B2863"/>
    <w:rsid w:val="009B2A1A"/>
    <w:rsid w:val="009B2BC0"/>
    <w:rsid w:val="009B2C81"/>
    <w:rsid w:val="009B3143"/>
    <w:rsid w:val="009B3957"/>
    <w:rsid w:val="009B3F12"/>
    <w:rsid w:val="009B42CD"/>
    <w:rsid w:val="009B43D7"/>
    <w:rsid w:val="009B46BD"/>
    <w:rsid w:val="009B4714"/>
    <w:rsid w:val="009B4E56"/>
    <w:rsid w:val="009B539F"/>
    <w:rsid w:val="009B55B4"/>
    <w:rsid w:val="009B59D5"/>
    <w:rsid w:val="009B6125"/>
    <w:rsid w:val="009B6C9A"/>
    <w:rsid w:val="009B6D51"/>
    <w:rsid w:val="009B6D64"/>
    <w:rsid w:val="009B79F3"/>
    <w:rsid w:val="009B7A40"/>
    <w:rsid w:val="009B7AB6"/>
    <w:rsid w:val="009B7F01"/>
    <w:rsid w:val="009C0586"/>
    <w:rsid w:val="009C07BD"/>
    <w:rsid w:val="009C08F9"/>
    <w:rsid w:val="009C14D6"/>
    <w:rsid w:val="009C1904"/>
    <w:rsid w:val="009C243A"/>
    <w:rsid w:val="009C308A"/>
    <w:rsid w:val="009C36A3"/>
    <w:rsid w:val="009C3B02"/>
    <w:rsid w:val="009C47BA"/>
    <w:rsid w:val="009C5ECF"/>
    <w:rsid w:val="009C6583"/>
    <w:rsid w:val="009C687C"/>
    <w:rsid w:val="009C70DC"/>
    <w:rsid w:val="009C726D"/>
    <w:rsid w:val="009C79CE"/>
    <w:rsid w:val="009D09E2"/>
    <w:rsid w:val="009D0F92"/>
    <w:rsid w:val="009D258B"/>
    <w:rsid w:val="009D26B2"/>
    <w:rsid w:val="009D37A1"/>
    <w:rsid w:val="009D3B8E"/>
    <w:rsid w:val="009D3BAD"/>
    <w:rsid w:val="009D4ED3"/>
    <w:rsid w:val="009D5290"/>
    <w:rsid w:val="009D593C"/>
    <w:rsid w:val="009D61B2"/>
    <w:rsid w:val="009D6359"/>
    <w:rsid w:val="009D6B75"/>
    <w:rsid w:val="009D6CD1"/>
    <w:rsid w:val="009D6EE1"/>
    <w:rsid w:val="009D7E6B"/>
    <w:rsid w:val="009E0090"/>
    <w:rsid w:val="009E0D92"/>
    <w:rsid w:val="009E0DDE"/>
    <w:rsid w:val="009E0EC6"/>
    <w:rsid w:val="009E1857"/>
    <w:rsid w:val="009E32C0"/>
    <w:rsid w:val="009E35C0"/>
    <w:rsid w:val="009E3C27"/>
    <w:rsid w:val="009E4CFF"/>
    <w:rsid w:val="009E4EBF"/>
    <w:rsid w:val="009E535E"/>
    <w:rsid w:val="009E69E2"/>
    <w:rsid w:val="009E6EB1"/>
    <w:rsid w:val="009E78FE"/>
    <w:rsid w:val="009E7F18"/>
    <w:rsid w:val="009F0535"/>
    <w:rsid w:val="009F1BC4"/>
    <w:rsid w:val="009F3B2D"/>
    <w:rsid w:val="009F3BF0"/>
    <w:rsid w:val="009F42D2"/>
    <w:rsid w:val="009F4969"/>
    <w:rsid w:val="009F520A"/>
    <w:rsid w:val="009F52EA"/>
    <w:rsid w:val="009F5535"/>
    <w:rsid w:val="009F594B"/>
    <w:rsid w:val="009F5A95"/>
    <w:rsid w:val="009F5E2F"/>
    <w:rsid w:val="009F6457"/>
    <w:rsid w:val="009F6A80"/>
    <w:rsid w:val="009F6CAA"/>
    <w:rsid w:val="00A003F8"/>
    <w:rsid w:val="00A00DB1"/>
    <w:rsid w:val="00A03581"/>
    <w:rsid w:val="00A04627"/>
    <w:rsid w:val="00A050A6"/>
    <w:rsid w:val="00A05F9C"/>
    <w:rsid w:val="00A06026"/>
    <w:rsid w:val="00A06712"/>
    <w:rsid w:val="00A069E5"/>
    <w:rsid w:val="00A06B03"/>
    <w:rsid w:val="00A076DC"/>
    <w:rsid w:val="00A10690"/>
    <w:rsid w:val="00A109B8"/>
    <w:rsid w:val="00A10E03"/>
    <w:rsid w:val="00A11415"/>
    <w:rsid w:val="00A115F8"/>
    <w:rsid w:val="00A11B4B"/>
    <w:rsid w:val="00A11B84"/>
    <w:rsid w:val="00A127C6"/>
    <w:rsid w:val="00A12F0E"/>
    <w:rsid w:val="00A1321D"/>
    <w:rsid w:val="00A1390D"/>
    <w:rsid w:val="00A14141"/>
    <w:rsid w:val="00A14E1C"/>
    <w:rsid w:val="00A1502D"/>
    <w:rsid w:val="00A16159"/>
    <w:rsid w:val="00A16490"/>
    <w:rsid w:val="00A17A51"/>
    <w:rsid w:val="00A17C2A"/>
    <w:rsid w:val="00A17E6D"/>
    <w:rsid w:val="00A20915"/>
    <w:rsid w:val="00A20E0D"/>
    <w:rsid w:val="00A21003"/>
    <w:rsid w:val="00A211E5"/>
    <w:rsid w:val="00A2178F"/>
    <w:rsid w:val="00A21E6C"/>
    <w:rsid w:val="00A22213"/>
    <w:rsid w:val="00A22AB1"/>
    <w:rsid w:val="00A23B71"/>
    <w:rsid w:val="00A2411E"/>
    <w:rsid w:val="00A2437A"/>
    <w:rsid w:val="00A24811"/>
    <w:rsid w:val="00A24B13"/>
    <w:rsid w:val="00A24DB0"/>
    <w:rsid w:val="00A26776"/>
    <w:rsid w:val="00A26CB7"/>
    <w:rsid w:val="00A26E3B"/>
    <w:rsid w:val="00A2721F"/>
    <w:rsid w:val="00A27C2C"/>
    <w:rsid w:val="00A27C5F"/>
    <w:rsid w:val="00A30002"/>
    <w:rsid w:val="00A3074A"/>
    <w:rsid w:val="00A3147B"/>
    <w:rsid w:val="00A315DE"/>
    <w:rsid w:val="00A3180D"/>
    <w:rsid w:val="00A31C11"/>
    <w:rsid w:val="00A323E0"/>
    <w:rsid w:val="00A3266C"/>
    <w:rsid w:val="00A328C9"/>
    <w:rsid w:val="00A32951"/>
    <w:rsid w:val="00A3479A"/>
    <w:rsid w:val="00A34915"/>
    <w:rsid w:val="00A34BBD"/>
    <w:rsid w:val="00A3535C"/>
    <w:rsid w:val="00A354ED"/>
    <w:rsid w:val="00A354FA"/>
    <w:rsid w:val="00A35603"/>
    <w:rsid w:val="00A35B8B"/>
    <w:rsid w:val="00A35DDC"/>
    <w:rsid w:val="00A35FB4"/>
    <w:rsid w:val="00A36470"/>
    <w:rsid w:val="00A36F40"/>
    <w:rsid w:val="00A36FEE"/>
    <w:rsid w:val="00A371F9"/>
    <w:rsid w:val="00A377CD"/>
    <w:rsid w:val="00A37903"/>
    <w:rsid w:val="00A379DC"/>
    <w:rsid w:val="00A37A14"/>
    <w:rsid w:val="00A37D8F"/>
    <w:rsid w:val="00A4007E"/>
    <w:rsid w:val="00A401E9"/>
    <w:rsid w:val="00A407B1"/>
    <w:rsid w:val="00A4108A"/>
    <w:rsid w:val="00A4128B"/>
    <w:rsid w:val="00A414FA"/>
    <w:rsid w:val="00A4192C"/>
    <w:rsid w:val="00A4267D"/>
    <w:rsid w:val="00A42C86"/>
    <w:rsid w:val="00A442E9"/>
    <w:rsid w:val="00A449E6"/>
    <w:rsid w:val="00A44DFC"/>
    <w:rsid w:val="00A44EDB"/>
    <w:rsid w:val="00A45939"/>
    <w:rsid w:val="00A45C97"/>
    <w:rsid w:val="00A46445"/>
    <w:rsid w:val="00A47552"/>
    <w:rsid w:val="00A47A9D"/>
    <w:rsid w:val="00A47E71"/>
    <w:rsid w:val="00A50225"/>
    <w:rsid w:val="00A50AA5"/>
    <w:rsid w:val="00A51158"/>
    <w:rsid w:val="00A5148F"/>
    <w:rsid w:val="00A51978"/>
    <w:rsid w:val="00A51B2D"/>
    <w:rsid w:val="00A51BFF"/>
    <w:rsid w:val="00A52543"/>
    <w:rsid w:val="00A52A7D"/>
    <w:rsid w:val="00A52C00"/>
    <w:rsid w:val="00A52F49"/>
    <w:rsid w:val="00A5338C"/>
    <w:rsid w:val="00A533D4"/>
    <w:rsid w:val="00A53ECA"/>
    <w:rsid w:val="00A541C7"/>
    <w:rsid w:val="00A54666"/>
    <w:rsid w:val="00A54BBD"/>
    <w:rsid w:val="00A54C73"/>
    <w:rsid w:val="00A557BA"/>
    <w:rsid w:val="00A55EFE"/>
    <w:rsid w:val="00A56515"/>
    <w:rsid w:val="00A566A2"/>
    <w:rsid w:val="00A572DC"/>
    <w:rsid w:val="00A57B56"/>
    <w:rsid w:val="00A57D78"/>
    <w:rsid w:val="00A57E81"/>
    <w:rsid w:val="00A60FCB"/>
    <w:rsid w:val="00A60FDE"/>
    <w:rsid w:val="00A61135"/>
    <w:rsid w:val="00A617B1"/>
    <w:rsid w:val="00A625E9"/>
    <w:rsid w:val="00A6282F"/>
    <w:rsid w:val="00A62AC0"/>
    <w:rsid w:val="00A63B0E"/>
    <w:rsid w:val="00A63B5E"/>
    <w:rsid w:val="00A64CAC"/>
    <w:rsid w:val="00A65189"/>
    <w:rsid w:val="00A65A60"/>
    <w:rsid w:val="00A66288"/>
    <w:rsid w:val="00A6632E"/>
    <w:rsid w:val="00A678A6"/>
    <w:rsid w:val="00A67C1B"/>
    <w:rsid w:val="00A7066D"/>
    <w:rsid w:val="00A70923"/>
    <w:rsid w:val="00A709C3"/>
    <w:rsid w:val="00A711CA"/>
    <w:rsid w:val="00A715AC"/>
    <w:rsid w:val="00A721D3"/>
    <w:rsid w:val="00A725A8"/>
    <w:rsid w:val="00A726E6"/>
    <w:rsid w:val="00A72796"/>
    <w:rsid w:val="00A729A2"/>
    <w:rsid w:val="00A72CAA"/>
    <w:rsid w:val="00A72CC2"/>
    <w:rsid w:val="00A73B39"/>
    <w:rsid w:val="00A74779"/>
    <w:rsid w:val="00A7477F"/>
    <w:rsid w:val="00A74DF6"/>
    <w:rsid w:val="00A74F00"/>
    <w:rsid w:val="00A75556"/>
    <w:rsid w:val="00A75804"/>
    <w:rsid w:val="00A75820"/>
    <w:rsid w:val="00A76237"/>
    <w:rsid w:val="00A767CA"/>
    <w:rsid w:val="00A76DC0"/>
    <w:rsid w:val="00A774EC"/>
    <w:rsid w:val="00A7757C"/>
    <w:rsid w:val="00A775F6"/>
    <w:rsid w:val="00A8034E"/>
    <w:rsid w:val="00A80ADA"/>
    <w:rsid w:val="00A80C86"/>
    <w:rsid w:val="00A81296"/>
    <w:rsid w:val="00A818AA"/>
    <w:rsid w:val="00A81B71"/>
    <w:rsid w:val="00A82512"/>
    <w:rsid w:val="00A82D95"/>
    <w:rsid w:val="00A833E8"/>
    <w:rsid w:val="00A845D7"/>
    <w:rsid w:val="00A85060"/>
    <w:rsid w:val="00A85E86"/>
    <w:rsid w:val="00A8776E"/>
    <w:rsid w:val="00A904C8"/>
    <w:rsid w:val="00A90A48"/>
    <w:rsid w:val="00A9135F"/>
    <w:rsid w:val="00A91F0C"/>
    <w:rsid w:val="00A93666"/>
    <w:rsid w:val="00A937EF"/>
    <w:rsid w:val="00A9443D"/>
    <w:rsid w:val="00A94EB2"/>
    <w:rsid w:val="00A95C5F"/>
    <w:rsid w:val="00A95F0C"/>
    <w:rsid w:val="00A963C9"/>
    <w:rsid w:val="00A9659B"/>
    <w:rsid w:val="00A96C87"/>
    <w:rsid w:val="00A96D37"/>
    <w:rsid w:val="00A971D4"/>
    <w:rsid w:val="00A97E15"/>
    <w:rsid w:val="00AA1823"/>
    <w:rsid w:val="00AA30C9"/>
    <w:rsid w:val="00AA313A"/>
    <w:rsid w:val="00AA328A"/>
    <w:rsid w:val="00AA3635"/>
    <w:rsid w:val="00AA3903"/>
    <w:rsid w:val="00AA3EF8"/>
    <w:rsid w:val="00AA4579"/>
    <w:rsid w:val="00AA463E"/>
    <w:rsid w:val="00AA50C8"/>
    <w:rsid w:val="00AA5A37"/>
    <w:rsid w:val="00AA5AD7"/>
    <w:rsid w:val="00AA5C7A"/>
    <w:rsid w:val="00AA6384"/>
    <w:rsid w:val="00AA6917"/>
    <w:rsid w:val="00AA69F1"/>
    <w:rsid w:val="00AB0562"/>
    <w:rsid w:val="00AB0901"/>
    <w:rsid w:val="00AB1BDF"/>
    <w:rsid w:val="00AB1EB4"/>
    <w:rsid w:val="00AB3F84"/>
    <w:rsid w:val="00AB4283"/>
    <w:rsid w:val="00AB43B8"/>
    <w:rsid w:val="00AB4A59"/>
    <w:rsid w:val="00AB4E58"/>
    <w:rsid w:val="00AB4F41"/>
    <w:rsid w:val="00AB5925"/>
    <w:rsid w:val="00AB5A4E"/>
    <w:rsid w:val="00AB5ACB"/>
    <w:rsid w:val="00AB5BA4"/>
    <w:rsid w:val="00AB6394"/>
    <w:rsid w:val="00AB6B3E"/>
    <w:rsid w:val="00AB6C43"/>
    <w:rsid w:val="00AB6C78"/>
    <w:rsid w:val="00AB7205"/>
    <w:rsid w:val="00AB737A"/>
    <w:rsid w:val="00AB7627"/>
    <w:rsid w:val="00AB76CB"/>
    <w:rsid w:val="00AB77D4"/>
    <w:rsid w:val="00AB7950"/>
    <w:rsid w:val="00AB7C24"/>
    <w:rsid w:val="00AC0167"/>
    <w:rsid w:val="00AC0598"/>
    <w:rsid w:val="00AC0F13"/>
    <w:rsid w:val="00AC24F6"/>
    <w:rsid w:val="00AC2E2B"/>
    <w:rsid w:val="00AC322F"/>
    <w:rsid w:val="00AC3511"/>
    <w:rsid w:val="00AC3BFF"/>
    <w:rsid w:val="00AC4B6C"/>
    <w:rsid w:val="00AC4F32"/>
    <w:rsid w:val="00AC5BBA"/>
    <w:rsid w:val="00AC61FC"/>
    <w:rsid w:val="00AC62A8"/>
    <w:rsid w:val="00AC6352"/>
    <w:rsid w:val="00AC644B"/>
    <w:rsid w:val="00AC73C3"/>
    <w:rsid w:val="00AC74CD"/>
    <w:rsid w:val="00AC76B6"/>
    <w:rsid w:val="00AD0BAA"/>
    <w:rsid w:val="00AD0C60"/>
    <w:rsid w:val="00AD112B"/>
    <w:rsid w:val="00AD1983"/>
    <w:rsid w:val="00AD3E5D"/>
    <w:rsid w:val="00AD3F3B"/>
    <w:rsid w:val="00AD45A0"/>
    <w:rsid w:val="00AD460C"/>
    <w:rsid w:val="00AD5789"/>
    <w:rsid w:val="00AD6729"/>
    <w:rsid w:val="00AD787C"/>
    <w:rsid w:val="00AE03DB"/>
    <w:rsid w:val="00AE0A5A"/>
    <w:rsid w:val="00AE0E0A"/>
    <w:rsid w:val="00AE1C69"/>
    <w:rsid w:val="00AE3BC5"/>
    <w:rsid w:val="00AE3CE8"/>
    <w:rsid w:val="00AE42D2"/>
    <w:rsid w:val="00AE43CB"/>
    <w:rsid w:val="00AE4A84"/>
    <w:rsid w:val="00AE4ABF"/>
    <w:rsid w:val="00AE65D5"/>
    <w:rsid w:val="00AE6787"/>
    <w:rsid w:val="00AE6AB5"/>
    <w:rsid w:val="00AE76C3"/>
    <w:rsid w:val="00AF029B"/>
    <w:rsid w:val="00AF0898"/>
    <w:rsid w:val="00AF08F5"/>
    <w:rsid w:val="00AF0A0D"/>
    <w:rsid w:val="00AF10A4"/>
    <w:rsid w:val="00AF1309"/>
    <w:rsid w:val="00AF1AE2"/>
    <w:rsid w:val="00AF1CC0"/>
    <w:rsid w:val="00AF1F99"/>
    <w:rsid w:val="00AF20A6"/>
    <w:rsid w:val="00AF25D0"/>
    <w:rsid w:val="00AF2A89"/>
    <w:rsid w:val="00AF35C9"/>
    <w:rsid w:val="00AF3894"/>
    <w:rsid w:val="00AF3ED2"/>
    <w:rsid w:val="00AF5665"/>
    <w:rsid w:val="00AF5932"/>
    <w:rsid w:val="00AF6892"/>
    <w:rsid w:val="00AF6F7A"/>
    <w:rsid w:val="00AF73A7"/>
    <w:rsid w:val="00B00E19"/>
    <w:rsid w:val="00B00FA2"/>
    <w:rsid w:val="00B01371"/>
    <w:rsid w:val="00B02E4E"/>
    <w:rsid w:val="00B032E7"/>
    <w:rsid w:val="00B0363D"/>
    <w:rsid w:val="00B03B49"/>
    <w:rsid w:val="00B04A76"/>
    <w:rsid w:val="00B04C13"/>
    <w:rsid w:val="00B058B6"/>
    <w:rsid w:val="00B0591B"/>
    <w:rsid w:val="00B059E5"/>
    <w:rsid w:val="00B05E0C"/>
    <w:rsid w:val="00B06DF8"/>
    <w:rsid w:val="00B07127"/>
    <w:rsid w:val="00B071A6"/>
    <w:rsid w:val="00B0735E"/>
    <w:rsid w:val="00B07806"/>
    <w:rsid w:val="00B078AC"/>
    <w:rsid w:val="00B07B67"/>
    <w:rsid w:val="00B07E66"/>
    <w:rsid w:val="00B10AA2"/>
    <w:rsid w:val="00B110DE"/>
    <w:rsid w:val="00B11CC7"/>
    <w:rsid w:val="00B12012"/>
    <w:rsid w:val="00B12A90"/>
    <w:rsid w:val="00B13343"/>
    <w:rsid w:val="00B1359D"/>
    <w:rsid w:val="00B13776"/>
    <w:rsid w:val="00B14588"/>
    <w:rsid w:val="00B14905"/>
    <w:rsid w:val="00B14AA0"/>
    <w:rsid w:val="00B1544B"/>
    <w:rsid w:val="00B16166"/>
    <w:rsid w:val="00B16615"/>
    <w:rsid w:val="00B168FF"/>
    <w:rsid w:val="00B16BD9"/>
    <w:rsid w:val="00B176B2"/>
    <w:rsid w:val="00B17DA4"/>
    <w:rsid w:val="00B207C3"/>
    <w:rsid w:val="00B20FD9"/>
    <w:rsid w:val="00B21067"/>
    <w:rsid w:val="00B21258"/>
    <w:rsid w:val="00B21699"/>
    <w:rsid w:val="00B216BF"/>
    <w:rsid w:val="00B21AAA"/>
    <w:rsid w:val="00B2244A"/>
    <w:rsid w:val="00B22C88"/>
    <w:rsid w:val="00B2411A"/>
    <w:rsid w:val="00B24462"/>
    <w:rsid w:val="00B249B6"/>
    <w:rsid w:val="00B24D20"/>
    <w:rsid w:val="00B24EF3"/>
    <w:rsid w:val="00B2516A"/>
    <w:rsid w:val="00B25689"/>
    <w:rsid w:val="00B259E5"/>
    <w:rsid w:val="00B25F37"/>
    <w:rsid w:val="00B2613F"/>
    <w:rsid w:val="00B26628"/>
    <w:rsid w:val="00B2691B"/>
    <w:rsid w:val="00B27AB3"/>
    <w:rsid w:val="00B30659"/>
    <w:rsid w:val="00B30B0D"/>
    <w:rsid w:val="00B3130A"/>
    <w:rsid w:val="00B31929"/>
    <w:rsid w:val="00B33A5F"/>
    <w:rsid w:val="00B33BD8"/>
    <w:rsid w:val="00B34379"/>
    <w:rsid w:val="00B35394"/>
    <w:rsid w:val="00B35746"/>
    <w:rsid w:val="00B36209"/>
    <w:rsid w:val="00B36F5A"/>
    <w:rsid w:val="00B372A0"/>
    <w:rsid w:val="00B40267"/>
    <w:rsid w:val="00B40610"/>
    <w:rsid w:val="00B40999"/>
    <w:rsid w:val="00B41C1E"/>
    <w:rsid w:val="00B41EA2"/>
    <w:rsid w:val="00B42EE4"/>
    <w:rsid w:val="00B42F3A"/>
    <w:rsid w:val="00B4351C"/>
    <w:rsid w:val="00B4385B"/>
    <w:rsid w:val="00B44C34"/>
    <w:rsid w:val="00B46548"/>
    <w:rsid w:val="00B46817"/>
    <w:rsid w:val="00B4693C"/>
    <w:rsid w:val="00B47BB9"/>
    <w:rsid w:val="00B502FA"/>
    <w:rsid w:val="00B5073D"/>
    <w:rsid w:val="00B51113"/>
    <w:rsid w:val="00B51245"/>
    <w:rsid w:val="00B5163A"/>
    <w:rsid w:val="00B51899"/>
    <w:rsid w:val="00B51C9C"/>
    <w:rsid w:val="00B51F9D"/>
    <w:rsid w:val="00B532DA"/>
    <w:rsid w:val="00B54269"/>
    <w:rsid w:val="00B544D2"/>
    <w:rsid w:val="00B54668"/>
    <w:rsid w:val="00B55264"/>
    <w:rsid w:val="00B5590E"/>
    <w:rsid w:val="00B56C04"/>
    <w:rsid w:val="00B573FF"/>
    <w:rsid w:val="00B605F0"/>
    <w:rsid w:val="00B620E4"/>
    <w:rsid w:val="00B624DB"/>
    <w:rsid w:val="00B62E86"/>
    <w:rsid w:val="00B647DA"/>
    <w:rsid w:val="00B651D0"/>
    <w:rsid w:val="00B65A40"/>
    <w:rsid w:val="00B65E84"/>
    <w:rsid w:val="00B66461"/>
    <w:rsid w:val="00B66687"/>
    <w:rsid w:val="00B66D73"/>
    <w:rsid w:val="00B672AF"/>
    <w:rsid w:val="00B67720"/>
    <w:rsid w:val="00B67D65"/>
    <w:rsid w:val="00B70A77"/>
    <w:rsid w:val="00B70F38"/>
    <w:rsid w:val="00B717D0"/>
    <w:rsid w:val="00B7258E"/>
    <w:rsid w:val="00B72A88"/>
    <w:rsid w:val="00B730B9"/>
    <w:rsid w:val="00B73786"/>
    <w:rsid w:val="00B7378D"/>
    <w:rsid w:val="00B73BCE"/>
    <w:rsid w:val="00B73D5E"/>
    <w:rsid w:val="00B7425A"/>
    <w:rsid w:val="00B74428"/>
    <w:rsid w:val="00B74633"/>
    <w:rsid w:val="00B748DF"/>
    <w:rsid w:val="00B74DD7"/>
    <w:rsid w:val="00B75709"/>
    <w:rsid w:val="00B75973"/>
    <w:rsid w:val="00B76004"/>
    <w:rsid w:val="00B76BC0"/>
    <w:rsid w:val="00B76CB2"/>
    <w:rsid w:val="00B7705F"/>
    <w:rsid w:val="00B77C84"/>
    <w:rsid w:val="00B802EC"/>
    <w:rsid w:val="00B80A8A"/>
    <w:rsid w:val="00B80FB4"/>
    <w:rsid w:val="00B813E7"/>
    <w:rsid w:val="00B822A3"/>
    <w:rsid w:val="00B826DB"/>
    <w:rsid w:val="00B8305E"/>
    <w:rsid w:val="00B83E82"/>
    <w:rsid w:val="00B83F1F"/>
    <w:rsid w:val="00B845C9"/>
    <w:rsid w:val="00B85271"/>
    <w:rsid w:val="00B85E80"/>
    <w:rsid w:val="00B85EF5"/>
    <w:rsid w:val="00B87121"/>
    <w:rsid w:val="00B872AC"/>
    <w:rsid w:val="00B875A3"/>
    <w:rsid w:val="00B903C8"/>
    <w:rsid w:val="00B905D0"/>
    <w:rsid w:val="00B90B06"/>
    <w:rsid w:val="00B918B6"/>
    <w:rsid w:val="00B91D06"/>
    <w:rsid w:val="00B92428"/>
    <w:rsid w:val="00B92508"/>
    <w:rsid w:val="00B92EC5"/>
    <w:rsid w:val="00B93331"/>
    <w:rsid w:val="00B94407"/>
    <w:rsid w:val="00B94862"/>
    <w:rsid w:val="00B951BC"/>
    <w:rsid w:val="00B95487"/>
    <w:rsid w:val="00B96336"/>
    <w:rsid w:val="00B964C6"/>
    <w:rsid w:val="00B96726"/>
    <w:rsid w:val="00B9676C"/>
    <w:rsid w:val="00B97F93"/>
    <w:rsid w:val="00BA0978"/>
    <w:rsid w:val="00BA0D0C"/>
    <w:rsid w:val="00BA0E3B"/>
    <w:rsid w:val="00BA1CAF"/>
    <w:rsid w:val="00BA1E07"/>
    <w:rsid w:val="00BA2DA4"/>
    <w:rsid w:val="00BA2F0E"/>
    <w:rsid w:val="00BA3F54"/>
    <w:rsid w:val="00BA4237"/>
    <w:rsid w:val="00BA527B"/>
    <w:rsid w:val="00BA57E5"/>
    <w:rsid w:val="00BA68D1"/>
    <w:rsid w:val="00BA691A"/>
    <w:rsid w:val="00BA694E"/>
    <w:rsid w:val="00BA736F"/>
    <w:rsid w:val="00BA7D4D"/>
    <w:rsid w:val="00BB0CB3"/>
    <w:rsid w:val="00BB138B"/>
    <w:rsid w:val="00BB215C"/>
    <w:rsid w:val="00BB286C"/>
    <w:rsid w:val="00BB2CC6"/>
    <w:rsid w:val="00BB2D63"/>
    <w:rsid w:val="00BB468F"/>
    <w:rsid w:val="00BB5104"/>
    <w:rsid w:val="00BB5C27"/>
    <w:rsid w:val="00BB5DDD"/>
    <w:rsid w:val="00BB5E9A"/>
    <w:rsid w:val="00BB64E4"/>
    <w:rsid w:val="00BB6C98"/>
    <w:rsid w:val="00BB6D9C"/>
    <w:rsid w:val="00BB7699"/>
    <w:rsid w:val="00BB7B6F"/>
    <w:rsid w:val="00BB7E5C"/>
    <w:rsid w:val="00BC3C65"/>
    <w:rsid w:val="00BC3D59"/>
    <w:rsid w:val="00BC5618"/>
    <w:rsid w:val="00BC5BC9"/>
    <w:rsid w:val="00BC5BDA"/>
    <w:rsid w:val="00BC60BE"/>
    <w:rsid w:val="00BC7193"/>
    <w:rsid w:val="00BD0780"/>
    <w:rsid w:val="00BD0A32"/>
    <w:rsid w:val="00BD1114"/>
    <w:rsid w:val="00BD17AE"/>
    <w:rsid w:val="00BD1DC4"/>
    <w:rsid w:val="00BD2A64"/>
    <w:rsid w:val="00BD2EEF"/>
    <w:rsid w:val="00BD41F8"/>
    <w:rsid w:val="00BD5B7B"/>
    <w:rsid w:val="00BD696C"/>
    <w:rsid w:val="00BD736F"/>
    <w:rsid w:val="00BD7CFA"/>
    <w:rsid w:val="00BE1074"/>
    <w:rsid w:val="00BE1E8F"/>
    <w:rsid w:val="00BE2297"/>
    <w:rsid w:val="00BE337D"/>
    <w:rsid w:val="00BE3BC4"/>
    <w:rsid w:val="00BE403F"/>
    <w:rsid w:val="00BE47CF"/>
    <w:rsid w:val="00BE49DD"/>
    <w:rsid w:val="00BE540F"/>
    <w:rsid w:val="00BE6468"/>
    <w:rsid w:val="00BE66B3"/>
    <w:rsid w:val="00BE6CC1"/>
    <w:rsid w:val="00BE6D9F"/>
    <w:rsid w:val="00BE7074"/>
    <w:rsid w:val="00BE71BD"/>
    <w:rsid w:val="00BE7484"/>
    <w:rsid w:val="00BE7B2B"/>
    <w:rsid w:val="00BF0AC6"/>
    <w:rsid w:val="00BF13F0"/>
    <w:rsid w:val="00BF194D"/>
    <w:rsid w:val="00BF2A9D"/>
    <w:rsid w:val="00BF34B4"/>
    <w:rsid w:val="00BF3DBF"/>
    <w:rsid w:val="00BF45BD"/>
    <w:rsid w:val="00BF4E9E"/>
    <w:rsid w:val="00BF587A"/>
    <w:rsid w:val="00BF5C4B"/>
    <w:rsid w:val="00BF5EB2"/>
    <w:rsid w:val="00BF5F68"/>
    <w:rsid w:val="00BF6657"/>
    <w:rsid w:val="00BF6DF5"/>
    <w:rsid w:val="00BF7592"/>
    <w:rsid w:val="00BF7CF8"/>
    <w:rsid w:val="00C007FF"/>
    <w:rsid w:val="00C0177C"/>
    <w:rsid w:val="00C018B9"/>
    <w:rsid w:val="00C01CEF"/>
    <w:rsid w:val="00C01EBE"/>
    <w:rsid w:val="00C02D6C"/>
    <w:rsid w:val="00C02E76"/>
    <w:rsid w:val="00C0337B"/>
    <w:rsid w:val="00C03A42"/>
    <w:rsid w:val="00C040E9"/>
    <w:rsid w:val="00C0563D"/>
    <w:rsid w:val="00C05E74"/>
    <w:rsid w:val="00C061F0"/>
    <w:rsid w:val="00C063C8"/>
    <w:rsid w:val="00C073A1"/>
    <w:rsid w:val="00C10096"/>
    <w:rsid w:val="00C103BB"/>
    <w:rsid w:val="00C11183"/>
    <w:rsid w:val="00C11CA9"/>
    <w:rsid w:val="00C13562"/>
    <w:rsid w:val="00C13806"/>
    <w:rsid w:val="00C14395"/>
    <w:rsid w:val="00C14644"/>
    <w:rsid w:val="00C146FC"/>
    <w:rsid w:val="00C1470E"/>
    <w:rsid w:val="00C158BC"/>
    <w:rsid w:val="00C16048"/>
    <w:rsid w:val="00C1654A"/>
    <w:rsid w:val="00C169FA"/>
    <w:rsid w:val="00C16D15"/>
    <w:rsid w:val="00C20448"/>
    <w:rsid w:val="00C2098D"/>
    <w:rsid w:val="00C20ED7"/>
    <w:rsid w:val="00C20F77"/>
    <w:rsid w:val="00C21B3A"/>
    <w:rsid w:val="00C2262B"/>
    <w:rsid w:val="00C22DA6"/>
    <w:rsid w:val="00C2309C"/>
    <w:rsid w:val="00C2319B"/>
    <w:rsid w:val="00C23560"/>
    <w:rsid w:val="00C24800"/>
    <w:rsid w:val="00C25577"/>
    <w:rsid w:val="00C25699"/>
    <w:rsid w:val="00C259D3"/>
    <w:rsid w:val="00C25B44"/>
    <w:rsid w:val="00C267FA"/>
    <w:rsid w:val="00C27228"/>
    <w:rsid w:val="00C306AF"/>
    <w:rsid w:val="00C31E4F"/>
    <w:rsid w:val="00C3212C"/>
    <w:rsid w:val="00C3264E"/>
    <w:rsid w:val="00C329A0"/>
    <w:rsid w:val="00C32CC6"/>
    <w:rsid w:val="00C3317D"/>
    <w:rsid w:val="00C33A8C"/>
    <w:rsid w:val="00C33E49"/>
    <w:rsid w:val="00C34886"/>
    <w:rsid w:val="00C34DEE"/>
    <w:rsid w:val="00C34E1E"/>
    <w:rsid w:val="00C35591"/>
    <w:rsid w:val="00C35A56"/>
    <w:rsid w:val="00C372B4"/>
    <w:rsid w:val="00C37651"/>
    <w:rsid w:val="00C40046"/>
    <w:rsid w:val="00C40114"/>
    <w:rsid w:val="00C40546"/>
    <w:rsid w:val="00C40861"/>
    <w:rsid w:val="00C40A3E"/>
    <w:rsid w:val="00C41877"/>
    <w:rsid w:val="00C41BD5"/>
    <w:rsid w:val="00C41EDB"/>
    <w:rsid w:val="00C420B3"/>
    <w:rsid w:val="00C42FA7"/>
    <w:rsid w:val="00C44482"/>
    <w:rsid w:val="00C44DDD"/>
    <w:rsid w:val="00C458D0"/>
    <w:rsid w:val="00C45EA7"/>
    <w:rsid w:val="00C469DB"/>
    <w:rsid w:val="00C477FF"/>
    <w:rsid w:val="00C47F0D"/>
    <w:rsid w:val="00C506A8"/>
    <w:rsid w:val="00C50909"/>
    <w:rsid w:val="00C51E4A"/>
    <w:rsid w:val="00C5216C"/>
    <w:rsid w:val="00C52943"/>
    <w:rsid w:val="00C52B5C"/>
    <w:rsid w:val="00C535B1"/>
    <w:rsid w:val="00C53E26"/>
    <w:rsid w:val="00C54586"/>
    <w:rsid w:val="00C54B8F"/>
    <w:rsid w:val="00C5546F"/>
    <w:rsid w:val="00C55F72"/>
    <w:rsid w:val="00C565B7"/>
    <w:rsid w:val="00C56A9B"/>
    <w:rsid w:val="00C56C1E"/>
    <w:rsid w:val="00C56E6A"/>
    <w:rsid w:val="00C572A5"/>
    <w:rsid w:val="00C5774B"/>
    <w:rsid w:val="00C57806"/>
    <w:rsid w:val="00C61411"/>
    <w:rsid w:val="00C61BF3"/>
    <w:rsid w:val="00C6260A"/>
    <w:rsid w:val="00C62772"/>
    <w:rsid w:val="00C62BA3"/>
    <w:rsid w:val="00C62E15"/>
    <w:rsid w:val="00C63C46"/>
    <w:rsid w:val="00C649FA"/>
    <w:rsid w:val="00C64F61"/>
    <w:rsid w:val="00C651CA"/>
    <w:rsid w:val="00C65973"/>
    <w:rsid w:val="00C67720"/>
    <w:rsid w:val="00C677A9"/>
    <w:rsid w:val="00C70079"/>
    <w:rsid w:val="00C709A9"/>
    <w:rsid w:val="00C719FD"/>
    <w:rsid w:val="00C72246"/>
    <w:rsid w:val="00C728D0"/>
    <w:rsid w:val="00C72AC6"/>
    <w:rsid w:val="00C730D6"/>
    <w:rsid w:val="00C7339B"/>
    <w:rsid w:val="00C7363B"/>
    <w:rsid w:val="00C7415C"/>
    <w:rsid w:val="00C757DC"/>
    <w:rsid w:val="00C75A7C"/>
    <w:rsid w:val="00C760AD"/>
    <w:rsid w:val="00C769FE"/>
    <w:rsid w:val="00C80484"/>
    <w:rsid w:val="00C80FBD"/>
    <w:rsid w:val="00C8195B"/>
    <w:rsid w:val="00C81DDD"/>
    <w:rsid w:val="00C82EAA"/>
    <w:rsid w:val="00C83930"/>
    <w:rsid w:val="00C84941"/>
    <w:rsid w:val="00C84F25"/>
    <w:rsid w:val="00C85198"/>
    <w:rsid w:val="00C85D29"/>
    <w:rsid w:val="00C86159"/>
    <w:rsid w:val="00C869A1"/>
    <w:rsid w:val="00C87C2D"/>
    <w:rsid w:val="00C87F9B"/>
    <w:rsid w:val="00C90EBB"/>
    <w:rsid w:val="00C90FFB"/>
    <w:rsid w:val="00C91425"/>
    <w:rsid w:val="00C914FD"/>
    <w:rsid w:val="00C915E1"/>
    <w:rsid w:val="00C916C8"/>
    <w:rsid w:val="00C92E7E"/>
    <w:rsid w:val="00C931D5"/>
    <w:rsid w:val="00C93467"/>
    <w:rsid w:val="00C93536"/>
    <w:rsid w:val="00C948C2"/>
    <w:rsid w:val="00C94910"/>
    <w:rsid w:val="00C94B40"/>
    <w:rsid w:val="00C95E62"/>
    <w:rsid w:val="00C9626F"/>
    <w:rsid w:val="00C96722"/>
    <w:rsid w:val="00C96A36"/>
    <w:rsid w:val="00C96B29"/>
    <w:rsid w:val="00C97D4A"/>
    <w:rsid w:val="00C97E60"/>
    <w:rsid w:val="00CA08AD"/>
    <w:rsid w:val="00CA0E83"/>
    <w:rsid w:val="00CA16EF"/>
    <w:rsid w:val="00CA17A0"/>
    <w:rsid w:val="00CA1848"/>
    <w:rsid w:val="00CA1C34"/>
    <w:rsid w:val="00CA1E48"/>
    <w:rsid w:val="00CA221C"/>
    <w:rsid w:val="00CA2606"/>
    <w:rsid w:val="00CA28DB"/>
    <w:rsid w:val="00CA2BCF"/>
    <w:rsid w:val="00CA2E85"/>
    <w:rsid w:val="00CA3948"/>
    <w:rsid w:val="00CA3ADD"/>
    <w:rsid w:val="00CA4007"/>
    <w:rsid w:val="00CA62E6"/>
    <w:rsid w:val="00CA6AE7"/>
    <w:rsid w:val="00CA71DB"/>
    <w:rsid w:val="00CA75B2"/>
    <w:rsid w:val="00CA7F75"/>
    <w:rsid w:val="00CB02F6"/>
    <w:rsid w:val="00CB0F63"/>
    <w:rsid w:val="00CB1B10"/>
    <w:rsid w:val="00CB1E19"/>
    <w:rsid w:val="00CB2043"/>
    <w:rsid w:val="00CB2790"/>
    <w:rsid w:val="00CB315B"/>
    <w:rsid w:val="00CB36D3"/>
    <w:rsid w:val="00CB4256"/>
    <w:rsid w:val="00CB44C1"/>
    <w:rsid w:val="00CB505F"/>
    <w:rsid w:val="00CB52D1"/>
    <w:rsid w:val="00CB7408"/>
    <w:rsid w:val="00CB759B"/>
    <w:rsid w:val="00CB7939"/>
    <w:rsid w:val="00CC048E"/>
    <w:rsid w:val="00CC1579"/>
    <w:rsid w:val="00CC1BD8"/>
    <w:rsid w:val="00CC2AFB"/>
    <w:rsid w:val="00CC3C06"/>
    <w:rsid w:val="00CC41DA"/>
    <w:rsid w:val="00CC4718"/>
    <w:rsid w:val="00CC4BAD"/>
    <w:rsid w:val="00CC52E1"/>
    <w:rsid w:val="00CC5451"/>
    <w:rsid w:val="00CC6350"/>
    <w:rsid w:val="00CC63EC"/>
    <w:rsid w:val="00CC683B"/>
    <w:rsid w:val="00CC6D1A"/>
    <w:rsid w:val="00CC7075"/>
    <w:rsid w:val="00CC70C3"/>
    <w:rsid w:val="00CC717D"/>
    <w:rsid w:val="00CC7534"/>
    <w:rsid w:val="00CD068E"/>
    <w:rsid w:val="00CD0C4D"/>
    <w:rsid w:val="00CD0D31"/>
    <w:rsid w:val="00CD0E11"/>
    <w:rsid w:val="00CD121C"/>
    <w:rsid w:val="00CD15F5"/>
    <w:rsid w:val="00CD2B8F"/>
    <w:rsid w:val="00CD4580"/>
    <w:rsid w:val="00CD5753"/>
    <w:rsid w:val="00CD5AA0"/>
    <w:rsid w:val="00CD6461"/>
    <w:rsid w:val="00CD730D"/>
    <w:rsid w:val="00CD7FF9"/>
    <w:rsid w:val="00CE0212"/>
    <w:rsid w:val="00CE0BBC"/>
    <w:rsid w:val="00CE0FDD"/>
    <w:rsid w:val="00CE125A"/>
    <w:rsid w:val="00CE1A22"/>
    <w:rsid w:val="00CE1C22"/>
    <w:rsid w:val="00CE1E27"/>
    <w:rsid w:val="00CE2240"/>
    <w:rsid w:val="00CE22C7"/>
    <w:rsid w:val="00CE26B0"/>
    <w:rsid w:val="00CE295D"/>
    <w:rsid w:val="00CE3166"/>
    <w:rsid w:val="00CE37B0"/>
    <w:rsid w:val="00CE3B59"/>
    <w:rsid w:val="00CE3EFF"/>
    <w:rsid w:val="00CE3F94"/>
    <w:rsid w:val="00CE4B52"/>
    <w:rsid w:val="00CE5378"/>
    <w:rsid w:val="00CE53AB"/>
    <w:rsid w:val="00CE5A9D"/>
    <w:rsid w:val="00CE5D31"/>
    <w:rsid w:val="00CE638D"/>
    <w:rsid w:val="00CE63C6"/>
    <w:rsid w:val="00CE6DF4"/>
    <w:rsid w:val="00CE7074"/>
    <w:rsid w:val="00CE7427"/>
    <w:rsid w:val="00CF01AB"/>
    <w:rsid w:val="00CF0D22"/>
    <w:rsid w:val="00CF0F2A"/>
    <w:rsid w:val="00CF129D"/>
    <w:rsid w:val="00CF131C"/>
    <w:rsid w:val="00CF1331"/>
    <w:rsid w:val="00CF169A"/>
    <w:rsid w:val="00CF1A61"/>
    <w:rsid w:val="00CF1DFC"/>
    <w:rsid w:val="00CF29AE"/>
    <w:rsid w:val="00CF2C5D"/>
    <w:rsid w:val="00CF2C7E"/>
    <w:rsid w:val="00CF2DC4"/>
    <w:rsid w:val="00CF4163"/>
    <w:rsid w:val="00CF4EA2"/>
    <w:rsid w:val="00CF5842"/>
    <w:rsid w:val="00CF665B"/>
    <w:rsid w:val="00CF6CA6"/>
    <w:rsid w:val="00CF78C6"/>
    <w:rsid w:val="00CF7C87"/>
    <w:rsid w:val="00D00031"/>
    <w:rsid w:val="00D0046C"/>
    <w:rsid w:val="00D00763"/>
    <w:rsid w:val="00D009EA"/>
    <w:rsid w:val="00D01917"/>
    <w:rsid w:val="00D021F0"/>
    <w:rsid w:val="00D0252F"/>
    <w:rsid w:val="00D028D4"/>
    <w:rsid w:val="00D037FB"/>
    <w:rsid w:val="00D038CA"/>
    <w:rsid w:val="00D0429B"/>
    <w:rsid w:val="00D049F0"/>
    <w:rsid w:val="00D04C02"/>
    <w:rsid w:val="00D04CC0"/>
    <w:rsid w:val="00D04ED5"/>
    <w:rsid w:val="00D04F52"/>
    <w:rsid w:val="00D0502C"/>
    <w:rsid w:val="00D053C9"/>
    <w:rsid w:val="00D055CD"/>
    <w:rsid w:val="00D05E2B"/>
    <w:rsid w:val="00D05E38"/>
    <w:rsid w:val="00D06D04"/>
    <w:rsid w:val="00D077CB"/>
    <w:rsid w:val="00D07F3A"/>
    <w:rsid w:val="00D101B5"/>
    <w:rsid w:val="00D113E6"/>
    <w:rsid w:val="00D119D5"/>
    <w:rsid w:val="00D11CBD"/>
    <w:rsid w:val="00D11EE2"/>
    <w:rsid w:val="00D129D1"/>
    <w:rsid w:val="00D12BD5"/>
    <w:rsid w:val="00D13AB6"/>
    <w:rsid w:val="00D13E32"/>
    <w:rsid w:val="00D14280"/>
    <w:rsid w:val="00D1575E"/>
    <w:rsid w:val="00D161B1"/>
    <w:rsid w:val="00D16367"/>
    <w:rsid w:val="00D16454"/>
    <w:rsid w:val="00D16577"/>
    <w:rsid w:val="00D16B4A"/>
    <w:rsid w:val="00D16C35"/>
    <w:rsid w:val="00D16C72"/>
    <w:rsid w:val="00D16E8C"/>
    <w:rsid w:val="00D17206"/>
    <w:rsid w:val="00D17CBA"/>
    <w:rsid w:val="00D20A19"/>
    <w:rsid w:val="00D20CA8"/>
    <w:rsid w:val="00D21B05"/>
    <w:rsid w:val="00D2269A"/>
    <w:rsid w:val="00D22811"/>
    <w:rsid w:val="00D234BA"/>
    <w:rsid w:val="00D245EA"/>
    <w:rsid w:val="00D24AF2"/>
    <w:rsid w:val="00D24D4B"/>
    <w:rsid w:val="00D256EE"/>
    <w:rsid w:val="00D260FB"/>
    <w:rsid w:val="00D2734E"/>
    <w:rsid w:val="00D304B0"/>
    <w:rsid w:val="00D30EC6"/>
    <w:rsid w:val="00D31C1D"/>
    <w:rsid w:val="00D31E6E"/>
    <w:rsid w:val="00D326AF"/>
    <w:rsid w:val="00D32C8D"/>
    <w:rsid w:val="00D3338E"/>
    <w:rsid w:val="00D33B2F"/>
    <w:rsid w:val="00D3400A"/>
    <w:rsid w:val="00D34708"/>
    <w:rsid w:val="00D3490D"/>
    <w:rsid w:val="00D34F9D"/>
    <w:rsid w:val="00D34F9F"/>
    <w:rsid w:val="00D3657D"/>
    <w:rsid w:val="00D36D9D"/>
    <w:rsid w:val="00D36F75"/>
    <w:rsid w:val="00D3775B"/>
    <w:rsid w:val="00D40AFD"/>
    <w:rsid w:val="00D40B62"/>
    <w:rsid w:val="00D40D34"/>
    <w:rsid w:val="00D4190F"/>
    <w:rsid w:val="00D41F11"/>
    <w:rsid w:val="00D427AD"/>
    <w:rsid w:val="00D42856"/>
    <w:rsid w:val="00D42E6A"/>
    <w:rsid w:val="00D4362C"/>
    <w:rsid w:val="00D44882"/>
    <w:rsid w:val="00D44EF0"/>
    <w:rsid w:val="00D46B6D"/>
    <w:rsid w:val="00D4730E"/>
    <w:rsid w:val="00D50E86"/>
    <w:rsid w:val="00D5127F"/>
    <w:rsid w:val="00D5128E"/>
    <w:rsid w:val="00D5183B"/>
    <w:rsid w:val="00D519FA"/>
    <w:rsid w:val="00D51CC7"/>
    <w:rsid w:val="00D526AB"/>
    <w:rsid w:val="00D52C75"/>
    <w:rsid w:val="00D53932"/>
    <w:rsid w:val="00D53B70"/>
    <w:rsid w:val="00D53B76"/>
    <w:rsid w:val="00D547B1"/>
    <w:rsid w:val="00D548C8"/>
    <w:rsid w:val="00D54CA0"/>
    <w:rsid w:val="00D54ED4"/>
    <w:rsid w:val="00D55448"/>
    <w:rsid w:val="00D554B6"/>
    <w:rsid w:val="00D5573C"/>
    <w:rsid w:val="00D559FD"/>
    <w:rsid w:val="00D5648A"/>
    <w:rsid w:val="00D5652B"/>
    <w:rsid w:val="00D56B1C"/>
    <w:rsid w:val="00D57213"/>
    <w:rsid w:val="00D5727D"/>
    <w:rsid w:val="00D57B5F"/>
    <w:rsid w:val="00D6001B"/>
    <w:rsid w:val="00D60556"/>
    <w:rsid w:val="00D6082C"/>
    <w:rsid w:val="00D6194D"/>
    <w:rsid w:val="00D6232E"/>
    <w:rsid w:val="00D62485"/>
    <w:rsid w:val="00D63F2A"/>
    <w:rsid w:val="00D64E07"/>
    <w:rsid w:val="00D658D9"/>
    <w:rsid w:val="00D66763"/>
    <w:rsid w:val="00D66EEE"/>
    <w:rsid w:val="00D670D0"/>
    <w:rsid w:val="00D67A9A"/>
    <w:rsid w:val="00D705F6"/>
    <w:rsid w:val="00D7108A"/>
    <w:rsid w:val="00D713B2"/>
    <w:rsid w:val="00D71522"/>
    <w:rsid w:val="00D72773"/>
    <w:rsid w:val="00D728C7"/>
    <w:rsid w:val="00D734AB"/>
    <w:rsid w:val="00D73735"/>
    <w:rsid w:val="00D73ECD"/>
    <w:rsid w:val="00D740A8"/>
    <w:rsid w:val="00D74707"/>
    <w:rsid w:val="00D7512B"/>
    <w:rsid w:val="00D7528F"/>
    <w:rsid w:val="00D75739"/>
    <w:rsid w:val="00D75FA7"/>
    <w:rsid w:val="00D76248"/>
    <w:rsid w:val="00D77563"/>
    <w:rsid w:val="00D803ED"/>
    <w:rsid w:val="00D806C1"/>
    <w:rsid w:val="00D80F9F"/>
    <w:rsid w:val="00D810B4"/>
    <w:rsid w:val="00D814E0"/>
    <w:rsid w:val="00D81C18"/>
    <w:rsid w:val="00D841CD"/>
    <w:rsid w:val="00D846A3"/>
    <w:rsid w:val="00D849ED"/>
    <w:rsid w:val="00D85ACE"/>
    <w:rsid w:val="00D85BB6"/>
    <w:rsid w:val="00D8635C"/>
    <w:rsid w:val="00D86F50"/>
    <w:rsid w:val="00D871AA"/>
    <w:rsid w:val="00D87B95"/>
    <w:rsid w:val="00D87E21"/>
    <w:rsid w:val="00D9027A"/>
    <w:rsid w:val="00D9170A"/>
    <w:rsid w:val="00D919F6"/>
    <w:rsid w:val="00D91F97"/>
    <w:rsid w:val="00D92DC7"/>
    <w:rsid w:val="00D92E6F"/>
    <w:rsid w:val="00D92F98"/>
    <w:rsid w:val="00D934A3"/>
    <w:rsid w:val="00D95350"/>
    <w:rsid w:val="00D95397"/>
    <w:rsid w:val="00D95696"/>
    <w:rsid w:val="00D95D03"/>
    <w:rsid w:val="00D969F9"/>
    <w:rsid w:val="00D971D1"/>
    <w:rsid w:val="00D979BA"/>
    <w:rsid w:val="00D97E3B"/>
    <w:rsid w:val="00DA0745"/>
    <w:rsid w:val="00DA11D4"/>
    <w:rsid w:val="00DA179B"/>
    <w:rsid w:val="00DA239C"/>
    <w:rsid w:val="00DA24D3"/>
    <w:rsid w:val="00DA3547"/>
    <w:rsid w:val="00DA4017"/>
    <w:rsid w:val="00DA40D2"/>
    <w:rsid w:val="00DA43D4"/>
    <w:rsid w:val="00DA44B9"/>
    <w:rsid w:val="00DA5A93"/>
    <w:rsid w:val="00DA5EBF"/>
    <w:rsid w:val="00DA703D"/>
    <w:rsid w:val="00DA7659"/>
    <w:rsid w:val="00DA7A84"/>
    <w:rsid w:val="00DB0165"/>
    <w:rsid w:val="00DB0BF9"/>
    <w:rsid w:val="00DB1227"/>
    <w:rsid w:val="00DB1517"/>
    <w:rsid w:val="00DB1E91"/>
    <w:rsid w:val="00DB25D5"/>
    <w:rsid w:val="00DB2EF9"/>
    <w:rsid w:val="00DB3586"/>
    <w:rsid w:val="00DB3BD1"/>
    <w:rsid w:val="00DB40EE"/>
    <w:rsid w:val="00DB528F"/>
    <w:rsid w:val="00DB58D4"/>
    <w:rsid w:val="00DB5C26"/>
    <w:rsid w:val="00DB5C6B"/>
    <w:rsid w:val="00DB5CB1"/>
    <w:rsid w:val="00DB6783"/>
    <w:rsid w:val="00DB7E8E"/>
    <w:rsid w:val="00DC11E3"/>
    <w:rsid w:val="00DC1A65"/>
    <w:rsid w:val="00DC1DF7"/>
    <w:rsid w:val="00DC2981"/>
    <w:rsid w:val="00DC29CA"/>
    <w:rsid w:val="00DC2A84"/>
    <w:rsid w:val="00DC414F"/>
    <w:rsid w:val="00DC4297"/>
    <w:rsid w:val="00DC529F"/>
    <w:rsid w:val="00DC5385"/>
    <w:rsid w:val="00DC548D"/>
    <w:rsid w:val="00DC569A"/>
    <w:rsid w:val="00DC576A"/>
    <w:rsid w:val="00DC5CFB"/>
    <w:rsid w:val="00DC5DE8"/>
    <w:rsid w:val="00DC6D12"/>
    <w:rsid w:val="00DC6FE0"/>
    <w:rsid w:val="00DC769B"/>
    <w:rsid w:val="00DC76D7"/>
    <w:rsid w:val="00DC7728"/>
    <w:rsid w:val="00DC77A8"/>
    <w:rsid w:val="00DC7AB7"/>
    <w:rsid w:val="00DC7C60"/>
    <w:rsid w:val="00DD04D4"/>
    <w:rsid w:val="00DD0BB9"/>
    <w:rsid w:val="00DD0FA6"/>
    <w:rsid w:val="00DD2D82"/>
    <w:rsid w:val="00DD36F3"/>
    <w:rsid w:val="00DD42EE"/>
    <w:rsid w:val="00DD4545"/>
    <w:rsid w:val="00DD47C1"/>
    <w:rsid w:val="00DD47C2"/>
    <w:rsid w:val="00DD4848"/>
    <w:rsid w:val="00DD622B"/>
    <w:rsid w:val="00DD6CB9"/>
    <w:rsid w:val="00DD725E"/>
    <w:rsid w:val="00DD787A"/>
    <w:rsid w:val="00DD7DB0"/>
    <w:rsid w:val="00DE1709"/>
    <w:rsid w:val="00DE1BD0"/>
    <w:rsid w:val="00DE1D27"/>
    <w:rsid w:val="00DE1FCB"/>
    <w:rsid w:val="00DE27F8"/>
    <w:rsid w:val="00DE3180"/>
    <w:rsid w:val="00DE39CA"/>
    <w:rsid w:val="00DE3ACE"/>
    <w:rsid w:val="00DE4B09"/>
    <w:rsid w:val="00DE4B4D"/>
    <w:rsid w:val="00DE4F13"/>
    <w:rsid w:val="00DE520A"/>
    <w:rsid w:val="00DE541B"/>
    <w:rsid w:val="00DE55A6"/>
    <w:rsid w:val="00DE5BB6"/>
    <w:rsid w:val="00DE612B"/>
    <w:rsid w:val="00DE693B"/>
    <w:rsid w:val="00DE7108"/>
    <w:rsid w:val="00DE7F75"/>
    <w:rsid w:val="00DF035C"/>
    <w:rsid w:val="00DF1C04"/>
    <w:rsid w:val="00DF2B3A"/>
    <w:rsid w:val="00DF2E9A"/>
    <w:rsid w:val="00DF31F4"/>
    <w:rsid w:val="00DF3F0F"/>
    <w:rsid w:val="00DF4073"/>
    <w:rsid w:val="00DF43D5"/>
    <w:rsid w:val="00DF49D2"/>
    <w:rsid w:val="00DF4ECE"/>
    <w:rsid w:val="00DF518B"/>
    <w:rsid w:val="00DF5C22"/>
    <w:rsid w:val="00DF60A0"/>
    <w:rsid w:val="00DF6289"/>
    <w:rsid w:val="00DF63E2"/>
    <w:rsid w:val="00DF6B52"/>
    <w:rsid w:val="00DF7400"/>
    <w:rsid w:val="00DF7447"/>
    <w:rsid w:val="00DF7642"/>
    <w:rsid w:val="00E010D9"/>
    <w:rsid w:val="00E0217D"/>
    <w:rsid w:val="00E02947"/>
    <w:rsid w:val="00E02AD8"/>
    <w:rsid w:val="00E02B61"/>
    <w:rsid w:val="00E03511"/>
    <w:rsid w:val="00E03570"/>
    <w:rsid w:val="00E03851"/>
    <w:rsid w:val="00E041B4"/>
    <w:rsid w:val="00E04D0A"/>
    <w:rsid w:val="00E05070"/>
    <w:rsid w:val="00E055D5"/>
    <w:rsid w:val="00E059F0"/>
    <w:rsid w:val="00E06388"/>
    <w:rsid w:val="00E06447"/>
    <w:rsid w:val="00E07222"/>
    <w:rsid w:val="00E07955"/>
    <w:rsid w:val="00E103BF"/>
    <w:rsid w:val="00E108BD"/>
    <w:rsid w:val="00E128D7"/>
    <w:rsid w:val="00E12A71"/>
    <w:rsid w:val="00E12DC9"/>
    <w:rsid w:val="00E13B48"/>
    <w:rsid w:val="00E14734"/>
    <w:rsid w:val="00E14905"/>
    <w:rsid w:val="00E14F34"/>
    <w:rsid w:val="00E154B3"/>
    <w:rsid w:val="00E15D11"/>
    <w:rsid w:val="00E15E19"/>
    <w:rsid w:val="00E17087"/>
    <w:rsid w:val="00E17F77"/>
    <w:rsid w:val="00E20AE7"/>
    <w:rsid w:val="00E20BBF"/>
    <w:rsid w:val="00E20C8C"/>
    <w:rsid w:val="00E21F2A"/>
    <w:rsid w:val="00E220D6"/>
    <w:rsid w:val="00E22652"/>
    <w:rsid w:val="00E23A71"/>
    <w:rsid w:val="00E2445B"/>
    <w:rsid w:val="00E24B93"/>
    <w:rsid w:val="00E24BEE"/>
    <w:rsid w:val="00E24ED9"/>
    <w:rsid w:val="00E253AF"/>
    <w:rsid w:val="00E25C38"/>
    <w:rsid w:val="00E25E7F"/>
    <w:rsid w:val="00E26A25"/>
    <w:rsid w:val="00E279A8"/>
    <w:rsid w:val="00E30149"/>
    <w:rsid w:val="00E306E3"/>
    <w:rsid w:val="00E307F8"/>
    <w:rsid w:val="00E30E83"/>
    <w:rsid w:val="00E31126"/>
    <w:rsid w:val="00E3119A"/>
    <w:rsid w:val="00E312E5"/>
    <w:rsid w:val="00E31405"/>
    <w:rsid w:val="00E314FC"/>
    <w:rsid w:val="00E3182D"/>
    <w:rsid w:val="00E31A9D"/>
    <w:rsid w:val="00E31E5A"/>
    <w:rsid w:val="00E320D1"/>
    <w:rsid w:val="00E321CF"/>
    <w:rsid w:val="00E32774"/>
    <w:rsid w:val="00E32B95"/>
    <w:rsid w:val="00E32BC5"/>
    <w:rsid w:val="00E331B0"/>
    <w:rsid w:val="00E33366"/>
    <w:rsid w:val="00E34061"/>
    <w:rsid w:val="00E341FC"/>
    <w:rsid w:val="00E35268"/>
    <w:rsid w:val="00E368FC"/>
    <w:rsid w:val="00E375F3"/>
    <w:rsid w:val="00E37C33"/>
    <w:rsid w:val="00E40625"/>
    <w:rsid w:val="00E409B4"/>
    <w:rsid w:val="00E40B70"/>
    <w:rsid w:val="00E41C5C"/>
    <w:rsid w:val="00E42B0B"/>
    <w:rsid w:val="00E42FB4"/>
    <w:rsid w:val="00E43269"/>
    <w:rsid w:val="00E432EC"/>
    <w:rsid w:val="00E438AF"/>
    <w:rsid w:val="00E43A40"/>
    <w:rsid w:val="00E43DA5"/>
    <w:rsid w:val="00E4491C"/>
    <w:rsid w:val="00E45D9E"/>
    <w:rsid w:val="00E462D2"/>
    <w:rsid w:val="00E46DAE"/>
    <w:rsid w:val="00E47083"/>
    <w:rsid w:val="00E47094"/>
    <w:rsid w:val="00E47926"/>
    <w:rsid w:val="00E47BC5"/>
    <w:rsid w:val="00E50548"/>
    <w:rsid w:val="00E51067"/>
    <w:rsid w:val="00E52C47"/>
    <w:rsid w:val="00E53327"/>
    <w:rsid w:val="00E53711"/>
    <w:rsid w:val="00E53DC3"/>
    <w:rsid w:val="00E53DCA"/>
    <w:rsid w:val="00E53E17"/>
    <w:rsid w:val="00E53F2E"/>
    <w:rsid w:val="00E54596"/>
    <w:rsid w:val="00E54640"/>
    <w:rsid w:val="00E552A0"/>
    <w:rsid w:val="00E55738"/>
    <w:rsid w:val="00E55BA8"/>
    <w:rsid w:val="00E55EEC"/>
    <w:rsid w:val="00E56BBB"/>
    <w:rsid w:val="00E5722C"/>
    <w:rsid w:val="00E57F14"/>
    <w:rsid w:val="00E61496"/>
    <w:rsid w:val="00E615CF"/>
    <w:rsid w:val="00E6399A"/>
    <w:rsid w:val="00E63A78"/>
    <w:rsid w:val="00E64D7E"/>
    <w:rsid w:val="00E64FEC"/>
    <w:rsid w:val="00E65A64"/>
    <w:rsid w:val="00E66ABF"/>
    <w:rsid w:val="00E66FEA"/>
    <w:rsid w:val="00E67581"/>
    <w:rsid w:val="00E675C6"/>
    <w:rsid w:val="00E67F06"/>
    <w:rsid w:val="00E7041F"/>
    <w:rsid w:val="00E7171D"/>
    <w:rsid w:val="00E71B09"/>
    <w:rsid w:val="00E72F4B"/>
    <w:rsid w:val="00E746AD"/>
    <w:rsid w:val="00E74CBE"/>
    <w:rsid w:val="00E75609"/>
    <w:rsid w:val="00E75930"/>
    <w:rsid w:val="00E76405"/>
    <w:rsid w:val="00E764E8"/>
    <w:rsid w:val="00E7659C"/>
    <w:rsid w:val="00E76D61"/>
    <w:rsid w:val="00E7725D"/>
    <w:rsid w:val="00E77928"/>
    <w:rsid w:val="00E77B14"/>
    <w:rsid w:val="00E77E11"/>
    <w:rsid w:val="00E8064C"/>
    <w:rsid w:val="00E81770"/>
    <w:rsid w:val="00E827F5"/>
    <w:rsid w:val="00E83A49"/>
    <w:rsid w:val="00E846AC"/>
    <w:rsid w:val="00E847F3"/>
    <w:rsid w:val="00E84A17"/>
    <w:rsid w:val="00E84E30"/>
    <w:rsid w:val="00E854A3"/>
    <w:rsid w:val="00E8590D"/>
    <w:rsid w:val="00E861B3"/>
    <w:rsid w:val="00E86A35"/>
    <w:rsid w:val="00E86F7E"/>
    <w:rsid w:val="00E87183"/>
    <w:rsid w:val="00E873F7"/>
    <w:rsid w:val="00E8785C"/>
    <w:rsid w:val="00E87AF4"/>
    <w:rsid w:val="00E90068"/>
    <w:rsid w:val="00E9078B"/>
    <w:rsid w:val="00E91B98"/>
    <w:rsid w:val="00E92040"/>
    <w:rsid w:val="00E92238"/>
    <w:rsid w:val="00E936DB"/>
    <w:rsid w:val="00E93F41"/>
    <w:rsid w:val="00E94350"/>
    <w:rsid w:val="00E94723"/>
    <w:rsid w:val="00E954F1"/>
    <w:rsid w:val="00E95637"/>
    <w:rsid w:val="00E95749"/>
    <w:rsid w:val="00E957BE"/>
    <w:rsid w:val="00E9581F"/>
    <w:rsid w:val="00E95B1A"/>
    <w:rsid w:val="00E95C49"/>
    <w:rsid w:val="00E969F6"/>
    <w:rsid w:val="00E96F4C"/>
    <w:rsid w:val="00E9718A"/>
    <w:rsid w:val="00E974B2"/>
    <w:rsid w:val="00EA10D9"/>
    <w:rsid w:val="00EA10E0"/>
    <w:rsid w:val="00EA1590"/>
    <w:rsid w:val="00EA2E2C"/>
    <w:rsid w:val="00EA31BB"/>
    <w:rsid w:val="00EA47FF"/>
    <w:rsid w:val="00EA5DCD"/>
    <w:rsid w:val="00EA600A"/>
    <w:rsid w:val="00EA621F"/>
    <w:rsid w:val="00EA6F25"/>
    <w:rsid w:val="00EA723B"/>
    <w:rsid w:val="00EA73B7"/>
    <w:rsid w:val="00EB0109"/>
    <w:rsid w:val="00EB0186"/>
    <w:rsid w:val="00EB070E"/>
    <w:rsid w:val="00EB0DF1"/>
    <w:rsid w:val="00EB1733"/>
    <w:rsid w:val="00EB18FC"/>
    <w:rsid w:val="00EB19BE"/>
    <w:rsid w:val="00EB2281"/>
    <w:rsid w:val="00EB2EC4"/>
    <w:rsid w:val="00EB31CD"/>
    <w:rsid w:val="00EB355F"/>
    <w:rsid w:val="00EB35B1"/>
    <w:rsid w:val="00EB36F6"/>
    <w:rsid w:val="00EB3E32"/>
    <w:rsid w:val="00EB4237"/>
    <w:rsid w:val="00EB4FA8"/>
    <w:rsid w:val="00EB5005"/>
    <w:rsid w:val="00EB5040"/>
    <w:rsid w:val="00EB5314"/>
    <w:rsid w:val="00EB6375"/>
    <w:rsid w:val="00EB66FB"/>
    <w:rsid w:val="00EB6DB9"/>
    <w:rsid w:val="00EB792E"/>
    <w:rsid w:val="00EB7B9C"/>
    <w:rsid w:val="00EB7BC5"/>
    <w:rsid w:val="00EB7C64"/>
    <w:rsid w:val="00EB7F68"/>
    <w:rsid w:val="00EC036E"/>
    <w:rsid w:val="00EC0828"/>
    <w:rsid w:val="00EC0AD1"/>
    <w:rsid w:val="00EC1C1E"/>
    <w:rsid w:val="00EC3181"/>
    <w:rsid w:val="00EC34BF"/>
    <w:rsid w:val="00EC38AE"/>
    <w:rsid w:val="00EC38F2"/>
    <w:rsid w:val="00EC3CEB"/>
    <w:rsid w:val="00EC4B49"/>
    <w:rsid w:val="00EC4E8D"/>
    <w:rsid w:val="00EC5B37"/>
    <w:rsid w:val="00EC6042"/>
    <w:rsid w:val="00EC641A"/>
    <w:rsid w:val="00EC67BE"/>
    <w:rsid w:val="00EC6B07"/>
    <w:rsid w:val="00EC7D61"/>
    <w:rsid w:val="00EC7F46"/>
    <w:rsid w:val="00ED01FD"/>
    <w:rsid w:val="00ED0763"/>
    <w:rsid w:val="00ED0AC3"/>
    <w:rsid w:val="00ED0ECB"/>
    <w:rsid w:val="00ED1625"/>
    <w:rsid w:val="00ED1BD2"/>
    <w:rsid w:val="00ED2614"/>
    <w:rsid w:val="00ED264B"/>
    <w:rsid w:val="00ED3FD6"/>
    <w:rsid w:val="00ED56F9"/>
    <w:rsid w:val="00ED571A"/>
    <w:rsid w:val="00ED5A6A"/>
    <w:rsid w:val="00ED655E"/>
    <w:rsid w:val="00ED6914"/>
    <w:rsid w:val="00ED6F89"/>
    <w:rsid w:val="00ED73C8"/>
    <w:rsid w:val="00ED76BF"/>
    <w:rsid w:val="00EE0D2D"/>
    <w:rsid w:val="00EE1907"/>
    <w:rsid w:val="00EE2356"/>
    <w:rsid w:val="00EE23F7"/>
    <w:rsid w:val="00EE3217"/>
    <w:rsid w:val="00EE32E9"/>
    <w:rsid w:val="00EE4120"/>
    <w:rsid w:val="00EE4510"/>
    <w:rsid w:val="00EE4E88"/>
    <w:rsid w:val="00EE5396"/>
    <w:rsid w:val="00EE54DA"/>
    <w:rsid w:val="00EE6176"/>
    <w:rsid w:val="00EE6650"/>
    <w:rsid w:val="00EE6ADE"/>
    <w:rsid w:val="00EE7DAF"/>
    <w:rsid w:val="00EE7DF4"/>
    <w:rsid w:val="00EF000C"/>
    <w:rsid w:val="00EF04B6"/>
    <w:rsid w:val="00EF081B"/>
    <w:rsid w:val="00EF0A83"/>
    <w:rsid w:val="00EF13FD"/>
    <w:rsid w:val="00EF1BA8"/>
    <w:rsid w:val="00EF2255"/>
    <w:rsid w:val="00EF2428"/>
    <w:rsid w:val="00EF275F"/>
    <w:rsid w:val="00EF3207"/>
    <w:rsid w:val="00EF32FA"/>
    <w:rsid w:val="00EF3E9D"/>
    <w:rsid w:val="00EF3F0E"/>
    <w:rsid w:val="00EF3F2E"/>
    <w:rsid w:val="00EF43BA"/>
    <w:rsid w:val="00EF49B2"/>
    <w:rsid w:val="00EF4B45"/>
    <w:rsid w:val="00EF5571"/>
    <w:rsid w:val="00EF5735"/>
    <w:rsid w:val="00EF5D3D"/>
    <w:rsid w:val="00EF6363"/>
    <w:rsid w:val="00EF681F"/>
    <w:rsid w:val="00EF6F54"/>
    <w:rsid w:val="00EF7A64"/>
    <w:rsid w:val="00F002D2"/>
    <w:rsid w:val="00F01788"/>
    <w:rsid w:val="00F02400"/>
    <w:rsid w:val="00F027EA"/>
    <w:rsid w:val="00F02B80"/>
    <w:rsid w:val="00F03BD1"/>
    <w:rsid w:val="00F043C1"/>
    <w:rsid w:val="00F046D0"/>
    <w:rsid w:val="00F047A9"/>
    <w:rsid w:val="00F04A6F"/>
    <w:rsid w:val="00F05748"/>
    <w:rsid w:val="00F059E1"/>
    <w:rsid w:val="00F05E8C"/>
    <w:rsid w:val="00F063F4"/>
    <w:rsid w:val="00F06460"/>
    <w:rsid w:val="00F066BA"/>
    <w:rsid w:val="00F06C18"/>
    <w:rsid w:val="00F06CC2"/>
    <w:rsid w:val="00F0736E"/>
    <w:rsid w:val="00F07C3A"/>
    <w:rsid w:val="00F07DD3"/>
    <w:rsid w:val="00F1037F"/>
    <w:rsid w:val="00F103B6"/>
    <w:rsid w:val="00F10E14"/>
    <w:rsid w:val="00F1151C"/>
    <w:rsid w:val="00F14094"/>
    <w:rsid w:val="00F153A3"/>
    <w:rsid w:val="00F154FF"/>
    <w:rsid w:val="00F15505"/>
    <w:rsid w:val="00F15BB7"/>
    <w:rsid w:val="00F15C25"/>
    <w:rsid w:val="00F1614E"/>
    <w:rsid w:val="00F1637F"/>
    <w:rsid w:val="00F16636"/>
    <w:rsid w:val="00F166E2"/>
    <w:rsid w:val="00F17A0F"/>
    <w:rsid w:val="00F17E74"/>
    <w:rsid w:val="00F201A8"/>
    <w:rsid w:val="00F20572"/>
    <w:rsid w:val="00F20C9E"/>
    <w:rsid w:val="00F23B9E"/>
    <w:rsid w:val="00F24325"/>
    <w:rsid w:val="00F2481A"/>
    <w:rsid w:val="00F251EF"/>
    <w:rsid w:val="00F259EA"/>
    <w:rsid w:val="00F25E00"/>
    <w:rsid w:val="00F25E1E"/>
    <w:rsid w:val="00F260B8"/>
    <w:rsid w:val="00F266D4"/>
    <w:rsid w:val="00F27291"/>
    <w:rsid w:val="00F27AE6"/>
    <w:rsid w:val="00F27D78"/>
    <w:rsid w:val="00F3046F"/>
    <w:rsid w:val="00F305FC"/>
    <w:rsid w:val="00F30E99"/>
    <w:rsid w:val="00F3111B"/>
    <w:rsid w:val="00F311E9"/>
    <w:rsid w:val="00F31A27"/>
    <w:rsid w:val="00F31E79"/>
    <w:rsid w:val="00F32045"/>
    <w:rsid w:val="00F33CCB"/>
    <w:rsid w:val="00F341C5"/>
    <w:rsid w:val="00F34B89"/>
    <w:rsid w:val="00F35496"/>
    <w:rsid w:val="00F359E8"/>
    <w:rsid w:val="00F36127"/>
    <w:rsid w:val="00F37C02"/>
    <w:rsid w:val="00F37DF0"/>
    <w:rsid w:val="00F40E90"/>
    <w:rsid w:val="00F41813"/>
    <w:rsid w:val="00F41A87"/>
    <w:rsid w:val="00F42FB2"/>
    <w:rsid w:val="00F4321F"/>
    <w:rsid w:val="00F438F8"/>
    <w:rsid w:val="00F43952"/>
    <w:rsid w:val="00F43BF4"/>
    <w:rsid w:val="00F44055"/>
    <w:rsid w:val="00F44147"/>
    <w:rsid w:val="00F4439F"/>
    <w:rsid w:val="00F44400"/>
    <w:rsid w:val="00F445D4"/>
    <w:rsid w:val="00F449CA"/>
    <w:rsid w:val="00F454CE"/>
    <w:rsid w:val="00F45551"/>
    <w:rsid w:val="00F4559F"/>
    <w:rsid w:val="00F457DD"/>
    <w:rsid w:val="00F458FE"/>
    <w:rsid w:val="00F45F44"/>
    <w:rsid w:val="00F468AE"/>
    <w:rsid w:val="00F46B15"/>
    <w:rsid w:val="00F46DCE"/>
    <w:rsid w:val="00F46FF4"/>
    <w:rsid w:val="00F4748C"/>
    <w:rsid w:val="00F47C46"/>
    <w:rsid w:val="00F50058"/>
    <w:rsid w:val="00F504B1"/>
    <w:rsid w:val="00F50C1A"/>
    <w:rsid w:val="00F51170"/>
    <w:rsid w:val="00F5204F"/>
    <w:rsid w:val="00F52233"/>
    <w:rsid w:val="00F5225E"/>
    <w:rsid w:val="00F5238E"/>
    <w:rsid w:val="00F54320"/>
    <w:rsid w:val="00F54A08"/>
    <w:rsid w:val="00F55681"/>
    <w:rsid w:val="00F55D5E"/>
    <w:rsid w:val="00F56078"/>
    <w:rsid w:val="00F56700"/>
    <w:rsid w:val="00F56948"/>
    <w:rsid w:val="00F5749D"/>
    <w:rsid w:val="00F57AC7"/>
    <w:rsid w:val="00F601C5"/>
    <w:rsid w:val="00F61755"/>
    <w:rsid w:val="00F61B9D"/>
    <w:rsid w:val="00F61C67"/>
    <w:rsid w:val="00F62CF0"/>
    <w:rsid w:val="00F630FB"/>
    <w:rsid w:val="00F6315E"/>
    <w:rsid w:val="00F635A5"/>
    <w:rsid w:val="00F636CC"/>
    <w:rsid w:val="00F638E3"/>
    <w:rsid w:val="00F63F53"/>
    <w:rsid w:val="00F64977"/>
    <w:rsid w:val="00F64DE5"/>
    <w:rsid w:val="00F65129"/>
    <w:rsid w:val="00F65DD5"/>
    <w:rsid w:val="00F66600"/>
    <w:rsid w:val="00F66624"/>
    <w:rsid w:val="00F666ED"/>
    <w:rsid w:val="00F66B02"/>
    <w:rsid w:val="00F66BB6"/>
    <w:rsid w:val="00F66C01"/>
    <w:rsid w:val="00F66C18"/>
    <w:rsid w:val="00F70149"/>
    <w:rsid w:val="00F70DAF"/>
    <w:rsid w:val="00F70FDB"/>
    <w:rsid w:val="00F713BE"/>
    <w:rsid w:val="00F7164D"/>
    <w:rsid w:val="00F72973"/>
    <w:rsid w:val="00F72F1B"/>
    <w:rsid w:val="00F73E6C"/>
    <w:rsid w:val="00F7479E"/>
    <w:rsid w:val="00F74AC7"/>
    <w:rsid w:val="00F74AD4"/>
    <w:rsid w:val="00F750DA"/>
    <w:rsid w:val="00F75D5B"/>
    <w:rsid w:val="00F760E7"/>
    <w:rsid w:val="00F7638A"/>
    <w:rsid w:val="00F76B1F"/>
    <w:rsid w:val="00F76EFF"/>
    <w:rsid w:val="00F77135"/>
    <w:rsid w:val="00F7759E"/>
    <w:rsid w:val="00F80789"/>
    <w:rsid w:val="00F81423"/>
    <w:rsid w:val="00F816D6"/>
    <w:rsid w:val="00F81A44"/>
    <w:rsid w:val="00F81AC0"/>
    <w:rsid w:val="00F820F8"/>
    <w:rsid w:val="00F822A7"/>
    <w:rsid w:val="00F8314E"/>
    <w:rsid w:val="00F835E8"/>
    <w:rsid w:val="00F835F0"/>
    <w:rsid w:val="00F837C8"/>
    <w:rsid w:val="00F8394C"/>
    <w:rsid w:val="00F83ACE"/>
    <w:rsid w:val="00F83B83"/>
    <w:rsid w:val="00F8447E"/>
    <w:rsid w:val="00F85AB5"/>
    <w:rsid w:val="00F8602E"/>
    <w:rsid w:val="00F860AD"/>
    <w:rsid w:val="00F861E8"/>
    <w:rsid w:val="00F86296"/>
    <w:rsid w:val="00F86D45"/>
    <w:rsid w:val="00F8723C"/>
    <w:rsid w:val="00F8740E"/>
    <w:rsid w:val="00F879B7"/>
    <w:rsid w:val="00F87D01"/>
    <w:rsid w:val="00F87DE8"/>
    <w:rsid w:val="00F903C4"/>
    <w:rsid w:val="00F90E2E"/>
    <w:rsid w:val="00F91106"/>
    <w:rsid w:val="00F913AA"/>
    <w:rsid w:val="00F916B3"/>
    <w:rsid w:val="00F91B33"/>
    <w:rsid w:val="00F92538"/>
    <w:rsid w:val="00F93CD5"/>
    <w:rsid w:val="00F93FDE"/>
    <w:rsid w:val="00F94060"/>
    <w:rsid w:val="00F942FA"/>
    <w:rsid w:val="00F9471D"/>
    <w:rsid w:val="00F9528F"/>
    <w:rsid w:val="00F95373"/>
    <w:rsid w:val="00F9545D"/>
    <w:rsid w:val="00F95994"/>
    <w:rsid w:val="00F96325"/>
    <w:rsid w:val="00F965FB"/>
    <w:rsid w:val="00F9717E"/>
    <w:rsid w:val="00F97244"/>
    <w:rsid w:val="00F9776C"/>
    <w:rsid w:val="00FA05C8"/>
    <w:rsid w:val="00FA07A1"/>
    <w:rsid w:val="00FA0847"/>
    <w:rsid w:val="00FA0A12"/>
    <w:rsid w:val="00FA1112"/>
    <w:rsid w:val="00FA11D6"/>
    <w:rsid w:val="00FA1413"/>
    <w:rsid w:val="00FA1AC6"/>
    <w:rsid w:val="00FA1C73"/>
    <w:rsid w:val="00FA249A"/>
    <w:rsid w:val="00FA2B83"/>
    <w:rsid w:val="00FA2FE9"/>
    <w:rsid w:val="00FA3F03"/>
    <w:rsid w:val="00FA54D9"/>
    <w:rsid w:val="00FA561D"/>
    <w:rsid w:val="00FA5E6E"/>
    <w:rsid w:val="00FA7B36"/>
    <w:rsid w:val="00FB0349"/>
    <w:rsid w:val="00FB0C03"/>
    <w:rsid w:val="00FB1176"/>
    <w:rsid w:val="00FB191E"/>
    <w:rsid w:val="00FB1968"/>
    <w:rsid w:val="00FB19C7"/>
    <w:rsid w:val="00FB2720"/>
    <w:rsid w:val="00FB293F"/>
    <w:rsid w:val="00FB2A58"/>
    <w:rsid w:val="00FB2BA6"/>
    <w:rsid w:val="00FB2F44"/>
    <w:rsid w:val="00FB32DA"/>
    <w:rsid w:val="00FB3F28"/>
    <w:rsid w:val="00FB4851"/>
    <w:rsid w:val="00FB4B3C"/>
    <w:rsid w:val="00FB4BFE"/>
    <w:rsid w:val="00FB5C8C"/>
    <w:rsid w:val="00FB65CE"/>
    <w:rsid w:val="00FB7144"/>
    <w:rsid w:val="00FB718A"/>
    <w:rsid w:val="00FB7DB0"/>
    <w:rsid w:val="00FC00DC"/>
    <w:rsid w:val="00FC0B15"/>
    <w:rsid w:val="00FC0B30"/>
    <w:rsid w:val="00FC0B7D"/>
    <w:rsid w:val="00FC0D65"/>
    <w:rsid w:val="00FC0F17"/>
    <w:rsid w:val="00FC1746"/>
    <w:rsid w:val="00FC1811"/>
    <w:rsid w:val="00FC1BAA"/>
    <w:rsid w:val="00FC1DE0"/>
    <w:rsid w:val="00FC3A4F"/>
    <w:rsid w:val="00FC4275"/>
    <w:rsid w:val="00FC48EB"/>
    <w:rsid w:val="00FC4ACB"/>
    <w:rsid w:val="00FC506C"/>
    <w:rsid w:val="00FC50FD"/>
    <w:rsid w:val="00FC5123"/>
    <w:rsid w:val="00FC57B5"/>
    <w:rsid w:val="00FC60E4"/>
    <w:rsid w:val="00FC68B2"/>
    <w:rsid w:val="00FC69D8"/>
    <w:rsid w:val="00FC6F18"/>
    <w:rsid w:val="00FD0E84"/>
    <w:rsid w:val="00FD0EAB"/>
    <w:rsid w:val="00FD1799"/>
    <w:rsid w:val="00FD1D6B"/>
    <w:rsid w:val="00FD22F5"/>
    <w:rsid w:val="00FD257C"/>
    <w:rsid w:val="00FD2FD0"/>
    <w:rsid w:val="00FD50FE"/>
    <w:rsid w:val="00FD54F5"/>
    <w:rsid w:val="00FD6190"/>
    <w:rsid w:val="00FE0008"/>
    <w:rsid w:val="00FE0B87"/>
    <w:rsid w:val="00FE0C9B"/>
    <w:rsid w:val="00FE0F96"/>
    <w:rsid w:val="00FE14C5"/>
    <w:rsid w:val="00FE238C"/>
    <w:rsid w:val="00FE269E"/>
    <w:rsid w:val="00FE29AD"/>
    <w:rsid w:val="00FE2A2F"/>
    <w:rsid w:val="00FE2A36"/>
    <w:rsid w:val="00FE37EA"/>
    <w:rsid w:val="00FE47BC"/>
    <w:rsid w:val="00FE4F4E"/>
    <w:rsid w:val="00FE5289"/>
    <w:rsid w:val="00FE5441"/>
    <w:rsid w:val="00FE5CF7"/>
    <w:rsid w:val="00FE63F0"/>
    <w:rsid w:val="00FE782D"/>
    <w:rsid w:val="00FE7C04"/>
    <w:rsid w:val="00FE7F23"/>
    <w:rsid w:val="00FE8A7A"/>
    <w:rsid w:val="00FF1390"/>
    <w:rsid w:val="00FF1A6D"/>
    <w:rsid w:val="00FF1BAF"/>
    <w:rsid w:val="00FF3205"/>
    <w:rsid w:val="00FF329F"/>
    <w:rsid w:val="00FF32C5"/>
    <w:rsid w:val="00FF344B"/>
    <w:rsid w:val="00FF5322"/>
    <w:rsid w:val="00FF594D"/>
    <w:rsid w:val="00FF5AD3"/>
    <w:rsid w:val="00FF7016"/>
    <w:rsid w:val="00FF7813"/>
    <w:rsid w:val="010C0A21"/>
    <w:rsid w:val="011413A6"/>
    <w:rsid w:val="011EC3CE"/>
    <w:rsid w:val="0136BBED"/>
    <w:rsid w:val="013FB598"/>
    <w:rsid w:val="017BD34E"/>
    <w:rsid w:val="017DCA9A"/>
    <w:rsid w:val="02084030"/>
    <w:rsid w:val="020BB638"/>
    <w:rsid w:val="02249561"/>
    <w:rsid w:val="0256ABF6"/>
    <w:rsid w:val="03C6F63C"/>
    <w:rsid w:val="03E93716"/>
    <w:rsid w:val="03FDB8B9"/>
    <w:rsid w:val="040696B5"/>
    <w:rsid w:val="041C8A32"/>
    <w:rsid w:val="048FD1E4"/>
    <w:rsid w:val="04F147BE"/>
    <w:rsid w:val="05053821"/>
    <w:rsid w:val="051C7FC8"/>
    <w:rsid w:val="0541A7F6"/>
    <w:rsid w:val="05890264"/>
    <w:rsid w:val="05A2A87B"/>
    <w:rsid w:val="05B8CB38"/>
    <w:rsid w:val="05CC773B"/>
    <w:rsid w:val="05F7DEE6"/>
    <w:rsid w:val="06029F67"/>
    <w:rsid w:val="06377077"/>
    <w:rsid w:val="06854736"/>
    <w:rsid w:val="06C42183"/>
    <w:rsid w:val="06E7110C"/>
    <w:rsid w:val="0741886F"/>
    <w:rsid w:val="07494069"/>
    <w:rsid w:val="0759D328"/>
    <w:rsid w:val="0765E52A"/>
    <w:rsid w:val="078BA880"/>
    <w:rsid w:val="07B86B06"/>
    <w:rsid w:val="07F9B673"/>
    <w:rsid w:val="07FDC29E"/>
    <w:rsid w:val="08067930"/>
    <w:rsid w:val="082505B0"/>
    <w:rsid w:val="082785BE"/>
    <w:rsid w:val="082D6298"/>
    <w:rsid w:val="08549CB9"/>
    <w:rsid w:val="085A06D8"/>
    <w:rsid w:val="085E5979"/>
    <w:rsid w:val="0860E1D1"/>
    <w:rsid w:val="0867E355"/>
    <w:rsid w:val="088A7F27"/>
    <w:rsid w:val="0898A3A3"/>
    <w:rsid w:val="08D2D5A9"/>
    <w:rsid w:val="08D383A7"/>
    <w:rsid w:val="08D7CBE0"/>
    <w:rsid w:val="092487FD"/>
    <w:rsid w:val="0948C978"/>
    <w:rsid w:val="094B78A1"/>
    <w:rsid w:val="09512C4A"/>
    <w:rsid w:val="0953494C"/>
    <w:rsid w:val="09A8E506"/>
    <w:rsid w:val="09B9BC4B"/>
    <w:rsid w:val="09D7F6F1"/>
    <w:rsid w:val="09FE30A9"/>
    <w:rsid w:val="0A3C0020"/>
    <w:rsid w:val="0A3C60D4"/>
    <w:rsid w:val="0A846DE7"/>
    <w:rsid w:val="0AB19D47"/>
    <w:rsid w:val="0AB73211"/>
    <w:rsid w:val="0AF05D8B"/>
    <w:rsid w:val="0AF6D4D3"/>
    <w:rsid w:val="0B25F375"/>
    <w:rsid w:val="0B876B41"/>
    <w:rsid w:val="0BABFBB2"/>
    <w:rsid w:val="0BAC8272"/>
    <w:rsid w:val="0BBB9119"/>
    <w:rsid w:val="0BDD2724"/>
    <w:rsid w:val="0C22C3CF"/>
    <w:rsid w:val="0C28BB87"/>
    <w:rsid w:val="0C5266B6"/>
    <w:rsid w:val="0C83FB10"/>
    <w:rsid w:val="0CD12161"/>
    <w:rsid w:val="0CDA5A8E"/>
    <w:rsid w:val="0CECB655"/>
    <w:rsid w:val="0CF3B8E8"/>
    <w:rsid w:val="0D2DA50D"/>
    <w:rsid w:val="0D66FD29"/>
    <w:rsid w:val="0DB052D6"/>
    <w:rsid w:val="0DB6888D"/>
    <w:rsid w:val="0DC9C778"/>
    <w:rsid w:val="0DD7B8FA"/>
    <w:rsid w:val="0DEF17AA"/>
    <w:rsid w:val="0DEF4CB1"/>
    <w:rsid w:val="0DFEFE9E"/>
    <w:rsid w:val="0E63D944"/>
    <w:rsid w:val="0E68606C"/>
    <w:rsid w:val="0E85C343"/>
    <w:rsid w:val="0E963ADC"/>
    <w:rsid w:val="0EF3F9A3"/>
    <w:rsid w:val="0EFD0B35"/>
    <w:rsid w:val="0F22E166"/>
    <w:rsid w:val="0F5B1C75"/>
    <w:rsid w:val="0F72B15E"/>
    <w:rsid w:val="0FCBC7DF"/>
    <w:rsid w:val="0FEEC827"/>
    <w:rsid w:val="0FF9778F"/>
    <w:rsid w:val="10037152"/>
    <w:rsid w:val="10063A03"/>
    <w:rsid w:val="106B7EDA"/>
    <w:rsid w:val="107F7188"/>
    <w:rsid w:val="10C49A70"/>
    <w:rsid w:val="10F2BCC6"/>
    <w:rsid w:val="11328EDA"/>
    <w:rsid w:val="114ED449"/>
    <w:rsid w:val="11718766"/>
    <w:rsid w:val="118888F9"/>
    <w:rsid w:val="1189592E"/>
    <w:rsid w:val="119D3AB1"/>
    <w:rsid w:val="11A26DC1"/>
    <w:rsid w:val="11ACF407"/>
    <w:rsid w:val="11B63999"/>
    <w:rsid w:val="11D266A8"/>
    <w:rsid w:val="11D4F127"/>
    <w:rsid w:val="11DA2D6B"/>
    <w:rsid w:val="11DF8B8F"/>
    <w:rsid w:val="1209B8A9"/>
    <w:rsid w:val="120BAD69"/>
    <w:rsid w:val="120C5731"/>
    <w:rsid w:val="123FE459"/>
    <w:rsid w:val="12418ACC"/>
    <w:rsid w:val="12644DB0"/>
    <w:rsid w:val="12A37F97"/>
    <w:rsid w:val="12BB3EE5"/>
    <w:rsid w:val="12E348ED"/>
    <w:rsid w:val="12EEB5C6"/>
    <w:rsid w:val="130EAB3A"/>
    <w:rsid w:val="1317938A"/>
    <w:rsid w:val="1339A49E"/>
    <w:rsid w:val="13511111"/>
    <w:rsid w:val="137502F7"/>
    <w:rsid w:val="13C4D636"/>
    <w:rsid w:val="13DA9EA7"/>
    <w:rsid w:val="13EBA16A"/>
    <w:rsid w:val="13F04C38"/>
    <w:rsid w:val="13F2DBFC"/>
    <w:rsid w:val="13F34D77"/>
    <w:rsid w:val="13FA1D04"/>
    <w:rsid w:val="1440B1CF"/>
    <w:rsid w:val="14868444"/>
    <w:rsid w:val="14A2DB8B"/>
    <w:rsid w:val="14D7A5ED"/>
    <w:rsid w:val="150A37FD"/>
    <w:rsid w:val="1517133A"/>
    <w:rsid w:val="1536BF59"/>
    <w:rsid w:val="15469AA1"/>
    <w:rsid w:val="154B9CD0"/>
    <w:rsid w:val="1554934B"/>
    <w:rsid w:val="15603C53"/>
    <w:rsid w:val="15742643"/>
    <w:rsid w:val="157853B8"/>
    <w:rsid w:val="15808BEA"/>
    <w:rsid w:val="1593D852"/>
    <w:rsid w:val="15A465BE"/>
    <w:rsid w:val="1609E855"/>
    <w:rsid w:val="16105B27"/>
    <w:rsid w:val="16196342"/>
    <w:rsid w:val="1637B7CA"/>
    <w:rsid w:val="163D7B19"/>
    <w:rsid w:val="16442C29"/>
    <w:rsid w:val="1654B742"/>
    <w:rsid w:val="167DE7E5"/>
    <w:rsid w:val="16F1055F"/>
    <w:rsid w:val="16F2757E"/>
    <w:rsid w:val="16F277AA"/>
    <w:rsid w:val="1732FDD4"/>
    <w:rsid w:val="1736DED4"/>
    <w:rsid w:val="175F0C38"/>
    <w:rsid w:val="179BB5D3"/>
    <w:rsid w:val="179E041E"/>
    <w:rsid w:val="17C1422B"/>
    <w:rsid w:val="17D92EEC"/>
    <w:rsid w:val="182EF045"/>
    <w:rsid w:val="18703D90"/>
    <w:rsid w:val="189DDC65"/>
    <w:rsid w:val="18B620F1"/>
    <w:rsid w:val="18C1D3AA"/>
    <w:rsid w:val="19197E41"/>
    <w:rsid w:val="19855144"/>
    <w:rsid w:val="19A34C9E"/>
    <w:rsid w:val="19B0F052"/>
    <w:rsid w:val="19D0A595"/>
    <w:rsid w:val="19D2DE6F"/>
    <w:rsid w:val="19F0773D"/>
    <w:rsid w:val="19F3F622"/>
    <w:rsid w:val="1A527D44"/>
    <w:rsid w:val="1A67779C"/>
    <w:rsid w:val="1A86052D"/>
    <w:rsid w:val="1A994981"/>
    <w:rsid w:val="1AAF53CF"/>
    <w:rsid w:val="1AE21130"/>
    <w:rsid w:val="1B2BB69F"/>
    <w:rsid w:val="1B479EC3"/>
    <w:rsid w:val="1B6347B4"/>
    <w:rsid w:val="1B6C504A"/>
    <w:rsid w:val="1B776450"/>
    <w:rsid w:val="1B8B89BF"/>
    <w:rsid w:val="1B8CA9DD"/>
    <w:rsid w:val="1BE611E2"/>
    <w:rsid w:val="1C1B4E0E"/>
    <w:rsid w:val="1C268BC7"/>
    <w:rsid w:val="1C290A53"/>
    <w:rsid w:val="1C30F31F"/>
    <w:rsid w:val="1C3237EC"/>
    <w:rsid w:val="1C45E4F7"/>
    <w:rsid w:val="1C82ED78"/>
    <w:rsid w:val="1C870C99"/>
    <w:rsid w:val="1CE2BD57"/>
    <w:rsid w:val="1D0B6938"/>
    <w:rsid w:val="1D14D008"/>
    <w:rsid w:val="1D187B0E"/>
    <w:rsid w:val="1D348DDC"/>
    <w:rsid w:val="1D371B42"/>
    <w:rsid w:val="1D45F47E"/>
    <w:rsid w:val="1D777894"/>
    <w:rsid w:val="1D8D80E5"/>
    <w:rsid w:val="1D98208D"/>
    <w:rsid w:val="1DB77AD5"/>
    <w:rsid w:val="1DBF813D"/>
    <w:rsid w:val="1E282F8C"/>
    <w:rsid w:val="1E5F7521"/>
    <w:rsid w:val="1E805E36"/>
    <w:rsid w:val="1E8733AE"/>
    <w:rsid w:val="1EA92249"/>
    <w:rsid w:val="1EB994DA"/>
    <w:rsid w:val="1F53863C"/>
    <w:rsid w:val="1F569F03"/>
    <w:rsid w:val="1F706102"/>
    <w:rsid w:val="1F8A96B7"/>
    <w:rsid w:val="1F9E90A9"/>
    <w:rsid w:val="1FC96F08"/>
    <w:rsid w:val="1FCB811F"/>
    <w:rsid w:val="1FD1A203"/>
    <w:rsid w:val="1FECC9E7"/>
    <w:rsid w:val="2022405B"/>
    <w:rsid w:val="2031B297"/>
    <w:rsid w:val="205E15E2"/>
    <w:rsid w:val="2077FFE4"/>
    <w:rsid w:val="21D5A9A4"/>
    <w:rsid w:val="22176855"/>
    <w:rsid w:val="222FCAC6"/>
    <w:rsid w:val="226797C1"/>
    <w:rsid w:val="2279E236"/>
    <w:rsid w:val="227E6998"/>
    <w:rsid w:val="228744DE"/>
    <w:rsid w:val="22CC244F"/>
    <w:rsid w:val="2381AA1F"/>
    <w:rsid w:val="23956A28"/>
    <w:rsid w:val="2397C2BC"/>
    <w:rsid w:val="239BDC9C"/>
    <w:rsid w:val="23BA4239"/>
    <w:rsid w:val="23C0F1D5"/>
    <w:rsid w:val="24339EBC"/>
    <w:rsid w:val="2475D736"/>
    <w:rsid w:val="247FAB2F"/>
    <w:rsid w:val="2494D85E"/>
    <w:rsid w:val="24C64B91"/>
    <w:rsid w:val="24CAF413"/>
    <w:rsid w:val="24CB575C"/>
    <w:rsid w:val="24E07F4F"/>
    <w:rsid w:val="25070314"/>
    <w:rsid w:val="252D2A4B"/>
    <w:rsid w:val="25372599"/>
    <w:rsid w:val="25408C86"/>
    <w:rsid w:val="2562BD0E"/>
    <w:rsid w:val="256628F2"/>
    <w:rsid w:val="25AA9BD2"/>
    <w:rsid w:val="25C2FD95"/>
    <w:rsid w:val="25D25EBD"/>
    <w:rsid w:val="2651A440"/>
    <w:rsid w:val="267A06B0"/>
    <w:rsid w:val="269D56AE"/>
    <w:rsid w:val="26B696A7"/>
    <w:rsid w:val="26D3C19B"/>
    <w:rsid w:val="26F0E7D2"/>
    <w:rsid w:val="26FFD356"/>
    <w:rsid w:val="270AD238"/>
    <w:rsid w:val="27155A4F"/>
    <w:rsid w:val="2731EDA7"/>
    <w:rsid w:val="2751897B"/>
    <w:rsid w:val="2767D502"/>
    <w:rsid w:val="279C173D"/>
    <w:rsid w:val="27C29258"/>
    <w:rsid w:val="27D4FBD2"/>
    <w:rsid w:val="28124A9A"/>
    <w:rsid w:val="284323CF"/>
    <w:rsid w:val="28690386"/>
    <w:rsid w:val="28E22D57"/>
    <w:rsid w:val="28FB8749"/>
    <w:rsid w:val="29003F91"/>
    <w:rsid w:val="29005436"/>
    <w:rsid w:val="2911BAA9"/>
    <w:rsid w:val="292716FA"/>
    <w:rsid w:val="296F92E3"/>
    <w:rsid w:val="297E16BE"/>
    <w:rsid w:val="299B0745"/>
    <w:rsid w:val="29B411AD"/>
    <w:rsid w:val="2A14623F"/>
    <w:rsid w:val="2A35E7A5"/>
    <w:rsid w:val="2A390CD3"/>
    <w:rsid w:val="2A4B3D24"/>
    <w:rsid w:val="2A5BF456"/>
    <w:rsid w:val="2ACDDBB0"/>
    <w:rsid w:val="2AF6288C"/>
    <w:rsid w:val="2B48A260"/>
    <w:rsid w:val="2BDA261E"/>
    <w:rsid w:val="2BF85602"/>
    <w:rsid w:val="2C72C1BF"/>
    <w:rsid w:val="2C8F40FE"/>
    <w:rsid w:val="2C91EBEB"/>
    <w:rsid w:val="2CD0BF48"/>
    <w:rsid w:val="2CEC2246"/>
    <w:rsid w:val="2D04719F"/>
    <w:rsid w:val="2D3814C6"/>
    <w:rsid w:val="2D6DEDCC"/>
    <w:rsid w:val="2D6E49B3"/>
    <w:rsid w:val="2D951777"/>
    <w:rsid w:val="2DC07C87"/>
    <w:rsid w:val="2DEEFFEA"/>
    <w:rsid w:val="2E172E9A"/>
    <w:rsid w:val="2E346F66"/>
    <w:rsid w:val="2E4ADFCF"/>
    <w:rsid w:val="2E5F4855"/>
    <w:rsid w:val="2E8F12C6"/>
    <w:rsid w:val="2EAC609B"/>
    <w:rsid w:val="2ED31983"/>
    <w:rsid w:val="2F25BCDA"/>
    <w:rsid w:val="2F30FCB9"/>
    <w:rsid w:val="2F351953"/>
    <w:rsid w:val="2F4475F1"/>
    <w:rsid w:val="2F534CD0"/>
    <w:rsid w:val="2F6676CF"/>
    <w:rsid w:val="2F6EE518"/>
    <w:rsid w:val="2F8F1B31"/>
    <w:rsid w:val="2FE2FB0F"/>
    <w:rsid w:val="2FED4790"/>
    <w:rsid w:val="2FF9AC0F"/>
    <w:rsid w:val="300F9A9C"/>
    <w:rsid w:val="301637D7"/>
    <w:rsid w:val="303EB19F"/>
    <w:rsid w:val="30692270"/>
    <w:rsid w:val="306C5BB0"/>
    <w:rsid w:val="3090A604"/>
    <w:rsid w:val="3097214A"/>
    <w:rsid w:val="30ACE59D"/>
    <w:rsid w:val="30E31F27"/>
    <w:rsid w:val="30E92BC6"/>
    <w:rsid w:val="3108E4B2"/>
    <w:rsid w:val="310FA254"/>
    <w:rsid w:val="314302DE"/>
    <w:rsid w:val="316DE251"/>
    <w:rsid w:val="31CC420E"/>
    <w:rsid w:val="31D4A21B"/>
    <w:rsid w:val="322A0801"/>
    <w:rsid w:val="323C828F"/>
    <w:rsid w:val="3256B29A"/>
    <w:rsid w:val="32D082D1"/>
    <w:rsid w:val="32F0DA0E"/>
    <w:rsid w:val="332FD52D"/>
    <w:rsid w:val="337FA7F4"/>
    <w:rsid w:val="33C90A2A"/>
    <w:rsid w:val="33DFB620"/>
    <w:rsid w:val="340A1AFE"/>
    <w:rsid w:val="3440FC2C"/>
    <w:rsid w:val="34611507"/>
    <w:rsid w:val="3498E6D1"/>
    <w:rsid w:val="34D2496B"/>
    <w:rsid w:val="34D251FE"/>
    <w:rsid w:val="34D5698E"/>
    <w:rsid w:val="34E1EAEF"/>
    <w:rsid w:val="34F26F7A"/>
    <w:rsid w:val="35001D20"/>
    <w:rsid w:val="3522DC09"/>
    <w:rsid w:val="353FBBD9"/>
    <w:rsid w:val="357EED8E"/>
    <w:rsid w:val="35AC9182"/>
    <w:rsid w:val="35B226D2"/>
    <w:rsid w:val="35BECCFA"/>
    <w:rsid w:val="35CAB2FC"/>
    <w:rsid w:val="35F916DE"/>
    <w:rsid w:val="36175275"/>
    <w:rsid w:val="363D4F4F"/>
    <w:rsid w:val="365037CD"/>
    <w:rsid w:val="365DC58D"/>
    <w:rsid w:val="366BB75E"/>
    <w:rsid w:val="36755811"/>
    <w:rsid w:val="36847B60"/>
    <w:rsid w:val="36882D8F"/>
    <w:rsid w:val="36A6653C"/>
    <w:rsid w:val="36AC556B"/>
    <w:rsid w:val="36C1E571"/>
    <w:rsid w:val="36CFE9BF"/>
    <w:rsid w:val="36D94AAD"/>
    <w:rsid w:val="3714B15F"/>
    <w:rsid w:val="3743DE1A"/>
    <w:rsid w:val="3759D0A1"/>
    <w:rsid w:val="375A1A79"/>
    <w:rsid w:val="375DD2AA"/>
    <w:rsid w:val="3794E92E"/>
    <w:rsid w:val="37A5A3C1"/>
    <w:rsid w:val="37BD0C80"/>
    <w:rsid w:val="37C1E083"/>
    <w:rsid w:val="37E7AF5F"/>
    <w:rsid w:val="37FC2090"/>
    <w:rsid w:val="38046685"/>
    <w:rsid w:val="380D6CDF"/>
    <w:rsid w:val="3816DEE5"/>
    <w:rsid w:val="38620862"/>
    <w:rsid w:val="387DD9E8"/>
    <w:rsid w:val="38998F45"/>
    <w:rsid w:val="38C84453"/>
    <w:rsid w:val="38CBF2E0"/>
    <w:rsid w:val="38DA5069"/>
    <w:rsid w:val="38DB7013"/>
    <w:rsid w:val="38E8DC4A"/>
    <w:rsid w:val="38FE8981"/>
    <w:rsid w:val="39107A3C"/>
    <w:rsid w:val="3967E8BC"/>
    <w:rsid w:val="3967EEE5"/>
    <w:rsid w:val="3975C9ED"/>
    <w:rsid w:val="397C662C"/>
    <w:rsid w:val="39955644"/>
    <w:rsid w:val="39B02B63"/>
    <w:rsid w:val="39B43108"/>
    <w:rsid w:val="39BBD454"/>
    <w:rsid w:val="39DAC90E"/>
    <w:rsid w:val="39DC993C"/>
    <w:rsid w:val="39F2FA9B"/>
    <w:rsid w:val="3A08E827"/>
    <w:rsid w:val="3A70B979"/>
    <w:rsid w:val="3A7961F5"/>
    <w:rsid w:val="3A8321CB"/>
    <w:rsid w:val="3A9C4888"/>
    <w:rsid w:val="3ACAE803"/>
    <w:rsid w:val="3AF11FD6"/>
    <w:rsid w:val="3AF98A5F"/>
    <w:rsid w:val="3B05C5FF"/>
    <w:rsid w:val="3B2FDC9B"/>
    <w:rsid w:val="3B4476C8"/>
    <w:rsid w:val="3B6E8C2F"/>
    <w:rsid w:val="3B7710FA"/>
    <w:rsid w:val="3B8617D3"/>
    <w:rsid w:val="3B8FFCD0"/>
    <w:rsid w:val="3BA6E32A"/>
    <w:rsid w:val="3BAD8C9F"/>
    <w:rsid w:val="3BBB1083"/>
    <w:rsid w:val="3BCAF547"/>
    <w:rsid w:val="3BD0F04A"/>
    <w:rsid w:val="3BE8AEED"/>
    <w:rsid w:val="3C1889E9"/>
    <w:rsid w:val="3C3D5A58"/>
    <w:rsid w:val="3C614C56"/>
    <w:rsid w:val="3C7BDFE6"/>
    <w:rsid w:val="3C93323A"/>
    <w:rsid w:val="3C93EC1A"/>
    <w:rsid w:val="3CC487F6"/>
    <w:rsid w:val="3CD67227"/>
    <w:rsid w:val="3CDC55A0"/>
    <w:rsid w:val="3D0E719C"/>
    <w:rsid w:val="3D2636FA"/>
    <w:rsid w:val="3D60BB9D"/>
    <w:rsid w:val="3D63B6DC"/>
    <w:rsid w:val="3D862E32"/>
    <w:rsid w:val="3D9CDFE7"/>
    <w:rsid w:val="3DB39C4F"/>
    <w:rsid w:val="3DB8E24D"/>
    <w:rsid w:val="3DD29CF9"/>
    <w:rsid w:val="3DDA61FF"/>
    <w:rsid w:val="3E4B1B1E"/>
    <w:rsid w:val="3EBF57CB"/>
    <w:rsid w:val="3ED5A9ED"/>
    <w:rsid w:val="3ED9EAB3"/>
    <w:rsid w:val="3F00D355"/>
    <w:rsid w:val="3F4A96A7"/>
    <w:rsid w:val="3F6AC86C"/>
    <w:rsid w:val="3F842B63"/>
    <w:rsid w:val="3FB3B10C"/>
    <w:rsid w:val="3FBA8BBF"/>
    <w:rsid w:val="3FFDC68D"/>
    <w:rsid w:val="406FB5A1"/>
    <w:rsid w:val="408692CE"/>
    <w:rsid w:val="40D420D9"/>
    <w:rsid w:val="40D6265A"/>
    <w:rsid w:val="40D6A979"/>
    <w:rsid w:val="4133E0BD"/>
    <w:rsid w:val="41343DDD"/>
    <w:rsid w:val="41532EEB"/>
    <w:rsid w:val="41784D99"/>
    <w:rsid w:val="41915A07"/>
    <w:rsid w:val="421EBAE5"/>
    <w:rsid w:val="4252FFEB"/>
    <w:rsid w:val="427D1E7C"/>
    <w:rsid w:val="42E9F659"/>
    <w:rsid w:val="42EC7341"/>
    <w:rsid w:val="43257676"/>
    <w:rsid w:val="4344BAD0"/>
    <w:rsid w:val="43469174"/>
    <w:rsid w:val="435ED7A0"/>
    <w:rsid w:val="4387B5DF"/>
    <w:rsid w:val="439A6821"/>
    <w:rsid w:val="43B10B82"/>
    <w:rsid w:val="44A3B77B"/>
    <w:rsid w:val="44A41071"/>
    <w:rsid w:val="44AE82EB"/>
    <w:rsid w:val="44C1D7DE"/>
    <w:rsid w:val="44F41910"/>
    <w:rsid w:val="44F733B1"/>
    <w:rsid w:val="452230CA"/>
    <w:rsid w:val="4522DCA0"/>
    <w:rsid w:val="458822B9"/>
    <w:rsid w:val="461C5F2B"/>
    <w:rsid w:val="462065A4"/>
    <w:rsid w:val="46276A74"/>
    <w:rsid w:val="46B12287"/>
    <w:rsid w:val="46C9677C"/>
    <w:rsid w:val="46DE444B"/>
    <w:rsid w:val="46E458B4"/>
    <w:rsid w:val="46F631DB"/>
    <w:rsid w:val="4745BD1C"/>
    <w:rsid w:val="47582718"/>
    <w:rsid w:val="4765841E"/>
    <w:rsid w:val="476634E5"/>
    <w:rsid w:val="4776BA90"/>
    <w:rsid w:val="47A725E2"/>
    <w:rsid w:val="47C8B98A"/>
    <w:rsid w:val="47FA47CE"/>
    <w:rsid w:val="4851EA6E"/>
    <w:rsid w:val="486A79A0"/>
    <w:rsid w:val="489561CD"/>
    <w:rsid w:val="48A3290E"/>
    <w:rsid w:val="48A659B7"/>
    <w:rsid w:val="48C84C64"/>
    <w:rsid w:val="491BC98F"/>
    <w:rsid w:val="49202876"/>
    <w:rsid w:val="49416B5F"/>
    <w:rsid w:val="4962B285"/>
    <w:rsid w:val="496ADA26"/>
    <w:rsid w:val="4990C67C"/>
    <w:rsid w:val="49AAC406"/>
    <w:rsid w:val="49EF54A9"/>
    <w:rsid w:val="4A3D032A"/>
    <w:rsid w:val="4A418637"/>
    <w:rsid w:val="4A8BDDEC"/>
    <w:rsid w:val="4A9D3B60"/>
    <w:rsid w:val="4AF60B24"/>
    <w:rsid w:val="4B011ED9"/>
    <w:rsid w:val="4B10C68A"/>
    <w:rsid w:val="4B151103"/>
    <w:rsid w:val="4B1DA20B"/>
    <w:rsid w:val="4B407BDF"/>
    <w:rsid w:val="4B440E34"/>
    <w:rsid w:val="4B83B9D6"/>
    <w:rsid w:val="4B8BE334"/>
    <w:rsid w:val="4BA2A155"/>
    <w:rsid w:val="4BA4B283"/>
    <w:rsid w:val="4BC86A00"/>
    <w:rsid w:val="4C015F0B"/>
    <w:rsid w:val="4C0CEC75"/>
    <w:rsid w:val="4C400937"/>
    <w:rsid w:val="4C5DA711"/>
    <w:rsid w:val="4C6E8EB4"/>
    <w:rsid w:val="4C77C7AF"/>
    <w:rsid w:val="4CBF6822"/>
    <w:rsid w:val="4CD5AE00"/>
    <w:rsid w:val="4CEE9332"/>
    <w:rsid w:val="4CFA342E"/>
    <w:rsid w:val="4D20809A"/>
    <w:rsid w:val="4D230914"/>
    <w:rsid w:val="4D23E120"/>
    <w:rsid w:val="4D658804"/>
    <w:rsid w:val="4D66AF21"/>
    <w:rsid w:val="4DA5A98C"/>
    <w:rsid w:val="4DCBD2BB"/>
    <w:rsid w:val="4DD1D1F6"/>
    <w:rsid w:val="4DE613AF"/>
    <w:rsid w:val="4DE65B0C"/>
    <w:rsid w:val="4E1CC9E0"/>
    <w:rsid w:val="4E344E6A"/>
    <w:rsid w:val="4E75A0AE"/>
    <w:rsid w:val="4E81A35B"/>
    <w:rsid w:val="4E9F3245"/>
    <w:rsid w:val="4ED8BB21"/>
    <w:rsid w:val="4EF50042"/>
    <w:rsid w:val="4EF6D935"/>
    <w:rsid w:val="4F183BFC"/>
    <w:rsid w:val="4F36061F"/>
    <w:rsid w:val="4F36F531"/>
    <w:rsid w:val="4F3A610A"/>
    <w:rsid w:val="4F9086D9"/>
    <w:rsid w:val="4FCCD7C9"/>
    <w:rsid w:val="4FFEE453"/>
    <w:rsid w:val="50013E26"/>
    <w:rsid w:val="50405546"/>
    <w:rsid w:val="506E54C5"/>
    <w:rsid w:val="507D809E"/>
    <w:rsid w:val="50EF054A"/>
    <w:rsid w:val="511AE0A4"/>
    <w:rsid w:val="5122EC6C"/>
    <w:rsid w:val="51255881"/>
    <w:rsid w:val="513FF944"/>
    <w:rsid w:val="517D83EB"/>
    <w:rsid w:val="51A58015"/>
    <w:rsid w:val="51A7DEE8"/>
    <w:rsid w:val="51B8DB45"/>
    <w:rsid w:val="51D20124"/>
    <w:rsid w:val="51F77BF8"/>
    <w:rsid w:val="521E5C13"/>
    <w:rsid w:val="525E5371"/>
    <w:rsid w:val="526EF0D3"/>
    <w:rsid w:val="52702B1F"/>
    <w:rsid w:val="52963780"/>
    <w:rsid w:val="529BB7A9"/>
    <w:rsid w:val="52A07AAF"/>
    <w:rsid w:val="52ADAEBF"/>
    <w:rsid w:val="52D23151"/>
    <w:rsid w:val="53282197"/>
    <w:rsid w:val="532AC694"/>
    <w:rsid w:val="535AF17C"/>
    <w:rsid w:val="536153B8"/>
    <w:rsid w:val="537C65AD"/>
    <w:rsid w:val="537EB3DF"/>
    <w:rsid w:val="538DBEB4"/>
    <w:rsid w:val="538FF0C0"/>
    <w:rsid w:val="5394F6DC"/>
    <w:rsid w:val="53C9346C"/>
    <w:rsid w:val="53DD67B2"/>
    <w:rsid w:val="53E1AE1E"/>
    <w:rsid w:val="542F5119"/>
    <w:rsid w:val="54583688"/>
    <w:rsid w:val="545C28F7"/>
    <w:rsid w:val="545FDBF4"/>
    <w:rsid w:val="547FE9F5"/>
    <w:rsid w:val="553B5A1A"/>
    <w:rsid w:val="553B7DEC"/>
    <w:rsid w:val="55417F83"/>
    <w:rsid w:val="5558D9B6"/>
    <w:rsid w:val="55AC3742"/>
    <w:rsid w:val="55CFAE1B"/>
    <w:rsid w:val="55F44447"/>
    <w:rsid w:val="55FDB480"/>
    <w:rsid w:val="5637DC62"/>
    <w:rsid w:val="5668FB1B"/>
    <w:rsid w:val="56B136B1"/>
    <w:rsid w:val="56E9190B"/>
    <w:rsid w:val="56EBC6E6"/>
    <w:rsid w:val="571B1D08"/>
    <w:rsid w:val="57304641"/>
    <w:rsid w:val="574DED0A"/>
    <w:rsid w:val="574E9FAB"/>
    <w:rsid w:val="575D9FE5"/>
    <w:rsid w:val="577FEA98"/>
    <w:rsid w:val="57D8138A"/>
    <w:rsid w:val="57E6935A"/>
    <w:rsid w:val="5817F3FF"/>
    <w:rsid w:val="5861A69D"/>
    <w:rsid w:val="5891639C"/>
    <w:rsid w:val="589716A1"/>
    <w:rsid w:val="58B016D0"/>
    <w:rsid w:val="58C23AE4"/>
    <w:rsid w:val="58CD676E"/>
    <w:rsid w:val="58D858B3"/>
    <w:rsid w:val="58DE2DC1"/>
    <w:rsid w:val="58F27A81"/>
    <w:rsid w:val="58FA9142"/>
    <w:rsid w:val="5911F702"/>
    <w:rsid w:val="5962D912"/>
    <w:rsid w:val="5975B41F"/>
    <w:rsid w:val="5998A3B4"/>
    <w:rsid w:val="59A54B6B"/>
    <w:rsid w:val="59D0DF75"/>
    <w:rsid w:val="59DE1F61"/>
    <w:rsid w:val="59E5AE47"/>
    <w:rsid w:val="5A2471CC"/>
    <w:rsid w:val="5A4403DA"/>
    <w:rsid w:val="5A4F2217"/>
    <w:rsid w:val="5A732D23"/>
    <w:rsid w:val="5ABC3502"/>
    <w:rsid w:val="5AE76A9D"/>
    <w:rsid w:val="5AF23559"/>
    <w:rsid w:val="5B65E0D1"/>
    <w:rsid w:val="5B886BA6"/>
    <w:rsid w:val="5BAF6785"/>
    <w:rsid w:val="5BCE79BA"/>
    <w:rsid w:val="5C0A05C0"/>
    <w:rsid w:val="5C301E56"/>
    <w:rsid w:val="5C3DF313"/>
    <w:rsid w:val="5C4478FB"/>
    <w:rsid w:val="5C58DFF6"/>
    <w:rsid w:val="5C74BC3C"/>
    <w:rsid w:val="5C7B3B30"/>
    <w:rsid w:val="5D2F72B4"/>
    <w:rsid w:val="5D568003"/>
    <w:rsid w:val="5D80994E"/>
    <w:rsid w:val="5DDF7591"/>
    <w:rsid w:val="5E3D20FA"/>
    <w:rsid w:val="5E5AD0C4"/>
    <w:rsid w:val="5E6870CB"/>
    <w:rsid w:val="5EC7D2E4"/>
    <w:rsid w:val="5EFEF44D"/>
    <w:rsid w:val="5F27FF1D"/>
    <w:rsid w:val="5F2EC7D9"/>
    <w:rsid w:val="5F6DA4B8"/>
    <w:rsid w:val="5F70E421"/>
    <w:rsid w:val="5F7B72E7"/>
    <w:rsid w:val="5FB0C4C1"/>
    <w:rsid w:val="5FC71630"/>
    <w:rsid w:val="5FCF49BD"/>
    <w:rsid w:val="5FD0C0D4"/>
    <w:rsid w:val="5FE084E5"/>
    <w:rsid w:val="5FE0BAA6"/>
    <w:rsid w:val="5FE8C2FB"/>
    <w:rsid w:val="6012A3E9"/>
    <w:rsid w:val="60220B81"/>
    <w:rsid w:val="602DED3B"/>
    <w:rsid w:val="60314613"/>
    <w:rsid w:val="60395073"/>
    <w:rsid w:val="60832A3E"/>
    <w:rsid w:val="60E53953"/>
    <w:rsid w:val="60FB6F56"/>
    <w:rsid w:val="611A3202"/>
    <w:rsid w:val="612F3D47"/>
    <w:rsid w:val="6162B3DF"/>
    <w:rsid w:val="6163D20A"/>
    <w:rsid w:val="616B8381"/>
    <w:rsid w:val="618B072C"/>
    <w:rsid w:val="618EC639"/>
    <w:rsid w:val="618EFE68"/>
    <w:rsid w:val="61925299"/>
    <w:rsid w:val="619A1E43"/>
    <w:rsid w:val="619B114F"/>
    <w:rsid w:val="61B545D2"/>
    <w:rsid w:val="61C0F189"/>
    <w:rsid w:val="61FBDC57"/>
    <w:rsid w:val="621B5C70"/>
    <w:rsid w:val="622AD45F"/>
    <w:rsid w:val="6236EB55"/>
    <w:rsid w:val="624C96B8"/>
    <w:rsid w:val="6258604A"/>
    <w:rsid w:val="62BA5DC0"/>
    <w:rsid w:val="62E48385"/>
    <w:rsid w:val="62E48B28"/>
    <w:rsid w:val="62E5483E"/>
    <w:rsid w:val="62ED7349"/>
    <w:rsid w:val="63095CBA"/>
    <w:rsid w:val="632F891F"/>
    <w:rsid w:val="6343F76B"/>
    <w:rsid w:val="63765D88"/>
    <w:rsid w:val="63B1EEEA"/>
    <w:rsid w:val="63C6B10F"/>
    <w:rsid w:val="64224C38"/>
    <w:rsid w:val="6422DBA3"/>
    <w:rsid w:val="6437C2F3"/>
    <w:rsid w:val="644AA21E"/>
    <w:rsid w:val="64507FBB"/>
    <w:rsid w:val="64676C42"/>
    <w:rsid w:val="649FDA22"/>
    <w:rsid w:val="65249621"/>
    <w:rsid w:val="652B7328"/>
    <w:rsid w:val="65537454"/>
    <w:rsid w:val="6562AA45"/>
    <w:rsid w:val="6579857E"/>
    <w:rsid w:val="65D02FF1"/>
    <w:rsid w:val="661C1998"/>
    <w:rsid w:val="665B01A6"/>
    <w:rsid w:val="667300EE"/>
    <w:rsid w:val="667C471E"/>
    <w:rsid w:val="669589D7"/>
    <w:rsid w:val="66ADDD9D"/>
    <w:rsid w:val="66BF5589"/>
    <w:rsid w:val="66C2D14A"/>
    <w:rsid w:val="66C4F61C"/>
    <w:rsid w:val="66D7D52D"/>
    <w:rsid w:val="670FE1E7"/>
    <w:rsid w:val="676C569C"/>
    <w:rsid w:val="67AEC2DC"/>
    <w:rsid w:val="67B44217"/>
    <w:rsid w:val="67B5AB06"/>
    <w:rsid w:val="67BB1554"/>
    <w:rsid w:val="67EDCB11"/>
    <w:rsid w:val="68026EE5"/>
    <w:rsid w:val="685CDF0B"/>
    <w:rsid w:val="687998CE"/>
    <w:rsid w:val="689E5D82"/>
    <w:rsid w:val="68D1FE98"/>
    <w:rsid w:val="68E8B6F9"/>
    <w:rsid w:val="69202DA5"/>
    <w:rsid w:val="69380EE2"/>
    <w:rsid w:val="69497EAC"/>
    <w:rsid w:val="69DCE525"/>
    <w:rsid w:val="6A3ACB86"/>
    <w:rsid w:val="6A5D7AFC"/>
    <w:rsid w:val="6A5FF061"/>
    <w:rsid w:val="6A856FDC"/>
    <w:rsid w:val="6A88CAA5"/>
    <w:rsid w:val="6A8EE66E"/>
    <w:rsid w:val="6B27BEB4"/>
    <w:rsid w:val="6B384DFD"/>
    <w:rsid w:val="6B3E0B75"/>
    <w:rsid w:val="6B428C17"/>
    <w:rsid w:val="6BD2AD02"/>
    <w:rsid w:val="6BF5659A"/>
    <w:rsid w:val="6C07A65B"/>
    <w:rsid w:val="6C1A3877"/>
    <w:rsid w:val="6C205396"/>
    <w:rsid w:val="6C675243"/>
    <w:rsid w:val="6CBC335E"/>
    <w:rsid w:val="6CBC9E2E"/>
    <w:rsid w:val="6CC729DB"/>
    <w:rsid w:val="6CE57FC8"/>
    <w:rsid w:val="6CE85D43"/>
    <w:rsid w:val="6D3FB28C"/>
    <w:rsid w:val="6D8C5536"/>
    <w:rsid w:val="6DD9CD2A"/>
    <w:rsid w:val="6DE50445"/>
    <w:rsid w:val="6E2094BB"/>
    <w:rsid w:val="6E39555C"/>
    <w:rsid w:val="6E63B40C"/>
    <w:rsid w:val="6F308C95"/>
    <w:rsid w:val="6F3BD6BB"/>
    <w:rsid w:val="6F4DD25B"/>
    <w:rsid w:val="6F7A8A1B"/>
    <w:rsid w:val="6FE37BAF"/>
    <w:rsid w:val="6FEFFB02"/>
    <w:rsid w:val="7016265C"/>
    <w:rsid w:val="7019C162"/>
    <w:rsid w:val="706150A3"/>
    <w:rsid w:val="706739DF"/>
    <w:rsid w:val="7067A934"/>
    <w:rsid w:val="70B13A79"/>
    <w:rsid w:val="70DD7DEE"/>
    <w:rsid w:val="7133B20C"/>
    <w:rsid w:val="71916321"/>
    <w:rsid w:val="7197AC4F"/>
    <w:rsid w:val="71AF3F6B"/>
    <w:rsid w:val="71C87CBE"/>
    <w:rsid w:val="71DD8EF9"/>
    <w:rsid w:val="71FEF94A"/>
    <w:rsid w:val="72179B53"/>
    <w:rsid w:val="72327E5B"/>
    <w:rsid w:val="723FBC2F"/>
    <w:rsid w:val="726ED7D2"/>
    <w:rsid w:val="727AFBF9"/>
    <w:rsid w:val="72C23846"/>
    <w:rsid w:val="731A1D72"/>
    <w:rsid w:val="7351E246"/>
    <w:rsid w:val="7364060A"/>
    <w:rsid w:val="73965691"/>
    <w:rsid w:val="73A8426F"/>
    <w:rsid w:val="73CE06B2"/>
    <w:rsid w:val="73F03B41"/>
    <w:rsid w:val="7400F80F"/>
    <w:rsid w:val="740704E3"/>
    <w:rsid w:val="74157B58"/>
    <w:rsid w:val="741BBF2A"/>
    <w:rsid w:val="745413D1"/>
    <w:rsid w:val="74589F82"/>
    <w:rsid w:val="745D0135"/>
    <w:rsid w:val="7485A5AF"/>
    <w:rsid w:val="749730C6"/>
    <w:rsid w:val="74B285E4"/>
    <w:rsid w:val="74DC25C8"/>
    <w:rsid w:val="74F9BA2D"/>
    <w:rsid w:val="75030244"/>
    <w:rsid w:val="751FF13F"/>
    <w:rsid w:val="759AA687"/>
    <w:rsid w:val="75BE8C01"/>
    <w:rsid w:val="760712A8"/>
    <w:rsid w:val="761052D0"/>
    <w:rsid w:val="76259121"/>
    <w:rsid w:val="76832E59"/>
    <w:rsid w:val="768EAEC7"/>
    <w:rsid w:val="76B500DD"/>
    <w:rsid w:val="76B5D3A5"/>
    <w:rsid w:val="77002D95"/>
    <w:rsid w:val="7730EE9C"/>
    <w:rsid w:val="775E0FF1"/>
    <w:rsid w:val="777E8FBB"/>
    <w:rsid w:val="778D4486"/>
    <w:rsid w:val="779368F2"/>
    <w:rsid w:val="7798362B"/>
    <w:rsid w:val="7799D9E5"/>
    <w:rsid w:val="77C9563B"/>
    <w:rsid w:val="77D59EE4"/>
    <w:rsid w:val="781FD1BD"/>
    <w:rsid w:val="78278B61"/>
    <w:rsid w:val="7836CBC7"/>
    <w:rsid w:val="7842D311"/>
    <w:rsid w:val="7881A4CE"/>
    <w:rsid w:val="789CF62E"/>
    <w:rsid w:val="78C7ED00"/>
    <w:rsid w:val="792C951A"/>
    <w:rsid w:val="793F8FED"/>
    <w:rsid w:val="7940FD45"/>
    <w:rsid w:val="797EDE3C"/>
    <w:rsid w:val="79D270E9"/>
    <w:rsid w:val="7A011C1A"/>
    <w:rsid w:val="7A138F0E"/>
    <w:rsid w:val="7A35B917"/>
    <w:rsid w:val="7A482622"/>
    <w:rsid w:val="7A7A3C99"/>
    <w:rsid w:val="7A7D9C5D"/>
    <w:rsid w:val="7A891421"/>
    <w:rsid w:val="7AA9C6A1"/>
    <w:rsid w:val="7AB09124"/>
    <w:rsid w:val="7AC91548"/>
    <w:rsid w:val="7B044AB5"/>
    <w:rsid w:val="7B39A4BD"/>
    <w:rsid w:val="7B3D3E2C"/>
    <w:rsid w:val="7B6627BE"/>
    <w:rsid w:val="7B6ED2AE"/>
    <w:rsid w:val="7B6FC8E3"/>
    <w:rsid w:val="7B82C9B4"/>
    <w:rsid w:val="7B8735CC"/>
    <w:rsid w:val="7B90DD01"/>
    <w:rsid w:val="7BD4FF99"/>
    <w:rsid w:val="7BDA586E"/>
    <w:rsid w:val="7C0B2FBF"/>
    <w:rsid w:val="7C39DDD9"/>
    <w:rsid w:val="7C53C001"/>
    <w:rsid w:val="7C97C17B"/>
    <w:rsid w:val="7CB1F016"/>
    <w:rsid w:val="7CC734AE"/>
    <w:rsid w:val="7CC7EB93"/>
    <w:rsid w:val="7CD7F401"/>
    <w:rsid w:val="7CDF1342"/>
    <w:rsid w:val="7CEA5CEB"/>
    <w:rsid w:val="7CEFBBC0"/>
    <w:rsid w:val="7D03E839"/>
    <w:rsid w:val="7D0857E9"/>
    <w:rsid w:val="7D0B8546"/>
    <w:rsid w:val="7D18DF78"/>
    <w:rsid w:val="7D2044C0"/>
    <w:rsid w:val="7D2112F2"/>
    <w:rsid w:val="7D3C97BE"/>
    <w:rsid w:val="7D4307FC"/>
    <w:rsid w:val="7DD899BE"/>
    <w:rsid w:val="7DFB5BB0"/>
    <w:rsid w:val="7E0C7FFE"/>
    <w:rsid w:val="7E2430B0"/>
    <w:rsid w:val="7E3537B1"/>
    <w:rsid w:val="7E43768F"/>
    <w:rsid w:val="7E8FBC93"/>
    <w:rsid w:val="7EE4374D"/>
    <w:rsid w:val="7F1D7E4E"/>
    <w:rsid w:val="7FD35F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D4FF5154-B4B5-49D0-9C7A-66F41470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 w:type="paragraph" w:customStyle="1" w:styleId="pf0">
    <w:name w:val="pf0"/>
    <w:basedOn w:val="prastasis"/>
    <w:rsid w:val="005363AF"/>
    <w:pPr>
      <w:spacing w:before="100" w:beforeAutospacing="1" w:after="100" w:afterAutospacing="1"/>
    </w:pPr>
    <w:rPr>
      <w:szCs w:val="24"/>
    </w:rPr>
  </w:style>
  <w:style w:type="character" w:customStyle="1" w:styleId="cf11">
    <w:name w:val="cf11"/>
    <w:basedOn w:val="Numatytasispastraiposriftas"/>
    <w:rsid w:val="005363AF"/>
    <w:rPr>
      <w:rFonts w:ascii="Segoe UI" w:hAnsi="Segoe UI" w:cs="Segoe UI" w:hint="default"/>
      <w:sz w:val="18"/>
      <w:szCs w:val="18"/>
    </w:rPr>
  </w:style>
  <w:style w:type="character" w:customStyle="1" w:styleId="cf21">
    <w:name w:val="cf21"/>
    <w:basedOn w:val="Numatytasispastraiposriftas"/>
    <w:rsid w:val="005363AF"/>
    <w:rPr>
      <w:rFonts w:ascii="Segoe UI" w:hAnsi="Segoe UI" w:cs="Segoe UI" w:hint="default"/>
      <w:sz w:val="18"/>
      <w:szCs w:val="18"/>
    </w:rPr>
  </w:style>
  <w:style w:type="character" w:customStyle="1" w:styleId="cf41">
    <w:name w:val="cf41"/>
    <w:basedOn w:val="Numatytasispastraiposriftas"/>
    <w:rsid w:val="005363AF"/>
    <w:rPr>
      <w:rFonts w:ascii="Segoe UI" w:hAnsi="Segoe UI" w:cs="Segoe UI" w:hint="default"/>
      <w:b/>
      <w:bCs/>
      <w:sz w:val="18"/>
      <w:szCs w:val="18"/>
      <w:highlight w:val="yellow"/>
    </w:rPr>
  </w:style>
  <w:style w:type="character" w:customStyle="1" w:styleId="cf51">
    <w:name w:val="cf51"/>
    <w:basedOn w:val="Numatytasispastraiposriftas"/>
    <w:rsid w:val="005363AF"/>
    <w:rPr>
      <w:rFonts w:ascii="Segoe UI" w:hAnsi="Segoe UI" w:cs="Segoe UI" w:hint="default"/>
      <w:sz w:val="18"/>
      <w:szCs w:val="18"/>
      <w:highlight w:val="yellow"/>
    </w:rPr>
  </w:style>
  <w:style w:type="character" w:customStyle="1" w:styleId="cf61">
    <w:name w:val="cf61"/>
    <w:basedOn w:val="Numatytasispastraiposriftas"/>
    <w:rsid w:val="005363AF"/>
    <w:rPr>
      <w:rFonts w:ascii="Segoe UI" w:hAnsi="Segoe UI" w:cs="Segoe UI" w:hint="default"/>
      <w:sz w:val="18"/>
      <w:szCs w:val="18"/>
      <w:highlight w:val="yellow"/>
    </w:rPr>
  </w:style>
  <w:style w:type="character" w:customStyle="1" w:styleId="cf31">
    <w:name w:val="cf31"/>
    <w:basedOn w:val="Numatytasispastraiposriftas"/>
    <w:rsid w:val="005363AF"/>
    <w:rPr>
      <w:rFonts w:ascii="Segoe UI" w:hAnsi="Segoe UI" w:cs="Segoe UI" w:hint="default"/>
      <w:i/>
      <w:iCs/>
      <w:sz w:val="18"/>
      <w:szCs w:val="18"/>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prastasis"/>
    <w:link w:val="Puslapioinaosnuoroda"/>
    <w:rsid w:val="00F9776C"/>
    <w:pPr>
      <w:spacing w:after="160" w:line="240" w:lineRule="exact"/>
    </w:pPr>
    <w:rPr>
      <w:rFonts w:eastAsiaTheme="minorHAnsi"/>
      <w:szCs w:val="22"/>
      <w:vertAlign w:val="superscript"/>
      <w:lang w:eastAsia="en-US"/>
    </w:rPr>
  </w:style>
  <w:style w:type="character" w:styleId="Vietosrezervavimoenklotekstas">
    <w:name w:val="Placeholder Text"/>
    <w:basedOn w:val="Numatytasispastraiposriftas"/>
    <w:uiPriority w:val="99"/>
    <w:semiHidden/>
    <w:rsid w:val="00EF43BA"/>
    <w:rPr>
      <w:color w:val="808080"/>
    </w:rPr>
  </w:style>
  <w:style w:type="character" w:customStyle="1" w:styleId="no-parag">
    <w:name w:val="no-parag"/>
    <w:basedOn w:val="Numatytasispastraiposriftas"/>
    <w:rsid w:val="00D5727D"/>
  </w:style>
  <w:style w:type="character" w:customStyle="1" w:styleId="italics">
    <w:name w:val="italics"/>
    <w:basedOn w:val="Numatytasispastraiposriftas"/>
    <w:rsid w:val="00D5727D"/>
  </w:style>
  <w:style w:type="character" w:styleId="Paminjimas">
    <w:name w:val="Mention"/>
    <w:basedOn w:val="Numatytasispastraiposriftas"/>
    <w:uiPriority w:val="99"/>
    <w:unhideWhenUsed/>
    <w:rsid w:val="00DA17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28884680">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56</TotalTime>
  <Pages>14</Pages>
  <Words>24239</Words>
  <Characters>13817</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2025-07-22T06:22:00Z</dcterms:created>
  <dc:creator>Božena Zaikovska-Tomkevičienė</dc:creator>
  <cp:lastModifiedBy>Vizbarkienė Jūratė | ŠMSM</cp:lastModifiedBy>
  <dcterms:modified xsi:type="dcterms:W3CDTF">2025-07-30T11:46:00Z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