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F14D6" w14:textId="77777777" w:rsidR="0007122C" w:rsidRPr="0007122C" w:rsidRDefault="0007122C" w:rsidP="0007122C">
      <w:pPr>
        <w:pStyle w:val="paragraph"/>
        <w:spacing w:before="0" w:beforeAutospacing="0" w:after="0" w:afterAutospacing="0"/>
        <w:ind w:left="5385" w:hanging="423"/>
        <w:textAlignment w:val="baseline"/>
        <w:rPr>
          <w:rFonts w:ascii="Segoe UI" w:hAnsi="Segoe UI" w:cs="Segoe UI"/>
          <w:sz w:val="22"/>
          <w:szCs w:val="22"/>
        </w:rPr>
      </w:pPr>
      <w:r w:rsidRPr="0007122C">
        <w:rPr>
          <w:rStyle w:val="normaltextrun"/>
          <w:rFonts w:eastAsiaTheme="majorEastAsia"/>
          <w:color w:val="000000"/>
          <w:sz w:val="22"/>
          <w:szCs w:val="22"/>
        </w:rPr>
        <w:t>FORMAI PRITARTA  </w:t>
      </w:r>
      <w:r w:rsidRPr="0007122C">
        <w:rPr>
          <w:rStyle w:val="eop"/>
          <w:color w:val="000000"/>
          <w:sz w:val="22"/>
          <w:szCs w:val="22"/>
        </w:rPr>
        <w:t> </w:t>
      </w:r>
    </w:p>
    <w:p w14:paraId="18A04D50" w14:textId="77777777" w:rsidR="00870998" w:rsidRDefault="0007122C" w:rsidP="00870998">
      <w:pPr>
        <w:pStyle w:val="paragraph"/>
        <w:spacing w:before="0" w:beforeAutospacing="0" w:after="0" w:afterAutospacing="0"/>
        <w:ind w:left="4962"/>
        <w:textAlignment w:val="baseline"/>
        <w:rPr>
          <w:rStyle w:val="normaltextrun"/>
          <w:rFonts w:eastAsiaTheme="majorEastAsia"/>
          <w:color w:val="000000"/>
          <w:sz w:val="22"/>
          <w:szCs w:val="22"/>
        </w:rPr>
      </w:pPr>
      <w:r w:rsidRPr="0007122C">
        <w:rPr>
          <w:rStyle w:val="normaltextrun"/>
          <w:rFonts w:eastAsiaTheme="majorEastAsia"/>
          <w:color w:val="000000"/>
          <w:sz w:val="22"/>
          <w:szCs w:val="22"/>
        </w:rPr>
        <w:t>Tarpinstitucinės darbo grupės, sudarytos </w:t>
      </w:r>
    </w:p>
    <w:p w14:paraId="392F459D" w14:textId="7A8D4516" w:rsidR="0007122C" w:rsidRPr="0007122C" w:rsidRDefault="0007122C" w:rsidP="00885236">
      <w:pPr>
        <w:pStyle w:val="paragraph"/>
        <w:spacing w:before="0" w:beforeAutospacing="0" w:after="0" w:afterAutospacing="0"/>
        <w:ind w:left="4962"/>
        <w:textAlignment w:val="baseline"/>
        <w:rPr>
          <w:rStyle w:val="eop"/>
          <w:color w:val="000000"/>
          <w:sz w:val="22"/>
          <w:szCs w:val="22"/>
        </w:rPr>
      </w:pPr>
      <w:r w:rsidRPr="0007122C">
        <w:rPr>
          <w:rStyle w:val="normaltextrun"/>
          <w:rFonts w:eastAsiaTheme="majorEastAsia"/>
          <w:color w:val="000000"/>
          <w:sz w:val="22"/>
          <w:szCs w:val="22"/>
        </w:rPr>
        <w:t>Lietuvos Respublikos finansų ministro 2021 m. birželio 11</w:t>
      </w:r>
      <w:r w:rsidR="00870998">
        <w:rPr>
          <w:rStyle w:val="normaltextrun"/>
          <w:rFonts w:eastAsiaTheme="majorEastAsia"/>
          <w:color w:val="000000"/>
          <w:sz w:val="22"/>
          <w:szCs w:val="22"/>
        </w:rPr>
        <w:t xml:space="preserve"> </w:t>
      </w:r>
      <w:r w:rsidRPr="0007122C">
        <w:rPr>
          <w:rStyle w:val="normaltextrun"/>
          <w:rFonts w:eastAsiaTheme="majorEastAsia"/>
          <w:color w:val="000000"/>
          <w:sz w:val="22"/>
          <w:szCs w:val="22"/>
        </w:rPr>
        <w:t xml:space="preserve">d. įsakymu Nr. 1K-219 „Dėl tarpinstitucinės darbo grupės sudarymo“, 2022 m. balandžio 8 d. posėdžio protokolu Nr. </w:t>
      </w:r>
      <w:r w:rsidRPr="0007122C">
        <w:rPr>
          <w:rStyle w:val="eop"/>
          <w:color w:val="000000"/>
          <w:sz w:val="22"/>
          <w:szCs w:val="22"/>
        </w:rPr>
        <w:t>4</w:t>
      </w:r>
      <w:r w:rsidRPr="0007122C">
        <w:rPr>
          <w:rStyle w:val="normaltextrun"/>
          <w:rFonts w:eastAsiaTheme="majorEastAsia"/>
          <w:color w:val="000000"/>
          <w:sz w:val="22"/>
          <w:szCs w:val="22"/>
        </w:rPr>
        <w:t>  </w:t>
      </w:r>
      <w:r w:rsidRPr="0007122C">
        <w:rPr>
          <w:rStyle w:val="eop"/>
          <w:color w:val="000000"/>
          <w:sz w:val="22"/>
          <w:szCs w:val="22"/>
        </w:rPr>
        <w:t> </w:t>
      </w:r>
    </w:p>
    <w:p w14:paraId="21C811AC" w14:textId="5CBE7FC1" w:rsidR="0007122C" w:rsidRPr="0007122C" w:rsidRDefault="00780E55" w:rsidP="00885236">
      <w:pPr>
        <w:pStyle w:val="paragraph"/>
        <w:spacing w:before="0" w:beforeAutospacing="0" w:after="0" w:afterAutospacing="0"/>
        <w:ind w:left="4678" w:hanging="142"/>
        <w:textAlignment w:val="baseline"/>
        <w:rPr>
          <w:rFonts w:ascii="Segoe UI" w:hAnsi="Segoe UI" w:cs="Segoe UI"/>
          <w:sz w:val="22"/>
          <w:szCs w:val="22"/>
        </w:rPr>
      </w:pPr>
      <w:r>
        <w:rPr>
          <w:rFonts w:ascii="Segoe UI" w:hAnsi="Segoe UI" w:cs="Segoe UI"/>
          <w:sz w:val="22"/>
          <w:szCs w:val="22"/>
        </w:rPr>
        <w:t xml:space="preserve">       </w:t>
      </w:r>
      <w:r w:rsidR="0007122C" w:rsidRPr="0007122C">
        <w:rPr>
          <w:rStyle w:val="normaltextrun"/>
          <w:rFonts w:eastAsiaTheme="majorEastAsia"/>
          <w:color w:val="000000"/>
          <w:sz w:val="22"/>
          <w:szCs w:val="22"/>
        </w:rPr>
        <w:t>Valstybės pagalbos kontrolės proceso priedas  </w:t>
      </w:r>
      <w:r w:rsidR="0007122C" w:rsidRPr="0007122C">
        <w:rPr>
          <w:rStyle w:val="eop"/>
          <w:color w:val="000000"/>
          <w:sz w:val="22"/>
          <w:szCs w:val="22"/>
        </w:rPr>
        <w:t> </w:t>
      </w:r>
    </w:p>
    <w:p w14:paraId="135ACA2E" w14:textId="77777777" w:rsidR="0007122C" w:rsidRPr="0007122C" w:rsidRDefault="0007122C" w:rsidP="0007122C">
      <w:pPr>
        <w:ind w:left="6237"/>
        <w:jc w:val="both"/>
        <w:rPr>
          <w:rFonts w:ascii="Times New Roman" w:hAnsi="Times New Roman"/>
        </w:rPr>
      </w:pPr>
    </w:p>
    <w:p w14:paraId="1D0B0042" w14:textId="77777777" w:rsidR="0007122C" w:rsidRPr="0007122C" w:rsidRDefault="0007122C" w:rsidP="0007122C">
      <w:pPr>
        <w:jc w:val="center"/>
        <w:rPr>
          <w:rFonts w:ascii="Times New Roman" w:hAnsi="Times New Roman"/>
          <w:b/>
        </w:rPr>
      </w:pPr>
      <w:r w:rsidRPr="0007122C">
        <w:rPr>
          <w:rFonts w:ascii="Times New Roman" w:hAnsi="Times New Roman"/>
          <w:b/>
        </w:rPr>
        <w:t xml:space="preserve">PATIKROS LAPAS DĖL VALSTYBĖS PAGALBOS IR </w:t>
      </w:r>
      <w:r w:rsidRPr="0007122C">
        <w:rPr>
          <w:rFonts w:ascii="Times New Roman" w:hAnsi="Times New Roman"/>
          <w:b/>
          <w:i/>
        </w:rPr>
        <w:t>DE MINIMIS</w:t>
      </w:r>
      <w:r w:rsidRPr="0007122C">
        <w:rPr>
          <w:rFonts w:ascii="Times New Roman" w:hAnsi="Times New Roman"/>
          <w:b/>
        </w:rPr>
        <w:t xml:space="preserve"> PAGALBOS BUVIMO AR NEBUVIMO</w:t>
      </w:r>
    </w:p>
    <w:p w14:paraId="4A15AAA2" w14:textId="7A1146D0" w:rsidR="0007122C" w:rsidRPr="0007122C" w:rsidRDefault="0007122C" w:rsidP="0007122C">
      <w:pPr>
        <w:spacing w:after="0" w:line="240" w:lineRule="auto"/>
        <w:jc w:val="center"/>
        <w:rPr>
          <w:rFonts w:ascii="Times New Roman" w:hAnsi="Times New Roman"/>
        </w:rPr>
      </w:pPr>
      <w:r w:rsidRPr="0007122C">
        <w:rPr>
          <w:rFonts w:ascii="Times New Roman" w:hAnsi="Times New Roman"/>
        </w:rPr>
        <w:t>2025-</w:t>
      </w:r>
      <w:r w:rsidR="00885236">
        <w:rPr>
          <w:rFonts w:ascii="Times New Roman" w:hAnsi="Times New Roman"/>
        </w:rPr>
        <w:t>08-</w:t>
      </w:r>
    </w:p>
    <w:p w14:paraId="3C3FEDB5" w14:textId="77777777" w:rsidR="0007122C" w:rsidRPr="0007122C" w:rsidRDefault="0007122C" w:rsidP="0007122C">
      <w:pPr>
        <w:spacing w:after="0" w:line="240" w:lineRule="auto"/>
        <w:jc w:val="right"/>
        <w:rPr>
          <w:rFonts w:ascii="Times New Roman" w:hAnsi="Times New Roman"/>
        </w:rPr>
      </w:pPr>
    </w:p>
    <w:p w14:paraId="7B8EFEF5" w14:textId="77777777" w:rsidR="0007122C" w:rsidRPr="0007122C" w:rsidRDefault="0007122C" w:rsidP="0007122C">
      <w:pPr>
        <w:spacing w:after="0" w:line="240" w:lineRule="auto"/>
        <w:jc w:val="right"/>
        <w:rPr>
          <w:rFonts w:ascii="Times New Roman" w:hAnsi="Times New Roman"/>
        </w:rPr>
      </w:pPr>
      <w:r w:rsidRPr="0007122C">
        <w:rPr>
          <w:rFonts w:ascii="Times New Roman" w:hAnsi="Times New Roman"/>
        </w:rPr>
        <w:t xml:space="preserve">(Pildoma priemonės veiklos ar </w:t>
      </w:r>
      <w:proofErr w:type="spellStart"/>
      <w:r w:rsidRPr="0007122C">
        <w:rPr>
          <w:rFonts w:ascii="Times New Roman" w:hAnsi="Times New Roman"/>
        </w:rPr>
        <w:t>poveiklės</w:t>
      </w:r>
      <w:proofErr w:type="spellEnd"/>
      <w:r w:rsidRPr="0007122C">
        <w:rPr>
          <w:rFonts w:ascii="Times New Roman" w:hAnsi="Times New Roman"/>
        </w:rPr>
        <w:t xml:space="preserve"> vertinimui)</w:t>
      </w: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998"/>
      </w:tblGrid>
      <w:tr w:rsidR="0007122C" w:rsidRPr="0007122C" w14:paraId="19AD4372" w14:textId="77777777" w:rsidTr="007B3693">
        <w:trPr>
          <w:trHeight w:val="558"/>
        </w:trPr>
        <w:tc>
          <w:tcPr>
            <w:tcW w:w="3964" w:type="dxa"/>
          </w:tcPr>
          <w:p w14:paraId="37D804C6" w14:textId="77777777" w:rsidR="0007122C" w:rsidRPr="0007122C" w:rsidRDefault="0007122C" w:rsidP="007B3693">
            <w:pPr>
              <w:spacing w:after="0" w:line="240" w:lineRule="auto"/>
              <w:rPr>
                <w:rFonts w:ascii="Times New Roman" w:hAnsi="Times New Roman"/>
                <w:b/>
              </w:rPr>
            </w:pPr>
            <w:bookmarkStart w:id="0" w:name="_Hlk83139317"/>
            <w:r w:rsidRPr="0007122C">
              <w:rPr>
                <w:rFonts w:ascii="Times New Roman" w:hAnsi="Times New Roman"/>
                <w:b/>
              </w:rPr>
              <w:t xml:space="preserve">Priemonės veiklos ar </w:t>
            </w:r>
            <w:proofErr w:type="spellStart"/>
            <w:r w:rsidRPr="0007122C">
              <w:rPr>
                <w:rFonts w:ascii="Times New Roman" w:hAnsi="Times New Roman"/>
                <w:b/>
              </w:rPr>
              <w:t>poveiklės</w:t>
            </w:r>
            <w:proofErr w:type="spellEnd"/>
            <w:r w:rsidRPr="0007122C">
              <w:rPr>
                <w:rFonts w:ascii="Times New Roman" w:hAnsi="Times New Roman"/>
                <w:b/>
              </w:rPr>
              <w:t xml:space="preserve"> numeris</w:t>
            </w:r>
          </w:p>
        </w:tc>
        <w:tc>
          <w:tcPr>
            <w:tcW w:w="5998" w:type="dxa"/>
          </w:tcPr>
          <w:p w14:paraId="753BFEDC" w14:textId="77777777" w:rsidR="0007122C" w:rsidRPr="0007122C" w:rsidRDefault="0007122C" w:rsidP="007B3693">
            <w:pPr>
              <w:spacing w:after="0" w:line="240" w:lineRule="auto"/>
              <w:jc w:val="both"/>
              <w:rPr>
                <w:rFonts w:ascii="Times New Roman" w:hAnsi="Times New Roman"/>
              </w:rPr>
            </w:pPr>
            <w:proofErr w:type="spellStart"/>
            <w:r w:rsidRPr="0007122C">
              <w:rPr>
                <w:rFonts w:ascii="Times New Roman" w:hAnsi="Times New Roman"/>
              </w:rPr>
              <w:t>Poveiklė</w:t>
            </w:r>
            <w:proofErr w:type="spellEnd"/>
            <w:r w:rsidRPr="0007122C">
              <w:rPr>
                <w:rFonts w:ascii="Times New Roman" w:hAnsi="Times New Roman"/>
              </w:rPr>
              <w:t xml:space="preserve"> Nr. 11-001-02-10-01-03-01</w:t>
            </w:r>
          </w:p>
        </w:tc>
      </w:tr>
      <w:tr w:rsidR="0007122C" w:rsidRPr="0007122C" w14:paraId="7BF74280" w14:textId="77777777" w:rsidTr="007B3693">
        <w:trPr>
          <w:trHeight w:val="1265"/>
        </w:trPr>
        <w:tc>
          <w:tcPr>
            <w:tcW w:w="3964" w:type="dxa"/>
          </w:tcPr>
          <w:p w14:paraId="27013A44" w14:textId="77777777" w:rsidR="0007122C" w:rsidRPr="0007122C" w:rsidRDefault="0007122C" w:rsidP="007B3693">
            <w:pPr>
              <w:spacing w:after="0" w:line="240" w:lineRule="auto"/>
              <w:rPr>
                <w:rFonts w:ascii="Times New Roman" w:hAnsi="Times New Roman"/>
                <w:b/>
              </w:rPr>
            </w:pPr>
            <w:r w:rsidRPr="0007122C">
              <w:rPr>
                <w:rFonts w:ascii="Times New Roman" w:hAnsi="Times New Roman"/>
                <w:b/>
              </w:rPr>
              <w:t xml:space="preserve">Priemonės veiklos ar </w:t>
            </w:r>
            <w:proofErr w:type="spellStart"/>
            <w:r w:rsidRPr="0007122C">
              <w:rPr>
                <w:rFonts w:ascii="Times New Roman" w:hAnsi="Times New Roman"/>
                <w:b/>
              </w:rPr>
              <w:t>poveiklės</w:t>
            </w:r>
            <w:proofErr w:type="spellEnd"/>
            <w:r w:rsidRPr="0007122C">
              <w:rPr>
                <w:rFonts w:ascii="Times New Roman" w:hAnsi="Times New Roman"/>
                <w:b/>
              </w:rPr>
              <w:t xml:space="preserve"> pavadinimas</w:t>
            </w:r>
          </w:p>
        </w:tc>
        <w:tc>
          <w:tcPr>
            <w:tcW w:w="5998" w:type="dxa"/>
          </w:tcPr>
          <w:p w14:paraId="2A2F8468" w14:textId="357371FB" w:rsidR="0007122C" w:rsidRPr="0007122C" w:rsidRDefault="0007122C" w:rsidP="007B3693">
            <w:pPr>
              <w:pStyle w:val="Betarp"/>
              <w:jc w:val="both"/>
              <w:rPr>
                <w:rFonts w:ascii="Times New Roman" w:hAnsi="Times New Roman"/>
                <w:iCs/>
                <w:lang w:val="lt-LT"/>
              </w:rPr>
            </w:pPr>
            <w:r w:rsidRPr="0007122C">
              <w:rPr>
                <w:rFonts w:ascii="Times New Roman" w:hAnsi="Times New Roman"/>
                <w:lang w:val="lt-LT"/>
              </w:rPr>
              <w:t>Pažangos priemonės „Gerinti grėsmių bei rizikos sveikatai veiksnių valdymą</w:t>
            </w:r>
            <w:r w:rsidR="00780E55">
              <w:rPr>
                <w:rFonts w:ascii="Times New Roman" w:hAnsi="Times New Roman"/>
                <w:lang w:val="lt-LT"/>
              </w:rPr>
              <w:t>“</w:t>
            </w:r>
            <w:r w:rsidRPr="0007122C">
              <w:rPr>
                <w:rFonts w:ascii="Times New Roman" w:hAnsi="Times New Roman"/>
                <w:lang w:val="lt-LT"/>
              </w:rPr>
              <w:t xml:space="preserve"> 3 veiklos „</w:t>
            </w:r>
            <w:r w:rsidRPr="0007122C">
              <w:rPr>
                <w:rFonts w:ascii="Times New Roman" w:hAnsi="Times New Roman"/>
                <w:iCs/>
                <w:lang w:val="lt-LT"/>
              </w:rPr>
              <w:t>Sveikatos raštingumo didinimas</w:t>
            </w:r>
            <w:r w:rsidR="00491C80">
              <w:rPr>
                <w:rFonts w:ascii="Times New Roman" w:hAnsi="Times New Roman"/>
                <w:iCs/>
                <w:lang w:val="lt-LT"/>
              </w:rPr>
              <w:t>“</w:t>
            </w:r>
            <w:r w:rsidRPr="0007122C">
              <w:rPr>
                <w:rFonts w:ascii="Times New Roman" w:hAnsi="Times New Roman"/>
                <w:lang w:val="lt-LT"/>
              </w:rPr>
              <w:t xml:space="preserve"> 3.1. </w:t>
            </w:r>
            <w:proofErr w:type="spellStart"/>
            <w:r w:rsidRPr="0007122C">
              <w:rPr>
                <w:rFonts w:ascii="Times New Roman" w:hAnsi="Times New Roman"/>
                <w:lang w:val="lt-LT"/>
              </w:rPr>
              <w:t>poveiklė</w:t>
            </w:r>
            <w:proofErr w:type="spellEnd"/>
            <w:r w:rsidRPr="0007122C">
              <w:rPr>
                <w:rFonts w:ascii="Times New Roman" w:hAnsi="Times New Roman"/>
                <w:lang w:val="lt-LT"/>
              </w:rPr>
              <w:t xml:space="preserve"> „</w:t>
            </w:r>
            <w:r w:rsidRPr="0007122C">
              <w:rPr>
                <w:rFonts w:ascii="Times New Roman" w:hAnsi="Times New Roman"/>
                <w:iCs/>
                <w:lang w:val="lt-LT"/>
              </w:rPr>
              <w:t>Sveikatos raštingumo didinimas Sostinės regione  ir 3.2</w:t>
            </w:r>
            <w:r w:rsidR="00491C80">
              <w:rPr>
                <w:rFonts w:ascii="Times New Roman" w:hAnsi="Times New Roman"/>
                <w:iCs/>
                <w:lang w:val="lt-LT"/>
              </w:rPr>
              <w:t>.</w:t>
            </w:r>
            <w:r w:rsidRPr="0007122C">
              <w:rPr>
                <w:rFonts w:ascii="Times New Roman" w:hAnsi="Times New Roman"/>
                <w:iCs/>
                <w:lang w:val="lt-LT"/>
              </w:rPr>
              <w:t xml:space="preserve"> </w:t>
            </w:r>
            <w:proofErr w:type="spellStart"/>
            <w:r w:rsidRPr="0007122C">
              <w:rPr>
                <w:rFonts w:ascii="Times New Roman" w:hAnsi="Times New Roman"/>
                <w:iCs/>
                <w:lang w:val="lt-LT"/>
              </w:rPr>
              <w:t>poveiklė</w:t>
            </w:r>
            <w:proofErr w:type="spellEnd"/>
            <w:r w:rsidRPr="0007122C">
              <w:rPr>
                <w:rFonts w:ascii="Times New Roman" w:hAnsi="Times New Roman"/>
                <w:iCs/>
                <w:lang w:val="lt-LT"/>
              </w:rPr>
              <w:t xml:space="preserve"> „Sveikatos raštingumo didinimas Vidurio ir vakarų Lietuvos regione“</w:t>
            </w:r>
            <w:r w:rsidRPr="0007122C">
              <w:rPr>
                <w:rFonts w:ascii="Times New Roman" w:hAnsi="Times New Roman"/>
                <w:lang w:val="lt-LT"/>
              </w:rPr>
              <w:t xml:space="preserve"> </w:t>
            </w:r>
          </w:p>
        </w:tc>
      </w:tr>
      <w:tr w:rsidR="0007122C" w:rsidRPr="0007122C" w14:paraId="630E6E8E" w14:textId="77777777" w:rsidTr="007B3693">
        <w:tc>
          <w:tcPr>
            <w:tcW w:w="3964" w:type="dxa"/>
          </w:tcPr>
          <w:p w14:paraId="57BF1598" w14:textId="77777777" w:rsidR="0007122C" w:rsidRPr="0007122C" w:rsidRDefault="0007122C" w:rsidP="007B3693">
            <w:pPr>
              <w:spacing w:after="0" w:line="240" w:lineRule="auto"/>
              <w:rPr>
                <w:rFonts w:ascii="Times New Roman" w:hAnsi="Times New Roman"/>
                <w:b/>
              </w:rPr>
            </w:pPr>
            <w:r w:rsidRPr="0007122C">
              <w:rPr>
                <w:rFonts w:ascii="Times New Roman" w:hAnsi="Times New Roman"/>
                <w:b/>
              </w:rPr>
              <w:t>Už priemonę atsakinga ministerija (-</w:t>
            </w:r>
            <w:proofErr w:type="spellStart"/>
            <w:r w:rsidRPr="0007122C">
              <w:rPr>
                <w:rFonts w:ascii="Times New Roman" w:hAnsi="Times New Roman"/>
                <w:b/>
              </w:rPr>
              <w:t>os</w:t>
            </w:r>
            <w:proofErr w:type="spellEnd"/>
            <w:r w:rsidRPr="0007122C">
              <w:rPr>
                <w:rFonts w:ascii="Times New Roman" w:hAnsi="Times New Roman"/>
                <w:b/>
              </w:rPr>
              <w:t>) (paramos / pagalbos teikėjas)</w:t>
            </w:r>
          </w:p>
        </w:tc>
        <w:tc>
          <w:tcPr>
            <w:tcW w:w="5998" w:type="dxa"/>
          </w:tcPr>
          <w:p w14:paraId="58AC540A" w14:textId="77777777" w:rsidR="0007122C" w:rsidRPr="0007122C" w:rsidRDefault="0007122C" w:rsidP="007B3693">
            <w:pPr>
              <w:spacing w:after="0" w:line="240" w:lineRule="auto"/>
              <w:jc w:val="both"/>
              <w:rPr>
                <w:rFonts w:ascii="Times New Roman" w:hAnsi="Times New Roman"/>
              </w:rPr>
            </w:pPr>
            <w:r w:rsidRPr="0007122C">
              <w:rPr>
                <w:rFonts w:ascii="Times New Roman" w:hAnsi="Times New Roman"/>
              </w:rPr>
              <w:t>Lietuvos Respublikos sveikatos apsaugos ministerija</w:t>
            </w:r>
          </w:p>
          <w:p w14:paraId="6620EC15" w14:textId="77777777" w:rsidR="0007122C" w:rsidRPr="0007122C" w:rsidRDefault="0007122C" w:rsidP="007B3693">
            <w:pPr>
              <w:spacing w:after="0" w:line="240" w:lineRule="auto"/>
              <w:jc w:val="both"/>
              <w:rPr>
                <w:rFonts w:ascii="Times New Roman" w:hAnsi="Times New Roman"/>
                <w:i/>
              </w:rPr>
            </w:pPr>
          </w:p>
          <w:p w14:paraId="180DC36A" w14:textId="77777777" w:rsidR="0007122C" w:rsidRPr="0007122C" w:rsidRDefault="0007122C" w:rsidP="007B3693">
            <w:pPr>
              <w:spacing w:after="0" w:line="240" w:lineRule="auto"/>
              <w:jc w:val="both"/>
              <w:rPr>
                <w:rFonts w:ascii="Times New Roman" w:hAnsi="Times New Roman"/>
                <w:i/>
              </w:rPr>
            </w:pPr>
          </w:p>
        </w:tc>
      </w:tr>
      <w:tr w:rsidR="0007122C" w:rsidRPr="0007122C" w14:paraId="4D4CC8AA" w14:textId="77777777" w:rsidTr="007B3693">
        <w:tc>
          <w:tcPr>
            <w:tcW w:w="3964" w:type="dxa"/>
          </w:tcPr>
          <w:p w14:paraId="3BB42E81" w14:textId="77777777" w:rsidR="0007122C" w:rsidRPr="0007122C" w:rsidRDefault="0007122C" w:rsidP="007B3693">
            <w:pPr>
              <w:spacing w:after="0" w:line="240" w:lineRule="auto"/>
              <w:rPr>
                <w:rFonts w:ascii="Times New Roman" w:hAnsi="Times New Roman"/>
                <w:b/>
              </w:rPr>
            </w:pPr>
            <w:r w:rsidRPr="0007122C">
              <w:rPr>
                <w:rFonts w:ascii="Times New Roman" w:hAnsi="Times New Roman"/>
                <w:b/>
              </w:rPr>
              <w:t xml:space="preserve">Pagal priemonės veiklą ar </w:t>
            </w:r>
            <w:proofErr w:type="spellStart"/>
            <w:r w:rsidRPr="0007122C">
              <w:rPr>
                <w:rFonts w:ascii="Times New Roman" w:hAnsi="Times New Roman"/>
                <w:b/>
              </w:rPr>
              <w:t>poveiklę</w:t>
            </w:r>
            <w:proofErr w:type="spellEnd"/>
            <w:r w:rsidRPr="0007122C">
              <w:rPr>
                <w:rFonts w:ascii="Times New Roman" w:hAnsi="Times New Roman"/>
                <w:b/>
              </w:rPr>
              <w:t xml:space="preserve"> numatytos remti veiklos</w:t>
            </w:r>
          </w:p>
          <w:p w14:paraId="0A68DA71" w14:textId="77777777" w:rsidR="0007122C" w:rsidRPr="0007122C" w:rsidRDefault="0007122C" w:rsidP="007B3693">
            <w:pPr>
              <w:spacing w:after="0" w:line="240" w:lineRule="auto"/>
              <w:rPr>
                <w:rFonts w:ascii="Times New Roman" w:hAnsi="Times New Roman"/>
                <w:b/>
              </w:rPr>
            </w:pPr>
          </w:p>
        </w:tc>
        <w:tc>
          <w:tcPr>
            <w:tcW w:w="5998" w:type="dxa"/>
          </w:tcPr>
          <w:p w14:paraId="15A6572F" w14:textId="0E165F8B" w:rsidR="0007122C" w:rsidRPr="0007122C" w:rsidRDefault="0007122C" w:rsidP="007B3693">
            <w:pPr>
              <w:pStyle w:val="Betarp"/>
              <w:jc w:val="both"/>
              <w:rPr>
                <w:rFonts w:ascii="Times New Roman" w:hAnsi="Times New Roman"/>
                <w:color w:val="000000"/>
                <w:lang w:val="lt-LT" w:eastAsia="lt-LT"/>
              </w:rPr>
            </w:pPr>
            <w:r w:rsidRPr="0007122C">
              <w:rPr>
                <w:rFonts w:ascii="Times New Roman" w:hAnsi="Times New Roman"/>
                <w:color w:val="000000"/>
                <w:lang w:val="lt-LT" w:eastAsia="lt-LT"/>
              </w:rPr>
              <w:t xml:space="preserve">Pagal priemonės </w:t>
            </w:r>
            <w:proofErr w:type="spellStart"/>
            <w:r>
              <w:rPr>
                <w:rFonts w:ascii="Times New Roman" w:hAnsi="Times New Roman"/>
                <w:color w:val="000000"/>
                <w:lang w:val="lt-LT" w:eastAsia="lt-LT"/>
              </w:rPr>
              <w:t>poveiklę</w:t>
            </w:r>
            <w:proofErr w:type="spellEnd"/>
            <w:r w:rsidRPr="0007122C">
              <w:rPr>
                <w:rFonts w:ascii="Times New Roman" w:hAnsi="Times New Roman"/>
                <w:color w:val="000000"/>
                <w:lang w:val="lt-LT" w:eastAsia="lt-LT"/>
              </w:rPr>
              <w:t xml:space="preserve"> remiamos veiklos:</w:t>
            </w:r>
          </w:p>
          <w:p w14:paraId="296B6757" w14:textId="64DBA71A" w:rsidR="0007122C" w:rsidRPr="0007122C" w:rsidRDefault="0007122C" w:rsidP="007B3693">
            <w:pPr>
              <w:pStyle w:val="Betarp"/>
              <w:jc w:val="both"/>
              <w:rPr>
                <w:rFonts w:ascii="Times New Roman" w:hAnsi="Times New Roman"/>
                <w:iCs/>
                <w:lang w:val="lt-LT"/>
              </w:rPr>
            </w:pPr>
            <w:r w:rsidRPr="0007122C">
              <w:rPr>
                <w:rFonts w:ascii="Times New Roman" w:hAnsi="Times New Roman"/>
                <w:iCs/>
                <w:lang w:val="lt-LT"/>
              </w:rPr>
              <w:t>-</w:t>
            </w:r>
            <w:r w:rsidRPr="0007122C">
              <w:rPr>
                <w:lang w:val="lt-LT"/>
              </w:rPr>
              <w:t xml:space="preserve"> </w:t>
            </w:r>
            <w:r>
              <w:rPr>
                <w:lang w:val="lt-LT"/>
              </w:rPr>
              <w:t>i</w:t>
            </w:r>
            <w:r w:rsidRPr="0007122C">
              <w:rPr>
                <w:rFonts w:ascii="Times New Roman" w:hAnsi="Times New Roman"/>
                <w:iCs/>
                <w:lang w:val="lt-LT"/>
              </w:rPr>
              <w:t>nformacinė kampanija apie vaikų ir suaugusiųjų profilaktinį skiepijimą;</w:t>
            </w:r>
          </w:p>
          <w:p w14:paraId="1868301A" w14:textId="47EEF78E" w:rsidR="0007122C" w:rsidRPr="0007122C" w:rsidRDefault="0007122C" w:rsidP="007B3693">
            <w:pPr>
              <w:pStyle w:val="Betarp"/>
              <w:jc w:val="both"/>
              <w:rPr>
                <w:rFonts w:ascii="Times New Roman" w:hAnsi="Times New Roman"/>
                <w:iCs/>
                <w:lang w:val="lt-LT"/>
              </w:rPr>
            </w:pPr>
            <w:r w:rsidRPr="0007122C">
              <w:rPr>
                <w:rFonts w:ascii="Times New Roman" w:hAnsi="Times New Roman"/>
                <w:iCs/>
                <w:lang w:val="lt-LT"/>
              </w:rPr>
              <w:t xml:space="preserve">- </w:t>
            </w:r>
            <w:r w:rsidRPr="0007122C">
              <w:rPr>
                <w:lang w:val="lt-LT"/>
              </w:rPr>
              <w:t xml:space="preserve"> </w:t>
            </w:r>
            <w:r>
              <w:rPr>
                <w:rFonts w:ascii="Times New Roman" w:hAnsi="Times New Roman"/>
                <w:lang w:val="lt-LT"/>
              </w:rPr>
              <w:t>i</w:t>
            </w:r>
            <w:r w:rsidRPr="0007122C">
              <w:rPr>
                <w:rFonts w:ascii="Times New Roman" w:hAnsi="Times New Roman"/>
                <w:iCs/>
                <w:lang w:val="lt-LT"/>
              </w:rPr>
              <w:t>nformacinė kampanija apie sveiką mitybą ir burnos higieną;</w:t>
            </w:r>
          </w:p>
          <w:p w14:paraId="700A1176" w14:textId="359BCF9D" w:rsidR="0007122C" w:rsidRPr="0007122C" w:rsidRDefault="0007122C" w:rsidP="007B3693">
            <w:pPr>
              <w:pStyle w:val="Betarp"/>
              <w:jc w:val="both"/>
              <w:rPr>
                <w:rFonts w:ascii="Times New Roman" w:hAnsi="Times New Roman"/>
                <w:iCs/>
                <w:lang w:val="lt-LT"/>
              </w:rPr>
            </w:pPr>
            <w:r w:rsidRPr="0007122C">
              <w:rPr>
                <w:rFonts w:ascii="Times New Roman" w:hAnsi="Times New Roman"/>
                <w:iCs/>
                <w:lang w:val="lt-LT"/>
              </w:rPr>
              <w:t xml:space="preserve">- </w:t>
            </w:r>
            <w:r w:rsidRPr="0007122C">
              <w:rPr>
                <w:rFonts w:ascii="Times New Roman" w:hAnsi="Times New Roman"/>
                <w:lang w:val="lt-LT"/>
              </w:rPr>
              <w:t>tikslinių grupių sveikatos raštingumo didinimo mokymai</w:t>
            </w:r>
            <w:r>
              <w:rPr>
                <w:rFonts w:ascii="Times New Roman" w:hAnsi="Times New Roman"/>
                <w:lang w:val="lt-LT"/>
              </w:rPr>
              <w:t>.</w:t>
            </w:r>
          </w:p>
        </w:tc>
      </w:tr>
      <w:tr w:rsidR="0007122C" w:rsidRPr="0007122C" w14:paraId="493C736F" w14:textId="77777777" w:rsidTr="007B3693">
        <w:trPr>
          <w:trHeight w:val="60"/>
        </w:trPr>
        <w:tc>
          <w:tcPr>
            <w:tcW w:w="3964" w:type="dxa"/>
          </w:tcPr>
          <w:p w14:paraId="15BAF1B6" w14:textId="77777777" w:rsidR="0007122C" w:rsidRPr="0007122C" w:rsidRDefault="0007122C" w:rsidP="007B3693">
            <w:pPr>
              <w:spacing w:after="0" w:line="240" w:lineRule="auto"/>
              <w:rPr>
                <w:rFonts w:ascii="Times New Roman" w:hAnsi="Times New Roman"/>
                <w:b/>
              </w:rPr>
            </w:pPr>
            <w:r w:rsidRPr="0007122C">
              <w:rPr>
                <w:rFonts w:ascii="Times New Roman" w:hAnsi="Times New Roman"/>
                <w:b/>
              </w:rPr>
              <w:t xml:space="preserve">Galimi pareiškėjai/partneriai pagal priemonę ar </w:t>
            </w:r>
            <w:proofErr w:type="spellStart"/>
            <w:r w:rsidRPr="0007122C">
              <w:rPr>
                <w:rFonts w:ascii="Times New Roman" w:hAnsi="Times New Roman"/>
                <w:b/>
              </w:rPr>
              <w:t>poveiklę</w:t>
            </w:r>
            <w:proofErr w:type="spellEnd"/>
          </w:p>
        </w:tc>
        <w:tc>
          <w:tcPr>
            <w:tcW w:w="5998" w:type="dxa"/>
          </w:tcPr>
          <w:p w14:paraId="3FD77F53" w14:textId="77777777" w:rsidR="0007122C" w:rsidRPr="0007122C" w:rsidRDefault="0007122C" w:rsidP="007B3693">
            <w:pPr>
              <w:tabs>
                <w:tab w:val="left" w:pos="439"/>
              </w:tabs>
              <w:spacing w:after="0" w:line="240" w:lineRule="auto"/>
              <w:jc w:val="both"/>
              <w:rPr>
                <w:rFonts w:ascii="Times New Roman" w:hAnsi="Times New Roman"/>
                <w:iCs/>
              </w:rPr>
            </w:pPr>
            <w:r w:rsidRPr="0007122C">
              <w:rPr>
                <w:rFonts w:ascii="Times New Roman" w:hAnsi="Times New Roman"/>
                <w:iCs/>
              </w:rPr>
              <w:t xml:space="preserve">Pareiškėjas – </w:t>
            </w:r>
            <w:r w:rsidRPr="0007122C">
              <w:rPr>
                <w:rFonts w:ascii="Times New Roman" w:hAnsi="Times New Roman"/>
              </w:rPr>
              <w:t xml:space="preserve"> Nacionalinis visuomenės sveikatos centras prie Sveikatos apsaugos ministerijos (NVSC)</w:t>
            </w:r>
          </w:p>
        </w:tc>
      </w:tr>
    </w:tbl>
    <w:bookmarkEnd w:id="0"/>
    <w:p w14:paraId="2F2552D3" w14:textId="77777777" w:rsidR="0007122C" w:rsidRPr="0007122C" w:rsidRDefault="0007122C" w:rsidP="0007122C">
      <w:pPr>
        <w:spacing w:after="0" w:line="240" w:lineRule="auto"/>
        <w:jc w:val="right"/>
        <w:rPr>
          <w:rFonts w:ascii="Times New Roman" w:hAnsi="Times New Roman"/>
        </w:rPr>
      </w:pPr>
      <w:r w:rsidRPr="0007122C">
        <w:rPr>
          <w:rFonts w:ascii="Times New Roman" w:hAnsi="Times New Roman"/>
        </w:rPr>
        <w:t>(Pildoma projekto vertinimui)</w:t>
      </w:r>
    </w:p>
    <w:p w14:paraId="45E738E7" w14:textId="77777777" w:rsidR="0007122C" w:rsidRPr="0007122C" w:rsidRDefault="0007122C" w:rsidP="0007122C">
      <w:pPr>
        <w:spacing w:after="0" w:line="240" w:lineRule="auto"/>
        <w:jc w:val="right"/>
        <w:rPr>
          <w:rFonts w:ascii="Times New Roman" w:hAnsi="Times New Roman"/>
        </w:rPr>
      </w:pP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4956"/>
      </w:tblGrid>
      <w:tr w:rsidR="0007122C" w:rsidRPr="0007122C" w14:paraId="6F55DE1B" w14:textId="77777777" w:rsidTr="007B3693">
        <w:tc>
          <w:tcPr>
            <w:tcW w:w="5094" w:type="dxa"/>
          </w:tcPr>
          <w:p w14:paraId="527EBE00" w14:textId="77777777" w:rsidR="0007122C" w:rsidRPr="0007122C" w:rsidRDefault="0007122C" w:rsidP="007B3693">
            <w:pPr>
              <w:spacing w:after="0" w:line="240" w:lineRule="auto"/>
              <w:rPr>
                <w:rFonts w:ascii="Times New Roman" w:hAnsi="Times New Roman"/>
                <w:b/>
              </w:rPr>
            </w:pPr>
            <w:r w:rsidRPr="0007122C">
              <w:rPr>
                <w:rFonts w:ascii="Times New Roman" w:hAnsi="Times New Roman"/>
                <w:b/>
              </w:rPr>
              <w:t>Projekto numeris</w:t>
            </w:r>
          </w:p>
        </w:tc>
        <w:tc>
          <w:tcPr>
            <w:tcW w:w="5094" w:type="dxa"/>
          </w:tcPr>
          <w:p w14:paraId="634BD5CC" w14:textId="77777777" w:rsidR="0007122C" w:rsidRPr="0007122C" w:rsidRDefault="0007122C" w:rsidP="007B3693">
            <w:pPr>
              <w:spacing w:after="0" w:line="240" w:lineRule="auto"/>
              <w:rPr>
                <w:rFonts w:ascii="Times New Roman" w:hAnsi="Times New Roman"/>
              </w:rPr>
            </w:pPr>
            <w:r w:rsidRPr="0007122C">
              <w:rPr>
                <w:rFonts w:ascii="Times New Roman" w:hAnsi="Times New Roman"/>
              </w:rPr>
              <w:t>-</w:t>
            </w:r>
          </w:p>
        </w:tc>
      </w:tr>
      <w:tr w:rsidR="0007122C" w:rsidRPr="0007122C" w14:paraId="4E87B2A6" w14:textId="77777777" w:rsidTr="007B3693">
        <w:tc>
          <w:tcPr>
            <w:tcW w:w="5094" w:type="dxa"/>
          </w:tcPr>
          <w:p w14:paraId="4C369A55" w14:textId="77777777" w:rsidR="0007122C" w:rsidRPr="0007122C" w:rsidRDefault="0007122C" w:rsidP="007B3693">
            <w:pPr>
              <w:spacing w:after="0" w:line="240" w:lineRule="auto"/>
              <w:rPr>
                <w:rFonts w:ascii="Times New Roman" w:hAnsi="Times New Roman"/>
                <w:b/>
              </w:rPr>
            </w:pPr>
            <w:r w:rsidRPr="0007122C">
              <w:rPr>
                <w:rFonts w:ascii="Times New Roman" w:hAnsi="Times New Roman"/>
                <w:b/>
              </w:rPr>
              <w:t>Projekto pavadinimas</w:t>
            </w:r>
          </w:p>
        </w:tc>
        <w:tc>
          <w:tcPr>
            <w:tcW w:w="5094" w:type="dxa"/>
          </w:tcPr>
          <w:p w14:paraId="65CB97B4" w14:textId="77777777" w:rsidR="0007122C" w:rsidRPr="0007122C" w:rsidRDefault="0007122C" w:rsidP="007B3693">
            <w:pPr>
              <w:tabs>
                <w:tab w:val="left" w:pos="297"/>
              </w:tabs>
              <w:spacing w:after="0" w:line="240" w:lineRule="auto"/>
              <w:jc w:val="both"/>
              <w:rPr>
                <w:rFonts w:ascii="Times New Roman" w:eastAsia="Times New Roman" w:hAnsi="Times New Roman"/>
                <w:lang w:eastAsia="lt-LT"/>
              </w:rPr>
            </w:pPr>
          </w:p>
        </w:tc>
      </w:tr>
      <w:tr w:rsidR="0007122C" w:rsidRPr="0007122C" w14:paraId="002936B8" w14:textId="77777777" w:rsidTr="007B3693">
        <w:tc>
          <w:tcPr>
            <w:tcW w:w="5094" w:type="dxa"/>
          </w:tcPr>
          <w:p w14:paraId="46DD777A" w14:textId="77777777" w:rsidR="0007122C" w:rsidRPr="0007122C" w:rsidRDefault="0007122C" w:rsidP="007B3693">
            <w:pPr>
              <w:spacing w:after="0" w:line="240" w:lineRule="auto"/>
              <w:rPr>
                <w:rFonts w:ascii="Times New Roman" w:hAnsi="Times New Roman"/>
                <w:b/>
              </w:rPr>
            </w:pPr>
            <w:r w:rsidRPr="0007122C">
              <w:rPr>
                <w:rFonts w:ascii="Times New Roman" w:hAnsi="Times New Roman"/>
                <w:b/>
              </w:rPr>
              <w:t>Projekto vykdytojo/galutinio naudos gavėjo pavadinimas</w:t>
            </w:r>
          </w:p>
        </w:tc>
        <w:tc>
          <w:tcPr>
            <w:tcW w:w="5094" w:type="dxa"/>
          </w:tcPr>
          <w:p w14:paraId="393D4FBF" w14:textId="77777777" w:rsidR="0007122C" w:rsidRPr="0007122C" w:rsidRDefault="0007122C" w:rsidP="007B3693">
            <w:pPr>
              <w:tabs>
                <w:tab w:val="left" w:pos="287"/>
              </w:tabs>
              <w:spacing w:after="0" w:line="240" w:lineRule="auto"/>
              <w:jc w:val="both"/>
              <w:rPr>
                <w:rFonts w:ascii="Times New Roman" w:hAnsi="Times New Roman"/>
              </w:rPr>
            </w:pPr>
          </w:p>
        </w:tc>
      </w:tr>
      <w:tr w:rsidR="0007122C" w:rsidRPr="0007122C" w14:paraId="7B125381" w14:textId="77777777" w:rsidTr="007B3693">
        <w:tc>
          <w:tcPr>
            <w:tcW w:w="5094" w:type="dxa"/>
          </w:tcPr>
          <w:p w14:paraId="4824ECA3" w14:textId="77777777" w:rsidR="0007122C" w:rsidRPr="0007122C" w:rsidRDefault="0007122C" w:rsidP="007B3693">
            <w:pPr>
              <w:spacing w:after="0" w:line="240" w:lineRule="auto"/>
              <w:rPr>
                <w:rFonts w:ascii="Times New Roman" w:hAnsi="Times New Roman"/>
                <w:b/>
              </w:rPr>
            </w:pPr>
            <w:r w:rsidRPr="0007122C">
              <w:rPr>
                <w:rFonts w:ascii="Times New Roman" w:hAnsi="Times New Roman"/>
                <w:b/>
              </w:rPr>
              <w:t>Projekto partnerio (-</w:t>
            </w:r>
            <w:proofErr w:type="spellStart"/>
            <w:r w:rsidRPr="0007122C">
              <w:rPr>
                <w:rFonts w:ascii="Times New Roman" w:hAnsi="Times New Roman"/>
                <w:b/>
              </w:rPr>
              <w:t>ių</w:t>
            </w:r>
            <w:proofErr w:type="spellEnd"/>
            <w:r w:rsidRPr="0007122C">
              <w:rPr>
                <w:rFonts w:ascii="Times New Roman" w:hAnsi="Times New Roman"/>
                <w:b/>
              </w:rPr>
              <w:t>) pavadinimas</w:t>
            </w:r>
          </w:p>
        </w:tc>
        <w:tc>
          <w:tcPr>
            <w:tcW w:w="5094" w:type="dxa"/>
          </w:tcPr>
          <w:p w14:paraId="4B97011B" w14:textId="77777777" w:rsidR="0007122C" w:rsidRPr="0007122C" w:rsidRDefault="0007122C" w:rsidP="007B3693">
            <w:pPr>
              <w:spacing w:after="0" w:line="240" w:lineRule="auto"/>
              <w:rPr>
                <w:rFonts w:ascii="Times New Roman" w:hAnsi="Times New Roman"/>
              </w:rPr>
            </w:pPr>
          </w:p>
        </w:tc>
      </w:tr>
    </w:tbl>
    <w:p w14:paraId="091A6EE2" w14:textId="77777777" w:rsidR="0007122C" w:rsidRPr="0007122C" w:rsidRDefault="0007122C" w:rsidP="0007122C">
      <w:pPr>
        <w:rPr>
          <w:rFonts w:ascii="Times New Roman" w:hAnsi="Times New Roman"/>
        </w:rPr>
      </w:pP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487"/>
        <w:gridCol w:w="1233"/>
        <w:gridCol w:w="1218"/>
        <w:gridCol w:w="2178"/>
      </w:tblGrid>
      <w:tr w:rsidR="0007122C" w:rsidRPr="0007122C" w14:paraId="1E819656" w14:textId="77777777" w:rsidTr="007B3693">
        <w:tc>
          <w:tcPr>
            <w:tcW w:w="5000" w:type="pct"/>
            <w:gridSpan w:val="5"/>
            <w:shd w:val="pct20" w:color="auto" w:fill="auto"/>
          </w:tcPr>
          <w:p w14:paraId="561C80AF" w14:textId="77777777" w:rsidR="0007122C" w:rsidRPr="0007122C" w:rsidRDefault="0007122C" w:rsidP="007B3693">
            <w:pPr>
              <w:pStyle w:val="Sraopastraipa"/>
              <w:numPr>
                <w:ilvl w:val="0"/>
                <w:numId w:val="2"/>
              </w:numPr>
              <w:spacing w:after="0" w:line="240" w:lineRule="auto"/>
              <w:ind w:left="567"/>
              <w:rPr>
                <w:rFonts w:ascii="Times New Roman" w:hAnsi="Times New Roman"/>
                <w:b/>
              </w:rPr>
            </w:pPr>
            <w:r w:rsidRPr="0007122C">
              <w:rPr>
                <w:rFonts w:ascii="Times New Roman" w:hAnsi="Times New Roman"/>
                <w:b/>
              </w:rPr>
              <w:t xml:space="preserve">Valstybės pagalbos požymių identifikavimas pagal priemonės veiklą ar </w:t>
            </w:r>
            <w:proofErr w:type="spellStart"/>
            <w:r w:rsidRPr="0007122C">
              <w:rPr>
                <w:rFonts w:ascii="Times New Roman" w:hAnsi="Times New Roman"/>
                <w:b/>
              </w:rPr>
              <w:t>poveiklę</w:t>
            </w:r>
            <w:proofErr w:type="spellEnd"/>
            <w:r w:rsidRPr="0007122C">
              <w:rPr>
                <w:rFonts w:ascii="Times New Roman" w:hAnsi="Times New Roman"/>
                <w:b/>
              </w:rPr>
              <w:t xml:space="preserve"> / projektą remtinose veiklose</w:t>
            </w:r>
            <w:r w:rsidRPr="0007122C">
              <w:rPr>
                <w:rStyle w:val="Puslapioinaosnuoroda"/>
                <w:rFonts w:ascii="Times New Roman" w:hAnsi="Times New Roman"/>
                <w:b/>
              </w:rPr>
              <w:footnoteReference w:id="1"/>
            </w:r>
          </w:p>
        </w:tc>
      </w:tr>
      <w:tr w:rsidR="0007122C" w:rsidRPr="0007122C" w14:paraId="75725319" w14:textId="77777777" w:rsidTr="007B3693">
        <w:tc>
          <w:tcPr>
            <w:tcW w:w="321" w:type="pct"/>
          </w:tcPr>
          <w:p w14:paraId="6C713622" w14:textId="77777777" w:rsidR="0007122C" w:rsidRPr="0007122C" w:rsidRDefault="0007122C" w:rsidP="007B3693">
            <w:pPr>
              <w:pStyle w:val="Sraopastraipa"/>
              <w:numPr>
                <w:ilvl w:val="0"/>
                <w:numId w:val="1"/>
              </w:numPr>
              <w:spacing w:before="120" w:after="120" w:line="240" w:lineRule="auto"/>
              <w:rPr>
                <w:rFonts w:ascii="Times New Roman" w:hAnsi="Times New Roman"/>
                <w:b/>
              </w:rPr>
            </w:pPr>
          </w:p>
        </w:tc>
        <w:tc>
          <w:tcPr>
            <w:tcW w:w="2303" w:type="pct"/>
          </w:tcPr>
          <w:p w14:paraId="4E36AED6" w14:textId="77777777" w:rsidR="0007122C" w:rsidRPr="0007122C" w:rsidRDefault="0007122C" w:rsidP="007B3693">
            <w:pPr>
              <w:spacing w:before="120" w:after="120" w:line="240" w:lineRule="auto"/>
              <w:jc w:val="both"/>
              <w:rPr>
                <w:rFonts w:ascii="Times New Roman" w:hAnsi="Times New Roman"/>
                <w:b/>
              </w:rPr>
            </w:pPr>
            <w:r w:rsidRPr="0007122C">
              <w:rPr>
                <w:rFonts w:ascii="Times New Roman" w:hAnsi="Times New Roman"/>
                <w:b/>
              </w:rPr>
              <w:t>Ar finansavimą tiesiogiai ar netiesiogiai numatoma teikti ūkio subjektams (-ui) ūkinei veiklai vykdyti?</w:t>
            </w:r>
          </w:p>
          <w:p w14:paraId="22DE2495" w14:textId="77777777" w:rsidR="0007122C" w:rsidRPr="0007122C" w:rsidRDefault="0007122C" w:rsidP="007B3693">
            <w:pPr>
              <w:spacing w:before="120" w:after="120" w:line="240" w:lineRule="auto"/>
              <w:rPr>
                <w:rFonts w:ascii="Times New Roman" w:hAnsi="Times New Roman"/>
              </w:rPr>
            </w:pPr>
          </w:p>
        </w:tc>
        <w:tc>
          <w:tcPr>
            <w:tcW w:w="633" w:type="pct"/>
          </w:tcPr>
          <w:p w14:paraId="3F2E1DA1" w14:textId="77777777" w:rsidR="0007122C" w:rsidRPr="0007122C" w:rsidRDefault="0007122C" w:rsidP="007B3693">
            <w:pPr>
              <w:spacing w:before="120" w:after="120" w:line="240" w:lineRule="auto"/>
              <w:rPr>
                <w:rFonts w:ascii="Times New Roman" w:hAnsi="Times New Roman"/>
              </w:rPr>
            </w:pPr>
            <w:r w:rsidRPr="0007122C">
              <w:rPr>
                <w:rFonts w:ascii="Times New Roman" w:hAnsi="Times New Roman"/>
              </w:rPr>
              <w:fldChar w:fldCharType="begin">
                <w:ffData>
                  <w:name w:val="Check1"/>
                  <w:enabled/>
                  <w:calcOnExit w:val="0"/>
                  <w:checkBox>
                    <w:sizeAuto/>
                    <w:default w:val="0"/>
                  </w:checkBox>
                </w:ffData>
              </w:fldChar>
            </w:r>
            <w:bookmarkStart w:id="1" w:name="Check1"/>
            <w:r w:rsidRPr="0007122C">
              <w:rPr>
                <w:rFonts w:ascii="Times New Roman" w:hAnsi="Times New Roman"/>
              </w:rPr>
              <w:instrText xml:space="preserve"> FORMCHECKBOX </w:instrText>
            </w:r>
            <w:r w:rsidRPr="0007122C">
              <w:rPr>
                <w:rFonts w:ascii="Times New Roman" w:hAnsi="Times New Roman"/>
              </w:rPr>
            </w:r>
            <w:r w:rsidRPr="0007122C">
              <w:rPr>
                <w:rFonts w:ascii="Times New Roman" w:hAnsi="Times New Roman"/>
              </w:rPr>
              <w:fldChar w:fldCharType="separate"/>
            </w:r>
            <w:r w:rsidRPr="0007122C">
              <w:rPr>
                <w:rFonts w:ascii="Times New Roman" w:hAnsi="Times New Roman"/>
              </w:rPr>
              <w:fldChar w:fldCharType="end"/>
            </w:r>
            <w:bookmarkEnd w:id="1"/>
            <w:r w:rsidRPr="0007122C">
              <w:rPr>
                <w:rFonts w:ascii="Times New Roman" w:hAnsi="Times New Roman"/>
              </w:rPr>
              <w:t>Taip</w:t>
            </w:r>
          </w:p>
        </w:tc>
        <w:tc>
          <w:tcPr>
            <w:tcW w:w="1744" w:type="pct"/>
            <w:gridSpan w:val="2"/>
          </w:tcPr>
          <w:p w14:paraId="6733777D" w14:textId="77777777" w:rsidR="0007122C" w:rsidRPr="0007122C" w:rsidRDefault="0007122C" w:rsidP="007B3693">
            <w:pPr>
              <w:spacing w:before="120" w:after="120" w:line="240" w:lineRule="auto"/>
              <w:rPr>
                <w:rFonts w:ascii="Times New Roman" w:hAnsi="Times New Roman"/>
              </w:rPr>
            </w:pPr>
            <w:r w:rsidRPr="0007122C">
              <w:rPr>
                <w:rFonts w:ascii="Times New Roman" w:hAnsi="Times New Roman"/>
              </w:rPr>
              <w:fldChar w:fldCharType="begin">
                <w:ffData>
                  <w:name w:val=""/>
                  <w:enabled/>
                  <w:calcOnExit w:val="0"/>
                  <w:checkBox>
                    <w:sizeAuto/>
                    <w:default w:val="1"/>
                  </w:checkBox>
                </w:ffData>
              </w:fldChar>
            </w:r>
            <w:r w:rsidRPr="0007122C">
              <w:rPr>
                <w:rFonts w:ascii="Times New Roman" w:hAnsi="Times New Roman"/>
              </w:rPr>
              <w:instrText xml:space="preserve"> FORMCHECKBOX </w:instrText>
            </w:r>
            <w:r w:rsidRPr="0007122C">
              <w:rPr>
                <w:rFonts w:ascii="Times New Roman" w:hAnsi="Times New Roman"/>
              </w:rPr>
            </w:r>
            <w:r w:rsidRPr="0007122C">
              <w:rPr>
                <w:rFonts w:ascii="Times New Roman" w:hAnsi="Times New Roman"/>
              </w:rPr>
              <w:fldChar w:fldCharType="separate"/>
            </w:r>
            <w:r w:rsidRPr="0007122C">
              <w:rPr>
                <w:rFonts w:ascii="Times New Roman" w:hAnsi="Times New Roman"/>
              </w:rPr>
              <w:fldChar w:fldCharType="end"/>
            </w:r>
            <w:r w:rsidRPr="0007122C">
              <w:rPr>
                <w:rFonts w:ascii="Times New Roman" w:hAnsi="Times New Roman"/>
              </w:rPr>
              <w:t>Ne</w:t>
            </w:r>
          </w:p>
          <w:p w14:paraId="3C7BD39F" w14:textId="77777777" w:rsidR="0007122C" w:rsidRPr="0007122C" w:rsidRDefault="0007122C" w:rsidP="007B3693">
            <w:pPr>
              <w:spacing w:before="120" w:after="120" w:line="240" w:lineRule="auto"/>
              <w:rPr>
                <w:rFonts w:ascii="Times New Roman" w:hAnsi="Times New Roman"/>
              </w:rPr>
            </w:pPr>
            <w:r w:rsidRPr="0007122C">
              <w:rPr>
                <w:rFonts w:ascii="Times New Roman" w:hAnsi="Times New Roman"/>
                <w:i/>
              </w:rPr>
              <w:t>(Patikros lapą pildant projektui,   neigiamai atsakius, kiti patikros lapo klausimų atsakymai žymimi „nevertinama“)</w:t>
            </w:r>
          </w:p>
        </w:tc>
      </w:tr>
      <w:tr w:rsidR="0007122C" w:rsidRPr="0007122C" w14:paraId="03DEC446" w14:textId="77777777" w:rsidTr="007B3693">
        <w:tc>
          <w:tcPr>
            <w:tcW w:w="5000" w:type="pct"/>
            <w:gridSpan w:val="5"/>
          </w:tcPr>
          <w:p w14:paraId="3DEAEC34" w14:textId="77777777" w:rsidR="0007122C" w:rsidRPr="0007122C" w:rsidRDefault="0007122C" w:rsidP="007B3693">
            <w:pPr>
              <w:spacing w:after="0" w:line="240" w:lineRule="auto"/>
              <w:jc w:val="both"/>
              <w:rPr>
                <w:rFonts w:ascii="Times New Roman" w:hAnsi="Times New Roman"/>
              </w:rPr>
            </w:pPr>
            <w:r w:rsidRPr="0007122C">
              <w:rPr>
                <w:rFonts w:ascii="Times New Roman" w:hAnsi="Times New Roman"/>
                <w:b/>
              </w:rPr>
              <w:t>Ūkio subjektai</w:t>
            </w:r>
            <w:r w:rsidRPr="0007122C">
              <w:rPr>
                <w:rFonts w:ascii="Times New Roman" w:hAnsi="Times New Roman"/>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7874661F" w14:textId="51A720AA" w:rsidR="0007122C" w:rsidRPr="0007122C" w:rsidRDefault="0007122C" w:rsidP="007B3693">
            <w:pPr>
              <w:spacing w:after="0" w:line="240" w:lineRule="auto"/>
              <w:jc w:val="both"/>
              <w:rPr>
                <w:rFonts w:ascii="Times New Roman" w:hAnsi="Times New Roman"/>
              </w:rPr>
            </w:pPr>
            <w:r w:rsidRPr="0007122C">
              <w:rPr>
                <w:rFonts w:ascii="Times New Roman" w:hAnsi="Times New Roman"/>
              </w:rPr>
              <w:t>Vertinant ar subjektas yra priskiriamas ūkio subjektui jo statusas neturi lemiamos reikšmės, taip pat ir ar subjektas yra įsteigtas pelnui siekti, esminis kriterijus ar vykdoma</w:t>
            </w:r>
            <w:r w:rsidR="00B7124C">
              <w:rPr>
                <w:rFonts w:ascii="Times New Roman" w:hAnsi="Times New Roman"/>
              </w:rPr>
              <w:t xml:space="preserve"> </w:t>
            </w:r>
            <w:r w:rsidRPr="0007122C">
              <w:rPr>
                <w:rFonts w:ascii="Times New Roman" w:hAnsi="Times New Roman"/>
              </w:rPr>
              <w:t>/</w:t>
            </w:r>
            <w:r w:rsidR="00B7124C">
              <w:rPr>
                <w:rFonts w:ascii="Times New Roman" w:hAnsi="Times New Roman"/>
              </w:rPr>
              <w:t xml:space="preserve"> </w:t>
            </w:r>
            <w:r w:rsidRPr="0007122C">
              <w:rPr>
                <w:rFonts w:ascii="Times New Roman" w:hAnsi="Times New Roman"/>
              </w:rPr>
              <w:t>numatoma vykdyti veikla yra priskiriama ūkinei veiklai. Subjektas, vykdantis tiek ekonominę, tiek neekonominę veiklą, turi būti laikomas ūkio subjektu tik ekonominės veiklos atžvilgiu.</w:t>
            </w:r>
          </w:p>
          <w:p w14:paraId="247EAE4C" w14:textId="77777777" w:rsidR="0007122C" w:rsidRPr="0007122C" w:rsidRDefault="0007122C" w:rsidP="007B3693">
            <w:pPr>
              <w:spacing w:after="0" w:line="240" w:lineRule="auto"/>
              <w:jc w:val="both"/>
              <w:rPr>
                <w:rFonts w:ascii="Times New Roman" w:hAnsi="Times New Roman"/>
                <w:b/>
              </w:rPr>
            </w:pPr>
          </w:p>
          <w:p w14:paraId="2AF156FA" w14:textId="77777777" w:rsidR="0007122C" w:rsidRPr="0007122C" w:rsidRDefault="0007122C" w:rsidP="007B3693">
            <w:pPr>
              <w:spacing w:after="0" w:line="240" w:lineRule="auto"/>
              <w:jc w:val="both"/>
              <w:rPr>
                <w:rFonts w:ascii="Times New Roman" w:hAnsi="Times New Roman"/>
              </w:rPr>
            </w:pPr>
            <w:r w:rsidRPr="0007122C">
              <w:rPr>
                <w:rFonts w:ascii="Times New Roman" w:hAnsi="Times New Roman"/>
                <w:b/>
              </w:rPr>
              <w:t>Ūkinė veikla</w:t>
            </w:r>
            <w:r w:rsidRPr="0007122C">
              <w:rPr>
                <w:rFonts w:ascii="Times New Roman" w:hAnsi="Times New Roman"/>
              </w:rPr>
              <w:t xml:space="preserve"> – visokia gamybinė, komercinė, finansinė ar profesinė veikla, susijusi su prekių (paslaugų) pirkimu ar pardavimu, išskyrus, kai fiziniai asmenys prekę (paslaugą) įsigyja asmeniniams ir namų ūkio poreikiams tenkinti.</w:t>
            </w:r>
          </w:p>
          <w:p w14:paraId="07A28599" w14:textId="77777777" w:rsidR="0007122C" w:rsidRPr="0007122C" w:rsidRDefault="0007122C" w:rsidP="007B3693">
            <w:pPr>
              <w:spacing w:after="0" w:line="240" w:lineRule="auto"/>
              <w:jc w:val="both"/>
              <w:rPr>
                <w:rFonts w:ascii="Times New Roman" w:hAnsi="Times New Roman"/>
              </w:rPr>
            </w:pPr>
          </w:p>
          <w:p w14:paraId="00EBEAB8" w14:textId="14227607" w:rsidR="0007122C" w:rsidRPr="0007122C" w:rsidRDefault="0007122C" w:rsidP="007B3693">
            <w:pPr>
              <w:spacing w:after="0" w:line="240" w:lineRule="auto"/>
              <w:jc w:val="both"/>
              <w:rPr>
                <w:rFonts w:ascii="Times New Roman" w:hAnsi="Times New Roman"/>
              </w:rPr>
            </w:pPr>
            <w:r w:rsidRPr="0007122C">
              <w:rPr>
                <w:rFonts w:ascii="Times New Roman" w:hAnsi="Times New Roman"/>
              </w:rPr>
              <w:t>Teikiant finansavimą infrastruktūros objektams</w:t>
            </w:r>
            <w:r w:rsidR="00337DBD">
              <w:rPr>
                <w:rFonts w:ascii="Times New Roman" w:hAnsi="Times New Roman"/>
              </w:rPr>
              <w:t xml:space="preserve"> </w:t>
            </w:r>
            <w:r w:rsidRPr="0007122C">
              <w:rPr>
                <w:rFonts w:ascii="Times New Roman" w:hAnsi="Times New Roman"/>
              </w:rPr>
              <w:t>/</w:t>
            </w:r>
            <w:r w:rsidR="00337DBD">
              <w:rPr>
                <w:rFonts w:ascii="Times New Roman" w:hAnsi="Times New Roman"/>
              </w:rPr>
              <w:t xml:space="preserve"> </w:t>
            </w:r>
            <w:r w:rsidRPr="0007122C">
              <w:rPr>
                <w:rFonts w:ascii="Times New Roman" w:hAnsi="Times New Roman"/>
              </w:rPr>
              <w:t>įrangai (ilgalaikiam turtui) įsigyti, ūkinė veikla turi būti vertinama 3 lygmenimis:</w:t>
            </w:r>
          </w:p>
          <w:p w14:paraId="759847CB" w14:textId="71027C94" w:rsidR="0007122C" w:rsidRPr="0007122C" w:rsidRDefault="00113CDA" w:rsidP="007B3693">
            <w:pPr>
              <w:numPr>
                <w:ilvl w:val="0"/>
                <w:numId w:val="4"/>
              </w:numPr>
              <w:spacing w:after="0" w:line="240" w:lineRule="auto"/>
              <w:jc w:val="both"/>
              <w:rPr>
                <w:rFonts w:ascii="Times New Roman" w:hAnsi="Times New Roman"/>
              </w:rPr>
            </w:pPr>
            <w:r>
              <w:rPr>
                <w:rFonts w:ascii="Times New Roman" w:hAnsi="Times New Roman"/>
              </w:rPr>
              <w:t>s</w:t>
            </w:r>
            <w:r w:rsidR="0007122C" w:rsidRPr="0007122C">
              <w:rPr>
                <w:rFonts w:ascii="Times New Roman" w:hAnsi="Times New Roman"/>
              </w:rPr>
              <w:t>tatytojo/savininko</w:t>
            </w:r>
          </w:p>
          <w:p w14:paraId="6E07245D" w14:textId="0772382C" w:rsidR="0007122C" w:rsidRPr="0007122C" w:rsidRDefault="00113CDA" w:rsidP="007B3693">
            <w:pPr>
              <w:numPr>
                <w:ilvl w:val="0"/>
                <w:numId w:val="4"/>
              </w:numPr>
              <w:spacing w:after="0" w:line="240" w:lineRule="auto"/>
              <w:jc w:val="both"/>
              <w:rPr>
                <w:rFonts w:ascii="Times New Roman" w:hAnsi="Times New Roman"/>
              </w:rPr>
            </w:pPr>
            <w:r>
              <w:rPr>
                <w:rFonts w:ascii="Times New Roman" w:hAnsi="Times New Roman"/>
              </w:rPr>
              <w:t>v</w:t>
            </w:r>
            <w:r w:rsidR="0007122C" w:rsidRPr="0007122C">
              <w:rPr>
                <w:rFonts w:ascii="Times New Roman" w:hAnsi="Times New Roman"/>
              </w:rPr>
              <w:t>aldytojo</w:t>
            </w:r>
          </w:p>
          <w:p w14:paraId="230B05A3" w14:textId="43E1B3F2" w:rsidR="0007122C" w:rsidRPr="0007122C" w:rsidRDefault="00113CDA" w:rsidP="007B3693">
            <w:pPr>
              <w:numPr>
                <w:ilvl w:val="0"/>
                <w:numId w:val="4"/>
              </w:numPr>
              <w:spacing w:after="0" w:line="240" w:lineRule="auto"/>
              <w:jc w:val="both"/>
              <w:rPr>
                <w:rFonts w:ascii="Times New Roman" w:hAnsi="Times New Roman"/>
              </w:rPr>
            </w:pPr>
            <w:r>
              <w:rPr>
                <w:rFonts w:ascii="Times New Roman" w:hAnsi="Times New Roman"/>
              </w:rPr>
              <w:t>g</w:t>
            </w:r>
            <w:r w:rsidR="0007122C" w:rsidRPr="0007122C">
              <w:rPr>
                <w:rFonts w:ascii="Times New Roman" w:hAnsi="Times New Roman"/>
              </w:rPr>
              <w:t>alutinio naudotojo (galutinio naudos gavėjo – GNG)</w:t>
            </w:r>
            <w:r>
              <w:rPr>
                <w:rFonts w:ascii="Times New Roman" w:hAnsi="Times New Roman"/>
              </w:rPr>
              <w:t>.</w:t>
            </w:r>
          </w:p>
          <w:p w14:paraId="78E40FCF" w14:textId="77777777" w:rsidR="0007122C" w:rsidRPr="0007122C" w:rsidRDefault="0007122C" w:rsidP="007B3693">
            <w:pPr>
              <w:spacing w:after="0" w:line="240" w:lineRule="auto"/>
              <w:jc w:val="both"/>
              <w:rPr>
                <w:rFonts w:ascii="Times New Roman" w:hAnsi="Times New Roman"/>
              </w:rPr>
            </w:pPr>
          </w:p>
          <w:p w14:paraId="603F70FB" w14:textId="77777777" w:rsidR="0007122C" w:rsidRPr="0007122C" w:rsidRDefault="0007122C" w:rsidP="007B3693">
            <w:pPr>
              <w:spacing w:after="0" w:line="240" w:lineRule="auto"/>
              <w:jc w:val="both"/>
              <w:rPr>
                <w:rFonts w:ascii="Times New Roman" w:hAnsi="Times New Roman"/>
              </w:rPr>
            </w:pPr>
            <w:r w:rsidRPr="0007122C">
              <w:rPr>
                <w:rFonts w:ascii="Times New Roman" w:hAnsi="Times New Roman"/>
              </w:rPr>
              <w:t>Ūkine veikla nėra laikoma, kai valstybė veikia „vykdydama valdžios įgaliojimus“</w:t>
            </w:r>
            <w:r w:rsidRPr="0007122C">
              <w:rPr>
                <w:rStyle w:val="Puslapioinaosnuoroda"/>
                <w:rFonts w:ascii="Times New Roman" w:hAnsi="Times New Roman"/>
              </w:rPr>
              <w:footnoteReference w:id="2"/>
            </w:r>
            <w:r w:rsidRPr="0007122C">
              <w:rPr>
                <w:rFonts w:ascii="Times New Roman" w:hAnsi="Times New Roman"/>
              </w:rPr>
              <w:t xml:space="preserve"> arba kai valstybės sektoriaus subjektai veikia „kaip valdžios institucijos“</w:t>
            </w:r>
            <w:r w:rsidRPr="0007122C">
              <w:rPr>
                <w:rStyle w:val="Puslapioinaosnuoroda"/>
                <w:rFonts w:ascii="Times New Roman" w:hAnsi="Times New Roman"/>
              </w:rPr>
              <w:footnoteReference w:id="3"/>
            </w:r>
            <w:r w:rsidRPr="0007122C">
              <w:rPr>
                <w:rFonts w:ascii="Times New Roman" w:hAnsi="Times New Roman"/>
              </w:rP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7CDE45E4" w14:textId="77777777" w:rsidR="0007122C" w:rsidRPr="0007122C" w:rsidRDefault="0007122C" w:rsidP="007B3693">
            <w:pPr>
              <w:spacing w:after="0" w:line="240" w:lineRule="auto"/>
              <w:jc w:val="both"/>
              <w:rPr>
                <w:rFonts w:ascii="Times New Roman" w:hAnsi="Times New Roman"/>
              </w:rPr>
            </w:pPr>
            <w:r w:rsidRPr="0007122C">
              <w:rPr>
                <w:rFonts w:ascii="Times New Roman" w:hAnsi="Times New Roman"/>
              </w:rPr>
              <w:t>a) kariuomenė arba policija;</w:t>
            </w:r>
          </w:p>
          <w:p w14:paraId="762C2D91" w14:textId="77777777" w:rsidR="0007122C" w:rsidRPr="0007122C" w:rsidRDefault="0007122C" w:rsidP="007B3693">
            <w:pPr>
              <w:spacing w:after="0" w:line="240" w:lineRule="auto"/>
              <w:jc w:val="both"/>
              <w:rPr>
                <w:rFonts w:ascii="Times New Roman" w:hAnsi="Times New Roman"/>
              </w:rPr>
            </w:pPr>
            <w:r w:rsidRPr="0007122C">
              <w:rPr>
                <w:rFonts w:ascii="Times New Roman" w:hAnsi="Times New Roman"/>
              </w:rPr>
              <w:t>b) oro navigacijos sauga ir kontrolė;</w:t>
            </w:r>
          </w:p>
          <w:p w14:paraId="17DD09B1" w14:textId="77777777" w:rsidR="0007122C" w:rsidRPr="0007122C" w:rsidRDefault="0007122C" w:rsidP="007B3693">
            <w:pPr>
              <w:spacing w:after="0" w:line="240" w:lineRule="auto"/>
              <w:jc w:val="both"/>
              <w:rPr>
                <w:rFonts w:ascii="Times New Roman" w:hAnsi="Times New Roman"/>
              </w:rPr>
            </w:pPr>
            <w:r w:rsidRPr="0007122C">
              <w:rPr>
                <w:rFonts w:ascii="Times New Roman" w:hAnsi="Times New Roman"/>
              </w:rPr>
              <w:t>c) jūrų eismo kontrolė ir sauga;</w:t>
            </w:r>
          </w:p>
          <w:p w14:paraId="15C98214" w14:textId="77777777" w:rsidR="0007122C" w:rsidRPr="0007122C" w:rsidRDefault="0007122C" w:rsidP="007B3693">
            <w:pPr>
              <w:spacing w:after="0" w:line="240" w:lineRule="auto"/>
              <w:jc w:val="both"/>
              <w:rPr>
                <w:rFonts w:ascii="Times New Roman" w:hAnsi="Times New Roman"/>
              </w:rPr>
            </w:pPr>
            <w:r w:rsidRPr="0007122C">
              <w:rPr>
                <w:rFonts w:ascii="Times New Roman" w:hAnsi="Times New Roman"/>
              </w:rPr>
              <w:t>d) kovos su tarša priežiūra;</w:t>
            </w:r>
          </w:p>
          <w:p w14:paraId="6E8FE446" w14:textId="77777777" w:rsidR="0007122C" w:rsidRPr="0007122C" w:rsidRDefault="0007122C" w:rsidP="007B3693">
            <w:pPr>
              <w:spacing w:after="0" w:line="240" w:lineRule="auto"/>
              <w:jc w:val="both"/>
              <w:rPr>
                <w:rFonts w:ascii="Times New Roman" w:hAnsi="Times New Roman"/>
              </w:rPr>
            </w:pPr>
            <w:r w:rsidRPr="0007122C">
              <w:rPr>
                <w:rFonts w:ascii="Times New Roman" w:hAnsi="Times New Roman"/>
              </w:rPr>
              <w:t>e) laisvės atėmimo nuosprendžių organizavimas, finansavimas ir vykdymas;</w:t>
            </w:r>
          </w:p>
          <w:p w14:paraId="21353550" w14:textId="77777777" w:rsidR="0007122C" w:rsidRPr="0007122C" w:rsidRDefault="0007122C" w:rsidP="007B3693">
            <w:pPr>
              <w:spacing w:after="0" w:line="240" w:lineRule="auto"/>
              <w:jc w:val="both"/>
              <w:rPr>
                <w:rFonts w:ascii="Times New Roman" w:hAnsi="Times New Roman"/>
              </w:rPr>
            </w:pPr>
            <w:r w:rsidRPr="0007122C">
              <w:rPr>
                <w:rFonts w:ascii="Times New Roman" w:hAnsi="Times New Roman"/>
              </w:rPr>
              <w:t>f) viešiesiems tikslams naudoti skirtų duomenų rinkimas remiantis teisės aktuose atitinkamiems ūkio subjektams nustatytu įpareigojimu atskleisti tokius duomenis.</w:t>
            </w:r>
          </w:p>
          <w:p w14:paraId="114AF67D" w14:textId="77777777" w:rsidR="0007122C" w:rsidRPr="0007122C" w:rsidRDefault="0007122C" w:rsidP="007B3693">
            <w:pPr>
              <w:spacing w:after="0" w:line="240" w:lineRule="auto"/>
              <w:jc w:val="both"/>
              <w:rPr>
                <w:rFonts w:ascii="Times New Roman" w:hAnsi="Times New Roman"/>
              </w:rPr>
            </w:pPr>
            <w:r w:rsidRPr="0007122C">
              <w:rPr>
                <w:rFonts w:ascii="Times New Roman" w:hAnsi="Times New Roman"/>
              </w:rPr>
              <w:t xml:space="preserve">Ūkine veikla gali būti nelaikoma dalis veiklų socialinės apsaugos, sveikatos priežiūros, kultūros, švietimo ir mokslinių tyrimų sektoriuose, kaip apibūdinta Komisijos pranešime dėl Sutarties dėl Europos Sąjungos veikimo 107 straipsnio 1 dalyje vartojamos valstybės pagalbos sąvokos (2016/C 262/01). Taip pat ūkine veikla nėra laikoma viešos infrastruktūros objektų, neskirtų ūkinei veiklai vykdyti, statyba. </w:t>
            </w:r>
          </w:p>
        </w:tc>
      </w:tr>
      <w:tr w:rsidR="0007122C" w:rsidRPr="0007122C" w14:paraId="1FC270AE" w14:textId="77777777" w:rsidTr="007B3693">
        <w:tc>
          <w:tcPr>
            <w:tcW w:w="5000" w:type="pct"/>
            <w:gridSpan w:val="5"/>
          </w:tcPr>
          <w:p w14:paraId="141C6103" w14:textId="77777777" w:rsidR="0007122C" w:rsidRPr="0007122C" w:rsidRDefault="0007122C" w:rsidP="007B3693">
            <w:pPr>
              <w:spacing w:after="0" w:line="240" w:lineRule="auto"/>
              <w:jc w:val="center"/>
              <w:rPr>
                <w:rFonts w:ascii="Times New Roman" w:hAnsi="Times New Roman"/>
                <w:b/>
              </w:rPr>
            </w:pPr>
            <w:r w:rsidRPr="0007122C">
              <w:rPr>
                <w:rFonts w:ascii="Times New Roman" w:hAnsi="Times New Roman"/>
                <w:b/>
              </w:rPr>
              <w:lastRenderedPageBreak/>
              <w:t>Pasirinkimo pagrindimas</w:t>
            </w:r>
          </w:p>
        </w:tc>
      </w:tr>
      <w:tr w:rsidR="0007122C" w:rsidRPr="0007122C" w14:paraId="7B10ABE9" w14:textId="77777777" w:rsidTr="007B3693">
        <w:tc>
          <w:tcPr>
            <w:tcW w:w="5000" w:type="pct"/>
            <w:gridSpan w:val="5"/>
          </w:tcPr>
          <w:p w14:paraId="01698CB8" w14:textId="77777777" w:rsidR="0007122C" w:rsidRPr="0007122C" w:rsidRDefault="0007122C" w:rsidP="007B3693">
            <w:pPr>
              <w:spacing w:after="0" w:line="240" w:lineRule="auto"/>
              <w:ind w:firstLine="731"/>
              <w:jc w:val="both"/>
              <w:rPr>
                <w:rFonts w:ascii="Times New Roman" w:hAnsi="Times New Roman"/>
              </w:rPr>
            </w:pPr>
            <w:r w:rsidRPr="0007122C">
              <w:rPr>
                <w:rFonts w:ascii="Times New Roman" w:hAnsi="Times New Roman"/>
              </w:rPr>
              <w:t>Skiepijimas yra viena iš veiksmingiausių ir ekonomiškai efektyviausių XX amžiuje sukurtų visuomenės sveikatos priemonių ir tebėra pagrindinė užkrečiamų ligų pirminės prevencijos priemonė. Skiepijimas svarbus ne tik vaikams, bet ir viso gyvenimo perspektyvoje. Vakcinų sukūrimas pakeitė medicinos istoriją ir turėjo didelį poveikį visuomenės sveikatai. Skiepijant buvo užkirstas kelias daugeliui ligų, taip sumažinant sveikatos priežiūros sistemoms tenkančią naštą ir užkertant kelią maždaug 3,5–5 mln. mirčių per metus. Raupų atveju ši liga dėl skiepijimo net buvo išnaikinta. Tačiau šiandien skiepijimas tapo savo paties sėkmės auka. Kai kurie žmonės nebemato infekcinių ligų, kurių nebėra dėl skiepijimo programų, poveikio, todėl nemažai žmonių gali net abejoti dėl skiepijimo svarbos. Skiepijimo aprėpties rodikliai daugelyje regionų visoje Europos Sąjungoje (toliau – ES) yra gerokai mažesni už rekomenduojamą lygį. Tokiomis aplinkybėmis infekcinės ligos gali lengvai atsinaujinti. Kaip vieną iš pavyzdžių galima paminėti pastaraisiais metais tam tikrose ES šalyse išplitusią tymų epidemiją. Per pastaruosius keletą dešimtmečių žmonių noras gauti saugių, veiksmingų, rekomenduojamų ir prieinamų vakcinų sumažėjo. Pasaulio sveikatos organizacija (toliau – PSO) skiepų vengimą laiko viena iš 10 didžiausių grėsmių pasaulio sveikatai. Norint suvaldyti užkrečiamųjų ligų protrūkius ir išvengti skaudžių jų pasekmių, turi būti  paskiepyta ne mažiau kaip 90–95 proc. vaikų. 2019–2021 m. duomenimis, Lietuvoje šis tikslas buvo pasiektas tik skiepijant nuo tuberkuliozės ir hepatito B (paskiepyta daugiau nei 90 proc. vaikų), nuo kitų užkrečiamųjų ligų buvo paskiepyta per mažai vaikų (nepasiekta 90 proc.).</w:t>
            </w:r>
          </w:p>
          <w:p w14:paraId="49482996" w14:textId="44C11B16" w:rsidR="0007122C" w:rsidRPr="0007122C" w:rsidRDefault="0007122C" w:rsidP="007B3693">
            <w:pPr>
              <w:spacing w:after="0" w:line="240" w:lineRule="auto"/>
              <w:ind w:firstLine="731"/>
              <w:jc w:val="both"/>
              <w:rPr>
                <w:rFonts w:ascii="Times New Roman" w:hAnsi="Times New Roman"/>
              </w:rPr>
            </w:pPr>
            <w:r w:rsidRPr="0007122C">
              <w:rPr>
                <w:rFonts w:ascii="Times New Roman" w:hAnsi="Times New Roman"/>
              </w:rPr>
              <w:t xml:space="preserve">Lietuvos Respublikos vaikų profilaktinių skiepijimų kalendoriuje (toliau – kalendorius) pagal nustatytus terminus naujagimiai, kūdikiai ir vaikai gydymo įstaigose  nemokamai skiepijami </w:t>
            </w:r>
            <w:r w:rsidRPr="0007122C">
              <w:rPr>
                <w:rFonts w:ascii="Times New Roman" w:hAnsi="Times New Roman"/>
                <w:spacing w:val="2"/>
                <w:lang w:eastAsia="lt-LT"/>
              </w:rPr>
              <w:t>nuo tuberkuliozės, hepatito B, kokliušo, difterijos, stabligės, poliomielito, tymų, epideminio parotito, raudonukės, B tipo</w:t>
            </w:r>
            <w:r w:rsidRPr="0007122C">
              <w:rPr>
                <w:rFonts w:ascii="Times New Roman" w:hAnsi="Times New Roman"/>
                <w:i/>
                <w:iCs/>
                <w:spacing w:val="2"/>
                <w:lang w:eastAsia="lt-LT"/>
              </w:rPr>
              <w:t> </w:t>
            </w:r>
            <w:proofErr w:type="spellStart"/>
            <w:r w:rsidRPr="0007122C">
              <w:rPr>
                <w:rFonts w:ascii="Times New Roman" w:hAnsi="Times New Roman"/>
                <w:i/>
                <w:iCs/>
                <w:spacing w:val="2"/>
                <w:lang w:eastAsia="lt-LT"/>
              </w:rPr>
              <w:t>Haemophilus</w:t>
            </w:r>
            <w:proofErr w:type="spellEnd"/>
            <w:r w:rsidRPr="0007122C">
              <w:rPr>
                <w:rFonts w:ascii="Times New Roman" w:hAnsi="Times New Roman"/>
                <w:i/>
                <w:iCs/>
                <w:spacing w:val="2"/>
                <w:lang w:eastAsia="lt-LT"/>
              </w:rPr>
              <w:t xml:space="preserve"> </w:t>
            </w:r>
            <w:proofErr w:type="spellStart"/>
            <w:r w:rsidRPr="0007122C">
              <w:rPr>
                <w:rFonts w:ascii="Times New Roman" w:hAnsi="Times New Roman"/>
                <w:i/>
                <w:iCs/>
                <w:spacing w:val="2"/>
                <w:lang w:eastAsia="lt-LT"/>
              </w:rPr>
              <w:t>influenzae</w:t>
            </w:r>
            <w:proofErr w:type="spellEnd"/>
            <w:r w:rsidRPr="0007122C">
              <w:rPr>
                <w:rFonts w:ascii="Times New Roman" w:hAnsi="Times New Roman"/>
              </w:rPr>
              <w:t>. Šis kalendorius yra paruoštas atsižvelgiant į PSO organizacijos rekomendacijas, kitų ES šalių patirtį, vaikų profilaktinio skiepijimo tęstinumą ir užkrečiamųjų ligų epidemiologinę situaciją Lietuvoje. Tačiau per socialinę žiniasklaidą ir aršius skiepijimo priešininkus sparčiai plintant klaidingai informacijai formuojasi neteisinga nuomonė, dėl kurios visuomenės dėmesys nukreipiamas nuo skiepijimo naudos pavieniams asmenims bei visai visuomenei ir nuo užkrečiamųjų ligų keliamos rizikos, ir taip didėja nepasitikėjimas ir neįrodyto neigiamo poveikio baimė. Dėl šios priežasties svarbu imtis veiksmų siekiant sustiprinti dialogą su piliečiais, suprasti tikruosius jiems susirūpinimą bei abejones dėl skiepijimo keliančius klausimus ir juos tinkamai spręsti atsižvelgiant į individualius poreikius.</w:t>
            </w:r>
          </w:p>
          <w:p w14:paraId="707048EA" w14:textId="09208984" w:rsidR="0007122C" w:rsidRPr="0007122C" w:rsidRDefault="0007122C" w:rsidP="007B3693">
            <w:pPr>
              <w:widowControl w:val="0"/>
              <w:suppressAutoHyphens/>
              <w:spacing w:after="0" w:line="240" w:lineRule="auto"/>
              <w:ind w:firstLine="741"/>
              <w:jc w:val="both"/>
              <w:rPr>
                <w:rFonts w:ascii="Times New Roman" w:hAnsi="Times New Roman"/>
              </w:rPr>
            </w:pPr>
            <w:r w:rsidRPr="0007122C">
              <w:rPr>
                <w:rFonts w:ascii="Times New Roman" w:hAnsi="Times New Roman"/>
              </w:rPr>
              <w:t>Didelei visuomenės daliai nesuformuoti sveikos gyvensenos įgūdžiai bei nepakanka sveikatos raštingumo.</w:t>
            </w:r>
            <w:r w:rsidRPr="0007122C">
              <w:rPr>
                <w:rFonts w:ascii="Times New Roman" w:hAnsi="Times New Roman"/>
                <w:b/>
                <w:bCs/>
              </w:rPr>
              <w:t xml:space="preserve"> </w:t>
            </w:r>
            <w:r w:rsidRPr="0007122C">
              <w:rPr>
                <w:rFonts w:ascii="Times New Roman" w:hAnsi="Times New Roman"/>
              </w:rPr>
              <w:t>Dauguma Lietuvos gyventojų nesilaiko sveikos mitybos principų, jų mityba neatitinka fiziologinių normų, valgoma per mažai daržovių, vaisių, viso grūdo produktų, žuvų ir jų produktų, per daug vartojama riebalų, druskos, cukraus.  2020 m. atlikto nacionalinio gyventojų mitybos ir fizinio aktyvumo tyrimo duomenimis</w:t>
            </w:r>
            <w:r w:rsidRPr="0007122C">
              <w:rPr>
                <w:rFonts w:ascii="Times New Roman" w:hAnsi="Times New Roman"/>
                <w:vertAlign w:val="superscript"/>
              </w:rPr>
              <w:footnoteReference w:id="4"/>
            </w:r>
            <w:r w:rsidRPr="0007122C">
              <w:rPr>
                <w:rFonts w:ascii="Times New Roman" w:hAnsi="Times New Roman"/>
              </w:rPr>
              <w:t>, Lietuvos gyventojų mityba yra nesubalansuota. Higienos instituto 2018 m. tyrimo duomenimis, suaugusiųjų, kurie bent kartą per dieną valgo daržoves, dalis sudaro tik 42 proc.</w:t>
            </w:r>
            <w:r w:rsidRPr="0007122C">
              <w:rPr>
                <w:rFonts w:ascii="Times New Roman" w:hAnsi="Times New Roman"/>
                <w:vertAlign w:val="superscript"/>
              </w:rPr>
              <w:footnoteReference w:id="5"/>
            </w:r>
            <w:r w:rsidRPr="0007122C">
              <w:rPr>
                <w:rFonts w:ascii="Times New Roman" w:hAnsi="Times New Roman"/>
              </w:rPr>
              <w:t xml:space="preserve"> </w:t>
            </w:r>
            <w:proofErr w:type="spellStart"/>
            <w:r w:rsidRPr="0007122C">
              <w:rPr>
                <w:rFonts w:ascii="Times New Roman" w:hAnsi="Times New Roman"/>
              </w:rPr>
              <w:t>NatriJod</w:t>
            </w:r>
            <w:proofErr w:type="spellEnd"/>
            <w:r w:rsidRPr="0007122C">
              <w:rPr>
                <w:rFonts w:ascii="Times New Roman" w:hAnsi="Times New Roman"/>
              </w:rPr>
              <w:t xml:space="preserve"> 2018</w:t>
            </w:r>
            <w:r w:rsidR="00393A9C" w:rsidRPr="0007122C">
              <w:rPr>
                <w:rFonts w:ascii="Times New Roman" w:hAnsi="Times New Roman"/>
              </w:rPr>
              <w:t>–</w:t>
            </w:r>
            <w:r w:rsidRPr="0007122C">
              <w:rPr>
                <w:rFonts w:ascii="Times New Roman" w:hAnsi="Times New Roman"/>
              </w:rPr>
              <w:t>2020 m. tyrimo duomenimis</w:t>
            </w:r>
            <w:r w:rsidRPr="0007122C">
              <w:rPr>
                <w:rFonts w:ascii="Times New Roman" w:hAnsi="Times New Roman"/>
                <w:vertAlign w:val="superscript"/>
              </w:rPr>
              <w:footnoteReference w:id="6"/>
            </w:r>
            <w:r w:rsidRPr="0007122C">
              <w:rPr>
                <w:rFonts w:ascii="Times New Roman" w:hAnsi="Times New Roman"/>
              </w:rPr>
              <w:t>, gyventojai per parą suvartoja net 10 g druskos – šis kiekis dvigubai viršija PSO rekomenduojamą normą. Vyraujanti nesubalansuota mityba skatina nutukimą. 2020 m. nutukusių gyventojų 19</w:t>
            </w:r>
            <w:r w:rsidR="00D96554" w:rsidRPr="0007122C">
              <w:rPr>
                <w:rFonts w:ascii="Times New Roman" w:hAnsi="Times New Roman"/>
              </w:rPr>
              <w:t>–</w:t>
            </w:r>
            <w:r w:rsidRPr="0007122C">
              <w:rPr>
                <w:rFonts w:ascii="Times New Roman" w:hAnsi="Times New Roman"/>
              </w:rPr>
              <w:t xml:space="preserve">75 m. amžiaus grupėje buvo 15,7 proc. Nutukimas siejamas su hipertenzija, išemine širdies liga, vėžiu, 2-jo tipo cukriniu diabetu ir kitomis lėtinėmis neinfekcinėmis ligomis. Didelę įtaką  maisto pasirinkimui daro žiniasklaida ir komercinė rinkodara, mažai dėmesio skirianti sveikatai palankių maisto produktų vartojimui. </w:t>
            </w:r>
          </w:p>
          <w:p w14:paraId="1EAA341E" w14:textId="77777777" w:rsidR="0007122C" w:rsidRPr="0007122C" w:rsidRDefault="0007122C" w:rsidP="007B3693">
            <w:pPr>
              <w:widowControl w:val="0"/>
              <w:suppressAutoHyphens/>
              <w:spacing w:after="0" w:line="240" w:lineRule="auto"/>
              <w:ind w:firstLine="741"/>
              <w:jc w:val="both"/>
              <w:rPr>
                <w:rFonts w:ascii="Times New Roman" w:hAnsi="Times New Roman"/>
              </w:rPr>
            </w:pPr>
            <w:r w:rsidRPr="0007122C">
              <w:rPr>
                <w:rFonts w:ascii="Times New Roman" w:hAnsi="Times New Roman"/>
              </w:rPr>
              <w:t>Beveik pusę visų mirties atvejų Lietuvoje lemia su gyvensena ir aplinka susiję rizikos veiksniai: maždaug 44 proc.  Lietuvoje užregistruotų mirties atvejų siejami su elgsenos ir aplinkos rizikos veiksniais, įskaitant su mityba susijusius rizikos veiksnius. Maždaug 25 proc. visų mirties atvejų (9 500 mirties atvejų) lėmė su mityba susiję rizikos veiksniai (įskaitant suvartojamą mažą vaisių ir daržovių kiekį ir didelį cukraus ir druskos kiekį). Šis rodiklis gerokai viršija ES vidurkį (17 proc.).</w:t>
            </w:r>
          </w:p>
          <w:p w14:paraId="029E272A" w14:textId="77777777" w:rsidR="0007122C" w:rsidRPr="0007122C" w:rsidRDefault="0007122C" w:rsidP="007B3693">
            <w:pPr>
              <w:widowControl w:val="0"/>
              <w:suppressAutoHyphens/>
              <w:spacing w:after="0" w:line="240" w:lineRule="auto"/>
              <w:ind w:firstLine="741"/>
              <w:jc w:val="both"/>
              <w:rPr>
                <w:rFonts w:ascii="Times New Roman" w:hAnsi="Times New Roman"/>
              </w:rPr>
            </w:pPr>
            <w:r w:rsidRPr="0007122C">
              <w:rPr>
                <w:rFonts w:ascii="Times New Roman" w:hAnsi="Times New Roman"/>
              </w:rPr>
              <w:t xml:space="preserve">Taip pat burnos higienos skatinimas turi būti susietas su mitybos įgūdžių stiprinimu. Higienos instituto duomenimis: tik 74,3 proc. ugdymo įstaigas lankiusiems vaikams (0–17 m.) buvo atlikta profilaktinė </w:t>
            </w:r>
            <w:r w:rsidRPr="0007122C">
              <w:rPr>
                <w:rFonts w:ascii="Times New Roman" w:hAnsi="Times New Roman"/>
              </w:rPr>
              <w:lastRenderedPageBreak/>
              <w:t>dantų patikra; tik 34,7 proc. dantys buvo sveiki. Didžiausia dalis turinčiųjų sveikus dantis nustatyta ikimokyklinio amžiaus vaikams (60 proc.). 7–17 m. amžiaus grupėje tokių mokinių buvo beveik tris kartus mažiau – 22,7 proc. Mažiausia dalis mokinių, turinčių sveikus dantis, nustatyta 9 m. amžiaus (16,1 proc.) ir 17 m. amžiaus (15,2 proc.) grupėse. Vertinant dantų būklę per paskutinius šešerius mokslo metus, 7–17 m. amžiaus mokinių, kurių dantys sveiki, dalis išaugo vos 4,3 proc. Apžvelgus ugdymo įstaigas lankiusių vaikų (0–17 m. amžiaus), turinčių sveikus dantis, pasiskirstymą šalies savivaldybėse, stebimi dideli netolygumai. Taip pat matomas poreikis stiprinti burnos higienos įgūdžius 65+ asmenims.</w:t>
            </w:r>
          </w:p>
          <w:p w14:paraId="08511595" w14:textId="77777777" w:rsidR="0007122C" w:rsidRPr="0007122C" w:rsidRDefault="0007122C" w:rsidP="007B3693">
            <w:pPr>
              <w:widowControl w:val="0"/>
              <w:suppressAutoHyphens/>
              <w:spacing w:after="0" w:line="240" w:lineRule="auto"/>
              <w:ind w:firstLine="741"/>
              <w:jc w:val="both"/>
              <w:rPr>
                <w:rFonts w:ascii="Times New Roman" w:hAnsi="Times New Roman"/>
              </w:rPr>
            </w:pPr>
            <w:r w:rsidRPr="0007122C">
              <w:rPr>
                <w:rFonts w:ascii="Times New Roman" w:hAnsi="Times New Roman"/>
              </w:rPr>
              <w:t>Minėtos problemos rodo, kad visuomenės sveikatos raštingumas nėra pakankamas. Tai siejama su objektyvios informacijos, kuri būtų priimtina, suprantama įvairaus amžiaus ir išsilavinimo visuomenės grupėms, stoka, neefektyviomis visuomenės sveikatos stiprinimui skirtomis socialinėmis informacinėmis kampanijomis. 2021 m. atliktas gyventojų mitybos žinių tyrimas</w:t>
            </w:r>
            <w:r w:rsidRPr="0007122C">
              <w:rPr>
                <w:rFonts w:ascii="Times New Roman" w:hAnsi="Times New Roman"/>
                <w:vertAlign w:val="superscript"/>
              </w:rPr>
              <w:footnoteReference w:id="7"/>
            </w:r>
            <w:r w:rsidRPr="0007122C">
              <w:rPr>
                <w:rFonts w:ascii="Times New Roman" w:hAnsi="Times New Roman"/>
              </w:rPr>
              <w:t xml:space="preserve"> parodė, kad visuomenės žinios apie sveiką mitybą yra nepakankamos, egzistuoja regioniniai skirtumai.  Daugumai žmonių trūksta žinių ir įgūdžių apie organizmo funkcijų stiprinimą vyresniame amžiuje. Nepakankamos sveikatos žinios lemia motyvacijos stoką gyventi sveikiau, sąlygoja sveikos gyvensenos nuostatų nepaisymą. To rezultatas – didelis rizikos veiksnių paplitimas ir didelis sergamumas lėtinėmis neinfekcinėmis ligomis.  Kaip rodo Higienos instituto tyrimai, nepakankamas sveikatos raštingumas lemia, kad Lietuvos gyventojai sunkiai keičia savo gyvensenos įpročius.</w:t>
            </w:r>
          </w:p>
          <w:p w14:paraId="29B5A5C3" w14:textId="77777777" w:rsidR="0007122C" w:rsidRPr="0007122C" w:rsidRDefault="0007122C" w:rsidP="007B3693">
            <w:pPr>
              <w:widowControl w:val="0"/>
              <w:suppressAutoHyphens/>
              <w:spacing w:after="0" w:line="240" w:lineRule="auto"/>
              <w:ind w:firstLine="741"/>
              <w:jc w:val="both"/>
              <w:rPr>
                <w:rFonts w:ascii="Times New Roman" w:hAnsi="Times New Roman"/>
              </w:rPr>
            </w:pPr>
            <w:r w:rsidRPr="0007122C">
              <w:rPr>
                <w:rFonts w:ascii="Times New Roman" w:hAnsi="Times New Roman"/>
              </w:rPr>
              <w:t>Sveikatos raštingumo didinimui priskiriama ir pirmosios pagalbos ir pirmosios psichologinės pagalbos mokymai, pirmosios pagalbos teikimo įgūdžių, esant krizinei situacijai, formavimas.</w:t>
            </w:r>
          </w:p>
          <w:p w14:paraId="38A4EFE4" w14:textId="40485137" w:rsidR="0007122C" w:rsidRPr="0007122C" w:rsidRDefault="0007122C" w:rsidP="007B3693">
            <w:pPr>
              <w:spacing w:after="0" w:line="240" w:lineRule="auto"/>
              <w:ind w:firstLine="731"/>
              <w:jc w:val="both"/>
              <w:rPr>
                <w:rFonts w:ascii="Times New Roman" w:hAnsi="Times New Roman"/>
              </w:rPr>
            </w:pPr>
            <w:r w:rsidRPr="0007122C">
              <w:rPr>
                <w:rFonts w:ascii="Times New Roman" w:hAnsi="Times New Roman"/>
              </w:rPr>
              <w:t>Pagal pažangos priemonės Nr. 11-001-02-10-01-03-01 „Gerinti grėsmių bei rizikos sveikatai veiksnių valdymą</w:t>
            </w:r>
            <w:r w:rsidR="00545FF5">
              <w:rPr>
                <w:rFonts w:ascii="Times New Roman" w:hAnsi="Times New Roman"/>
              </w:rPr>
              <w:t>“</w:t>
            </w:r>
            <w:r w:rsidRPr="0007122C">
              <w:rPr>
                <w:rFonts w:ascii="Times New Roman" w:hAnsi="Times New Roman"/>
              </w:rPr>
              <w:t xml:space="preserve"> veiklos „Sveikatos raštingumo didinimas“ </w:t>
            </w:r>
            <w:proofErr w:type="spellStart"/>
            <w:r w:rsidRPr="0007122C">
              <w:rPr>
                <w:rFonts w:ascii="Times New Roman" w:hAnsi="Times New Roman"/>
              </w:rPr>
              <w:t>poveikl</w:t>
            </w:r>
            <w:r>
              <w:rPr>
                <w:rFonts w:ascii="Times New Roman" w:hAnsi="Times New Roman"/>
              </w:rPr>
              <w:t>ę</w:t>
            </w:r>
            <w:proofErr w:type="spellEnd"/>
            <w:r w:rsidRPr="0007122C">
              <w:rPr>
                <w:rFonts w:ascii="Times New Roman" w:hAnsi="Times New Roman"/>
              </w:rPr>
              <w:t xml:space="preserve"> „Sveikatos raštingumo didinimas  </w:t>
            </w:r>
          </w:p>
          <w:p w14:paraId="2A93C20D" w14:textId="232F2E5F" w:rsidR="0007122C" w:rsidRPr="0007122C" w:rsidRDefault="0007122C" w:rsidP="007B3693">
            <w:pPr>
              <w:spacing w:after="0" w:line="240" w:lineRule="auto"/>
              <w:jc w:val="both"/>
              <w:rPr>
                <w:rFonts w:ascii="Times New Roman" w:hAnsi="Times New Roman"/>
              </w:rPr>
            </w:pPr>
            <w:r w:rsidRPr="0007122C">
              <w:rPr>
                <w:rFonts w:ascii="Times New Roman" w:hAnsi="Times New Roman"/>
              </w:rPr>
              <w:t xml:space="preserve">Sostinės regione“ ir </w:t>
            </w:r>
            <w:proofErr w:type="spellStart"/>
            <w:r w:rsidRPr="0007122C">
              <w:rPr>
                <w:rFonts w:ascii="Times New Roman" w:hAnsi="Times New Roman"/>
              </w:rPr>
              <w:t>poveikl</w:t>
            </w:r>
            <w:r>
              <w:rPr>
                <w:rFonts w:ascii="Times New Roman" w:hAnsi="Times New Roman"/>
              </w:rPr>
              <w:t>ę</w:t>
            </w:r>
            <w:proofErr w:type="spellEnd"/>
            <w:r w:rsidRPr="0007122C">
              <w:rPr>
                <w:rFonts w:ascii="Times New Roman" w:hAnsi="Times New Roman"/>
              </w:rPr>
              <w:t xml:space="preserve"> Sveikatos raštingumo didinimas Vidurio ir vakarų Lietuvos regione   (toliau – priemonė Nr. 11-001-02-10-01-03-01) numatoma finansuoti projektą, kurio lėšomis bus vykdomos socialinės informacinės kampanijos apie vaikų ir suaugusiųjų profilaktinį skiepijimą: suprantamu būdu viešinama visuomenei informacija apie </w:t>
            </w:r>
            <w:proofErr w:type="spellStart"/>
            <w:r w:rsidRPr="0007122C">
              <w:rPr>
                <w:rFonts w:ascii="Times New Roman" w:hAnsi="Times New Roman"/>
              </w:rPr>
              <w:t>skiepijimosi</w:t>
            </w:r>
            <w:proofErr w:type="spellEnd"/>
            <w:r w:rsidRPr="0007122C">
              <w:rPr>
                <w:rFonts w:ascii="Times New Roman" w:hAnsi="Times New Roman"/>
              </w:rPr>
              <w:t xml:space="preserve"> būtinybę, kaip saugų būdą apsaugoti žmones, ypač kūdikius ir mažus vaikus, nuo gyvybiškai pavojingų užkrečiamųjų ligų siekiant riboti jų plitimą visuomenėje. Ypač didelis dėmesys bus skiriamas skatinti skiepytis nuo raudonukės (Lietuvoje nukritus skiepijimo aprėptims iki 86,5 proc., raudonukės virusas gali pradėti plisti imlioje visuomenėje). Taip pat numatoma finansuoti informacinę kampaniją apie sveiką mitybą ir burnos higieną bei pirmosios pagalbos ir pirmosios psichologinės pagalbos mokymus 16+ amžiaus tikslinei grupei.</w:t>
            </w:r>
          </w:p>
          <w:p w14:paraId="01884225" w14:textId="77777777" w:rsidR="0007122C" w:rsidRPr="0007122C" w:rsidRDefault="0007122C" w:rsidP="007B3693">
            <w:pPr>
              <w:spacing w:after="0" w:line="240" w:lineRule="auto"/>
              <w:ind w:firstLine="720"/>
              <w:jc w:val="both"/>
              <w:rPr>
                <w:rFonts w:ascii="Times New Roman" w:hAnsi="Times New Roman"/>
              </w:rPr>
            </w:pPr>
            <w:r w:rsidRPr="0007122C">
              <w:rPr>
                <w:rFonts w:ascii="Times New Roman" w:hAnsi="Times New Roman"/>
              </w:rPr>
              <w:t xml:space="preserve">Projekto vykdytoju yra pasirinktas Nacionalinis visuomenės sveikatos centras prie Sveikatos apsaugos ministerijos (toliau – NVSC). NVSC yra valstybės biudžetinė įstaiga, pagal kompetenciją įgyvendinanti valstybės politiką, sauganti visuomenės sveikatą ir ginanti vartotojų teises valdant riziką, susijusią su užkrečiamosiomis ligomis, aplinkos veiksniais, vartotojams teikiamomis paslaugomis bei gaminiais. Taip pat NVSC vieni iš veiklos tikslų yra – pagal kompetenciją organizuoti ir vykdyti užkrečiamųjų ligų profilaktiką ir kontrolę bei apie tai informuoti visuomenę ir teikti žinias tikslinėms grupėms. </w:t>
            </w:r>
          </w:p>
          <w:p w14:paraId="635E3B9D" w14:textId="77777777" w:rsidR="0007122C" w:rsidRPr="0007122C" w:rsidRDefault="0007122C" w:rsidP="007B3693">
            <w:pPr>
              <w:spacing w:after="0" w:line="240" w:lineRule="auto"/>
              <w:ind w:firstLine="731"/>
              <w:jc w:val="both"/>
              <w:rPr>
                <w:rFonts w:ascii="Times New Roman" w:hAnsi="Times New Roman"/>
                <w:iCs/>
                <w:lang w:eastAsia="lt-LT"/>
              </w:rPr>
            </w:pPr>
            <w:r w:rsidRPr="0007122C">
              <w:rPr>
                <w:rFonts w:ascii="Times New Roman" w:hAnsi="Times New Roman"/>
              </w:rPr>
              <w:t>Pažymėtina, kad NVSC yra</w:t>
            </w:r>
            <w:r w:rsidRPr="0007122C">
              <w:rPr>
                <w:rFonts w:ascii="Times New Roman" w:hAnsi="Times New Roman"/>
                <w:iCs/>
                <w:lang w:eastAsia="lt-LT"/>
              </w:rPr>
              <w:t xml:space="preserve"> Lietuvos nacionalinės sveikatos sistemos valstybės visuomenės sveikatos priežiūros biudžetinė įstaiga, kurios savininkė yra valstybė, o savininkės teises ir pareigas įgyvendina Lietuvos Respublikos sveikatos apsaugos ministerija. Visuomenės sveikatos priežiūros paslaugos tiesiogiai finansuojamos iš valstybės biudžeto bei kitų valstybinių išteklių ir nemokamai teikiamos pagal visuotinės aprėpties principą. Teisingumo Teismas ir Bendrasis Teismas patvirtino, kad, esant tokiai struktūrai, atitinkamos organizacijos neveikia kaip įmonės. Todėl, esant tokiai struktūrai, net įstaigos vykdoma veikla, kuri pati savaime galėtų būti teoriškai priskiriama prie ekonominio pobūdžio veiklų sąrašo, bet vykdoma tik siekiant suteikti kitą ne ekonominę paslaugą, yra laikytina ne ekonominio pobūdžio veikla.</w:t>
            </w:r>
          </w:p>
          <w:p w14:paraId="3121DC64" w14:textId="5BCF00C0" w:rsidR="0007122C" w:rsidRPr="0007122C" w:rsidRDefault="0007122C" w:rsidP="007B3693">
            <w:pPr>
              <w:spacing w:after="0" w:line="240" w:lineRule="auto"/>
              <w:ind w:firstLine="731"/>
              <w:jc w:val="both"/>
              <w:rPr>
                <w:rFonts w:ascii="Times New Roman" w:hAnsi="Times New Roman"/>
              </w:rPr>
            </w:pPr>
            <w:r w:rsidRPr="0007122C">
              <w:rPr>
                <w:rFonts w:ascii="Times New Roman" w:hAnsi="Times New Roman"/>
                <w:iCs/>
                <w:lang w:eastAsia="lt-LT"/>
              </w:rPr>
              <w:t xml:space="preserve">Vykdant pagal priemonę Nr. 11-001-02-10-01-03-01 finansuojamo projekto veiklas, </w:t>
            </w:r>
            <w:r w:rsidRPr="0007122C">
              <w:rPr>
                <w:rFonts w:ascii="Times New Roman" w:hAnsi="Times New Roman"/>
              </w:rPr>
              <w:t>NVSC</w:t>
            </w:r>
            <w:r w:rsidRPr="0007122C">
              <w:rPr>
                <w:rFonts w:ascii="Times New Roman" w:hAnsi="Times New Roman"/>
                <w:iCs/>
                <w:lang w:eastAsia="lt-LT"/>
              </w:rPr>
              <w:t xml:space="preserve"> veikia kaip valdžios institucija, siekianti nacionalinės sveikatos sistemos dalyviams, viešinti informaciją užkrečiamųjų ligų prevencijos tema, galėtų būti vertinama, kad NVSC, kaip pareiškėjas, vykdydamas tik šią </w:t>
            </w:r>
            <w:r w:rsidRPr="0007122C">
              <w:rPr>
                <w:rFonts w:ascii="Times New Roman" w:hAnsi="Times New Roman"/>
                <w:iCs/>
                <w:lang w:eastAsia="lt-LT"/>
              </w:rPr>
              <w:lastRenderedPageBreak/>
              <w:t>veiklą, veikia ne kaip ūkio subjektas. Vykdant viešinimo</w:t>
            </w:r>
            <w:r w:rsidRPr="0007122C">
              <w:rPr>
                <w:rFonts w:ascii="Times New Roman" w:hAnsi="Times New Roman"/>
              </w:rPr>
              <w:t xml:space="preserve"> kampanijas </w:t>
            </w:r>
            <w:r w:rsidRPr="0007122C">
              <w:rPr>
                <w:rFonts w:ascii="Times New Roman" w:hAnsi="Times New Roman"/>
                <w:iCs/>
                <w:lang w:eastAsia="lt-LT"/>
              </w:rPr>
              <w:t xml:space="preserve">užkrečiamųjų ligų prevencijos bei sveikos mitybos ir burnos higienos temomis, bus kuriami ir transliuojami informaciniai filmukai, rengiamos atmintinės, plakatai, gaminami viešinimo suvenyrai ir kt., kuriose  bus akcentuojama apie </w:t>
            </w:r>
            <w:proofErr w:type="spellStart"/>
            <w:r w:rsidRPr="0007122C">
              <w:rPr>
                <w:rFonts w:ascii="Times New Roman" w:hAnsi="Times New Roman"/>
              </w:rPr>
              <w:t>skiepijimosi</w:t>
            </w:r>
            <w:proofErr w:type="spellEnd"/>
            <w:r w:rsidRPr="0007122C">
              <w:rPr>
                <w:rFonts w:ascii="Times New Roman" w:hAnsi="Times New Roman"/>
              </w:rPr>
              <w:t xml:space="preserve"> bei sveikos mitybos ir burnos higienos laikymosi reikšmę ir naudą</w:t>
            </w:r>
            <w:r w:rsidRPr="0007122C">
              <w:rPr>
                <w:rFonts w:ascii="Times New Roman" w:hAnsi="Times New Roman"/>
                <w:iCs/>
              </w:rPr>
              <w:t xml:space="preserve">. </w:t>
            </w:r>
            <w:r w:rsidRPr="0007122C">
              <w:rPr>
                <w:rFonts w:ascii="Times New Roman" w:hAnsi="Times New Roman"/>
                <w:iCs/>
                <w:lang w:eastAsia="lt-LT"/>
              </w:rPr>
              <w:t xml:space="preserve">Tai viešųjų funkcijų įgyvendinimo veiklos, todėl galima traktuoti, kad jos </w:t>
            </w:r>
            <w:r w:rsidRPr="0007122C">
              <w:rPr>
                <w:rFonts w:ascii="Times New Roman" w:hAnsi="Times New Roman"/>
              </w:rPr>
              <w:t xml:space="preserve">yra neatsiejamos nuo oficialiosios valdžios prerogatyvų, ir kurios nėra skirtos tenkinti konkrečios įstaigos poreikius, ir kurias įstaigos įgyvendina vykdydamos valstybės / savivaldybių įgaliojimus, tai yra neekonominio pobūdžio, solidarumo principu grindžiamos veiklos. Įgyvendinamų veiklų galutiniai </w:t>
            </w:r>
            <w:r w:rsidRPr="0007122C">
              <w:rPr>
                <w:rFonts w:ascii="Times New Roman" w:hAnsi="Times New Roman"/>
                <w:iCs/>
                <w:lang w:eastAsia="lt-LT"/>
              </w:rPr>
              <w:t xml:space="preserve"> naudos gavėjai – Lietuvos gyventojai, nėra konkretūs pareiškėjai (partneriai) ir pareiškėjų (partnerių) organizacijose (įstaigose) įdarbinami ir (arba) jau dirbantys darbuotojai bei veiklų tikslas – </w:t>
            </w:r>
            <w:r w:rsidR="00BB61BA">
              <w:rPr>
                <w:rFonts w:ascii="Times New Roman" w:hAnsi="Times New Roman"/>
                <w:iCs/>
              </w:rPr>
              <w:t>s</w:t>
            </w:r>
            <w:r w:rsidRPr="0007122C">
              <w:rPr>
                <w:rFonts w:ascii="Times New Roman" w:hAnsi="Times New Roman"/>
                <w:iCs/>
              </w:rPr>
              <w:t>katinti prevencines priemones, stiprinančias visuomenės sveikatą bei psichologinę gerovę ir atsparumą</w:t>
            </w:r>
            <w:r w:rsidRPr="0007122C">
              <w:rPr>
                <w:rFonts w:ascii="Times New Roman" w:hAnsi="Times New Roman"/>
                <w:iCs/>
                <w:lang w:eastAsia="lt-LT"/>
              </w:rPr>
              <w:t xml:space="preserve">. Atsižvelgiant  </w:t>
            </w:r>
            <w:r w:rsidR="00BB61BA" w:rsidRPr="0007122C">
              <w:rPr>
                <w:rFonts w:ascii="Times New Roman" w:hAnsi="Times New Roman"/>
                <w:iCs/>
                <w:lang w:eastAsia="lt-LT"/>
              </w:rPr>
              <w:t xml:space="preserve"> </w:t>
            </w:r>
            <w:r w:rsidRPr="0007122C">
              <w:rPr>
                <w:rFonts w:ascii="Times New Roman" w:hAnsi="Times New Roman"/>
                <w:iCs/>
                <w:lang w:eastAsia="lt-LT"/>
              </w:rPr>
              <w:t xml:space="preserve">pateiktus argumentus,  galima teigti, kad </w:t>
            </w:r>
            <w:r w:rsidRPr="0007122C">
              <w:rPr>
                <w:rFonts w:ascii="Times New Roman" w:hAnsi="Times New Roman"/>
              </w:rPr>
              <w:t xml:space="preserve">investicijos, skiriamos šių paslaugų teikimo organizavimo gerinimui, nėra Valstybės pagalba, kaip ji suprantama Sutarties dėl Europos Sąjungos veikimo 107 straipsnio 1 dalyje. </w:t>
            </w:r>
          </w:p>
        </w:tc>
      </w:tr>
      <w:tr w:rsidR="0007122C" w:rsidRPr="0007122C" w14:paraId="2E1DD817" w14:textId="77777777" w:rsidTr="007B3693">
        <w:tc>
          <w:tcPr>
            <w:tcW w:w="321" w:type="pct"/>
          </w:tcPr>
          <w:p w14:paraId="49A003B4" w14:textId="77777777" w:rsidR="0007122C" w:rsidRPr="0007122C" w:rsidRDefault="0007122C" w:rsidP="007B3693">
            <w:pPr>
              <w:pStyle w:val="Sraopastraipa"/>
              <w:numPr>
                <w:ilvl w:val="0"/>
                <w:numId w:val="1"/>
              </w:numPr>
              <w:spacing w:before="120" w:after="120" w:line="240" w:lineRule="auto"/>
              <w:rPr>
                <w:rFonts w:ascii="Times New Roman" w:hAnsi="Times New Roman"/>
                <w:b/>
              </w:rPr>
            </w:pPr>
          </w:p>
        </w:tc>
        <w:tc>
          <w:tcPr>
            <w:tcW w:w="2303" w:type="pct"/>
          </w:tcPr>
          <w:p w14:paraId="1ABAE630" w14:textId="77777777" w:rsidR="0007122C" w:rsidRPr="0007122C" w:rsidRDefault="0007122C" w:rsidP="007B3693">
            <w:pPr>
              <w:spacing w:before="120" w:after="120" w:line="240" w:lineRule="auto"/>
              <w:jc w:val="both"/>
              <w:rPr>
                <w:rFonts w:ascii="Times New Roman" w:hAnsi="Times New Roman"/>
                <w:b/>
              </w:rPr>
            </w:pPr>
            <w:r w:rsidRPr="0007122C">
              <w:rPr>
                <w:rFonts w:ascii="Times New Roman" w:hAnsi="Times New Roman"/>
                <w:b/>
              </w:rPr>
              <w:t>Ar finansavimas iš valstybės išteklių ūkio subjektams (-ui) suteiktų/suteikia išskirtinę ekonominę naudą, kurios jie/jis negautų rinkos sąlygomis?</w:t>
            </w:r>
          </w:p>
        </w:tc>
        <w:tc>
          <w:tcPr>
            <w:tcW w:w="633" w:type="pct"/>
          </w:tcPr>
          <w:p w14:paraId="0F1D7218" w14:textId="77777777" w:rsidR="0007122C" w:rsidRPr="0007122C" w:rsidRDefault="0007122C" w:rsidP="007B3693">
            <w:pPr>
              <w:spacing w:before="120" w:after="120" w:line="240" w:lineRule="auto"/>
              <w:rPr>
                <w:rFonts w:ascii="Times New Roman" w:hAnsi="Times New Roman"/>
              </w:rPr>
            </w:pPr>
            <w:r w:rsidRPr="0007122C">
              <w:rPr>
                <w:rFonts w:ascii="Times New Roman" w:hAnsi="Times New Roman"/>
              </w:rPr>
              <w:fldChar w:fldCharType="begin">
                <w:ffData>
                  <w:name w:val=""/>
                  <w:enabled/>
                  <w:calcOnExit w:val="0"/>
                  <w:checkBox>
                    <w:sizeAuto/>
                    <w:default w:val="0"/>
                  </w:checkBox>
                </w:ffData>
              </w:fldChar>
            </w:r>
            <w:r w:rsidRPr="0007122C">
              <w:rPr>
                <w:rFonts w:ascii="Times New Roman" w:hAnsi="Times New Roman"/>
              </w:rPr>
              <w:instrText xml:space="preserve"> FORMCHECKBOX </w:instrText>
            </w:r>
            <w:r w:rsidRPr="0007122C">
              <w:rPr>
                <w:rFonts w:ascii="Times New Roman" w:hAnsi="Times New Roman"/>
              </w:rPr>
            </w:r>
            <w:r w:rsidRPr="0007122C">
              <w:rPr>
                <w:rFonts w:ascii="Times New Roman" w:hAnsi="Times New Roman"/>
              </w:rPr>
              <w:fldChar w:fldCharType="separate"/>
            </w:r>
            <w:r w:rsidRPr="0007122C">
              <w:rPr>
                <w:rFonts w:ascii="Times New Roman" w:hAnsi="Times New Roman"/>
              </w:rPr>
              <w:fldChar w:fldCharType="end"/>
            </w:r>
            <w:r w:rsidRPr="0007122C">
              <w:rPr>
                <w:rFonts w:ascii="Times New Roman" w:hAnsi="Times New Roman"/>
              </w:rPr>
              <w:t>Taip</w:t>
            </w:r>
          </w:p>
        </w:tc>
        <w:tc>
          <w:tcPr>
            <w:tcW w:w="625" w:type="pct"/>
          </w:tcPr>
          <w:p w14:paraId="77AEAE19" w14:textId="77777777" w:rsidR="0007122C" w:rsidRPr="0007122C" w:rsidRDefault="0007122C" w:rsidP="007B3693">
            <w:pPr>
              <w:spacing w:before="120" w:after="120" w:line="240" w:lineRule="auto"/>
              <w:rPr>
                <w:rFonts w:ascii="Times New Roman" w:hAnsi="Times New Roman"/>
              </w:rPr>
            </w:pPr>
            <w:r w:rsidRPr="0007122C">
              <w:rPr>
                <w:rFonts w:ascii="Times New Roman" w:hAnsi="Times New Roman"/>
              </w:rPr>
              <w:fldChar w:fldCharType="begin">
                <w:ffData>
                  <w:name w:val=""/>
                  <w:enabled/>
                  <w:calcOnExit w:val="0"/>
                  <w:checkBox>
                    <w:sizeAuto/>
                    <w:default w:val="0"/>
                  </w:checkBox>
                </w:ffData>
              </w:fldChar>
            </w:r>
            <w:r w:rsidRPr="0007122C">
              <w:rPr>
                <w:rFonts w:ascii="Times New Roman" w:hAnsi="Times New Roman"/>
              </w:rPr>
              <w:instrText xml:space="preserve"> FORMCHECKBOX </w:instrText>
            </w:r>
            <w:r w:rsidRPr="0007122C">
              <w:rPr>
                <w:rFonts w:ascii="Times New Roman" w:hAnsi="Times New Roman"/>
              </w:rPr>
            </w:r>
            <w:r w:rsidRPr="0007122C">
              <w:rPr>
                <w:rFonts w:ascii="Times New Roman" w:hAnsi="Times New Roman"/>
              </w:rPr>
              <w:fldChar w:fldCharType="separate"/>
            </w:r>
            <w:r w:rsidRPr="0007122C">
              <w:rPr>
                <w:rFonts w:ascii="Times New Roman" w:hAnsi="Times New Roman"/>
              </w:rPr>
              <w:fldChar w:fldCharType="end"/>
            </w:r>
            <w:r w:rsidRPr="0007122C">
              <w:rPr>
                <w:rFonts w:ascii="Times New Roman" w:hAnsi="Times New Roman"/>
              </w:rPr>
              <w:t>Ne</w:t>
            </w:r>
          </w:p>
        </w:tc>
        <w:tc>
          <w:tcPr>
            <w:tcW w:w="1118" w:type="pct"/>
          </w:tcPr>
          <w:p w14:paraId="0359FBCF" w14:textId="77777777" w:rsidR="0007122C" w:rsidRPr="0007122C" w:rsidRDefault="0007122C" w:rsidP="007B3693">
            <w:pPr>
              <w:spacing w:before="120" w:after="120" w:line="240" w:lineRule="auto"/>
              <w:rPr>
                <w:rFonts w:ascii="Times New Roman" w:hAnsi="Times New Roman"/>
              </w:rPr>
            </w:pPr>
            <w:r w:rsidRPr="0007122C">
              <w:rPr>
                <w:rFonts w:ascii="Times New Roman" w:hAnsi="Times New Roman"/>
              </w:rPr>
              <w:fldChar w:fldCharType="begin">
                <w:ffData>
                  <w:name w:val=""/>
                  <w:enabled/>
                  <w:calcOnExit w:val="0"/>
                  <w:checkBox>
                    <w:sizeAuto/>
                    <w:default w:val="1"/>
                  </w:checkBox>
                </w:ffData>
              </w:fldChar>
            </w:r>
            <w:r w:rsidRPr="0007122C">
              <w:rPr>
                <w:rFonts w:ascii="Times New Roman" w:hAnsi="Times New Roman"/>
              </w:rPr>
              <w:instrText xml:space="preserve"> FORMCHECKBOX </w:instrText>
            </w:r>
            <w:r w:rsidRPr="0007122C">
              <w:rPr>
                <w:rFonts w:ascii="Times New Roman" w:hAnsi="Times New Roman"/>
              </w:rPr>
            </w:r>
            <w:r w:rsidRPr="0007122C">
              <w:rPr>
                <w:rFonts w:ascii="Times New Roman" w:hAnsi="Times New Roman"/>
              </w:rPr>
              <w:fldChar w:fldCharType="separate"/>
            </w:r>
            <w:r w:rsidRPr="0007122C">
              <w:rPr>
                <w:rFonts w:ascii="Times New Roman" w:hAnsi="Times New Roman"/>
              </w:rPr>
              <w:fldChar w:fldCharType="end"/>
            </w:r>
            <w:r w:rsidRPr="0007122C">
              <w:rPr>
                <w:rFonts w:ascii="Times New Roman" w:hAnsi="Times New Roman"/>
              </w:rPr>
              <w:t xml:space="preserve"> Nevertinama</w:t>
            </w:r>
          </w:p>
        </w:tc>
      </w:tr>
      <w:tr w:rsidR="0007122C" w:rsidRPr="0007122C" w14:paraId="4E90745F" w14:textId="77777777" w:rsidTr="007B3693">
        <w:tc>
          <w:tcPr>
            <w:tcW w:w="5000" w:type="pct"/>
            <w:gridSpan w:val="5"/>
          </w:tcPr>
          <w:p w14:paraId="49F7C46B" w14:textId="46756A52" w:rsidR="0007122C" w:rsidRPr="0007122C" w:rsidRDefault="0007122C" w:rsidP="007B3693">
            <w:pPr>
              <w:spacing w:after="0" w:line="240" w:lineRule="auto"/>
              <w:jc w:val="both"/>
              <w:rPr>
                <w:rFonts w:ascii="Times New Roman" w:hAnsi="Times New Roman"/>
              </w:rPr>
            </w:pPr>
            <w:r w:rsidRPr="0007122C">
              <w:rPr>
                <w:rFonts w:ascii="Times New Roman" w:hAnsi="Times New Roman"/>
                <w:b/>
              </w:rPr>
              <w:t>Išskirtinė ekonominė nauda</w:t>
            </w:r>
            <w:r w:rsidRPr="0007122C">
              <w:rPr>
                <w:rFonts w:ascii="Times New Roman" w:hAnsi="Times New Roman"/>
              </w:rPr>
              <w:t>.</w:t>
            </w:r>
            <w:r w:rsidRPr="0007122C">
              <w:t xml:space="preserve"> </w:t>
            </w:r>
            <w:r w:rsidRPr="0007122C">
              <w:rPr>
                <w:rFonts w:ascii="Times New Roman" w:hAnsi="Times New Roman"/>
              </w:rPr>
              <w:t>Vertinama, ar finansavimas ūkio subjektui teikiamas palankesnėmis sąlygomis, nei jis galėtų gauti rinkoje. Teikiant finansavimą veiklai vykdyti, nauda turi būti vertinama tiek paramą gaunančios subjekto lygmeniu</w:t>
            </w:r>
            <w:r w:rsidR="00CB0BF6">
              <w:rPr>
                <w:rFonts w:ascii="Times New Roman" w:hAnsi="Times New Roman"/>
              </w:rPr>
              <w:t>,</w:t>
            </w:r>
            <w:r w:rsidRPr="0007122C">
              <w:rPr>
                <w:rFonts w:ascii="Times New Roman" w:hAnsi="Times New Roman"/>
              </w:rPr>
              <w:t xml:space="preserve"> tiek galutinių naudos gavėjo lygmeniu. Jei finansavimas teikiamas infrastruktūros objektams ar įrangai (ilgalaikiam turtui) įsigyti, finansavimo nauda turi būti vertinama infrastruktūros statytojo</w:t>
            </w:r>
            <w:r w:rsidR="00596475">
              <w:rPr>
                <w:rFonts w:ascii="Times New Roman" w:hAnsi="Times New Roman"/>
              </w:rPr>
              <w:t xml:space="preserve"> </w:t>
            </w:r>
            <w:r w:rsidRPr="0007122C">
              <w:rPr>
                <w:rFonts w:ascii="Times New Roman" w:hAnsi="Times New Roman"/>
              </w:rPr>
              <w:t>/</w:t>
            </w:r>
            <w:r w:rsidR="00596475">
              <w:rPr>
                <w:rFonts w:ascii="Times New Roman" w:hAnsi="Times New Roman"/>
              </w:rPr>
              <w:t xml:space="preserve"> </w:t>
            </w:r>
            <w:r w:rsidRPr="0007122C">
              <w:rPr>
                <w:rFonts w:ascii="Times New Roman" w:hAnsi="Times New Roman"/>
              </w:rPr>
              <w:t xml:space="preserve">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14:paraId="41372373" w14:textId="2F5C9B2B" w:rsidR="0007122C" w:rsidRPr="0007122C" w:rsidRDefault="0007122C" w:rsidP="007B3693">
            <w:pPr>
              <w:spacing w:after="0" w:line="240" w:lineRule="auto"/>
              <w:jc w:val="both"/>
              <w:rPr>
                <w:rFonts w:ascii="Times New Roman" w:hAnsi="Times New Roman"/>
              </w:rPr>
            </w:pPr>
            <w:r w:rsidRPr="0007122C">
              <w:rPr>
                <w:rFonts w:ascii="Times New Roman" w:hAnsi="Times New Roman"/>
              </w:rPr>
              <w:t>Siekiant nustatyti, ar finansavimas suteiki</w:t>
            </w:r>
            <w:r w:rsidR="00C44F66">
              <w:rPr>
                <w:rFonts w:ascii="Times New Roman" w:hAnsi="Times New Roman"/>
              </w:rPr>
              <w:t>a</w:t>
            </w:r>
            <w:r w:rsidRPr="0007122C">
              <w:rPr>
                <w:rFonts w:ascii="Times New Roman" w:hAnsi="Times New Roman"/>
              </w:rPr>
              <w:t xml:space="preserve"> išskirtinę ekonominę naudą,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7B57BFCD" w14:textId="77777777" w:rsidR="0007122C" w:rsidRPr="0007122C" w:rsidRDefault="0007122C" w:rsidP="007B3693">
            <w:pPr>
              <w:spacing w:after="0" w:line="240" w:lineRule="auto"/>
              <w:jc w:val="both"/>
              <w:rPr>
                <w:rFonts w:ascii="Times New Roman" w:hAnsi="Times New Roman"/>
              </w:rPr>
            </w:pPr>
            <w:r w:rsidRPr="0007122C">
              <w:rPr>
                <w:rFonts w:ascii="Times New Roman" w:hAnsi="Times New Roman"/>
              </w:rPr>
              <w:t>Jei numatoma, kad finansavimas bus skiriamas ūkio subjekto sąnaudoms, atsiradusioms dėl viešųjų, arba visuotinės ekonominės svarbos, paslaugų įsipareigojimų</w:t>
            </w:r>
            <w:r w:rsidRPr="0007122C">
              <w:rPr>
                <w:rStyle w:val="Puslapioinaosnuoroda"/>
                <w:rFonts w:ascii="Times New Roman" w:hAnsi="Times New Roman"/>
              </w:rPr>
              <w:footnoteReference w:id="8"/>
            </w:r>
            <w:r w:rsidRPr="0007122C">
              <w:rPr>
                <w:rFonts w:ascii="Times New Roman" w:hAnsi="Times New Roman"/>
              </w:rPr>
              <w:t xml:space="preserve"> valstybei (savivaldybei), padengti, išskirtinės ekonominės naudos buvimas vertinamas pagal </w:t>
            </w:r>
            <w:proofErr w:type="spellStart"/>
            <w:r w:rsidRPr="0007122C">
              <w:rPr>
                <w:rFonts w:ascii="Times New Roman" w:hAnsi="Times New Roman"/>
                <w:i/>
              </w:rPr>
              <w:t>Altmark</w:t>
            </w:r>
            <w:proofErr w:type="spellEnd"/>
            <w:r w:rsidRPr="0007122C">
              <w:rPr>
                <w:rStyle w:val="Puslapioinaosnuoroda"/>
                <w:rFonts w:ascii="Times New Roman" w:hAnsi="Times New Roman"/>
              </w:rPr>
              <w:footnoteReference w:id="9"/>
            </w:r>
            <w:r w:rsidRPr="0007122C">
              <w:rPr>
                <w:rFonts w:ascii="Times New Roman" w:hAnsi="Times New Roman"/>
                <w:i/>
              </w:rPr>
              <w:t xml:space="preserve"> </w:t>
            </w:r>
            <w:r w:rsidRPr="0007122C">
              <w:rPr>
                <w:rFonts w:ascii="Times New Roman" w:hAnsi="Times New Roman"/>
              </w:rPr>
              <w:t>kriterijus. Ūkio subjektui nėra suteikiama išskirtinė ekonominė nauda, jeigu:</w:t>
            </w:r>
          </w:p>
          <w:p w14:paraId="7066112F" w14:textId="77777777" w:rsidR="0007122C" w:rsidRPr="0007122C" w:rsidRDefault="0007122C" w:rsidP="007B3693">
            <w:pPr>
              <w:pStyle w:val="Sraopastraipa"/>
              <w:numPr>
                <w:ilvl w:val="0"/>
                <w:numId w:val="3"/>
              </w:numPr>
              <w:spacing w:after="0" w:line="240" w:lineRule="auto"/>
              <w:jc w:val="both"/>
              <w:rPr>
                <w:rFonts w:ascii="Times New Roman" w:hAnsi="Times New Roman"/>
              </w:rPr>
            </w:pPr>
            <w:r w:rsidRPr="0007122C">
              <w:rPr>
                <w:rFonts w:ascii="Times New Roman" w:hAnsi="Times New Roman"/>
              </w:rPr>
              <w:t>veikla atitinka visuotinės ekonominės svarbos paslaugų požymius</w:t>
            </w:r>
            <w:r w:rsidRPr="0007122C">
              <w:rPr>
                <w:rStyle w:val="Puslapioinaosnuoroda"/>
                <w:rFonts w:ascii="Times New Roman" w:hAnsi="Times New Roman"/>
              </w:rPr>
              <w:footnoteReference w:id="10"/>
            </w:r>
            <w:r w:rsidRPr="0007122C">
              <w:rPr>
                <w:rFonts w:ascii="Times New Roman" w:hAnsi="Times New Roman"/>
              </w:rPr>
              <w:t>, jos užduotys ir įpareigojimai aiškiai apibrėžti;</w:t>
            </w:r>
          </w:p>
          <w:p w14:paraId="16AE1FB4" w14:textId="77777777" w:rsidR="0007122C" w:rsidRPr="0007122C" w:rsidRDefault="0007122C" w:rsidP="007B3693">
            <w:pPr>
              <w:pStyle w:val="Sraopastraipa"/>
              <w:numPr>
                <w:ilvl w:val="0"/>
                <w:numId w:val="3"/>
              </w:numPr>
              <w:spacing w:after="0" w:line="240" w:lineRule="auto"/>
              <w:jc w:val="both"/>
              <w:rPr>
                <w:rFonts w:ascii="Times New Roman" w:hAnsi="Times New Roman"/>
              </w:rPr>
            </w:pPr>
            <w:r w:rsidRPr="0007122C">
              <w:rPr>
                <w:rFonts w:ascii="Times New Roman" w:hAnsi="Times New Roman"/>
              </w:rPr>
              <w:t>viešųjų paslaugos išlaidų kompensavimo kriterijai objektyvūs, skaidrūs ir nustatyti iš anksto;</w:t>
            </w:r>
          </w:p>
          <w:p w14:paraId="3102F7F6" w14:textId="77777777" w:rsidR="0007122C" w:rsidRPr="0007122C" w:rsidRDefault="0007122C" w:rsidP="007B3693">
            <w:pPr>
              <w:pStyle w:val="Sraopastraipa"/>
              <w:numPr>
                <w:ilvl w:val="0"/>
                <w:numId w:val="3"/>
              </w:numPr>
              <w:spacing w:after="0" w:line="240" w:lineRule="auto"/>
              <w:jc w:val="both"/>
              <w:rPr>
                <w:rFonts w:ascii="Times New Roman" w:hAnsi="Times New Roman"/>
              </w:rPr>
            </w:pPr>
            <w:r w:rsidRPr="0007122C">
              <w:rPr>
                <w:rFonts w:ascii="Times New Roman" w:hAnsi="Times New Roman"/>
              </w:rPr>
              <w:t xml:space="preserve">kompensacija neviršija grynųjų paslaugos teikimo sąnaudų, įskaitant pagrįstą pelną (t. y. kompensuojama nepermokant); ir </w:t>
            </w:r>
          </w:p>
          <w:p w14:paraId="59EF5B5A" w14:textId="77777777" w:rsidR="0007122C" w:rsidRPr="0007122C" w:rsidRDefault="0007122C" w:rsidP="007B3693">
            <w:pPr>
              <w:pStyle w:val="Sraopastraipa"/>
              <w:numPr>
                <w:ilvl w:val="0"/>
                <w:numId w:val="3"/>
              </w:numPr>
              <w:spacing w:after="0" w:line="240" w:lineRule="auto"/>
              <w:jc w:val="both"/>
              <w:rPr>
                <w:rFonts w:ascii="Times New Roman" w:hAnsi="Times New Roman"/>
              </w:rPr>
            </w:pPr>
            <w:r w:rsidRPr="0007122C">
              <w:rPr>
                <w:rFonts w:ascii="Times New Roman" w:hAnsi="Times New Roman"/>
              </w:rPr>
              <w:t xml:space="preserve">viešosios paslaugos įsigyjamos ir kompensacija skiriama įgyvendinant viešojo pirkimo konkurso procedūrą arba, jei viešasis pirkimas nėra rengiamas, įmonės, kuriai patikėta teikti visuotinės </w:t>
            </w:r>
            <w:r w:rsidRPr="0007122C">
              <w:rPr>
                <w:rFonts w:ascii="Times New Roman" w:hAnsi="Times New Roman"/>
              </w:rPr>
              <w:lastRenderedPageBreak/>
              <w:t>ekonominės svarbos paslaugas, išlaidos kompensuojamos pagal įprastos gerai valdomos įmonės patiriamas išlaidas.</w:t>
            </w:r>
          </w:p>
        </w:tc>
      </w:tr>
      <w:tr w:rsidR="0007122C" w:rsidRPr="0007122C" w14:paraId="58D750CA" w14:textId="77777777" w:rsidTr="007B3693">
        <w:trPr>
          <w:trHeight w:val="416"/>
        </w:trPr>
        <w:tc>
          <w:tcPr>
            <w:tcW w:w="5000" w:type="pct"/>
            <w:gridSpan w:val="5"/>
          </w:tcPr>
          <w:p w14:paraId="16CD30D6" w14:textId="77777777" w:rsidR="0007122C" w:rsidRPr="0007122C" w:rsidRDefault="0007122C" w:rsidP="007B3693">
            <w:pPr>
              <w:spacing w:after="0" w:line="240" w:lineRule="auto"/>
              <w:jc w:val="center"/>
              <w:rPr>
                <w:rFonts w:ascii="Times New Roman" w:hAnsi="Times New Roman"/>
                <w:b/>
              </w:rPr>
            </w:pPr>
            <w:r w:rsidRPr="0007122C">
              <w:rPr>
                <w:rFonts w:ascii="Times New Roman" w:hAnsi="Times New Roman"/>
                <w:b/>
              </w:rPr>
              <w:lastRenderedPageBreak/>
              <w:t>Pasirinkimo pagrindimas</w:t>
            </w:r>
          </w:p>
        </w:tc>
      </w:tr>
      <w:tr w:rsidR="0007122C" w:rsidRPr="0007122C" w14:paraId="4B17E59B" w14:textId="77777777" w:rsidTr="007B3693">
        <w:tc>
          <w:tcPr>
            <w:tcW w:w="5000" w:type="pct"/>
            <w:gridSpan w:val="5"/>
          </w:tcPr>
          <w:p w14:paraId="5743476C" w14:textId="77777777" w:rsidR="0007122C" w:rsidRPr="0007122C" w:rsidRDefault="0007122C" w:rsidP="007B3693">
            <w:pPr>
              <w:spacing w:after="0" w:line="240" w:lineRule="auto"/>
              <w:jc w:val="both"/>
              <w:rPr>
                <w:rFonts w:ascii="Times New Roman" w:hAnsi="Times New Roman"/>
              </w:rPr>
            </w:pPr>
            <w:bookmarkStart w:id="2" w:name="_Hlk166732821"/>
          </w:p>
        </w:tc>
      </w:tr>
      <w:bookmarkEnd w:id="2"/>
      <w:tr w:rsidR="0007122C" w:rsidRPr="0007122C" w14:paraId="33992273" w14:textId="77777777" w:rsidTr="007B3693">
        <w:tc>
          <w:tcPr>
            <w:tcW w:w="321" w:type="pct"/>
          </w:tcPr>
          <w:p w14:paraId="6ED0504F" w14:textId="77777777" w:rsidR="0007122C" w:rsidRPr="0007122C" w:rsidRDefault="0007122C" w:rsidP="007B3693">
            <w:pPr>
              <w:pStyle w:val="Sraopastraipa"/>
              <w:numPr>
                <w:ilvl w:val="0"/>
                <w:numId w:val="1"/>
              </w:numPr>
              <w:spacing w:before="120" w:after="120" w:line="240" w:lineRule="auto"/>
              <w:rPr>
                <w:rFonts w:ascii="Times New Roman" w:hAnsi="Times New Roman"/>
                <w:b/>
              </w:rPr>
            </w:pPr>
          </w:p>
        </w:tc>
        <w:tc>
          <w:tcPr>
            <w:tcW w:w="2303" w:type="pct"/>
          </w:tcPr>
          <w:p w14:paraId="48A5E135" w14:textId="77777777" w:rsidR="0007122C" w:rsidRPr="0007122C" w:rsidRDefault="0007122C" w:rsidP="007B3693">
            <w:pPr>
              <w:spacing w:before="120" w:after="120" w:line="240" w:lineRule="auto"/>
              <w:jc w:val="both"/>
              <w:rPr>
                <w:rFonts w:ascii="Times New Roman" w:hAnsi="Times New Roman"/>
                <w:b/>
              </w:rPr>
            </w:pPr>
            <w:r w:rsidRPr="0007122C">
              <w:rPr>
                <w:rFonts w:ascii="Times New Roman" w:hAnsi="Times New Roman"/>
                <w:b/>
              </w:rPr>
              <w:t>Ar finansavimą numatoma teikti/teikiamas tam tikroms pasirinktoms prekėms gaminti ar paslaugoms teikti, arba tam tikriems pasirinktiems ūkio subjektams (-ui), t. y. ar finansavimo priemonė yra selektyvaus pobūdžio?</w:t>
            </w:r>
          </w:p>
        </w:tc>
        <w:tc>
          <w:tcPr>
            <w:tcW w:w="633" w:type="pct"/>
          </w:tcPr>
          <w:p w14:paraId="1EBD877F" w14:textId="77777777" w:rsidR="0007122C" w:rsidRPr="0007122C" w:rsidRDefault="0007122C" w:rsidP="007B3693">
            <w:pPr>
              <w:spacing w:before="120" w:after="120" w:line="240" w:lineRule="auto"/>
              <w:rPr>
                <w:rFonts w:ascii="Times New Roman" w:hAnsi="Times New Roman"/>
              </w:rPr>
            </w:pPr>
            <w:r w:rsidRPr="0007122C">
              <w:rPr>
                <w:rFonts w:ascii="Times New Roman" w:hAnsi="Times New Roman"/>
              </w:rPr>
              <w:fldChar w:fldCharType="begin">
                <w:ffData>
                  <w:name w:val=""/>
                  <w:enabled/>
                  <w:calcOnExit w:val="0"/>
                  <w:checkBox>
                    <w:sizeAuto/>
                    <w:default w:val="0"/>
                  </w:checkBox>
                </w:ffData>
              </w:fldChar>
            </w:r>
            <w:r w:rsidRPr="0007122C">
              <w:rPr>
                <w:rFonts w:ascii="Times New Roman" w:hAnsi="Times New Roman"/>
              </w:rPr>
              <w:instrText xml:space="preserve"> FORMCHECKBOX </w:instrText>
            </w:r>
            <w:r w:rsidRPr="0007122C">
              <w:rPr>
                <w:rFonts w:ascii="Times New Roman" w:hAnsi="Times New Roman"/>
              </w:rPr>
            </w:r>
            <w:r w:rsidRPr="0007122C">
              <w:rPr>
                <w:rFonts w:ascii="Times New Roman" w:hAnsi="Times New Roman"/>
              </w:rPr>
              <w:fldChar w:fldCharType="separate"/>
            </w:r>
            <w:r w:rsidRPr="0007122C">
              <w:rPr>
                <w:rFonts w:ascii="Times New Roman" w:hAnsi="Times New Roman"/>
              </w:rPr>
              <w:fldChar w:fldCharType="end"/>
            </w:r>
            <w:r w:rsidRPr="0007122C">
              <w:rPr>
                <w:rFonts w:ascii="Times New Roman" w:hAnsi="Times New Roman"/>
              </w:rPr>
              <w:t>Taip</w:t>
            </w:r>
          </w:p>
        </w:tc>
        <w:tc>
          <w:tcPr>
            <w:tcW w:w="625" w:type="pct"/>
          </w:tcPr>
          <w:p w14:paraId="6803D36C" w14:textId="77777777" w:rsidR="0007122C" w:rsidRPr="0007122C" w:rsidRDefault="0007122C" w:rsidP="007B3693">
            <w:pPr>
              <w:spacing w:before="120" w:after="120" w:line="240" w:lineRule="auto"/>
              <w:rPr>
                <w:rFonts w:ascii="Times New Roman" w:hAnsi="Times New Roman"/>
              </w:rPr>
            </w:pPr>
            <w:r w:rsidRPr="0007122C">
              <w:rPr>
                <w:rFonts w:ascii="Times New Roman" w:hAnsi="Times New Roman"/>
              </w:rPr>
              <w:fldChar w:fldCharType="begin">
                <w:ffData>
                  <w:name w:val="Check2"/>
                  <w:enabled/>
                  <w:calcOnExit w:val="0"/>
                  <w:checkBox>
                    <w:sizeAuto/>
                    <w:default w:val="0"/>
                  </w:checkBox>
                </w:ffData>
              </w:fldChar>
            </w:r>
            <w:r w:rsidRPr="0007122C">
              <w:rPr>
                <w:rFonts w:ascii="Times New Roman" w:hAnsi="Times New Roman"/>
              </w:rPr>
              <w:instrText xml:space="preserve"> FORMCHECKBOX </w:instrText>
            </w:r>
            <w:r w:rsidRPr="0007122C">
              <w:rPr>
                <w:rFonts w:ascii="Times New Roman" w:hAnsi="Times New Roman"/>
              </w:rPr>
            </w:r>
            <w:r w:rsidRPr="0007122C">
              <w:rPr>
                <w:rFonts w:ascii="Times New Roman" w:hAnsi="Times New Roman"/>
              </w:rPr>
              <w:fldChar w:fldCharType="separate"/>
            </w:r>
            <w:r w:rsidRPr="0007122C">
              <w:rPr>
                <w:rFonts w:ascii="Times New Roman" w:hAnsi="Times New Roman"/>
              </w:rPr>
              <w:fldChar w:fldCharType="end"/>
            </w:r>
            <w:r w:rsidRPr="0007122C">
              <w:rPr>
                <w:rFonts w:ascii="Times New Roman" w:hAnsi="Times New Roman"/>
              </w:rPr>
              <w:t>Ne</w:t>
            </w:r>
          </w:p>
        </w:tc>
        <w:tc>
          <w:tcPr>
            <w:tcW w:w="1118" w:type="pct"/>
          </w:tcPr>
          <w:p w14:paraId="75D2D097" w14:textId="77777777" w:rsidR="0007122C" w:rsidRPr="0007122C" w:rsidRDefault="0007122C" w:rsidP="007B3693">
            <w:pPr>
              <w:spacing w:before="120" w:after="120" w:line="240" w:lineRule="auto"/>
              <w:rPr>
                <w:rFonts w:ascii="Times New Roman" w:hAnsi="Times New Roman"/>
              </w:rPr>
            </w:pPr>
            <w:r w:rsidRPr="0007122C">
              <w:rPr>
                <w:rFonts w:ascii="Times New Roman" w:hAnsi="Times New Roman"/>
              </w:rPr>
              <w:fldChar w:fldCharType="begin">
                <w:ffData>
                  <w:name w:val=""/>
                  <w:enabled/>
                  <w:calcOnExit w:val="0"/>
                  <w:checkBox>
                    <w:sizeAuto/>
                    <w:default w:val="1"/>
                  </w:checkBox>
                </w:ffData>
              </w:fldChar>
            </w:r>
            <w:r w:rsidRPr="0007122C">
              <w:rPr>
                <w:rFonts w:ascii="Times New Roman" w:hAnsi="Times New Roman"/>
              </w:rPr>
              <w:instrText xml:space="preserve"> FORMCHECKBOX </w:instrText>
            </w:r>
            <w:r w:rsidRPr="0007122C">
              <w:rPr>
                <w:rFonts w:ascii="Times New Roman" w:hAnsi="Times New Roman"/>
              </w:rPr>
            </w:r>
            <w:r w:rsidRPr="0007122C">
              <w:rPr>
                <w:rFonts w:ascii="Times New Roman" w:hAnsi="Times New Roman"/>
              </w:rPr>
              <w:fldChar w:fldCharType="separate"/>
            </w:r>
            <w:r w:rsidRPr="0007122C">
              <w:rPr>
                <w:rFonts w:ascii="Times New Roman" w:hAnsi="Times New Roman"/>
              </w:rPr>
              <w:fldChar w:fldCharType="end"/>
            </w:r>
            <w:r w:rsidRPr="0007122C">
              <w:rPr>
                <w:rFonts w:ascii="Times New Roman" w:hAnsi="Times New Roman"/>
              </w:rPr>
              <w:t xml:space="preserve"> Nevertinama</w:t>
            </w:r>
          </w:p>
        </w:tc>
      </w:tr>
      <w:tr w:rsidR="0007122C" w:rsidRPr="0007122C" w14:paraId="57E27BF9" w14:textId="77777777" w:rsidTr="007B3693">
        <w:tc>
          <w:tcPr>
            <w:tcW w:w="5000" w:type="pct"/>
            <w:gridSpan w:val="5"/>
          </w:tcPr>
          <w:p w14:paraId="14CB5758" w14:textId="306C3EDB" w:rsidR="0007122C" w:rsidRPr="0007122C" w:rsidRDefault="0007122C" w:rsidP="007B3693">
            <w:pPr>
              <w:spacing w:after="0" w:line="240" w:lineRule="auto"/>
              <w:jc w:val="both"/>
              <w:rPr>
                <w:rFonts w:ascii="Times New Roman" w:hAnsi="Times New Roman"/>
              </w:rPr>
            </w:pPr>
            <w:r w:rsidRPr="0007122C">
              <w:rPr>
                <w:rFonts w:ascii="Times New Roman" w:hAnsi="Times New Roman"/>
                <w:b/>
              </w:rPr>
              <w:t>Pasirinktinis finansavimo priemonės taikymas (selektyvumas).</w:t>
            </w:r>
            <w:r w:rsidRPr="0007122C">
              <w:rPr>
                <w:rFonts w:ascii="Times New Roman" w:hAnsi="Times New Roman"/>
              </w:rPr>
              <w:t xml:space="preserve"> Pasirinktinai taikomos finansavimo priemonės – tai priemonės, kurios yra skirtos atskiro regiono plėtrai (tame regione esantiems ūkio subjektams), atskiroms veiklos rūšims paremti (finansavimo</w:t>
            </w:r>
            <w:r w:rsidR="00187DAD">
              <w:rPr>
                <w:rFonts w:ascii="Times New Roman" w:hAnsi="Times New Roman"/>
              </w:rPr>
              <w:t xml:space="preserve"> </w:t>
            </w:r>
            <w:r w:rsidRPr="0007122C">
              <w:rPr>
                <w:rFonts w:ascii="Times New Roman" w:hAnsi="Times New Roman"/>
              </w:rPr>
              <w:t xml:space="preserve">/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rsidRPr="0007122C">
              <w:rPr>
                <w:rFonts w:ascii="Times New Roman" w:hAnsi="Times New Roman"/>
              </w:rPr>
              <w:t>diskrecijos</w:t>
            </w:r>
            <w:proofErr w:type="spellEnd"/>
            <w:r w:rsidRPr="0007122C">
              <w:rPr>
                <w:rFonts w:ascii="Times New Roman" w:hAnsi="Times New Roman"/>
              </w:rPr>
              <w:t xml:space="preserve"> teise. </w:t>
            </w:r>
          </w:p>
        </w:tc>
      </w:tr>
      <w:tr w:rsidR="0007122C" w:rsidRPr="0007122C" w14:paraId="67FE57FD" w14:textId="77777777" w:rsidTr="007B3693">
        <w:tc>
          <w:tcPr>
            <w:tcW w:w="5000" w:type="pct"/>
            <w:gridSpan w:val="5"/>
          </w:tcPr>
          <w:p w14:paraId="26BAD15B" w14:textId="77777777" w:rsidR="0007122C" w:rsidRPr="0007122C" w:rsidRDefault="0007122C" w:rsidP="007B3693">
            <w:pPr>
              <w:spacing w:after="0" w:line="240" w:lineRule="auto"/>
              <w:jc w:val="center"/>
              <w:rPr>
                <w:rFonts w:ascii="Times New Roman" w:hAnsi="Times New Roman"/>
                <w:b/>
              </w:rPr>
            </w:pPr>
            <w:r w:rsidRPr="0007122C">
              <w:rPr>
                <w:rFonts w:ascii="Times New Roman" w:hAnsi="Times New Roman"/>
                <w:b/>
              </w:rPr>
              <w:t>Pasirinkimo pagrindimas</w:t>
            </w:r>
          </w:p>
        </w:tc>
      </w:tr>
      <w:tr w:rsidR="0007122C" w:rsidRPr="0007122C" w14:paraId="5DA1A497" w14:textId="77777777" w:rsidTr="007B3693">
        <w:tc>
          <w:tcPr>
            <w:tcW w:w="5000" w:type="pct"/>
            <w:gridSpan w:val="5"/>
          </w:tcPr>
          <w:p w14:paraId="23826D23" w14:textId="77777777" w:rsidR="0007122C" w:rsidRPr="0007122C" w:rsidRDefault="0007122C" w:rsidP="007B3693">
            <w:pPr>
              <w:tabs>
                <w:tab w:val="left" w:pos="317"/>
              </w:tabs>
              <w:spacing w:after="0"/>
              <w:jc w:val="both"/>
              <w:rPr>
                <w:rFonts w:ascii="Times New Roman" w:hAnsi="Times New Roman"/>
                <w:i/>
              </w:rPr>
            </w:pPr>
          </w:p>
        </w:tc>
      </w:tr>
      <w:tr w:rsidR="0007122C" w:rsidRPr="0007122C" w14:paraId="58E74E6E" w14:textId="77777777" w:rsidTr="007B3693">
        <w:tc>
          <w:tcPr>
            <w:tcW w:w="321" w:type="pct"/>
          </w:tcPr>
          <w:p w14:paraId="1D341CA2" w14:textId="77777777" w:rsidR="0007122C" w:rsidRPr="0007122C" w:rsidRDefault="0007122C" w:rsidP="007B3693">
            <w:pPr>
              <w:pStyle w:val="Sraopastraipa"/>
              <w:numPr>
                <w:ilvl w:val="0"/>
                <w:numId w:val="1"/>
              </w:numPr>
              <w:spacing w:before="120" w:after="120" w:line="240" w:lineRule="auto"/>
              <w:rPr>
                <w:rFonts w:ascii="Times New Roman" w:hAnsi="Times New Roman"/>
                <w:b/>
              </w:rPr>
            </w:pPr>
          </w:p>
        </w:tc>
        <w:tc>
          <w:tcPr>
            <w:tcW w:w="2303" w:type="pct"/>
          </w:tcPr>
          <w:p w14:paraId="733B3C47" w14:textId="77777777" w:rsidR="0007122C" w:rsidRPr="0007122C" w:rsidRDefault="0007122C" w:rsidP="007B3693">
            <w:pPr>
              <w:spacing w:before="120" w:after="120" w:line="240" w:lineRule="auto"/>
              <w:rPr>
                <w:rFonts w:ascii="Times New Roman" w:hAnsi="Times New Roman"/>
                <w:b/>
              </w:rPr>
            </w:pPr>
            <w:r w:rsidRPr="0007122C">
              <w:rPr>
                <w:rFonts w:ascii="Times New Roman" w:hAnsi="Times New Roman"/>
                <w:b/>
              </w:rPr>
              <w:t>Ar finansavimas gali iškraipyti konkurenciją ir veikti prekybą tarp ES šalių?</w:t>
            </w:r>
          </w:p>
        </w:tc>
        <w:tc>
          <w:tcPr>
            <w:tcW w:w="633" w:type="pct"/>
          </w:tcPr>
          <w:p w14:paraId="4284704C" w14:textId="77777777" w:rsidR="0007122C" w:rsidRPr="0007122C" w:rsidRDefault="0007122C" w:rsidP="007B3693">
            <w:pPr>
              <w:spacing w:before="120" w:after="120" w:line="240" w:lineRule="auto"/>
              <w:rPr>
                <w:rFonts w:ascii="Times New Roman" w:hAnsi="Times New Roman"/>
              </w:rPr>
            </w:pPr>
            <w:r w:rsidRPr="0007122C">
              <w:rPr>
                <w:rFonts w:ascii="Times New Roman" w:hAnsi="Times New Roman"/>
              </w:rPr>
              <w:fldChar w:fldCharType="begin">
                <w:ffData>
                  <w:name w:val="Check1"/>
                  <w:enabled/>
                  <w:calcOnExit w:val="0"/>
                  <w:checkBox>
                    <w:sizeAuto/>
                    <w:default w:val="0"/>
                  </w:checkBox>
                </w:ffData>
              </w:fldChar>
            </w:r>
            <w:r w:rsidRPr="0007122C">
              <w:rPr>
                <w:rFonts w:ascii="Times New Roman" w:hAnsi="Times New Roman"/>
              </w:rPr>
              <w:instrText xml:space="preserve"> FORMCHECKBOX </w:instrText>
            </w:r>
            <w:r w:rsidRPr="0007122C">
              <w:rPr>
                <w:rFonts w:ascii="Times New Roman" w:hAnsi="Times New Roman"/>
              </w:rPr>
            </w:r>
            <w:r w:rsidRPr="0007122C">
              <w:rPr>
                <w:rFonts w:ascii="Times New Roman" w:hAnsi="Times New Roman"/>
              </w:rPr>
              <w:fldChar w:fldCharType="separate"/>
            </w:r>
            <w:r w:rsidRPr="0007122C">
              <w:rPr>
                <w:rFonts w:ascii="Times New Roman" w:hAnsi="Times New Roman"/>
              </w:rPr>
              <w:fldChar w:fldCharType="end"/>
            </w:r>
            <w:r w:rsidRPr="0007122C">
              <w:rPr>
                <w:rFonts w:ascii="Times New Roman" w:hAnsi="Times New Roman"/>
              </w:rPr>
              <w:t>Taip</w:t>
            </w:r>
          </w:p>
        </w:tc>
        <w:tc>
          <w:tcPr>
            <w:tcW w:w="625" w:type="pct"/>
          </w:tcPr>
          <w:p w14:paraId="6DD4DADD" w14:textId="77777777" w:rsidR="0007122C" w:rsidRPr="0007122C" w:rsidRDefault="0007122C" w:rsidP="007B3693">
            <w:pPr>
              <w:spacing w:before="120" w:after="120" w:line="240" w:lineRule="auto"/>
              <w:rPr>
                <w:rFonts w:ascii="Times New Roman" w:hAnsi="Times New Roman"/>
              </w:rPr>
            </w:pPr>
            <w:r w:rsidRPr="0007122C">
              <w:rPr>
                <w:rFonts w:ascii="Times New Roman" w:hAnsi="Times New Roman"/>
              </w:rPr>
              <w:fldChar w:fldCharType="begin">
                <w:ffData>
                  <w:name w:val="Check2"/>
                  <w:enabled/>
                  <w:calcOnExit w:val="0"/>
                  <w:checkBox>
                    <w:sizeAuto/>
                    <w:default w:val="0"/>
                  </w:checkBox>
                </w:ffData>
              </w:fldChar>
            </w:r>
            <w:r w:rsidRPr="0007122C">
              <w:rPr>
                <w:rFonts w:ascii="Times New Roman" w:hAnsi="Times New Roman"/>
              </w:rPr>
              <w:instrText xml:space="preserve"> </w:instrText>
            </w:r>
            <w:bookmarkStart w:id="3" w:name="Check2"/>
            <w:r w:rsidRPr="0007122C">
              <w:rPr>
                <w:rFonts w:ascii="Times New Roman" w:hAnsi="Times New Roman"/>
              </w:rPr>
              <w:instrText xml:space="preserve">FORMCHECKBOX </w:instrText>
            </w:r>
            <w:r w:rsidRPr="0007122C">
              <w:rPr>
                <w:rFonts w:ascii="Times New Roman" w:hAnsi="Times New Roman"/>
              </w:rPr>
            </w:r>
            <w:r w:rsidRPr="0007122C">
              <w:rPr>
                <w:rFonts w:ascii="Times New Roman" w:hAnsi="Times New Roman"/>
              </w:rPr>
              <w:fldChar w:fldCharType="separate"/>
            </w:r>
            <w:r w:rsidRPr="0007122C">
              <w:rPr>
                <w:rFonts w:ascii="Times New Roman" w:hAnsi="Times New Roman"/>
              </w:rPr>
              <w:fldChar w:fldCharType="end"/>
            </w:r>
            <w:bookmarkEnd w:id="3"/>
            <w:r w:rsidRPr="0007122C">
              <w:rPr>
                <w:rFonts w:ascii="Times New Roman" w:hAnsi="Times New Roman"/>
              </w:rPr>
              <w:t>Ne</w:t>
            </w:r>
          </w:p>
        </w:tc>
        <w:tc>
          <w:tcPr>
            <w:tcW w:w="1118" w:type="pct"/>
          </w:tcPr>
          <w:p w14:paraId="19DD4686" w14:textId="77777777" w:rsidR="0007122C" w:rsidRPr="0007122C" w:rsidRDefault="0007122C" w:rsidP="007B3693">
            <w:pPr>
              <w:spacing w:before="120" w:after="120" w:line="240" w:lineRule="auto"/>
              <w:rPr>
                <w:rFonts w:ascii="Times New Roman" w:hAnsi="Times New Roman"/>
              </w:rPr>
            </w:pPr>
            <w:r w:rsidRPr="0007122C">
              <w:rPr>
                <w:rFonts w:ascii="Times New Roman" w:hAnsi="Times New Roman"/>
              </w:rPr>
              <w:fldChar w:fldCharType="begin">
                <w:ffData>
                  <w:name w:val=""/>
                  <w:enabled/>
                  <w:calcOnExit w:val="0"/>
                  <w:checkBox>
                    <w:sizeAuto/>
                    <w:default w:val="1"/>
                  </w:checkBox>
                </w:ffData>
              </w:fldChar>
            </w:r>
            <w:r w:rsidRPr="0007122C">
              <w:rPr>
                <w:rFonts w:ascii="Times New Roman" w:hAnsi="Times New Roman"/>
              </w:rPr>
              <w:instrText xml:space="preserve"> FORMCHECKBOX </w:instrText>
            </w:r>
            <w:r w:rsidRPr="0007122C">
              <w:rPr>
                <w:rFonts w:ascii="Times New Roman" w:hAnsi="Times New Roman"/>
              </w:rPr>
            </w:r>
            <w:r w:rsidRPr="0007122C">
              <w:rPr>
                <w:rFonts w:ascii="Times New Roman" w:hAnsi="Times New Roman"/>
              </w:rPr>
              <w:fldChar w:fldCharType="separate"/>
            </w:r>
            <w:r w:rsidRPr="0007122C">
              <w:rPr>
                <w:rFonts w:ascii="Times New Roman" w:hAnsi="Times New Roman"/>
              </w:rPr>
              <w:fldChar w:fldCharType="end"/>
            </w:r>
            <w:r w:rsidRPr="0007122C">
              <w:rPr>
                <w:rFonts w:ascii="Times New Roman" w:hAnsi="Times New Roman"/>
              </w:rPr>
              <w:t xml:space="preserve"> Nevertinama</w:t>
            </w:r>
          </w:p>
        </w:tc>
      </w:tr>
      <w:tr w:rsidR="0007122C" w:rsidRPr="0007122C" w14:paraId="174F9EDC" w14:textId="77777777" w:rsidTr="007B3693">
        <w:tc>
          <w:tcPr>
            <w:tcW w:w="5000" w:type="pct"/>
            <w:gridSpan w:val="5"/>
          </w:tcPr>
          <w:p w14:paraId="3CB8C44D" w14:textId="77777777" w:rsidR="0007122C" w:rsidRPr="0007122C" w:rsidRDefault="0007122C" w:rsidP="007B3693">
            <w:pPr>
              <w:spacing w:after="0" w:line="240" w:lineRule="auto"/>
              <w:jc w:val="both"/>
              <w:rPr>
                <w:rFonts w:ascii="Times New Roman" w:hAnsi="Times New Roman"/>
              </w:rPr>
            </w:pPr>
            <w:r w:rsidRPr="0007122C">
              <w:rPr>
                <w:rFonts w:ascii="Times New Roman" w:hAnsi="Times New Roman"/>
                <w:b/>
              </w:rPr>
              <w:t>Poveikis konkurencijai ir prekybai tarp ES šalių.</w:t>
            </w:r>
            <w:r w:rsidRPr="0007122C">
              <w:rPr>
                <w:rFonts w:ascii="Times New Roman" w:hAnsi="Times New Roman"/>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07122C" w:rsidRPr="0007122C" w14:paraId="387230E9" w14:textId="77777777" w:rsidTr="007B3693">
        <w:tc>
          <w:tcPr>
            <w:tcW w:w="5000" w:type="pct"/>
            <w:gridSpan w:val="5"/>
          </w:tcPr>
          <w:p w14:paraId="648E0C13" w14:textId="77777777" w:rsidR="0007122C" w:rsidRPr="0007122C" w:rsidRDefault="0007122C" w:rsidP="007B3693">
            <w:pPr>
              <w:spacing w:after="0" w:line="240" w:lineRule="auto"/>
              <w:jc w:val="center"/>
              <w:rPr>
                <w:rFonts w:ascii="Times New Roman" w:hAnsi="Times New Roman"/>
                <w:b/>
              </w:rPr>
            </w:pPr>
            <w:r w:rsidRPr="0007122C">
              <w:rPr>
                <w:rFonts w:ascii="Times New Roman" w:hAnsi="Times New Roman"/>
                <w:b/>
              </w:rPr>
              <w:t>Pasirinkimo pagrindimas</w:t>
            </w:r>
          </w:p>
        </w:tc>
      </w:tr>
      <w:tr w:rsidR="0007122C" w:rsidRPr="0007122C" w14:paraId="7F730431" w14:textId="77777777" w:rsidTr="007B3693">
        <w:tc>
          <w:tcPr>
            <w:tcW w:w="5000" w:type="pct"/>
            <w:gridSpan w:val="5"/>
          </w:tcPr>
          <w:p w14:paraId="0FCB25BA" w14:textId="77777777" w:rsidR="0007122C" w:rsidRPr="0007122C" w:rsidRDefault="0007122C" w:rsidP="007B3693">
            <w:pPr>
              <w:spacing w:after="0" w:line="240" w:lineRule="auto"/>
              <w:jc w:val="both"/>
              <w:rPr>
                <w:rFonts w:ascii="Times New Roman" w:hAnsi="Times New Roman"/>
                <w:i/>
              </w:rPr>
            </w:pPr>
          </w:p>
        </w:tc>
      </w:tr>
      <w:tr w:rsidR="0007122C" w:rsidRPr="0007122C" w14:paraId="1B125051" w14:textId="77777777" w:rsidTr="007B3693">
        <w:tc>
          <w:tcPr>
            <w:tcW w:w="5000" w:type="pct"/>
            <w:gridSpan w:val="5"/>
            <w:shd w:val="pct20" w:color="auto" w:fill="auto"/>
          </w:tcPr>
          <w:p w14:paraId="7A74D1C5" w14:textId="77777777" w:rsidR="0007122C" w:rsidRPr="0007122C" w:rsidRDefault="0007122C" w:rsidP="007B3693">
            <w:pPr>
              <w:pStyle w:val="Sraopastraipa"/>
              <w:numPr>
                <w:ilvl w:val="0"/>
                <w:numId w:val="2"/>
              </w:numPr>
              <w:spacing w:after="0" w:line="240" w:lineRule="auto"/>
              <w:jc w:val="both"/>
              <w:rPr>
                <w:rFonts w:ascii="Times New Roman" w:hAnsi="Times New Roman"/>
                <w:b/>
              </w:rPr>
            </w:pPr>
            <w:r w:rsidRPr="0007122C">
              <w:rPr>
                <w:rFonts w:ascii="Times New Roman" w:hAnsi="Times New Roman"/>
                <w:b/>
              </w:rPr>
              <w:t>Išvados dėl valstybės pagalbos (ne)buvimo</w:t>
            </w:r>
          </w:p>
          <w:p w14:paraId="6EA06A13" w14:textId="77777777" w:rsidR="0007122C" w:rsidRPr="0007122C" w:rsidRDefault="0007122C" w:rsidP="007B3693">
            <w:pPr>
              <w:pStyle w:val="Sraopastraipa"/>
              <w:spacing w:after="0" w:line="240" w:lineRule="auto"/>
              <w:ind w:left="0"/>
              <w:jc w:val="both"/>
              <w:rPr>
                <w:rFonts w:ascii="Times New Roman" w:hAnsi="Times New Roman"/>
                <w:i/>
              </w:rPr>
            </w:pPr>
            <w:r w:rsidRPr="0007122C">
              <w:rPr>
                <w:rFonts w:ascii="Times New Roman" w:hAnsi="Times New Roman"/>
                <w:i/>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07122C" w:rsidRPr="0007122C" w14:paraId="5EABB7CE" w14:textId="77777777" w:rsidTr="007B3693">
        <w:tc>
          <w:tcPr>
            <w:tcW w:w="5000" w:type="pct"/>
            <w:gridSpan w:val="5"/>
          </w:tcPr>
          <w:p w14:paraId="289FFF2E" w14:textId="1BC9494E" w:rsidR="0007122C" w:rsidRPr="0007122C" w:rsidRDefault="0007122C" w:rsidP="007B3693">
            <w:pPr>
              <w:spacing w:before="240" w:after="120"/>
              <w:jc w:val="both"/>
              <w:rPr>
                <w:rFonts w:ascii="Times New Roman" w:hAnsi="Times New Roman"/>
              </w:rPr>
            </w:pPr>
            <w:r w:rsidRPr="0007122C">
              <w:rPr>
                <w:rFonts w:ascii="Times New Roman" w:hAnsi="Times New Roman"/>
              </w:rPr>
              <w:fldChar w:fldCharType="begin">
                <w:ffData>
                  <w:name w:val=""/>
                  <w:enabled/>
                  <w:calcOnExit w:val="0"/>
                  <w:checkBox>
                    <w:sizeAuto/>
                    <w:default w:val="1"/>
                  </w:checkBox>
                </w:ffData>
              </w:fldChar>
            </w:r>
            <w:r w:rsidRPr="0007122C">
              <w:rPr>
                <w:rFonts w:ascii="Times New Roman" w:hAnsi="Times New Roman"/>
              </w:rPr>
              <w:instrText xml:space="preserve"> FORMCHECKBOX </w:instrText>
            </w:r>
            <w:r w:rsidRPr="0007122C">
              <w:rPr>
                <w:rFonts w:ascii="Times New Roman" w:hAnsi="Times New Roman"/>
              </w:rPr>
            </w:r>
            <w:r w:rsidRPr="0007122C">
              <w:rPr>
                <w:rFonts w:ascii="Times New Roman" w:hAnsi="Times New Roman"/>
              </w:rPr>
              <w:fldChar w:fldCharType="separate"/>
            </w:r>
            <w:r w:rsidRPr="0007122C">
              <w:rPr>
                <w:rFonts w:ascii="Times New Roman" w:hAnsi="Times New Roman"/>
              </w:rPr>
              <w:fldChar w:fldCharType="end"/>
            </w:r>
            <w:r w:rsidRPr="0007122C">
              <w:rPr>
                <w:rFonts w:ascii="Times New Roman" w:hAnsi="Times New Roman"/>
              </w:rPr>
              <w:t xml:space="preserve"> Pagal priemonės veiklą ar </w:t>
            </w:r>
            <w:proofErr w:type="spellStart"/>
            <w:r w:rsidRPr="0007122C">
              <w:rPr>
                <w:rFonts w:ascii="Times New Roman" w:hAnsi="Times New Roman"/>
              </w:rPr>
              <w:t>poveiklę</w:t>
            </w:r>
            <w:proofErr w:type="spellEnd"/>
            <w:r w:rsidR="007C1BFF">
              <w:rPr>
                <w:rFonts w:ascii="Times New Roman" w:hAnsi="Times New Roman"/>
              </w:rPr>
              <w:t xml:space="preserve"> </w:t>
            </w:r>
            <w:r w:rsidRPr="0007122C">
              <w:rPr>
                <w:rFonts w:ascii="Times New Roman" w:hAnsi="Times New Roman"/>
              </w:rPr>
              <w:t>/</w:t>
            </w:r>
            <w:r w:rsidR="007C1BFF">
              <w:rPr>
                <w:rFonts w:ascii="Times New Roman" w:hAnsi="Times New Roman"/>
              </w:rPr>
              <w:t xml:space="preserve"> </w:t>
            </w:r>
            <w:r w:rsidRPr="0007122C">
              <w:rPr>
                <w:rFonts w:ascii="Times New Roman" w:hAnsi="Times New Roman"/>
              </w:rPr>
              <w:t>projektui nebus</w:t>
            </w:r>
            <w:r w:rsidR="007C1BFF">
              <w:rPr>
                <w:rFonts w:ascii="Times New Roman" w:hAnsi="Times New Roman"/>
              </w:rPr>
              <w:t xml:space="preserve"> </w:t>
            </w:r>
            <w:r w:rsidRPr="0007122C">
              <w:rPr>
                <w:rFonts w:ascii="Times New Roman" w:hAnsi="Times New Roman"/>
              </w:rPr>
              <w:t>/</w:t>
            </w:r>
            <w:r w:rsidR="007C1BFF">
              <w:rPr>
                <w:rFonts w:ascii="Times New Roman" w:hAnsi="Times New Roman"/>
              </w:rPr>
              <w:t xml:space="preserve"> </w:t>
            </w:r>
            <w:r w:rsidRPr="0007122C">
              <w:rPr>
                <w:rFonts w:ascii="Times New Roman" w:hAnsi="Times New Roman"/>
              </w:rPr>
              <w:t xml:space="preserve">nėra teikiama valstybės pagalba (žymima, jei į nors vieną I dalies klausimą atsakyta neigiamai). </w:t>
            </w:r>
          </w:p>
          <w:p w14:paraId="1D0D53B1" w14:textId="11FF7CF5" w:rsidR="0007122C" w:rsidRPr="0007122C" w:rsidRDefault="0007122C" w:rsidP="007B3693">
            <w:pPr>
              <w:spacing w:before="240" w:after="120"/>
              <w:jc w:val="both"/>
              <w:rPr>
                <w:rFonts w:ascii="Times New Roman" w:hAnsi="Times New Roman"/>
              </w:rPr>
            </w:pPr>
            <w:r w:rsidRPr="0007122C">
              <w:rPr>
                <w:rFonts w:ascii="Times New Roman" w:hAnsi="Times New Roman"/>
              </w:rPr>
              <w:fldChar w:fldCharType="begin">
                <w:ffData>
                  <w:name w:val="Check1"/>
                  <w:enabled/>
                  <w:calcOnExit w:val="0"/>
                  <w:checkBox>
                    <w:sizeAuto/>
                    <w:default w:val="0"/>
                  </w:checkBox>
                </w:ffData>
              </w:fldChar>
            </w:r>
            <w:r w:rsidRPr="0007122C">
              <w:rPr>
                <w:rFonts w:ascii="Times New Roman" w:hAnsi="Times New Roman"/>
              </w:rPr>
              <w:instrText xml:space="preserve"> FORMCHECKBOX </w:instrText>
            </w:r>
            <w:r w:rsidRPr="0007122C">
              <w:rPr>
                <w:rFonts w:ascii="Times New Roman" w:hAnsi="Times New Roman"/>
              </w:rPr>
            </w:r>
            <w:r w:rsidRPr="0007122C">
              <w:rPr>
                <w:rFonts w:ascii="Times New Roman" w:hAnsi="Times New Roman"/>
              </w:rPr>
              <w:fldChar w:fldCharType="separate"/>
            </w:r>
            <w:r w:rsidRPr="0007122C">
              <w:rPr>
                <w:rFonts w:ascii="Times New Roman" w:hAnsi="Times New Roman"/>
              </w:rPr>
              <w:fldChar w:fldCharType="end"/>
            </w:r>
            <w:r w:rsidRPr="0007122C">
              <w:rPr>
                <w:rFonts w:ascii="Times New Roman" w:hAnsi="Times New Roman"/>
              </w:rPr>
              <w:t xml:space="preserve"> Pagal priemonės veiklą ar </w:t>
            </w:r>
            <w:proofErr w:type="spellStart"/>
            <w:r w:rsidRPr="0007122C">
              <w:rPr>
                <w:rFonts w:ascii="Times New Roman" w:hAnsi="Times New Roman"/>
              </w:rPr>
              <w:t>poveiklę</w:t>
            </w:r>
            <w:proofErr w:type="spellEnd"/>
            <w:r w:rsidR="00410A2C">
              <w:rPr>
                <w:rFonts w:ascii="Times New Roman" w:hAnsi="Times New Roman"/>
              </w:rPr>
              <w:t xml:space="preserve"> </w:t>
            </w:r>
            <w:r w:rsidRPr="0007122C">
              <w:rPr>
                <w:rFonts w:ascii="Times New Roman" w:hAnsi="Times New Roman"/>
              </w:rPr>
              <w:t>/</w:t>
            </w:r>
            <w:r w:rsidR="00410A2C">
              <w:rPr>
                <w:rFonts w:ascii="Times New Roman" w:hAnsi="Times New Roman"/>
              </w:rPr>
              <w:t xml:space="preserve"> </w:t>
            </w:r>
            <w:r w:rsidRPr="0007122C">
              <w:rPr>
                <w:rFonts w:ascii="Times New Roman" w:hAnsi="Times New Roman"/>
              </w:rPr>
              <w:t>projektui bus</w:t>
            </w:r>
            <w:r w:rsidR="00410A2C">
              <w:rPr>
                <w:rFonts w:ascii="Times New Roman" w:hAnsi="Times New Roman"/>
              </w:rPr>
              <w:t xml:space="preserve"> </w:t>
            </w:r>
            <w:r w:rsidRPr="0007122C">
              <w:rPr>
                <w:rFonts w:ascii="Times New Roman" w:hAnsi="Times New Roman"/>
              </w:rPr>
              <w:t>/</w:t>
            </w:r>
            <w:r w:rsidR="00410A2C">
              <w:rPr>
                <w:rFonts w:ascii="Times New Roman" w:hAnsi="Times New Roman"/>
              </w:rPr>
              <w:t xml:space="preserve"> </w:t>
            </w:r>
            <w:r w:rsidRPr="0007122C">
              <w:rPr>
                <w:rFonts w:ascii="Times New Roman" w:hAnsi="Times New Roman"/>
              </w:rPr>
              <w:t>yra teikiama valstybės pagalba (žymima, jei į visus I dalies klausimus atsakyta teigiamai).</w:t>
            </w:r>
          </w:p>
          <w:p w14:paraId="235067D2" w14:textId="16D24D78" w:rsidR="0007122C" w:rsidRPr="0007122C" w:rsidRDefault="0007122C" w:rsidP="007B3693">
            <w:pPr>
              <w:spacing w:before="240" w:after="120"/>
              <w:jc w:val="both"/>
              <w:rPr>
                <w:rFonts w:ascii="Times New Roman" w:hAnsi="Times New Roman"/>
              </w:rPr>
            </w:pPr>
            <w:r w:rsidRPr="0007122C">
              <w:rPr>
                <w:rFonts w:ascii="Times New Roman" w:hAnsi="Times New Roman"/>
              </w:rPr>
              <w:lastRenderedPageBreak/>
              <w:fldChar w:fldCharType="begin">
                <w:ffData>
                  <w:name w:val="Check1"/>
                  <w:enabled/>
                  <w:calcOnExit w:val="0"/>
                  <w:checkBox>
                    <w:sizeAuto/>
                    <w:default w:val="0"/>
                  </w:checkBox>
                </w:ffData>
              </w:fldChar>
            </w:r>
            <w:r w:rsidRPr="0007122C">
              <w:rPr>
                <w:rFonts w:ascii="Times New Roman" w:hAnsi="Times New Roman"/>
              </w:rPr>
              <w:instrText xml:space="preserve"> FORMCHECKBOX </w:instrText>
            </w:r>
            <w:r w:rsidRPr="0007122C">
              <w:rPr>
                <w:rFonts w:ascii="Times New Roman" w:hAnsi="Times New Roman"/>
              </w:rPr>
            </w:r>
            <w:r w:rsidRPr="0007122C">
              <w:rPr>
                <w:rFonts w:ascii="Times New Roman" w:hAnsi="Times New Roman"/>
              </w:rPr>
              <w:fldChar w:fldCharType="separate"/>
            </w:r>
            <w:r w:rsidRPr="0007122C">
              <w:rPr>
                <w:rFonts w:ascii="Times New Roman" w:hAnsi="Times New Roman"/>
              </w:rPr>
              <w:fldChar w:fldCharType="end"/>
            </w:r>
            <w:r w:rsidRPr="0007122C">
              <w:rPr>
                <w:rFonts w:ascii="Times New Roman" w:hAnsi="Times New Roman"/>
              </w:rPr>
              <w:t xml:space="preserve"> Pagal priemonės veiklą ar </w:t>
            </w:r>
            <w:proofErr w:type="spellStart"/>
            <w:r w:rsidRPr="0007122C">
              <w:rPr>
                <w:rFonts w:ascii="Times New Roman" w:hAnsi="Times New Roman"/>
              </w:rPr>
              <w:t>poveiklę</w:t>
            </w:r>
            <w:proofErr w:type="spellEnd"/>
            <w:r w:rsidR="00410A2C">
              <w:rPr>
                <w:rFonts w:ascii="Times New Roman" w:hAnsi="Times New Roman"/>
              </w:rPr>
              <w:t xml:space="preserve"> </w:t>
            </w:r>
            <w:r w:rsidRPr="0007122C">
              <w:rPr>
                <w:rFonts w:ascii="Times New Roman" w:hAnsi="Times New Roman"/>
              </w:rPr>
              <w:t>/</w:t>
            </w:r>
            <w:r w:rsidR="00410A2C">
              <w:rPr>
                <w:rFonts w:ascii="Times New Roman" w:hAnsi="Times New Roman"/>
              </w:rPr>
              <w:t xml:space="preserve"> </w:t>
            </w:r>
            <w:r w:rsidRPr="0007122C">
              <w:rPr>
                <w:rFonts w:ascii="Times New Roman" w:hAnsi="Times New Roman"/>
              </w:rPr>
              <w:t>projektą remtinos veiklos nebus laikomos valstybės pagalba, tačiau ja gali tapti (žymima, jei į nors vieną I dalies klausimą atsakyta neigiamai, tačiau pastabose nurodyta, kad tam tikrus aspektus reikia nuolat stebėti dėl rizikos finansavimui tapti valstybės</w:t>
            </w:r>
            <w:r w:rsidR="00054C14">
              <w:rPr>
                <w:rFonts w:ascii="Times New Roman" w:hAnsi="Times New Roman"/>
              </w:rPr>
              <w:t xml:space="preserve"> </w:t>
            </w:r>
            <w:r w:rsidRPr="0007122C">
              <w:rPr>
                <w:rFonts w:ascii="Times New Roman" w:hAnsi="Times New Roman"/>
              </w:rPr>
              <w:t>/</w:t>
            </w:r>
            <w:r w:rsidR="00054C14">
              <w:rPr>
                <w:rFonts w:ascii="Times New Roman" w:hAnsi="Times New Roman"/>
              </w:rPr>
              <w:t xml:space="preserve"> </w:t>
            </w:r>
            <w:r w:rsidRPr="0007122C">
              <w:rPr>
                <w:rFonts w:ascii="Times New Roman" w:hAnsi="Times New Roman"/>
              </w:rPr>
              <w:t xml:space="preserve">de </w:t>
            </w:r>
            <w:proofErr w:type="spellStart"/>
            <w:r w:rsidRPr="0007122C">
              <w:rPr>
                <w:rFonts w:ascii="Times New Roman" w:hAnsi="Times New Roman"/>
              </w:rPr>
              <w:t>minimis</w:t>
            </w:r>
            <w:proofErr w:type="spellEnd"/>
            <w:r w:rsidRPr="0007122C">
              <w:rPr>
                <w:rFonts w:ascii="Times New Roman" w:hAnsi="Times New Roman"/>
              </w:rPr>
              <w:t xml:space="preserve"> pagalba). Pagrindžiant pasirinkimą nurodomi tolimesni veiksmai ir numatomos rizikos valdymo priemonės. </w:t>
            </w:r>
          </w:p>
        </w:tc>
      </w:tr>
      <w:tr w:rsidR="0007122C" w:rsidRPr="0007122C" w14:paraId="20650A8D" w14:textId="77777777" w:rsidTr="007B3693">
        <w:tc>
          <w:tcPr>
            <w:tcW w:w="5000" w:type="pct"/>
            <w:gridSpan w:val="5"/>
          </w:tcPr>
          <w:p w14:paraId="7CB755D7" w14:textId="77777777" w:rsidR="0007122C" w:rsidRPr="0007122C" w:rsidRDefault="0007122C" w:rsidP="007B3693">
            <w:pPr>
              <w:spacing w:after="0" w:line="240" w:lineRule="auto"/>
              <w:jc w:val="center"/>
              <w:rPr>
                <w:rFonts w:ascii="Times New Roman" w:hAnsi="Times New Roman"/>
                <w:b/>
              </w:rPr>
            </w:pPr>
            <w:r w:rsidRPr="0007122C">
              <w:rPr>
                <w:rFonts w:ascii="Times New Roman" w:hAnsi="Times New Roman"/>
                <w:b/>
              </w:rPr>
              <w:lastRenderedPageBreak/>
              <w:t>Pasirinkimo pagrindimas</w:t>
            </w:r>
          </w:p>
        </w:tc>
      </w:tr>
      <w:tr w:rsidR="0007122C" w:rsidRPr="0007122C" w14:paraId="79AC022E" w14:textId="77777777" w:rsidTr="007B3693">
        <w:tc>
          <w:tcPr>
            <w:tcW w:w="5000" w:type="pct"/>
            <w:gridSpan w:val="5"/>
          </w:tcPr>
          <w:p w14:paraId="5F5276FF" w14:textId="6E76B734" w:rsidR="0007122C" w:rsidRPr="0007122C" w:rsidRDefault="0007122C" w:rsidP="007B3693">
            <w:pPr>
              <w:pStyle w:val="Betarp"/>
              <w:jc w:val="both"/>
              <w:rPr>
                <w:rFonts w:ascii="Times New Roman" w:hAnsi="Times New Roman"/>
                <w:iCs/>
                <w:lang w:val="lt-LT"/>
              </w:rPr>
            </w:pPr>
            <w:r w:rsidRPr="0007122C">
              <w:rPr>
                <w:rFonts w:ascii="Times New Roman" w:hAnsi="Times New Roman"/>
                <w:lang w:val="lt-LT"/>
              </w:rPr>
              <w:t>Pagal pažangos priemonės Nr</w:t>
            </w:r>
            <w:r w:rsidRPr="0007122C">
              <w:rPr>
                <w:rFonts w:ascii="Times New Roman" w:hAnsi="Times New Roman"/>
                <w:color w:val="FF0000"/>
                <w:lang w:val="lt-LT"/>
              </w:rPr>
              <w:t xml:space="preserve">. </w:t>
            </w:r>
            <w:r w:rsidRPr="0007122C">
              <w:rPr>
                <w:rFonts w:ascii="Times New Roman" w:hAnsi="Times New Roman"/>
                <w:lang w:val="lt-LT"/>
              </w:rPr>
              <w:t>11-001-02-10-01-03-01 „Gerinti grėsmių bei rizikos sveikai veiksnių valdymą</w:t>
            </w:r>
            <w:r w:rsidR="00054C14">
              <w:rPr>
                <w:rFonts w:ascii="Times New Roman" w:hAnsi="Times New Roman"/>
                <w:lang w:val="lt-LT"/>
              </w:rPr>
              <w:t>“</w:t>
            </w:r>
            <w:r w:rsidRPr="0007122C">
              <w:rPr>
                <w:rFonts w:ascii="Times New Roman" w:hAnsi="Times New Roman"/>
                <w:lang w:val="lt-LT"/>
              </w:rPr>
              <w:t xml:space="preserve"> veiklos „</w:t>
            </w:r>
            <w:r w:rsidRPr="0007122C">
              <w:rPr>
                <w:rFonts w:ascii="Times New Roman" w:hAnsi="Times New Roman"/>
                <w:iCs/>
                <w:lang w:val="lt-LT"/>
              </w:rPr>
              <w:t>Sveikatos raštingumo didinimas</w:t>
            </w:r>
            <w:r w:rsidR="00BD1877">
              <w:rPr>
                <w:rFonts w:ascii="Times New Roman" w:hAnsi="Times New Roman"/>
                <w:iCs/>
                <w:lang w:val="lt-LT"/>
              </w:rPr>
              <w:t>“</w:t>
            </w:r>
            <w:r w:rsidRPr="0007122C">
              <w:rPr>
                <w:rFonts w:ascii="Times New Roman" w:hAnsi="Times New Roman"/>
                <w:iCs/>
                <w:lang w:val="lt-LT"/>
              </w:rPr>
              <w:t xml:space="preserve"> </w:t>
            </w:r>
            <w:proofErr w:type="spellStart"/>
            <w:r w:rsidRPr="0007122C">
              <w:rPr>
                <w:rFonts w:ascii="Times New Roman" w:hAnsi="Times New Roman"/>
                <w:lang w:val="lt-LT"/>
              </w:rPr>
              <w:t>poveiklę</w:t>
            </w:r>
            <w:proofErr w:type="spellEnd"/>
            <w:r w:rsidRPr="0007122C">
              <w:rPr>
                <w:rFonts w:ascii="Times New Roman" w:hAnsi="Times New Roman"/>
                <w:lang w:val="lt-LT"/>
              </w:rPr>
              <w:t xml:space="preserve"> „</w:t>
            </w:r>
            <w:r w:rsidRPr="0007122C">
              <w:rPr>
                <w:rFonts w:ascii="Times New Roman" w:hAnsi="Times New Roman"/>
                <w:iCs/>
                <w:lang w:val="lt-LT"/>
              </w:rPr>
              <w:t xml:space="preserve">Sveikatos raštingumo didinimas Sostinės regione“ ir </w:t>
            </w:r>
            <w:proofErr w:type="spellStart"/>
            <w:r w:rsidRPr="0007122C">
              <w:rPr>
                <w:rFonts w:ascii="Times New Roman" w:hAnsi="Times New Roman"/>
                <w:iCs/>
                <w:lang w:val="lt-LT"/>
              </w:rPr>
              <w:t>poveiklę</w:t>
            </w:r>
            <w:proofErr w:type="spellEnd"/>
            <w:r w:rsidRPr="0007122C">
              <w:rPr>
                <w:rFonts w:ascii="Times New Roman" w:hAnsi="Times New Roman"/>
                <w:iCs/>
                <w:lang w:val="lt-LT"/>
              </w:rPr>
              <w:t xml:space="preserve"> „Sveikatos raštingumo didinimas Vidurio ir vakarų Lietuvos regione“</w:t>
            </w:r>
            <w:r w:rsidRPr="0007122C" w:rsidDel="00EA67CB">
              <w:rPr>
                <w:rFonts w:ascii="Times New Roman" w:hAnsi="Times New Roman"/>
                <w:iCs/>
                <w:lang w:val="lt-LT"/>
              </w:rPr>
              <w:t xml:space="preserve"> </w:t>
            </w:r>
            <w:r w:rsidRPr="0007122C">
              <w:rPr>
                <w:rFonts w:ascii="Times New Roman" w:hAnsi="Times New Roman"/>
                <w:lang w:val="lt-LT"/>
              </w:rPr>
              <w:t xml:space="preserve">planuojamas projektas, kurio vykdytojas, įgyvendindamas suplanuotas </w:t>
            </w:r>
            <w:proofErr w:type="spellStart"/>
            <w:r w:rsidRPr="0007122C">
              <w:rPr>
                <w:rFonts w:ascii="Times New Roman" w:hAnsi="Times New Roman"/>
                <w:lang w:val="lt-LT"/>
              </w:rPr>
              <w:t>poveikles</w:t>
            </w:r>
            <w:proofErr w:type="spellEnd"/>
            <w:r w:rsidRPr="0007122C">
              <w:rPr>
                <w:rFonts w:ascii="Times New Roman" w:hAnsi="Times New Roman"/>
                <w:lang w:val="lt-LT"/>
              </w:rPr>
              <w:t>, veikia kaip nacionalinės sveikatos</w:t>
            </w:r>
            <w:r w:rsidRPr="0007122C">
              <w:rPr>
                <w:rStyle w:val="cf01"/>
                <w:rFonts w:ascii="Times New Roman" w:hAnsi="Times New Roman"/>
                <w:lang w:val="lt-LT"/>
              </w:rPr>
              <w:t xml:space="preserve"> </w:t>
            </w:r>
            <w:r w:rsidRPr="00885236">
              <w:rPr>
                <w:rStyle w:val="cf01"/>
                <w:rFonts w:ascii="Times New Roman" w:hAnsi="Times New Roman"/>
                <w:sz w:val="24"/>
                <w:szCs w:val="24"/>
                <w:lang w:val="lt-LT"/>
              </w:rPr>
              <w:t xml:space="preserve">sistemos dalis, </w:t>
            </w:r>
            <w:r w:rsidRPr="00885236">
              <w:rPr>
                <w:rStyle w:val="markedcontent"/>
                <w:rFonts w:ascii="Times New Roman" w:hAnsi="Times New Roman"/>
                <w:sz w:val="24"/>
                <w:szCs w:val="24"/>
                <w:lang w:val="lt-LT"/>
              </w:rPr>
              <w:t xml:space="preserve">jo veikla grindžiama solidarumo principu ir </w:t>
            </w:r>
            <w:r w:rsidRPr="00885236">
              <w:rPr>
                <w:rStyle w:val="cf01"/>
                <w:rFonts w:ascii="Times New Roman" w:hAnsi="Times New Roman"/>
                <w:sz w:val="24"/>
                <w:szCs w:val="24"/>
                <w:lang w:val="lt-LT"/>
              </w:rPr>
              <w:t>nėra priskirta ekonominei veiklai. Projekto veiklos tiesiogiai atitinka</w:t>
            </w:r>
            <w:r w:rsidRPr="0007122C">
              <w:rPr>
                <w:rStyle w:val="cf01"/>
                <w:rFonts w:ascii="Times New Roman" w:hAnsi="Times New Roman"/>
                <w:lang w:val="lt-LT"/>
              </w:rPr>
              <w:t xml:space="preserve"> </w:t>
            </w:r>
            <w:r w:rsidRPr="0007122C">
              <w:rPr>
                <w:rFonts w:ascii="Times New Roman" w:hAnsi="Times New Roman"/>
                <w:lang w:val="lt-LT"/>
              </w:rPr>
              <w:t>Komisijos pranešimo dėl Sutarties dėl Europos Sąjungos veikimo 107 straipsnio 1 dalyje vartojamos valstybės pagalbos sąvokos (2016/C 262/01) 17 punktą.</w:t>
            </w:r>
          </w:p>
        </w:tc>
      </w:tr>
    </w:tbl>
    <w:p w14:paraId="56DC8DFA" w14:textId="77777777" w:rsidR="0007122C" w:rsidRPr="0007122C" w:rsidRDefault="0007122C" w:rsidP="0007122C">
      <w:pPr>
        <w:tabs>
          <w:tab w:val="left" w:pos="6946"/>
        </w:tabs>
        <w:spacing w:after="0" w:line="240" w:lineRule="auto"/>
        <w:rPr>
          <w:rFonts w:ascii="Times New Roman" w:hAnsi="Times New Roman"/>
        </w:rPr>
      </w:pPr>
    </w:p>
    <w:p w14:paraId="663FA5FB" w14:textId="77777777" w:rsidR="0007122C" w:rsidRPr="0007122C" w:rsidRDefault="0007122C" w:rsidP="0007122C">
      <w:pPr>
        <w:tabs>
          <w:tab w:val="left" w:pos="6946"/>
        </w:tabs>
        <w:spacing w:after="0" w:line="240" w:lineRule="auto"/>
        <w:rPr>
          <w:rFonts w:ascii="Times New Roman" w:hAnsi="Times New Roman"/>
        </w:rPr>
      </w:pPr>
    </w:p>
    <w:p w14:paraId="32CF792F" w14:textId="77777777" w:rsidR="0007122C" w:rsidRPr="0007122C" w:rsidRDefault="0007122C" w:rsidP="0007122C">
      <w:pPr>
        <w:tabs>
          <w:tab w:val="left" w:pos="6946"/>
        </w:tabs>
        <w:spacing w:after="0" w:line="240" w:lineRule="auto"/>
        <w:rPr>
          <w:rFonts w:ascii="Times New Roman" w:hAnsi="Times New Roman"/>
        </w:rPr>
      </w:pPr>
      <w:r w:rsidRPr="0007122C">
        <w:rPr>
          <w:rFonts w:ascii="Times New Roman" w:hAnsi="Times New Roman"/>
        </w:rPr>
        <w:t>Investicijų departamento</w:t>
      </w:r>
    </w:p>
    <w:p w14:paraId="5C68C23C" w14:textId="77777777" w:rsidR="0007122C" w:rsidRPr="0007122C" w:rsidRDefault="0007122C" w:rsidP="0007122C">
      <w:pPr>
        <w:tabs>
          <w:tab w:val="left" w:pos="6946"/>
        </w:tabs>
        <w:spacing w:after="0" w:line="240" w:lineRule="auto"/>
        <w:rPr>
          <w:rFonts w:ascii="Times New Roman" w:hAnsi="Times New Roman"/>
        </w:rPr>
      </w:pPr>
      <w:r w:rsidRPr="0007122C">
        <w:rPr>
          <w:rFonts w:ascii="Times New Roman" w:hAnsi="Times New Roman"/>
        </w:rPr>
        <w:t>Investicijų planavimo skyriaus vyriausioji specialistė</w:t>
      </w:r>
    </w:p>
    <w:p w14:paraId="39F0608C" w14:textId="77777777" w:rsidR="0007122C" w:rsidRPr="0007122C" w:rsidRDefault="0007122C" w:rsidP="0007122C">
      <w:pPr>
        <w:tabs>
          <w:tab w:val="left" w:pos="6946"/>
        </w:tabs>
        <w:spacing w:after="0" w:line="240" w:lineRule="auto"/>
        <w:rPr>
          <w:rFonts w:ascii="Times New Roman" w:hAnsi="Times New Roman"/>
        </w:rPr>
      </w:pPr>
      <w:r w:rsidRPr="0007122C">
        <w:rPr>
          <w:rFonts w:ascii="Times New Roman" w:hAnsi="Times New Roman"/>
        </w:rPr>
        <w:t>Asta Kulbačiauskienė</w:t>
      </w:r>
      <w:r w:rsidRPr="0007122C">
        <w:rPr>
          <w:rFonts w:ascii="Times New Roman" w:hAnsi="Times New Roman"/>
        </w:rPr>
        <w:tab/>
        <w:t>____________________</w:t>
      </w:r>
      <w:r w:rsidRPr="0007122C">
        <w:rPr>
          <w:rFonts w:ascii="Times New Roman" w:hAnsi="Times New Roman"/>
        </w:rPr>
        <w:tab/>
      </w:r>
    </w:p>
    <w:p w14:paraId="55B4B226" w14:textId="77777777" w:rsidR="0007122C" w:rsidRPr="0007122C" w:rsidRDefault="0007122C" w:rsidP="0007122C">
      <w:pPr>
        <w:tabs>
          <w:tab w:val="left" w:pos="426"/>
          <w:tab w:val="left" w:pos="7797"/>
        </w:tabs>
        <w:rPr>
          <w:rFonts w:ascii="Times New Roman" w:hAnsi="Times New Roman"/>
        </w:rPr>
      </w:pPr>
      <w:r w:rsidRPr="0007122C">
        <w:rPr>
          <w:rFonts w:ascii="Times New Roman" w:hAnsi="Times New Roman"/>
        </w:rPr>
        <w:tab/>
        <w:t xml:space="preserve">(vertintojo pareigos, vardas, pavardė) </w:t>
      </w:r>
      <w:r w:rsidRPr="0007122C">
        <w:rPr>
          <w:rFonts w:ascii="Times New Roman" w:hAnsi="Times New Roman"/>
        </w:rPr>
        <w:tab/>
        <w:t xml:space="preserve">(parašas) </w:t>
      </w:r>
      <w:r w:rsidRPr="0007122C">
        <w:rPr>
          <w:rFonts w:ascii="Times New Roman" w:hAnsi="Times New Roman"/>
        </w:rPr>
        <w:tab/>
      </w:r>
    </w:p>
    <w:p w14:paraId="10234D19" w14:textId="77777777" w:rsidR="0007122C" w:rsidRPr="0007122C" w:rsidRDefault="0007122C" w:rsidP="0007122C"/>
    <w:p w14:paraId="35518423" w14:textId="77777777" w:rsidR="0007122C" w:rsidRPr="0007122C" w:rsidRDefault="0007122C" w:rsidP="0007122C"/>
    <w:p w14:paraId="1346F435" w14:textId="77777777" w:rsidR="0007122C" w:rsidRPr="0007122C" w:rsidRDefault="0007122C" w:rsidP="0007122C"/>
    <w:p w14:paraId="498EC900" w14:textId="77777777" w:rsidR="00482DA9" w:rsidRPr="0007122C" w:rsidRDefault="00482DA9"/>
    <w:sectPr w:rsidR="00482DA9" w:rsidRPr="0007122C" w:rsidSect="00EF08BB">
      <w:headerReference w:type="even" r:id="rId7"/>
      <w:headerReference w:type="default" r:id="rId8"/>
      <w:footerReference w:type="even" r:id="rId9"/>
      <w:footerReference w:type="default" r:id="rId10"/>
      <w:headerReference w:type="first" r:id="rId11"/>
      <w:footerReference w:type="first" r:id="rId12"/>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6BFF" w14:textId="77777777" w:rsidR="00AA4556" w:rsidRDefault="00AA4556" w:rsidP="0007122C">
      <w:pPr>
        <w:spacing w:after="0" w:line="240" w:lineRule="auto"/>
      </w:pPr>
      <w:r>
        <w:separator/>
      </w:r>
    </w:p>
  </w:endnote>
  <w:endnote w:type="continuationSeparator" w:id="0">
    <w:p w14:paraId="14FBC9B5" w14:textId="77777777" w:rsidR="00AA4556" w:rsidRDefault="00AA4556" w:rsidP="0007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5CE4" w14:textId="77777777" w:rsidR="00EF08BB" w:rsidRDefault="00EF08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D1C4" w14:textId="7A93A0D3" w:rsidR="0007122C" w:rsidRDefault="0007122C">
    <w:pPr>
      <w:pStyle w:val="Porat"/>
      <w:jc w:val="center"/>
    </w:pPr>
  </w:p>
  <w:p w14:paraId="4F170167" w14:textId="77777777" w:rsidR="0007122C" w:rsidRDefault="0007122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2EA0" w14:textId="77777777" w:rsidR="00EF08BB" w:rsidRDefault="00EF08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EA2E" w14:textId="77777777" w:rsidR="00AA4556" w:rsidRDefault="00AA4556" w:rsidP="0007122C">
      <w:pPr>
        <w:spacing w:after="0" w:line="240" w:lineRule="auto"/>
      </w:pPr>
      <w:r>
        <w:separator/>
      </w:r>
    </w:p>
  </w:footnote>
  <w:footnote w:type="continuationSeparator" w:id="0">
    <w:p w14:paraId="12B003B6" w14:textId="77777777" w:rsidR="00AA4556" w:rsidRDefault="00AA4556" w:rsidP="0007122C">
      <w:pPr>
        <w:spacing w:after="0" w:line="240" w:lineRule="auto"/>
      </w:pPr>
      <w:r>
        <w:continuationSeparator/>
      </w:r>
    </w:p>
  </w:footnote>
  <w:footnote w:id="1">
    <w:p w14:paraId="24133F4A" w14:textId="77777777" w:rsidR="0007122C" w:rsidRPr="00CC5F98" w:rsidRDefault="0007122C" w:rsidP="0007122C">
      <w:pPr>
        <w:pStyle w:val="Puslapioinaostekstas"/>
        <w:jc w:val="both"/>
      </w:pPr>
      <w:r>
        <w:rPr>
          <w:rStyle w:val="Puslapioinaosnuoroda"/>
        </w:rPr>
        <w:footnoteRef/>
      </w:r>
      <w:r>
        <w:t xml:space="preserve"> </w:t>
      </w:r>
      <w:r w:rsidRPr="00F51F0F">
        <w:rPr>
          <w:rFonts w:ascii="Times New Roman" w:hAnsi="Times New Roman"/>
        </w:rPr>
        <w:t>Vertinant valstybės pagalbos kriterijus vadovaujamasi Europos Komisijos pranešimu dėl valstybės pagalbos sąvokos ir teismų praktik</w:t>
      </w:r>
      <w:r>
        <w:rPr>
          <w:rFonts w:ascii="Times New Roman" w:hAnsi="Times New Roman"/>
        </w:rPr>
        <w:t xml:space="preserve">a (angl. </w:t>
      </w:r>
      <w:proofErr w:type="spellStart"/>
      <w:r w:rsidRPr="00F51F0F">
        <w:rPr>
          <w:rFonts w:ascii="Times New Roman" w:hAnsi="Times New Roman"/>
        </w:rPr>
        <w:t>Commission</w:t>
      </w:r>
      <w:proofErr w:type="spellEnd"/>
      <w:r w:rsidRPr="00F51F0F">
        <w:rPr>
          <w:rFonts w:ascii="Times New Roman" w:hAnsi="Times New Roman"/>
        </w:rPr>
        <w:t xml:space="preserve"> </w:t>
      </w:r>
      <w:proofErr w:type="spellStart"/>
      <w:r w:rsidRPr="00F51F0F">
        <w:rPr>
          <w:rFonts w:ascii="Times New Roman" w:hAnsi="Times New Roman"/>
        </w:rPr>
        <w:t>Notice</w:t>
      </w:r>
      <w:proofErr w:type="spellEnd"/>
      <w:r w:rsidRPr="00F51F0F">
        <w:rPr>
          <w:rFonts w:ascii="Times New Roman" w:hAnsi="Times New Roman"/>
        </w:rPr>
        <w:t xml:space="preserve"> </w:t>
      </w:r>
      <w:proofErr w:type="spellStart"/>
      <w:r w:rsidRPr="00F51F0F">
        <w:rPr>
          <w:rFonts w:ascii="Times New Roman" w:hAnsi="Times New Roman"/>
        </w:rPr>
        <w:t>on</w:t>
      </w:r>
      <w:proofErr w:type="spellEnd"/>
      <w:r w:rsidRPr="00F51F0F">
        <w:rPr>
          <w:rFonts w:ascii="Times New Roman" w:hAnsi="Times New Roman"/>
        </w:rPr>
        <w:t xml:space="preserve"> </w:t>
      </w:r>
      <w:proofErr w:type="spellStart"/>
      <w:r w:rsidRPr="00F51F0F">
        <w:rPr>
          <w:rFonts w:ascii="Times New Roman" w:hAnsi="Times New Roman"/>
        </w:rPr>
        <w:t>the</w:t>
      </w:r>
      <w:proofErr w:type="spellEnd"/>
      <w:r w:rsidRPr="00F51F0F">
        <w:rPr>
          <w:rFonts w:ascii="Times New Roman" w:hAnsi="Times New Roman"/>
        </w:rPr>
        <w:t xml:space="preserve"> </w:t>
      </w:r>
      <w:proofErr w:type="spellStart"/>
      <w:r w:rsidRPr="00F51F0F">
        <w:rPr>
          <w:rFonts w:ascii="Times New Roman" w:hAnsi="Times New Roman"/>
        </w:rPr>
        <w:t>notion</w:t>
      </w:r>
      <w:proofErr w:type="spellEnd"/>
      <w:r w:rsidRPr="00F51F0F">
        <w:rPr>
          <w:rFonts w:ascii="Times New Roman" w:hAnsi="Times New Roman"/>
        </w:rPr>
        <w:t xml:space="preserve"> </w:t>
      </w:r>
      <w:proofErr w:type="spellStart"/>
      <w:r w:rsidRPr="00F51F0F">
        <w:rPr>
          <w:rFonts w:ascii="Times New Roman" w:hAnsi="Times New Roman"/>
        </w:rPr>
        <w:t>of</w:t>
      </w:r>
      <w:proofErr w:type="spellEnd"/>
      <w:r w:rsidRPr="00F51F0F">
        <w:rPr>
          <w:rFonts w:ascii="Times New Roman" w:hAnsi="Times New Roman"/>
        </w:rPr>
        <w:t xml:space="preserve"> </w:t>
      </w:r>
      <w:proofErr w:type="spellStart"/>
      <w:r w:rsidRPr="00F51F0F">
        <w:rPr>
          <w:rFonts w:ascii="Times New Roman" w:hAnsi="Times New Roman"/>
        </w:rPr>
        <w:t>State</w:t>
      </w:r>
      <w:proofErr w:type="spellEnd"/>
      <w:r w:rsidRPr="00F51F0F">
        <w:rPr>
          <w:rFonts w:ascii="Times New Roman" w:hAnsi="Times New Roman"/>
        </w:rPr>
        <w:t xml:space="preserve"> </w:t>
      </w:r>
      <w:proofErr w:type="spellStart"/>
      <w:r w:rsidRPr="00F51F0F">
        <w:rPr>
          <w:rFonts w:ascii="Times New Roman" w:hAnsi="Times New Roman"/>
        </w:rPr>
        <w:t>aid</w:t>
      </w:r>
      <w:proofErr w:type="spellEnd"/>
      <w:r w:rsidRPr="00F51F0F">
        <w:rPr>
          <w:rFonts w:ascii="Times New Roman" w:hAnsi="Times New Roman"/>
        </w:rPr>
        <w:t xml:space="preserve"> </w:t>
      </w:r>
      <w:proofErr w:type="spellStart"/>
      <w:r w:rsidRPr="00F51F0F">
        <w:rPr>
          <w:rFonts w:ascii="Times New Roman" w:hAnsi="Times New Roman"/>
        </w:rPr>
        <w:t>pursuant</w:t>
      </w:r>
      <w:proofErr w:type="spellEnd"/>
      <w:r w:rsidRPr="00F51F0F">
        <w:rPr>
          <w:rFonts w:ascii="Times New Roman" w:hAnsi="Times New Roman"/>
        </w:rPr>
        <w:t xml:space="preserve"> to </w:t>
      </w:r>
      <w:proofErr w:type="spellStart"/>
      <w:r w:rsidRPr="00F51F0F">
        <w:rPr>
          <w:rFonts w:ascii="Times New Roman" w:hAnsi="Times New Roman"/>
        </w:rPr>
        <w:t>Article</w:t>
      </w:r>
      <w:proofErr w:type="spellEnd"/>
      <w:r w:rsidRPr="00F51F0F">
        <w:rPr>
          <w:rFonts w:ascii="Times New Roman" w:hAnsi="Times New Roman"/>
        </w:rPr>
        <w:t xml:space="preserve"> 107(1) TFEU, jei taikoma.</w:t>
      </w:r>
    </w:p>
  </w:footnote>
  <w:footnote w:id="2">
    <w:p w14:paraId="116FCFE7" w14:textId="26C565D5" w:rsidR="0007122C" w:rsidRPr="00644B01" w:rsidRDefault="0007122C" w:rsidP="0007122C">
      <w:pPr>
        <w:pStyle w:val="Puslapioinaostekstas"/>
        <w:jc w:val="both"/>
        <w:rPr>
          <w:rFonts w:ascii="Times New Roman" w:hAnsi="Times New Roman"/>
        </w:rPr>
      </w:pPr>
      <w:r>
        <w:rPr>
          <w:rStyle w:val="Puslapioinaosnuoroda"/>
        </w:rPr>
        <w:footnoteRef/>
      </w:r>
      <w:r w:rsidR="00094603">
        <w:rPr>
          <w:rFonts w:ascii="Times New Roman" w:hAnsi="Times New Roman"/>
        </w:rPr>
        <w:t xml:space="preserve"> </w:t>
      </w:r>
      <w:r w:rsidRPr="00644B01">
        <w:rPr>
          <w:rFonts w:ascii="Times New Roman" w:hAnsi="Times New Roman"/>
        </w:rPr>
        <w:t>Plačiau su šia sąvoka galima susipažinti 1987 m. birželio 16 d. Teisingumo Teismo sprendimo Komisija prieš Italiją, 118/85, ECLI:EU:C:1987:283, 7 ir 8 punktu</w:t>
      </w:r>
      <w:r>
        <w:rPr>
          <w:rFonts w:ascii="Times New Roman" w:hAnsi="Times New Roman"/>
        </w:rPr>
        <w:t>o</w:t>
      </w:r>
      <w:r w:rsidRPr="00644B01">
        <w:rPr>
          <w:rFonts w:ascii="Times New Roman" w:hAnsi="Times New Roman"/>
        </w:rPr>
        <w:t>se, kuriuose nurodyta, kad įgyvendamos joms priskirtus įgaliojimus valstybės institucijos gali įgyvendinti tiek valstybinės valdžios funkcijas, tiek užsiimti ūkine-komercine veikla įgyvendindamos ūkio subjekto funkcijas.</w:t>
      </w:r>
    </w:p>
  </w:footnote>
  <w:footnote w:id="3">
    <w:p w14:paraId="0987987A" w14:textId="77777777" w:rsidR="0007122C" w:rsidRPr="003D2BD3" w:rsidRDefault="0007122C" w:rsidP="0007122C">
      <w:pPr>
        <w:pStyle w:val="Puslapioinaostekstas"/>
        <w:jc w:val="both"/>
      </w:pPr>
      <w:r w:rsidRPr="00644B01">
        <w:rPr>
          <w:rStyle w:val="Puslapioinaosnuoroda"/>
          <w:rFonts w:ascii="Times New Roman" w:hAnsi="Times New Roman"/>
        </w:rPr>
        <w:footnoteRef/>
      </w:r>
      <w:r w:rsidRPr="00644B01">
        <w:rPr>
          <w:rFonts w:ascii="Times New Roman" w:hAnsi="Times New Roman"/>
        </w:rPr>
        <w:t xml:space="preserve"> Plačiau su šia sąvoka galima susipažinti 1988 m. gegužės 4 d. Teisingumo Teismo sprendimo </w:t>
      </w:r>
      <w:proofErr w:type="spellStart"/>
      <w:r w:rsidRPr="00644B01">
        <w:rPr>
          <w:rFonts w:ascii="Times New Roman" w:hAnsi="Times New Roman"/>
        </w:rPr>
        <w:t>Bodson</w:t>
      </w:r>
      <w:proofErr w:type="spellEnd"/>
      <w:r w:rsidRPr="00644B01">
        <w:rPr>
          <w:rFonts w:ascii="Times New Roman" w:hAnsi="Times New Roman"/>
        </w:rPr>
        <w:t>,</w:t>
      </w:r>
      <w:r>
        <w:rPr>
          <w:rFonts w:ascii="Times New Roman" w:hAnsi="Times New Roman"/>
        </w:rPr>
        <w:t xml:space="preserve"> </w:t>
      </w:r>
      <w:r w:rsidRPr="00644B01">
        <w:rPr>
          <w:rFonts w:ascii="Times New Roman" w:hAnsi="Times New Roman"/>
        </w:rPr>
        <w:t>30/87,ECLI:EU:C:1988:225, 18 punkte.</w:t>
      </w:r>
    </w:p>
  </w:footnote>
  <w:footnote w:id="4">
    <w:p w14:paraId="31F145B5" w14:textId="77777777" w:rsidR="0007122C" w:rsidRPr="009C0A22" w:rsidRDefault="0007122C" w:rsidP="0007122C">
      <w:pPr>
        <w:spacing w:after="0" w:line="240" w:lineRule="auto"/>
        <w:jc w:val="both"/>
        <w:rPr>
          <w:rFonts w:ascii="Times New Roman" w:hAnsi="Times New Roman"/>
          <w:sz w:val="20"/>
          <w:szCs w:val="20"/>
        </w:rPr>
      </w:pPr>
      <w:r w:rsidRPr="009C0A22">
        <w:rPr>
          <w:rStyle w:val="Puslapioinaosnuoroda"/>
          <w:rFonts w:ascii="Times New Roman" w:hAnsi="Times New Roman"/>
          <w:sz w:val="20"/>
          <w:szCs w:val="20"/>
        </w:rPr>
        <w:footnoteRef/>
      </w:r>
      <w:r w:rsidRPr="009C0A22">
        <w:rPr>
          <w:rFonts w:ascii="Times New Roman" w:hAnsi="Times New Roman"/>
          <w:sz w:val="20"/>
          <w:szCs w:val="20"/>
        </w:rPr>
        <w:t>Sveikatos mokymo ir ligų prevencijos centro ataskaitos rankraštis, 2021 m.</w:t>
      </w:r>
    </w:p>
  </w:footnote>
  <w:footnote w:id="5">
    <w:p w14:paraId="100BEBE0" w14:textId="77777777" w:rsidR="0007122C" w:rsidRPr="009C0A22" w:rsidRDefault="0007122C" w:rsidP="0007122C">
      <w:pPr>
        <w:widowControl w:val="0"/>
        <w:suppressAutoHyphens/>
        <w:spacing w:after="0" w:line="240" w:lineRule="auto"/>
        <w:jc w:val="both"/>
        <w:rPr>
          <w:rFonts w:ascii="Times New Roman" w:hAnsi="Times New Roman"/>
          <w:sz w:val="20"/>
          <w:szCs w:val="20"/>
        </w:rPr>
      </w:pPr>
      <w:r w:rsidRPr="009C0A22">
        <w:rPr>
          <w:rStyle w:val="Puslapioinaosnuoroda"/>
          <w:rFonts w:ascii="Times New Roman" w:hAnsi="Times New Roman"/>
          <w:sz w:val="20"/>
          <w:szCs w:val="20"/>
        </w:rPr>
        <w:footnoteRef/>
      </w:r>
      <w:hyperlink r:id="rId1">
        <w:r w:rsidRPr="009C0A22">
          <w:rPr>
            <w:rFonts w:ascii="Times New Roman" w:hAnsi="Times New Roman"/>
            <w:sz w:val="20"/>
            <w:szCs w:val="20"/>
          </w:rPr>
          <w:t>https://sveikstat.hi.lt/chart-map.aspx?top_uid=104&amp;top_loc=mun&amp;sel_rep_panel=13&amp;lang=lit&amp;hide_filters=</w:t>
        </w:r>
      </w:hyperlink>
    </w:p>
  </w:footnote>
  <w:footnote w:id="6">
    <w:p w14:paraId="3464AFEA" w14:textId="77777777" w:rsidR="0007122C" w:rsidRPr="009C0A22" w:rsidRDefault="0007122C" w:rsidP="0007122C">
      <w:pPr>
        <w:spacing w:after="0" w:line="240" w:lineRule="auto"/>
        <w:jc w:val="both"/>
        <w:rPr>
          <w:rFonts w:ascii="Times New Roman" w:hAnsi="Times New Roman"/>
          <w:sz w:val="20"/>
          <w:szCs w:val="20"/>
        </w:rPr>
      </w:pPr>
      <w:r w:rsidRPr="009C0A22">
        <w:rPr>
          <w:rFonts w:ascii="Times New Roman" w:hAnsi="Times New Roman"/>
          <w:sz w:val="20"/>
          <w:szCs w:val="20"/>
          <w:vertAlign w:val="superscript"/>
        </w:rPr>
        <w:footnoteRef/>
      </w:r>
      <w:r w:rsidRPr="009C0A22">
        <w:rPr>
          <w:rFonts w:ascii="Times New Roman" w:hAnsi="Times New Roman"/>
          <w:sz w:val="20"/>
          <w:szCs w:val="20"/>
        </w:rPr>
        <w:t xml:space="preserve"> </w:t>
      </w:r>
      <w:proofErr w:type="spellStart"/>
      <w:r w:rsidRPr="009C0A22">
        <w:rPr>
          <w:rFonts w:ascii="Times New Roman" w:hAnsi="Times New Roman"/>
          <w:sz w:val="20"/>
          <w:szCs w:val="20"/>
        </w:rPr>
        <w:t>NatriJod</w:t>
      </w:r>
      <w:proofErr w:type="spellEnd"/>
      <w:r w:rsidRPr="009C0A22">
        <w:rPr>
          <w:rFonts w:ascii="Times New Roman" w:hAnsi="Times New Roman"/>
          <w:sz w:val="20"/>
          <w:szCs w:val="20"/>
        </w:rPr>
        <w:t>. Galutiniai tyrimo duomenys. Prieiga per internetą: &lt;https://www.pylimas.lt/assets/Uploads/Natrijod.pdf&gt;.</w:t>
      </w:r>
    </w:p>
  </w:footnote>
  <w:footnote w:id="7">
    <w:p w14:paraId="15BD7F0C" w14:textId="77777777" w:rsidR="0007122C" w:rsidRPr="00237E7E" w:rsidRDefault="0007122C" w:rsidP="0007122C">
      <w:pPr>
        <w:pStyle w:val="Puslapioinaostekstas"/>
        <w:jc w:val="both"/>
        <w:rPr>
          <w:rFonts w:ascii="Times New Roman" w:hAnsi="Times New Roman"/>
        </w:rPr>
      </w:pPr>
      <w:r w:rsidRPr="00237E7E">
        <w:rPr>
          <w:rStyle w:val="Puslapioinaosnuoroda"/>
          <w:rFonts w:ascii="Times New Roman" w:hAnsi="Times New Roman"/>
        </w:rPr>
        <w:footnoteRef/>
      </w:r>
      <w:r w:rsidRPr="00237E7E">
        <w:rPr>
          <w:rFonts w:ascii="Times New Roman" w:hAnsi="Times New Roman"/>
        </w:rPr>
        <w:t>Higienos institutas suaugusių Lietuvos gyventojų mitybos įpročiai ir jų pokyčių tendencijos, 2020. Prieiga per internetą: &lt;https://www.hi.lt/uploads/pdf/zurnalo_vs%20info/2020_3/VS%202020%203(90)%20ORIG%20Mitybos%20iprociai.pdf&gt;</w:t>
      </w:r>
    </w:p>
  </w:footnote>
  <w:footnote w:id="8">
    <w:p w14:paraId="21BFBD70" w14:textId="77777777" w:rsidR="0007122C" w:rsidRPr="002D3D51" w:rsidRDefault="0007122C" w:rsidP="0007122C">
      <w:pPr>
        <w:pStyle w:val="Puslapioinaostekstas"/>
        <w:jc w:val="both"/>
        <w:rPr>
          <w:rFonts w:ascii="Times New Roman" w:hAnsi="Times New Roman"/>
        </w:rPr>
      </w:pPr>
      <w:r w:rsidRPr="002D3D51">
        <w:rPr>
          <w:rStyle w:val="Puslapioinaosnuoroda"/>
          <w:rFonts w:ascii="Times New Roman" w:hAnsi="Times New Roman"/>
        </w:rPr>
        <w:footnoteRef/>
      </w:r>
      <w:r w:rsidRPr="002D3D51">
        <w:rPr>
          <w:rFonts w:ascii="Times New Roman" w:hAnsi="Times New Roman"/>
        </w:rPr>
        <w:t xml:space="preserve"> Plačiau žiūrėti čia: </w:t>
      </w:r>
      <w:hyperlink r:id="rId2" w:history="1">
        <w:r w:rsidRPr="002D3D51">
          <w:rPr>
            <w:rStyle w:val="Hipersaitas"/>
            <w:rFonts w:ascii="Times New Roman" w:hAnsi="Times New Roman"/>
          </w:rPr>
          <w:t>http://ec.europa.eu/competition/state_aid/overview/public_services_en.html</w:t>
        </w:r>
      </w:hyperlink>
      <w:r w:rsidRPr="002D3D51">
        <w:rPr>
          <w:rFonts w:ascii="Times New Roman" w:hAnsi="Times New Roman"/>
        </w:rPr>
        <w:t xml:space="preserve">. </w:t>
      </w:r>
    </w:p>
  </w:footnote>
  <w:footnote w:id="9">
    <w:p w14:paraId="53D32F81" w14:textId="77777777" w:rsidR="0007122C" w:rsidRPr="002D3D51" w:rsidRDefault="0007122C" w:rsidP="0007122C">
      <w:pPr>
        <w:pStyle w:val="Puslapioinaostekstas"/>
        <w:jc w:val="both"/>
        <w:rPr>
          <w:rFonts w:ascii="Times New Roman" w:hAnsi="Times New Roman"/>
        </w:rPr>
      </w:pPr>
      <w:r w:rsidRPr="002D3D51">
        <w:rPr>
          <w:rStyle w:val="Puslapioinaosnuoroda"/>
          <w:rFonts w:ascii="Times New Roman" w:hAnsi="Times New Roman"/>
        </w:rPr>
        <w:footnoteRef/>
      </w:r>
      <w:r w:rsidRPr="002D3D51">
        <w:rPr>
          <w:rFonts w:ascii="Times New Roman" w:hAnsi="Times New Roman"/>
        </w:rPr>
        <w:t xml:space="preserve"> </w:t>
      </w:r>
      <w:proofErr w:type="spellStart"/>
      <w:r w:rsidRPr="002D3D51">
        <w:rPr>
          <w:rFonts w:ascii="Times New Roman" w:hAnsi="Times New Roman"/>
        </w:rPr>
        <w:t>Palčiau</w:t>
      </w:r>
      <w:proofErr w:type="spellEnd"/>
      <w:r w:rsidRPr="002D3D51">
        <w:rPr>
          <w:rFonts w:ascii="Times New Roman" w:hAnsi="Times New Roman"/>
        </w:rPr>
        <w:t xml:space="preserve"> galima susipažinti </w:t>
      </w:r>
      <w:hyperlink r:id="rId3" w:history="1">
        <w:r w:rsidRPr="002D3D51">
          <w:rPr>
            <w:rStyle w:val="Hipersaitas"/>
            <w:rFonts w:ascii="Times New Roman" w:hAnsi="Times New Roman"/>
          </w:rPr>
          <w:t xml:space="preserve">Europos Sąjungos Teisingumo Teismo 2003 m. liepos 24 d. sprendime </w:t>
        </w:r>
        <w:proofErr w:type="spellStart"/>
        <w:r w:rsidRPr="002D3D51">
          <w:rPr>
            <w:rStyle w:val="Hipersaitas"/>
            <w:rFonts w:ascii="Times New Roman" w:hAnsi="Times New Roman"/>
            <w:i/>
            <w:iCs/>
          </w:rPr>
          <w:t>Altmark</w:t>
        </w:r>
        <w:proofErr w:type="spellEnd"/>
        <w:r w:rsidRPr="002D3D51">
          <w:rPr>
            <w:rStyle w:val="Hipersaitas"/>
            <w:rFonts w:ascii="Times New Roman" w:hAnsi="Times New Roman"/>
          </w:rPr>
          <w:t>, C‑280/00, EU:C:2003:415.</w:t>
        </w:r>
      </w:hyperlink>
      <w:r w:rsidRPr="002D3D51">
        <w:rPr>
          <w:rFonts w:ascii="Times New Roman" w:hAnsi="Times New Roman"/>
        </w:rPr>
        <w:t xml:space="preserve"> </w:t>
      </w:r>
    </w:p>
  </w:footnote>
  <w:footnote w:id="10">
    <w:p w14:paraId="67D23C15" w14:textId="77777777" w:rsidR="0007122C" w:rsidRPr="00644B01" w:rsidRDefault="0007122C" w:rsidP="0007122C">
      <w:pPr>
        <w:pStyle w:val="Puslapioinaostekstas"/>
        <w:jc w:val="both"/>
        <w:rPr>
          <w:rFonts w:ascii="Times New Roman" w:hAnsi="Times New Roman"/>
        </w:rPr>
      </w:pPr>
      <w:r w:rsidRPr="002D3D51">
        <w:rPr>
          <w:rStyle w:val="Puslapioinaosnuoroda"/>
          <w:rFonts w:ascii="Times New Roman" w:hAnsi="Times New Roman"/>
        </w:rPr>
        <w:footnoteRef/>
      </w:r>
      <w:r w:rsidRPr="002D3D51">
        <w:rPr>
          <w:rFonts w:ascii="Times New Roman" w:hAnsi="Times New Roman"/>
        </w:rPr>
        <w:t xml:space="preserve"> </w:t>
      </w:r>
      <w:hyperlink r:id="rId4" w:history="1">
        <w:r w:rsidRPr="002D3D51">
          <w:rPr>
            <w:rStyle w:val="Hipersaitas"/>
            <w:rFonts w:ascii="Times New Roman" w:hAnsi="Times New Roman"/>
          </w:rPr>
          <w:t>Komisijos komunikatas dėl Europos Sąjungos valstybės pagalbos taisyklių taikymo kompensacijai už visuotinės ekonominės svarbos paslaugų teikimą (2012/C 8/02).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0F9B" w14:textId="77777777" w:rsidR="00EF08BB" w:rsidRDefault="00EF08B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052811"/>
      <w:docPartObj>
        <w:docPartGallery w:val="Page Numbers (Top of Page)"/>
        <w:docPartUnique/>
      </w:docPartObj>
    </w:sdtPr>
    <w:sdtContent>
      <w:p w14:paraId="672E26A8" w14:textId="5B82A84E" w:rsidR="00827997" w:rsidRDefault="00827997">
        <w:pPr>
          <w:pStyle w:val="Antrats"/>
          <w:jc w:val="center"/>
        </w:pPr>
        <w:r>
          <w:fldChar w:fldCharType="begin"/>
        </w:r>
        <w:r>
          <w:instrText>PAGE   \* MERGEFORMAT</w:instrText>
        </w:r>
        <w:r>
          <w:fldChar w:fldCharType="separate"/>
        </w:r>
        <w:r>
          <w:t>2</w:t>
        </w:r>
        <w:r>
          <w:fldChar w:fldCharType="end"/>
        </w:r>
      </w:p>
    </w:sdtContent>
  </w:sdt>
  <w:p w14:paraId="7556CEFA" w14:textId="77777777" w:rsidR="00827997" w:rsidRDefault="0082799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4718" w14:textId="77777777" w:rsidR="00EF08BB" w:rsidRDefault="00EF08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757790">
    <w:abstractNumId w:val="3"/>
  </w:num>
  <w:num w:numId="2" w16cid:durableId="1670450040">
    <w:abstractNumId w:val="0"/>
  </w:num>
  <w:num w:numId="3" w16cid:durableId="681980219">
    <w:abstractNumId w:val="1"/>
  </w:num>
  <w:num w:numId="4" w16cid:durableId="1761104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2C"/>
    <w:rsid w:val="00054C14"/>
    <w:rsid w:val="0007122C"/>
    <w:rsid w:val="00094603"/>
    <w:rsid w:val="000C3588"/>
    <w:rsid w:val="00113CDA"/>
    <w:rsid w:val="00187DAD"/>
    <w:rsid w:val="00337DBD"/>
    <w:rsid w:val="00393A9C"/>
    <w:rsid w:val="00410A2C"/>
    <w:rsid w:val="00482DA9"/>
    <w:rsid w:val="00491C80"/>
    <w:rsid w:val="00504556"/>
    <w:rsid w:val="00545FF5"/>
    <w:rsid w:val="00596475"/>
    <w:rsid w:val="006E2E57"/>
    <w:rsid w:val="00780E55"/>
    <w:rsid w:val="007C1BFF"/>
    <w:rsid w:val="00827997"/>
    <w:rsid w:val="00870998"/>
    <w:rsid w:val="00885236"/>
    <w:rsid w:val="00937C18"/>
    <w:rsid w:val="00974533"/>
    <w:rsid w:val="00AA4556"/>
    <w:rsid w:val="00B7124C"/>
    <w:rsid w:val="00B825A8"/>
    <w:rsid w:val="00BA2861"/>
    <w:rsid w:val="00BB61BA"/>
    <w:rsid w:val="00BD1877"/>
    <w:rsid w:val="00C44F66"/>
    <w:rsid w:val="00CB0BF6"/>
    <w:rsid w:val="00D96554"/>
    <w:rsid w:val="00E23D86"/>
    <w:rsid w:val="00E341D2"/>
    <w:rsid w:val="00E445BB"/>
    <w:rsid w:val="00E50992"/>
    <w:rsid w:val="00EF08BB"/>
    <w:rsid w:val="00FB35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EFE2"/>
  <w15:chartTrackingRefBased/>
  <w15:docId w15:val="{D94FA1AE-3A11-4E4B-8126-BFCF20C2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122C"/>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071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1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12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12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12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12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12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12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12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12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12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12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12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12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12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12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12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12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1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12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12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12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12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122C"/>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List Paragraph2,Paragraph,Buletai,List Paragraph21,List Paragraph111,VARNELES"/>
    <w:basedOn w:val="prastasis"/>
    <w:link w:val="SraopastraipaDiagrama"/>
    <w:qFormat/>
    <w:rsid w:val="0007122C"/>
    <w:pPr>
      <w:ind w:left="720"/>
      <w:contextualSpacing/>
    </w:pPr>
  </w:style>
  <w:style w:type="character" w:styleId="Rykuspabraukimas">
    <w:name w:val="Intense Emphasis"/>
    <w:basedOn w:val="Numatytasispastraiposriftas"/>
    <w:uiPriority w:val="21"/>
    <w:qFormat/>
    <w:rsid w:val="0007122C"/>
    <w:rPr>
      <w:i/>
      <w:iCs/>
      <w:color w:val="0F4761" w:themeColor="accent1" w:themeShade="BF"/>
    </w:rPr>
  </w:style>
  <w:style w:type="paragraph" w:styleId="Iskirtacitata">
    <w:name w:val="Intense Quote"/>
    <w:basedOn w:val="prastasis"/>
    <w:next w:val="prastasis"/>
    <w:link w:val="IskirtacitataDiagrama"/>
    <w:uiPriority w:val="30"/>
    <w:qFormat/>
    <w:rsid w:val="00071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122C"/>
    <w:rPr>
      <w:i/>
      <w:iCs/>
      <w:color w:val="0F4761" w:themeColor="accent1" w:themeShade="BF"/>
    </w:rPr>
  </w:style>
  <w:style w:type="character" w:styleId="Rykinuoroda">
    <w:name w:val="Intense Reference"/>
    <w:basedOn w:val="Numatytasispastraiposriftas"/>
    <w:uiPriority w:val="32"/>
    <w:qFormat/>
    <w:rsid w:val="0007122C"/>
    <w:rPr>
      <w:b/>
      <w:bCs/>
      <w:smallCaps/>
      <w:color w:val="0F4761" w:themeColor="accent1" w:themeShade="BF"/>
      <w:spacing w:val="5"/>
    </w:rPr>
  </w:style>
  <w:style w:type="paragraph" w:styleId="Porat">
    <w:name w:val="footer"/>
    <w:basedOn w:val="prastasis"/>
    <w:link w:val="PoratDiagrama"/>
    <w:uiPriority w:val="99"/>
    <w:unhideWhenUsed/>
    <w:rsid w:val="0007122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7122C"/>
    <w:rPr>
      <w:rFonts w:ascii="Calibri" w:eastAsia="Calibri" w:hAnsi="Calibri" w:cs="Times New Roman"/>
      <w:kern w:val="0"/>
      <w:sz w:val="22"/>
      <w:szCs w:val="22"/>
      <w14:ligatures w14:val="none"/>
    </w:rPr>
  </w:style>
  <w:style w:type="paragraph" w:styleId="Puslapioinaostekstas">
    <w:name w:val="footnote text"/>
    <w:aliases w:val="Char1,Char,atask Puslapio išnašos tekstas,Footnote,Footnote Diagrama,Footnote Text Char Char,Footnote Char Char,Footnote Char,Footnote text,fn,Footnote Text Char1 Char Char2,Footnote Text OCR Char1 Char1 Char,Footnot,Ch, Char,f"/>
    <w:basedOn w:val="prastasis"/>
    <w:link w:val="PuslapioinaostekstasDiagrama"/>
    <w:uiPriority w:val="99"/>
    <w:unhideWhenUsed/>
    <w:qFormat/>
    <w:rsid w:val="0007122C"/>
    <w:pPr>
      <w:spacing w:after="0" w:line="240" w:lineRule="auto"/>
    </w:pPr>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qFormat/>
    <w:rsid w:val="0007122C"/>
    <w:rPr>
      <w:rFonts w:ascii="Calibri" w:eastAsia="Calibri" w:hAnsi="Calibri" w:cs="Times New Roman"/>
      <w:kern w:val="0"/>
      <w:sz w:val="20"/>
      <w:szCs w:val="20"/>
      <w14:ligatures w14:val="none"/>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Nota,Footnote number"/>
    <w:link w:val="FootnotesymbolCarZchn"/>
    <w:uiPriority w:val="99"/>
    <w:unhideWhenUsed/>
    <w:qFormat/>
    <w:rsid w:val="0007122C"/>
    <w:rPr>
      <w:vertAlign w:val="superscript"/>
    </w:rPr>
  </w:style>
  <w:style w:type="character" w:styleId="Hipersaitas">
    <w:name w:val="Hyperlink"/>
    <w:uiPriority w:val="99"/>
    <w:unhideWhenUsed/>
    <w:rsid w:val="0007122C"/>
    <w:rPr>
      <w:color w:val="0000FF"/>
      <w:u w:val="single"/>
    </w:rPr>
  </w:style>
  <w:style w:type="paragraph" w:customStyle="1" w:styleId="paragraph">
    <w:name w:val="paragraph"/>
    <w:basedOn w:val="prastasis"/>
    <w:rsid w:val="0007122C"/>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rsid w:val="0007122C"/>
  </w:style>
  <w:style w:type="character" w:customStyle="1" w:styleId="eop">
    <w:name w:val="eop"/>
    <w:rsid w:val="0007122C"/>
  </w:style>
  <w:style w:type="character" w:customStyle="1" w:styleId="markedcontent">
    <w:name w:val="markedcontent"/>
    <w:basedOn w:val="Numatytasispastraiposriftas"/>
    <w:rsid w:val="0007122C"/>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rsid w:val="0007122C"/>
  </w:style>
  <w:style w:type="character" w:customStyle="1" w:styleId="cf01">
    <w:name w:val="cf01"/>
    <w:basedOn w:val="Numatytasispastraiposriftas"/>
    <w:rsid w:val="0007122C"/>
    <w:rPr>
      <w:rFonts w:ascii="Segoe UI" w:hAnsi="Segoe UI" w:cs="Segoe UI" w:hint="default"/>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rsid w:val="0007122C"/>
    <w:pPr>
      <w:spacing w:after="160" w:line="240" w:lineRule="exact"/>
      <w:jc w:val="both"/>
    </w:pPr>
    <w:rPr>
      <w:rFonts w:asciiTheme="minorHAnsi" w:eastAsiaTheme="minorHAnsi" w:hAnsiTheme="minorHAnsi" w:cstheme="minorBidi"/>
      <w:kern w:val="2"/>
      <w:sz w:val="24"/>
      <w:szCs w:val="24"/>
      <w:vertAlign w:val="superscript"/>
      <w14:ligatures w14:val="standardContextual"/>
    </w:rPr>
  </w:style>
  <w:style w:type="paragraph" w:styleId="Betarp">
    <w:name w:val="No Spacing"/>
    <w:uiPriority w:val="1"/>
    <w:qFormat/>
    <w:rsid w:val="0007122C"/>
    <w:pPr>
      <w:spacing w:after="0" w:line="240" w:lineRule="auto"/>
    </w:pPr>
    <w:rPr>
      <w:rFonts w:ascii="Calibri" w:eastAsia="Calibri" w:hAnsi="Calibri" w:cs="Times New Roman"/>
      <w:kern w:val="0"/>
      <w:sz w:val="22"/>
      <w:szCs w:val="22"/>
      <w:lang w:val="en-US"/>
      <w14:ligatures w14:val="none"/>
    </w:rPr>
  </w:style>
  <w:style w:type="paragraph" w:styleId="Pataisymai">
    <w:name w:val="Revision"/>
    <w:hidden/>
    <w:uiPriority w:val="99"/>
    <w:semiHidden/>
    <w:rsid w:val="00BA2861"/>
    <w:pPr>
      <w:spacing w:after="0" w:line="240" w:lineRule="auto"/>
    </w:pPr>
    <w:rPr>
      <w:rFonts w:ascii="Calibri" w:eastAsia="Calibri" w:hAnsi="Calibri" w:cs="Times New Roman"/>
      <w:kern w:val="0"/>
      <w:sz w:val="22"/>
      <w:szCs w:val="22"/>
      <w14:ligatures w14:val="none"/>
    </w:rPr>
  </w:style>
  <w:style w:type="paragraph" w:styleId="Antrats">
    <w:name w:val="header"/>
    <w:basedOn w:val="prastasis"/>
    <w:link w:val="AntratsDiagrama"/>
    <w:uiPriority w:val="99"/>
    <w:unhideWhenUsed/>
    <w:rsid w:val="009745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74533"/>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TXT/HTML/?uri=CELEX:62000CJ0280&amp;from=EN" TargetMode="External"/><Relationship Id="rId2" Type="http://schemas.openxmlformats.org/officeDocument/2006/relationships/hyperlink" Target="http://ec.europa.eu/competition/state_aid/overview/public_services_en.html" TargetMode="External"/><Relationship Id="rId1" Type="http://schemas.openxmlformats.org/officeDocument/2006/relationships/hyperlink" Target="https://sveikstat.hi.lt/chart-map.aspx?top_uid=104&amp;top_loc=mun&amp;sel_rep_panel=13&amp;lang=lit&amp;hide_filters=" TargetMode="External"/><Relationship Id="rId4" Type="http://schemas.openxmlformats.org/officeDocument/2006/relationships/hyperlink" Target="https://eur-lex.europa.eu/legal-content/LT/ALL/?uri=CELEX:52012XC01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14237</Words>
  <Characters>8116</Characters>
  <Application>Microsoft Office Word</Application>
  <DocSecurity>0</DocSecurity>
  <Lines>67</Lines>
  <Paragraphs>44</Paragraphs>
  <ScaleCrop>false</ScaleCrop>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Kulbačiauskienė</dc:creator>
  <cp:keywords/>
  <dc:description/>
  <cp:lastModifiedBy>Asta Kulbačiauskienė</cp:lastModifiedBy>
  <cp:revision>5</cp:revision>
  <dcterms:created xsi:type="dcterms:W3CDTF">2025-07-30T13:49:00Z</dcterms:created>
  <dcterms:modified xsi:type="dcterms:W3CDTF">2025-08-01T13:37:00Z</dcterms:modified>
</cp:coreProperties>
</file>