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128066" w14:textId="77777777" w:rsidR="00610766" w:rsidRDefault="00610766">
      <w:pPr>
        <w:tabs>
          <w:tab w:val="center" w:pos="4986"/>
          <w:tab w:val="right" w:pos="9972"/>
        </w:tabs>
      </w:pPr>
      <w:bookmarkStart w:id="0" w:name="_GoBack"/>
      <w:bookmarkEnd w:id="0"/>
    </w:p>
    <w:p w14:paraId="1ED9DBF4" w14:textId="77777777" w:rsidR="00610766" w:rsidRDefault="00610766">
      <w:pPr>
        <w:tabs>
          <w:tab w:val="center" w:pos="4819"/>
          <w:tab w:val="right" w:pos="9638"/>
        </w:tabs>
        <w:rPr>
          <w:sz w:val="22"/>
          <w:szCs w:val="22"/>
        </w:rPr>
      </w:pPr>
    </w:p>
    <w:p w14:paraId="26D7F0B7" w14:textId="16CFA696" w:rsidR="00610766" w:rsidRDefault="00252EB3">
      <w:pPr>
        <w:ind w:left="9639"/>
        <w:jc w:val="both"/>
        <w:rPr>
          <w:bCs/>
          <w:szCs w:val="24"/>
        </w:rPr>
      </w:pPr>
      <w:r>
        <w:rPr>
          <w:bCs/>
          <w:szCs w:val="24"/>
        </w:rPr>
        <w:t xml:space="preserve">2022–2030 m. plėtros programos </w:t>
      </w:r>
      <w:r>
        <w:rPr>
          <w:bCs/>
          <w:szCs w:val="24"/>
        </w:rPr>
        <w:lastRenderedPageBreak/>
        <w:t xml:space="preserve">valdytojos Lietuvos Respublikos </w:t>
      </w:r>
      <w:r>
        <w:rPr>
          <w:bCs/>
          <w:szCs w:val="24"/>
        </w:rPr>
        <w:lastRenderedPageBreak/>
        <w:t>švietimo, mokslo ir sporto minist</w:t>
      </w:r>
      <w:r>
        <w:rPr>
          <w:bCs/>
          <w:szCs w:val="24"/>
        </w:rPr>
        <w:lastRenderedPageBreak/>
        <w:t>erijos mokslo plėtros programos p</w:t>
      </w:r>
      <w:r>
        <w:rPr>
          <w:bCs/>
          <w:szCs w:val="24"/>
        </w:rPr>
        <w:lastRenderedPageBreak/>
        <w:t xml:space="preserve">ažangos priemonės Nr. </w:t>
      </w:r>
      <w:r>
        <w:rPr>
          <w:bCs/>
        </w:rPr>
        <w:t>12-001-01-</w:t>
      </w:r>
      <w:r>
        <w:rPr>
          <w:bCs/>
        </w:rPr>
        <w:lastRenderedPageBreak/>
        <w:t xml:space="preserve">01-01 </w:t>
      </w:r>
      <w:r>
        <w:rPr>
          <w:bCs/>
          <w:szCs w:val="24"/>
        </w:rPr>
        <w:t>„Gerinti mokslo ir studijų a</w:t>
      </w:r>
      <w:r>
        <w:rPr>
          <w:bCs/>
          <w:szCs w:val="24"/>
        </w:rPr>
        <w:lastRenderedPageBreak/>
        <w:t>plinką“ aprašo</w:t>
      </w:r>
    </w:p>
    <w:p w14:paraId="453A647D" w14:textId="77777777" w:rsidR="00610766" w:rsidRDefault="00252EB3">
      <w:pPr>
        <w:ind w:left="9639"/>
        <w:jc w:val="both"/>
        <w:rPr>
          <w:bCs/>
          <w:szCs w:val="24"/>
        </w:rPr>
      </w:pPr>
      <w:r>
        <w:rPr>
          <w:bCs/>
          <w:szCs w:val="24"/>
        </w:rPr>
        <w:t>2 priedas</w:t>
      </w:r>
    </w:p>
    <w:p w14:paraId="6C2DD83D" w14:textId="77777777" w:rsidR="00610766" w:rsidRDefault="00610766">
      <w:pPr>
        <w:rPr>
          <w:i/>
          <w:szCs w:val="24"/>
        </w:rPr>
      </w:pPr>
    </w:p>
    <w:p w14:paraId="35CD8B48" w14:textId="77777777" w:rsidR="00610766" w:rsidRDefault="00610766">
      <w:pPr>
        <w:rPr>
          <w:i/>
          <w:szCs w:val="24"/>
        </w:rPr>
      </w:pPr>
    </w:p>
    <w:p w14:paraId="29650B05" w14:textId="038FA17C" w:rsidR="00610766" w:rsidRDefault="00084976">
      <w:pPr>
        <w:jc w:val="center"/>
        <w:rPr>
          <w:b/>
          <w:bCs/>
          <w:szCs w:val="24"/>
        </w:rPr>
      </w:pPr>
      <w:r>
        <w:rPr>
          <w:b/>
          <w:bCs/>
          <w:szCs w:val="24"/>
        </w:rPr>
        <w:t>2022–2030 M. PLĖTROS PROGRAMOS VALDYTOJOS LIETUVOS RESPUBLIKOS ŠVIETIMO, MOKSLO IR SPORTO MINISTERIJOS MOKSLO PLĖTROS PROGRAMOS PAŽANGOS PRIEMONĖS NR. 12-001-01-01-01 „GERINTI MOKSLO IR STUDIJŲ APLINKĄ“ PROJEKTŲ FINANSAVIMO SĄLYGŲ APRAŠAS NR. 1</w:t>
      </w:r>
    </w:p>
    <w:p w14:paraId="3C6F3E5C" w14:textId="77777777" w:rsidR="00EE708F" w:rsidRPr="001F16F6" w:rsidRDefault="00EE708F">
      <w:pPr>
        <w:jc w:val="center"/>
        <w:rPr>
          <w:b/>
          <w:bCs/>
          <w:szCs w:val="24"/>
        </w:rPr>
      </w:pPr>
    </w:p>
    <w:p w14:paraId="1318EECD" w14:textId="10945FA7" w:rsidR="00EE708F" w:rsidRPr="001F16F6" w:rsidRDefault="003A59B3">
      <w:pPr>
        <w:jc w:val="center"/>
        <w:rPr>
          <w:szCs w:val="24"/>
        </w:rPr>
      </w:pPr>
      <w:r w:rsidRPr="001F16F6">
        <w:rPr>
          <w:b/>
          <w:bCs/>
          <w:szCs w:val="24"/>
        </w:rPr>
        <w:lastRenderedPageBreak/>
        <w:t>I SKYRIUS</w:t>
      </w:r>
    </w:p>
    <w:p w14:paraId="24648BB2" w14:textId="4FAD65C0" w:rsidR="00610766" w:rsidRPr="001F16F6" w:rsidRDefault="001F16F6" w:rsidP="00570F0D">
      <w:pPr>
        <w:jc w:val="center"/>
        <w:rPr>
          <w:szCs w:val="24"/>
        </w:rPr>
      </w:pPr>
      <w:r w:rsidRPr="00570F0D">
        <w:rPr>
          <w:b/>
          <w:szCs w:val="24"/>
        </w:rPr>
        <w:t>VEIKLOS AR POVEIKLĖS, KURIOMS NUSTATOMOS PROJEKTŲ FINANSAVIMO SĄLYGOS IR JŲ RODIKLIAI</w:t>
      </w:r>
    </w:p>
    <w:p w14:paraId="404FED14" w14:textId="77777777" w:rsidR="00610766" w:rsidRDefault="00610766">
      <w:pPr>
        <w:rPr>
          <w:szCs w:val="24"/>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993"/>
        <w:gridCol w:w="1275"/>
        <w:gridCol w:w="1134"/>
        <w:gridCol w:w="1134"/>
        <w:gridCol w:w="1418"/>
        <w:gridCol w:w="1276"/>
        <w:gridCol w:w="992"/>
        <w:gridCol w:w="1276"/>
        <w:gridCol w:w="992"/>
        <w:gridCol w:w="992"/>
        <w:gridCol w:w="992"/>
        <w:gridCol w:w="1276"/>
      </w:tblGrid>
      <w:tr w:rsidR="00E55EE9" w14:paraId="1B4D43CE" w14:textId="77777777">
        <w:tc>
          <w:tcPr>
            <w:tcW w:w="14879" w:type="dxa"/>
            <w:gridSpan w:val="13"/>
            <w:vAlign w:val="center"/>
          </w:tcPr>
          <w:p w14:paraId="5546E1B2" w14:textId="1FB815C6" w:rsidR="00E55EE9" w:rsidRPr="00570F0D" w:rsidRDefault="00E55EE9" w:rsidP="00570F0D">
            <w:pPr>
              <w:pStyle w:val="ListParagraph"/>
              <w:numPr>
                <w:ilvl w:val="0"/>
                <w:numId w:val="2"/>
              </w:numPr>
              <w:ind w:left="589" w:hanging="229"/>
              <w:rPr>
                <w:b/>
                <w:sz w:val="22"/>
                <w:szCs w:val="22"/>
              </w:rPr>
            </w:pPr>
            <w:r w:rsidRPr="00570F0D">
              <w:rPr>
                <w:b/>
                <w:sz w:val="22"/>
                <w:szCs w:val="22"/>
              </w:rPr>
              <w:t xml:space="preserve">Veiklos ar </w:t>
            </w:r>
            <w:proofErr w:type="spellStart"/>
            <w:r w:rsidRPr="00570F0D">
              <w:rPr>
                <w:b/>
                <w:sz w:val="22"/>
                <w:szCs w:val="22"/>
              </w:rPr>
              <w:t>poveiklės</w:t>
            </w:r>
            <w:proofErr w:type="spellEnd"/>
            <w:r w:rsidRPr="00570F0D">
              <w:rPr>
                <w:b/>
                <w:sz w:val="22"/>
                <w:szCs w:val="22"/>
              </w:rPr>
              <w:t>, kurioms nustatomos projektų finansavimo sąlygos</w:t>
            </w:r>
          </w:p>
        </w:tc>
      </w:tr>
      <w:tr w:rsidR="00E55EE9" w14:paraId="2151C3E5" w14:textId="77777777">
        <w:tc>
          <w:tcPr>
            <w:tcW w:w="1129" w:type="dxa"/>
            <w:vAlign w:val="center"/>
          </w:tcPr>
          <w:p w14:paraId="7E2EFD04" w14:textId="77777777" w:rsidR="00E55EE9" w:rsidRDefault="00E55EE9" w:rsidP="00E55EE9">
            <w:pPr>
              <w:jc w:val="center"/>
              <w:rPr>
                <w:b/>
                <w:sz w:val="20"/>
                <w:szCs w:val="22"/>
              </w:rPr>
            </w:pPr>
            <w:r>
              <w:rPr>
                <w:b/>
                <w:sz w:val="20"/>
                <w:szCs w:val="22"/>
              </w:rPr>
              <w:t xml:space="preserve">Veiklos ar </w:t>
            </w:r>
            <w:proofErr w:type="spellStart"/>
            <w:r>
              <w:rPr>
                <w:b/>
                <w:sz w:val="20"/>
                <w:szCs w:val="22"/>
              </w:rPr>
              <w:t>poveiklės</w:t>
            </w:r>
            <w:proofErr w:type="spellEnd"/>
            <w:r>
              <w:rPr>
                <w:b/>
                <w:sz w:val="20"/>
                <w:szCs w:val="22"/>
              </w:rPr>
              <w:t xml:space="preserve"> pavadini-</w:t>
            </w:r>
            <w:proofErr w:type="spellStart"/>
            <w:r>
              <w:rPr>
                <w:b/>
                <w:sz w:val="20"/>
                <w:szCs w:val="22"/>
              </w:rPr>
              <w:t>mas</w:t>
            </w:r>
            <w:proofErr w:type="spellEnd"/>
          </w:p>
        </w:tc>
        <w:tc>
          <w:tcPr>
            <w:tcW w:w="993" w:type="dxa"/>
            <w:vAlign w:val="center"/>
          </w:tcPr>
          <w:p w14:paraId="6BAD71B8" w14:textId="77777777" w:rsidR="00E55EE9" w:rsidRDefault="00E55EE9" w:rsidP="00E55EE9">
            <w:pPr>
              <w:jc w:val="center"/>
              <w:rPr>
                <w:b/>
                <w:sz w:val="20"/>
                <w:szCs w:val="22"/>
              </w:rPr>
            </w:pPr>
            <w:proofErr w:type="spellStart"/>
            <w:r>
              <w:rPr>
                <w:b/>
                <w:sz w:val="20"/>
                <w:szCs w:val="22"/>
              </w:rPr>
              <w:t>Finansa</w:t>
            </w:r>
            <w:proofErr w:type="spellEnd"/>
            <w:r>
              <w:rPr>
                <w:b/>
                <w:sz w:val="20"/>
                <w:szCs w:val="22"/>
              </w:rPr>
              <w:t>-vimo šaltinis</w:t>
            </w:r>
          </w:p>
        </w:tc>
        <w:tc>
          <w:tcPr>
            <w:tcW w:w="1275" w:type="dxa"/>
            <w:vAlign w:val="center"/>
          </w:tcPr>
          <w:p w14:paraId="77F09601" w14:textId="77777777" w:rsidR="00E55EE9" w:rsidRDefault="00E55EE9" w:rsidP="00E55EE9">
            <w:pPr>
              <w:jc w:val="center"/>
              <w:rPr>
                <w:b/>
                <w:sz w:val="20"/>
                <w:szCs w:val="22"/>
              </w:rPr>
            </w:pPr>
            <w:r>
              <w:rPr>
                <w:b/>
                <w:bCs/>
                <w:sz w:val="20"/>
                <w:szCs w:val="22"/>
              </w:rPr>
              <w:t xml:space="preserve">Prioritetas ar </w:t>
            </w:r>
            <w:proofErr w:type="spellStart"/>
            <w:r>
              <w:rPr>
                <w:b/>
                <w:bCs/>
                <w:sz w:val="20"/>
                <w:szCs w:val="22"/>
              </w:rPr>
              <w:t>komponen</w:t>
            </w:r>
            <w:proofErr w:type="spellEnd"/>
            <w:r>
              <w:rPr>
                <w:b/>
                <w:bCs/>
                <w:sz w:val="20"/>
                <w:szCs w:val="22"/>
              </w:rPr>
              <w:t>-tas</w:t>
            </w:r>
          </w:p>
        </w:tc>
        <w:tc>
          <w:tcPr>
            <w:tcW w:w="1134" w:type="dxa"/>
            <w:vAlign w:val="center"/>
          </w:tcPr>
          <w:p w14:paraId="63B78F6F" w14:textId="77777777" w:rsidR="00E55EE9" w:rsidRDefault="00E55EE9" w:rsidP="00E55EE9">
            <w:pPr>
              <w:jc w:val="center"/>
              <w:rPr>
                <w:b/>
                <w:sz w:val="20"/>
                <w:szCs w:val="22"/>
              </w:rPr>
            </w:pPr>
            <w:proofErr w:type="spellStart"/>
            <w:r>
              <w:rPr>
                <w:b/>
                <w:bCs/>
                <w:sz w:val="20"/>
                <w:szCs w:val="22"/>
              </w:rPr>
              <w:t>Uždavi-nys</w:t>
            </w:r>
            <w:proofErr w:type="spellEnd"/>
            <w:r>
              <w:rPr>
                <w:b/>
                <w:bCs/>
                <w:sz w:val="20"/>
                <w:szCs w:val="22"/>
              </w:rPr>
              <w:t xml:space="preserve"> ar priemonė</w:t>
            </w:r>
          </w:p>
        </w:tc>
        <w:tc>
          <w:tcPr>
            <w:tcW w:w="1134" w:type="dxa"/>
            <w:vAlign w:val="center"/>
          </w:tcPr>
          <w:p w14:paraId="140684E5" w14:textId="77777777" w:rsidR="00E55EE9" w:rsidRDefault="00E55EE9" w:rsidP="00E55EE9">
            <w:pPr>
              <w:jc w:val="center"/>
              <w:rPr>
                <w:b/>
                <w:sz w:val="20"/>
                <w:szCs w:val="22"/>
              </w:rPr>
            </w:pPr>
            <w:r>
              <w:rPr>
                <w:b/>
                <w:bCs/>
                <w:sz w:val="20"/>
                <w:szCs w:val="22"/>
              </w:rPr>
              <w:t xml:space="preserve">Veikla ar </w:t>
            </w:r>
            <w:proofErr w:type="spellStart"/>
            <w:r>
              <w:rPr>
                <w:b/>
                <w:bCs/>
                <w:sz w:val="20"/>
                <w:szCs w:val="22"/>
              </w:rPr>
              <w:t>paprie-monė</w:t>
            </w:r>
            <w:proofErr w:type="spellEnd"/>
          </w:p>
        </w:tc>
        <w:tc>
          <w:tcPr>
            <w:tcW w:w="1418" w:type="dxa"/>
            <w:vAlign w:val="center"/>
          </w:tcPr>
          <w:p w14:paraId="59250A6D" w14:textId="77777777" w:rsidR="00E55EE9" w:rsidRDefault="00E55EE9" w:rsidP="00E55EE9">
            <w:pPr>
              <w:jc w:val="center"/>
              <w:rPr>
                <w:b/>
                <w:sz w:val="20"/>
                <w:szCs w:val="22"/>
              </w:rPr>
            </w:pPr>
            <w:r>
              <w:rPr>
                <w:b/>
                <w:sz w:val="20"/>
                <w:szCs w:val="22"/>
              </w:rPr>
              <w:t>Intervencinės priemonės kodas</w:t>
            </w:r>
          </w:p>
        </w:tc>
        <w:tc>
          <w:tcPr>
            <w:tcW w:w="1276" w:type="dxa"/>
            <w:vAlign w:val="center"/>
          </w:tcPr>
          <w:p w14:paraId="7D0DCB24" w14:textId="77777777" w:rsidR="00E55EE9" w:rsidRDefault="00E55EE9" w:rsidP="00E55EE9">
            <w:pPr>
              <w:jc w:val="center"/>
              <w:rPr>
                <w:b/>
                <w:bCs/>
                <w:sz w:val="20"/>
                <w:szCs w:val="22"/>
              </w:rPr>
            </w:pPr>
            <w:r>
              <w:rPr>
                <w:b/>
                <w:sz w:val="20"/>
              </w:rPr>
              <w:t xml:space="preserve">Regionas, kuriam priskiriama veikla ar </w:t>
            </w:r>
            <w:proofErr w:type="spellStart"/>
            <w:r>
              <w:rPr>
                <w:b/>
                <w:sz w:val="20"/>
              </w:rPr>
              <w:t>poveiklė</w:t>
            </w:r>
            <w:proofErr w:type="spellEnd"/>
          </w:p>
        </w:tc>
        <w:tc>
          <w:tcPr>
            <w:tcW w:w="992" w:type="dxa"/>
            <w:vAlign w:val="center"/>
          </w:tcPr>
          <w:p w14:paraId="1537123A" w14:textId="77777777" w:rsidR="00E55EE9" w:rsidRDefault="00E55EE9" w:rsidP="00E55EE9">
            <w:pPr>
              <w:jc w:val="center"/>
              <w:rPr>
                <w:b/>
                <w:sz w:val="20"/>
                <w:szCs w:val="22"/>
              </w:rPr>
            </w:pPr>
            <w:r>
              <w:rPr>
                <w:b/>
                <w:bCs/>
                <w:sz w:val="20"/>
                <w:szCs w:val="22"/>
              </w:rPr>
              <w:t>Paramos formos kodas</w:t>
            </w:r>
          </w:p>
        </w:tc>
        <w:tc>
          <w:tcPr>
            <w:tcW w:w="1276" w:type="dxa"/>
            <w:vAlign w:val="center"/>
          </w:tcPr>
          <w:p w14:paraId="7CC2EF24" w14:textId="77777777" w:rsidR="00E55EE9" w:rsidRDefault="00E55EE9" w:rsidP="00E55EE9">
            <w:pPr>
              <w:jc w:val="center"/>
              <w:rPr>
                <w:b/>
                <w:sz w:val="20"/>
                <w:szCs w:val="22"/>
              </w:rPr>
            </w:pPr>
            <w:r>
              <w:rPr>
                <w:b/>
                <w:bCs/>
                <w:sz w:val="20"/>
                <w:szCs w:val="22"/>
              </w:rPr>
              <w:t>Pagrindinės teritorinės srities kodas (-ai)</w:t>
            </w:r>
          </w:p>
        </w:tc>
        <w:tc>
          <w:tcPr>
            <w:tcW w:w="992" w:type="dxa"/>
            <w:vAlign w:val="center"/>
          </w:tcPr>
          <w:p w14:paraId="5D5D417F" w14:textId="77777777" w:rsidR="00E55EE9" w:rsidRDefault="00E55EE9" w:rsidP="00E55EE9">
            <w:pPr>
              <w:jc w:val="center"/>
              <w:rPr>
                <w:b/>
                <w:sz w:val="20"/>
                <w:szCs w:val="22"/>
              </w:rPr>
            </w:pPr>
            <w:proofErr w:type="spellStart"/>
            <w:r>
              <w:rPr>
                <w:b/>
                <w:bCs/>
                <w:sz w:val="20"/>
                <w:szCs w:val="22"/>
              </w:rPr>
              <w:t>Ekono</w:t>
            </w:r>
            <w:proofErr w:type="spellEnd"/>
            <w:r>
              <w:rPr>
                <w:b/>
                <w:bCs/>
                <w:sz w:val="20"/>
                <w:szCs w:val="22"/>
              </w:rPr>
              <w:t>-minės veiklos kodas (-ai)</w:t>
            </w:r>
          </w:p>
        </w:tc>
        <w:tc>
          <w:tcPr>
            <w:tcW w:w="992" w:type="dxa"/>
            <w:vAlign w:val="center"/>
          </w:tcPr>
          <w:p w14:paraId="5DA68412" w14:textId="77777777" w:rsidR="00E55EE9" w:rsidRDefault="00E55EE9" w:rsidP="00E55EE9">
            <w:pPr>
              <w:jc w:val="center"/>
              <w:rPr>
                <w:b/>
                <w:bCs/>
                <w:sz w:val="20"/>
                <w:szCs w:val="22"/>
              </w:rPr>
            </w:pPr>
            <w:r>
              <w:rPr>
                <w:b/>
                <w:bCs/>
                <w:sz w:val="20"/>
                <w:szCs w:val="22"/>
              </w:rPr>
              <w:t>„Europos socialinio fondo +“ (toliau – ESF+) antrinių temų kodai</w:t>
            </w:r>
          </w:p>
        </w:tc>
        <w:tc>
          <w:tcPr>
            <w:tcW w:w="992" w:type="dxa"/>
            <w:vAlign w:val="center"/>
          </w:tcPr>
          <w:p w14:paraId="582585B2" w14:textId="77777777" w:rsidR="00E55EE9" w:rsidRDefault="00E55EE9" w:rsidP="00E55EE9">
            <w:pPr>
              <w:jc w:val="center"/>
              <w:rPr>
                <w:b/>
                <w:bCs/>
                <w:sz w:val="20"/>
                <w:szCs w:val="22"/>
              </w:rPr>
            </w:pPr>
            <w:r>
              <w:rPr>
                <w:b/>
                <w:bCs/>
                <w:sz w:val="20"/>
                <w:szCs w:val="22"/>
              </w:rPr>
              <w:t>Lyčių lygybės matmens kodas</w:t>
            </w:r>
          </w:p>
        </w:tc>
        <w:tc>
          <w:tcPr>
            <w:tcW w:w="1276" w:type="dxa"/>
          </w:tcPr>
          <w:p w14:paraId="3286F1BB" w14:textId="77777777" w:rsidR="00E55EE9" w:rsidRDefault="00E55EE9" w:rsidP="00E55EE9">
            <w:pPr>
              <w:jc w:val="center"/>
              <w:rPr>
                <w:b/>
                <w:sz w:val="20"/>
              </w:rPr>
            </w:pPr>
            <w:proofErr w:type="spellStart"/>
            <w:r>
              <w:rPr>
                <w:b/>
                <w:sz w:val="20"/>
              </w:rPr>
              <w:t>Nepanau-dotos</w:t>
            </w:r>
            <w:proofErr w:type="spellEnd"/>
            <w:r>
              <w:rPr>
                <w:b/>
                <w:sz w:val="20"/>
              </w:rPr>
              <w:t xml:space="preserve"> </w:t>
            </w:r>
            <w:proofErr w:type="spellStart"/>
            <w:r>
              <w:rPr>
                <w:b/>
                <w:sz w:val="20"/>
              </w:rPr>
              <w:t>Ekonomi-kos</w:t>
            </w:r>
            <w:proofErr w:type="spellEnd"/>
            <w:r>
              <w:rPr>
                <w:b/>
                <w:sz w:val="20"/>
              </w:rPr>
              <w:t xml:space="preserve"> gaivinimo ir atsparumo didinimo priemonės lėšos</w:t>
            </w:r>
          </w:p>
          <w:p w14:paraId="7DF45445" w14:textId="77777777" w:rsidR="00E55EE9" w:rsidRDefault="00E55EE9" w:rsidP="00E55EE9">
            <w:pPr>
              <w:jc w:val="center"/>
              <w:rPr>
                <w:b/>
                <w:bCs/>
                <w:sz w:val="20"/>
                <w:szCs w:val="22"/>
              </w:rPr>
            </w:pPr>
            <w:r>
              <w:rPr>
                <w:b/>
                <w:sz w:val="20"/>
              </w:rPr>
              <w:t>(Taip / Ne)</w:t>
            </w:r>
          </w:p>
        </w:tc>
      </w:tr>
      <w:tr w:rsidR="00E55EE9" w14:paraId="607D5CC8" w14:textId="77777777">
        <w:trPr>
          <w:trHeight w:val="278"/>
        </w:trPr>
        <w:tc>
          <w:tcPr>
            <w:tcW w:w="1129" w:type="dxa"/>
            <w:tcMar>
              <w:left w:w="28" w:type="dxa"/>
              <w:right w:w="28" w:type="dxa"/>
            </w:tcMar>
          </w:tcPr>
          <w:p w14:paraId="58D4E029" w14:textId="77777777" w:rsidR="00E55EE9" w:rsidRDefault="00E55EE9" w:rsidP="00E55EE9">
            <w:pPr>
              <w:jc w:val="center"/>
              <w:rPr>
                <w:sz w:val="20"/>
              </w:rPr>
            </w:pPr>
            <w:r>
              <w:rPr>
                <w:sz w:val="20"/>
              </w:rPr>
              <w:t>1.1. Įsijungti į Europos atvirojo mokslo debesį Sostinės regione</w:t>
            </w:r>
          </w:p>
        </w:tc>
        <w:tc>
          <w:tcPr>
            <w:tcW w:w="993" w:type="dxa"/>
            <w:tcMar>
              <w:left w:w="28" w:type="dxa"/>
              <w:right w:w="28" w:type="dxa"/>
            </w:tcMar>
          </w:tcPr>
          <w:p w14:paraId="79A87908" w14:textId="77777777" w:rsidR="00E55EE9" w:rsidRDefault="00E55EE9" w:rsidP="00E55EE9">
            <w:pPr>
              <w:jc w:val="center"/>
              <w:rPr>
                <w:iCs/>
                <w:sz w:val="20"/>
              </w:rPr>
            </w:pPr>
            <w:r>
              <w:rPr>
                <w:iCs/>
                <w:sz w:val="20"/>
              </w:rPr>
              <w:t>Europos Sąjungos fondų ir bendrojo finansavimo lėšos;</w:t>
            </w:r>
          </w:p>
          <w:p w14:paraId="4F381693" w14:textId="77777777" w:rsidR="00E55EE9" w:rsidRDefault="00E55EE9" w:rsidP="00E55EE9">
            <w:pPr>
              <w:jc w:val="center"/>
              <w:rPr>
                <w:sz w:val="20"/>
              </w:rPr>
            </w:pPr>
            <w:r>
              <w:rPr>
                <w:sz w:val="20"/>
              </w:rPr>
              <w:t>valstybės biudžeto lėšos, skirtos Europos Sąjungos fondų lėšomis netinkamam finansuoti pridėtinės vertės mokesčiui apmokėti</w:t>
            </w:r>
          </w:p>
        </w:tc>
        <w:tc>
          <w:tcPr>
            <w:tcW w:w="1275" w:type="dxa"/>
            <w:tcMar>
              <w:left w:w="28" w:type="dxa"/>
              <w:right w:w="28" w:type="dxa"/>
            </w:tcMar>
          </w:tcPr>
          <w:p w14:paraId="35C6EA2F" w14:textId="77777777" w:rsidR="00E55EE9" w:rsidRDefault="00E55EE9" w:rsidP="00E55EE9">
            <w:pPr>
              <w:jc w:val="center"/>
              <w:rPr>
                <w:iCs/>
                <w:sz w:val="20"/>
                <w:lang w:val="en-GB"/>
              </w:rPr>
            </w:pPr>
            <w:r>
              <w:rPr>
                <w:iCs/>
                <w:sz w:val="20"/>
                <w:lang w:val="en-GB"/>
              </w:rPr>
              <w:t>1</w:t>
            </w:r>
          </w:p>
        </w:tc>
        <w:tc>
          <w:tcPr>
            <w:tcW w:w="1134" w:type="dxa"/>
            <w:tcMar>
              <w:left w:w="28" w:type="dxa"/>
              <w:right w:w="28" w:type="dxa"/>
            </w:tcMar>
          </w:tcPr>
          <w:p w14:paraId="2B12CC51" w14:textId="77777777" w:rsidR="00E55EE9" w:rsidRDefault="00E55EE9" w:rsidP="00E55EE9">
            <w:pPr>
              <w:jc w:val="center"/>
              <w:rPr>
                <w:sz w:val="20"/>
              </w:rPr>
            </w:pPr>
            <w:r>
              <w:rPr>
                <w:sz w:val="20"/>
              </w:rPr>
              <w:t>1.2</w:t>
            </w:r>
          </w:p>
        </w:tc>
        <w:tc>
          <w:tcPr>
            <w:tcW w:w="1134" w:type="dxa"/>
            <w:tcMar>
              <w:left w:w="28" w:type="dxa"/>
              <w:right w:w="28" w:type="dxa"/>
            </w:tcMar>
          </w:tcPr>
          <w:p w14:paraId="0B34FE98" w14:textId="77777777" w:rsidR="00E55EE9" w:rsidRDefault="00E55EE9" w:rsidP="00E55EE9">
            <w:pPr>
              <w:ind w:firstLine="53"/>
              <w:jc w:val="center"/>
              <w:rPr>
                <w:iCs/>
                <w:sz w:val="20"/>
              </w:rPr>
            </w:pPr>
            <w:r>
              <w:rPr>
                <w:bCs/>
                <w:sz w:val="20"/>
              </w:rPr>
              <w:t xml:space="preserve">Įsijungti į Europos atvirojo mokslo debesį </w:t>
            </w:r>
            <w:r>
              <w:rPr>
                <w:iCs/>
                <w:sz w:val="20"/>
              </w:rPr>
              <w:t>–</w:t>
            </w:r>
            <w:r>
              <w:rPr>
                <w:b/>
                <w:sz w:val="20"/>
              </w:rPr>
              <w:t xml:space="preserve"> </w:t>
            </w:r>
            <w:r>
              <w:rPr>
                <w:sz w:val="20"/>
              </w:rPr>
              <w:t xml:space="preserve">galimybių studijos dėl būtinų pokyčių ir investicijų krypčių parengimas  </w:t>
            </w:r>
          </w:p>
        </w:tc>
        <w:tc>
          <w:tcPr>
            <w:tcW w:w="1418" w:type="dxa"/>
            <w:tcMar>
              <w:left w:w="28" w:type="dxa"/>
              <w:right w:w="28" w:type="dxa"/>
            </w:tcMar>
          </w:tcPr>
          <w:p w14:paraId="0B17C56B" w14:textId="77777777" w:rsidR="00E55EE9" w:rsidRDefault="00E55EE9" w:rsidP="00E55EE9">
            <w:pPr>
              <w:jc w:val="center"/>
              <w:rPr>
                <w:iCs/>
                <w:sz w:val="20"/>
              </w:rPr>
            </w:pPr>
            <w:r>
              <w:rPr>
                <w:iCs/>
                <w:sz w:val="20"/>
              </w:rPr>
              <w:t>017</w:t>
            </w:r>
          </w:p>
        </w:tc>
        <w:tc>
          <w:tcPr>
            <w:tcW w:w="1276" w:type="dxa"/>
            <w:tcMar>
              <w:left w:w="28" w:type="dxa"/>
              <w:right w:w="28" w:type="dxa"/>
            </w:tcMar>
          </w:tcPr>
          <w:p w14:paraId="29FD5631" w14:textId="77777777" w:rsidR="00E55EE9" w:rsidRDefault="00E55EE9" w:rsidP="00E55EE9">
            <w:pPr>
              <w:jc w:val="center"/>
              <w:rPr>
                <w:sz w:val="20"/>
              </w:rPr>
            </w:pPr>
            <w:r>
              <w:rPr>
                <w:sz w:val="20"/>
              </w:rPr>
              <w:t>Sostinės regionas</w:t>
            </w:r>
          </w:p>
        </w:tc>
        <w:tc>
          <w:tcPr>
            <w:tcW w:w="992" w:type="dxa"/>
            <w:tcMar>
              <w:left w:w="28" w:type="dxa"/>
              <w:right w:w="28" w:type="dxa"/>
            </w:tcMar>
          </w:tcPr>
          <w:p w14:paraId="76E051BE" w14:textId="77777777" w:rsidR="00E55EE9" w:rsidRDefault="00E55EE9" w:rsidP="00E55EE9">
            <w:pPr>
              <w:jc w:val="center"/>
              <w:rPr>
                <w:sz w:val="20"/>
              </w:rPr>
            </w:pPr>
            <w:r>
              <w:rPr>
                <w:sz w:val="20"/>
              </w:rPr>
              <w:t>01 – Dotacija</w:t>
            </w:r>
          </w:p>
        </w:tc>
        <w:tc>
          <w:tcPr>
            <w:tcW w:w="1276" w:type="dxa"/>
            <w:tcMar>
              <w:left w:w="28" w:type="dxa"/>
              <w:right w:w="28" w:type="dxa"/>
            </w:tcMar>
          </w:tcPr>
          <w:p w14:paraId="16ACCBDB" w14:textId="77777777" w:rsidR="00E55EE9" w:rsidRDefault="00E55EE9" w:rsidP="00E55EE9">
            <w:pPr>
              <w:jc w:val="center"/>
              <w:rPr>
                <w:iCs/>
                <w:sz w:val="20"/>
              </w:rPr>
            </w:pPr>
            <w:r>
              <w:rPr>
                <w:iCs/>
                <w:sz w:val="20"/>
              </w:rPr>
              <w:t>33 – nesiorientuojant į teritorinį principą</w:t>
            </w:r>
          </w:p>
        </w:tc>
        <w:tc>
          <w:tcPr>
            <w:tcW w:w="992" w:type="dxa"/>
            <w:tcMar>
              <w:left w:w="28" w:type="dxa"/>
              <w:right w:w="28" w:type="dxa"/>
            </w:tcMar>
          </w:tcPr>
          <w:p w14:paraId="7E153E56" w14:textId="77777777" w:rsidR="00E55EE9" w:rsidRDefault="00E55EE9" w:rsidP="00E55EE9">
            <w:pPr>
              <w:jc w:val="center"/>
              <w:rPr>
                <w:iCs/>
                <w:sz w:val="20"/>
              </w:rPr>
            </w:pPr>
            <w:r>
              <w:rPr>
                <w:iCs/>
                <w:sz w:val="20"/>
              </w:rPr>
              <w:t xml:space="preserve">26 – kitos </w:t>
            </w:r>
            <w:proofErr w:type="spellStart"/>
            <w:r>
              <w:rPr>
                <w:iCs/>
                <w:sz w:val="20"/>
              </w:rPr>
              <w:t>nenurody</w:t>
            </w:r>
            <w:proofErr w:type="spellEnd"/>
            <w:r>
              <w:rPr>
                <w:iCs/>
                <w:sz w:val="20"/>
              </w:rPr>
              <w:t>-tos paslaugos</w:t>
            </w:r>
          </w:p>
        </w:tc>
        <w:tc>
          <w:tcPr>
            <w:tcW w:w="992" w:type="dxa"/>
            <w:tcMar>
              <w:left w:w="28" w:type="dxa"/>
              <w:right w:w="28" w:type="dxa"/>
            </w:tcMar>
          </w:tcPr>
          <w:p w14:paraId="100568C6" w14:textId="77777777" w:rsidR="00E55EE9" w:rsidRDefault="00E55EE9" w:rsidP="00E55EE9">
            <w:pPr>
              <w:jc w:val="center"/>
              <w:rPr>
                <w:sz w:val="20"/>
              </w:rPr>
            </w:pPr>
            <w:r>
              <w:rPr>
                <w:sz w:val="20"/>
              </w:rPr>
              <w:t>09</w:t>
            </w:r>
          </w:p>
        </w:tc>
        <w:tc>
          <w:tcPr>
            <w:tcW w:w="992" w:type="dxa"/>
            <w:tcMar>
              <w:left w:w="28" w:type="dxa"/>
              <w:right w:w="28" w:type="dxa"/>
            </w:tcMar>
          </w:tcPr>
          <w:p w14:paraId="3A912D66" w14:textId="77777777" w:rsidR="00E55EE9" w:rsidRDefault="00E55EE9" w:rsidP="00E55EE9">
            <w:pPr>
              <w:jc w:val="center"/>
              <w:rPr>
                <w:iCs/>
                <w:sz w:val="20"/>
              </w:rPr>
            </w:pPr>
            <w:r>
              <w:rPr>
                <w:iCs/>
                <w:sz w:val="20"/>
              </w:rPr>
              <w:t>03 – neutralumas lyties požiūriu</w:t>
            </w:r>
          </w:p>
        </w:tc>
        <w:tc>
          <w:tcPr>
            <w:tcW w:w="1276" w:type="dxa"/>
          </w:tcPr>
          <w:p w14:paraId="6E87881B" w14:textId="77777777" w:rsidR="00E55EE9" w:rsidRDefault="00E55EE9" w:rsidP="00E55EE9">
            <w:pPr>
              <w:jc w:val="center"/>
              <w:rPr>
                <w:iCs/>
                <w:sz w:val="20"/>
              </w:rPr>
            </w:pPr>
            <w:r>
              <w:rPr>
                <w:iCs/>
                <w:sz w:val="20"/>
              </w:rPr>
              <w:t>Ne</w:t>
            </w:r>
          </w:p>
        </w:tc>
      </w:tr>
    </w:tbl>
    <w:p w14:paraId="445D50ED" w14:textId="77777777" w:rsidR="00610766" w:rsidRDefault="00610766">
      <w:pPr>
        <w:ind w:firstLine="567"/>
        <w:jc w:val="both"/>
        <w:rPr>
          <w:i/>
          <w:iCs/>
          <w:szCs w:val="24"/>
        </w:rPr>
      </w:pPr>
    </w:p>
    <w:p w14:paraId="435E5980" w14:textId="77777777" w:rsidR="00644A9F" w:rsidRPr="00570F0D" w:rsidRDefault="00644A9F" w:rsidP="00570F0D">
      <w:pPr>
        <w:pStyle w:val="ListParagraph"/>
        <w:jc w:val="both"/>
        <w:rPr>
          <w:sz w:val="22"/>
          <w:szCs w:val="22"/>
        </w:rPr>
      </w:pPr>
    </w:p>
    <w:tbl>
      <w:tblPr>
        <w:tblW w:w="14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8"/>
        <w:gridCol w:w="3688"/>
        <w:gridCol w:w="3688"/>
        <w:gridCol w:w="3688"/>
      </w:tblGrid>
      <w:tr w:rsidR="00683D3D" w14:paraId="0BE84513" w14:textId="77777777" w:rsidTr="008D3829">
        <w:trPr>
          <w:trHeight w:val="405"/>
        </w:trPr>
        <w:tc>
          <w:tcPr>
            <w:tcW w:w="14752" w:type="dxa"/>
            <w:gridSpan w:val="4"/>
            <w:vAlign w:val="center"/>
          </w:tcPr>
          <w:p w14:paraId="421DCA57" w14:textId="2BE56529" w:rsidR="00683D3D" w:rsidRPr="00570F0D" w:rsidRDefault="00683D3D" w:rsidP="00570F0D">
            <w:pPr>
              <w:pStyle w:val="ListParagraph"/>
              <w:numPr>
                <w:ilvl w:val="0"/>
                <w:numId w:val="2"/>
              </w:numPr>
              <w:ind w:left="306" w:hanging="284"/>
              <w:rPr>
                <w:b/>
                <w:sz w:val="22"/>
                <w:szCs w:val="22"/>
              </w:rPr>
            </w:pPr>
            <w:r w:rsidRPr="00570F0D">
              <w:rPr>
                <w:b/>
                <w:sz w:val="22"/>
                <w:szCs w:val="22"/>
              </w:rPr>
              <w:t xml:space="preserve">Veiklos ar </w:t>
            </w:r>
            <w:proofErr w:type="spellStart"/>
            <w:r w:rsidRPr="00570F0D">
              <w:rPr>
                <w:b/>
                <w:sz w:val="22"/>
                <w:szCs w:val="22"/>
              </w:rPr>
              <w:t>poveiklės</w:t>
            </w:r>
            <w:proofErr w:type="spellEnd"/>
            <w:r w:rsidRPr="00570F0D">
              <w:rPr>
                <w:b/>
                <w:sz w:val="22"/>
                <w:szCs w:val="22"/>
              </w:rPr>
              <w:t xml:space="preserve"> rodikliai</w:t>
            </w:r>
          </w:p>
        </w:tc>
      </w:tr>
      <w:tr w:rsidR="00610766" w14:paraId="6D301F4D" w14:textId="77777777">
        <w:trPr>
          <w:trHeight w:val="405"/>
        </w:trPr>
        <w:tc>
          <w:tcPr>
            <w:tcW w:w="3688" w:type="dxa"/>
            <w:vAlign w:val="center"/>
          </w:tcPr>
          <w:p w14:paraId="4AF67FFE" w14:textId="77777777" w:rsidR="00610766" w:rsidRDefault="00252EB3">
            <w:pPr>
              <w:jc w:val="center"/>
              <w:rPr>
                <w:sz w:val="18"/>
                <w:szCs w:val="18"/>
              </w:rPr>
            </w:pPr>
            <w:r>
              <w:rPr>
                <w:sz w:val="22"/>
                <w:szCs w:val="22"/>
              </w:rPr>
              <w:t>Rodiklio pavadinimas</w:t>
            </w:r>
          </w:p>
        </w:tc>
        <w:tc>
          <w:tcPr>
            <w:tcW w:w="3688" w:type="dxa"/>
            <w:vAlign w:val="center"/>
          </w:tcPr>
          <w:p w14:paraId="6D9922B0" w14:textId="77777777" w:rsidR="00610766" w:rsidRDefault="00252EB3">
            <w:pPr>
              <w:jc w:val="center"/>
              <w:rPr>
                <w:sz w:val="18"/>
                <w:szCs w:val="18"/>
              </w:rPr>
            </w:pPr>
            <w:r>
              <w:rPr>
                <w:sz w:val="22"/>
                <w:szCs w:val="22"/>
              </w:rPr>
              <w:t>Rodiklio kodas</w:t>
            </w:r>
          </w:p>
        </w:tc>
        <w:tc>
          <w:tcPr>
            <w:tcW w:w="3688" w:type="dxa"/>
            <w:vAlign w:val="center"/>
          </w:tcPr>
          <w:p w14:paraId="26D4BDF7" w14:textId="77777777" w:rsidR="00610766" w:rsidRDefault="00252EB3">
            <w:pPr>
              <w:jc w:val="center"/>
              <w:rPr>
                <w:sz w:val="18"/>
                <w:szCs w:val="18"/>
              </w:rPr>
            </w:pPr>
            <w:r>
              <w:rPr>
                <w:sz w:val="22"/>
                <w:szCs w:val="22"/>
              </w:rPr>
              <w:t>Matavimo vienetai</w:t>
            </w:r>
          </w:p>
        </w:tc>
        <w:tc>
          <w:tcPr>
            <w:tcW w:w="3688" w:type="dxa"/>
            <w:vAlign w:val="center"/>
          </w:tcPr>
          <w:p w14:paraId="4A88624E" w14:textId="77777777" w:rsidR="00610766" w:rsidRDefault="00252EB3">
            <w:pPr>
              <w:jc w:val="center"/>
              <w:rPr>
                <w:sz w:val="18"/>
                <w:szCs w:val="18"/>
              </w:rPr>
            </w:pPr>
            <w:r>
              <w:rPr>
                <w:sz w:val="22"/>
                <w:szCs w:val="22"/>
              </w:rPr>
              <w:t>Siektina reikšmė ir pasiekimo data</w:t>
            </w:r>
          </w:p>
        </w:tc>
      </w:tr>
      <w:tr w:rsidR="00610766" w14:paraId="7269D1F2" w14:textId="77777777">
        <w:trPr>
          <w:trHeight w:val="725"/>
        </w:trPr>
        <w:tc>
          <w:tcPr>
            <w:tcW w:w="3688" w:type="dxa"/>
            <w:vAlign w:val="center"/>
          </w:tcPr>
          <w:p w14:paraId="6A2DCC6C" w14:textId="77777777" w:rsidR="00610766" w:rsidRDefault="00252EB3" w:rsidP="00570F0D">
            <w:pPr>
              <w:ind w:left="-60" w:right="-60"/>
              <w:jc w:val="center"/>
              <w:textAlignment w:val="baseline"/>
              <w:rPr>
                <w:sz w:val="22"/>
                <w:szCs w:val="22"/>
              </w:rPr>
            </w:pPr>
            <w:r>
              <w:rPr>
                <w:sz w:val="22"/>
                <w:szCs w:val="22"/>
              </w:rPr>
              <w:t>Parengta galimybių studija</w:t>
            </w:r>
          </w:p>
        </w:tc>
        <w:tc>
          <w:tcPr>
            <w:tcW w:w="3688" w:type="dxa"/>
            <w:vAlign w:val="center"/>
          </w:tcPr>
          <w:p w14:paraId="5A65EFDF" w14:textId="77777777" w:rsidR="00610766" w:rsidRDefault="00252EB3">
            <w:pPr>
              <w:jc w:val="center"/>
              <w:rPr>
                <w:color w:val="000000"/>
                <w:sz w:val="22"/>
                <w:szCs w:val="22"/>
                <w:shd w:val="clear" w:color="auto" w:fill="FFFFFF"/>
              </w:rPr>
            </w:pPr>
            <w:r>
              <w:rPr>
                <w:color w:val="000000"/>
                <w:sz w:val="22"/>
                <w:szCs w:val="22"/>
                <w:shd w:val="clear" w:color="auto" w:fill="FFFFFF"/>
              </w:rPr>
              <w:t>R-12-001-01-01-0</w:t>
            </w:r>
            <w:r>
              <w:rPr>
                <w:color w:val="000000"/>
                <w:sz w:val="22"/>
                <w:szCs w:val="22"/>
                <w:shd w:val="clear" w:color="auto" w:fill="FFFFFF"/>
                <w:lang w:val="en-US"/>
              </w:rPr>
              <w:t>1-</w:t>
            </w:r>
            <w:r>
              <w:rPr>
                <w:color w:val="000000"/>
                <w:sz w:val="22"/>
                <w:szCs w:val="22"/>
                <w:shd w:val="clear" w:color="auto" w:fill="FFFFFF"/>
              </w:rPr>
              <w:t>10</w:t>
            </w:r>
          </w:p>
          <w:p w14:paraId="7A084A62" w14:textId="5FEE775C" w:rsidR="00610766" w:rsidRDefault="00252EB3">
            <w:pPr>
              <w:jc w:val="center"/>
              <w:rPr>
                <w:color w:val="000000"/>
                <w:sz w:val="22"/>
                <w:szCs w:val="22"/>
                <w:shd w:val="clear" w:color="auto" w:fill="FFFFFF"/>
              </w:rPr>
            </w:pPr>
            <w:r>
              <w:rPr>
                <w:color w:val="000000"/>
                <w:sz w:val="22"/>
                <w:szCs w:val="22"/>
                <w:lang w:eastAsia="lt-LT"/>
              </w:rPr>
              <w:t>R.N.</w:t>
            </w:r>
            <w:r>
              <w:rPr>
                <w:color w:val="000000"/>
                <w:sz w:val="22"/>
                <w:szCs w:val="22"/>
              </w:rPr>
              <w:t>2.</w:t>
            </w:r>
            <w:r>
              <w:rPr>
                <w:color w:val="000000"/>
                <w:sz w:val="22"/>
                <w:szCs w:val="22"/>
                <w:lang w:eastAsia="lt-LT"/>
              </w:rPr>
              <w:t>556</w:t>
            </w:r>
            <w:r>
              <w:rPr>
                <w:color w:val="000000"/>
                <w:sz w:val="22"/>
                <w:szCs w:val="22"/>
                <w:lang w:val="en-US" w:eastAsia="lt-LT"/>
              </w:rPr>
              <w:t>8</w:t>
            </w:r>
          </w:p>
        </w:tc>
        <w:tc>
          <w:tcPr>
            <w:tcW w:w="3688" w:type="dxa"/>
            <w:vAlign w:val="center"/>
          </w:tcPr>
          <w:p w14:paraId="2B1A9B2C" w14:textId="77777777" w:rsidR="00610766" w:rsidRDefault="00252EB3">
            <w:pPr>
              <w:jc w:val="center"/>
              <w:rPr>
                <w:sz w:val="22"/>
                <w:szCs w:val="22"/>
              </w:rPr>
            </w:pPr>
            <w:r>
              <w:rPr>
                <w:sz w:val="22"/>
                <w:szCs w:val="22"/>
              </w:rPr>
              <w:t>Skaičius</w:t>
            </w:r>
          </w:p>
        </w:tc>
        <w:tc>
          <w:tcPr>
            <w:tcW w:w="3688" w:type="dxa"/>
            <w:vAlign w:val="center"/>
          </w:tcPr>
          <w:p w14:paraId="36BFAD58" w14:textId="77777777" w:rsidR="00610766" w:rsidRDefault="00252EB3">
            <w:pPr>
              <w:jc w:val="center"/>
              <w:rPr>
                <w:sz w:val="22"/>
                <w:szCs w:val="22"/>
              </w:rPr>
            </w:pPr>
            <w:r>
              <w:rPr>
                <w:sz w:val="22"/>
                <w:szCs w:val="22"/>
              </w:rPr>
              <w:t>1 (2026)</w:t>
            </w:r>
          </w:p>
        </w:tc>
      </w:tr>
    </w:tbl>
    <w:p w14:paraId="09FDC3E5" w14:textId="77777777" w:rsidR="00610766" w:rsidRDefault="00610766">
      <w:pPr>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37"/>
      </w:tblGrid>
      <w:tr w:rsidR="00610766" w14:paraId="251074E6" w14:textId="77777777">
        <w:trPr>
          <w:trHeight w:val="298"/>
        </w:trPr>
        <w:tc>
          <w:tcPr>
            <w:tcW w:w="14737" w:type="dxa"/>
          </w:tcPr>
          <w:p w14:paraId="6750E28F" w14:textId="74C40A76" w:rsidR="00610766" w:rsidRPr="00570F0D" w:rsidRDefault="00252EB3" w:rsidP="00570F0D">
            <w:pPr>
              <w:pStyle w:val="ListParagraph"/>
              <w:numPr>
                <w:ilvl w:val="0"/>
                <w:numId w:val="2"/>
              </w:numPr>
              <w:ind w:left="306" w:hanging="284"/>
              <w:jc w:val="both"/>
              <w:rPr>
                <w:sz w:val="22"/>
                <w:szCs w:val="22"/>
              </w:rPr>
            </w:pPr>
            <w:r w:rsidRPr="00570F0D">
              <w:rPr>
                <w:sz w:val="22"/>
                <w:szCs w:val="22"/>
              </w:rPr>
              <w:t>Ministerijos stebėsenos rodiklių aprašymo kortelės</w:t>
            </w:r>
          </w:p>
        </w:tc>
      </w:tr>
      <w:tr w:rsidR="00610766" w14:paraId="47BCF098" w14:textId="77777777">
        <w:trPr>
          <w:trHeight w:val="315"/>
        </w:trPr>
        <w:tc>
          <w:tcPr>
            <w:tcW w:w="14737" w:type="dxa"/>
          </w:tcPr>
          <w:p w14:paraId="03615315" w14:textId="727E5DD7" w:rsidR="00610766" w:rsidRPr="00570F0D" w:rsidRDefault="00252EB3">
            <w:pPr>
              <w:jc w:val="both"/>
              <w:rPr>
                <w:sz w:val="22"/>
                <w:szCs w:val="22"/>
              </w:rPr>
            </w:pPr>
            <w:r w:rsidRPr="00570F0D">
              <w:rPr>
                <w:sz w:val="22"/>
                <w:szCs w:val="22"/>
              </w:rPr>
              <w:t>2022–2030 m. plėtros programos valdytojos Lietuvos Respublikos švietimo, mokslo ir sporto ministerijos mokslo plėtros programos pažangos priemonės Nr. 12-001-01-01-01 „Gerinti mokslo ir studijų aplinką“ stebėsenos rodiklių aprašymo kortelės paviešintos Lietuvos Respublikos švietimo, mokslo ir sporto ministerijos (toliau – Ministerija) interneto svetainėje https://smsm.lrv.lt/lt/administracine-informacija/planavimo-dokumentai/Pprogramos20200519/mokslo-pletros-programa/priemoness/.</w:t>
            </w:r>
          </w:p>
        </w:tc>
      </w:tr>
    </w:tbl>
    <w:p w14:paraId="7E413A28" w14:textId="77777777" w:rsidR="00D71A54" w:rsidRDefault="00D71A54">
      <w:pPr>
        <w:rPr>
          <w:i/>
          <w:iCs/>
          <w:szCs w:val="24"/>
        </w:rPr>
      </w:pPr>
    </w:p>
    <w:p w14:paraId="1113EFFC" w14:textId="77777777" w:rsidR="00D71A54" w:rsidRPr="001A6ED3" w:rsidRDefault="00D71A54" w:rsidP="00D71A54">
      <w:pPr>
        <w:jc w:val="center"/>
        <w:rPr>
          <w:b/>
          <w:bCs/>
          <w:szCs w:val="24"/>
        </w:rPr>
      </w:pPr>
      <w:r w:rsidRPr="001A6ED3">
        <w:rPr>
          <w:b/>
          <w:bCs/>
          <w:szCs w:val="24"/>
        </w:rPr>
        <w:t>II SKYRIUS</w:t>
      </w:r>
    </w:p>
    <w:p w14:paraId="44EA4A3F" w14:textId="77777777" w:rsidR="00D71A54" w:rsidRPr="001A6ED3" w:rsidRDefault="00D71A54" w:rsidP="00D71A54">
      <w:pPr>
        <w:jc w:val="center"/>
        <w:rPr>
          <w:b/>
          <w:szCs w:val="24"/>
        </w:rPr>
      </w:pPr>
      <w:r w:rsidRPr="001A6ED3">
        <w:rPr>
          <w:b/>
          <w:szCs w:val="24"/>
        </w:rPr>
        <w:t>SPECIALIEJI FINANSAVIMO REIKALAVIMAI</w:t>
      </w:r>
    </w:p>
    <w:p w14:paraId="009408D0" w14:textId="77777777" w:rsidR="00D71A54" w:rsidRDefault="00D71A54" w:rsidP="00570F0D">
      <w:pPr>
        <w:jc w:val="center"/>
        <w:rPr>
          <w:i/>
          <w:iCs/>
          <w:szCs w:val="24"/>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09"/>
      </w:tblGrid>
      <w:tr w:rsidR="00610766" w14:paraId="7612C85D" w14:textId="77777777">
        <w:tc>
          <w:tcPr>
            <w:tcW w:w="14709" w:type="dxa"/>
          </w:tcPr>
          <w:p w14:paraId="797E1C5B" w14:textId="19CFC7F3" w:rsidR="00610766" w:rsidRDefault="00D71A54">
            <w:pPr>
              <w:rPr>
                <w:b/>
                <w:bCs/>
                <w:szCs w:val="24"/>
              </w:rPr>
            </w:pPr>
            <w:r>
              <w:rPr>
                <w:b/>
                <w:bCs/>
                <w:szCs w:val="24"/>
              </w:rPr>
              <w:lastRenderedPageBreak/>
              <w:t>4</w:t>
            </w:r>
            <w:r w:rsidR="00252EB3">
              <w:rPr>
                <w:b/>
                <w:bCs/>
                <w:szCs w:val="24"/>
              </w:rPr>
              <w:t>. Taikomi teisės aktai</w:t>
            </w:r>
            <w:r w:rsidR="007E1AE5">
              <w:rPr>
                <w:b/>
                <w:bCs/>
                <w:szCs w:val="24"/>
              </w:rPr>
              <w:t xml:space="preserve"> </w:t>
            </w:r>
            <w:r w:rsidR="007E1AE5" w:rsidRPr="001A6ED3">
              <w:rPr>
                <w:b/>
                <w:bCs/>
                <w:szCs w:val="24"/>
              </w:rPr>
              <w:t>ir</w:t>
            </w:r>
            <w:r w:rsidR="007E1AE5">
              <w:rPr>
                <w:b/>
                <w:bCs/>
                <w:szCs w:val="24"/>
              </w:rPr>
              <w:t>,</w:t>
            </w:r>
            <w:r w:rsidR="007E1AE5" w:rsidRPr="001A6ED3">
              <w:rPr>
                <w:b/>
                <w:bCs/>
                <w:szCs w:val="24"/>
              </w:rPr>
              <w:t xml:space="preserve"> jei taikoma</w:t>
            </w:r>
            <w:r w:rsidR="007E1AE5">
              <w:rPr>
                <w:b/>
                <w:bCs/>
                <w:szCs w:val="24"/>
              </w:rPr>
              <w:t>,</w:t>
            </w:r>
            <w:r w:rsidR="007E1AE5" w:rsidRPr="001A6ED3">
              <w:rPr>
                <w:b/>
                <w:bCs/>
                <w:szCs w:val="24"/>
              </w:rPr>
              <w:t xml:space="preserve"> Apraše vartojamos sąvokos</w:t>
            </w:r>
          </w:p>
        </w:tc>
      </w:tr>
      <w:tr w:rsidR="00610766" w14:paraId="22430882" w14:textId="77777777">
        <w:tc>
          <w:tcPr>
            <w:tcW w:w="14709" w:type="dxa"/>
          </w:tcPr>
          <w:p w14:paraId="499D9AFC" w14:textId="16DD18D1" w:rsidR="00610766" w:rsidRDefault="00B646E7">
            <w:pPr>
              <w:jc w:val="both"/>
              <w:rPr>
                <w:iCs/>
                <w:szCs w:val="24"/>
              </w:rPr>
            </w:pPr>
            <w:r>
              <w:rPr>
                <w:iCs/>
                <w:szCs w:val="24"/>
              </w:rPr>
              <w:t>4</w:t>
            </w:r>
            <w:r w:rsidR="00252EB3">
              <w:rPr>
                <w:iCs/>
                <w:szCs w:val="24"/>
              </w:rPr>
              <w:t>.1.</w:t>
            </w:r>
            <w:r w:rsidR="00084976">
              <w:rPr>
                <w:iCs/>
                <w:szCs w:val="24"/>
              </w:rPr>
              <w:t xml:space="preserve"> Teisės aktai, kuriais vadovaujamasi rengiant, teikiant ir vertinant projekto įgyvendinimo planą (toliau – PĮP), priimant sprendimą dėl projekto finansavimo, sudarant projekto sutartį ir įgyvendinant projektą, finansuojamą pagal 2022–2030 m. plėtros programos valdytojos Lietuvos Respublikos švietimo, mokslo ir sporto ministerijos mokslo plėtros programos pažangos priemonės Nr. 12-001-01-01-01 „</w:t>
            </w:r>
            <w:r w:rsidR="00084976">
              <w:rPr>
                <w:bCs/>
                <w:szCs w:val="24"/>
              </w:rPr>
              <w:t>Gerinti mokslo ir studijų aplinką</w:t>
            </w:r>
            <w:r w:rsidR="00084976">
              <w:rPr>
                <w:iCs/>
                <w:szCs w:val="24"/>
              </w:rPr>
              <w:t>“ projektų finansavimo sąlygų aprašą Nr. 1 (toliau – Aprašas):</w:t>
            </w:r>
          </w:p>
          <w:p w14:paraId="3E4F917C" w14:textId="2D7C0295" w:rsidR="00610766" w:rsidRDefault="00D272F9">
            <w:pPr>
              <w:jc w:val="both"/>
              <w:rPr>
                <w:iCs/>
                <w:szCs w:val="24"/>
              </w:rPr>
            </w:pPr>
            <w:r>
              <w:rPr>
                <w:iCs/>
                <w:szCs w:val="24"/>
              </w:rPr>
              <w:t>4</w:t>
            </w:r>
            <w:r w:rsidR="00252EB3">
              <w:rPr>
                <w:iCs/>
                <w:szCs w:val="24"/>
              </w:rPr>
              <w:t>.1.1. bendrieji teisės aktai:</w:t>
            </w:r>
          </w:p>
          <w:p w14:paraId="0D8D1705" w14:textId="43CACCB2" w:rsidR="00610766" w:rsidRDefault="00D272F9">
            <w:pPr>
              <w:jc w:val="both"/>
              <w:rPr>
                <w:iCs/>
                <w:szCs w:val="24"/>
              </w:rPr>
            </w:pPr>
            <w:r>
              <w:rPr>
                <w:iCs/>
                <w:szCs w:val="24"/>
              </w:rPr>
              <w:t>4</w:t>
            </w:r>
            <w:r w:rsidR="00252EB3">
              <w:rPr>
                <w:iCs/>
                <w:szCs w:val="24"/>
              </w:rPr>
              <w:t xml:space="preserve">.1.1.1. 2021 m. birželio 24 d. Europos Parlamento ir Tarybos reglamentas </w:t>
            </w:r>
            <w:r w:rsidR="00252EB3">
              <w:rPr>
                <w:iCs/>
                <w:color w:val="0563C1"/>
                <w:szCs w:val="24"/>
                <w:u w:val="single"/>
              </w:rPr>
              <w:t>(ES) 2021/1058</w:t>
            </w:r>
            <w:r w:rsidR="00252EB3">
              <w:rPr>
                <w:iCs/>
                <w:szCs w:val="24"/>
              </w:rPr>
              <w:t xml:space="preserve"> dėl Europos regioninės plėtros fondo ir Sanglaudos fondo;</w:t>
            </w:r>
          </w:p>
          <w:p w14:paraId="78B8CD8A" w14:textId="769A1994" w:rsidR="00610766" w:rsidRDefault="00D272F9">
            <w:pPr>
              <w:jc w:val="both"/>
              <w:rPr>
                <w:iCs/>
                <w:szCs w:val="24"/>
              </w:rPr>
            </w:pPr>
            <w:r>
              <w:rPr>
                <w:iCs/>
                <w:szCs w:val="24"/>
              </w:rPr>
              <w:t>4</w:t>
            </w:r>
            <w:r w:rsidR="00252EB3">
              <w:rPr>
                <w:iCs/>
                <w:szCs w:val="24"/>
              </w:rPr>
              <w:t xml:space="preserve">.1.1.2. 2021 m. birželio 24 d. Europos Parlamento ir Tarybos reglamentas </w:t>
            </w:r>
            <w:r w:rsidR="00252EB3">
              <w:rPr>
                <w:iCs/>
                <w:color w:val="0563C1"/>
                <w:szCs w:val="24"/>
                <w:u w:val="single"/>
              </w:rPr>
              <w:t>(ES) 2021/1060</w:t>
            </w:r>
            <w:r w:rsidR="00252EB3">
              <w:rPr>
                <w:iCs/>
                <w:szCs w:val="24"/>
              </w:rPr>
              <w:t>,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w:t>
            </w:r>
          </w:p>
          <w:p w14:paraId="64B22636" w14:textId="79903D46" w:rsidR="00610766" w:rsidRDefault="00D272F9">
            <w:pPr>
              <w:jc w:val="both"/>
              <w:rPr>
                <w:iCs/>
                <w:szCs w:val="24"/>
              </w:rPr>
            </w:pPr>
            <w:r>
              <w:rPr>
                <w:iCs/>
                <w:szCs w:val="24"/>
              </w:rPr>
              <w:t>4</w:t>
            </w:r>
            <w:r w:rsidR="00252EB3">
              <w:rPr>
                <w:iCs/>
                <w:szCs w:val="24"/>
              </w:rPr>
              <w:t>.1.1.3. 2021–2027 metų Europos Sąjungos fondų investicijų programa, patvirtinta 2022 m. rugpjūčio 3 d. Europos Komisijos sprendimu Nr. C(2022) 5742;</w:t>
            </w:r>
          </w:p>
          <w:p w14:paraId="2170C1DB" w14:textId="446FD41F" w:rsidR="00610766" w:rsidRDefault="00156F82">
            <w:pPr>
              <w:jc w:val="both"/>
              <w:rPr>
                <w:iCs/>
                <w:szCs w:val="24"/>
              </w:rPr>
            </w:pPr>
            <w:r>
              <w:rPr>
                <w:iCs/>
                <w:szCs w:val="24"/>
              </w:rPr>
              <w:t>4</w:t>
            </w:r>
            <w:r w:rsidR="00252EB3">
              <w:rPr>
                <w:iCs/>
                <w:szCs w:val="24"/>
              </w:rPr>
              <w:t>.1.1.4. Lietuvos Respublikos strateginio valdymo įstatymas;</w:t>
            </w:r>
          </w:p>
          <w:p w14:paraId="7DC9B909" w14:textId="312BECD8" w:rsidR="00610766" w:rsidRDefault="00156F82">
            <w:pPr>
              <w:jc w:val="both"/>
              <w:rPr>
                <w:iCs/>
                <w:szCs w:val="24"/>
              </w:rPr>
            </w:pPr>
            <w:r>
              <w:rPr>
                <w:iCs/>
                <w:szCs w:val="24"/>
              </w:rPr>
              <w:t>4</w:t>
            </w:r>
            <w:r w:rsidR="00252EB3">
              <w:rPr>
                <w:iCs/>
                <w:szCs w:val="24"/>
              </w:rPr>
              <w:t>.1.1.5. Lietuvos Respublikos mokslo ir studijų įstatymas;</w:t>
            </w:r>
          </w:p>
          <w:p w14:paraId="3ECC7D3D" w14:textId="1DA16787" w:rsidR="00610766" w:rsidRDefault="00156F82">
            <w:pPr>
              <w:jc w:val="both"/>
              <w:rPr>
                <w:iCs/>
                <w:szCs w:val="24"/>
              </w:rPr>
            </w:pPr>
            <w:r>
              <w:rPr>
                <w:iCs/>
                <w:szCs w:val="24"/>
              </w:rPr>
              <w:t>4</w:t>
            </w:r>
            <w:r w:rsidR="00252EB3">
              <w:rPr>
                <w:iCs/>
                <w:szCs w:val="24"/>
              </w:rPr>
              <w:t>.1.1.6. 2022–2030 m. plėtros programos valdytojos Lietuvos Respublikos švietimo, mokslo ir sporto ministerijos mokslo plėtros programa, patvirtinta Lietuvos Respublikos Vyriausybės 2022 m. sausio 26 d. nutarimu Nr. 67 „Dėl 2022–2030 m. plėtros programos valdytojos Lietuvos Respublikos švietimo, mokslo ir sporto ministerijos mokslo plėtros programos patvirtinimo“;</w:t>
            </w:r>
          </w:p>
          <w:p w14:paraId="45ED6773" w14:textId="64FBB0F4" w:rsidR="00610766" w:rsidRDefault="00156F82">
            <w:pPr>
              <w:jc w:val="both"/>
              <w:rPr>
                <w:iCs/>
                <w:szCs w:val="24"/>
              </w:rPr>
            </w:pPr>
            <w:r>
              <w:rPr>
                <w:iCs/>
                <w:szCs w:val="24"/>
              </w:rPr>
              <w:t>4</w:t>
            </w:r>
            <w:r w:rsidR="00252EB3">
              <w:rPr>
                <w:iCs/>
                <w:szCs w:val="24"/>
              </w:rPr>
              <w:t>.1.1.7. Strateginio valdymo metodika, patvirtinta Lietuvos Respublikos Vyriausybės 2021 m. balandžio 28 d. nutarimu Nr. 292 „Dėl Strateginio valdymo metodikos patvirtinimo“;</w:t>
            </w:r>
          </w:p>
          <w:p w14:paraId="3FA67BE5" w14:textId="218B462F" w:rsidR="00610766" w:rsidRDefault="00156F82">
            <w:pPr>
              <w:jc w:val="both"/>
              <w:rPr>
                <w:iCs/>
                <w:szCs w:val="24"/>
              </w:rPr>
            </w:pPr>
            <w:r>
              <w:rPr>
                <w:iCs/>
                <w:szCs w:val="24"/>
              </w:rPr>
              <w:t>4</w:t>
            </w:r>
            <w:r w:rsidR="00252EB3">
              <w:rPr>
                <w:iCs/>
                <w:szCs w:val="24"/>
              </w:rPr>
              <w:t>.1.1.8. Lietuvos Respublikos Vyriausybės 2016 m. sausio 6 d. nutarimas Nr. 5 „Dėl Sostinės regiono ir Vidurio ir vakarų Lietuvos regiono sudarymo“;</w:t>
            </w:r>
          </w:p>
          <w:p w14:paraId="70EBE737" w14:textId="4357AF3A" w:rsidR="00610766" w:rsidRDefault="00156F82">
            <w:pPr>
              <w:jc w:val="both"/>
              <w:rPr>
                <w:iCs/>
                <w:szCs w:val="24"/>
              </w:rPr>
            </w:pPr>
            <w:r>
              <w:rPr>
                <w:iCs/>
                <w:szCs w:val="24"/>
              </w:rPr>
              <w:t>4</w:t>
            </w:r>
            <w:r w:rsidR="00252EB3">
              <w:rPr>
                <w:iCs/>
                <w:szCs w:val="24"/>
              </w:rPr>
              <w:t>.1.1.9. 2021–2027 metų Europos Sąjungos fondų investicijų programos ir Ekonomikos gaivinimo ir atsparumo didinimo plano „Naujos kartos Lietuva“ administravimo taisyklės, patvirtintos Lietuvos Respublikos finansų ministro 2022 m. birželio 22 d. įsakymu Nr. 1K-237 „Dėl 2021–2027 metų Europos Sąjungos fondų investicijų programos ir Ekonomikos gaivinimo ir atsparumo didinimo plano „Naujos kartos Lietuva“ įgyvendinimo“ (toliau – Administravimo taisyklės);</w:t>
            </w:r>
          </w:p>
          <w:p w14:paraId="25121FD2" w14:textId="7DC579F5" w:rsidR="00610766" w:rsidRDefault="00156F82">
            <w:pPr>
              <w:jc w:val="both"/>
              <w:rPr>
                <w:iCs/>
                <w:szCs w:val="24"/>
              </w:rPr>
            </w:pPr>
            <w:r>
              <w:rPr>
                <w:iCs/>
                <w:szCs w:val="24"/>
              </w:rPr>
              <w:t>4</w:t>
            </w:r>
            <w:r w:rsidR="00252EB3">
              <w:rPr>
                <w:iCs/>
                <w:szCs w:val="24"/>
              </w:rPr>
              <w:t>.1.1.10. 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(toliau – PAFT);</w:t>
            </w:r>
          </w:p>
          <w:p w14:paraId="435B7210" w14:textId="2C5D144F" w:rsidR="00610766" w:rsidRDefault="00156F82">
            <w:pPr>
              <w:jc w:val="both"/>
              <w:rPr>
                <w:iCs/>
                <w:szCs w:val="24"/>
              </w:rPr>
            </w:pPr>
            <w:r>
              <w:rPr>
                <w:iCs/>
                <w:szCs w:val="24"/>
              </w:rPr>
              <w:t>4</w:t>
            </w:r>
            <w:r w:rsidR="00252EB3">
              <w:rPr>
                <w:iCs/>
                <w:szCs w:val="24"/>
              </w:rPr>
              <w:t>.1.1.11. Stebėsenos rodiklių nustatymo ir skaičiavimo aprašas, patvirtintas Lietuvos Respublikos finansų ministro 2022 m. birželio 22 d. įsakymu Nr. 1K-237 „Dėl 2021–2027 metų Europos Sąjungos fondų investicijų programos ir Ekonomikos gaivinimo ir atsparumo didinimo plano „Naujos kartos Lietuva“ įgyvendinimo“;</w:t>
            </w:r>
          </w:p>
          <w:p w14:paraId="25BB6BF5" w14:textId="71733178" w:rsidR="00610766" w:rsidRDefault="00156F82">
            <w:pPr>
              <w:jc w:val="both"/>
              <w:rPr>
                <w:szCs w:val="24"/>
                <w:lang w:eastAsia="lt-LT"/>
              </w:rPr>
            </w:pPr>
            <w:r>
              <w:rPr>
                <w:szCs w:val="24"/>
                <w:lang w:eastAsia="lt-LT"/>
              </w:rPr>
              <w:t>4</w:t>
            </w:r>
            <w:r w:rsidR="00252EB3">
              <w:rPr>
                <w:szCs w:val="24"/>
                <w:lang w:eastAsia="lt-LT"/>
              </w:rPr>
              <w:t>.1.2. specialieji teisės aktai:</w:t>
            </w:r>
          </w:p>
          <w:p w14:paraId="22294E5A" w14:textId="52D6EBB3" w:rsidR="00610766" w:rsidRDefault="00156F82">
            <w:pPr>
              <w:jc w:val="both"/>
              <w:rPr>
                <w:szCs w:val="24"/>
                <w:lang w:eastAsia="lt-LT"/>
              </w:rPr>
            </w:pPr>
            <w:r>
              <w:rPr>
                <w:szCs w:val="24"/>
                <w:lang w:eastAsia="lt-LT"/>
              </w:rPr>
              <w:t>4</w:t>
            </w:r>
            <w:r w:rsidR="00252EB3">
              <w:rPr>
                <w:szCs w:val="24"/>
                <w:lang w:eastAsia="lt-LT"/>
              </w:rPr>
              <w:t xml:space="preserve">.1.2.1. 2016 m. balandžio 19 d. Europos Komisijos komunikatas Europos Parlamentui, Tarybai, Europos Ekonomikos ir Socialinių Reikalų Komitetui ir  Regionų Komitetui </w:t>
            </w:r>
            <w:r w:rsidR="00252EB3">
              <w:rPr>
                <w:color w:val="0563C1"/>
                <w:szCs w:val="24"/>
                <w:u w:val="single"/>
                <w:lang w:eastAsia="lt-LT"/>
              </w:rPr>
              <w:t>COM(2016)178</w:t>
            </w:r>
            <w:r w:rsidR="00252EB3">
              <w:rPr>
                <w:szCs w:val="24"/>
                <w:lang w:eastAsia="lt-LT"/>
              </w:rPr>
              <w:t xml:space="preserve"> dėl Europos debesijos inciatyvos – konkurencingos duomenų ir žinių ekonomikos kūrimo Europoje;</w:t>
            </w:r>
          </w:p>
          <w:p w14:paraId="25AF9CF4" w14:textId="1BD88802" w:rsidR="00610766" w:rsidRDefault="00156F82">
            <w:pPr>
              <w:jc w:val="both"/>
            </w:pPr>
            <w:r>
              <w:t>4</w:t>
            </w:r>
            <w:r w:rsidR="00252EB3">
              <w:t xml:space="preserve">.1.2.2. 2020 m. rugsėjo 30 d. Europos Komisijos komunikatas </w:t>
            </w:r>
            <w:r w:rsidR="00252EB3">
              <w:rPr>
                <w:color w:val="0563C1"/>
                <w:u w:val="single"/>
              </w:rPr>
              <w:t>COM(2020)628</w:t>
            </w:r>
            <w:r w:rsidR="00252EB3">
              <w:t xml:space="preserve"> dėl naujos Europos mokslinių tyrimų ir inovacijų erdvės;</w:t>
            </w:r>
          </w:p>
          <w:p w14:paraId="5D24F057" w14:textId="0FE065B1" w:rsidR="00610766" w:rsidRDefault="00156F82">
            <w:pPr>
              <w:jc w:val="both"/>
            </w:pPr>
            <w:r>
              <w:t>4</w:t>
            </w:r>
            <w:r w:rsidR="00252EB3">
              <w:t>.1.2.3. 2021 m. lapkričio 26 d. Tarybos išvados 14308/21 dėl Europos mokslinių tyrimų erdvės;</w:t>
            </w:r>
          </w:p>
          <w:p w14:paraId="4450781A" w14:textId="2AD3FB26" w:rsidR="00610766" w:rsidRDefault="00156F82">
            <w:pPr>
              <w:jc w:val="both"/>
            </w:pPr>
            <w:r>
              <w:t>4</w:t>
            </w:r>
            <w:r w:rsidR="00252EB3">
              <w:t>.1.2.4. 2021 m. lapkričio 19 d. Tarybos rekomendacijos 13701/21 dėl Europos mokslo ir inovacijų pakto.</w:t>
            </w:r>
          </w:p>
          <w:p w14:paraId="5E1C4CCB" w14:textId="3B42574D" w:rsidR="00610766" w:rsidRDefault="00156F82">
            <w:pPr>
              <w:jc w:val="both"/>
            </w:pPr>
            <w:r>
              <w:t>4</w:t>
            </w:r>
            <w:r w:rsidR="00252EB3">
              <w:t>.2. Apraše vartojamos sąvokos:</w:t>
            </w:r>
          </w:p>
          <w:p w14:paraId="7EBAEF4B" w14:textId="66CBDFE0" w:rsidR="00610766" w:rsidRDefault="00156F82">
            <w:pPr>
              <w:jc w:val="both"/>
              <w:rPr>
                <w:szCs w:val="24"/>
              </w:rPr>
            </w:pPr>
            <w:r>
              <w:rPr>
                <w:iCs/>
                <w:szCs w:val="24"/>
              </w:rPr>
              <w:t>4</w:t>
            </w:r>
            <w:r w:rsidR="00252EB3">
              <w:rPr>
                <w:iCs/>
                <w:szCs w:val="24"/>
              </w:rPr>
              <w:t xml:space="preserve">.2.1. </w:t>
            </w:r>
            <w:r w:rsidR="00252EB3">
              <w:rPr>
                <w:b/>
                <w:bCs/>
                <w:szCs w:val="24"/>
              </w:rPr>
              <w:t>Mokslo ir studijų institucija</w:t>
            </w:r>
            <w:r w:rsidR="00252EB3">
              <w:rPr>
                <w:szCs w:val="24"/>
              </w:rPr>
              <w:t xml:space="preserve"> (toliau – MSI) – juridinis asmuo, kurio pagrindinė veikla – studijų vykdymas ir su studijomis susijusi veikla ir (arba) moksliniai tyrimai ir eksperimentinė plėtra.</w:t>
            </w:r>
          </w:p>
          <w:p w14:paraId="605B1BB6" w14:textId="29C4EA18" w:rsidR="00610766" w:rsidRDefault="003F103B">
            <w:pPr>
              <w:jc w:val="both"/>
              <w:rPr>
                <w:iCs/>
                <w:szCs w:val="24"/>
              </w:rPr>
            </w:pPr>
            <w:r>
              <w:rPr>
                <w:iCs/>
                <w:szCs w:val="24"/>
              </w:rPr>
              <w:t>4</w:t>
            </w:r>
            <w:r w:rsidR="00252EB3">
              <w:rPr>
                <w:iCs/>
                <w:szCs w:val="24"/>
              </w:rPr>
              <w:t>.3. Kitos Apraše vartojamos sąvokos suprantamos taip, kaip jos apibrėžtos Aprašo 1.1 papunktyje nurodytuose teisės aktuose.</w:t>
            </w:r>
          </w:p>
        </w:tc>
      </w:tr>
      <w:tr w:rsidR="00610766" w14:paraId="1C6318F5" w14:textId="77777777">
        <w:tc>
          <w:tcPr>
            <w:tcW w:w="14709" w:type="dxa"/>
          </w:tcPr>
          <w:p w14:paraId="00AA3294" w14:textId="2DBD3953" w:rsidR="00610766" w:rsidRDefault="00823CA2">
            <w:pPr>
              <w:rPr>
                <w:b/>
                <w:szCs w:val="24"/>
              </w:rPr>
            </w:pPr>
            <w:r>
              <w:rPr>
                <w:b/>
                <w:szCs w:val="24"/>
              </w:rPr>
              <w:t>5</w:t>
            </w:r>
            <w:r w:rsidR="00252EB3">
              <w:rPr>
                <w:b/>
                <w:szCs w:val="24"/>
              </w:rPr>
              <w:t>. Reikalavimai projektams, pareiškėjams ir partneriams</w:t>
            </w:r>
          </w:p>
        </w:tc>
      </w:tr>
      <w:tr w:rsidR="00610766" w14:paraId="38EBC0ED" w14:textId="77777777">
        <w:tc>
          <w:tcPr>
            <w:tcW w:w="14709" w:type="dxa"/>
          </w:tcPr>
          <w:p w14:paraId="20C12388" w14:textId="3361B42D" w:rsidR="00610766" w:rsidRDefault="00475B18">
            <w:pPr>
              <w:jc w:val="both"/>
              <w:rPr>
                <w:iCs/>
                <w:szCs w:val="24"/>
              </w:rPr>
            </w:pPr>
            <w:r>
              <w:rPr>
                <w:iCs/>
                <w:szCs w:val="24"/>
              </w:rPr>
              <w:t>5</w:t>
            </w:r>
            <w:r w:rsidR="00252EB3">
              <w:rPr>
                <w:iCs/>
                <w:szCs w:val="24"/>
              </w:rPr>
              <w:t>.1. Galimas pareiškėjas  – Lietuvos mokslo taryba (toliau – Pareiškėjas, Projekto vykdytojas), partneriai nenumatomi.</w:t>
            </w:r>
          </w:p>
          <w:p w14:paraId="2C7CE40C" w14:textId="1B8A9350" w:rsidR="00610766" w:rsidRDefault="00475B18">
            <w:pPr>
              <w:jc w:val="both"/>
              <w:rPr>
                <w:iCs/>
                <w:szCs w:val="24"/>
              </w:rPr>
            </w:pPr>
            <w:r>
              <w:rPr>
                <w:iCs/>
                <w:szCs w:val="24"/>
              </w:rPr>
              <w:t>5</w:t>
            </w:r>
            <w:r w:rsidR="00252EB3">
              <w:rPr>
                <w:iCs/>
                <w:szCs w:val="24"/>
              </w:rPr>
              <w:t>.2. Pagal Aprašą teikiamo finansavimo forma – dotacija, projekto atrankos būdas – planavimas.</w:t>
            </w:r>
          </w:p>
          <w:p w14:paraId="4E457511" w14:textId="5851A809" w:rsidR="00610766" w:rsidRDefault="00475B18">
            <w:pPr>
              <w:jc w:val="both"/>
              <w:rPr>
                <w:iCs/>
                <w:szCs w:val="24"/>
              </w:rPr>
            </w:pPr>
            <w:r>
              <w:rPr>
                <w:iCs/>
                <w:szCs w:val="24"/>
              </w:rPr>
              <w:t>5</w:t>
            </w:r>
            <w:r w:rsidR="00252EB3">
              <w:rPr>
                <w:iCs/>
                <w:szCs w:val="24"/>
              </w:rPr>
              <w:t xml:space="preserve">.3. Pagal Aprašą remiama veikla: </w:t>
            </w:r>
            <w:r w:rsidR="00252EB3">
              <w:rPr>
                <w:b/>
              </w:rPr>
              <w:t>Įsijungti į Europos atvirojo mokslo debesį</w:t>
            </w:r>
            <w:r w:rsidR="00252EB3">
              <w:t xml:space="preserve"> – galimybių studijos dėl būtinų pokyčių ir investicijų krypčių parengimas.</w:t>
            </w:r>
          </w:p>
          <w:p w14:paraId="59A8E10F" w14:textId="26FFC060" w:rsidR="00610766" w:rsidRDefault="00475B18">
            <w:pPr>
              <w:jc w:val="both"/>
              <w:rPr>
                <w:highlight w:val="green"/>
              </w:rPr>
            </w:pPr>
            <w:r>
              <w:t>5</w:t>
            </w:r>
            <w:r w:rsidR="00252EB3">
              <w:t>.4. Projekto veiklos įgyvendinamos Sostinės regione vadovaujantis 2021–2027 metų Europos Sąjungos fondų Investicijų programos projektų išlaidų paskirstymo regionams rekomendacijomis.</w:t>
            </w:r>
          </w:p>
          <w:p w14:paraId="3ECED05F" w14:textId="756A4D9B" w:rsidR="00610766" w:rsidRDefault="00475B18">
            <w:pPr>
              <w:jc w:val="both"/>
              <w:rPr>
                <w:iCs/>
                <w:szCs w:val="24"/>
              </w:rPr>
            </w:pPr>
            <w:r>
              <w:rPr>
                <w:iCs/>
                <w:szCs w:val="24"/>
              </w:rPr>
              <w:t>5</w:t>
            </w:r>
            <w:r w:rsidR="00252EB3">
              <w:rPr>
                <w:iCs/>
                <w:szCs w:val="24"/>
              </w:rPr>
              <w:t xml:space="preserve">.5. Pagal Aprašą projektui įgyvendinti skiriama iki </w:t>
            </w:r>
            <w:r w:rsidR="00252EB3">
              <w:rPr>
                <w:szCs w:val="24"/>
              </w:rPr>
              <w:t xml:space="preserve">300 000 </w:t>
            </w:r>
            <w:r w:rsidR="00252EB3">
              <w:rPr>
                <w:iCs/>
                <w:szCs w:val="24"/>
              </w:rPr>
              <w:t xml:space="preserve">Eur (trijų šimtų tūkstančių eurų), iš kurių: iki 150 000 Eur (vieno šimto penkiasdešimt tūkstančių eurų) </w:t>
            </w:r>
            <w:r w:rsidR="00252EB3">
              <w:rPr>
                <w:szCs w:val="24"/>
              </w:rPr>
              <w:t xml:space="preserve">Europos Sąjungos fondų </w:t>
            </w:r>
            <w:r w:rsidR="00252EB3">
              <w:rPr>
                <w:iCs/>
                <w:szCs w:val="24"/>
              </w:rPr>
              <w:t>lėšų ir iki 150 000 Eur (vieno šimto penkiasdešimt tūkstančių eurų) Europos Sąjungos fondų bendrojo finansavimo lėšų.</w:t>
            </w:r>
          </w:p>
          <w:p w14:paraId="1F1C90C6" w14:textId="25AF2BDA" w:rsidR="00610766" w:rsidRDefault="00475B18">
            <w:pPr>
              <w:jc w:val="both"/>
              <w:rPr>
                <w:iCs/>
                <w:szCs w:val="24"/>
              </w:rPr>
            </w:pPr>
            <w:r>
              <w:rPr>
                <w:iCs/>
                <w:szCs w:val="24"/>
              </w:rPr>
              <w:t>5</w:t>
            </w:r>
            <w:r w:rsidR="00252EB3">
              <w:rPr>
                <w:iCs/>
                <w:szCs w:val="24"/>
              </w:rPr>
              <w:t xml:space="preserve">.6. Didžiausia pagal Aprašą Pareiškėjo projektui skiriama suma negali viršyti </w:t>
            </w:r>
            <w:r w:rsidR="00252EB3">
              <w:rPr>
                <w:szCs w:val="24"/>
              </w:rPr>
              <w:t xml:space="preserve">300 000 </w:t>
            </w:r>
            <w:r w:rsidR="00252EB3">
              <w:rPr>
                <w:iCs/>
                <w:szCs w:val="24"/>
              </w:rPr>
              <w:t xml:space="preserve">Eur (trijų šimtų tūkstančių eurų). </w:t>
            </w:r>
          </w:p>
          <w:p w14:paraId="25EAC19D" w14:textId="57299856" w:rsidR="00610766" w:rsidRDefault="00475B18">
            <w:pPr>
              <w:jc w:val="both"/>
              <w:rPr>
                <w:iCs/>
                <w:szCs w:val="24"/>
              </w:rPr>
            </w:pPr>
            <w:r>
              <w:rPr>
                <w:iCs/>
                <w:szCs w:val="24"/>
              </w:rPr>
              <w:t>5</w:t>
            </w:r>
            <w:r w:rsidR="00252EB3">
              <w:rPr>
                <w:iCs/>
                <w:szCs w:val="24"/>
              </w:rPr>
              <w:t>.7. Projektas turi atitikti projekto bendruosius atrankos kriterijus, nustatytus PAFT 2 priede.</w:t>
            </w:r>
          </w:p>
          <w:p w14:paraId="3A127B07" w14:textId="4CEC8E67" w:rsidR="00610766" w:rsidRDefault="0016034D">
            <w:pPr>
              <w:jc w:val="both"/>
              <w:rPr>
                <w:iCs/>
                <w:szCs w:val="24"/>
              </w:rPr>
            </w:pPr>
            <w:r>
              <w:rPr>
                <w:iCs/>
                <w:szCs w:val="24"/>
              </w:rPr>
              <w:t>5</w:t>
            </w:r>
            <w:r w:rsidR="00252EB3">
              <w:rPr>
                <w:iCs/>
                <w:szCs w:val="24"/>
              </w:rPr>
              <w:t xml:space="preserve">.8. Projekto veiklos vykdomos nuo PĮP pateikimo dienos ir turi būti užbaigtos nė vėliau kaip iki 2025 m. gruodžio 31 d. </w:t>
            </w:r>
          </w:p>
          <w:p w14:paraId="00F409E8" w14:textId="393F61EC" w:rsidR="00610766" w:rsidRDefault="00C834B0">
            <w:pPr>
              <w:jc w:val="both"/>
              <w:rPr>
                <w:iCs/>
                <w:szCs w:val="24"/>
              </w:rPr>
            </w:pPr>
            <w:r>
              <w:rPr>
                <w:iCs/>
                <w:szCs w:val="24"/>
              </w:rPr>
              <w:t>5</w:t>
            </w:r>
            <w:r w:rsidR="00252EB3">
              <w:rPr>
                <w:iCs/>
                <w:szCs w:val="24"/>
              </w:rPr>
              <w:t>.9. Kartu su PĮP administruojančiajai institucijai turi būti pateikta:</w:t>
            </w:r>
          </w:p>
          <w:p w14:paraId="2D2CC959" w14:textId="0655E5C2" w:rsidR="00610766" w:rsidRDefault="00C834B0">
            <w:pPr>
              <w:jc w:val="both"/>
              <w:rPr>
                <w:iCs/>
                <w:szCs w:val="24"/>
              </w:rPr>
            </w:pPr>
            <w:r>
              <w:rPr>
                <w:iCs/>
                <w:szCs w:val="24"/>
              </w:rPr>
              <w:t>5</w:t>
            </w:r>
            <w:r w:rsidR="00252EB3">
              <w:rPr>
                <w:iCs/>
                <w:szCs w:val="24"/>
              </w:rPr>
              <w:t>.9.1. informacija apie projekto biudžeto paskirstymą Pareiškėjui pagal PAFT 1 priedo 2 priedą;</w:t>
            </w:r>
          </w:p>
          <w:p w14:paraId="52438454" w14:textId="03E4B69B" w:rsidR="00610766" w:rsidRDefault="00C834B0">
            <w:pPr>
              <w:jc w:val="both"/>
              <w:rPr>
                <w:iCs/>
                <w:szCs w:val="24"/>
              </w:rPr>
            </w:pPr>
            <w:r>
              <w:rPr>
                <w:iCs/>
                <w:szCs w:val="24"/>
              </w:rPr>
              <w:t>5</w:t>
            </w:r>
            <w:r w:rsidR="00252EB3">
              <w:rPr>
                <w:iCs/>
                <w:szCs w:val="24"/>
              </w:rPr>
              <w:t>.9.2. projekto atitiktį bendriesiems projektų atrankos kriterijams, nurodytiems PAFT 2 priede, patvirtinantys dokumentai.</w:t>
            </w:r>
          </w:p>
          <w:p w14:paraId="23D24B41" w14:textId="25106A0C" w:rsidR="00610766" w:rsidRDefault="00C834B0">
            <w:pPr>
              <w:jc w:val="both"/>
              <w:rPr>
                <w:iCs/>
                <w:szCs w:val="24"/>
                <w:lang w:eastAsia="lt-LT"/>
              </w:rPr>
            </w:pPr>
            <w:r>
              <w:rPr>
                <w:iCs/>
                <w:szCs w:val="24"/>
                <w:lang w:eastAsia="lt-LT"/>
              </w:rPr>
              <w:t>5</w:t>
            </w:r>
            <w:r w:rsidR="00252EB3">
              <w:rPr>
                <w:iCs/>
                <w:szCs w:val="24"/>
                <w:lang w:eastAsia="lt-LT"/>
              </w:rPr>
              <w:t xml:space="preserve">.10. </w:t>
            </w:r>
            <w:r w:rsidR="00252EB3">
              <w:rPr>
                <w:szCs w:val="24"/>
                <w:lang w:eastAsia="lt-LT"/>
              </w:rPr>
              <w:t xml:space="preserve">Iki PĮP pateikimo administruojančiajai institucijai projektinis pasiūlymas turi būti suderintas su </w:t>
            </w:r>
            <w:r w:rsidR="00252EB3">
              <w:rPr>
                <w:iCs/>
                <w:szCs w:val="24"/>
                <w:lang w:eastAsia="lt-LT"/>
              </w:rPr>
              <w:t>Ministerija, vadovaujantis Lietuvos Respublikos švietimo, mokslo ir sporto ministerijos 2021–2027 metų Europos Sąjungos fondų investicijų programos ir Ekonomikos gaivinimo ir atsparumo didinimo plano „Naujos kartos Lietuva“ administravimo procedūrų apraše, patvirtintame Lietuvos Respublikos švietimo, mokslo ir sporto ministro 2023 m. sausio 04 d. įsakymu Nr. V-22 „Dėl Lietuvos Respublikos švietimo, mokslo ir sporto ministerijos 2021–2027 metų Europos Sąjungos fondų investicijų programos ir Ekonomikos gaivinimo ir atsparumo didinimo plano „Naujos kartos Lietuva“ administravimo procedūrų aprašo patvirtinimo“, nustatyta tvarka.</w:t>
            </w:r>
          </w:p>
          <w:p w14:paraId="559DBC14" w14:textId="269DD181" w:rsidR="00610766" w:rsidRDefault="00C834B0">
            <w:pPr>
              <w:jc w:val="both"/>
              <w:rPr>
                <w:iCs/>
                <w:szCs w:val="24"/>
              </w:rPr>
            </w:pPr>
            <w:r>
              <w:rPr>
                <w:iCs/>
                <w:szCs w:val="24"/>
              </w:rPr>
              <w:t>5</w:t>
            </w:r>
            <w:r w:rsidR="00252EB3">
              <w:rPr>
                <w:iCs/>
                <w:szCs w:val="24"/>
              </w:rPr>
              <w:t>.11. Papildomi matomumo reikalavimai, nenurodyti PAFT, nėra taikomi.</w:t>
            </w:r>
          </w:p>
          <w:p w14:paraId="1F453657" w14:textId="7FAB1163" w:rsidR="00610766" w:rsidRDefault="00C834B0">
            <w:pPr>
              <w:jc w:val="both"/>
              <w:rPr>
                <w:iCs/>
                <w:szCs w:val="24"/>
              </w:rPr>
            </w:pPr>
            <w:r>
              <w:rPr>
                <w:iCs/>
                <w:szCs w:val="24"/>
              </w:rPr>
              <w:t>5</w:t>
            </w:r>
            <w:r w:rsidR="00252EB3">
              <w:rPr>
                <w:iCs/>
                <w:szCs w:val="24"/>
              </w:rPr>
              <w:t>.12. Apie projektą informuojama PAFT VIII skyriaus pirmajame skirsnyje nustatyta tvarka.</w:t>
            </w:r>
          </w:p>
          <w:p w14:paraId="3D4270BC" w14:textId="21318D71" w:rsidR="00610766" w:rsidRDefault="00C834B0">
            <w:pPr>
              <w:jc w:val="both"/>
              <w:rPr>
                <w:i/>
                <w:iCs/>
                <w:szCs w:val="24"/>
              </w:rPr>
            </w:pPr>
            <w:r>
              <w:rPr>
                <w:iCs/>
                <w:szCs w:val="24"/>
              </w:rPr>
              <w:lastRenderedPageBreak/>
              <w:t>5</w:t>
            </w:r>
            <w:r w:rsidR="00252EB3">
              <w:rPr>
                <w:iCs/>
                <w:szCs w:val="24"/>
              </w:rPr>
              <w:t>.13. Visi su projekto įgyvendinimu susiję dokumentai turi būti saugomi PAFT VIII skyriaus šeštajame skirsnyje nustatyta tvarka ir terminais.</w:t>
            </w:r>
          </w:p>
        </w:tc>
      </w:tr>
      <w:tr w:rsidR="00610766" w14:paraId="2716F59D" w14:textId="77777777">
        <w:tc>
          <w:tcPr>
            <w:tcW w:w="14709" w:type="dxa"/>
          </w:tcPr>
          <w:p w14:paraId="47551BC3" w14:textId="47402E87" w:rsidR="00610766" w:rsidRDefault="00FC0BA7">
            <w:pPr>
              <w:jc w:val="both"/>
              <w:rPr>
                <w:iCs/>
                <w:szCs w:val="24"/>
              </w:rPr>
            </w:pPr>
            <w:r>
              <w:rPr>
                <w:b/>
                <w:szCs w:val="24"/>
              </w:rPr>
              <w:lastRenderedPageBreak/>
              <w:t>6</w:t>
            </w:r>
            <w:r w:rsidR="00252EB3">
              <w:rPr>
                <w:b/>
                <w:szCs w:val="24"/>
              </w:rPr>
              <w:t>. Reikalavimai jungtinio projekto projektams</w:t>
            </w:r>
            <w:r>
              <w:rPr>
                <w:b/>
                <w:szCs w:val="24"/>
              </w:rPr>
              <w:t xml:space="preserve"> </w:t>
            </w:r>
            <w:r w:rsidRPr="006010DA">
              <w:rPr>
                <w:b/>
                <w:szCs w:val="24"/>
              </w:rPr>
              <w:t>ir jungtinio projekto projektų pareiškėjams</w:t>
            </w:r>
          </w:p>
        </w:tc>
      </w:tr>
      <w:tr w:rsidR="00610766" w14:paraId="47653B68" w14:textId="77777777">
        <w:trPr>
          <w:trHeight w:val="276"/>
        </w:trPr>
        <w:tc>
          <w:tcPr>
            <w:tcW w:w="14709" w:type="dxa"/>
          </w:tcPr>
          <w:p w14:paraId="36D93F7C" w14:textId="77777777" w:rsidR="00610766" w:rsidRDefault="00252EB3">
            <w:pPr>
              <w:jc w:val="both"/>
              <w:rPr>
                <w:i/>
                <w:iCs/>
                <w:szCs w:val="24"/>
              </w:rPr>
            </w:pPr>
            <w:r>
              <w:rPr>
                <w:szCs w:val="24"/>
              </w:rPr>
              <w:t>Netaikoma.</w:t>
            </w:r>
          </w:p>
        </w:tc>
      </w:tr>
      <w:tr w:rsidR="00610766" w14:paraId="7EAF57E7" w14:textId="77777777">
        <w:trPr>
          <w:trHeight w:val="276"/>
        </w:trPr>
        <w:tc>
          <w:tcPr>
            <w:tcW w:w="14709" w:type="dxa"/>
          </w:tcPr>
          <w:p w14:paraId="11A4E9F0" w14:textId="4989F2B6" w:rsidR="00610766" w:rsidRDefault="00475B18">
            <w:pPr>
              <w:jc w:val="both"/>
              <w:rPr>
                <w:b/>
                <w:szCs w:val="24"/>
              </w:rPr>
            </w:pPr>
            <w:r>
              <w:rPr>
                <w:b/>
                <w:szCs w:val="24"/>
              </w:rPr>
              <w:t>7</w:t>
            </w:r>
            <w:r w:rsidR="00252EB3">
              <w:rPr>
                <w:b/>
                <w:szCs w:val="24"/>
              </w:rPr>
              <w:t>. Projekto tikslinės grupės</w:t>
            </w:r>
          </w:p>
        </w:tc>
      </w:tr>
      <w:tr w:rsidR="00610766" w14:paraId="51BF1039" w14:textId="77777777">
        <w:trPr>
          <w:trHeight w:val="276"/>
        </w:trPr>
        <w:tc>
          <w:tcPr>
            <w:tcW w:w="14709" w:type="dxa"/>
          </w:tcPr>
          <w:p w14:paraId="5F621B52" w14:textId="1E4771EE" w:rsidR="00610766" w:rsidRDefault="00252EB3">
            <w:pPr>
              <w:jc w:val="both"/>
            </w:pPr>
            <w:r>
              <w:t>MSI; universitetų ligoninės, mokslininkai ir kiti tyrėjai; doktorantai.</w:t>
            </w:r>
          </w:p>
        </w:tc>
      </w:tr>
      <w:tr w:rsidR="00610766" w14:paraId="4FA64D18" w14:textId="77777777">
        <w:trPr>
          <w:trHeight w:val="285"/>
        </w:trPr>
        <w:tc>
          <w:tcPr>
            <w:tcW w:w="14709" w:type="dxa"/>
          </w:tcPr>
          <w:p w14:paraId="29DE4914" w14:textId="3DCCE232" w:rsidR="00610766" w:rsidRDefault="00E7126F">
            <w:pPr>
              <w:rPr>
                <w:sz w:val="22"/>
                <w:szCs w:val="22"/>
              </w:rPr>
            </w:pPr>
            <w:r>
              <w:rPr>
                <w:b/>
                <w:szCs w:val="24"/>
              </w:rPr>
              <w:t>8</w:t>
            </w:r>
            <w:r w:rsidR="00252EB3">
              <w:rPr>
                <w:b/>
                <w:szCs w:val="24"/>
              </w:rPr>
              <w:t>. Horizontaliųjų principų (toliau – HP) reikalavimai</w:t>
            </w:r>
          </w:p>
        </w:tc>
      </w:tr>
      <w:tr w:rsidR="00610766" w14:paraId="0B39E514" w14:textId="77777777">
        <w:tc>
          <w:tcPr>
            <w:tcW w:w="14709" w:type="dxa"/>
          </w:tcPr>
          <w:p w14:paraId="39E880D7" w14:textId="001AF5AE" w:rsidR="00610766" w:rsidRDefault="00E7126F">
            <w:pPr>
              <w:jc w:val="both"/>
              <w:rPr>
                <w:iCs/>
                <w:szCs w:val="24"/>
              </w:rPr>
            </w:pPr>
            <w:r>
              <w:rPr>
                <w:iCs/>
                <w:szCs w:val="24"/>
              </w:rPr>
              <w:t>8</w:t>
            </w:r>
            <w:r w:rsidR="00252EB3">
              <w:rPr>
                <w:iCs/>
                <w:szCs w:val="24"/>
              </w:rPr>
              <w:t xml:space="preserve">.1. Projekte negali būti numatyta: </w:t>
            </w:r>
          </w:p>
          <w:p w14:paraId="27A379E5" w14:textId="5D0E1413" w:rsidR="00610766" w:rsidRDefault="00E7126F">
            <w:pPr>
              <w:jc w:val="both"/>
              <w:rPr>
                <w:iCs/>
                <w:szCs w:val="24"/>
              </w:rPr>
            </w:pPr>
            <w:r>
              <w:rPr>
                <w:iCs/>
                <w:szCs w:val="24"/>
              </w:rPr>
              <w:t>8</w:t>
            </w:r>
            <w:r w:rsidR="00252EB3">
              <w:rPr>
                <w:iCs/>
                <w:szCs w:val="24"/>
              </w:rPr>
              <w:t xml:space="preserve">.1.1. apribojimų, kurie turėtų neigiamą poveikį lygių galimybių ir nediskriminavimo dėl lyties, rasės, tautybės, kalbos, kilmės, socialinės padėties, tikėjimo, įsitikinimų ar pažiūrų, amžiaus, negalios, lytinės orientacijos, etninės priklausomybės, religijos ar kitų bruožų principams įgyvendinti; </w:t>
            </w:r>
          </w:p>
          <w:p w14:paraId="45880C19" w14:textId="502C9BC8" w:rsidR="00610766" w:rsidRDefault="00E7126F">
            <w:pPr>
              <w:jc w:val="both"/>
              <w:rPr>
                <w:iCs/>
                <w:szCs w:val="24"/>
              </w:rPr>
            </w:pPr>
            <w:r>
              <w:rPr>
                <w:iCs/>
                <w:szCs w:val="24"/>
              </w:rPr>
              <w:t>8</w:t>
            </w:r>
            <w:r w:rsidR="00252EB3">
              <w:rPr>
                <w:iCs/>
                <w:szCs w:val="24"/>
              </w:rPr>
              <w:t xml:space="preserve">.1.2. veiksmų, kurie turėtų neigiamą poveikį darnaus vystymosi principui įgyvendinti. </w:t>
            </w:r>
          </w:p>
          <w:p w14:paraId="0F4506FB" w14:textId="06B029D4" w:rsidR="00610766" w:rsidRDefault="00E7126F">
            <w:pPr>
              <w:jc w:val="both"/>
              <w:rPr>
                <w:iCs/>
                <w:szCs w:val="24"/>
              </w:rPr>
            </w:pPr>
            <w:r>
              <w:rPr>
                <w:iCs/>
                <w:szCs w:val="24"/>
              </w:rPr>
              <w:t>8</w:t>
            </w:r>
            <w:r w:rsidR="00252EB3">
              <w:rPr>
                <w:iCs/>
                <w:szCs w:val="24"/>
              </w:rPr>
              <w:t>.2. Projektas tiesiogiai prisideda prie inovatyvumo (kūrybingumo) horizontaliojo principo per įgyvendinamas veiklas, kurios turi atitikti Mokslinių tyrimų ir eksperimentinės plėtros ir inovacijų Sumanios specializacijos prioritetus bei tematikas.</w:t>
            </w:r>
          </w:p>
          <w:p w14:paraId="6629943D" w14:textId="63B0A944" w:rsidR="00610766" w:rsidRDefault="00E7126F">
            <w:pPr>
              <w:jc w:val="both"/>
              <w:rPr>
                <w:iCs/>
                <w:szCs w:val="24"/>
              </w:rPr>
            </w:pPr>
            <w:r>
              <w:rPr>
                <w:iCs/>
                <w:szCs w:val="24"/>
              </w:rPr>
              <w:t>8</w:t>
            </w:r>
            <w:r w:rsidR="00252EB3">
              <w:rPr>
                <w:iCs/>
                <w:szCs w:val="24"/>
              </w:rPr>
              <w:t xml:space="preserve">.3. Projekto atitikties reikšmingos žalos nedarymo HP vertinimo reikalavimų aprašas pateikiamas Aprašo 1 priede. </w:t>
            </w:r>
          </w:p>
          <w:p w14:paraId="6428C5D2" w14:textId="363F1B5F" w:rsidR="00610766" w:rsidRDefault="00E7126F">
            <w:pPr>
              <w:jc w:val="both"/>
              <w:rPr>
                <w:iCs/>
                <w:szCs w:val="24"/>
              </w:rPr>
            </w:pPr>
            <w:r>
              <w:rPr>
                <w:iCs/>
                <w:szCs w:val="24"/>
              </w:rPr>
              <w:t>8</w:t>
            </w:r>
            <w:r w:rsidR="00252EB3">
              <w:rPr>
                <w:iCs/>
                <w:szCs w:val="24"/>
              </w:rPr>
              <w:t xml:space="preserve">.4. Pagal Aprašą finansuojama veikla, vadovaujantis Europos Komisijos 2021 m. vasario 12 d. patvirtintomis Reikšmingos žalos nedarymo principo taikymo pagal Ekonomikos atsparumo ir didinimo priemonės reglamentą techninėmis gairėmis, atitinka reikšmingos žalos nedarymo principą, nes neturi neigiamo numatomo poveikio 6 aplinkos tikslams, nurodytiems 2020 m. birželio 18 d. Europos Parlamento ir Tarybos reglamento </w:t>
            </w:r>
            <w:r w:rsidR="00252EB3">
              <w:rPr>
                <w:iCs/>
                <w:color w:val="0563C1"/>
                <w:szCs w:val="24"/>
                <w:u w:val="single"/>
              </w:rPr>
              <w:t>(ES) Nr. 2020/852</w:t>
            </w:r>
            <w:r w:rsidR="00252EB3">
              <w:rPr>
                <w:iCs/>
                <w:szCs w:val="24"/>
              </w:rPr>
              <w:t xml:space="preserve"> dėl sistemos tvariam investavimui palengvinti sukūrimo, kuriuo iš dalies keičiamas Reglamentas </w:t>
            </w:r>
            <w:r w:rsidR="00252EB3">
              <w:rPr>
                <w:iCs/>
                <w:color w:val="0563C1"/>
                <w:szCs w:val="24"/>
                <w:u w:val="single"/>
              </w:rPr>
              <w:t>(ES) 2019/2088</w:t>
            </w:r>
            <w:r w:rsidR="00252EB3">
              <w:rPr>
                <w:iCs/>
                <w:szCs w:val="24"/>
              </w:rPr>
              <w:t>, 17 straipsnyje arba numatomas jų poveikis yra nereikšmingas, t. y. nedaro tiesioginio ir pirminio netiesioginio poveikio per visą gyvavimo ciklą.</w:t>
            </w:r>
          </w:p>
        </w:tc>
      </w:tr>
      <w:tr w:rsidR="00610766" w14:paraId="30BCFFF1" w14:textId="77777777">
        <w:tc>
          <w:tcPr>
            <w:tcW w:w="14709" w:type="dxa"/>
          </w:tcPr>
          <w:p w14:paraId="4715F74C" w14:textId="07A927B6" w:rsidR="00610766" w:rsidRDefault="00F101C7">
            <w:pPr>
              <w:spacing w:line="259" w:lineRule="auto"/>
              <w:jc w:val="both"/>
              <w:rPr>
                <w:b/>
                <w:iCs/>
                <w:szCs w:val="24"/>
              </w:rPr>
            </w:pPr>
            <w:r>
              <w:rPr>
                <w:b/>
                <w:iCs/>
                <w:szCs w:val="24"/>
              </w:rPr>
              <w:t>9</w:t>
            </w:r>
            <w:r w:rsidR="00252EB3">
              <w:rPr>
                <w:b/>
                <w:iCs/>
                <w:szCs w:val="24"/>
              </w:rPr>
              <w:t>. Europos Sąjungos pagrindinių teisių chartijos (toliau – Chartija) reikalavimai</w:t>
            </w:r>
          </w:p>
        </w:tc>
      </w:tr>
      <w:tr w:rsidR="00610766" w14:paraId="19458A7D" w14:textId="77777777">
        <w:tc>
          <w:tcPr>
            <w:tcW w:w="14709" w:type="dxa"/>
          </w:tcPr>
          <w:p w14:paraId="5DB39884" w14:textId="6D885FD4" w:rsidR="00610766" w:rsidRDefault="00580E64">
            <w:pPr>
              <w:jc w:val="both"/>
              <w:rPr>
                <w:szCs w:val="24"/>
              </w:rPr>
            </w:pPr>
            <w:r>
              <w:rPr>
                <w:szCs w:val="24"/>
              </w:rPr>
              <w:t>9.1</w:t>
            </w:r>
            <w:r w:rsidR="00A94722">
              <w:rPr>
                <w:szCs w:val="24"/>
              </w:rPr>
              <w:t xml:space="preserve">. </w:t>
            </w:r>
            <w:r w:rsidR="00252EB3">
              <w:rPr>
                <w:szCs w:val="24"/>
              </w:rPr>
              <w:t>Pagal Aprašą finansuojama veikla, įvertinus ją pagal 2016 m. liepos 23 d. Europos Komisijos pranešimą – Rekomendacijų, kaip užtikrinti, kad būtų laikomasi Europos Sąjungos pagrindinių teisių chartijos nuostatų skirstant Europos struktūrinių ir investicinių fondų (ESI fondų) paramą (2016/C 269/01), III priedą, nepažeidžia Chartijoje nustatytų pagrindinių teisių. Atsižvelgiant į pagal Aprašą finansuojamos veiklos pobūdį, papildomi reikalavimai dėl aktyvių priemonių Chartijoje įtvirtintoms teisėms propaguoti nėra nustatomi.</w:t>
            </w:r>
          </w:p>
          <w:p w14:paraId="4DEEE33C" w14:textId="52B522F5" w:rsidR="00610766" w:rsidRDefault="00A94722">
            <w:pPr>
              <w:jc w:val="both"/>
              <w:rPr>
                <w:szCs w:val="24"/>
              </w:rPr>
            </w:pPr>
            <w:r>
              <w:rPr>
                <w:szCs w:val="24"/>
              </w:rPr>
              <w:t xml:space="preserve">9.2. </w:t>
            </w:r>
            <w:r w:rsidR="00252EB3">
              <w:rPr>
                <w:szCs w:val="24"/>
              </w:rPr>
              <w:t>Projekto vykdytojas privalo nepažeisti Chartijos reikalavimų projekto vykdymo metu.</w:t>
            </w:r>
          </w:p>
          <w:p w14:paraId="6090421F" w14:textId="33B31AF9" w:rsidR="00610766" w:rsidRDefault="00A94722">
            <w:pPr>
              <w:jc w:val="both"/>
              <w:rPr>
                <w:i/>
                <w:iCs/>
                <w:szCs w:val="24"/>
              </w:rPr>
            </w:pPr>
            <w:r>
              <w:rPr>
                <w:iCs/>
                <w:szCs w:val="24"/>
              </w:rPr>
              <w:t xml:space="preserve">9.3. </w:t>
            </w:r>
            <w:r w:rsidR="00252EB3">
              <w:rPr>
                <w:iCs/>
                <w:szCs w:val="24"/>
              </w:rPr>
              <w:t xml:space="preserve">Projektas neturi pažeisti Chartijos pagrindinių teisių: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gerojo administravimo, veiksmingo teisinės gynybos, teisingumo; solidarumo ir darbuotojų teisių; aplinkos apsaugos.   </w:t>
            </w:r>
          </w:p>
        </w:tc>
      </w:tr>
      <w:tr w:rsidR="00783CED" w14:paraId="43FECAEC" w14:textId="77777777">
        <w:tc>
          <w:tcPr>
            <w:tcW w:w="14709" w:type="dxa"/>
          </w:tcPr>
          <w:p w14:paraId="1BDE8E1E" w14:textId="553BB030" w:rsidR="00783CED" w:rsidRDefault="00783CED" w:rsidP="00783CED">
            <w:pPr>
              <w:rPr>
                <w:b/>
                <w:szCs w:val="24"/>
              </w:rPr>
            </w:pPr>
            <w:r w:rsidRPr="006D206D">
              <w:rPr>
                <w:b/>
                <w:bCs/>
                <w:szCs w:val="24"/>
              </w:rPr>
              <w:t>9</w:t>
            </w:r>
            <w:r w:rsidRPr="006D206D">
              <w:rPr>
                <w:b/>
                <w:bCs/>
                <w:szCs w:val="24"/>
                <w:vertAlign w:val="superscript"/>
              </w:rPr>
              <w:t>1</w:t>
            </w:r>
            <w:r w:rsidRPr="006D206D">
              <w:rPr>
                <w:b/>
                <w:bCs/>
                <w:szCs w:val="24"/>
              </w:rPr>
              <w:t xml:space="preserve">. </w:t>
            </w:r>
            <w:r w:rsidRPr="006D206D">
              <w:rPr>
                <w:b/>
                <w:bCs/>
                <w:iCs/>
                <w:szCs w:val="24"/>
              </w:rPr>
              <w:t>Projekto prisidėjimas prie Europos Sąjungos Baltijos jūros regiono strategijos įgyvendinimo</w:t>
            </w:r>
          </w:p>
        </w:tc>
      </w:tr>
      <w:tr w:rsidR="00783CED" w14:paraId="57C8D088" w14:textId="77777777">
        <w:tc>
          <w:tcPr>
            <w:tcW w:w="14709" w:type="dxa"/>
          </w:tcPr>
          <w:p w14:paraId="20BB9827" w14:textId="7D665E84" w:rsidR="00783CED" w:rsidRDefault="00566E72" w:rsidP="00783CED">
            <w:pPr>
              <w:jc w:val="both"/>
              <w:rPr>
                <w:i/>
                <w:szCs w:val="24"/>
              </w:rPr>
            </w:pPr>
            <w:r w:rsidRPr="006D206D">
              <w:rPr>
                <w:szCs w:val="24"/>
              </w:rPr>
              <w:t>9</w:t>
            </w:r>
            <w:r w:rsidRPr="006D206D">
              <w:rPr>
                <w:szCs w:val="24"/>
                <w:vertAlign w:val="superscript"/>
              </w:rPr>
              <w:t>1</w:t>
            </w:r>
            <w:r w:rsidRPr="006D206D">
              <w:rPr>
                <w:szCs w:val="24"/>
              </w:rPr>
              <w:t>.1.</w:t>
            </w:r>
            <w:r>
              <w:rPr>
                <w:szCs w:val="24"/>
              </w:rPr>
              <w:t xml:space="preserve"> </w:t>
            </w:r>
            <w:r w:rsidR="00783CED" w:rsidRPr="006D206D">
              <w:rPr>
                <w:szCs w:val="24"/>
              </w:rPr>
              <w:t>Netaikoma.</w:t>
            </w:r>
          </w:p>
        </w:tc>
      </w:tr>
      <w:tr w:rsidR="001A3D9B" w14:paraId="06152BC2" w14:textId="77777777">
        <w:tc>
          <w:tcPr>
            <w:tcW w:w="14709" w:type="dxa"/>
          </w:tcPr>
          <w:p w14:paraId="217AFBA8" w14:textId="3507D81B" w:rsidR="001A3D9B" w:rsidRPr="006D206D" w:rsidRDefault="001A3D9B" w:rsidP="001A3D9B">
            <w:pPr>
              <w:jc w:val="both"/>
              <w:rPr>
                <w:szCs w:val="24"/>
              </w:rPr>
            </w:pPr>
            <w:r w:rsidRPr="003732DB">
              <w:rPr>
                <w:b/>
                <w:szCs w:val="24"/>
              </w:rPr>
              <w:t>10. Apskritis, kurioje gali būti įgyvendinami projektai</w:t>
            </w:r>
          </w:p>
        </w:tc>
      </w:tr>
      <w:tr w:rsidR="00C54CCF" w14:paraId="15C134AB" w14:textId="77777777">
        <w:tc>
          <w:tcPr>
            <w:tcW w:w="14709" w:type="dxa"/>
          </w:tcPr>
          <w:p w14:paraId="45241EDF" w14:textId="664B3BEB" w:rsidR="00C54CCF" w:rsidRDefault="00C54CCF" w:rsidP="00C54CCF">
            <w:pPr>
              <w:jc w:val="both"/>
              <w:rPr>
                <w:iCs/>
                <w:szCs w:val="24"/>
              </w:rPr>
            </w:pPr>
            <w:r>
              <w:rPr>
                <w:szCs w:val="24"/>
              </w:rPr>
              <w:t xml:space="preserve">10.1. </w:t>
            </w:r>
            <w:r w:rsidRPr="006D206D">
              <w:rPr>
                <w:szCs w:val="24"/>
              </w:rPr>
              <w:t>Netaikoma.</w:t>
            </w:r>
          </w:p>
        </w:tc>
      </w:tr>
      <w:tr w:rsidR="00BA076C" w14:paraId="38983A68" w14:textId="77777777">
        <w:tc>
          <w:tcPr>
            <w:tcW w:w="14709" w:type="dxa"/>
          </w:tcPr>
          <w:p w14:paraId="58365CF0" w14:textId="2AD0A956" w:rsidR="00BA076C" w:rsidRDefault="00BA076C" w:rsidP="00BA076C">
            <w:pPr>
              <w:jc w:val="both"/>
              <w:rPr>
                <w:szCs w:val="24"/>
              </w:rPr>
            </w:pPr>
            <w:r w:rsidRPr="006D206D">
              <w:rPr>
                <w:b/>
                <w:szCs w:val="24"/>
              </w:rPr>
              <w:t>11. Reikalavimai valstybės pagalbai (kurie nėra nurodyti kituose Aprašo punktuose)</w:t>
            </w:r>
          </w:p>
        </w:tc>
      </w:tr>
      <w:tr w:rsidR="00BA076C" w14:paraId="4E998631" w14:textId="77777777">
        <w:tc>
          <w:tcPr>
            <w:tcW w:w="14709" w:type="dxa"/>
          </w:tcPr>
          <w:p w14:paraId="6CAB9797" w14:textId="77777777" w:rsidR="00BA076C" w:rsidRDefault="00BA076C" w:rsidP="00BA076C">
            <w:pPr>
              <w:jc w:val="both"/>
              <w:rPr>
                <w:iCs/>
                <w:color w:val="000000"/>
                <w:szCs w:val="24"/>
              </w:rPr>
            </w:pPr>
            <w:r>
              <w:rPr>
                <w:iCs/>
                <w:color w:val="000000"/>
                <w:szCs w:val="24"/>
              </w:rPr>
              <w:t xml:space="preserve">11.1. Pagal Aprašą, valstybės pagalba, kaip ji apibrėžta Sutarties dėl Europos Sąjungos veikimo (OL 2010 C 83, p. 47) 107 straipsnyje, ir </w:t>
            </w:r>
            <w:r>
              <w:rPr>
                <w:i/>
                <w:iCs/>
                <w:color w:val="000000"/>
                <w:szCs w:val="24"/>
              </w:rPr>
              <w:t xml:space="preserve">de </w:t>
            </w:r>
            <w:proofErr w:type="spellStart"/>
            <w:r>
              <w:rPr>
                <w:i/>
                <w:iCs/>
                <w:color w:val="000000"/>
                <w:szCs w:val="24"/>
              </w:rPr>
              <w:t>minimis</w:t>
            </w:r>
            <w:proofErr w:type="spellEnd"/>
            <w:r>
              <w:rPr>
                <w:iCs/>
                <w:color w:val="000000"/>
                <w:szCs w:val="24"/>
              </w:rPr>
              <w:t xml:space="preserve"> pagalba, kuri atitinka </w:t>
            </w:r>
            <w:r>
              <w:t xml:space="preserve">2023 m. gruodžio 13 d. Komisijos reglamento (ES) Nr. 2023/2831 dėl Sutarties dėl Europos Sąjungos veikimo 107 ir 108 straipsnių taikymo </w:t>
            </w:r>
            <w:r>
              <w:rPr>
                <w:i/>
                <w:iCs/>
              </w:rPr>
              <w:t xml:space="preserve">de </w:t>
            </w:r>
            <w:proofErr w:type="spellStart"/>
            <w:r>
              <w:rPr>
                <w:i/>
                <w:iCs/>
              </w:rPr>
              <w:t>minimis</w:t>
            </w:r>
            <w:proofErr w:type="spellEnd"/>
            <w:r>
              <w:t xml:space="preserve"> pagalbai </w:t>
            </w:r>
            <w:r>
              <w:rPr>
                <w:iCs/>
                <w:color w:val="000000"/>
                <w:szCs w:val="24"/>
              </w:rPr>
              <w:t>nuostatas, neteikiama.</w:t>
            </w:r>
          </w:p>
          <w:p w14:paraId="574A0B1F" w14:textId="0DE35A1E" w:rsidR="00BA076C" w:rsidRPr="006D206D" w:rsidRDefault="00BA076C" w:rsidP="00BA076C">
            <w:pPr>
              <w:jc w:val="both"/>
              <w:rPr>
                <w:b/>
                <w:szCs w:val="24"/>
              </w:rPr>
            </w:pPr>
            <w:r>
              <w:rPr>
                <w:iCs/>
                <w:color w:val="000000"/>
                <w:szCs w:val="24"/>
              </w:rPr>
              <w:t xml:space="preserve">11.2. Pagal Aprašą, valstybės pagalba, kuri atitinka 2014 m. birželio 17 d. Komisijos reglamento </w:t>
            </w:r>
            <w:r>
              <w:rPr>
                <w:iCs/>
                <w:color w:val="0563C1"/>
                <w:szCs w:val="24"/>
                <w:u w:val="single"/>
              </w:rPr>
              <w:t>(ES) Nr. 651/2014</w:t>
            </w:r>
            <w:r>
              <w:rPr>
                <w:iCs/>
                <w:color w:val="000000"/>
                <w:szCs w:val="24"/>
              </w:rPr>
              <w:t>, kuriuo tam tikrų kategorijų pagalba skelbiama suderinama su vidaus rinka taikant Sutarties 107 ir 108 straipsnius, neteikiama.</w:t>
            </w:r>
          </w:p>
        </w:tc>
      </w:tr>
      <w:tr w:rsidR="00BA076C" w14:paraId="2FD053B7" w14:textId="77777777">
        <w:tc>
          <w:tcPr>
            <w:tcW w:w="14709" w:type="dxa"/>
          </w:tcPr>
          <w:p w14:paraId="300E4DED" w14:textId="7AF76CB1" w:rsidR="00BA076C" w:rsidRDefault="00E2316E" w:rsidP="00BA076C">
            <w:pPr>
              <w:ind w:left="426" w:hanging="426"/>
              <w:jc w:val="both"/>
              <w:rPr>
                <w:i/>
                <w:szCs w:val="24"/>
              </w:rPr>
            </w:pPr>
            <w:r>
              <w:rPr>
                <w:b/>
                <w:szCs w:val="24"/>
              </w:rPr>
              <w:t>12</w:t>
            </w:r>
            <w:r w:rsidR="00BA076C">
              <w:rPr>
                <w:b/>
                <w:szCs w:val="24"/>
              </w:rPr>
              <w:t>. Projektų atrankos kriterijai</w:t>
            </w:r>
          </w:p>
        </w:tc>
      </w:tr>
      <w:tr w:rsidR="00BA076C" w14:paraId="37D43603" w14:textId="77777777">
        <w:trPr>
          <w:trHeight w:val="271"/>
        </w:trPr>
        <w:tc>
          <w:tcPr>
            <w:tcW w:w="14709" w:type="dxa"/>
          </w:tcPr>
          <w:p w14:paraId="66286C6B" w14:textId="3CD3B1E8" w:rsidR="00BA076C" w:rsidRDefault="00496F11" w:rsidP="00BA076C">
            <w:pPr>
              <w:jc w:val="both"/>
              <w:textAlignment w:val="baseline"/>
              <w:rPr>
                <w:rFonts w:ascii="Segoe UI" w:hAnsi="Segoe UI" w:cs="Segoe UI"/>
                <w:sz w:val="18"/>
                <w:szCs w:val="18"/>
                <w:lang w:val="pt-BR" w:eastAsia="en-GB"/>
              </w:rPr>
            </w:pPr>
            <w:r>
              <w:rPr>
                <w:color w:val="000000"/>
                <w:szCs w:val="24"/>
                <w:shd w:val="clear" w:color="auto" w:fill="FFFFFF"/>
                <w:lang w:eastAsia="en-GB"/>
              </w:rPr>
              <w:t xml:space="preserve">12.1. </w:t>
            </w:r>
            <w:r w:rsidR="00BA076C">
              <w:rPr>
                <w:color w:val="000000"/>
                <w:szCs w:val="24"/>
                <w:shd w:val="clear" w:color="auto" w:fill="FFFFFF"/>
                <w:lang w:eastAsia="en-GB"/>
              </w:rPr>
              <w:t xml:space="preserve">Projekto atranka vykdoma planavimo būdu, todėl </w:t>
            </w:r>
            <w:r w:rsidR="00BA076C">
              <w:rPr>
                <w:szCs w:val="24"/>
                <w:lang w:eastAsia="en-GB"/>
              </w:rPr>
              <w:t>specialieji ir prioritetiniai projektų atrankos kriterijai nėra nustatomi.</w:t>
            </w:r>
          </w:p>
        </w:tc>
      </w:tr>
      <w:tr w:rsidR="00BA076C" w14:paraId="3561ABC5" w14:textId="77777777">
        <w:trPr>
          <w:trHeight w:val="309"/>
        </w:trPr>
        <w:tc>
          <w:tcPr>
            <w:tcW w:w="14709" w:type="dxa"/>
          </w:tcPr>
          <w:p w14:paraId="6328F591" w14:textId="1EBCB4A0" w:rsidR="00BA076C" w:rsidRDefault="00BA076C" w:rsidP="00BA076C">
            <w:pPr>
              <w:jc w:val="both"/>
              <w:rPr>
                <w:i/>
                <w:sz w:val="22"/>
                <w:szCs w:val="22"/>
              </w:rPr>
            </w:pPr>
            <w:r>
              <w:rPr>
                <w:b/>
                <w:szCs w:val="22"/>
              </w:rPr>
              <w:t>13. Jungtinio projekto projektų atrankos kriterijai (</w:t>
            </w:r>
            <w:r>
              <w:rPr>
                <w:b/>
                <w:i/>
                <w:szCs w:val="22"/>
              </w:rPr>
              <w:t>pildoma tik jungtiniam projektui)</w:t>
            </w:r>
          </w:p>
        </w:tc>
      </w:tr>
      <w:tr w:rsidR="00BA076C" w14:paraId="5C023F0A" w14:textId="77777777">
        <w:trPr>
          <w:trHeight w:val="223"/>
        </w:trPr>
        <w:tc>
          <w:tcPr>
            <w:tcW w:w="14709" w:type="dxa"/>
          </w:tcPr>
          <w:p w14:paraId="7F077436" w14:textId="7F66EB24" w:rsidR="00BA076C" w:rsidRDefault="00726D9C" w:rsidP="00BA076C">
            <w:pPr>
              <w:jc w:val="both"/>
              <w:rPr>
                <w:szCs w:val="24"/>
                <w:lang w:val="en-GB"/>
              </w:rPr>
            </w:pPr>
            <w:r>
              <w:rPr>
                <w:szCs w:val="24"/>
              </w:rPr>
              <w:t xml:space="preserve">13.1. </w:t>
            </w:r>
            <w:r w:rsidR="00BA076C">
              <w:rPr>
                <w:szCs w:val="24"/>
              </w:rPr>
              <w:t>Netaikoma.</w:t>
            </w:r>
          </w:p>
        </w:tc>
      </w:tr>
      <w:tr w:rsidR="00BA076C" w14:paraId="7B4717CB" w14:textId="77777777">
        <w:tc>
          <w:tcPr>
            <w:tcW w:w="14709" w:type="dxa"/>
          </w:tcPr>
          <w:p w14:paraId="5D39538C" w14:textId="7B6699A2" w:rsidR="00BA076C" w:rsidRDefault="00BA076C" w:rsidP="00BA076C">
            <w:pPr>
              <w:rPr>
                <w:b/>
                <w:szCs w:val="24"/>
              </w:rPr>
            </w:pPr>
            <w:r>
              <w:rPr>
                <w:b/>
                <w:szCs w:val="24"/>
              </w:rPr>
              <w:t xml:space="preserve">14. Reikalavimai įgyvendinus projektų veiklas </w:t>
            </w:r>
          </w:p>
        </w:tc>
      </w:tr>
      <w:tr w:rsidR="00BA076C" w14:paraId="5B15707D" w14:textId="77777777">
        <w:tc>
          <w:tcPr>
            <w:tcW w:w="14709" w:type="dxa"/>
          </w:tcPr>
          <w:p w14:paraId="7168C333" w14:textId="545A2B5F" w:rsidR="00BA076C" w:rsidRDefault="00726D9C" w:rsidP="00BA076C">
            <w:pPr>
              <w:rPr>
                <w:color w:val="FF0000"/>
                <w:szCs w:val="24"/>
              </w:rPr>
            </w:pPr>
            <w:r>
              <w:rPr>
                <w:szCs w:val="24"/>
              </w:rPr>
              <w:t xml:space="preserve">14.1. </w:t>
            </w:r>
            <w:r w:rsidR="00BA076C">
              <w:rPr>
                <w:szCs w:val="24"/>
              </w:rPr>
              <w:t>Papildomi reikalavimai įgyvendinus projekto veiklas, kurie nenumatyti PAFT, nėra taikomi.</w:t>
            </w:r>
          </w:p>
        </w:tc>
      </w:tr>
      <w:tr w:rsidR="00BA076C" w14:paraId="105195F9" w14:textId="77777777" w:rsidTr="009D36FF">
        <w:tc>
          <w:tcPr>
            <w:tcW w:w="14709" w:type="dxa"/>
            <w:tcBorders>
              <w:bottom w:val="single" w:sz="4" w:space="0" w:color="auto"/>
            </w:tcBorders>
          </w:tcPr>
          <w:p w14:paraId="60895A14" w14:textId="483B67ED" w:rsidR="00BA076C" w:rsidRDefault="00BA076C" w:rsidP="00BA076C">
            <w:pPr>
              <w:rPr>
                <w:szCs w:val="24"/>
              </w:rPr>
            </w:pPr>
            <w:r>
              <w:rPr>
                <w:b/>
                <w:szCs w:val="24"/>
              </w:rPr>
              <w:t>15. Kiti reikalavimai</w:t>
            </w:r>
          </w:p>
        </w:tc>
      </w:tr>
      <w:tr w:rsidR="00BA076C" w14:paraId="1F94AE39" w14:textId="77777777" w:rsidTr="009D36FF">
        <w:tc>
          <w:tcPr>
            <w:tcW w:w="14709" w:type="dxa"/>
            <w:tcBorders>
              <w:bottom w:val="single" w:sz="4" w:space="0" w:color="auto"/>
            </w:tcBorders>
          </w:tcPr>
          <w:p w14:paraId="24F329BB" w14:textId="6E1B7EEB" w:rsidR="00BA076C" w:rsidRDefault="00726D9C" w:rsidP="00BA076C">
            <w:pPr>
              <w:tabs>
                <w:tab w:val="left" w:pos="1134"/>
              </w:tabs>
              <w:jc w:val="both"/>
              <w:rPr>
                <w:i/>
                <w:szCs w:val="24"/>
              </w:rPr>
            </w:pPr>
            <w:r>
              <w:rPr>
                <w:szCs w:val="24"/>
              </w:rPr>
              <w:t xml:space="preserve">15.1. </w:t>
            </w:r>
            <w:r w:rsidR="00BA076C">
              <w:rPr>
                <w:szCs w:val="24"/>
              </w:rPr>
              <w:t>Netaikoma.</w:t>
            </w:r>
          </w:p>
        </w:tc>
      </w:tr>
      <w:tr w:rsidR="00BA076C" w14:paraId="1A7736CC" w14:textId="77777777" w:rsidTr="009D36FF">
        <w:tc>
          <w:tcPr>
            <w:tcW w:w="14709" w:type="dxa"/>
            <w:tcBorders>
              <w:top w:val="single" w:sz="4" w:space="0" w:color="auto"/>
              <w:left w:val="nil"/>
              <w:bottom w:val="single" w:sz="4" w:space="0" w:color="auto"/>
              <w:right w:val="nil"/>
            </w:tcBorders>
          </w:tcPr>
          <w:p w14:paraId="073870A3" w14:textId="77777777" w:rsidR="00BA076C" w:rsidRDefault="00BA076C" w:rsidP="00BA076C">
            <w:pPr>
              <w:tabs>
                <w:tab w:val="left" w:pos="1134"/>
              </w:tabs>
              <w:ind w:hanging="109"/>
              <w:jc w:val="both"/>
              <w:rPr>
                <w:szCs w:val="24"/>
              </w:rPr>
            </w:pPr>
          </w:p>
          <w:p w14:paraId="2A44DECC" w14:textId="77777777" w:rsidR="00BA076C" w:rsidRPr="00253511" w:rsidRDefault="00BA076C" w:rsidP="00BA076C">
            <w:pPr>
              <w:jc w:val="center"/>
              <w:rPr>
                <w:b/>
                <w:szCs w:val="24"/>
              </w:rPr>
            </w:pPr>
            <w:r w:rsidRPr="00253511">
              <w:rPr>
                <w:b/>
                <w:szCs w:val="24"/>
              </w:rPr>
              <w:t>III SKYRIUS</w:t>
            </w:r>
          </w:p>
          <w:p w14:paraId="2F2401EA" w14:textId="77777777" w:rsidR="00BA076C" w:rsidRPr="00253511" w:rsidRDefault="00BA076C" w:rsidP="00BA076C">
            <w:pPr>
              <w:jc w:val="center"/>
              <w:rPr>
                <w:b/>
                <w:szCs w:val="24"/>
              </w:rPr>
            </w:pPr>
            <w:r w:rsidRPr="00253511">
              <w:rPr>
                <w:b/>
                <w:szCs w:val="24"/>
              </w:rPr>
              <w:t>IŠLAIDŲ TINKAMUMO FINANSUOTI REIKALAVIMAI</w:t>
            </w:r>
          </w:p>
          <w:p w14:paraId="644A8903" w14:textId="77777777" w:rsidR="00BA076C" w:rsidRDefault="00BA076C" w:rsidP="00BA076C">
            <w:pPr>
              <w:tabs>
                <w:tab w:val="left" w:pos="1134"/>
              </w:tabs>
              <w:jc w:val="both"/>
              <w:rPr>
                <w:szCs w:val="24"/>
              </w:rPr>
            </w:pPr>
          </w:p>
        </w:tc>
      </w:tr>
      <w:tr w:rsidR="00BA076C" w14:paraId="7BD8B93E" w14:textId="77777777" w:rsidTr="009D36FF">
        <w:tc>
          <w:tcPr>
            <w:tcW w:w="14709" w:type="dxa"/>
            <w:tcBorders>
              <w:top w:val="single" w:sz="4" w:space="0" w:color="auto"/>
              <w:bottom w:val="single" w:sz="4" w:space="0" w:color="auto"/>
            </w:tcBorders>
          </w:tcPr>
          <w:p w14:paraId="25EC7888" w14:textId="4616B37A" w:rsidR="00BA076C" w:rsidRDefault="00BA076C" w:rsidP="00BA076C">
            <w:pPr>
              <w:rPr>
                <w:b/>
                <w:szCs w:val="24"/>
              </w:rPr>
            </w:pPr>
            <w:r w:rsidRPr="009A4780">
              <w:rPr>
                <w:b/>
                <w:szCs w:val="24"/>
              </w:rPr>
              <w:t>16</w:t>
            </w:r>
            <w:r w:rsidRPr="001A6ED3">
              <w:rPr>
                <w:bCs/>
                <w:szCs w:val="24"/>
              </w:rPr>
              <w:t xml:space="preserve">. </w:t>
            </w:r>
            <w:r w:rsidRPr="006010DA">
              <w:rPr>
                <w:b/>
                <w:szCs w:val="24"/>
              </w:rPr>
              <w:t>Išlaidų tinkamumo finansuoti reikalavimai</w:t>
            </w:r>
          </w:p>
        </w:tc>
      </w:tr>
      <w:tr w:rsidR="00BA076C" w14:paraId="2FDFDD9B" w14:textId="77777777" w:rsidTr="009D36FF">
        <w:tc>
          <w:tcPr>
            <w:tcW w:w="14709" w:type="dxa"/>
            <w:tcBorders>
              <w:top w:val="single" w:sz="4" w:space="0" w:color="auto"/>
              <w:bottom w:val="single" w:sz="4" w:space="0" w:color="auto"/>
            </w:tcBorders>
          </w:tcPr>
          <w:p w14:paraId="526796B8" w14:textId="578B8AE1" w:rsidR="00BA076C" w:rsidRDefault="00BA076C" w:rsidP="00BA076C">
            <w:pPr>
              <w:jc w:val="both"/>
              <w:rPr>
                <w:szCs w:val="24"/>
              </w:rPr>
            </w:pPr>
            <w:r>
              <w:rPr>
                <w:szCs w:val="24"/>
              </w:rPr>
              <w:t>16.1. Planuojamos išlaidos turi atitikti PAFT VII skyriuje nustatytus projektų išlaidoms taikomus reikalavimus.</w:t>
            </w:r>
          </w:p>
          <w:p w14:paraId="6B0DF6F8" w14:textId="30C2B829" w:rsidR="00BA076C" w:rsidRDefault="00BA076C" w:rsidP="00BA076C">
            <w:pPr>
              <w:jc w:val="both"/>
              <w:rPr>
                <w:szCs w:val="24"/>
              </w:rPr>
            </w:pPr>
            <w:r>
              <w:rPr>
                <w:szCs w:val="24"/>
              </w:rPr>
              <w:t xml:space="preserve">16.2. PĮP parengimo išlaidos nėra finansuojamos (išskyrus investicijų projekto parengimo išlaidas). </w:t>
            </w:r>
          </w:p>
          <w:p w14:paraId="11C8780A" w14:textId="2E681EEF" w:rsidR="00BA076C" w:rsidRDefault="00BA076C" w:rsidP="00BA076C">
            <w:pPr>
              <w:jc w:val="both"/>
              <w:rPr>
                <w:szCs w:val="24"/>
              </w:rPr>
            </w:pPr>
            <w:r>
              <w:rPr>
                <w:szCs w:val="24"/>
              </w:rPr>
              <w:t>16.3. Pareiškėjo išlaidos gali būti patirtos iki projekto sutarties pasirašymo, neprieštaraujant PAFT 294.2.1 papunkčio nuostatoms.</w:t>
            </w:r>
          </w:p>
          <w:p w14:paraId="52B1D97E" w14:textId="40AA59E2" w:rsidR="00BA076C" w:rsidRDefault="00BA076C" w:rsidP="00BA076C">
            <w:pPr>
              <w:jc w:val="both"/>
              <w:rPr>
                <w:szCs w:val="24"/>
              </w:rPr>
            </w:pPr>
            <w:r>
              <w:rPr>
                <w:szCs w:val="24"/>
              </w:rPr>
              <w:t>16.4. Projekto vykdytojas savo iniciatyva ir savo, ir (arba) kitų šaltinių lėšomis gali prisidėti prie projekto įgyvendinimo.</w:t>
            </w:r>
          </w:p>
          <w:p w14:paraId="0BF1AA04" w14:textId="5D66E70E" w:rsidR="00BA076C" w:rsidRDefault="00BA076C" w:rsidP="00BA076C">
            <w:pPr>
              <w:jc w:val="both"/>
              <w:rPr>
                <w:szCs w:val="24"/>
              </w:rPr>
            </w:pPr>
            <w:r>
              <w:rPr>
                <w:szCs w:val="24"/>
              </w:rPr>
              <w:t xml:space="preserve">16.5. Projekto tinkamų finansuoti išlaidų dalis, kurios nepadengia projektui skiriamo finansavimo lėšos, turi būti finansuojama iš projekto vykdytojo ir / ar Partnerio lėšų. </w:t>
            </w:r>
          </w:p>
          <w:p w14:paraId="51141CDD" w14:textId="746CC7AB" w:rsidR="00BA076C" w:rsidRDefault="00BA076C" w:rsidP="00BA076C">
            <w:pPr>
              <w:jc w:val="both"/>
              <w:rPr>
                <w:szCs w:val="24"/>
              </w:rPr>
            </w:pPr>
            <w:r>
              <w:rPr>
                <w:szCs w:val="24"/>
              </w:rPr>
              <w:lastRenderedPageBreak/>
              <w:t>16.6. Projekto vykdytojui gali būti mokamas avansas, vadovaujantis PAFT 153–159 punktais.</w:t>
            </w:r>
          </w:p>
          <w:p w14:paraId="0BA43A15" w14:textId="43B62188" w:rsidR="00BA076C" w:rsidRDefault="00BA076C" w:rsidP="00BA076C">
            <w:pPr>
              <w:jc w:val="both"/>
              <w:rPr>
                <w:szCs w:val="24"/>
              </w:rPr>
            </w:pPr>
            <w:r>
              <w:rPr>
                <w:szCs w:val="24"/>
              </w:rPr>
              <w:t xml:space="preserve">16.7. </w:t>
            </w:r>
            <w:r>
              <w:rPr>
                <w:color w:val="000000"/>
                <w:szCs w:val="24"/>
              </w:rPr>
              <w:t xml:space="preserve">Finansavimo intensyvumas gali sudaryti iki 100 proc. tinkamų finansuoti išlaidų. </w:t>
            </w:r>
          </w:p>
          <w:p w14:paraId="3654EB68" w14:textId="41AE5BEC" w:rsidR="00BA076C" w:rsidRDefault="00BA076C" w:rsidP="00BA076C">
            <w:pPr>
              <w:jc w:val="both"/>
              <w:rPr>
                <w:szCs w:val="24"/>
              </w:rPr>
            </w:pPr>
            <w:r>
              <w:rPr>
                <w:szCs w:val="24"/>
              </w:rPr>
              <w:t>16.8. Tinkamos finansuoti išlaidos yra šios:</w:t>
            </w:r>
          </w:p>
          <w:p w14:paraId="72D7BBF6" w14:textId="480E13B2" w:rsidR="00BA076C" w:rsidRDefault="00BA076C" w:rsidP="00BA076C">
            <w:pPr>
              <w:jc w:val="both"/>
              <w:rPr>
                <w:iCs/>
                <w:color w:val="000000"/>
                <w:szCs w:val="22"/>
              </w:rPr>
            </w:pPr>
            <w:r>
              <w:rPr>
                <w:iCs/>
                <w:color w:val="000000"/>
                <w:szCs w:val="22"/>
              </w:rPr>
              <w:t>16.8.1. ekspertų paslaugų;</w:t>
            </w:r>
          </w:p>
          <w:p w14:paraId="5952BBA2" w14:textId="1C39542E" w:rsidR="00BA076C" w:rsidRDefault="00BA076C" w:rsidP="00BA076C">
            <w:pPr>
              <w:jc w:val="both"/>
              <w:rPr>
                <w:iCs/>
                <w:color w:val="000000"/>
                <w:szCs w:val="22"/>
              </w:rPr>
            </w:pPr>
            <w:r>
              <w:rPr>
                <w:iCs/>
                <w:color w:val="000000"/>
                <w:szCs w:val="22"/>
              </w:rPr>
              <w:t>16.8.2. renginių organizavimo;</w:t>
            </w:r>
          </w:p>
          <w:p w14:paraId="55F52C03" w14:textId="3A25D60C" w:rsidR="00BA076C" w:rsidRDefault="00BA076C" w:rsidP="00BA076C">
            <w:pPr>
              <w:jc w:val="both"/>
              <w:rPr>
                <w:iCs/>
                <w:color w:val="000000"/>
                <w:szCs w:val="22"/>
              </w:rPr>
            </w:pPr>
            <w:r>
              <w:rPr>
                <w:iCs/>
                <w:color w:val="000000"/>
                <w:szCs w:val="22"/>
              </w:rPr>
              <w:t>16.8.3. projekto veiklas vykdančių darbuotojų darbo užmokestis;</w:t>
            </w:r>
          </w:p>
          <w:p w14:paraId="39A65A17" w14:textId="4DED5816" w:rsidR="00BA076C" w:rsidRDefault="00BA076C" w:rsidP="00BA076C">
            <w:pPr>
              <w:jc w:val="both"/>
              <w:rPr>
                <w:iCs/>
                <w:color w:val="000000"/>
                <w:szCs w:val="22"/>
              </w:rPr>
            </w:pPr>
            <w:r>
              <w:rPr>
                <w:iCs/>
                <w:color w:val="000000"/>
                <w:szCs w:val="22"/>
              </w:rPr>
              <w:t>16.8.4. projekto veikloms įgyvendinti būtinos įrangos nuomos;</w:t>
            </w:r>
          </w:p>
          <w:p w14:paraId="3DDAE685" w14:textId="2196BCA4" w:rsidR="00BA076C" w:rsidRDefault="00BA076C" w:rsidP="00BA076C">
            <w:pPr>
              <w:jc w:val="both"/>
              <w:rPr>
                <w:iCs/>
                <w:color w:val="000000"/>
                <w:szCs w:val="22"/>
              </w:rPr>
            </w:pPr>
            <w:r>
              <w:rPr>
                <w:iCs/>
                <w:color w:val="000000"/>
                <w:szCs w:val="22"/>
              </w:rPr>
              <w:t xml:space="preserve">16.8.5. projekto veiklas vykdančių asmenų komandiruočių, stažuočių ir kelionių išlaidos; </w:t>
            </w:r>
          </w:p>
          <w:p w14:paraId="11CA3EB5" w14:textId="5F045653" w:rsidR="00BA076C" w:rsidRDefault="00BA076C" w:rsidP="00BA076C">
            <w:pPr>
              <w:jc w:val="both"/>
              <w:rPr>
                <w:iCs/>
                <w:color w:val="000000"/>
                <w:szCs w:val="22"/>
              </w:rPr>
            </w:pPr>
            <w:r>
              <w:rPr>
                <w:iCs/>
                <w:color w:val="000000"/>
                <w:szCs w:val="22"/>
              </w:rPr>
              <w:t xml:space="preserve">16.8.6. </w:t>
            </w:r>
            <w:r>
              <w:rPr>
                <w:bCs/>
                <w:color w:val="000000"/>
                <w:szCs w:val="24"/>
              </w:rPr>
              <w:t>kitų paslaugų ir prekių, reikalingų veikloms įgyvendinti;</w:t>
            </w:r>
          </w:p>
          <w:p w14:paraId="16D456AF" w14:textId="0EEA026F" w:rsidR="00BA076C" w:rsidRDefault="00BA076C" w:rsidP="00BA076C">
            <w:pPr>
              <w:jc w:val="both"/>
              <w:rPr>
                <w:iCs/>
                <w:color w:val="000000"/>
                <w:szCs w:val="22"/>
              </w:rPr>
            </w:pPr>
            <w:r>
              <w:rPr>
                <w:iCs/>
                <w:color w:val="000000"/>
                <w:szCs w:val="22"/>
              </w:rPr>
              <w:t>16.8.7. privalomos projektų matomumo ir informavimo apie projektus priemonių pagal PAFT 340 ir 341 punktus išlaidos. Išlaidos nustatytos Aprašo 14 punkte;</w:t>
            </w:r>
          </w:p>
          <w:p w14:paraId="6B0E4280" w14:textId="24C5366B" w:rsidR="00BA076C" w:rsidRDefault="00BA076C" w:rsidP="00BA076C">
            <w:pPr>
              <w:jc w:val="both"/>
              <w:rPr>
                <w:iCs/>
                <w:color w:val="000000"/>
                <w:szCs w:val="22"/>
              </w:rPr>
            </w:pPr>
            <w:r>
              <w:rPr>
                <w:iCs/>
                <w:color w:val="000000"/>
                <w:szCs w:val="22"/>
              </w:rPr>
              <w:t>16.8.8. papildomos PĮP numatytos projektų matomumo ir informavimo apie projektus priemonių išlaidos;</w:t>
            </w:r>
          </w:p>
          <w:p w14:paraId="1D1A1AEB" w14:textId="05A6D643" w:rsidR="00BA076C" w:rsidRDefault="00BA076C" w:rsidP="00BA076C">
            <w:pPr>
              <w:jc w:val="both"/>
              <w:rPr>
                <w:iCs/>
                <w:color w:val="000000"/>
                <w:szCs w:val="22"/>
              </w:rPr>
            </w:pPr>
            <w:r>
              <w:rPr>
                <w:iCs/>
                <w:color w:val="000000"/>
                <w:szCs w:val="22"/>
              </w:rPr>
              <w:t>16.8.9. netiesioginės išlaidos ir išlaidos pagal fiksuotąsias projekto išlaidų normas, numatytos Aprašo 14 punkte.</w:t>
            </w:r>
          </w:p>
          <w:p w14:paraId="4F093916" w14:textId="2D81ECEC" w:rsidR="00BA076C" w:rsidRPr="009A4780" w:rsidRDefault="00BA076C" w:rsidP="00BA076C">
            <w:pPr>
              <w:rPr>
                <w:b/>
                <w:szCs w:val="24"/>
              </w:rPr>
            </w:pPr>
            <w:r>
              <w:rPr>
                <w:iCs/>
                <w:color w:val="000000"/>
                <w:szCs w:val="22"/>
              </w:rPr>
              <w:t xml:space="preserve">16.9. </w:t>
            </w:r>
            <w:r>
              <w:rPr>
                <w:szCs w:val="24"/>
              </w:rPr>
              <w:t>Projekto vykdytojui gali būti mokamas avansas, vadovaujantis PAFT numatytomis avanso mokėjimo sąlygomis.</w:t>
            </w:r>
          </w:p>
        </w:tc>
      </w:tr>
      <w:tr w:rsidR="00BA076C" w14:paraId="2FD3D3D4" w14:textId="77777777" w:rsidTr="009D36FF">
        <w:trPr>
          <w:trHeight w:val="1238"/>
        </w:trPr>
        <w:tc>
          <w:tcPr>
            <w:tcW w:w="14709" w:type="dxa"/>
            <w:tcBorders>
              <w:top w:val="single" w:sz="4" w:space="0" w:color="auto"/>
              <w:left w:val="nil"/>
              <w:bottom w:val="nil"/>
              <w:right w:val="nil"/>
            </w:tcBorders>
          </w:tcPr>
          <w:p w14:paraId="77A6ABF3" w14:textId="77777777" w:rsidR="00BA076C" w:rsidRDefault="00BA076C" w:rsidP="00BA076C">
            <w:pPr>
              <w:jc w:val="both"/>
              <w:rPr>
                <w:b/>
                <w:szCs w:val="24"/>
              </w:rPr>
            </w:pPr>
          </w:p>
          <w:p w14:paraId="501F8DFA" w14:textId="77777777" w:rsidR="00BA076C" w:rsidRPr="00253511" w:rsidRDefault="00BA076C" w:rsidP="00BA076C">
            <w:pPr>
              <w:jc w:val="center"/>
              <w:rPr>
                <w:b/>
                <w:szCs w:val="24"/>
              </w:rPr>
            </w:pPr>
            <w:r w:rsidRPr="00253511">
              <w:rPr>
                <w:b/>
                <w:szCs w:val="24"/>
              </w:rPr>
              <w:t>IV SKYRIUS</w:t>
            </w:r>
          </w:p>
          <w:p w14:paraId="65967DAB" w14:textId="77777777" w:rsidR="00BA076C" w:rsidRPr="00253511" w:rsidRDefault="00BA076C" w:rsidP="00BA076C">
            <w:pPr>
              <w:jc w:val="center"/>
              <w:rPr>
                <w:b/>
                <w:szCs w:val="24"/>
              </w:rPr>
            </w:pPr>
            <w:r w:rsidRPr="00253511">
              <w:rPr>
                <w:b/>
                <w:szCs w:val="24"/>
              </w:rPr>
              <w:t>SUPAPRASTINTAI APMOKAMŲ IŠLAIDŲ DYDŽIAI</w:t>
            </w:r>
          </w:p>
          <w:p w14:paraId="29F179A1" w14:textId="77777777" w:rsidR="00BA076C" w:rsidRDefault="00BA076C" w:rsidP="00BA076C">
            <w:pPr>
              <w:jc w:val="both"/>
              <w:rPr>
                <w:b/>
                <w:szCs w:val="24"/>
              </w:rPr>
            </w:pPr>
          </w:p>
        </w:tc>
      </w:tr>
      <w:tr w:rsidR="00BA076C" w14:paraId="5952DDF7" w14:textId="77777777" w:rsidTr="009D36FF">
        <w:trPr>
          <w:trHeight w:val="349"/>
        </w:trPr>
        <w:tc>
          <w:tcPr>
            <w:tcW w:w="14709" w:type="dxa"/>
            <w:tcBorders>
              <w:top w:val="nil"/>
            </w:tcBorders>
          </w:tcPr>
          <w:p w14:paraId="00A87310" w14:textId="6CB9B058" w:rsidR="00BA076C" w:rsidRDefault="00BA076C" w:rsidP="00BA076C">
            <w:pPr>
              <w:jc w:val="both"/>
              <w:rPr>
                <w:szCs w:val="24"/>
              </w:rPr>
            </w:pPr>
            <w:r>
              <w:rPr>
                <w:b/>
                <w:szCs w:val="24"/>
              </w:rPr>
              <w:t>1</w:t>
            </w:r>
            <w:r w:rsidR="003C2A91">
              <w:rPr>
                <w:b/>
                <w:szCs w:val="24"/>
              </w:rPr>
              <w:t>7</w:t>
            </w:r>
            <w:r>
              <w:rPr>
                <w:b/>
                <w:szCs w:val="24"/>
              </w:rPr>
              <w:t>. Projektų veiklų ir jungtinio projekto projektų įgyvendinimui taikomi supaprastintai apmokamų išlaidų dydžiai</w:t>
            </w:r>
          </w:p>
        </w:tc>
      </w:tr>
      <w:tr w:rsidR="00BA076C" w14:paraId="43179D7A" w14:textId="77777777">
        <w:tc>
          <w:tcPr>
            <w:tcW w:w="14709"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9"/>
              <w:gridCol w:w="2890"/>
              <w:gridCol w:w="2890"/>
              <w:gridCol w:w="2890"/>
              <w:gridCol w:w="2890"/>
            </w:tblGrid>
            <w:tr w:rsidR="00BA076C" w14:paraId="447D82F9" w14:textId="77777777">
              <w:tc>
                <w:tcPr>
                  <w:tcW w:w="14449" w:type="dxa"/>
                  <w:gridSpan w:val="5"/>
                  <w:tcBorders>
                    <w:top w:val="single" w:sz="8" w:space="0" w:color="auto"/>
                    <w:left w:val="single" w:sz="8" w:space="0" w:color="auto"/>
                    <w:bottom w:val="single" w:sz="8" w:space="0" w:color="auto"/>
                    <w:right w:val="single" w:sz="8" w:space="0" w:color="auto"/>
                  </w:tcBorders>
                </w:tcPr>
                <w:p w14:paraId="4A039159" w14:textId="77777777" w:rsidR="00BA076C" w:rsidRPr="008B65B4" w:rsidRDefault="00BA076C" w:rsidP="00BA076C">
                  <w:pPr>
                    <w:jc w:val="both"/>
                    <w:rPr>
                      <w:b/>
                      <w:bCs/>
                      <w:sz w:val="22"/>
                      <w:szCs w:val="22"/>
                    </w:rPr>
                  </w:pPr>
                  <w:r w:rsidRPr="008B65B4">
                    <w:rPr>
                      <w:rFonts w:ascii="Segoe UI Symbol" w:eastAsia="MS Gothic" w:hAnsi="Segoe UI Symbol" w:cs="Segoe UI Symbol"/>
                      <w:b/>
                      <w:bCs/>
                      <w:sz w:val="22"/>
                      <w:szCs w:val="22"/>
                    </w:rPr>
                    <w:t>☐</w:t>
                  </w:r>
                  <w:r w:rsidRPr="008B65B4">
                    <w:rPr>
                      <w:b/>
                      <w:bCs/>
                      <w:sz w:val="22"/>
                      <w:szCs w:val="22"/>
                    </w:rPr>
                    <w:t xml:space="preserve"> Indeksuojama</w:t>
                  </w:r>
                </w:p>
                <w:p w14:paraId="162C81D5" w14:textId="12307F59" w:rsidR="00BA076C" w:rsidRDefault="00BA076C" w:rsidP="00BA076C">
                  <w:pPr>
                    <w:jc w:val="both"/>
                    <w:rPr>
                      <w:b/>
                      <w:bCs/>
                      <w:szCs w:val="24"/>
                    </w:rPr>
                  </w:pPr>
                  <w:r w:rsidRPr="008B65B4">
                    <w:rPr>
                      <w:rFonts w:ascii="Segoe UI Symbol" w:eastAsia="MS Gothic" w:hAnsi="Segoe UI Symbol" w:cs="Segoe UI Symbol"/>
                      <w:b/>
                      <w:bCs/>
                      <w:sz w:val="22"/>
                      <w:szCs w:val="22"/>
                    </w:rPr>
                    <w:t>☒</w:t>
                  </w:r>
                  <w:r>
                    <w:rPr>
                      <w:rFonts w:ascii="Segoe UI Symbol" w:eastAsia="MS Gothic" w:hAnsi="Segoe UI Symbol" w:cs="Segoe UI Symbol"/>
                      <w:b/>
                      <w:bCs/>
                      <w:sz w:val="22"/>
                      <w:szCs w:val="22"/>
                    </w:rPr>
                    <w:t xml:space="preserve"> </w:t>
                  </w:r>
                  <w:r w:rsidRPr="008B65B4">
                    <w:rPr>
                      <w:rFonts w:eastAsia="MS Gothic"/>
                      <w:b/>
                      <w:bCs/>
                      <w:sz w:val="22"/>
                      <w:szCs w:val="22"/>
                    </w:rPr>
                    <w:t>Neindeksuojama</w:t>
                  </w:r>
                </w:p>
              </w:tc>
            </w:tr>
            <w:tr w:rsidR="00BA076C" w14:paraId="5A305F61" w14:textId="77777777">
              <w:tc>
                <w:tcPr>
                  <w:tcW w:w="2889" w:type="dxa"/>
                  <w:tcBorders>
                    <w:top w:val="single" w:sz="8" w:space="0" w:color="auto"/>
                    <w:left w:val="single" w:sz="8" w:space="0" w:color="auto"/>
                    <w:bottom w:val="single" w:sz="8" w:space="0" w:color="auto"/>
                    <w:right w:val="single" w:sz="8" w:space="0" w:color="auto"/>
                  </w:tcBorders>
                  <w:vAlign w:val="center"/>
                </w:tcPr>
                <w:p w14:paraId="1E1665F2" w14:textId="77777777" w:rsidR="00BA076C" w:rsidRDefault="00BA076C" w:rsidP="00BA076C">
                  <w:pPr>
                    <w:jc w:val="center"/>
                    <w:rPr>
                      <w:b/>
                      <w:bCs/>
                      <w:szCs w:val="24"/>
                    </w:rPr>
                  </w:pPr>
                  <w:r>
                    <w:rPr>
                      <w:b/>
                      <w:bCs/>
                      <w:szCs w:val="24"/>
                    </w:rPr>
                    <w:t>Veiklos ir (ar) išlaidos, kurioms taikomi supaprastintai apmokamų išlaidų dydžiai</w:t>
                  </w:r>
                </w:p>
              </w:tc>
              <w:tc>
                <w:tcPr>
                  <w:tcW w:w="2890" w:type="dxa"/>
                  <w:tcBorders>
                    <w:top w:val="single" w:sz="8" w:space="0" w:color="auto"/>
                    <w:left w:val="single" w:sz="8" w:space="0" w:color="auto"/>
                    <w:bottom w:val="single" w:sz="8" w:space="0" w:color="auto"/>
                    <w:right w:val="single" w:sz="8" w:space="0" w:color="auto"/>
                  </w:tcBorders>
                  <w:vAlign w:val="center"/>
                </w:tcPr>
                <w:p w14:paraId="5C51C66F" w14:textId="77777777" w:rsidR="00BA076C" w:rsidRDefault="00BA076C" w:rsidP="00BA076C">
                  <w:pPr>
                    <w:jc w:val="center"/>
                    <w:rPr>
                      <w:b/>
                      <w:bCs/>
                      <w:szCs w:val="24"/>
                    </w:rPr>
                  </w:pPr>
                  <w:r>
                    <w:rPr>
                      <w:b/>
                      <w:bCs/>
                      <w:szCs w:val="24"/>
                    </w:rPr>
                    <w:t>Supaprastintai apmokamų išlaidų dydžio kodas</w:t>
                  </w:r>
                </w:p>
              </w:tc>
              <w:tc>
                <w:tcPr>
                  <w:tcW w:w="2890" w:type="dxa"/>
                  <w:tcBorders>
                    <w:top w:val="single" w:sz="8" w:space="0" w:color="auto"/>
                    <w:left w:val="single" w:sz="8" w:space="0" w:color="auto"/>
                    <w:bottom w:val="single" w:sz="8" w:space="0" w:color="auto"/>
                    <w:right w:val="single" w:sz="8" w:space="0" w:color="auto"/>
                  </w:tcBorders>
                  <w:vAlign w:val="center"/>
                </w:tcPr>
                <w:p w14:paraId="48368224" w14:textId="77777777" w:rsidR="00BA076C" w:rsidRDefault="00BA076C" w:rsidP="00BA076C">
                  <w:pPr>
                    <w:jc w:val="center"/>
                    <w:rPr>
                      <w:b/>
                      <w:bCs/>
                      <w:i/>
                      <w:iCs/>
                      <w:color w:val="808080"/>
                      <w:szCs w:val="24"/>
                    </w:rPr>
                  </w:pPr>
                  <w:r>
                    <w:rPr>
                      <w:b/>
                      <w:bCs/>
                      <w:szCs w:val="24"/>
                    </w:rPr>
                    <w:t>Supaprastintai apmokamų išlaidų dydžio versija</w:t>
                  </w:r>
                </w:p>
              </w:tc>
              <w:tc>
                <w:tcPr>
                  <w:tcW w:w="2890" w:type="dxa"/>
                  <w:tcBorders>
                    <w:top w:val="single" w:sz="8" w:space="0" w:color="auto"/>
                    <w:left w:val="single" w:sz="8" w:space="0" w:color="auto"/>
                    <w:bottom w:val="single" w:sz="8" w:space="0" w:color="auto"/>
                    <w:right w:val="single" w:sz="8" w:space="0" w:color="auto"/>
                  </w:tcBorders>
                  <w:vAlign w:val="center"/>
                </w:tcPr>
                <w:p w14:paraId="6E2B758B" w14:textId="77777777" w:rsidR="00BA076C" w:rsidRDefault="00BA076C" w:rsidP="00BA076C">
                  <w:pPr>
                    <w:jc w:val="center"/>
                    <w:rPr>
                      <w:b/>
                      <w:bCs/>
                      <w:szCs w:val="24"/>
                    </w:rPr>
                  </w:pPr>
                  <w:r>
                    <w:rPr>
                      <w:b/>
                      <w:bCs/>
                      <w:szCs w:val="24"/>
                    </w:rPr>
                    <w:t>Supaprastintai apmokamų išlaidų dydžio pavadinimas</w:t>
                  </w:r>
                </w:p>
              </w:tc>
              <w:tc>
                <w:tcPr>
                  <w:tcW w:w="2890" w:type="dxa"/>
                  <w:tcBorders>
                    <w:top w:val="single" w:sz="8" w:space="0" w:color="auto"/>
                    <w:left w:val="single" w:sz="8" w:space="0" w:color="auto"/>
                    <w:bottom w:val="single" w:sz="8" w:space="0" w:color="auto"/>
                    <w:right w:val="single" w:sz="8" w:space="0" w:color="auto"/>
                  </w:tcBorders>
                  <w:vAlign w:val="center"/>
                </w:tcPr>
                <w:p w14:paraId="144946DE" w14:textId="77777777" w:rsidR="00BA076C" w:rsidRDefault="00BA076C" w:rsidP="00BA076C">
                  <w:pPr>
                    <w:jc w:val="center"/>
                    <w:rPr>
                      <w:b/>
                      <w:bCs/>
                      <w:szCs w:val="24"/>
                    </w:rPr>
                  </w:pPr>
                  <w:r>
                    <w:rPr>
                      <w:b/>
                      <w:bCs/>
                      <w:szCs w:val="24"/>
                    </w:rPr>
                    <w:t>Papildoma informacija</w:t>
                  </w:r>
                </w:p>
              </w:tc>
            </w:tr>
            <w:tr w:rsidR="00BA076C" w14:paraId="736B271E" w14:textId="77777777">
              <w:tc>
                <w:tcPr>
                  <w:tcW w:w="2889" w:type="dxa"/>
                  <w:tcBorders>
                    <w:top w:val="single" w:sz="8" w:space="0" w:color="auto"/>
                    <w:left w:val="single" w:sz="8" w:space="0" w:color="auto"/>
                    <w:bottom w:val="single" w:sz="8" w:space="0" w:color="auto"/>
                    <w:right w:val="single" w:sz="8" w:space="0" w:color="auto"/>
                  </w:tcBorders>
                  <w:vAlign w:val="center"/>
                </w:tcPr>
                <w:p w14:paraId="0CC7F6F1" w14:textId="1A840228" w:rsidR="00BA076C" w:rsidRDefault="00BA076C" w:rsidP="00BA076C">
                  <w:pPr>
                    <w:rPr>
                      <w:szCs w:val="24"/>
                    </w:rPr>
                  </w:pPr>
                  <w:r>
                    <w:rPr>
                      <w:szCs w:val="24"/>
                    </w:rPr>
                    <w:t>1</w:t>
                  </w:r>
                  <w:r w:rsidR="003604F0">
                    <w:rPr>
                      <w:szCs w:val="24"/>
                    </w:rPr>
                    <w:t>7</w:t>
                  </w:r>
                  <w:r>
                    <w:rPr>
                      <w:szCs w:val="24"/>
                    </w:rPr>
                    <w:t>.1. Netiesioginės projekto išlaidos</w:t>
                  </w:r>
                </w:p>
              </w:tc>
              <w:tc>
                <w:tcPr>
                  <w:tcW w:w="2890" w:type="dxa"/>
                  <w:tcBorders>
                    <w:top w:val="single" w:sz="8" w:space="0" w:color="auto"/>
                    <w:left w:val="single" w:sz="8" w:space="0" w:color="auto"/>
                    <w:bottom w:val="single" w:sz="8" w:space="0" w:color="auto"/>
                    <w:right w:val="single" w:sz="8" w:space="0" w:color="auto"/>
                  </w:tcBorders>
                  <w:vAlign w:val="center"/>
                </w:tcPr>
                <w:p w14:paraId="6E5921D6" w14:textId="77777777" w:rsidR="00BA076C" w:rsidRDefault="00BA076C" w:rsidP="00BA076C">
                  <w:pPr>
                    <w:jc w:val="center"/>
                    <w:rPr>
                      <w:szCs w:val="24"/>
                    </w:rPr>
                  </w:pPr>
                  <w:r>
                    <w:rPr>
                      <w:szCs w:val="24"/>
                    </w:rPr>
                    <w:t>FN-01</w:t>
                  </w:r>
                </w:p>
              </w:tc>
              <w:tc>
                <w:tcPr>
                  <w:tcW w:w="2890" w:type="dxa"/>
                  <w:tcBorders>
                    <w:top w:val="single" w:sz="8" w:space="0" w:color="auto"/>
                    <w:left w:val="single" w:sz="8" w:space="0" w:color="auto"/>
                    <w:bottom w:val="single" w:sz="8" w:space="0" w:color="auto"/>
                    <w:right w:val="single" w:sz="8" w:space="0" w:color="auto"/>
                  </w:tcBorders>
                  <w:vAlign w:val="center"/>
                </w:tcPr>
                <w:p w14:paraId="6C7407F9" w14:textId="77777777" w:rsidR="00BA076C" w:rsidRDefault="00BA076C" w:rsidP="00BA076C">
                  <w:pPr>
                    <w:jc w:val="center"/>
                    <w:rPr>
                      <w:szCs w:val="24"/>
                    </w:rPr>
                  </w:pPr>
                  <w:r>
                    <w:rPr>
                      <w:szCs w:val="24"/>
                    </w:rPr>
                    <w:t>02</w:t>
                  </w:r>
                </w:p>
              </w:tc>
              <w:tc>
                <w:tcPr>
                  <w:tcW w:w="2890" w:type="dxa"/>
                  <w:tcBorders>
                    <w:top w:val="single" w:sz="8" w:space="0" w:color="auto"/>
                    <w:left w:val="single" w:sz="8" w:space="0" w:color="auto"/>
                    <w:bottom w:val="single" w:sz="8" w:space="0" w:color="auto"/>
                    <w:right w:val="single" w:sz="8" w:space="0" w:color="auto"/>
                  </w:tcBorders>
                  <w:vAlign w:val="center"/>
                </w:tcPr>
                <w:p w14:paraId="3A62D7C4" w14:textId="77777777" w:rsidR="00BA076C" w:rsidRDefault="00BA076C" w:rsidP="00BA076C">
                  <w:pPr>
                    <w:jc w:val="center"/>
                    <w:rPr>
                      <w:szCs w:val="24"/>
                    </w:rPr>
                  </w:pPr>
                  <w:r>
                    <w:rPr>
                      <w:szCs w:val="24"/>
                    </w:rPr>
                    <w:t>Fiksuotoji norma netiesioginėms projekto išlaidoms</w:t>
                  </w:r>
                </w:p>
              </w:tc>
              <w:tc>
                <w:tcPr>
                  <w:tcW w:w="2890" w:type="dxa"/>
                  <w:tcBorders>
                    <w:top w:val="single" w:sz="8" w:space="0" w:color="auto"/>
                    <w:left w:val="single" w:sz="8" w:space="0" w:color="auto"/>
                    <w:bottom w:val="single" w:sz="8" w:space="0" w:color="auto"/>
                    <w:right w:val="single" w:sz="8" w:space="0" w:color="auto"/>
                  </w:tcBorders>
                  <w:vAlign w:val="center"/>
                </w:tcPr>
                <w:p w14:paraId="7CFC3ADD" w14:textId="77777777" w:rsidR="00BA076C" w:rsidRDefault="00BA076C" w:rsidP="00BA076C">
                  <w:pPr>
                    <w:jc w:val="center"/>
                    <w:rPr>
                      <w:i/>
                      <w:iCs/>
                      <w:szCs w:val="24"/>
                    </w:rPr>
                  </w:pPr>
                  <w:r>
                    <w:rPr>
                      <w:szCs w:val="24"/>
                    </w:rPr>
                    <w:t>Netiesioginės išlaidos sudaro iki 7 proc. tinkamų finansuoti tiesioginių projekto išlaidų</w:t>
                  </w:r>
                </w:p>
              </w:tc>
            </w:tr>
            <w:tr w:rsidR="00BA076C" w14:paraId="16FDC3B3" w14:textId="77777777">
              <w:tc>
                <w:tcPr>
                  <w:tcW w:w="2889" w:type="dxa"/>
                  <w:tcBorders>
                    <w:top w:val="single" w:sz="8" w:space="0" w:color="auto"/>
                    <w:left w:val="single" w:sz="8" w:space="0" w:color="auto"/>
                    <w:bottom w:val="single" w:sz="8" w:space="0" w:color="auto"/>
                    <w:right w:val="single" w:sz="8" w:space="0" w:color="auto"/>
                  </w:tcBorders>
                  <w:vAlign w:val="center"/>
                </w:tcPr>
                <w:p w14:paraId="52A25212" w14:textId="0F63D14C" w:rsidR="00BA076C" w:rsidRDefault="00BA076C" w:rsidP="00BA076C">
                  <w:pPr>
                    <w:jc w:val="both"/>
                    <w:rPr>
                      <w:szCs w:val="24"/>
                    </w:rPr>
                  </w:pPr>
                  <w:r>
                    <w:rPr>
                      <w:szCs w:val="24"/>
                    </w:rPr>
                    <w:t>1</w:t>
                  </w:r>
                  <w:r w:rsidR="000A0A32">
                    <w:rPr>
                      <w:szCs w:val="24"/>
                    </w:rPr>
                    <w:t>7</w:t>
                  </w:r>
                  <w:r>
                    <w:rPr>
                      <w:szCs w:val="24"/>
                    </w:rPr>
                    <w:t>.</w:t>
                  </w:r>
                  <w:r w:rsidR="000A0A32">
                    <w:rPr>
                      <w:szCs w:val="24"/>
                    </w:rPr>
                    <w:t>2</w:t>
                  </w:r>
                  <w:r>
                    <w:rPr>
                      <w:szCs w:val="24"/>
                    </w:rPr>
                    <w:t>. Privalomos projektų matomumo ir informavimo apie projektus priemonės</w:t>
                  </w:r>
                </w:p>
              </w:tc>
              <w:tc>
                <w:tcPr>
                  <w:tcW w:w="2890" w:type="dxa"/>
                  <w:tcBorders>
                    <w:top w:val="single" w:sz="8" w:space="0" w:color="auto"/>
                    <w:left w:val="single" w:sz="8" w:space="0" w:color="auto"/>
                    <w:bottom w:val="single" w:sz="8" w:space="0" w:color="auto"/>
                    <w:right w:val="single" w:sz="8" w:space="0" w:color="auto"/>
                  </w:tcBorders>
                  <w:vAlign w:val="center"/>
                </w:tcPr>
                <w:p w14:paraId="38336D15" w14:textId="77777777" w:rsidR="00BA076C" w:rsidRDefault="00BA076C" w:rsidP="00BA076C">
                  <w:pPr>
                    <w:jc w:val="center"/>
                    <w:rPr>
                      <w:szCs w:val="24"/>
                    </w:rPr>
                  </w:pPr>
                  <w:r>
                    <w:rPr>
                      <w:szCs w:val="24"/>
                    </w:rPr>
                    <w:t>FS-01-01</w:t>
                  </w:r>
                </w:p>
              </w:tc>
              <w:tc>
                <w:tcPr>
                  <w:tcW w:w="2890" w:type="dxa"/>
                  <w:tcBorders>
                    <w:top w:val="single" w:sz="8" w:space="0" w:color="auto"/>
                    <w:left w:val="single" w:sz="8" w:space="0" w:color="auto"/>
                    <w:bottom w:val="single" w:sz="8" w:space="0" w:color="auto"/>
                    <w:right w:val="single" w:sz="8" w:space="0" w:color="auto"/>
                  </w:tcBorders>
                  <w:vAlign w:val="center"/>
                </w:tcPr>
                <w:p w14:paraId="27EC91BA" w14:textId="77777777" w:rsidR="00BA076C" w:rsidRDefault="00BA076C" w:rsidP="00BA076C">
                  <w:pPr>
                    <w:jc w:val="center"/>
                    <w:rPr>
                      <w:szCs w:val="24"/>
                    </w:rPr>
                  </w:pPr>
                  <w:r>
                    <w:rPr>
                      <w:szCs w:val="24"/>
                    </w:rPr>
                    <w:t>02</w:t>
                  </w:r>
                </w:p>
              </w:tc>
              <w:tc>
                <w:tcPr>
                  <w:tcW w:w="2890" w:type="dxa"/>
                  <w:tcBorders>
                    <w:top w:val="single" w:sz="8" w:space="0" w:color="auto"/>
                    <w:left w:val="single" w:sz="8" w:space="0" w:color="auto"/>
                    <w:bottom w:val="single" w:sz="8" w:space="0" w:color="auto"/>
                    <w:right w:val="single" w:sz="8" w:space="0" w:color="auto"/>
                  </w:tcBorders>
                  <w:vAlign w:val="center"/>
                </w:tcPr>
                <w:p w14:paraId="399F50E8" w14:textId="77777777" w:rsidR="00BA076C" w:rsidRDefault="00BA076C" w:rsidP="00BA076C">
                  <w:pPr>
                    <w:jc w:val="center"/>
                    <w:rPr>
                      <w:szCs w:val="24"/>
                    </w:rPr>
                  </w:pPr>
                  <w:r>
                    <w:rPr>
                      <w:szCs w:val="24"/>
                    </w:rPr>
                    <w:t>Įgyvendintų privalomų matomumo ir informavimo priemonių apie ES fondų investicijų veiklas fiksuotoji suma, pirmojo rinkinio FS be PVM</w:t>
                  </w:r>
                </w:p>
              </w:tc>
              <w:tc>
                <w:tcPr>
                  <w:tcW w:w="2890" w:type="dxa"/>
                  <w:tcBorders>
                    <w:top w:val="single" w:sz="8" w:space="0" w:color="auto"/>
                    <w:left w:val="single" w:sz="8" w:space="0" w:color="auto"/>
                    <w:bottom w:val="single" w:sz="8" w:space="0" w:color="auto"/>
                    <w:right w:val="single" w:sz="8" w:space="0" w:color="auto"/>
                  </w:tcBorders>
                  <w:vAlign w:val="center"/>
                </w:tcPr>
                <w:p w14:paraId="2FEFA0EF" w14:textId="77777777" w:rsidR="00BA076C" w:rsidRDefault="00BA076C" w:rsidP="00BA076C">
                  <w:pPr>
                    <w:jc w:val="center"/>
                    <w:rPr>
                      <w:i/>
                      <w:iCs/>
                      <w:szCs w:val="24"/>
                    </w:rPr>
                  </w:pPr>
                  <w:r>
                    <w:rPr>
                      <w:i/>
                      <w:iCs/>
                      <w:szCs w:val="24"/>
                    </w:rPr>
                    <w:t>-</w:t>
                  </w:r>
                </w:p>
              </w:tc>
            </w:tr>
            <w:tr w:rsidR="00BA076C" w14:paraId="589A7180" w14:textId="77777777">
              <w:tc>
                <w:tcPr>
                  <w:tcW w:w="2889" w:type="dxa"/>
                  <w:tcBorders>
                    <w:top w:val="single" w:sz="8" w:space="0" w:color="auto"/>
                    <w:left w:val="single" w:sz="8" w:space="0" w:color="auto"/>
                    <w:bottom w:val="single" w:sz="8" w:space="0" w:color="auto"/>
                    <w:right w:val="single" w:sz="8" w:space="0" w:color="auto"/>
                  </w:tcBorders>
                  <w:vAlign w:val="center"/>
                </w:tcPr>
                <w:p w14:paraId="38F9B685" w14:textId="386D8A1F" w:rsidR="00BA076C" w:rsidRDefault="00BA076C" w:rsidP="00BA076C">
                  <w:pPr>
                    <w:jc w:val="both"/>
                    <w:rPr>
                      <w:szCs w:val="24"/>
                    </w:rPr>
                  </w:pPr>
                  <w:r>
                    <w:rPr>
                      <w:szCs w:val="24"/>
                    </w:rPr>
                    <w:t>1</w:t>
                  </w:r>
                  <w:r w:rsidR="000A0A32">
                    <w:rPr>
                      <w:szCs w:val="24"/>
                    </w:rPr>
                    <w:t>7</w:t>
                  </w:r>
                  <w:r>
                    <w:rPr>
                      <w:szCs w:val="24"/>
                    </w:rPr>
                    <w:t>.3. Privalomos projektų matomumo ir informavimo apie projektus priemonės</w:t>
                  </w:r>
                </w:p>
              </w:tc>
              <w:tc>
                <w:tcPr>
                  <w:tcW w:w="2890" w:type="dxa"/>
                  <w:tcBorders>
                    <w:top w:val="single" w:sz="8" w:space="0" w:color="auto"/>
                    <w:left w:val="single" w:sz="8" w:space="0" w:color="auto"/>
                    <w:bottom w:val="single" w:sz="8" w:space="0" w:color="auto"/>
                    <w:right w:val="single" w:sz="8" w:space="0" w:color="auto"/>
                  </w:tcBorders>
                  <w:vAlign w:val="center"/>
                </w:tcPr>
                <w:p w14:paraId="5EDBDE10" w14:textId="77777777" w:rsidR="00BA076C" w:rsidRDefault="00BA076C" w:rsidP="00BA076C">
                  <w:pPr>
                    <w:jc w:val="center"/>
                    <w:rPr>
                      <w:szCs w:val="24"/>
                    </w:rPr>
                  </w:pPr>
                  <w:r>
                    <w:rPr>
                      <w:szCs w:val="24"/>
                    </w:rPr>
                    <w:t>FS-01-02</w:t>
                  </w:r>
                </w:p>
              </w:tc>
              <w:tc>
                <w:tcPr>
                  <w:tcW w:w="2890" w:type="dxa"/>
                  <w:tcBorders>
                    <w:top w:val="single" w:sz="8" w:space="0" w:color="auto"/>
                    <w:left w:val="single" w:sz="8" w:space="0" w:color="auto"/>
                    <w:bottom w:val="single" w:sz="8" w:space="0" w:color="auto"/>
                    <w:right w:val="single" w:sz="8" w:space="0" w:color="auto"/>
                  </w:tcBorders>
                  <w:vAlign w:val="center"/>
                </w:tcPr>
                <w:p w14:paraId="33E2EC2C" w14:textId="77777777" w:rsidR="00BA076C" w:rsidRDefault="00BA076C" w:rsidP="00BA076C">
                  <w:pPr>
                    <w:jc w:val="center"/>
                    <w:rPr>
                      <w:szCs w:val="24"/>
                    </w:rPr>
                  </w:pPr>
                  <w:r>
                    <w:rPr>
                      <w:szCs w:val="24"/>
                    </w:rPr>
                    <w:t>02</w:t>
                  </w:r>
                </w:p>
              </w:tc>
              <w:tc>
                <w:tcPr>
                  <w:tcW w:w="2890" w:type="dxa"/>
                  <w:tcBorders>
                    <w:top w:val="single" w:sz="8" w:space="0" w:color="auto"/>
                    <w:left w:val="single" w:sz="8" w:space="0" w:color="auto"/>
                    <w:bottom w:val="single" w:sz="8" w:space="0" w:color="auto"/>
                    <w:right w:val="single" w:sz="8" w:space="0" w:color="auto"/>
                  </w:tcBorders>
                  <w:vAlign w:val="center"/>
                </w:tcPr>
                <w:p w14:paraId="238B1E17" w14:textId="77777777" w:rsidR="00BA076C" w:rsidRDefault="00BA076C" w:rsidP="00BA076C">
                  <w:pPr>
                    <w:jc w:val="center"/>
                    <w:rPr>
                      <w:szCs w:val="24"/>
                    </w:rPr>
                  </w:pPr>
                  <w:r>
                    <w:rPr>
                      <w:szCs w:val="24"/>
                    </w:rPr>
                    <w:t>Įgyvendintų privalomų matomumo ir informavimo priemonių apie ES fondų investicijų veiklas fiksuotoji suma, pirmojo rinkinio FS su PVM</w:t>
                  </w:r>
                </w:p>
              </w:tc>
              <w:tc>
                <w:tcPr>
                  <w:tcW w:w="2890" w:type="dxa"/>
                  <w:tcBorders>
                    <w:top w:val="single" w:sz="8" w:space="0" w:color="auto"/>
                    <w:left w:val="single" w:sz="8" w:space="0" w:color="auto"/>
                    <w:bottom w:val="single" w:sz="8" w:space="0" w:color="auto"/>
                    <w:right w:val="single" w:sz="8" w:space="0" w:color="auto"/>
                  </w:tcBorders>
                  <w:vAlign w:val="center"/>
                </w:tcPr>
                <w:p w14:paraId="2B0E247C" w14:textId="77777777" w:rsidR="00BA076C" w:rsidRDefault="00BA076C" w:rsidP="00BA076C">
                  <w:pPr>
                    <w:jc w:val="center"/>
                    <w:rPr>
                      <w:i/>
                      <w:iCs/>
                      <w:szCs w:val="24"/>
                    </w:rPr>
                  </w:pPr>
                  <w:r>
                    <w:rPr>
                      <w:i/>
                      <w:iCs/>
                      <w:szCs w:val="24"/>
                    </w:rPr>
                    <w:t>-</w:t>
                  </w:r>
                </w:p>
              </w:tc>
            </w:tr>
            <w:tr w:rsidR="00BA076C" w14:paraId="0516B739" w14:textId="77777777">
              <w:tc>
                <w:tcPr>
                  <w:tcW w:w="2889" w:type="dxa"/>
                  <w:tcBorders>
                    <w:top w:val="single" w:sz="8" w:space="0" w:color="auto"/>
                    <w:left w:val="single" w:sz="8" w:space="0" w:color="auto"/>
                    <w:bottom w:val="single" w:sz="8" w:space="0" w:color="auto"/>
                    <w:right w:val="single" w:sz="8" w:space="0" w:color="auto"/>
                  </w:tcBorders>
                  <w:vAlign w:val="center"/>
                </w:tcPr>
                <w:p w14:paraId="353F516B" w14:textId="74CC45DB" w:rsidR="00BA076C" w:rsidRDefault="00BA076C" w:rsidP="00BA076C">
                  <w:pPr>
                    <w:rPr>
                      <w:szCs w:val="24"/>
                    </w:rPr>
                  </w:pPr>
                  <w:r>
                    <w:rPr>
                      <w:szCs w:val="24"/>
                    </w:rPr>
                    <w:t>1</w:t>
                  </w:r>
                  <w:r w:rsidR="000A0A32">
                    <w:rPr>
                      <w:szCs w:val="24"/>
                    </w:rPr>
                    <w:t>7</w:t>
                  </w:r>
                  <w:r>
                    <w:rPr>
                      <w:szCs w:val="24"/>
                    </w:rPr>
                    <w:t>.4. Privalomos projektų matomumo ir informavimo apie projektus priemonės</w:t>
                  </w:r>
                </w:p>
              </w:tc>
              <w:tc>
                <w:tcPr>
                  <w:tcW w:w="2890" w:type="dxa"/>
                  <w:tcBorders>
                    <w:top w:val="single" w:sz="8" w:space="0" w:color="auto"/>
                    <w:left w:val="single" w:sz="8" w:space="0" w:color="auto"/>
                    <w:bottom w:val="single" w:sz="8" w:space="0" w:color="auto"/>
                    <w:right w:val="single" w:sz="8" w:space="0" w:color="auto"/>
                  </w:tcBorders>
                  <w:vAlign w:val="center"/>
                </w:tcPr>
                <w:p w14:paraId="592332DD" w14:textId="77777777" w:rsidR="00BA076C" w:rsidRDefault="00BA076C" w:rsidP="00BA076C">
                  <w:pPr>
                    <w:jc w:val="center"/>
                    <w:rPr>
                      <w:szCs w:val="24"/>
                    </w:rPr>
                  </w:pPr>
                  <w:r>
                    <w:rPr>
                      <w:szCs w:val="24"/>
                    </w:rPr>
                    <w:t>FS-01-03</w:t>
                  </w:r>
                </w:p>
              </w:tc>
              <w:tc>
                <w:tcPr>
                  <w:tcW w:w="2890" w:type="dxa"/>
                  <w:tcBorders>
                    <w:top w:val="single" w:sz="8" w:space="0" w:color="auto"/>
                    <w:left w:val="single" w:sz="8" w:space="0" w:color="auto"/>
                    <w:bottom w:val="single" w:sz="8" w:space="0" w:color="auto"/>
                    <w:right w:val="single" w:sz="8" w:space="0" w:color="auto"/>
                  </w:tcBorders>
                  <w:vAlign w:val="center"/>
                </w:tcPr>
                <w:p w14:paraId="36631C95" w14:textId="77777777" w:rsidR="00BA076C" w:rsidRDefault="00BA076C" w:rsidP="00BA076C">
                  <w:pPr>
                    <w:jc w:val="center"/>
                    <w:rPr>
                      <w:szCs w:val="24"/>
                    </w:rPr>
                  </w:pPr>
                  <w:r>
                    <w:rPr>
                      <w:szCs w:val="24"/>
                    </w:rPr>
                    <w:t>02</w:t>
                  </w:r>
                </w:p>
              </w:tc>
              <w:tc>
                <w:tcPr>
                  <w:tcW w:w="2890" w:type="dxa"/>
                  <w:tcBorders>
                    <w:top w:val="single" w:sz="8" w:space="0" w:color="auto"/>
                    <w:left w:val="single" w:sz="8" w:space="0" w:color="auto"/>
                    <w:bottom w:val="single" w:sz="8" w:space="0" w:color="auto"/>
                    <w:right w:val="single" w:sz="8" w:space="0" w:color="auto"/>
                  </w:tcBorders>
                  <w:vAlign w:val="center"/>
                </w:tcPr>
                <w:p w14:paraId="134C40DF" w14:textId="77777777" w:rsidR="00BA076C" w:rsidRDefault="00BA076C" w:rsidP="00BA076C">
                  <w:pPr>
                    <w:jc w:val="center"/>
                    <w:rPr>
                      <w:szCs w:val="24"/>
                    </w:rPr>
                  </w:pPr>
                  <w:r>
                    <w:rPr>
                      <w:szCs w:val="24"/>
                    </w:rPr>
                    <w:t>Įgyvendintų privalomų matomumo ir informavimo priemonių apie ES fondų investicijų veiklas fiksuotoji suma, antrojo rinkinio FS be PVM</w:t>
                  </w:r>
                </w:p>
              </w:tc>
              <w:tc>
                <w:tcPr>
                  <w:tcW w:w="2890" w:type="dxa"/>
                  <w:tcBorders>
                    <w:top w:val="single" w:sz="8" w:space="0" w:color="auto"/>
                    <w:left w:val="single" w:sz="8" w:space="0" w:color="auto"/>
                    <w:bottom w:val="single" w:sz="8" w:space="0" w:color="auto"/>
                    <w:right w:val="single" w:sz="8" w:space="0" w:color="auto"/>
                  </w:tcBorders>
                  <w:vAlign w:val="center"/>
                </w:tcPr>
                <w:p w14:paraId="6F615C16" w14:textId="77777777" w:rsidR="00BA076C" w:rsidRDefault="00BA076C" w:rsidP="00BA076C">
                  <w:pPr>
                    <w:jc w:val="center"/>
                    <w:rPr>
                      <w:i/>
                      <w:iCs/>
                      <w:szCs w:val="24"/>
                    </w:rPr>
                  </w:pPr>
                  <w:r>
                    <w:rPr>
                      <w:i/>
                      <w:iCs/>
                      <w:szCs w:val="24"/>
                    </w:rPr>
                    <w:t>-</w:t>
                  </w:r>
                </w:p>
              </w:tc>
            </w:tr>
            <w:tr w:rsidR="00BA076C" w14:paraId="3B1C6E73" w14:textId="77777777">
              <w:tc>
                <w:tcPr>
                  <w:tcW w:w="2889" w:type="dxa"/>
                  <w:tcBorders>
                    <w:top w:val="single" w:sz="8" w:space="0" w:color="auto"/>
                    <w:left w:val="single" w:sz="8" w:space="0" w:color="auto"/>
                    <w:bottom w:val="single" w:sz="8" w:space="0" w:color="auto"/>
                    <w:right w:val="single" w:sz="8" w:space="0" w:color="auto"/>
                  </w:tcBorders>
                  <w:vAlign w:val="center"/>
                </w:tcPr>
                <w:p w14:paraId="6BAA7E20" w14:textId="699F2061" w:rsidR="00BA076C" w:rsidRDefault="00BA076C" w:rsidP="00BA076C">
                  <w:pPr>
                    <w:rPr>
                      <w:szCs w:val="24"/>
                    </w:rPr>
                  </w:pPr>
                  <w:r>
                    <w:rPr>
                      <w:szCs w:val="24"/>
                    </w:rPr>
                    <w:t>1</w:t>
                  </w:r>
                  <w:r w:rsidR="000A0A32">
                    <w:rPr>
                      <w:szCs w:val="24"/>
                    </w:rPr>
                    <w:t>7</w:t>
                  </w:r>
                  <w:r>
                    <w:rPr>
                      <w:szCs w:val="24"/>
                    </w:rPr>
                    <w:t>.5. Privalomos projektų matomumo ir informavimo apie projektus priemonės</w:t>
                  </w:r>
                </w:p>
              </w:tc>
              <w:tc>
                <w:tcPr>
                  <w:tcW w:w="2890" w:type="dxa"/>
                  <w:tcBorders>
                    <w:top w:val="single" w:sz="8" w:space="0" w:color="auto"/>
                    <w:left w:val="single" w:sz="8" w:space="0" w:color="auto"/>
                    <w:bottom w:val="single" w:sz="8" w:space="0" w:color="auto"/>
                    <w:right w:val="single" w:sz="8" w:space="0" w:color="auto"/>
                  </w:tcBorders>
                  <w:vAlign w:val="center"/>
                </w:tcPr>
                <w:p w14:paraId="06B57C40" w14:textId="77777777" w:rsidR="00BA076C" w:rsidRDefault="00BA076C" w:rsidP="00BA076C">
                  <w:pPr>
                    <w:jc w:val="center"/>
                    <w:rPr>
                      <w:szCs w:val="24"/>
                    </w:rPr>
                  </w:pPr>
                  <w:r>
                    <w:rPr>
                      <w:szCs w:val="24"/>
                    </w:rPr>
                    <w:t>FS-01-04</w:t>
                  </w:r>
                </w:p>
              </w:tc>
              <w:tc>
                <w:tcPr>
                  <w:tcW w:w="2890" w:type="dxa"/>
                  <w:tcBorders>
                    <w:top w:val="single" w:sz="8" w:space="0" w:color="auto"/>
                    <w:left w:val="single" w:sz="8" w:space="0" w:color="auto"/>
                    <w:bottom w:val="single" w:sz="8" w:space="0" w:color="auto"/>
                    <w:right w:val="single" w:sz="8" w:space="0" w:color="auto"/>
                  </w:tcBorders>
                  <w:vAlign w:val="center"/>
                </w:tcPr>
                <w:p w14:paraId="7B6C6901" w14:textId="77777777" w:rsidR="00BA076C" w:rsidRDefault="00BA076C" w:rsidP="00BA076C">
                  <w:pPr>
                    <w:jc w:val="center"/>
                    <w:rPr>
                      <w:szCs w:val="24"/>
                    </w:rPr>
                  </w:pPr>
                  <w:r>
                    <w:rPr>
                      <w:szCs w:val="24"/>
                    </w:rPr>
                    <w:t>02</w:t>
                  </w:r>
                </w:p>
              </w:tc>
              <w:tc>
                <w:tcPr>
                  <w:tcW w:w="2890" w:type="dxa"/>
                  <w:tcBorders>
                    <w:top w:val="single" w:sz="8" w:space="0" w:color="auto"/>
                    <w:left w:val="single" w:sz="8" w:space="0" w:color="auto"/>
                    <w:bottom w:val="single" w:sz="8" w:space="0" w:color="auto"/>
                    <w:right w:val="single" w:sz="8" w:space="0" w:color="auto"/>
                  </w:tcBorders>
                  <w:vAlign w:val="center"/>
                </w:tcPr>
                <w:p w14:paraId="09054FB1" w14:textId="77777777" w:rsidR="00BA076C" w:rsidRDefault="00BA076C" w:rsidP="00BA076C">
                  <w:pPr>
                    <w:jc w:val="center"/>
                    <w:rPr>
                      <w:szCs w:val="24"/>
                    </w:rPr>
                  </w:pPr>
                  <w:r>
                    <w:rPr>
                      <w:szCs w:val="24"/>
                    </w:rPr>
                    <w:t>Įgyvendintų privalomų matomumo ir informavimo priemonių apie ES fondų investicijų veiklas fiksuotoji suma, antrojo rinkinio FS su PVM</w:t>
                  </w:r>
                </w:p>
              </w:tc>
              <w:tc>
                <w:tcPr>
                  <w:tcW w:w="2890" w:type="dxa"/>
                  <w:tcBorders>
                    <w:top w:val="single" w:sz="8" w:space="0" w:color="auto"/>
                    <w:left w:val="single" w:sz="8" w:space="0" w:color="auto"/>
                    <w:bottom w:val="single" w:sz="8" w:space="0" w:color="auto"/>
                    <w:right w:val="single" w:sz="8" w:space="0" w:color="auto"/>
                  </w:tcBorders>
                  <w:vAlign w:val="center"/>
                </w:tcPr>
                <w:p w14:paraId="2BCEE463" w14:textId="77777777" w:rsidR="00BA076C" w:rsidRDefault="00BA076C" w:rsidP="00BA076C">
                  <w:pPr>
                    <w:jc w:val="center"/>
                    <w:rPr>
                      <w:i/>
                      <w:iCs/>
                      <w:szCs w:val="24"/>
                    </w:rPr>
                  </w:pPr>
                  <w:r>
                    <w:rPr>
                      <w:i/>
                      <w:iCs/>
                      <w:szCs w:val="24"/>
                    </w:rPr>
                    <w:t>-</w:t>
                  </w:r>
                </w:p>
              </w:tc>
            </w:tr>
            <w:tr w:rsidR="00BA076C" w14:paraId="3A4C29E2" w14:textId="77777777">
              <w:tc>
                <w:tcPr>
                  <w:tcW w:w="2889" w:type="dxa"/>
                  <w:tcBorders>
                    <w:top w:val="single" w:sz="8" w:space="0" w:color="auto"/>
                    <w:left w:val="single" w:sz="8" w:space="0" w:color="auto"/>
                    <w:bottom w:val="single" w:sz="8" w:space="0" w:color="auto"/>
                    <w:right w:val="single" w:sz="8" w:space="0" w:color="auto"/>
                  </w:tcBorders>
                </w:tcPr>
                <w:p w14:paraId="64D53CC6" w14:textId="2132F259" w:rsidR="00BA076C" w:rsidRDefault="00BA076C" w:rsidP="00BA076C">
                  <w:pPr>
                    <w:jc w:val="center"/>
                    <w:rPr>
                      <w:szCs w:val="24"/>
                    </w:rPr>
                  </w:pPr>
                  <w:r>
                    <w:rPr>
                      <w:szCs w:val="24"/>
                    </w:rPr>
                    <w:t>1</w:t>
                  </w:r>
                  <w:r w:rsidR="000A0A32">
                    <w:rPr>
                      <w:szCs w:val="24"/>
                    </w:rPr>
                    <w:t>7</w:t>
                  </w:r>
                  <w:r>
                    <w:rPr>
                      <w:szCs w:val="24"/>
                    </w:rPr>
                    <w:t xml:space="preserve">.6. Projektą vykdančio personalo darbo </w:t>
                  </w:r>
                  <w:r>
                    <w:rPr>
                      <w:szCs w:val="24"/>
                    </w:rPr>
                    <w:lastRenderedPageBreak/>
                    <w:t>užmokesčio išlaidų dalis per mėnesį, skirta kasmetinėms atostogoms, kuri apskaičiuojama nuo tinkamų finansuoti faktiškai patirtų darbo užmokesčio išlaidų už faktiškai dirbtą laiką</w:t>
                  </w:r>
                </w:p>
              </w:tc>
              <w:tc>
                <w:tcPr>
                  <w:tcW w:w="2890" w:type="dxa"/>
                  <w:tcBorders>
                    <w:top w:val="single" w:sz="8" w:space="0" w:color="auto"/>
                    <w:left w:val="single" w:sz="8" w:space="0" w:color="auto"/>
                    <w:bottom w:val="single" w:sz="8" w:space="0" w:color="auto"/>
                    <w:right w:val="single" w:sz="8" w:space="0" w:color="auto"/>
                  </w:tcBorders>
                  <w:vAlign w:val="center"/>
                </w:tcPr>
                <w:p w14:paraId="54800C38" w14:textId="77777777" w:rsidR="00BA076C" w:rsidRDefault="00BA076C" w:rsidP="00BA076C">
                  <w:pPr>
                    <w:jc w:val="center"/>
                    <w:rPr>
                      <w:szCs w:val="24"/>
                    </w:rPr>
                  </w:pPr>
                  <w:r>
                    <w:rPr>
                      <w:szCs w:val="24"/>
                    </w:rPr>
                    <w:lastRenderedPageBreak/>
                    <w:t>FN-05-01</w:t>
                  </w:r>
                </w:p>
              </w:tc>
              <w:tc>
                <w:tcPr>
                  <w:tcW w:w="2890" w:type="dxa"/>
                  <w:tcBorders>
                    <w:top w:val="single" w:sz="8" w:space="0" w:color="auto"/>
                    <w:left w:val="single" w:sz="8" w:space="0" w:color="auto"/>
                    <w:bottom w:val="single" w:sz="8" w:space="0" w:color="auto"/>
                    <w:right w:val="single" w:sz="8" w:space="0" w:color="auto"/>
                  </w:tcBorders>
                  <w:vAlign w:val="center"/>
                </w:tcPr>
                <w:p w14:paraId="12C1085D" w14:textId="77777777" w:rsidR="00BA076C" w:rsidRDefault="00BA076C" w:rsidP="00BA076C">
                  <w:pPr>
                    <w:jc w:val="center"/>
                    <w:rPr>
                      <w:szCs w:val="24"/>
                    </w:rPr>
                  </w:pPr>
                  <w:r>
                    <w:rPr>
                      <w:szCs w:val="24"/>
                    </w:rPr>
                    <w:t>02</w:t>
                  </w:r>
                </w:p>
              </w:tc>
              <w:tc>
                <w:tcPr>
                  <w:tcW w:w="2890" w:type="dxa"/>
                  <w:tcBorders>
                    <w:top w:val="single" w:sz="8" w:space="0" w:color="auto"/>
                    <w:left w:val="single" w:sz="8" w:space="0" w:color="auto"/>
                    <w:bottom w:val="single" w:sz="8" w:space="0" w:color="auto"/>
                    <w:right w:val="single" w:sz="8" w:space="0" w:color="auto"/>
                  </w:tcBorders>
                </w:tcPr>
                <w:p w14:paraId="1C509C4F" w14:textId="061B5DA7" w:rsidR="00BA076C" w:rsidRDefault="00BA076C" w:rsidP="00BA076C">
                  <w:pPr>
                    <w:jc w:val="center"/>
                    <w:rPr>
                      <w:szCs w:val="24"/>
                    </w:rPr>
                  </w:pPr>
                  <w:r>
                    <w:rPr>
                      <w:szCs w:val="24"/>
                    </w:rPr>
                    <w:t xml:space="preserve">Fiksuotoji norma, taikoma, kai priklauso 20 darbo </w:t>
                  </w:r>
                  <w:r>
                    <w:rPr>
                      <w:szCs w:val="24"/>
                    </w:rPr>
                    <w:lastRenderedPageBreak/>
                    <w:t>dienų (toliau – d. d.) (jeigu dirbama 5 d. d. per savaitę) arba 24 d. d. (jeigu dirbama 6 d. d. per savaitę) kasmetinių atostogų</w:t>
                  </w:r>
                </w:p>
              </w:tc>
              <w:tc>
                <w:tcPr>
                  <w:tcW w:w="2890" w:type="dxa"/>
                  <w:tcBorders>
                    <w:top w:val="single" w:sz="8" w:space="0" w:color="auto"/>
                    <w:left w:val="single" w:sz="8" w:space="0" w:color="auto"/>
                    <w:bottom w:val="single" w:sz="8" w:space="0" w:color="auto"/>
                    <w:right w:val="single" w:sz="8" w:space="0" w:color="auto"/>
                  </w:tcBorders>
                </w:tcPr>
                <w:p w14:paraId="5B893892" w14:textId="77777777" w:rsidR="00BA076C" w:rsidRDefault="00BA076C" w:rsidP="00BA076C">
                  <w:pPr>
                    <w:rPr>
                      <w:szCs w:val="24"/>
                    </w:rPr>
                  </w:pPr>
                  <w:r>
                    <w:rPr>
                      <w:szCs w:val="24"/>
                    </w:rPr>
                    <w:lastRenderedPageBreak/>
                    <w:t>-</w:t>
                  </w:r>
                </w:p>
              </w:tc>
            </w:tr>
            <w:tr w:rsidR="00BA076C" w14:paraId="1368FE32" w14:textId="77777777">
              <w:tc>
                <w:tcPr>
                  <w:tcW w:w="2889" w:type="dxa"/>
                  <w:tcBorders>
                    <w:top w:val="single" w:sz="8" w:space="0" w:color="auto"/>
                    <w:left w:val="single" w:sz="8" w:space="0" w:color="auto"/>
                    <w:bottom w:val="single" w:sz="8" w:space="0" w:color="auto"/>
                    <w:right w:val="single" w:sz="8" w:space="0" w:color="auto"/>
                  </w:tcBorders>
                </w:tcPr>
                <w:p w14:paraId="7ECF78F7" w14:textId="1E2D1BF9" w:rsidR="00BA076C" w:rsidRDefault="00BA076C" w:rsidP="00BA076C">
                  <w:pPr>
                    <w:jc w:val="center"/>
                    <w:rPr>
                      <w:szCs w:val="24"/>
                    </w:rPr>
                  </w:pPr>
                  <w:r>
                    <w:rPr>
                      <w:szCs w:val="24"/>
                    </w:rPr>
                    <w:t>1</w:t>
                  </w:r>
                  <w:r w:rsidR="000A0A32">
                    <w:rPr>
                      <w:szCs w:val="24"/>
                    </w:rPr>
                    <w:t>7</w:t>
                  </w:r>
                  <w:r>
                    <w:rPr>
                      <w:szCs w:val="24"/>
                    </w:rPr>
                    <w:t>.7. Projektą vykdančio personalo darbo užmokesčio išlaidų dalis per mėnesį, skirta kasmetinėms atostogoms, kuri apskaičiuojama nuo tinkamų finansuoti faktiškai patirtų darbo užmokesčio išlaidų už faktiškai dirbtą laiką</w:t>
                  </w:r>
                </w:p>
              </w:tc>
              <w:tc>
                <w:tcPr>
                  <w:tcW w:w="2890" w:type="dxa"/>
                  <w:tcBorders>
                    <w:top w:val="single" w:sz="8" w:space="0" w:color="auto"/>
                    <w:left w:val="single" w:sz="8" w:space="0" w:color="auto"/>
                    <w:bottom w:val="single" w:sz="8" w:space="0" w:color="auto"/>
                    <w:right w:val="single" w:sz="8" w:space="0" w:color="auto"/>
                  </w:tcBorders>
                  <w:vAlign w:val="center"/>
                </w:tcPr>
                <w:p w14:paraId="5863F72C" w14:textId="77777777" w:rsidR="00BA076C" w:rsidRDefault="00BA076C" w:rsidP="00BA076C">
                  <w:pPr>
                    <w:jc w:val="center"/>
                    <w:rPr>
                      <w:szCs w:val="24"/>
                    </w:rPr>
                  </w:pPr>
                  <w:r>
                    <w:rPr>
                      <w:szCs w:val="24"/>
                    </w:rPr>
                    <w:t>FN-05-02</w:t>
                  </w:r>
                </w:p>
              </w:tc>
              <w:tc>
                <w:tcPr>
                  <w:tcW w:w="2890" w:type="dxa"/>
                  <w:tcBorders>
                    <w:top w:val="single" w:sz="8" w:space="0" w:color="auto"/>
                    <w:left w:val="single" w:sz="8" w:space="0" w:color="auto"/>
                    <w:bottom w:val="single" w:sz="8" w:space="0" w:color="auto"/>
                    <w:right w:val="single" w:sz="8" w:space="0" w:color="auto"/>
                  </w:tcBorders>
                  <w:vAlign w:val="center"/>
                </w:tcPr>
                <w:p w14:paraId="779D1BB9" w14:textId="77777777" w:rsidR="00BA076C" w:rsidRDefault="00BA076C" w:rsidP="00BA076C">
                  <w:pPr>
                    <w:jc w:val="center"/>
                    <w:rPr>
                      <w:szCs w:val="24"/>
                    </w:rPr>
                  </w:pPr>
                  <w:r>
                    <w:rPr>
                      <w:szCs w:val="24"/>
                    </w:rPr>
                    <w:t>02</w:t>
                  </w:r>
                </w:p>
              </w:tc>
              <w:tc>
                <w:tcPr>
                  <w:tcW w:w="2890" w:type="dxa"/>
                  <w:tcBorders>
                    <w:top w:val="single" w:sz="8" w:space="0" w:color="auto"/>
                    <w:left w:val="single" w:sz="8" w:space="0" w:color="auto"/>
                    <w:bottom w:val="single" w:sz="8" w:space="0" w:color="auto"/>
                    <w:right w:val="single" w:sz="8" w:space="0" w:color="auto"/>
                  </w:tcBorders>
                </w:tcPr>
                <w:p w14:paraId="613D9200" w14:textId="7673527C" w:rsidR="00BA076C" w:rsidRDefault="00BA076C" w:rsidP="00BA076C">
                  <w:pPr>
                    <w:jc w:val="center"/>
                    <w:rPr>
                      <w:szCs w:val="24"/>
                    </w:rPr>
                  </w:pPr>
                  <w:r>
                    <w:rPr>
                      <w:szCs w:val="24"/>
                    </w:rPr>
                    <w:t>Fiksuotoji norma, taikoma, kai priklauso nuo 21 iki 25 d. d. (jeigu dirbama 5 d. d. per savaitę) arba nuo 25 iki 30 d. d. (jeigu dirbama 6 d. d. per savaitę) kasmetinių atostogų</w:t>
                  </w:r>
                </w:p>
              </w:tc>
              <w:tc>
                <w:tcPr>
                  <w:tcW w:w="2890" w:type="dxa"/>
                  <w:tcBorders>
                    <w:top w:val="single" w:sz="8" w:space="0" w:color="auto"/>
                    <w:left w:val="single" w:sz="8" w:space="0" w:color="auto"/>
                    <w:bottom w:val="single" w:sz="8" w:space="0" w:color="auto"/>
                    <w:right w:val="single" w:sz="8" w:space="0" w:color="auto"/>
                  </w:tcBorders>
                </w:tcPr>
                <w:p w14:paraId="1216E557" w14:textId="77777777" w:rsidR="00BA076C" w:rsidRDefault="00BA076C" w:rsidP="00BA076C">
                  <w:pPr>
                    <w:rPr>
                      <w:szCs w:val="24"/>
                    </w:rPr>
                  </w:pPr>
                  <w:r>
                    <w:rPr>
                      <w:szCs w:val="24"/>
                    </w:rPr>
                    <w:t>-</w:t>
                  </w:r>
                </w:p>
              </w:tc>
            </w:tr>
            <w:tr w:rsidR="00BA076C" w14:paraId="6F216677" w14:textId="77777777">
              <w:tc>
                <w:tcPr>
                  <w:tcW w:w="2889" w:type="dxa"/>
                  <w:tcBorders>
                    <w:top w:val="single" w:sz="8" w:space="0" w:color="auto"/>
                    <w:left w:val="single" w:sz="8" w:space="0" w:color="auto"/>
                    <w:bottom w:val="single" w:sz="8" w:space="0" w:color="auto"/>
                    <w:right w:val="single" w:sz="8" w:space="0" w:color="auto"/>
                  </w:tcBorders>
                </w:tcPr>
                <w:p w14:paraId="32CAEADB" w14:textId="05E549D7" w:rsidR="00BA076C" w:rsidRDefault="006431A2" w:rsidP="00BA076C">
                  <w:pPr>
                    <w:jc w:val="center"/>
                    <w:rPr>
                      <w:szCs w:val="24"/>
                    </w:rPr>
                  </w:pPr>
                  <w:r>
                    <w:rPr>
                      <w:szCs w:val="24"/>
                    </w:rPr>
                    <w:t>17</w:t>
                  </w:r>
                  <w:r w:rsidR="00BA076C">
                    <w:rPr>
                      <w:szCs w:val="24"/>
                    </w:rPr>
                    <w:t>.8. Projektą vykdančio personalo darbo užmokesčio išlaidų dalis per mėnesį, skirta kasmetinėms atostogoms, kuri apskaičiuojama nuo tinkamų finansuoti faktiškai patirtų darbo užmokesčio išlaidų už faktiškai dirbtą laiką</w:t>
                  </w:r>
                </w:p>
              </w:tc>
              <w:tc>
                <w:tcPr>
                  <w:tcW w:w="2890" w:type="dxa"/>
                  <w:tcBorders>
                    <w:top w:val="single" w:sz="8" w:space="0" w:color="auto"/>
                    <w:left w:val="single" w:sz="8" w:space="0" w:color="auto"/>
                    <w:bottom w:val="single" w:sz="8" w:space="0" w:color="auto"/>
                    <w:right w:val="single" w:sz="8" w:space="0" w:color="auto"/>
                  </w:tcBorders>
                  <w:vAlign w:val="center"/>
                </w:tcPr>
                <w:p w14:paraId="597FFB54" w14:textId="77777777" w:rsidR="00BA076C" w:rsidRDefault="00BA076C" w:rsidP="00BA076C">
                  <w:pPr>
                    <w:jc w:val="center"/>
                    <w:rPr>
                      <w:szCs w:val="24"/>
                    </w:rPr>
                  </w:pPr>
                  <w:r>
                    <w:rPr>
                      <w:szCs w:val="24"/>
                    </w:rPr>
                    <w:t>FN-05-03</w:t>
                  </w:r>
                </w:p>
              </w:tc>
              <w:tc>
                <w:tcPr>
                  <w:tcW w:w="2890" w:type="dxa"/>
                  <w:tcBorders>
                    <w:top w:val="single" w:sz="8" w:space="0" w:color="auto"/>
                    <w:left w:val="single" w:sz="8" w:space="0" w:color="auto"/>
                    <w:bottom w:val="single" w:sz="8" w:space="0" w:color="auto"/>
                    <w:right w:val="single" w:sz="8" w:space="0" w:color="auto"/>
                  </w:tcBorders>
                  <w:vAlign w:val="center"/>
                </w:tcPr>
                <w:p w14:paraId="723C3629" w14:textId="77777777" w:rsidR="00BA076C" w:rsidRDefault="00BA076C" w:rsidP="00BA076C">
                  <w:pPr>
                    <w:jc w:val="center"/>
                    <w:rPr>
                      <w:szCs w:val="24"/>
                    </w:rPr>
                  </w:pPr>
                  <w:r>
                    <w:rPr>
                      <w:szCs w:val="24"/>
                    </w:rPr>
                    <w:t>02</w:t>
                  </w:r>
                </w:p>
              </w:tc>
              <w:tc>
                <w:tcPr>
                  <w:tcW w:w="2890" w:type="dxa"/>
                  <w:tcBorders>
                    <w:top w:val="single" w:sz="8" w:space="0" w:color="auto"/>
                    <w:left w:val="single" w:sz="8" w:space="0" w:color="auto"/>
                    <w:bottom w:val="single" w:sz="8" w:space="0" w:color="auto"/>
                    <w:right w:val="single" w:sz="8" w:space="0" w:color="auto"/>
                  </w:tcBorders>
                </w:tcPr>
                <w:p w14:paraId="0AF6C726" w14:textId="7819281D" w:rsidR="00BA076C" w:rsidRDefault="00BA076C" w:rsidP="00BA076C">
                  <w:pPr>
                    <w:jc w:val="center"/>
                    <w:rPr>
                      <w:szCs w:val="24"/>
                    </w:rPr>
                  </w:pPr>
                  <w:r>
                    <w:rPr>
                      <w:szCs w:val="24"/>
                    </w:rPr>
                    <w:t>Fiksuotoji norma, taikoma, kai priklauso nuo 26 iki 30 d. d. (jeigu dirbama 5 d. d. per savaitę) arba nuo 31 iki 36 d. d. (jeigu dirbama 6 d. d. per savaitę) kasmetinių atostogų</w:t>
                  </w:r>
                </w:p>
              </w:tc>
              <w:tc>
                <w:tcPr>
                  <w:tcW w:w="2890" w:type="dxa"/>
                  <w:tcBorders>
                    <w:top w:val="single" w:sz="8" w:space="0" w:color="auto"/>
                    <w:left w:val="single" w:sz="8" w:space="0" w:color="auto"/>
                    <w:bottom w:val="single" w:sz="8" w:space="0" w:color="auto"/>
                    <w:right w:val="single" w:sz="8" w:space="0" w:color="auto"/>
                  </w:tcBorders>
                </w:tcPr>
                <w:p w14:paraId="3842A0D9" w14:textId="77777777" w:rsidR="00BA076C" w:rsidRDefault="00BA076C" w:rsidP="00BA076C">
                  <w:pPr>
                    <w:rPr>
                      <w:szCs w:val="24"/>
                    </w:rPr>
                  </w:pPr>
                  <w:r>
                    <w:rPr>
                      <w:szCs w:val="24"/>
                    </w:rPr>
                    <w:t>-</w:t>
                  </w:r>
                </w:p>
              </w:tc>
            </w:tr>
            <w:tr w:rsidR="00BA076C" w14:paraId="6BF362FD" w14:textId="77777777">
              <w:tc>
                <w:tcPr>
                  <w:tcW w:w="2889" w:type="dxa"/>
                  <w:tcBorders>
                    <w:top w:val="single" w:sz="8" w:space="0" w:color="auto"/>
                    <w:left w:val="single" w:sz="8" w:space="0" w:color="auto"/>
                    <w:bottom w:val="single" w:sz="8" w:space="0" w:color="auto"/>
                    <w:right w:val="single" w:sz="8" w:space="0" w:color="auto"/>
                  </w:tcBorders>
                </w:tcPr>
                <w:p w14:paraId="0D226351" w14:textId="410469C1" w:rsidR="00BA076C" w:rsidRDefault="00BA076C" w:rsidP="00BA076C">
                  <w:pPr>
                    <w:jc w:val="center"/>
                    <w:rPr>
                      <w:szCs w:val="24"/>
                    </w:rPr>
                  </w:pPr>
                  <w:r>
                    <w:rPr>
                      <w:szCs w:val="24"/>
                    </w:rPr>
                    <w:t>1</w:t>
                  </w:r>
                  <w:r w:rsidR="006431A2">
                    <w:rPr>
                      <w:szCs w:val="24"/>
                    </w:rPr>
                    <w:t>7</w:t>
                  </w:r>
                  <w:r>
                    <w:rPr>
                      <w:szCs w:val="24"/>
                    </w:rPr>
                    <w:t>.9. Projektą vykdančio personalo darbo užmokesčio išlaidų dalis per mėnesį, skirta kasmetinėms atostogoms, kuri apskaičiuojama nuo tinkamų finansuoti faktiškai patirtų darbo užmokesčio išlaidų už faktiškai dirbtą laiką</w:t>
                  </w:r>
                </w:p>
              </w:tc>
              <w:tc>
                <w:tcPr>
                  <w:tcW w:w="2890" w:type="dxa"/>
                  <w:tcBorders>
                    <w:top w:val="single" w:sz="8" w:space="0" w:color="auto"/>
                    <w:left w:val="single" w:sz="8" w:space="0" w:color="auto"/>
                    <w:bottom w:val="single" w:sz="8" w:space="0" w:color="auto"/>
                    <w:right w:val="single" w:sz="8" w:space="0" w:color="auto"/>
                  </w:tcBorders>
                  <w:vAlign w:val="center"/>
                </w:tcPr>
                <w:p w14:paraId="7FA6415C" w14:textId="77777777" w:rsidR="00BA076C" w:rsidRDefault="00BA076C" w:rsidP="00BA076C">
                  <w:pPr>
                    <w:jc w:val="center"/>
                    <w:rPr>
                      <w:szCs w:val="24"/>
                    </w:rPr>
                  </w:pPr>
                  <w:r>
                    <w:rPr>
                      <w:szCs w:val="24"/>
                    </w:rPr>
                    <w:t>FN-05-04</w:t>
                  </w:r>
                </w:p>
              </w:tc>
              <w:tc>
                <w:tcPr>
                  <w:tcW w:w="2890" w:type="dxa"/>
                  <w:tcBorders>
                    <w:top w:val="single" w:sz="8" w:space="0" w:color="auto"/>
                    <w:left w:val="single" w:sz="8" w:space="0" w:color="auto"/>
                    <w:bottom w:val="single" w:sz="8" w:space="0" w:color="auto"/>
                    <w:right w:val="single" w:sz="8" w:space="0" w:color="auto"/>
                  </w:tcBorders>
                  <w:vAlign w:val="center"/>
                </w:tcPr>
                <w:p w14:paraId="653542A3" w14:textId="77777777" w:rsidR="00BA076C" w:rsidRDefault="00BA076C" w:rsidP="00BA076C">
                  <w:pPr>
                    <w:jc w:val="center"/>
                    <w:rPr>
                      <w:szCs w:val="24"/>
                    </w:rPr>
                  </w:pPr>
                  <w:r>
                    <w:rPr>
                      <w:szCs w:val="24"/>
                    </w:rPr>
                    <w:t>02</w:t>
                  </w:r>
                </w:p>
              </w:tc>
              <w:tc>
                <w:tcPr>
                  <w:tcW w:w="2890" w:type="dxa"/>
                  <w:tcBorders>
                    <w:top w:val="single" w:sz="8" w:space="0" w:color="auto"/>
                    <w:left w:val="single" w:sz="8" w:space="0" w:color="auto"/>
                    <w:bottom w:val="single" w:sz="8" w:space="0" w:color="auto"/>
                    <w:right w:val="single" w:sz="8" w:space="0" w:color="auto"/>
                  </w:tcBorders>
                </w:tcPr>
                <w:p w14:paraId="474A5DC0" w14:textId="3980E7D3" w:rsidR="00BA076C" w:rsidRDefault="00BA076C" w:rsidP="00BA076C">
                  <w:pPr>
                    <w:jc w:val="center"/>
                    <w:rPr>
                      <w:szCs w:val="24"/>
                    </w:rPr>
                  </w:pPr>
                  <w:r>
                    <w:rPr>
                      <w:szCs w:val="24"/>
                    </w:rPr>
                    <w:t>Fiksuotoji norma, taikoma, kai priklauso nuo 31 iki 36 d. d. (jeigu dirbama 5 d. d. per savaitę) arba nuo 37 iki 42 d. d. (jeigu dirbama 6 d. d. per savaitę) kasmetinių atostogų</w:t>
                  </w:r>
                </w:p>
              </w:tc>
              <w:tc>
                <w:tcPr>
                  <w:tcW w:w="2890" w:type="dxa"/>
                  <w:tcBorders>
                    <w:top w:val="single" w:sz="8" w:space="0" w:color="auto"/>
                    <w:left w:val="single" w:sz="8" w:space="0" w:color="auto"/>
                    <w:bottom w:val="single" w:sz="8" w:space="0" w:color="auto"/>
                    <w:right w:val="single" w:sz="8" w:space="0" w:color="auto"/>
                  </w:tcBorders>
                </w:tcPr>
                <w:p w14:paraId="0AFB763B" w14:textId="77777777" w:rsidR="00BA076C" w:rsidRDefault="00BA076C" w:rsidP="00BA076C">
                  <w:pPr>
                    <w:rPr>
                      <w:szCs w:val="24"/>
                    </w:rPr>
                  </w:pPr>
                  <w:r>
                    <w:rPr>
                      <w:szCs w:val="24"/>
                    </w:rPr>
                    <w:t>-</w:t>
                  </w:r>
                </w:p>
              </w:tc>
            </w:tr>
            <w:tr w:rsidR="00BA076C" w14:paraId="3270E83A" w14:textId="77777777">
              <w:tc>
                <w:tcPr>
                  <w:tcW w:w="2889" w:type="dxa"/>
                  <w:tcBorders>
                    <w:top w:val="single" w:sz="8" w:space="0" w:color="auto"/>
                    <w:left w:val="single" w:sz="8" w:space="0" w:color="auto"/>
                    <w:bottom w:val="single" w:sz="8" w:space="0" w:color="auto"/>
                    <w:right w:val="single" w:sz="8" w:space="0" w:color="auto"/>
                  </w:tcBorders>
                </w:tcPr>
                <w:p w14:paraId="17824388" w14:textId="7D01BB3F" w:rsidR="00BA076C" w:rsidRDefault="00BA076C" w:rsidP="00BA076C">
                  <w:pPr>
                    <w:jc w:val="center"/>
                    <w:rPr>
                      <w:szCs w:val="24"/>
                    </w:rPr>
                  </w:pPr>
                  <w:r>
                    <w:rPr>
                      <w:szCs w:val="24"/>
                    </w:rPr>
                    <w:t>1</w:t>
                  </w:r>
                  <w:r w:rsidR="00875555">
                    <w:rPr>
                      <w:szCs w:val="24"/>
                    </w:rPr>
                    <w:t>7</w:t>
                  </w:r>
                  <w:r>
                    <w:rPr>
                      <w:szCs w:val="24"/>
                    </w:rPr>
                    <w:t>.10. Projektą vykdančio personalo darbo užmokesčio išlaidų dalis per mėnesį, skirta kasmetinėms atostogoms, kuri apskaičiuojama nuo tinkamų finansuoti faktiškai patirtų darbo užmokesčio išlaidų už faktiškai dirbtą laiką</w:t>
                  </w:r>
                </w:p>
              </w:tc>
              <w:tc>
                <w:tcPr>
                  <w:tcW w:w="2890" w:type="dxa"/>
                  <w:tcBorders>
                    <w:top w:val="single" w:sz="8" w:space="0" w:color="auto"/>
                    <w:left w:val="single" w:sz="8" w:space="0" w:color="auto"/>
                    <w:bottom w:val="single" w:sz="8" w:space="0" w:color="auto"/>
                    <w:right w:val="single" w:sz="8" w:space="0" w:color="auto"/>
                  </w:tcBorders>
                  <w:vAlign w:val="center"/>
                </w:tcPr>
                <w:p w14:paraId="19882086" w14:textId="77777777" w:rsidR="00BA076C" w:rsidRDefault="00BA076C" w:rsidP="00BA076C">
                  <w:pPr>
                    <w:jc w:val="center"/>
                    <w:rPr>
                      <w:szCs w:val="24"/>
                    </w:rPr>
                  </w:pPr>
                  <w:r>
                    <w:rPr>
                      <w:szCs w:val="24"/>
                    </w:rPr>
                    <w:t>FN-05-05</w:t>
                  </w:r>
                </w:p>
              </w:tc>
              <w:tc>
                <w:tcPr>
                  <w:tcW w:w="2890" w:type="dxa"/>
                  <w:tcBorders>
                    <w:top w:val="single" w:sz="8" w:space="0" w:color="auto"/>
                    <w:left w:val="single" w:sz="8" w:space="0" w:color="auto"/>
                    <w:bottom w:val="single" w:sz="8" w:space="0" w:color="auto"/>
                    <w:right w:val="single" w:sz="8" w:space="0" w:color="auto"/>
                  </w:tcBorders>
                  <w:vAlign w:val="center"/>
                </w:tcPr>
                <w:p w14:paraId="6E3106CC" w14:textId="77777777" w:rsidR="00BA076C" w:rsidRDefault="00BA076C" w:rsidP="00BA076C">
                  <w:pPr>
                    <w:jc w:val="center"/>
                    <w:rPr>
                      <w:szCs w:val="24"/>
                    </w:rPr>
                  </w:pPr>
                  <w:r>
                    <w:rPr>
                      <w:szCs w:val="24"/>
                    </w:rPr>
                    <w:t>02</w:t>
                  </w:r>
                </w:p>
              </w:tc>
              <w:tc>
                <w:tcPr>
                  <w:tcW w:w="2890" w:type="dxa"/>
                  <w:tcBorders>
                    <w:top w:val="single" w:sz="8" w:space="0" w:color="auto"/>
                    <w:left w:val="single" w:sz="8" w:space="0" w:color="auto"/>
                    <w:bottom w:val="single" w:sz="8" w:space="0" w:color="auto"/>
                    <w:right w:val="single" w:sz="8" w:space="0" w:color="auto"/>
                  </w:tcBorders>
                </w:tcPr>
                <w:p w14:paraId="69DEC122" w14:textId="3D36B1B0" w:rsidR="00BA076C" w:rsidRDefault="00BA076C" w:rsidP="00BA076C">
                  <w:pPr>
                    <w:jc w:val="center"/>
                    <w:rPr>
                      <w:szCs w:val="24"/>
                    </w:rPr>
                  </w:pPr>
                  <w:r>
                    <w:rPr>
                      <w:szCs w:val="24"/>
                    </w:rPr>
                    <w:t>Fiksuotoji norma, taikoma, kai priklauso nuo 37 iki 39 d. d. (jeigu dirbama 5 d. d. per savaitę) arba nuo 43 iki 47 d. d. (jeigu dirbama 6 d. d. per savaitę) kasmetinių atostogų</w:t>
                  </w:r>
                </w:p>
              </w:tc>
              <w:tc>
                <w:tcPr>
                  <w:tcW w:w="2890" w:type="dxa"/>
                  <w:tcBorders>
                    <w:top w:val="single" w:sz="8" w:space="0" w:color="auto"/>
                    <w:left w:val="single" w:sz="8" w:space="0" w:color="auto"/>
                    <w:bottom w:val="single" w:sz="8" w:space="0" w:color="auto"/>
                    <w:right w:val="single" w:sz="8" w:space="0" w:color="auto"/>
                  </w:tcBorders>
                </w:tcPr>
                <w:p w14:paraId="21A42D77" w14:textId="77777777" w:rsidR="00BA076C" w:rsidRDefault="00BA076C" w:rsidP="00BA076C">
                  <w:pPr>
                    <w:rPr>
                      <w:szCs w:val="24"/>
                    </w:rPr>
                  </w:pPr>
                  <w:r>
                    <w:rPr>
                      <w:szCs w:val="24"/>
                    </w:rPr>
                    <w:t>-</w:t>
                  </w:r>
                </w:p>
              </w:tc>
            </w:tr>
            <w:tr w:rsidR="00BA076C" w14:paraId="4841C3CD" w14:textId="77777777">
              <w:tc>
                <w:tcPr>
                  <w:tcW w:w="2889" w:type="dxa"/>
                  <w:tcBorders>
                    <w:top w:val="single" w:sz="8" w:space="0" w:color="auto"/>
                    <w:left w:val="single" w:sz="8" w:space="0" w:color="auto"/>
                    <w:bottom w:val="single" w:sz="8" w:space="0" w:color="auto"/>
                    <w:right w:val="single" w:sz="8" w:space="0" w:color="auto"/>
                  </w:tcBorders>
                </w:tcPr>
                <w:p w14:paraId="3011617A" w14:textId="23531B0E" w:rsidR="00BA076C" w:rsidRDefault="00BA076C" w:rsidP="00BA076C">
                  <w:pPr>
                    <w:jc w:val="center"/>
                    <w:rPr>
                      <w:szCs w:val="24"/>
                    </w:rPr>
                  </w:pPr>
                  <w:r>
                    <w:rPr>
                      <w:szCs w:val="24"/>
                    </w:rPr>
                    <w:t>1</w:t>
                  </w:r>
                  <w:r w:rsidR="00875555">
                    <w:rPr>
                      <w:szCs w:val="24"/>
                    </w:rPr>
                    <w:t>7</w:t>
                  </w:r>
                  <w:r>
                    <w:rPr>
                      <w:szCs w:val="24"/>
                    </w:rPr>
                    <w:t xml:space="preserve">.11. Projektą vykdančio personalo darbo užmokesčio išlaidų dalis per mėnesį, skirta kasmetinėms atostogoms, kuri apskaičiuojama nuo tinkamų finansuoti faktiškai patirtų darbo </w:t>
                  </w:r>
                  <w:r>
                    <w:rPr>
                      <w:szCs w:val="24"/>
                    </w:rPr>
                    <w:lastRenderedPageBreak/>
                    <w:t>užmokesčio išlaidų už faktiškai dirbtą laiką</w:t>
                  </w:r>
                </w:p>
              </w:tc>
              <w:tc>
                <w:tcPr>
                  <w:tcW w:w="2890" w:type="dxa"/>
                  <w:tcBorders>
                    <w:top w:val="single" w:sz="8" w:space="0" w:color="auto"/>
                    <w:left w:val="single" w:sz="8" w:space="0" w:color="auto"/>
                    <w:bottom w:val="single" w:sz="8" w:space="0" w:color="auto"/>
                    <w:right w:val="single" w:sz="8" w:space="0" w:color="auto"/>
                  </w:tcBorders>
                  <w:vAlign w:val="center"/>
                </w:tcPr>
                <w:p w14:paraId="2352705D" w14:textId="77777777" w:rsidR="00BA076C" w:rsidRDefault="00BA076C" w:rsidP="00BA076C">
                  <w:pPr>
                    <w:jc w:val="center"/>
                    <w:rPr>
                      <w:szCs w:val="24"/>
                    </w:rPr>
                  </w:pPr>
                  <w:r>
                    <w:rPr>
                      <w:szCs w:val="24"/>
                    </w:rPr>
                    <w:lastRenderedPageBreak/>
                    <w:t>FN-05-06</w:t>
                  </w:r>
                </w:p>
              </w:tc>
              <w:tc>
                <w:tcPr>
                  <w:tcW w:w="2890" w:type="dxa"/>
                  <w:tcBorders>
                    <w:top w:val="single" w:sz="8" w:space="0" w:color="auto"/>
                    <w:left w:val="single" w:sz="8" w:space="0" w:color="auto"/>
                    <w:bottom w:val="single" w:sz="8" w:space="0" w:color="auto"/>
                    <w:right w:val="single" w:sz="8" w:space="0" w:color="auto"/>
                  </w:tcBorders>
                  <w:vAlign w:val="center"/>
                </w:tcPr>
                <w:p w14:paraId="63EA6B0F" w14:textId="77777777" w:rsidR="00BA076C" w:rsidRDefault="00BA076C" w:rsidP="00BA076C">
                  <w:pPr>
                    <w:jc w:val="center"/>
                    <w:rPr>
                      <w:szCs w:val="24"/>
                    </w:rPr>
                  </w:pPr>
                  <w:r>
                    <w:rPr>
                      <w:szCs w:val="24"/>
                    </w:rPr>
                    <w:t>02</w:t>
                  </w:r>
                </w:p>
              </w:tc>
              <w:tc>
                <w:tcPr>
                  <w:tcW w:w="2890" w:type="dxa"/>
                  <w:tcBorders>
                    <w:top w:val="single" w:sz="8" w:space="0" w:color="auto"/>
                    <w:left w:val="single" w:sz="8" w:space="0" w:color="auto"/>
                    <w:bottom w:val="single" w:sz="8" w:space="0" w:color="auto"/>
                    <w:right w:val="single" w:sz="8" w:space="0" w:color="auto"/>
                  </w:tcBorders>
                </w:tcPr>
                <w:p w14:paraId="331A11C4" w14:textId="4A8411B5" w:rsidR="00BA076C" w:rsidRDefault="00BA076C" w:rsidP="00BA076C">
                  <w:pPr>
                    <w:jc w:val="center"/>
                    <w:rPr>
                      <w:szCs w:val="24"/>
                    </w:rPr>
                  </w:pPr>
                  <w:r>
                    <w:rPr>
                      <w:szCs w:val="24"/>
                    </w:rPr>
                    <w:t>Fiksuotoji norma, taikoma, kai priklauso 40 d. d. (jeigu dirbama 5 d. d. per savaitę) arba 48 d. d. (jeigu dirbama 6 d. d. per savaitę) kasmetinių atostogų</w:t>
                  </w:r>
                </w:p>
              </w:tc>
              <w:tc>
                <w:tcPr>
                  <w:tcW w:w="2890" w:type="dxa"/>
                  <w:tcBorders>
                    <w:top w:val="single" w:sz="8" w:space="0" w:color="auto"/>
                    <w:left w:val="single" w:sz="8" w:space="0" w:color="auto"/>
                    <w:bottom w:val="single" w:sz="8" w:space="0" w:color="auto"/>
                    <w:right w:val="single" w:sz="8" w:space="0" w:color="auto"/>
                  </w:tcBorders>
                </w:tcPr>
                <w:p w14:paraId="0A285496" w14:textId="77777777" w:rsidR="00BA076C" w:rsidRDefault="00BA076C" w:rsidP="00BA076C">
                  <w:pPr>
                    <w:rPr>
                      <w:szCs w:val="24"/>
                    </w:rPr>
                  </w:pPr>
                  <w:r>
                    <w:rPr>
                      <w:szCs w:val="24"/>
                    </w:rPr>
                    <w:t>-</w:t>
                  </w:r>
                </w:p>
              </w:tc>
            </w:tr>
            <w:tr w:rsidR="00BA076C" w14:paraId="1208537E" w14:textId="77777777">
              <w:tc>
                <w:tcPr>
                  <w:tcW w:w="2889" w:type="dxa"/>
                  <w:tcBorders>
                    <w:top w:val="single" w:sz="8" w:space="0" w:color="auto"/>
                    <w:left w:val="single" w:sz="8" w:space="0" w:color="auto"/>
                    <w:bottom w:val="single" w:sz="8" w:space="0" w:color="auto"/>
                    <w:right w:val="single" w:sz="8" w:space="0" w:color="auto"/>
                  </w:tcBorders>
                </w:tcPr>
                <w:p w14:paraId="374BD292" w14:textId="534B606F" w:rsidR="00BA076C" w:rsidRDefault="00BA076C" w:rsidP="00BA076C">
                  <w:pPr>
                    <w:jc w:val="center"/>
                    <w:rPr>
                      <w:szCs w:val="24"/>
                    </w:rPr>
                  </w:pPr>
                  <w:r>
                    <w:rPr>
                      <w:szCs w:val="24"/>
                    </w:rPr>
                    <w:t>1</w:t>
                  </w:r>
                  <w:r w:rsidR="00875555">
                    <w:rPr>
                      <w:szCs w:val="24"/>
                    </w:rPr>
                    <w:t>7</w:t>
                  </w:r>
                  <w:r>
                    <w:rPr>
                      <w:szCs w:val="24"/>
                    </w:rPr>
                    <w:t>.12. Projektą vykdančio personalo darbo užmokesčio išlaidų dalis per mėnesį, skirta kasmetinėms atostogoms, kuri apskaičiuojama nuo tinkamų finansuoti faktiškai patirtų darbo užmokesčio išlaidų už faktiškai dirbtą laiką</w:t>
                  </w:r>
                </w:p>
              </w:tc>
              <w:tc>
                <w:tcPr>
                  <w:tcW w:w="2890" w:type="dxa"/>
                  <w:tcBorders>
                    <w:top w:val="single" w:sz="8" w:space="0" w:color="auto"/>
                    <w:left w:val="single" w:sz="8" w:space="0" w:color="auto"/>
                    <w:bottom w:val="single" w:sz="8" w:space="0" w:color="auto"/>
                    <w:right w:val="single" w:sz="8" w:space="0" w:color="auto"/>
                  </w:tcBorders>
                  <w:vAlign w:val="center"/>
                </w:tcPr>
                <w:p w14:paraId="5E66E57A" w14:textId="77777777" w:rsidR="00BA076C" w:rsidRDefault="00BA076C" w:rsidP="00BA076C">
                  <w:pPr>
                    <w:jc w:val="center"/>
                    <w:rPr>
                      <w:szCs w:val="24"/>
                    </w:rPr>
                  </w:pPr>
                  <w:r>
                    <w:rPr>
                      <w:szCs w:val="24"/>
                    </w:rPr>
                    <w:t>FN-05-07</w:t>
                  </w:r>
                </w:p>
              </w:tc>
              <w:tc>
                <w:tcPr>
                  <w:tcW w:w="2890" w:type="dxa"/>
                  <w:tcBorders>
                    <w:top w:val="single" w:sz="8" w:space="0" w:color="auto"/>
                    <w:left w:val="single" w:sz="8" w:space="0" w:color="auto"/>
                    <w:bottom w:val="single" w:sz="8" w:space="0" w:color="auto"/>
                    <w:right w:val="single" w:sz="8" w:space="0" w:color="auto"/>
                  </w:tcBorders>
                  <w:vAlign w:val="center"/>
                </w:tcPr>
                <w:p w14:paraId="63ABBBA6" w14:textId="77777777" w:rsidR="00BA076C" w:rsidRDefault="00BA076C" w:rsidP="00BA076C">
                  <w:pPr>
                    <w:jc w:val="center"/>
                    <w:rPr>
                      <w:szCs w:val="24"/>
                    </w:rPr>
                  </w:pPr>
                  <w:r>
                    <w:rPr>
                      <w:szCs w:val="24"/>
                    </w:rPr>
                    <w:t>02</w:t>
                  </w:r>
                </w:p>
              </w:tc>
              <w:tc>
                <w:tcPr>
                  <w:tcW w:w="2890" w:type="dxa"/>
                  <w:tcBorders>
                    <w:top w:val="single" w:sz="8" w:space="0" w:color="auto"/>
                    <w:left w:val="single" w:sz="8" w:space="0" w:color="auto"/>
                    <w:bottom w:val="single" w:sz="8" w:space="0" w:color="auto"/>
                    <w:right w:val="single" w:sz="8" w:space="0" w:color="auto"/>
                  </w:tcBorders>
                </w:tcPr>
                <w:p w14:paraId="4E4AA971" w14:textId="178FF5E5" w:rsidR="00BA076C" w:rsidRDefault="00BA076C" w:rsidP="00BA076C">
                  <w:pPr>
                    <w:jc w:val="center"/>
                    <w:rPr>
                      <w:szCs w:val="24"/>
                    </w:rPr>
                  </w:pPr>
                  <w:r>
                    <w:rPr>
                      <w:szCs w:val="24"/>
                    </w:rPr>
                    <w:t>Fiksuotoji norma, taikoma, kai priklauso nuo 41 d. d. (jeigu dirbama 5 d. d. per savaitę) arba nuo 49 d. d. (jeigu dirbama 6 d. d. per savaitę) kasmetinių atostogų</w:t>
                  </w:r>
                </w:p>
              </w:tc>
              <w:tc>
                <w:tcPr>
                  <w:tcW w:w="2890" w:type="dxa"/>
                  <w:tcBorders>
                    <w:top w:val="single" w:sz="8" w:space="0" w:color="auto"/>
                    <w:left w:val="single" w:sz="8" w:space="0" w:color="auto"/>
                    <w:bottom w:val="single" w:sz="8" w:space="0" w:color="auto"/>
                    <w:right w:val="single" w:sz="8" w:space="0" w:color="auto"/>
                  </w:tcBorders>
                </w:tcPr>
                <w:p w14:paraId="21534199" w14:textId="77777777" w:rsidR="00BA076C" w:rsidRDefault="00BA076C" w:rsidP="00BA076C">
                  <w:pPr>
                    <w:rPr>
                      <w:szCs w:val="24"/>
                    </w:rPr>
                  </w:pPr>
                  <w:r>
                    <w:rPr>
                      <w:szCs w:val="24"/>
                    </w:rPr>
                    <w:t>-</w:t>
                  </w:r>
                </w:p>
              </w:tc>
            </w:tr>
          </w:tbl>
          <w:p w14:paraId="5EF9A661" w14:textId="77777777" w:rsidR="00BA076C" w:rsidRDefault="00BA076C" w:rsidP="00BA076C">
            <w:pPr>
              <w:jc w:val="both"/>
              <w:rPr>
                <w:i/>
                <w:iCs/>
                <w:szCs w:val="24"/>
              </w:rPr>
            </w:pPr>
          </w:p>
          <w:p w14:paraId="2A70C3E3" w14:textId="77777777" w:rsidR="00BA076C" w:rsidRDefault="00BA076C" w:rsidP="00BA076C">
            <w:pPr>
              <w:jc w:val="both"/>
              <w:rPr>
                <w:i/>
                <w:iCs/>
                <w:sz w:val="22"/>
                <w:szCs w:val="22"/>
              </w:rPr>
            </w:pPr>
          </w:p>
        </w:tc>
      </w:tr>
    </w:tbl>
    <w:p w14:paraId="7C012C21" w14:textId="77777777" w:rsidR="00610766" w:rsidRDefault="00610766">
      <w:pPr>
        <w:spacing w:line="276" w:lineRule="auto"/>
        <w:jc w:val="center"/>
        <w:rPr>
          <w:rFonts w:eastAsia="Calibri"/>
          <w:sz w:val="22"/>
          <w:szCs w:val="22"/>
        </w:rPr>
      </w:pPr>
    </w:p>
    <w:p w14:paraId="5406F3E2" w14:textId="77777777" w:rsidR="00610766" w:rsidRDefault="00610766">
      <w:pPr>
        <w:rPr>
          <w:sz w:val="18"/>
          <w:szCs w:val="18"/>
        </w:rPr>
      </w:pPr>
    </w:p>
    <w:p w14:paraId="29C715B8" w14:textId="074F40AB" w:rsidR="00610766" w:rsidRDefault="00252EB3">
      <w:pPr>
        <w:spacing w:line="276" w:lineRule="auto"/>
        <w:jc w:val="center"/>
        <w:rPr>
          <w:rFonts w:eastAsia="Calibri"/>
          <w:szCs w:val="24"/>
        </w:rPr>
        <w:sectPr w:rsidR="00610766">
          <w:headerReference w:type="even" r:id="rId11"/>
          <w:headerReference w:type="default" r:id="rId12"/>
          <w:footerReference w:type="even" r:id="rId13"/>
          <w:footerReference w:type="default" r:id="rId14"/>
          <w:headerReference w:type="first" r:id="rId15"/>
          <w:footerReference w:type="first" r:id="rId16"/>
          <w:pgSz w:w="16838" w:h="11906" w:orient="landscape"/>
          <w:pgMar w:top="1134" w:right="567" w:bottom="1134" w:left="1134" w:header="567" w:footer="567" w:gutter="0"/>
          <w:cols w:space="1296"/>
          <w:titlePg/>
          <w:docGrid w:linePitch="360"/>
        </w:sectPr>
      </w:pPr>
      <w:r>
        <w:rPr>
          <w:rFonts w:eastAsia="Calibri"/>
          <w:szCs w:val="24"/>
        </w:rPr>
        <w:t>_______________</w:t>
      </w:r>
    </w:p>
    <w:p w14:paraId="18A16181" w14:textId="77777777" w:rsidR="00610766" w:rsidRDefault="00610766">
      <w:pPr>
        <w:tabs>
          <w:tab w:val="center" w:pos="4986"/>
          <w:tab w:val="right" w:pos="9972"/>
        </w:tabs>
      </w:pPr>
    </w:p>
    <w:p w14:paraId="757EBBF2" w14:textId="77777777" w:rsidR="00610766" w:rsidRDefault="00610766">
      <w:pPr>
        <w:tabs>
          <w:tab w:val="center" w:pos="4986"/>
          <w:tab w:val="right" w:pos="9972"/>
        </w:tabs>
      </w:pPr>
    </w:p>
    <w:p w14:paraId="19FD28A1" w14:textId="5627BD2B" w:rsidR="00610766" w:rsidRDefault="00252EB3">
      <w:pPr>
        <w:ind w:left="10206"/>
        <w:jc w:val="both"/>
        <w:rPr>
          <w:szCs w:val="24"/>
        </w:rPr>
      </w:pPr>
      <w:r>
        <w:rPr>
          <w:szCs w:val="24"/>
        </w:rPr>
        <w:t>2 priedo „2022–2030 m. plėtros p</w:t>
      </w:r>
      <w:r>
        <w:rPr>
          <w:szCs w:val="24"/>
        </w:rPr>
        <w:lastRenderedPageBreak/>
        <w:t>rogramos valdytojos Lietuvos Res</w:t>
      </w:r>
      <w:r>
        <w:rPr>
          <w:szCs w:val="24"/>
        </w:rPr>
        <w:lastRenderedPageBreak/>
        <w:t>publikos švietimo, mokslo ir spor</w:t>
      </w:r>
      <w:r>
        <w:rPr>
          <w:szCs w:val="24"/>
        </w:rPr>
        <w:lastRenderedPageBreak/>
        <w:t>to ministerijos mokslo plėtros pr</w:t>
      </w:r>
      <w:r>
        <w:rPr>
          <w:szCs w:val="24"/>
        </w:rPr>
        <w:lastRenderedPageBreak/>
        <w:t>ogramos pažangos priemonės Nr. 12</w:t>
      </w:r>
      <w:r>
        <w:rPr>
          <w:szCs w:val="24"/>
        </w:rPr>
        <w:lastRenderedPageBreak/>
        <w:t>-001-01-01-01 „</w:t>
      </w:r>
      <w:r>
        <w:rPr>
          <w:bCs/>
          <w:szCs w:val="24"/>
        </w:rPr>
        <w:t xml:space="preserve">Gerinti mokslo ir </w:t>
      </w:r>
      <w:r>
        <w:rPr>
          <w:bCs/>
          <w:szCs w:val="24"/>
        </w:rPr>
        <w:lastRenderedPageBreak/>
        <w:t>studijų aplinką</w:t>
      </w:r>
      <w:r>
        <w:rPr>
          <w:szCs w:val="24"/>
        </w:rPr>
        <w:t>“ projektų finans</w:t>
      </w:r>
      <w:r>
        <w:rPr>
          <w:szCs w:val="24"/>
        </w:rPr>
        <w:lastRenderedPageBreak/>
        <w:t>avimo sąlygų aprašo</w:t>
      </w:r>
      <w:r w:rsidR="00875555">
        <w:rPr>
          <w:szCs w:val="24"/>
        </w:rPr>
        <w:t xml:space="preserve"> Nr.</w:t>
      </w:r>
      <w:r w:rsidR="002E672B">
        <w:rPr>
          <w:szCs w:val="24"/>
        </w:rPr>
        <w:t xml:space="preserve"> </w:t>
      </w:r>
      <w:r w:rsidR="00875555">
        <w:rPr>
          <w:szCs w:val="24"/>
        </w:rPr>
        <w:t>1</w:t>
      </w:r>
      <w:r>
        <w:rPr>
          <w:szCs w:val="24"/>
        </w:rPr>
        <w:t>“</w:t>
      </w:r>
    </w:p>
    <w:p w14:paraId="200C69C1" w14:textId="0E184AAF" w:rsidR="00610766" w:rsidRDefault="00252EB3">
      <w:pPr>
        <w:ind w:left="10206"/>
        <w:jc w:val="both"/>
        <w:rPr>
          <w:szCs w:val="24"/>
        </w:rPr>
      </w:pPr>
      <w:r>
        <w:rPr>
          <w:szCs w:val="24"/>
        </w:rPr>
        <w:t>priedas</w:t>
      </w:r>
    </w:p>
    <w:p w14:paraId="1741CC9C" w14:textId="77777777" w:rsidR="00610766" w:rsidRDefault="00610766">
      <w:pPr>
        <w:jc w:val="center"/>
        <w:rPr>
          <w:rFonts w:eastAsia="Calibri"/>
          <w:b/>
          <w:bCs/>
          <w:szCs w:val="24"/>
        </w:rPr>
      </w:pPr>
    </w:p>
    <w:p w14:paraId="525338B0" w14:textId="77777777" w:rsidR="00610766" w:rsidRDefault="00252EB3">
      <w:pPr>
        <w:jc w:val="center"/>
        <w:rPr>
          <w:rFonts w:eastAsia="Calibri"/>
          <w:b/>
          <w:bCs/>
        </w:rPr>
      </w:pPr>
      <w:r>
        <w:rPr>
          <w:rFonts w:eastAsia="Calibri"/>
          <w:b/>
          <w:bCs/>
        </w:rPr>
        <w:t>PROJEKTO (ĮSKAITANT JUNGTINĮ PROJEKTĄ) ATITIKTIES REIKŠMINGOS ŽALOS NEDARYMO HORIZONTALIAJAM PRINCIPUI VERTINIMO REIKALAVIMŲ APRAŠAS</w:t>
      </w:r>
    </w:p>
    <w:p w14:paraId="5DB2A4BB" w14:textId="77777777" w:rsidR="00610766" w:rsidRDefault="00610766">
      <w:pPr>
        <w:jc w:val="center"/>
        <w:rPr>
          <w:rFonts w:eastAsia="Calibri"/>
          <w:b/>
          <w:bCs/>
          <w:szCs w:val="24"/>
        </w:rPr>
      </w:pPr>
    </w:p>
    <w:p w14:paraId="2966903F" w14:textId="77777777" w:rsidR="00610766" w:rsidRDefault="00252EB3">
      <w:pPr>
        <w:spacing w:line="276" w:lineRule="auto"/>
        <w:jc w:val="both"/>
        <w:rPr>
          <w:rFonts w:eastAsia="Calibri"/>
          <w:bCs/>
          <w:szCs w:val="24"/>
        </w:rPr>
      </w:pPr>
      <w:r>
        <w:rPr>
          <w:rFonts w:eastAsia="Calibri"/>
          <w:bCs/>
          <w:szCs w:val="24"/>
        </w:rPr>
        <w:t>Finansavimo šaltinis, pagal kurį finansuojamas projektas (</w:t>
      </w:r>
      <w:r>
        <w:rPr>
          <w:rFonts w:eastAsia="Calibri"/>
          <w:bCs/>
          <w:i/>
          <w:szCs w:val="24"/>
        </w:rPr>
        <w:t>pažymėkite tinkamą</w:t>
      </w:r>
      <w:r>
        <w:rPr>
          <w:rFonts w:eastAsia="Calibri"/>
          <w:bCs/>
          <w:szCs w:val="24"/>
        </w:rPr>
        <w:t xml:space="preserve">): </w:t>
      </w:r>
    </w:p>
    <w:p w14:paraId="5EB89375" w14:textId="77777777" w:rsidR="00610766" w:rsidRDefault="00252EB3">
      <w:pPr>
        <w:spacing w:line="276" w:lineRule="auto"/>
        <w:jc w:val="both"/>
        <w:rPr>
          <w:rFonts w:eastAsia="Calibri"/>
          <w:bCs/>
          <w:szCs w:val="24"/>
        </w:rPr>
      </w:pPr>
      <w:r>
        <w:rPr>
          <w:rFonts w:ascii="Wingdings 2" w:eastAsia="Wingdings 2" w:hAnsi="Wingdings 2" w:cs="Wingdings 2"/>
        </w:rPr>
        <w:t></w:t>
      </w:r>
      <w:r>
        <w:t xml:space="preserve"> </w:t>
      </w:r>
      <w:r>
        <w:rPr>
          <w:rFonts w:eastAsia="Calibri"/>
          <w:bCs/>
          <w:szCs w:val="24"/>
        </w:rPr>
        <w:t>Ekonomikos gaivinimo ir atsparumo didinimo priemonė (toliau – EGADP);</w:t>
      </w:r>
    </w:p>
    <w:p w14:paraId="69FDCFC9" w14:textId="77777777" w:rsidR="00610766" w:rsidRDefault="00252EB3">
      <w:pPr>
        <w:spacing w:line="276" w:lineRule="auto"/>
        <w:jc w:val="both"/>
        <w:rPr>
          <w:rFonts w:eastAsia="Calibri"/>
          <w:bCs/>
          <w:szCs w:val="24"/>
        </w:rPr>
      </w:pPr>
      <w:r>
        <w:rPr>
          <w:rFonts w:ascii="MS Gothic" w:eastAsia="MS Gothic" w:hAnsi="MS Gothic"/>
          <w:b/>
          <w:bCs/>
          <w:sz w:val="22"/>
          <w:szCs w:val="22"/>
        </w:rPr>
        <w:t>☒</w:t>
      </w:r>
      <w:r>
        <w:t xml:space="preserve"> Europos Sąjungos fondų i</w:t>
      </w:r>
      <w:r>
        <w:rPr>
          <w:rFonts w:eastAsia="Calibri"/>
          <w:bCs/>
          <w:szCs w:val="24"/>
        </w:rPr>
        <w:t>nvesticijų programa (toliau – ESIP).</w:t>
      </w:r>
    </w:p>
    <w:p w14:paraId="49193B85" w14:textId="77777777" w:rsidR="00610766" w:rsidRDefault="00610766">
      <w:pPr>
        <w:spacing w:line="276" w:lineRule="auto"/>
        <w:jc w:val="both"/>
        <w:rPr>
          <w:rFonts w:eastAsia="Calibri"/>
          <w:bCs/>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5"/>
        <w:gridCol w:w="4633"/>
        <w:gridCol w:w="5331"/>
      </w:tblGrid>
      <w:tr w:rsidR="00610766" w14:paraId="0F55D762" w14:textId="77777777">
        <w:tc>
          <w:tcPr>
            <w:tcW w:w="4885" w:type="dxa"/>
          </w:tcPr>
          <w:p w14:paraId="680D2D90" w14:textId="77777777" w:rsidR="00610766" w:rsidRDefault="00252EB3">
            <w:pPr>
              <w:jc w:val="center"/>
              <w:rPr>
                <w:rFonts w:eastAsia="Calibri"/>
                <w:b/>
                <w:szCs w:val="24"/>
              </w:rPr>
            </w:pPr>
            <w:r>
              <w:rPr>
                <w:rFonts w:eastAsia="Calibri"/>
                <w:b/>
                <w:szCs w:val="24"/>
              </w:rPr>
              <w:t>Aplinkos tikslai</w:t>
            </w:r>
          </w:p>
          <w:p w14:paraId="5C99DBC1" w14:textId="77777777" w:rsidR="00610766" w:rsidRDefault="00252EB3">
            <w:pPr>
              <w:jc w:val="both"/>
              <w:rPr>
                <w:rFonts w:eastAsia="Calibri"/>
                <w:b/>
                <w:szCs w:val="24"/>
              </w:rPr>
            </w:pPr>
            <w:r>
              <w:rPr>
                <w:rFonts w:eastAsia="Calibri"/>
                <w:szCs w:val="24"/>
              </w:rPr>
              <w:t>(</w:t>
            </w:r>
            <w:r>
              <w:rPr>
                <w:rFonts w:eastAsia="Calibri"/>
                <w:i/>
                <w:szCs w:val="24"/>
              </w:rPr>
              <w:t xml:space="preserve">pagal 2020 m. birželio 18 d. Europos Parlamento ir Tarybos reglamentą </w:t>
            </w:r>
            <w:r>
              <w:rPr>
                <w:rFonts w:eastAsia="Calibri"/>
                <w:i/>
                <w:color w:val="0563C1"/>
                <w:szCs w:val="24"/>
                <w:u w:val="single"/>
              </w:rPr>
              <w:t>(ES) Nr. 2020/852</w:t>
            </w:r>
            <w:r>
              <w:rPr>
                <w:rFonts w:eastAsia="Calibri"/>
                <w:i/>
                <w:szCs w:val="24"/>
              </w:rPr>
              <w:t xml:space="preserve"> dėl sistemos tvariam investavimui palengvinti sukūrimo, kuriuo iš dalies keičiamas Reglamentas </w:t>
            </w:r>
            <w:r>
              <w:rPr>
                <w:rFonts w:eastAsia="Calibri"/>
                <w:i/>
                <w:color w:val="0563C1"/>
                <w:szCs w:val="24"/>
                <w:u w:val="single"/>
              </w:rPr>
              <w:t>(ES) Nr. 2019/2088</w:t>
            </w:r>
            <w:r>
              <w:rPr>
                <w:rFonts w:eastAsia="Calibri"/>
                <w:i/>
                <w:szCs w:val="24"/>
              </w:rPr>
              <w:t>)</w:t>
            </w:r>
          </w:p>
        </w:tc>
        <w:tc>
          <w:tcPr>
            <w:tcW w:w="4633" w:type="dxa"/>
          </w:tcPr>
          <w:p w14:paraId="15907147" w14:textId="77777777" w:rsidR="00610766" w:rsidRDefault="00252EB3">
            <w:pPr>
              <w:jc w:val="center"/>
              <w:rPr>
                <w:rFonts w:eastAsia="Calibri"/>
                <w:b/>
                <w:szCs w:val="24"/>
              </w:rPr>
            </w:pPr>
            <w:r>
              <w:rPr>
                <w:rFonts w:eastAsia="Calibri"/>
                <w:b/>
                <w:szCs w:val="24"/>
              </w:rPr>
              <w:t>Pagrindimas</w:t>
            </w:r>
          </w:p>
          <w:p w14:paraId="6156756D" w14:textId="77777777" w:rsidR="00610766" w:rsidRDefault="00252EB3">
            <w:pPr>
              <w:jc w:val="both"/>
              <w:rPr>
                <w:rFonts w:eastAsia="Calibri"/>
                <w:b/>
                <w:szCs w:val="24"/>
              </w:rPr>
            </w:pPr>
            <w:r>
              <w:rPr>
                <w:rFonts w:eastAsia="Calibri"/>
                <w:bCs/>
                <w:i/>
                <w:szCs w:val="24"/>
              </w:rPr>
              <w:t>(remiantis priemonių (kai finansavimo šaltinis EGADP) arba veiksmų (veiklų) (kai finansavimo šaltinis ESIFP) vertinimo klausimynais)</w:t>
            </w:r>
          </w:p>
        </w:tc>
        <w:tc>
          <w:tcPr>
            <w:tcW w:w="5331" w:type="dxa"/>
          </w:tcPr>
          <w:p w14:paraId="4CE3BF1F" w14:textId="77777777" w:rsidR="00610766" w:rsidRDefault="00252EB3">
            <w:pPr>
              <w:jc w:val="center"/>
              <w:rPr>
                <w:rFonts w:eastAsia="Calibri"/>
                <w:i/>
                <w:sz w:val="20"/>
              </w:rPr>
            </w:pPr>
            <w:r>
              <w:rPr>
                <w:rFonts w:eastAsia="Calibri"/>
                <w:b/>
                <w:szCs w:val="24"/>
              </w:rPr>
              <w:t>Pagrindimo dokumentai</w:t>
            </w:r>
          </w:p>
          <w:p w14:paraId="5827F103" w14:textId="77777777" w:rsidR="00610766" w:rsidRDefault="00252EB3">
            <w:pPr>
              <w:jc w:val="both"/>
              <w:rPr>
                <w:rFonts w:eastAsia="Calibri"/>
                <w:i/>
                <w:szCs w:val="24"/>
              </w:rPr>
            </w:pPr>
            <w:r>
              <w:rPr>
                <w:rFonts w:eastAsia="Calibri"/>
                <w:i/>
                <w:szCs w:val="24"/>
              </w:rPr>
              <w:t>(nurodomas dokumentas, kuris bus vertinamas siekiant įvertinti projekto atitiktį aplinkos tikslams, arba pateikiama šią atitiktį pagrindžianti informacija)</w:t>
            </w:r>
          </w:p>
        </w:tc>
      </w:tr>
      <w:tr w:rsidR="00610766" w14:paraId="308ADC0F" w14:textId="77777777">
        <w:tc>
          <w:tcPr>
            <w:tcW w:w="4885" w:type="dxa"/>
          </w:tcPr>
          <w:p w14:paraId="6B349587" w14:textId="77777777" w:rsidR="00610766" w:rsidRDefault="00252EB3">
            <w:pPr>
              <w:tabs>
                <w:tab w:val="left" w:pos="289"/>
              </w:tabs>
              <w:ind w:firstLine="5"/>
              <w:jc w:val="both"/>
              <w:rPr>
                <w:rFonts w:eastAsia="Calibri"/>
                <w:szCs w:val="24"/>
              </w:rPr>
            </w:pPr>
            <w:r>
              <w:rPr>
                <w:rFonts w:eastAsia="Calibri"/>
                <w:szCs w:val="24"/>
              </w:rPr>
              <w:t>1.</w:t>
            </w:r>
            <w:r>
              <w:rPr>
                <w:rFonts w:eastAsia="Calibri"/>
                <w:szCs w:val="24"/>
              </w:rPr>
              <w:tab/>
              <w:t>Klimato kaitos švelninimas</w:t>
            </w:r>
          </w:p>
        </w:tc>
        <w:tc>
          <w:tcPr>
            <w:tcW w:w="4633" w:type="dxa"/>
          </w:tcPr>
          <w:p w14:paraId="5B594E75" w14:textId="77777777" w:rsidR="00610766" w:rsidRDefault="00252EB3">
            <w:pPr>
              <w:spacing w:line="259" w:lineRule="auto"/>
              <w:jc w:val="both"/>
              <w:rPr>
                <w:rFonts w:eastAsia="Calibri"/>
                <w:bCs/>
                <w:i/>
                <w:szCs w:val="22"/>
              </w:rPr>
            </w:pPr>
            <w:r>
              <w:rPr>
                <w:rFonts w:eastAsia="Calibri"/>
                <w:bCs/>
                <w:sz w:val="22"/>
                <w:szCs w:val="22"/>
              </w:rPr>
              <w:t xml:space="preserve">Planuojama įgyvendinti veikla neturi jokio numatomo poveikio šiam aplinkos tikslui arba numatomas jos poveikis yra nereikšmingas, t. y. nedaro tiesioginio ir pirminio netiesioginio poveikio per visą gyvavimo ciklą, todėl laikoma, kad jos atitinka klimato kaitos švelninimo tikslą, </w:t>
            </w:r>
            <w:r>
              <w:rPr>
                <w:rFonts w:eastAsia="Calibri"/>
                <w:bCs/>
                <w:i/>
                <w:sz w:val="22"/>
                <w:szCs w:val="22"/>
              </w:rPr>
              <w:t xml:space="preserve">nes: </w:t>
            </w:r>
          </w:p>
          <w:p w14:paraId="0C23C66F" w14:textId="77777777" w:rsidR="00610766" w:rsidRDefault="00610766">
            <w:pPr>
              <w:rPr>
                <w:sz w:val="14"/>
                <w:szCs w:val="14"/>
              </w:rPr>
            </w:pPr>
          </w:p>
          <w:p w14:paraId="53804154" w14:textId="3F8AEF37" w:rsidR="00610766" w:rsidRDefault="00252EB3">
            <w:pPr>
              <w:jc w:val="both"/>
              <w:rPr>
                <w:rFonts w:eastAsia="Calibri"/>
                <w:bCs/>
                <w:i/>
                <w:sz w:val="20"/>
              </w:rPr>
            </w:pPr>
            <w:r>
              <w:rPr>
                <w:rFonts w:eastAsia="Calibri"/>
                <w:bCs/>
                <w:szCs w:val="22"/>
              </w:rPr>
              <w:t>-</w:t>
            </w:r>
            <w:r>
              <w:rPr>
                <w:rFonts w:eastAsia="Calibri"/>
                <w:bCs/>
                <w:szCs w:val="22"/>
              </w:rPr>
              <w:tab/>
            </w:r>
            <w:r>
              <w:rPr>
                <w:rFonts w:eastAsia="Calibri"/>
                <w:bCs/>
                <w:sz w:val="22"/>
                <w:szCs w:val="22"/>
              </w:rPr>
              <w:t>planuojama įsigyti įranga privalės atitikti (tai bus numatoma atitinkamuose įrangos įsigijimo dokumentuose) efektyvumo, tvarumo, ilgaamžiškumo reikalavimus pagal Direktyvą 2009/125/EC ir Direktyvą 2011/65/EU (taikoma, jeigu, vykdant veiklas, yra numatoma įsigyti IT ir kt. įrangą).</w:t>
            </w:r>
          </w:p>
        </w:tc>
        <w:tc>
          <w:tcPr>
            <w:tcW w:w="5331" w:type="dxa"/>
          </w:tcPr>
          <w:p w14:paraId="7A570569" w14:textId="77777777" w:rsidR="00610766" w:rsidRDefault="00252EB3">
            <w:pPr>
              <w:tabs>
                <w:tab w:val="left" w:pos="589"/>
              </w:tabs>
              <w:spacing w:line="259" w:lineRule="auto"/>
              <w:jc w:val="both"/>
              <w:rPr>
                <w:rFonts w:eastAsia="Calibri"/>
                <w:szCs w:val="22"/>
              </w:rPr>
            </w:pPr>
            <w:r>
              <w:rPr>
                <w:rFonts w:eastAsia="Calibri"/>
                <w:sz w:val="22"/>
                <w:szCs w:val="22"/>
              </w:rPr>
              <w:t>Pirkimų dokumentacija, sutartis su rangovu, darbų atlikimo aktas ir pan.</w:t>
            </w:r>
          </w:p>
          <w:p w14:paraId="77777B70" w14:textId="77777777" w:rsidR="00610766" w:rsidRDefault="00610766">
            <w:pPr>
              <w:rPr>
                <w:sz w:val="14"/>
                <w:szCs w:val="14"/>
              </w:rPr>
            </w:pPr>
          </w:p>
          <w:p w14:paraId="3DC75FEA" w14:textId="77777777" w:rsidR="00610766" w:rsidRDefault="00252EB3">
            <w:pPr>
              <w:tabs>
                <w:tab w:val="left" w:pos="589"/>
              </w:tabs>
              <w:jc w:val="both"/>
              <w:rPr>
                <w:rFonts w:eastAsia="Calibri"/>
                <w:szCs w:val="22"/>
              </w:rPr>
            </w:pPr>
            <w:r>
              <w:rPr>
                <w:rFonts w:eastAsia="Calibri"/>
                <w:sz w:val="22"/>
                <w:szCs w:val="22"/>
              </w:rPr>
              <w:t>Įrangos įsigijimo dokumentai.</w:t>
            </w:r>
          </w:p>
          <w:p w14:paraId="24B760F6" w14:textId="77777777" w:rsidR="00610766" w:rsidRDefault="00252EB3">
            <w:pPr>
              <w:tabs>
                <w:tab w:val="left" w:pos="589"/>
              </w:tabs>
              <w:jc w:val="both"/>
              <w:rPr>
                <w:rFonts w:eastAsia="Calibri"/>
                <w:szCs w:val="22"/>
              </w:rPr>
            </w:pPr>
            <w:r>
              <w:rPr>
                <w:rFonts w:eastAsia="Calibri"/>
                <w:sz w:val="22"/>
                <w:szCs w:val="22"/>
              </w:rPr>
              <w:t>Projekto vykdytojo deklaracija.</w:t>
            </w:r>
          </w:p>
          <w:p w14:paraId="2A0F85C0" w14:textId="77777777" w:rsidR="00610766" w:rsidRDefault="00610766">
            <w:pPr>
              <w:tabs>
                <w:tab w:val="left" w:pos="589"/>
              </w:tabs>
              <w:jc w:val="both"/>
              <w:rPr>
                <w:rFonts w:eastAsia="Calibri"/>
                <w:i/>
                <w:sz w:val="20"/>
              </w:rPr>
            </w:pPr>
          </w:p>
        </w:tc>
      </w:tr>
      <w:tr w:rsidR="00610766" w14:paraId="3FA96074" w14:textId="77777777">
        <w:tc>
          <w:tcPr>
            <w:tcW w:w="4885" w:type="dxa"/>
          </w:tcPr>
          <w:p w14:paraId="5A2905F6" w14:textId="77777777" w:rsidR="00610766" w:rsidRDefault="00252EB3">
            <w:pPr>
              <w:tabs>
                <w:tab w:val="left" w:pos="289"/>
              </w:tabs>
              <w:ind w:firstLine="5"/>
              <w:jc w:val="both"/>
              <w:rPr>
                <w:rFonts w:eastAsia="Calibri"/>
                <w:szCs w:val="24"/>
              </w:rPr>
            </w:pPr>
            <w:r>
              <w:rPr>
                <w:rFonts w:eastAsia="Calibri"/>
                <w:szCs w:val="24"/>
              </w:rPr>
              <w:t>2.</w:t>
            </w:r>
            <w:r>
              <w:rPr>
                <w:rFonts w:eastAsia="Calibri"/>
                <w:szCs w:val="24"/>
              </w:rPr>
              <w:tab/>
              <w:t>Prisitaikymas prie klimato kaitos</w:t>
            </w:r>
          </w:p>
        </w:tc>
        <w:tc>
          <w:tcPr>
            <w:tcW w:w="4633" w:type="dxa"/>
          </w:tcPr>
          <w:p w14:paraId="72D69863" w14:textId="77777777" w:rsidR="00610766" w:rsidRDefault="00252EB3">
            <w:pPr>
              <w:jc w:val="both"/>
              <w:rPr>
                <w:rFonts w:eastAsia="Calibri"/>
                <w:bCs/>
                <w:szCs w:val="24"/>
              </w:rPr>
            </w:pPr>
            <w:r>
              <w:rPr>
                <w:rFonts w:eastAsia="Calibri"/>
                <w:bCs/>
                <w:sz w:val="22"/>
                <w:szCs w:val="22"/>
              </w:rPr>
              <w:t>Nenumatoma, kad planuojamos įgyvendinti veiklos turės neigiamos įtakos prisitaikymui prie klimato kaitos, kadangi bus tik minimalios  investicijos į esamos infrastruktūros tobulinimą. Bus skatinama naudoti žaliąją infrastruktūrą –augmeniją ir kitus pastatų dizaino / apželdinimo sprendinius, kurie sumažintų energijos (</w:t>
            </w:r>
            <w:proofErr w:type="spellStart"/>
            <w:r>
              <w:rPr>
                <w:rFonts w:eastAsia="Calibri"/>
                <w:bCs/>
                <w:sz w:val="22"/>
                <w:szCs w:val="22"/>
              </w:rPr>
              <w:t>kondesavimo</w:t>
            </w:r>
            <w:proofErr w:type="spellEnd"/>
            <w:r>
              <w:rPr>
                <w:rFonts w:eastAsia="Calibri"/>
                <w:bCs/>
                <w:sz w:val="22"/>
                <w:szCs w:val="22"/>
              </w:rPr>
              <w:t>) poreikius ir kt.</w:t>
            </w:r>
          </w:p>
        </w:tc>
        <w:tc>
          <w:tcPr>
            <w:tcW w:w="5331" w:type="dxa"/>
          </w:tcPr>
          <w:p w14:paraId="2DA10EFE" w14:textId="77777777" w:rsidR="00610766" w:rsidRDefault="00252EB3">
            <w:pPr>
              <w:tabs>
                <w:tab w:val="left" w:pos="31"/>
              </w:tabs>
              <w:jc w:val="both"/>
              <w:rPr>
                <w:rFonts w:eastAsia="Calibri"/>
                <w:szCs w:val="22"/>
              </w:rPr>
            </w:pPr>
            <w:r>
              <w:rPr>
                <w:rFonts w:eastAsia="Calibri"/>
                <w:sz w:val="22"/>
                <w:szCs w:val="22"/>
              </w:rPr>
              <w:t>Pirkimų dokumentacija, sutartis su rangovu, darbų atlikimo aktas ir pan.</w:t>
            </w:r>
          </w:p>
          <w:p w14:paraId="16C8F806" w14:textId="77777777" w:rsidR="00610766" w:rsidRDefault="00252EB3">
            <w:pPr>
              <w:jc w:val="both"/>
              <w:rPr>
                <w:rFonts w:eastAsia="Calibri"/>
                <w:szCs w:val="22"/>
              </w:rPr>
            </w:pPr>
            <w:r>
              <w:rPr>
                <w:rFonts w:eastAsia="Calibri"/>
                <w:sz w:val="22"/>
                <w:szCs w:val="22"/>
              </w:rPr>
              <w:t>Įrangos įsigijimo dokumentai.</w:t>
            </w:r>
          </w:p>
          <w:p w14:paraId="36DFB82D" w14:textId="77777777" w:rsidR="00610766" w:rsidRDefault="00252EB3">
            <w:pPr>
              <w:jc w:val="both"/>
              <w:rPr>
                <w:rFonts w:eastAsia="Calibri"/>
                <w:bCs/>
                <w:sz w:val="22"/>
                <w:szCs w:val="22"/>
              </w:rPr>
            </w:pPr>
            <w:r>
              <w:rPr>
                <w:rFonts w:eastAsia="Calibri"/>
                <w:bCs/>
                <w:sz w:val="22"/>
                <w:szCs w:val="22"/>
              </w:rPr>
              <w:t>Projekto vykdytojo deklaracija.</w:t>
            </w:r>
          </w:p>
        </w:tc>
      </w:tr>
      <w:tr w:rsidR="00610766" w14:paraId="20733C72" w14:textId="77777777">
        <w:tc>
          <w:tcPr>
            <w:tcW w:w="4885" w:type="dxa"/>
          </w:tcPr>
          <w:p w14:paraId="5FE60E44" w14:textId="77777777" w:rsidR="00610766" w:rsidRDefault="00252EB3">
            <w:pPr>
              <w:tabs>
                <w:tab w:val="left" w:pos="289"/>
              </w:tabs>
              <w:ind w:firstLine="5"/>
              <w:jc w:val="both"/>
              <w:rPr>
                <w:rFonts w:eastAsia="Calibri"/>
                <w:szCs w:val="24"/>
              </w:rPr>
            </w:pPr>
            <w:r>
              <w:rPr>
                <w:rFonts w:eastAsia="Calibri"/>
                <w:szCs w:val="24"/>
              </w:rPr>
              <w:t>3.</w:t>
            </w:r>
            <w:r>
              <w:rPr>
                <w:rFonts w:eastAsia="Calibri"/>
                <w:szCs w:val="24"/>
              </w:rPr>
              <w:tab/>
              <w:t>Tausus vandens ir jūrų išteklių naudojimas ir apsauga</w:t>
            </w:r>
          </w:p>
        </w:tc>
        <w:tc>
          <w:tcPr>
            <w:tcW w:w="4633" w:type="dxa"/>
          </w:tcPr>
          <w:p w14:paraId="17BE3586" w14:textId="77777777" w:rsidR="00610766" w:rsidRDefault="00252EB3">
            <w:pPr>
              <w:jc w:val="both"/>
              <w:rPr>
                <w:rFonts w:eastAsia="Calibri"/>
                <w:b/>
                <w:szCs w:val="24"/>
              </w:rPr>
            </w:pPr>
            <w:r>
              <w:rPr>
                <w:rFonts w:eastAsia="Calibri"/>
                <w:sz w:val="22"/>
                <w:szCs w:val="22"/>
              </w:rPr>
              <w:t>Planuojamos įgyvendinti veiklos neturi jokio numatomo poveikio šiam aplinkos tikslui arba numatomas jos poveikis yra nereikšmingas, t. y. nedaro tiesioginio ir pirminio netiesioginio poveikio per visą gyvavimo ciklą, todėl laikoma, kad reformos atitinka Tausaus vandens ir jūrų išteklių naudojimo ir apsaugos tikslą. Nenumatoma infrastruktūrą kurti šalia vandens telkinių, tai galėtų turėti įtakos tausiam vandens ir jūrų išteklių naudojimui.</w:t>
            </w:r>
          </w:p>
        </w:tc>
        <w:tc>
          <w:tcPr>
            <w:tcW w:w="5331" w:type="dxa"/>
          </w:tcPr>
          <w:p w14:paraId="771821F4" w14:textId="77777777" w:rsidR="00610766" w:rsidRDefault="00252EB3">
            <w:pPr>
              <w:jc w:val="both"/>
              <w:rPr>
                <w:rFonts w:eastAsia="Calibri"/>
                <w:bCs/>
                <w:szCs w:val="22"/>
              </w:rPr>
            </w:pPr>
            <w:r>
              <w:rPr>
                <w:rFonts w:eastAsia="Calibri"/>
                <w:bCs/>
                <w:sz w:val="22"/>
                <w:szCs w:val="22"/>
              </w:rPr>
              <w:t>Pirkimų dokumentacija, sutartis su rangovu, darbų atlikimo aktas ir pan.</w:t>
            </w:r>
          </w:p>
          <w:p w14:paraId="73DB8A65" w14:textId="77777777" w:rsidR="00610766" w:rsidRDefault="00252EB3">
            <w:pPr>
              <w:jc w:val="both"/>
              <w:rPr>
                <w:rFonts w:eastAsia="Calibri"/>
                <w:bCs/>
                <w:szCs w:val="22"/>
              </w:rPr>
            </w:pPr>
            <w:r>
              <w:rPr>
                <w:rFonts w:eastAsia="Calibri"/>
                <w:bCs/>
                <w:sz w:val="22"/>
                <w:szCs w:val="22"/>
              </w:rPr>
              <w:t>Įrangos įsigijimo dokumentai.</w:t>
            </w:r>
          </w:p>
          <w:p w14:paraId="48592F2A" w14:textId="77777777" w:rsidR="00610766" w:rsidRDefault="00252EB3">
            <w:pPr>
              <w:jc w:val="both"/>
              <w:rPr>
                <w:rFonts w:eastAsia="Calibri"/>
                <w:bCs/>
                <w:sz w:val="22"/>
                <w:szCs w:val="22"/>
              </w:rPr>
            </w:pPr>
            <w:r>
              <w:rPr>
                <w:rFonts w:eastAsia="Calibri"/>
                <w:bCs/>
                <w:sz w:val="22"/>
                <w:szCs w:val="22"/>
              </w:rPr>
              <w:t>Projekto vykdytojo deklaracija.</w:t>
            </w:r>
          </w:p>
        </w:tc>
      </w:tr>
      <w:tr w:rsidR="00610766" w14:paraId="52F54942" w14:textId="77777777">
        <w:tc>
          <w:tcPr>
            <w:tcW w:w="4885" w:type="dxa"/>
          </w:tcPr>
          <w:p w14:paraId="7FE2A140" w14:textId="77777777" w:rsidR="00610766" w:rsidRDefault="00252EB3">
            <w:pPr>
              <w:tabs>
                <w:tab w:val="left" w:pos="289"/>
              </w:tabs>
              <w:ind w:firstLine="5"/>
              <w:jc w:val="both"/>
              <w:rPr>
                <w:rFonts w:eastAsia="Calibri"/>
                <w:szCs w:val="24"/>
              </w:rPr>
            </w:pPr>
            <w:r>
              <w:rPr>
                <w:rFonts w:eastAsia="Calibri"/>
                <w:szCs w:val="24"/>
              </w:rPr>
              <w:lastRenderedPageBreak/>
              <w:t>4.</w:t>
            </w:r>
            <w:r>
              <w:rPr>
                <w:rFonts w:eastAsia="Calibri"/>
                <w:szCs w:val="24"/>
              </w:rPr>
              <w:tab/>
              <w:t>Perėjimas prie žiedinės ekonomikos, įskaitant atliekų prevenciją ir perdirbimą</w:t>
            </w:r>
          </w:p>
        </w:tc>
        <w:tc>
          <w:tcPr>
            <w:tcW w:w="4633" w:type="dxa"/>
          </w:tcPr>
          <w:p w14:paraId="34510B2A" w14:textId="77777777" w:rsidR="00610766" w:rsidRDefault="00252EB3">
            <w:pPr>
              <w:spacing w:line="259" w:lineRule="auto"/>
              <w:jc w:val="both"/>
              <w:rPr>
                <w:rFonts w:eastAsia="Calibri"/>
                <w:bCs/>
                <w:szCs w:val="22"/>
              </w:rPr>
            </w:pPr>
            <w:r>
              <w:rPr>
                <w:rFonts w:eastAsia="Calibri"/>
                <w:bCs/>
                <w:sz w:val="22"/>
                <w:szCs w:val="22"/>
              </w:rPr>
              <w:t xml:space="preserve">Planuojamos įgyvendinti veiklos neturi jokio numatomo poveikio šiam aplinkos tikslui arba numatomas jos poveikis yra nereikšmingas, t. y. nedaro tiesioginio ir pirminio netiesioginio poveikio per visą gyvavimo ciklą, todėl laikoma, kad jos atitinka žiedinės ekonomikos, įskaitant atliekų prevenciją ir perdirbimą, tikslą. Bus užtikrinamas efektyvus atliekų susirinkimas, skatinamas atskirų dalių pakartotinis naudojimas bei statytojams numatyti reikalavimai riboti atliekų susidarymą modernizavimo metu, taikyti naujausius metodus, pakartotinį medžiagų naudojimą ar perdirbimą, naudojantis pažangiomis statybinių atliekų rūšiavimo sistemomis. </w:t>
            </w:r>
          </w:p>
          <w:p w14:paraId="242607ED" w14:textId="77777777" w:rsidR="00610766" w:rsidRDefault="00610766">
            <w:pPr>
              <w:rPr>
                <w:sz w:val="14"/>
                <w:szCs w:val="14"/>
              </w:rPr>
            </w:pPr>
          </w:p>
          <w:p w14:paraId="620AD561" w14:textId="77777777" w:rsidR="00610766" w:rsidRDefault="00252EB3">
            <w:pPr>
              <w:spacing w:line="259" w:lineRule="auto"/>
              <w:jc w:val="both"/>
              <w:rPr>
                <w:rFonts w:eastAsia="Calibri"/>
                <w:bCs/>
                <w:szCs w:val="22"/>
              </w:rPr>
            </w:pPr>
            <w:r>
              <w:rPr>
                <w:rFonts w:eastAsia="Calibri"/>
                <w:bCs/>
                <w:sz w:val="22"/>
                <w:szCs w:val="22"/>
              </w:rPr>
              <w:t>Planuojama įsigyti  įranga privalės atitikti (tai bus numatoma atitinkamuose  įrangos įsigijimo dokumentuose) efektyvumo, tvarumo, ilgaamžiškumo reikalavimus pagal Direktyvą 2009/125/EC (serveriams ir duomenims saugoti, kompiuteriams ir kompiuterių serveriams ar elektroniniams ekranams) ir Direktyvą 2011/65/EU.</w:t>
            </w:r>
          </w:p>
          <w:p w14:paraId="54A8D29D" w14:textId="77777777" w:rsidR="00610766" w:rsidRDefault="00610766">
            <w:pPr>
              <w:rPr>
                <w:sz w:val="14"/>
                <w:szCs w:val="14"/>
              </w:rPr>
            </w:pPr>
          </w:p>
          <w:p w14:paraId="6BA4ABD9" w14:textId="77777777" w:rsidR="00610766" w:rsidRDefault="00252EB3">
            <w:pPr>
              <w:jc w:val="both"/>
              <w:rPr>
                <w:rFonts w:eastAsia="Calibri"/>
                <w:bCs/>
                <w:szCs w:val="24"/>
              </w:rPr>
            </w:pPr>
            <w:r>
              <w:rPr>
                <w:rFonts w:eastAsia="Calibri"/>
                <w:bCs/>
                <w:sz w:val="22"/>
                <w:szCs w:val="22"/>
              </w:rPr>
              <w:t>Pasibaigus įsigytos įrangos naudingo tarnavimo laikui, įrangos tiekėjai (pardavėjai) privalės (tai bus numatoma atitinkamuose įrangos įsigijimo dokumentuose) įrangos atliekas sutvarkyti vadovaudamiesi Direktyvos 2012/19/EU reikalavimais ir Lietuvos Respublikos teisės aktais, reglamentuojančiais atliekų tvarkymą bei Valstybinio atliekų prevencijos ir tvarkymo plano nuostatomis.</w:t>
            </w:r>
          </w:p>
        </w:tc>
        <w:tc>
          <w:tcPr>
            <w:tcW w:w="5331" w:type="dxa"/>
          </w:tcPr>
          <w:p w14:paraId="2761835E" w14:textId="77777777" w:rsidR="00610766" w:rsidRDefault="00252EB3">
            <w:pPr>
              <w:jc w:val="both"/>
              <w:rPr>
                <w:rFonts w:eastAsia="Calibri"/>
                <w:szCs w:val="22"/>
              </w:rPr>
            </w:pPr>
            <w:r>
              <w:rPr>
                <w:rFonts w:eastAsia="Calibri"/>
                <w:sz w:val="22"/>
                <w:szCs w:val="22"/>
              </w:rPr>
              <w:t>Pirkimų dokumentacija, sutartis su rangovu, darbų atlikimo aktas ir pan.</w:t>
            </w:r>
          </w:p>
          <w:p w14:paraId="62F97767" w14:textId="77777777" w:rsidR="00610766" w:rsidRDefault="00252EB3">
            <w:pPr>
              <w:jc w:val="both"/>
              <w:rPr>
                <w:rFonts w:eastAsia="Calibri"/>
                <w:szCs w:val="22"/>
              </w:rPr>
            </w:pPr>
            <w:r>
              <w:rPr>
                <w:rFonts w:eastAsia="Calibri"/>
                <w:sz w:val="22"/>
                <w:szCs w:val="22"/>
              </w:rPr>
              <w:t>IT Įrangos įsigijimo dokumentai.</w:t>
            </w:r>
          </w:p>
          <w:p w14:paraId="1766847C" w14:textId="77777777" w:rsidR="00610766" w:rsidRDefault="00252EB3">
            <w:pPr>
              <w:jc w:val="both"/>
              <w:rPr>
                <w:rFonts w:eastAsia="Calibri"/>
                <w:sz w:val="22"/>
                <w:szCs w:val="22"/>
              </w:rPr>
            </w:pPr>
            <w:r>
              <w:rPr>
                <w:rFonts w:eastAsia="Calibri"/>
                <w:sz w:val="22"/>
                <w:szCs w:val="22"/>
              </w:rPr>
              <w:t>Projekto vykdytojo deklaracija.</w:t>
            </w:r>
          </w:p>
        </w:tc>
      </w:tr>
      <w:tr w:rsidR="00610766" w14:paraId="0881FCA7" w14:textId="77777777">
        <w:tc>
          <w:tcPr>
            <w:tcW w:w="4885" w:type="dxa"/>
          </w:tcPr>
          <w:p w14:paraId="27085C5E" w14:textId="77777777" w:rsidR="00610766" w:rsidRDefault="00252EB3">
            <w:pPr>
              <w:tabs>
                <w:tab w:val="left" w:pos="289"/>
              </w:tabs>
              <w:ind w:firstLine="5"/>
              <w:jc w:val="both"/>
              <w:rPr>
                <w:rFonts w:eastAsia="Calibri"/>
                <w:szCs w:val="24"/>
              </w:rPr>
            </w:pPr>
            <w:r>
              <w:rPr>
                <w:rFonts w:eastAsia="Calibri"/>
                <w:szCs w:val="24"/>
              </w:rPr>
              <w:t>5.</w:t>
            </w:r>
            <w:r>
              <w:rPr>
                <w:rFonts w:eastAsia="Calibri"/>
                <w:szCs w:val="24"/>
              </w:rPr>
              <w:tab/>
            </w:r>
            <w:r>
              <w:rPr>
                <w:rFonts w:eastAsia="Calibri"/>
                <w:bCs/>
                <w:szCs w:val="24"/>
              </w:rPr>
              <w:t>Oro, vandens ar žemės taršos prevencija ir kontrolė</w:t>
            </w:r>
          </w:p>
        </w:tc>
        <w:tc>
          <w:tcPr>
            <w:tcW w:w="4633" w:type="dxa"/>
          </w:tcPr>
          <w:p w14:paraId="06CC5180" w14:textId="77777777" w:rsidR="00610766" w:rsidRDefault="00252EB3">
            <w:pPr>
              <w:spacing w:line="259" w:lineRule="auto"/>
              <w:jc w:val="both"/>
              <w:rPr>
                <w:rFonts w:eastAsia="Calibri"/>
                <w:szCs w:val="22"/>
              </w:rPr>
            </w:pPr>
            <w:r>
              <w:rPr>
                <w:rFonts w:eastAsia="Calibri"/>
                <w:sz w:val="22"/>
                <w:szCs w:val="22"/>
              </w:rPr>
              <w:t>Planuojamos įgyvendinti veiklos neturi jokio numatomo poveikio šiam aplinkos tikslui arba numatomas jos poveikis yra nereikšmingas, t. y. nedaro tiesioginio ir pirminio netiesioginio poveikio per visą gyvavimo ciklą, todėl laikoma, kad reformos atitinka oro, vandens ar žemės taršos prevencijos ir kontrolės tikslą.</w:t>
            </w:r>
          </w:p>
          <w:p w14:paraId="675F5CAF" w14:textId="77777777" w:rsidR="00610766" w:rsidRDefault="00610766">
            <w:pPr>
              <w:rPr>
                <w:sz w:val="14"/>
                <w:szCs w:val="14"/>
              </w:rPr>
            </w:pPr>
          </w:p>
          <w:p w14:paraId="5073A6D3" w14:textId="77777777" w:rsidR="00610766" w:rsidRDefault="00610766">
            <w:pPr>
              <w:rPr>
                <w:sz w:val="14"/>
                <w:szCs w:val="14"/>
              </w:rPr>
            </w:pPr>
          </w:p>
          <w:p w14:paraId="7FD3D327" w14:textId="77777777" w:rsidR="00610766" w:rsidRDefault="00252EB3">
            <w:pPr>
              <w:spacing w:line="259" w:lineRule="auto"/>
              <w:jc w:val="both"/>
              <w:rPr>
                <w:rFonts w:eastAsia="Calibri"/>
                <w:szCs w:val="22"/>
              </w:rPr>
            </w:pPr>
            <w:r>
              <w:rPr>
                <w:rFonts w:eastAsia="Calibri"/>
                <w:sz w:val="22"/>
                <w:szCs w:val="22"/>
              </w:rPr>
              <w:t>Nenumatoma, kad įgyvendinant reformą ar investiciją padidės teršalų išmetimas į orą, vandenį ar žemę, kadangi:</w:t>
            </w:r>
          </w:p>
          <w:p w14:paraId="7C586B96" w14:textId="77777777" w:rsidR="00610766" w:rsidRDefault="00610766">
            <w:pPr>
              <w:rPr>
                <w:sz w:val="14"/>
                <w:szCs w:val="14"/>
              </w:rPr>
            </w:pPr>
          </w:p>
          <w:p w14:paraId="67245366" w14:textId="77777777" w:rsidR="00610766" w:rsidRDefault="00252EB3">
            <w:pPr>
              <w:jc w:val="both"/>
              <w:rPr>
                <w:rFonts w:eastAsia="Calibri"/>
                <w:szCs w:val="22"/>
              </w:rPr>
            </w:pPr>
            <w:r>
              <w:rPr>
                <w:rFonts w:eastAsia="Calibri"/>
                <w:sz w:val="22"/>
                <w:szCs w:val="22"/>
              </w:rPr>
              <w:t xml:space="preserve">* statybose naudojamose statybinėse dalyse ir medžiagose nėra asbesto ir labai didelį susirūpinimą keliančių medžiagų, nustatytų remiantis medžiagų, kurioms reikalingas leidimas, sąrašu, nurodytu Europos Parlamento reglamento </w:t>
            </w:r>
            <w:r>
              <w:rPr>
                <w:rFonts w:eastAsia="Calibri"/>
                <w:color w:val="0563C1"/>
                <w:sz w:val="22"/>
                <w:szCs w:val="22"/>
                <w:u w:val="single"/>
              </w:rPr>
              <w:t>(EB) Nr. 1907/2006</w:t>
            </w:r>
            <w:r>
              <w:rPr>
                <w:rFonts w:eastAsia="Calibri"/>
                <w:sz w:val="22"/>
                <w:szCs w:val="22"/>
              </w:rPr>
              <w:t xml:space="preserve"> XIV priede ir Tarybos;</w:t>
            </w:r>
          </w:p>
          <w:p w14:paraId="77A05E45" w14:textId="77777777" w:rsidR="00610766" w:rsidRDefault="00252EB3">
            <w:pPr>
              <w:jc w:val="both"/>
              <w:rPr>
                <w:rFonts w:eastAsia="Calibri"/>
                <w:szCs w:val="22"/>
              </w:rPr>
            </w:pPr>
            <w:r>
              <w:rPr>
                <w:rFonts w:eastAsia="Calibri"/>
                <w:sz w:val="22"/>
                <w:szCs w:val="22"/>
              </w:rPr>
              <w:t xml:space="preserve">* statyboje naudojami komponentai ir medžiagos, galinčios liestis su gyventojais, išskiria mažiau nei 0,06 mg </w:t>
            </w:r>
            <w:proofErr w:type="spellStart"/>
            <w:r>
              <w:rPr>
                <w:rFonts w:eastAsia="Calibri"/>
                <w:sz w:val="22"/>
                <w:szCs w:val="22"/>
              </w:rPr>
              <w:t>formaldehido</w:t>
            </w:r>
            <w:proofErr w:type="spellEnd"/>
            <w:r>
              <w:rPr>
                <w:rFonts w:eastAsia="Calibri"/>
                <w:sz w:val="22"/>
                <w:szCs w:val="22"/>
              </w:rPr>
              <w:t xml:space="preserve"> 1 m³ medžiagos ar komponento ir mažiau kaip 0,001 mg 1A ir 1B kategorijos kancerogeninių lakiųjų organinių junginių 1 m³ medžiagos arba komponentas, atlikus bandymus pagal CEN / TS 16516 ir ISO </w:t>
            </w:r>
            <w:r>
              <w:rPr>
                <w:rFonts w:eastAsia="Calibri"/>
                <w:sz w:val="22"/>
                <w:szCs w:val="22"/>
              </w:rPr>
              <w:lastRenderedPageBreak/>
              <w:t>16000-3 arba kitas panašias standartizuotas bandymo sąlygas ir nustatymo metodus;</w:t>
            </w:r>
          </w:p>
          <w:p w14:paraId="5E4D84AF" w14:textId="77777777" w:rsidR="00610766" w:rsidRDefault="00252EB3">
            <w:pPr>
              <w:spacing w:line="259" w:lineRule="auto"/>
              <w:jc w:val="both"/>
              <w:rPr>
                <w:rFonts w:eastAsia="Calibri"/>
                <w:szCs w:val="22"/>
              </w:rPr>
            </w:pPr>
            <w:r>
              <w:rPr>
                <w:rFonts w:eastAsia="Calibri"/>
                <w:sz w:val="22"/>
                <w:szCs w:val="22"/>
              </w:rPr>
              <w:t>* imamasi priemonių sumažinti triukšmą, dulkes ir teršalus išmetant statybos ar priežiūros darbus.</w:t>
            </w:r>
          </w:p>
          <w:p w14:paraId="5EE82515" w14:textId="77777777" w:rsidR="00610766" w:rsidRDefault="00610766">
            <w:pPr>
              <w:rPr>
                <w:sz w:val="14"/>
                <w:szCs w:val="14"/>
              </w:rPr>
            </w:pPr>
          </w:p>
          <w:p w14:paraId="0AE38BF8" w14:textId="77777777" w:rsidR="00610766" w:rsidRDefault="00252EB3">
            <w:pPr>
              <w:spacing w:line="259" w:lineRule="auto"/>
              <w:jc w:val="both"/>
              <w:rPr>
                <w:rFonts w:eastAsia="Calibri"/>
                <w:szCs w:val="22"/>
              </w:rPr>
            </w:pPr>
            <w:r>
              <w:rPr>
                <w:rFonts w:eastAsia="Calibri"/>
                <w:sz w:val="22"/>
                <w:szCs w:val="22"/>
              </w:rPr>
              <w:t>Vertinama, kad investicijos atitinka tausaus vandens ir jūrų išteklių naudojimo ir apsaugos tikslą, nes, įgyvendinant veiklas, nenumatoma, kad bus daroma žala vandens ir jūrų ištekliams.</w:t>
            </w:r>
          </w:p>
          <w:p w14:paraId="567D6DCD" w14:textId="77777777" w:rsidR="00610766" w:rsidRDefault="00610766">
            <w:pPr>
              <w:rPr>
                <w:sz w:val="14"/>
                <w:szCs w:val="14"/>
              </w:rPr>
            </w:pPr>
          </w:p>
          <w:p w14:paraId="24EA40F8" w14:textId="77777777" w:rsidR="00610766" w:rsidRDefault="00252EB3">
            <w:pPr>
              <w:jc w:val="center"/>
              <w:rPr>
                <w:rFonts w:eastAsia="Calibri"/>
                <w:b/>
                <w:szCs w:val="24"/>
              </w:rPr>
            </w:pPr>
            <w:r>
              <w:rPr>
                <w:rFonts w:eastAsia="Calibri"/>
                <w:sz w:val="22"/>
                <w:szCs w:val="22"/>
              </w:rPr>
              <w:t>Veikla įgyvendinama vadovaujantis Europos Parlamento ir Tarybos Direktyva (ES) 2018 m. gruodžio 11 d. 2018/2001 dėl skatinimo naudoti atsinaujinančiųjų išteklių energiją, bendrosios išimties reglamento nuostatomis, taip pat nacionaliniais teisės aktais, kuriuose nustatyti reikalavimai užtikrinti tausų išteklių naudojimą ir apsaugą.</w:t>
            </w:r>
          </w:p>
        </w:tc>
        <w:tc>
          <w:tcPr>
            <w:tcW w:w="5331" w:type="dxa"/>
          </w:tcPr>
          <w:p w14:paraId="49CB285C" w14:textId="77777777" w:rsidR="00610766" w:rsidRDefault="00252EB3">
            <w:pPr>
              <w:jc w:val="both"/>
              <w:rPr>
                <w:rFonts w:eastAsia="Calibri"/>
                <w:szCs w:val="22"/>
              </w:rPr>
            </w:pPr>
            <w:r>
              <w:rPr>
                <w:rFonts w:eastAsia="Calibri"/>
                <w:sz w:val="22"/>
                <w:szCs w:val="22"/>
              </w:rPr>
              <w:lastRenderedPageBreak/>
              <w:t>Pirkimų dokumentacija, sutartis su rangovu, darbų atlikimo aktas ir pan.</w:t>
            </w:r>
          </w:p>
          <w:p w14:paraId="11D82917" w14:textId="77777777" w:rsidR="00610766" w:rsidRDefault="00252EB3">
            <w:pPr>
              <w:jc w:val="both"/>
              <w:rPr>
                <w:rFonts w:eastAsia="Calibri"/>
                <w:szCs w:val="22"/>
              </w:rPr>
            </w:pPr>
            <w:r>
              <w:rPr>
                <w:rFonts w:eastAsia="Calibri"/>
                <w:sz w:val="22"/>
                <w:szCs w:val="22"/>
              </w:rPr>
              <w:t>Įrangos įsigijimo dokumentai.</w:t>
            </w:r>
          </w:p>
          <w:p w14:paraId="2CAD1EC3" w14:textId="77777777" w:rsidR="00610766" w:rsidRDefault="00252EB3">
            <w:pPr>
              <w:jc w:val="both"/>
              <w:rPr>
                <w:rFonts w:eastAsia="Calibri"/>
                <w:sz w:val="22"/>
                <w:szCs w:val="22"/>
              </w:rPr>
            </w:pPr>
            <w:r>
              <w:rPr>
                <w:rFonts w:eastAsia="Calibri"/>
                <w:sz w:val="22"/>
                <w:szCs w:val="22"/>
              </w:rPr>
              <w:t>Projekto vykdytojo deklaracija.</w:t>
            </w:r>
          </w:p>
        </w:tc>
      </w:tr>
      <w:tr w:rsidR="00610766" w14:paraId="76DC19E7" w14:textId="77777777">
        <w:tc>
          <w:tcPr>
            <w:tcW w:w="4885" w:type="dxa"/>
          </w:tcPr>
          <w:p w14:paraId="7DC65606" w14:textId="77777777" w:rsidR="00610766" w:rsidRDefault="00252EB3">
            <w:pPr>
              <w:tabs>
                <w:tab w:val="left" w:pos="289"/>
              </w:tabs>
              <w:ind w:left="5" w:firstLine="5"/>
              <w:jc w:val="both"/>
              <w:rPr>
                <w:rFonts w:eastAsia="Calibri"/>
                <w:szCs w:val="24"/>
              </w:rPr>
            </w:pPr>
            <w:r>
              <w:rPr>
                <w:rFonts w:eastAsia="Calibri"/>
                <w:szCs w:val="24"/>
              </w:rPr>
              <w:t>6.</w:t>
            </w:r>
            <w:r>
              <w:rPr>
                <w:rFonts w:eastAsia="Calibri"/>
                <w:szCs w:val="24"/>
              </w:rPr>
              <w:tab/>
              <w:t>Biologinės įvairovės ir ekosistemų apsauga ir atkūrimas</w:t>
            </w:r>
          </w:p>
        </w:tc>
        <w:tc>
          <w:tcPr>
            <w:tcW w:w="4633" w:type="dxa"/>
          </w:tcPr>
          <w:p w14:paraId="3CDF2FB2" w14:textId="77777777" w:rsidR="00610766" w:rsidRDefault="00252EB3">
            <w:pPr>
              <w:spacing w:line="259" w:lineRule="auto"/>
              <w:jc w:val="both"/>
              <w:rPr>
                <w:rFonts w:eastAsia="Calibri"/>
                <w:szCs w:val="22"/>
              </w:rPr>
            </w:pPr>
            <w:r>
              <w:rPr>
                <w:rFonts w:eastAsia="Calibri"/>
                <w:sz w:val="22"/>
                <w:szCs w:val="22"/>
              </w:rPr>
              <w:t>Planuojamos įgyvendinti reformos neturi jokio numatomo poveikio šiam aplinkos tikslui arba numatomas jos poveikis yra nereikšmingas, t. y. nedaro tiesioginio ir pirminio netiesioginio poveikio per visą gyvavimo ciklą, todėl laikoma, kad jos atitinka Biologinės įvairovės ir ekosistemų apsaugos ir atkūrimo tikslą.</w:t>
            </w:r>
          </w:p>
          <w:p w14:paraId="5935A1E5" w14:textId="77777777" w:rsidR="00610766" w:rsidRDefault="00610766">
            <w:pPr>
              <w:rPr>
                <w:sz w:val="14"/>
                <w:szCs w:val="14"/>
              </w:rPr>
            </w:pPr>
          </w:p>
          <w:p w14:paraId="7990AD0C" w14:textId="77777777" w:rsidR="00610766" w:rsidRDefault="00252EB3">
            <w:pPr>
              <w:jc w:val="both"/>
              <w:rPr>
                <w:rFonts w:eastAsia="Calibri"/>
                <w:b/>
                <w:szCs w:val="24"/>
              </w:rPr>
            </w:pPr>
            <w:r>
              <w:rPr>
                <w:rFonts w:eastAsia="Calibri"/>
                <w:sz w:val="22"/>
                <w:szCs w:val="22"/>
              </w:rPr>
              <w:t>Nenumatoma kurti ar renovuoti infrastruktūros saugomose teritorijose ar gyvūnų, augalų buveinių ir rūšių, įskaitant ES saugomų, apsaugos teritorijose.</w:t>
            </w:r>
          </w:p>
        </w:tc>
        <w:tc>
          <w:tcPr>
            <w:tcW w:w="5331" w:type="dxa"/>
          </w:tcPr>
          <w:p w14:paraId="3E4BA3EA" w14:textId="6FDAF4FA" w:rsidR="00610766" w:rsidRDefault="00252EB3">
            <w:pPr>
              <w:jc w:val="both"/>
              <w:rPr>
                <w:rFonts w:eastAsia="Calibri"/>
                <w:szCs w:val="24"/>
              </w:rPr>
            </w:pPr>
            <w:r>
              <w:rPr>
                <w:rFonts w:eastAsia="Calibri"/>
                <w:sz w:val="22"/>
                <w:szCs w:val="22"/>
              </w:rPr>
              <w:t>Projekto vykdytojo deklaracija.</w:t>
            </w:r>
          </w:p>
        </w:tc>
      </w:tr>
    </w:tbl>
    <w:p w14:paraId="02677CD9" w14:textId="77777777" w:rsidR="00610766" w:rsidRDefault="00252EB3">
      <w:pPr>
        <w:spacing w:line="276" w:lineRule="auto"/>
        <w:jc w:val="center"/>
        <w:rPr>
          <w:szCs w:val="24"/>
        </w:rPr>
      </w:pPr>
      <w:r>
        <w:rPr>
          <w:szCs w:val="24"/>
        </w:rPr>
        <w:t>_________________________</w:t>
      </w:r>
    </w:p>
    <w:p w14:paraId="2B553664" w14:textId="77777777" w:rsidR="00610766" w:rsidRDefault="00610766">
      <w:pPr>
        <w:tabs>
          <w:tab w:val="left" w:pos="9380"/>
        </w:tabs>
      </w:pPr>
    </w:p>
    <w:sectPr w:rsidR="00610766">
      <w:headerReference w:type="default" r:id="rId17"/>
      <w:footerReference w:type="default" r:id="rId18"/>
      <w:pgSz w:w="16838" w:h="11906" w:orient="landscape"/>
      <w:pgMar w:top="1418" w:right="567" w:bottom="1134"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634A78" w14:textId="77777777" w:rsidR="006161E7" w:rsidRDefault="006161E7">
      <w:r>
        <w:separator/>
      </w:r>
    </w:p>
  </w:endnote>
  <w:endnote w:type="continuationSeparator" w:id="0">
    <w:p w14:paraId="0AB443F3" w14:textId="77777777" w:rsidR="006161E7" w:rsidRDefault="00616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C87DB" w14:textId="77777777" w:rsidR="00610766" w:rsidRDefault="00610766">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9EBFE" w14:textId="77777777" w:rsidR="00610766" w:rsidRDefault="00610766">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AC887" w14:textId="77777777" w:rsidR="00610766" w:rsidRDefault="00610766">
    <w:pPr>
      <w:tabs>
        <w:tab w:val="center" w:pos="4819"/>
        <w:tab w:val="right" w:pos="9638"/>
      </w:tabs>
      <w:rPr>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50E77" w14:textId="77777777" w:rsidR="00610766" w:rsidRDefault="00610766">
    <w:pPr>
      <w:tabs>
        <w:tab w:val="center" w:pos="4819"/>
        <w:tab w:val="right" w:pos="9638"/>
      </w:tabs>
      <w:jc w:val="center"/>
    </w:pPr>
  </w:p>
  <w:p w14:paraId="30F89E55" w14:textId="77777777" w:rsidR="00610766" w:rsidRDefault="00610766">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622BDB" w14:textId="77777777" w:rsidR="006161E7" w:rsidRDefault="006161E7">
      <w:r>
        <w:separator/>
      </w:r>
    </w:p>
  </w:footnote>
  <w:footnote w:type="continuationSeparator" w:id="0">
    <w:p w14:paraId="04F6DE9D" w14:textId="77777777" w:rsidR="006161E7" w:rsidRDefault="006161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AF0515" w14:textId="77777777" w:rsidR="00610766" w:rsidRDefault="00610766">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9D68B" w14:textId="164AB1AC" w:rsidR="00610766" w:rsidRDefault="00252EB3">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5C0508">
      <w:rPr>
        <w:noProof/>
        <w:szCs w:val="22"/>
      </w:rPr>
      <w:t>10</w:t>
    </w:r>
    <w:r>
      <w:rPr>
        <w:szCs w:val="22"/>
      </w:rPr>
      <w:fldChar w:fldCharType="end"/>
    </w:r>
  </w:p>
  <w:p w14:paraId="7D285567" w14:textId="77777777" w:rsidR="00610766" w:rsidRDefault="00610766">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BCD61" w14:textId="4EF71EE9" w:rsidR="00610766" w:rsidRPr="00C6731F" w:rsidRDefault="00C6731F" w:rsidP="00C6731F">
    <w:pPr>
      <w:tabs>
        <w:tab w:val="center" w:pos="4986"/>
      </w:tabs>
      <w:rPr>
        <w:b/>
        <w:bCs/>
      </w:rPr>
    </w:pPr>
    <w:r>
      <w:tab/>
    </w:r>
    <w:r>
      <w:tab/>
    </w:r>
    <w:r>
      <w:tab/>
    </w:r>
    <w:r>
      <w:tab/>
    </w:r>
    <w:r>
      <w:tab/>
    </w:r>
    <w:r>
      <w:tab/>
    </w:r>
    <w:r>
      <w:tab/>
    </w:r>
    <w:r>
      <w:tab/>
    </w:r>
    <w:r w:rsidRPr="00C6731F">
      <w:rPr>
        <w:b/>
        <w:bCs/>
      </w:rPr>
      <w:t>Projektas</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9CC03" w14:textId="20C91C22" w:rsidR="00610766" w:rsidRDefault="00252EB3">
    <w:pPr>
      <w:tabs>
        <w:tab w:val="center" w:pos="4819"/>
        <w:tab w:val="right" w:pos="9638"/>
      </w:tabs>
      <w:jc w:val="center"/>
    </w:pPr>
    <w:r>
      <w:fldChar w:fldCharType="begin"/>
    </w:r>
    <w:r>
      <w:instrText>PAGE   \* MERGEFORMAT</w:instrText>
    </w:r>
    <w:r>
      <w:fldChar w:fldCharType="separate"/>
    </w:r>
    <w:r w:rsidR="005C0508">
      <w:rPr>
        <w:noProof/>
      </w:rPr>
      <w:t>5</w:t>
    </w:r>
    <w:r>
      <w:fldChar w:fldCharType="end"/>
    </w:r>
  </w:p>
  <w:p w14:paraId="2D246B2E" w14:textId="77777777" w:rsidR="00610766" w:rsidRDefault="00610766">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C1F0C"/>
    <w:multiLevelType w:val="hybridMultilevel"/>
    <w:tmpl w:val="2FC286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C8325FF"/>
    <w:multiLevelType w:val="hybridMultilevel"/>
    <w:tmpl w:val="D3BE98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AA374FB"/>
    <w:multiLevelType w:val="hybridMultilevel"/>
    <w:tmpl w:val="1E309774"/>
    <w:lvl w:ilvl="0" w:tplc="A8B83BD2">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A53"/>
    <w:rsid w:val="00045CA7"/>
    <w:rsid w:val="00073C7D"/>
    <w:rsid w:val="00084976"/>
    <w:rsid w:val="000A0A32"/>
    <w:rsid w:val="000B4F90"/>
    <w:rsid w:val="00136E97"/>
    <w:rsid w:val="00147FC3"/>
    <w:rsid w:val="00156F82"/>
    <w:rsid w:val="0016034D"/>
    <w:rsid w:val="001A3D9B"/>
    <w:rsid w:val="001C4FD9"/>
    <w:rsid w:val="001C6AC6"/>
    <w:rsid w:val="001F16F6"/>
    <w:rsid w:val="00207A53"/>
    <w:rsid w:val="00244873"/>
    <w:rsid w:val="00250492"/>
    <w:rsid w:val="00252EB3"/>
    <w:rsid w:val="002617E8"/>
    <w:rsid w:val="002E672B"/>
    <w:rsid w:val="003604F0"/>
    <w:rsid w:val="003A59B3"/>
    <w:rsid w:val="003A75F8"/>
    <w:rsid w:val="003C2A91"/>
    <w:rsid w:val="003D1327"/>
    <w:rsid w:val="003F103B"/>
    <w:rsid w:val="00403A1C"/>
    <w:rsid w:val="0042586B"/>
    <w:rsid w:val="00475B18"/>
    <w:rsid w:val="00496F11"/>
    <w:rsid w:val="004A4ECE"/>
    <w:rsid w:val="004B238A"/>
    <w:rsid w:val="004E6F7B"/>
    <w:rsid w:val="00543F96"/>
    <w:rsid w:val="00566E72"/>
    <w:rsid w:val="00570F0D"/>
    <w:rsid w:val="00580E64"/>
    <w:rsid w:val="005A53B4"/>
    <w:rsid w:val="005C0508"/>
    <w:rsid w:val="005E110F"/>
    <w:rsid w:val="005E42EE"/>
    <w:rsid w:val="00610766"/>
    <w:rsid w:val="00612C57"/>
    <w:rsid w:val="00614B45"/>
    <w:rsid w:val="006161E7"/>
    <w:rsid w:val="00636BB9"/>
    <w:rsid w:val="006431A2"/>
    <w:rsid w:val="00644A9F"/>
    <w:rsid w:val="00683D3D"/>
    <w:rsid w:val="006A04E0"/>
    <w:rsid w:val="00726D9C"/>
    <w:rsid w:val="00733445"/>
    <w:rsid w:val="00775F50"/>
    <w:rsid w:val="00783CED"/>
    <w:rsid w:val="007B6EA6"/>
    <w:rsid w:val="007D2AE2"/>
    <w:rsid w:val="007E1018"/>
    <w:rsid w:val="007E1AE5"/>
    <w:rsid w:val="00823523"/>
    <w:rsid w:val="00823CA2"/>
    <w:rsid w:val="00875555"/>
    <w:rsid w:val="00962DDC"/>
    <w:rsid w:val="009B0690"/>
    <w:rsid w:val="009D36FF"/>
    <w:rsid w:val="00A25D8A"/>
    <w:rsid w:val="00A83732"/>
    <w:rsid w:val="00A94722"/>
    <w:rsid w:val="00AC17A1"/>
    <w:rsid w:val="00B4782F"/>
    <w:rsid w:val="00B646E7"/>
    <w:rsid w:val="00BA076C"/>
    <w:rsid w:val="00C00E5C"/>
    <w:rsid w:val="00C43307"/>
    <w:rsid w:val="00C54CCF"/>
    <w:rsid w:val="00C6731F"/>
    <w:rsid w:val="00C834B0"/>
    <w:rsid w:val="00C97B2E"/>
    <w:rsid w:val="00D13DDA"/>
    <w:rsid w:val="00D20D9F"/>
    <w:rsid w:val="00D272F9"/>
    <w:rsid w:val="00D46FA4"/>
    <w:rsid w:val="00D71A54"/>
    <w:rsid w:val="00DD2B56"/>
    <w:rsid w:val="00DE7EF8"/>
    <w:rsid w:val="00E21BCE"/>
    <w:rsid w:val="00E2316E"/>
    <w:rsid w:val="00E55EE9"/>
    <w:rsid w:val="00E7126F"/>
    <w:rsid w:val="00E957B0"/>
    <w:rsid w:val="00EA61AE"/>
    <w:rsid w:val="00EB2769"/>
    <w:rsid w:val="00EE708F"/>
    <w:rsid w:val="00F00657"/>
    <w:rsid w:val="00F0555A"/>
    <w:rsid w:val="00F101C7"/>
    <w:rsid w:val="00F10333"/>
    <w:rsid w:val="00FA6505"/>
    <w:rsid w:val="00FC0BA7"/>
    <w:rsid w:val="00FC4C5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B247EA0"/>
  <w15:chartTrackingRefBased/>
  <w15:docId w15:val="{299094A5-D7F3-400C-9AB2-E4F52313B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823523"/>
  </w:style>
  <w:style w:type="character" w:styleId="CommentReference">
    <w:name w:val="annotation reference"/>
    <w:basedOn w:val="DefaultParagraphFont"/>
    <w:semiHidden/>
    <w:unhideWhenUsed/>
    <w:rsid w:val="006A04E0"/>
    <w:rPr>
      <w:sz w:val="16"/>
      <w:szCs w:val="16"/>
    </w:rPr>
  </w:style>
  <w:style w:type="paragraph" w:styleId="CommentText">
    <w:name w:val="annotation text"/>
    <w:basedOn w:val="Normal"/>
    <w:link w:val="CommentTextChar"/>
    <w:unhideWhenUsed/>
    <w:rsid w:val="006A04E0"/>
    <w:rPr>
      <w:sz w:val="20"/>
    </w:rPr>
  </w:style>
  <w:style w:type="character" w:customStyle="1" w:styleId="CommentTextChar">
    <w:name w:val="Comment Text Char"/>
    <w:basedOn w:val="DefaultParagraphFont"/>
    <w:link w:val="CommentText"/>
    <w:rsid w:val="006A04E0"/>
    <w:rPr>
      <w:sz w:val="20"/>
    </w:rPr>
  </w:style>
  <w:style w:type="paragraph" w:styleId="CommentSubject">
    <w:name w:val="annotation subject"/>
    <w:basedOn w:val="CommentText"/>
    <w:next w:val="CommentText"/>
    <w:link w:val="CommentSubjectChar"/>
    <w:semiHidden/>
    <w:unhideWhenUsed/>
    <w:rsid w:val="006A04E0"/>
    <w:rPr>
      <w:b/>
      <w:bCs/>
    </w:rPr>
  </w:style>
  <w:style w:type="character" w:customStyle="1" w:styleId="CommentSubjectChar">
    <w:name w:val="Comment Subject Char"/>
    <w:basedOn w:val="CommentTextChar"/>
    <w:link w:val="CommentSubject"/>
    <w:semiHidden/>
    <w:rsid w:val="006A04E0"/>
    <w:rPr>
      <w:b/>
      <w:bCs/>
      <w:sz w:val="20"/>
    </w:rPr>
  </w:style>
  <w:style w:type="paragraph" w:styleId="ListParagraph">
    <w:name w:val="List Paragraph"/>
    <w:basedOn w:val="Normal"/>
    <w:rsid w:val="00E55E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648098">
      <w:bodyDiv w:val="1"/>
      <w:marLeft w:val="0"/>
      <w:marRight w:val="0"/>
      <w:marTop w:val="0"/>
      <w:marBottom w:val="0"/>
      <w:divBdr>
        <w:top w:val="none" w:sz="0" w:space="0" w:color="auto"/>
        <w:left w:val="none" w:sz="0" w:space="0" w:color="auto"/>
        <w:bottom w:val="none" w:sz="0" w:space="0" w:color="auto"/>
        <w:right w:val="none" w:sz="0" w:space="0" w:color="auto"/>
      </w:divBdr>
    </w:div>
    <w:div w:id="744455862">
      <w:bodyDiv w:val="1"/>
      <w:marLeft w:val="0"/>
      <w:marRight w:val="0"/>
      <w:marTop w:val="0"/>
      <w:marBottom w:val="0"/>
      <w:divBdr>
        <w:top w:val="none" w:sz="0" w:space="0" w:color="auto"/>
        <w:left w:val="none" w:sz="0" w:space="0" w:color="auto"/>
        <w:bottom w:val="none" w:sz="0" w:space="0" w:color="auto"/>
        <w:right w:val="none" w:sz="0" w:space="0" w:color="auto"/>
      </w:divBdr>
    </w:div>
    <w:div w:id="1800685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A7AA2-93B9-4DB7-B5B7-0DC4E3A8819E}">
  <ds:schemaRefs>
    <ds:schemaRef ds:uri="http://purl.org/dc/terms/"/>
    <ds:schemaRef ds:uri="http://purl.org/dc/dcmitype/"/>
    <ds:schemaRef ds:uri="http://purl.org/dc/elements/1.1/"/>
    <ds:schemaRef ds:uri="http://schemas.microsoft.com/office/infopath/2007/PartnerControls"/>
    <ds:schemaRef ds:uri="http://schemas.openxmlformats.org/package/2006/metadata/core-properties"/>
    <ds:schemaRef ds:uri="a843bbba-5665-4b5f-aacc-cdcb1c804839"/>
    <ds:schemaRef ds:uri="028236e2-f653-4d19-ab67-4d06a9145e0c"/>
    <ds:schemaRef ds:uri="http://schemas.microsoft.com/office/2006/documentManagement/types"/>
    <ds:schemaRef ds:uri="http://www.w3.org/XML/1998/namespace"/>
    <ds:schemaRef ds:uri="f5ebda27-b626-448f-a7d1-d1cf5ad133fa"/>
    <ds:schemaRef ds:uri="4b2e9d09-07c5-42d4-ad0a-92e216c40b99"/>
    <ds:schemaRef ds:uri="http://schemas.microsoft.com/office/2006/metadata/properties"/>
  </ds:schemaRefs>
</ds:datastoreItem>
</file>

<file path=customXml/itemProps2.xml><?xml version="1.0" encoding="utf-8"?>
<ds:datastoreItem xmlns:ds="http://schemas.openxmlformats.org/officeDocument/2006/customXml" ds:itemID="{94DBC18D-DB18-4474-B09E-018AED6DE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820D07-EC89-4A05-8D98-A8CA80F3498A}">
  <ds:schemaRefs>
    <ds:schemaRef ds:uri="http://schemas.microsoft.com/sharepoint/v3/contenttype/forms"/>
  </ds:schemaRefs>
</ds:datastoreItem>
</file>

<file path=customXml/itemProps4.xml><?xml version="1.0" encoding="utf-8"?>
<ds:datastoreItem xmlns:ds="http://schemas.openxmlformats.org/officeDocument/2006/customXml" ds:itemID="{9F2FE3AB-A27E-4A8A-A984-955F37BAA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3393</Words>
  <Characters>23481</Characters>
  <Application>Microsoft Office Word</Application>
  <DocSecurity>4</DocSecurity>
  <Lines>195</Lines>
  <Paragraphs>53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PFSA_debesis_2024-02-08_TAIS (1)</vt:lpstr>
      <vt:lpstr>PFSA_debesis_2024-02-08_TAIS (1)</vt:lpstr>
    </vt:vector>
  </TitlesOfParts>
  <Company/>
  <LinksUpToDate>false</LinksUpToDate>
  <CharactersWithSpaces>26821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PFSA_debesis_2024-02-08_TAIS (1)</dc:title>
  <dc:creator>Jolanta Sabestinaitė | Lietuvos mokslo taryba</dc:creator>
  <cp:lastModifiedBy>Marija Samavičiūtė</cp:lastModifiedBy>
  <cp:revision>2</cp:revision>
  <dcterms:created xsi:type="dcterms:W3CDTF">2025-08-19T08:10:00Z</dcterms:created>
  <dcterms:modified xsi:type="dcterms:W3CDTF">2025-08-19T08:10:00Z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a2626708dde1e98fb5204b18185698c9f2e96d26062d962ce9dfab5a22101637</vt:lpwstr>
  </property>
  <property fmtid="{D5CDD505-2E9C-101B-9397-08002B2CF9AE}" pid="3" name="ContentTypeId">
    <vt:lpwstr>0x010100D76F90AF19434866994CD715ED8FEE4200712820E1B0DE314FBCE77D75ADAD206D</vt:lpwstr>
  </property>
  <property fmtid="{D5CDD505-2E9C-101B-9397-08002B2CF9AE}" pid="4" name="DmsPermissionsFlags">
    <vt:lpwstr>,SECTRUE,</vt:lpwstr>
  </property>
  <property fmtid="{D5CDD505-2E9C-101B-9397-08002B2CF9AE}" pid="5" name="DmsPermissionsUsers">
    <vt:lpwstr>1356;#Rasa Šlikaitė;#827;#Marija Samavičiūtė;#63;#Eglė Vizbarė;#1119;#Mantas Bernotas;#1227;#Sonata Macijauskienė;#1096;#Gytis Petrukaitis;#166;#Margarita Kairienė</vt:lpwstr>
  </property>
  <property fmtid="{D5CDD505-2E9C-101B-9397-08002B2CF9AE}" pid="6" name="DmsPermissionsDivisions">
    <vt:lpwstr>71;#Švietimo projektų skyrius|4d6950ba-bddb-4d59-b4f2-90fff673db9b;#3308;#Procesų valdymo skyrius|1d2453fc-c175-46b4-b9fe-6151c1a059d8;#62;#Finansų skyrius|7d9d544b-d496-4126-a894-fd0e68da2d8e</vt:lpwstr>
  </property>
  <property fmtid="{D5CDD505-2E9C-101B-9397-08002B2CF9AE}" pid="7" name="TaxCatchAll">
    <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true</vt:bool>
  </property>
</Properties>
</file>