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C601" w14:textId="324C8188" w:rsidR="001926FE" w:rsidRPr="0099117D" w:rsidRDefault="001926FE" w:rsidP="0099117D">
      <w:pPr>
        <w:pStyle w:val="Betarp"/>
        <w:jc w:val="center"/>
        <w:rPr>
          <w:rFonts w:ascii="Times New Roman" w:hAnsi="Times New Roman" w:cs="Times New Roman"/>
          <w:b/>
          <w:bCs/>
          <w:sz w:val="24"/>
          <w:szCs w:val="24"/>
        </w:rPr>
      </w:pPr>
      <w:r w:rsidRPr="0099117D">
        <w:rPr>
          <w:rFonts w:ascii="Times New Roman" w:hAnsi="Times New Roman" w:cs="Times New Roman"/>
          <w:b/>
          <w:bCs/>
          <w:sz w:val="24"/>
          <w:szCs w:val="24"/>
        </w:rPr>
        <w:t xml:space="preserve">LIETUVOS RESPUBLIKOS </w:t>
      </w:r>
      <w:r w:rsidR="008479EC" w:rsidRPr="0099117D">
        <w:rPr>
          <w:rFonts w:ascii="Times New Roman" w:hAnsi="Times New Roman" w:cs="Times New Roman"/>
          <w:b/>
          <w:bCs/>
          <w:sz w:val="24"/>
          <w:szCs w:val="24"/>
        </w:rPr>
        <w:t>ŠVIETIMO</w:t>
      </w:r>
      <w:r w:rsidR="00297305" w:rsidRPr="0099117D">
        <w:rPr>
          <w:rFonts w:ascii="Times New Roman" w:hAnsi="Times New Roman" w:cs="Times New Roman"/>
          <w:b/>
          <w:bCs/>
          <w:sz w:val="24"/>
          <w:szCs w:val="24"/>
        </w:rPr>
        <w:t xml:space="preserve">, </w:t>
      </w:r>
      <w:r w:rsidR="008479EC" w:rsidRPr="0099117D">
        <w:rPr>
          <w:rFonts w:ascii="Times New Roman" w:hAnsi="Times New Roman" w:cs="Times New Roman"/>
          <w:b/>
          <w:bCs/>
          <w:sz w:val="24"/>
          <w:szCs w:val="24"/>
        </w:rPr>
        <w:t>MOKSLO IR SPORTO</w:t>
      </w:r>
      <w:r w:rsidRPr="0099117D">
        <w:rPr>
          <w:rFonts w:ascii="Times New Roman" w:hAnsi="Times New Roman" w:cs="Times New Roman"/>
          <w:b/>
          <w:bCs/>
          <w:sz w:val="24"/>
          <w:szCs w:val="24"/>
        </w:rPr>
        <w:t xml:space="preserve"> MINISTERIJA</w:t>
      </w:r>
    </w:p>
    <w:p w14:paraId="061AAFD9" w14:textId="77777777" w:rsidR="004E6411" w:rsidRPr="0099117D" w:rsidRDefault="004E6411" w:rsidP="0099117D">
      <w:pPr>
        <w:pStyle w:val="Betarp"/>
        <w:jc w:val="center"/>
        <w:rPr>
          <w:rFonts w:ascii="Times New Roman" w:hAnsi="Times New Roman" w:cs="Times New Roman"/>
          <w:b/>
          <w:bCs/>
          <w:sz w:val="24"/>
          <w:szCs w:val="24"/>
        </w:rPr>
      </w:pPr>
    </w:p>
    <w:p w14:paraId="375F8C4D" w14:textId="78A2BE56" w:rsidR="0069798D" w:rsidRPr="0099117D" w:rsidRDefault="00FE7E11" w:rsidP="0099117D">
      <w:pPr>
        <w:pStyle w:val="Betarp"/>
        <w:jc w:val="center"/>
        <w:rPr>
          <w:rFonts w:ascii="Times New Roman" w:hAnsi="Times New Roman" w:cs="Times New Roman"/>
          <w:b/>
          <w:bCs/>
          <w:sz w:val="24"/>
          <w:szCs w:val="24"/>
        </w:rPr>
      </w:pPr>
      <w:bookmarkStart w:id="0" w:name="_Hlk129179863"/>
      <w:r w:rsidRPr="0099117D">
        <w:rPr>
          <w:rFonts w:ascii="Times New Roman" w:hAnsi="Times New Roman" w:cs="Times New Roman"/>
          <w:b/>
          <w:bCs/>
          <w:sz w:val="24"/>
          <w:szCs w:val="24"/>
        </w:rPr>
        <w:t>PATEIKTŲ PASTABŲ IR PASIŪLYMŲ</w:t>
      </w:r>
    </w:p>
    <w:p w14:paraId="357A16EB" w14:textId="0968B281" w:rsidR="00297305" w:rsidRPr="0099117D" w:rsidRDefault="00FE7E11" w:rsidP="0099117D">
      <w:pPr>
        <w:spacing w:after="0" w:line="240" w:lineRule="auto"/>
        <w:jc w:val="center"/>
        <w:rPr>
          <w:rFonts w:ascii="Times New Roman" w:eastAsia="Times New Roman" w:hAnsi="Times New Roman" w:cs="Times New Roman"/>
          <w:b/>
          <w:bCs/>
          <w:sz w:val="24"/>
          <w:szCs w:val="24"/>
        </w:rPr>
      </w:pPr>
      <w:r w:rsidRPr="0099117D">
        <w:rPr>
          <w:rFonts w:ascii="Times New Roman" w:hAnsi="Times New Roman" w:cs="Times New Roman"/>
          <w:b/>
          <w:bCs/>
          <w:sz w:val="24"/>
          <w:szCs w:val="24"/>
        </w:rPr>
        <w:t xml:space="preserve">DĖL </w:t>
      </w:r>
      <w:r w:rsidR="00297305" w:rsidRPr="0099117D">
        <w:rPr>
          <w:rFonts w:ascii="Times New Roman" w:eastAsia="Times New Roman" w:hAnsi="Times New Roman" w:cs="Times New Roman"/>
          <w:b/>
          <w:bCs/>
          <w:sz w:val="24"/>
          <w:szCs w:val="24"/>
        </w:rPr>
        <w:t>2022–2030 M. PLĖTROS PROGRAMOS VALDYTOJOS LIETUVOS RESPUBLIKOS ŠVIETIMO, MOKSLO IR SPORTO MINISTERIJOS MOKSLO PLĖTROS PROGRAMOS PAŽANGOS PRIEMONĖS NR. 12-001-01-02-01 „STIPRINTI INOVACIJŲ EKOSISTEMAS MOKSLO CENTRUOSE“ PROJEKTŲ FINANSAVIMO SĄLYGŲ APRAŠ</w:t>
      </w:r>
      <w:r w:rsidR="00BB743A" w:rsidRPr="0099117D">
        <w:rPr>
          <w:rFonts w:ascii="Times New Roman" w:eastAsia="Times New Roman" w:hAnsi="Times New Roman" w:cs="Times New Roman"/>
          <w:b/>
          <w:bCs/>
          <w:sz w:val="24"/>
          <w:szCs w:val="24"/>
        </w:rPr>
        <w:t>O</w:t>
      </w:r>
      <w:r w:rsidR="00297305" w:rsidRPr="0099117D">
        <w:rPr>
          <w:rFonts w:ascii="Times New Roman" w:eastAsia="Times New Roman" w:hAnsi="Times New Roman" w:cs="Times New Roman"/>
          <w:b/>
          <w:bCs/>
          <w:sz w:val="24"/>
          <w:szCs w:val="24"/>
        </w:rPr>
        <w:t xml:space="preserve"> NR. 17</w:t>
      </w:r>
    </w:p>
    <w:p w14:paraId="07719EE3" w14:textId="27CDFFED" w:rsidR="00297305" w:rsidRPr="0099117D" w:rsidRDefault="00297305" w:rsidP="0099117D">
      <w:pPr>
        <w:pStyle w:val="Betarp"/>
        <w:jc w:val="center"/>
        <w:rPr>
          <w:rFonts w:ascii="Times New Roman" w:hAnsi="Times New Roman" w:cs="Times New Roman"/>
          <w:b/>
          <w:bCs/>
          <w:sz w:val="24"/>
          <w:szCs w:val="24"/>
        </w:rPr>
      </w:pPr>
    </w:p>
    <w:p w14:paraId="06A66E5E" w14:textId="78233021" w:rsidR="00B92144" w:rsidRPr="0099117D" w:rsidRDefault="00FE7E11" w:rsidP="0099117D">
      <w:pPr>
        <w:pStyle w:val="Betarp"/>
        <w:jc w:val="center"/>
        <w:rPr>
          <w:rFonts w:ascii="Times New Roman" w:hAnsi="Times New Roman" w:cs="Times New Roman"/>
          <w:b/>
          <w:bCs/>
          <w:sz w:val="24"/>
          <w:szCs w:val="24"/>
        </w:rPr>
      </w:pPr>
      <w:r w:rsidRPr="0099117D">
        <w:rPr>
          <w:rFonts w:ascii="Times New Roman" w:hAnsi="Times New Roman" w:cs="Times New Roman"/>
          <w:b/>
          <w:bCs/>
          <w:sz w:val="24"/>
          <w:szCs w:val="24"/>
        </w:rPr>
        <w:t>DERINIMO</w:t>
      </w:r>
      <w:bookmarkEnd w:id="0"/>
      <w:r w:rsidR="00436999" w:rsidRPr="0099117D">
        <w:rPr>
          <w:rFonts w:ascii="Times New Roman" w:hAnsi="Times New Roman" w:cs="Times New Roman"/>
          <w:b/>
          <w:bCs/>
          <w:sz w:val="24"/>
          <w:szCs w:val="24"/>
        </w:rPr>
        <w:t xml:space="preserve"> PAŽYMA</w:t>
      </w:r>
    </w:p>
    <w:p w14:paraId="60AA415B" w14:textId="77777777" w:rsidR="00437878" w:rsidRPr="0099117D" w:rsidRDefault="00437878" w:rsidP="0099117D">
      <w:pPr>
        <w:spacing w:after="0" w:line="240" w:lineRule="auto"/>
        <w:rPr>
          <w:rFonts w:ascii="Times New Roman" w:hAnsi="Times New Roman" w:cs="Times New Roman"/>
          <w:b/>
          <w:bCs/>
          <w:sz w:val="24"/>
          <w:szCs w:val="24"/>
        </w:rPr>
      </w:pPr>
    </w:p>
    <w:tbl>
      <w:tblPr>
        <w:tblStyle w:val="Lentelstinklelis"/>
        <w:tblW w:w="15027" w:type="dxa"/>
        <w:tblInd w:w="-431" w:type="dxa"/>
        <w:tblLook w:val="04A0" w:firstRow="1" w:lastRow="0" w:firstColumn="1" w:lastColumn="0" w:noHBand="0" w:noVBand="1"/>
      </w:tblPr>
      <w:tblGrid>
        <w:gridCol w:w="12475"/>
        <w:gridCol w:w="2552"/>
      </w:tblGrid>
      <w:tr w:rsidR="00437878" w:rsidRPr="0099117D" w14:paraId="520F3C2E" w14:textId="77777777" w:rsidTr="004858D4">
        <w:trPr>
          <w:trHeight w:val="561"/>
        </w:trPr>
        <w:tc>
          <w:tcPr>
            <w:tcW w:w="12475" w:type="dxa"/>
          </w:tcPr>
          <w:p w14:paraId="7E9A2D60" w14:textId="1A4A2F98" w:rsidR="00437878" w:rsidRPr="0099117D" w:rsidRDefault="00437878" w:rsidP="0099117D">
            <w:pPr>
              <w:rPr>
                <w:rFonts w:ascii="Times New Roman" w:hAnsi="Times New Roman" w:cs="Times New Roman"/>
                <w:b/>
                <w:sz w:val="24"/>
                <w:szCs w:val="24"/>
              </w:rPr>
            </w:pPr>
            <w:r w:rsidRPr="0099117D">
              <w:rPr>
                <w:rFonts w:ascii="Times New Roman" w:hAnsi="Times New Roman" w:cs="Times New Roman"/>
                <w:b/>
                <w:sz w:val="24"/>
                <w:szCs w:val="24"/>
              </w:rPr>
              <w:t xml:space="preserve">Paskelbimo </w:t>
            </w:r>
            <w:r w:rsidRPr="0099117D">
              <w:rPr>
                <w:rFonts w:ascii="Times New Roman" w:hAnsi="Times New Roman" w:cs="Times New Roman"/>
                <w:i/>
                <w:iCs/>
                <w:sz w:val="24"/>
                <w:szCs w:val="24"/>
              </w:rPr>
              <w:t>www.esinvesticijos.lt</w:t>
            </w:r>
            <w:r w:rsidRPr="0099117D">
              <w:rPr>
                <w:rFonts w:ascii="Times New Roman" w:hAnsi="Times New Roman" w:cs="Times New Roman"/>
                <w:sz w:val="24"/>
                <w:szCs w:val="24"/>
              </w:rPr>
              <w:t xml:space="preserve"> </w:t>
            </w:r>
            <w:r w:rsidRPr="0099117D">
              <w:rPr>
                <w:rFonts w:ascii="Times New Roman" w:hAnsi="Times New Roman" w:cs="Times New Roman"/>
                <w:b/>
                <w:sz w:val="24"/>
                <w:szCs w:val="24"/>
              </w:rPr>
              <w:t>data</w:t>
            </w:r>
          </w:p>
        </w:tc>
        <w:tc>
          <w:tcPr>
            <w:tcW w:w="2552" w:type="dxa"/>
          </w:tcPr>
          <w:p w14:paraId="7BCBBC99" w14:textId="175EF5AD" w:rsidR="00437878" w:rsidRPr="0099117D" w:rsidRDefault="00437878" w:rsidP="0099117D">
            <w:pPr>
              <w:rPr>
                <w:rFonts w:ascii="Times New Roman" w:hAnsi="Times New Roman" w:cs="Times New Roman"/>
                <w:sz w:val="24"/>
                <w:szCs w:val="24"/>
              </w:rPr>
            </w:pPr>
            <w:r w:rsidRPr="0099117D">
              <w:rPr>
                <w:rFonts w:ascii="Times New Roman" w:hAnsi="Times New Roman" w:cs="Times New Roman"/>
                <w:sz w:val="24"/>
                <w:szCs w:val="24"/>
              </w:rPr>
              <w:t>202</w:t>
            </w:r>
            <w:r w:rsidR="009219C4" w:rsidRPr="0099117D">
              <w:rPr>
                <w:rFonts w:ascii="Times New Roman" w:hAnsi="Times New Roman" w:cs="Times New Roman"/>
                <w:sz w:val="24"/>
                <w:szCs w:val="24"/>
              </w:rPr>
              <w:t>5</w:t>
            </w:r>
            <w:r w:rsidRPr="0099117D">
              <w:rPr>
                <w:rFonts w:ascii="Times New Roman" w:hAnsi="Times New Roman" w:cs="Times New Roman"/>
                <w:sz w:val="24"/>
                <w:szCs w:val="24"/>
              </w:rPr>
              <w:t>-</w:t>
            </w:r>
            <w:r w:rsidR="009219C4" w:rsidRPr="0099117D">
              <w:rPr>
                <w:rFonts w:ascii="Times New Roman" w:hAnsi="Times New Roman" w:cs="Times New Roman"/>
                <w:sz w:val="24"/>
                <w:szCs w:val="24"/>
              </w:rPr>
              <w:t>0</w:t>
            </w:r>
            <w:r w:rsidR="00035D9D" w:rsidRPr="0099117D">
              <w:rPr>
                <w:rFonts w:ascii="Times New Roman" w:hAnsi="Times New Roman" w:cs="Times New Roman"/>
                <w:sz w:val="24"/>
                <w:szCs w:val="24"/>
              </w:rPr>
              <w:t>7</w:t>
            </w:r>
            <w:r w:rsidRPr="0099117D">
              <w:rPr>
                <w:rFonts w:ascii="Times New Roman" w:hAnsi="Times New Roman" w:cs="Times New Roman"/>
                <w:sz w:val="24"/>
                <w:szCs w:val="24"/>
              </w:rPr>
              <w:t>-</w:t>
            </w:r>
            <w:r w:rsidR="008A7EFD" w:rsidRPr="0099117D">
              <w:rPr>
                <w:rFonts w:ascii="Times New Roman" w:hAnsi="Times New Roman" w:cs="Times New Roman"/>
                <w:sz w:val="24"/>
                <w:szCs w:val="24"/>
              </w:rPr>
              <w:t>0</w:t>
            </w:r>
            <w:r w:rsidR="00035D9D" w:rsidRPr="0099117D">
              <w:rPr>
                <w:rFonts w:ascii="Times New Roman" w:hAnsi="Times New Roman" w:cs="Times New Roman"/>
                <w:sz w:val="24"/>
                <w:szCs w:val="24"/>
              </w:rPr>
              <w:t>8</w:t>
            </w:r>
          </w:p>
        </w:tc>
      </w:tr>
      <w:tr w:rsidR="004858D4" w:rsidRPr="0099117D" w14:paraId="0C0996CF" w14:textId="77777777" w:rsidTr="00EA3825">
        <w:tc>
          <w:tcPr>
            <w:tcW w:w="12475" w:type="dxa"/>
          </w:tcPr>
          <w:p w14:paraId="2D84A1A1" w14:textId="77777777" w:rsidR="004858D4" w:rsidRPr="0099117D" w:rsidRDefault="004858D4" w:rsidP="0099117D">
            <w:pPr>
              <w:rPr>
                <w:rFonts w:ascii="Times New Roman" w:hAnsi="Times New Roman" w:cs="Times New Roman"/>
                <w:b/>
                <w:sz w:val="24"/>
                <w:szCs w:val="24"/>
              </w:rPr>
            </w:pPr>
            <w:r w:rsidRPr="0099117D">
              <w:rPr>
                <w:rFonts w:ascii="Times New Roman" w:hAnsi="Times New Roman" w:cs="Times New Roman"/>
                <w:b/>
                <w:sz w:val="24"/>
                <w:szCs w:val="24"/>
              </w:rPr>
              <w:t>Ar gauta pastabų ir (ar) pasiūlymų?</w:t>
            </w:r>
          </w:p>
          <w:p w14:paraId="54396D10" w14:textId="77777777" w:rsidR="004858D4" w:rsidRPr="0099117D" w:rsidRDefault="004858D4" w:rsidP="0099117D">
            <w:pPr>
              <w:rPr>
                <w:rFonts w:ascii="Times New Roman" w:hAnsi="Times New Roman" w:cs="Times New Roman"/>
                <w:i/>
                <w:sz w:val="24"/>
                <w:szCs w:val="24"/>
              </w:rPr>
            </w:pPr>
            <w:r w:rsidRPr="0099117D">
              <w:rPr>
                <w:rFonts w:ascii="Times New Roman" w:hAnsi="Times New Roman" w:cs="Times New Roman"/>
                <w:i/>
                <w:sz w:val="24"/>
                <w:szCs w:val="24"/>
              </w:rPr>
              <w:t>Jei pastabų ir pasiūlymų nebuvo gauta, į kitą klausimą neatsakoma ir žemiau esanti lentelė nepildoma</w:t>
            </w:r>
          </w:p>
        </w:tc>
        <w:tc>
          <w:tcPr>
            <w:tcW w:w="2552" w:type="dxa"/>
          </w:tcPr>
          <w:p w14:paraId="3A19D4E8" w14:textId="696DB912" w:rsidR="004858D4" w:rsidRPr="0099117D" w:rsidRDefault="00000000" w:rsidP="0099117D">
            <w:pPr>
              <w:rPr>
                <w:rFonts w:ascii="Times New Roman" w:hAnsi="Times New Roman" w:cs="Times New Roman"/>
                <w:sz w:val="24"/>
                <w:szCs w:val="24"/>
              </w:rPr>
            </w:pPr>
            <w:sdt>
              <w:sdtPr>
                <w:rPr>
                  <w:rFonts w:ascii="Times New Roman" w:hAnsi="Times New Roman" w:cs="Times New Roman"/>
                  <w:sz w:val="24"/>
                  <w:szCs w:val="24"/>
                </w:rPr>
                <w:id w:val="-1084605745"/>
              </w:sdtPr>
              <w:sdtContent>
                <w:r w:rsidR="007F7E95" w:rsidRPr="0099117D">
                  <w:rPr>
                    <w:rFonts w:ascii="Times New Roman" w:hAnsi="Times New Roman" w:cs="Times New Roman"/>
                    <w:b/>
                    <w:sz w:val="24"/>
                    <w:szCs w:val="24"/>
                  </w:rPr>
                  <w:fldChar w:fldCharType="begin">
                    <w:ffData>
                      <w:name w:val=""/>
                      <w:enabled/>
                      <w:calcOnExit w:val="0"/>
                      <w:checkBox>
                        <w:sizeAuto/>
                        <w:default w:val="1"/>
                      </w:checkBox>
                    </w:ffData>
                  </w:fldChar>
                </w:r>
                <w:r w:rsidR="007F7E95" w:rsidRPr="0099117D">
                  <w:rPr>
                    <w:rFonts w:ascii="Times New Roman" w:hAnsi="Times New Roman" w:cs="Times New Roman"/>
                    <w:b/>
                    <w:sz w:val="24"/>
                    <w:szCs w:val="24"/>
                  </w:rPr>
                  <w:instrText xml:space="preserve"> FORMCHECKBOX </w:instrText>
                </w:r>
                <w:r w:rsidR="007F7E95" w:rsidRPr="0099117D">
                  <w:rPr>
                    <w:rFonts w:ascii="Times New Roman" w:hAnsi="Times New Roman" w:cs="Times New Roman"/>
                    <w:b/>
                    <w:sz w:val="24"/>
                    <w:szCs w:val="24"/>
                  </w:rPr>
                </w:r>
                <w:r w:rsidR="007F7E95" w:rsidRPr="0099117D">
                  <w:rPr>
                    <w:rFonts w:ascii="Times New Roman" w:hAnsi="Times New Roman" w:cs="Times New Roman"/>
                    <w:b/>
                    <w:sz w:val="24"/>
                    <w:szCs w:val="24"/>
                  </w:rPr>
                  <w:fldChar w:fldCharType="separate"/>
                </w:r>
                <w:r w:rsidR="007F7E95" w:rsidRPr="0099117D">
                  <w:rPr>
                    <w:rFonts w:ascii="Times New Roman" w:hAnsi="Times New Roman" w:cs="Times New Roman"/>
                    <w:b/>
                    <w:sz w:val="24"/>
                    <w:szCs w:val="24"/>
                  </w:rPr>
                  <w:fldChar w:fldCharType="end"/>
                </w:r>
              </w:sdtContent>
            </w:sdt>
            <w:r w:rsidR="004858D4" w:rsidRPr="0099117D">
              <w:rPr>
                <w:rFonts w:ascii="Times New Roman" w:hAnsi="Times New Roman" w:cs="Times New Roman"/>
                <w:sz w:val="24"/>
                <w:szCs w:val="24"/>
              </w:rPr>
              <w:t xml:space="preserve"> Taip </w:t>
            </w:r>
            <w:sdt>
              <w:sdtPr>
                <w:rPr>
                  <w:rFonts w:ascii="Times New Roman" w:hAnsi="Times New Roman" w:cs="Times New Roman"/>
                  <w:sz w:val="24"/>
                  <w:szCs w:val="24"/>
                </w:rPr>
                <w:id w:val="1508407728"/>
              </w:sdtPr>
              <w:sdtContent>
                <w:bookmarkStart w:id="1" w:name="Check1"/>
                <w:r w:rsidR="007F7E95" w:rsidRPr="0099117D">
                  <w:rPr>
                    <w:rFonts w:ascii="Times New Roman" w:hAnsi="Times New Roman" w:cs="Times New Roman"/>
                    <w:sz w:val="24"/>
                    <w:szCs w:val="24"/>
                  </w:rPr>
                  <w:fldChar w:fldCharType="begin">
                    <w:ffData>
                      <w:name w:val="Check1"/>
                      <w:enabled/>
                      <w:calcOnExit w:val="0"/>
                      <w:checkBox>
                        <w:sizeAuto/>
                        <w:default w:val="0"/>
                      </w:checkBox>
                    </w:ffData>
                  </w:fldChar>
                </w:r>
                <w:r w:rsidR="007F7E95" w:rsidRPr="0099117D">
                  <w:rPr>
                    <w:rFonts w:ascii="Times New Roman" w:hAnsi="Times New Roman" w:cs="Times New Roman"/>
                    <w:sz w:val="24"/>
                    <w:szCs w:val="24"/>
                  </w:rPr>
                  <w:instrText xml:space="preserve"> FORMCHECKBOX </w:instrText>
                </w:r>
                <w:r w:rsidR="007F7E95" w:rsidRPr="0099117D">
                  <w:rPr>
                    <w:rFonts w:ascii="Times New Roman" w:hAnsi="Times New Roman" w:cs="Times New Roman"/>
                    <w:sz w:val="24"/>
                    <w:szCs w:val="24"/>
                  </w:rPr>
                </w:r>
                <w:r w:rsidR="007F7E95" w:rsidRPr="0099117D">
                  <w:rPr>
                    <w:rFonts w:ascii="Times New Roman" w:hAnsi="Times New Roman" w:cs="Times New Roman"/>
                    <w:sz w:val="24"/>
                    <w:szCs w:val="24"/>
                  </w:rPr>
                  <w:fldChar w:fldCharType="separate"/>
                </w:r>
                <w:r w:rsidR="007F7E95" w:rsidRPr="0099117D">
                  <w:rPr>
                    <w:rFonts w:ascii="Times New Roman" w:hAnsi="Times New Roman" w:cs="Times New Roman"/>
                    <w:sz w:val="24"/>
                    <w:szCs w:val="24"/>
                  </w:rPr>
                  <w:fldChar w:fldCharType="end"/>
                </w:r>
                <w:bookmarkEnd w:id="1"/>
                <w:r w:rsidR="004858D4" w:rsidRPr="0099117D">
                  <w:rPr>
                    <w:rFonts w:ascii="Times New Roman" w:hAnsi="Times New Roman" w:cs="Times New Roman"/>
                    <w:sz w:val="24"/>
                    <w:szCs w:val="24"/>
                  </w:rPr>
                  <w:t xml:space="preserve"> </w:t>
                </w:r>
              </w:sdtContent>
            </w:sdt>
            <w:r w:rsidR="004858D4" w:rsidRPr="0099117D">
              <w:rPr>
                <w:rFonts w:ascii="Times New Roman" w:hAnsi="Times New Roman" w:cs="Times New Roman"/>
                <w:sz w:val="24"/>
                <w:szCs w:val="24"/>
              </w:rPr>
              <w:t xml:space="preserve"> Ne</w:t>
            </w:r>
          </w:p>
        </w:tc>
      </w:tr>
      <w:tr w:rsidR="004858D4" w:rsidRPr="0099117D" w14:paraId="26ED1A4A" w14:textId="77777777" w:rsidTr="00EA3825">
        <w:tc>
          <w:tcPr>
            <w:tcW w:w="12475" w:type="dxa"/>
          </w:tcPr>
          <w:p w14:paraId="66EB4476" w14:textId="77777777" w:rsidR="004858D4" w:rsidRPr="0099117D" w:rsidRDefault="004858D4" w:rsidP="0099117D">
            <w:pPr>
              <w:rPr>
                <w:rFonts w:ascii="Times New Roman" w:hAnsi="Times New Roman" w:cs="Times New Roman"/>
                <w:b/>
                <w:sz w:val="24"/>
                <w:szCs w:val="24"/>
              </w:rPr>
            </w:pPr>
            <w:r w:rsidRPr="0099117D">
              <w:rPr>
                <w:rFonts w:ascii="Times New Roman" w:hAnsi="Times New Roman" w:cs="Times New Roman"/>
                <w:b/>
                <w:sz w:val="24"/>
                <w:szCs w:val="24"/>
              </w:rPr>
              <w:t>Ar į visas pastabas ir (ar) pasiūlymus atsižvelgta?</w:t>
            </w:r>
          </w:p>
          <w:p w14:paraId="6AAE44B9" w14:textId="56E1E0C1" w:rsidR="004858D4" w:rsidRPr="0099117D" w:rsidRDefault="004858D4" w:rsidP="0099117D">
            <w:pPr>
              <w:rPr>
                <w:rFonts w:ascii="Times New Roman" w:hAnsi="Times New Roman" w:cs="Times New Roman"/>
                <w:i/>
                <w:sz w:val="24"/>
                <w:szCs w:val="24"/>
              </w:rPr>
            </w:pPr>
            <w:r w:rsidRPr="0099117D">
              <w:rPr>
                <w:rFonts w:ascii="Times New Roman" w:hAnsi="Times New Roman" w:cs="Times New Roman"/>
                <w:i/>
                <w:sz w:val="24"/>
                <w:szCs w:val="24"/>
              </w:rPr>
              <w:t>Žemiau esančioje lentelėje nurodomos gautos pastabos ir (ar) pasiūlymai, pažymima, į kurias pastabas ir (ar) pasiūlymus atsižvelgta, o dėl pastabų ir (ar) pasiūlymų, į kuriuos neatsižvelgta, pateikiami paaiškinimai. </w:t>
            </w:r>
          </w:p>
        </w:tc>
        <w:tc>
          <w:tcPr>
            <w:tcW w:w="2552" w:type="dxa"/>
          </w:tcPr>
          <w:p w14:paraId="3A8F4F97" w14:textId="690A1378" w:rsidR="004858D4" w:rsidRPr="0099117D" w:rsidRDefault="00000000" w:rsidP="0099117D">
            <w:pPr>
              <w:rPr>
                <w:rFonts w:ascii="Times New Roman" w:hAnsi="Times New Roman" w:cs="Times New Roman"/>
                <w:sz w:val="24"/>
                <w:szCs w:val="24"/>
              </w:rPr>
            </w:pPr>
            <w:sdt>
              <w:sdtPr>
                <w:rPr>
                  <w:rFonts w:ascii="Times New Roman" w:hAnsi="Times New Roman" w:cs="Times New Roman"/>
                  <w:sz w:val="24"/>
                  <w:szCs w:val="24"/>
                </w:rPr>
                <w:id w:val="-167556001"/>
              </w:sdtPr>
              <w:sdtContent>
                <w:r w:rsidR="004858D4" w:rsidRPr="0099117D">
                  <w:rPr>
                    <w:rFonts w:ascii="Times New Roman" w:hAnsi="Times New Roman" w:cs="Times New Roman"/>
                    <w:b/>
                    <w:sz w:val="24"/>
                    <w:szCs w:val="24"/>
                  </w:rPr>
                  <w:fldChar w:fldCharType="begin">
                    <w:ffData>
                      <w:name w:val=""/>
                      <w:enabled/>
                      <w:calcOnExit w:val="0"/>
                      <w:checkBox>
                        <w:sizeAuto/>
                        <w:default w:val="0"/>
                      </w:checkBox>
                    </w:ffData>
                  </w:fldChar>
                </w:r>
                <w:r w:rsidR="004858D4" w:rsidRPr="0099117D">
                  <w:rPr>
                    <w:rFonts w:ascii="Times New Roman" w:hAnsi="Times New Roman" w:cs="Times New Roman"/>
                    <w:b/>
                    <w:sz w:val="24"/>
                    <w:szCs w:val="24"/>
                  </w:rPr>
                  <w:instrText xml:space="preserve"> FORMCHECKBOX </w:instrText>
                </w:r>
                <w:r w:rsidR="004858D4" w:rsidRPr="0099117D">
                  <w:rPr>
                    <w:rFonts w:ascii="Times New Roman" w:hAnsi="Times New Roman" w:cs="Times New Roman"/>
                    <w:b/>
                    <w:sz w:val="24"/>
                    <w:szCs w:val="24"/>
                  </w:rPr>
                </w:r>
                <w:r w:rsidR="004858D4" w:rsidRPr="0099117D">
                  <w:rPr>
                    <w:rFonts w:ascii="Times New Roman" w:hAnsi="Times New Roman" w:cs="Times New Roman"/>
                    <w:b/>
                    <w:sz w:val="24"/>
                    <w:szCs w:val="24"/>
                  </w:rPr>
                  <w:fldChar w:fldCharType="separate"/>
                </w:r>
                <w:r w:rsidR="004858D4" w:rsidRPr="0099117D">
                  <w:rPr>
                    <w:rFonts w:ascii="Times New Roman" w:hAnsi="Times New Roman" w:cs="Times New Roman"/>
                    <w:b/>
                    <w:sz w:val="24"/>
                    <w:szCs w:val="24"/>
                  </w:rPr>
                  <w:fldChar w:fldCharType="end"/>
                </w:r>
              </w:sdtContent>
            </w:sdt>
            <w:r w:rsidR="004858D4" w:rsidRPr="0099117D">
              <w:rPr>
                <w:rFonts w:ascii="Times New Roman" w:hAnsi="Times New Roman" w:cs="Times New Roman"/>
                <w:sz w:val="24"/>
                <w:szCs w:val="24"/>
              </w:rPr>
              <w:t xml:space="preserve"> Taip </w:t>
            </w:r>
            <w:sdt>
              <w:sdtPr>
                <w:rPr>
                  <w:rFonts w:ascii="Times New Roman" w:hAnsi="Times New Roman" w:cs="Times New Roman"/>
                  <w:sz w:val="24"/>
                  <w:szCs w:val="24"/>
                </w:rPr>
                <w:id w:val="-420031067"/>
              </w:sdtPr>
              <w:sdtContent/>
            </w:sdt>
            <w:sdt>
              <w:sdtPr>
                <w:rPr>
                  <w:rFonts w:ascii="Times New Roman" w:hAnsi="Times New Roman" w:cs="Times New Roman"/>
                  <w:sz w:val="24"/>
                  <w:szCs w:val="24"/>
                </w:rPr>
                <w:id w:val="560294101"/>
              </w:sdtPr>
              <w:sdtContent>
                <w:r w:rsidR="007C1C7F" w:rsidRPr="0099117D">
                  <w:rPr>
                    <w:rFonts w:ascii="Times New Roman" w:hAnsi="Times New Roman" w:cs="Times New Roman"/>
                    <w:b/>
                    <w:sz w:val="24"/>
                    <w:szCs w:val="24"/>
                  </w:rPr>
                  <w:fldChar w:fldCharType="begin">
                    <w:ffData>
                      <w:name w:val=""/>
                      <w:enabled/>
                      <w:calcOnExit w:val="0"/>
                      <w:checkBox>
                        <w:sizeAuto/>
                        <w:default w:val="1"/>
                      </w:checkBox>
                    </w:ffData>
                  </w:fldChar>
                </w:r>
                <w:r w:rsidR="007C1C7F" w:rsidRPr="0099117D">
                  <w:rPr>
                    <w:rFonts w:ascii="Times New Roman" w:hAnsi="Times New Roman" w:cs="Times New Roman"/>
                    <w:b/>
                    <w:sz w:val="24"/>
                    <w:szCs w:val="24"/>
                  </w:rPr>
                  <w:instrText xml:space="preserve"> FORMCHECKBOX </w:instrText>
                </w:r>
                <w:r w:rsidR="007C1C7F" w:rsidRPr="0099117D">
                  <w:rPr>
                    <w:rFonts w:ascii="Times New Roman" w:hAnsi="Times New Roman" w:cs="Times New Roman"/>
                    <w:b/>
                    <w:sz w:val="24"/>
                    <w:szCs w:val="24"/>
                  </w:rPr>
                </w:r>
                <w:r w:rsidR="007C1C7F" w:rsidRPr="0099117D">
                  <w:rPr>
                    <w:rFonts w:ascii="Times New Roman" w:hAnsi="Times New Roman" w:cs="Times New Roman"/>
                    <w:b/>
                    <w:sz w:val="24"/>
                    <w:szCs w:val="24"/>
                  </w:rPr>
                  <w:fldChar w:fldCharType="separate"/>
                </w:r>
                <w:r w:rsidR="007C1C7F" w:rsidRPr="0099117D">
                  <w:rPr>
                    <w:rFonts w:ascii="Times New Roman" w:hAnsi="Times New Roman" w:cs="Times New Roman"/>
                    <w:b/>
                    <w:sz w:val="24"/>
                    <w:szCs w:val="24"/>
                  </w:rPr>
                  <w:fldChar w:fldCharType="end"/>
                </w:r>
              </w:sdtContent>
            </w:sdt>
            <w:r w:rsidR="004858D4" w:rsidRPr="0099117D">
              <w:rPr>
                <w:rFonts w:ascii="Times New Roman" w:hAnsi="Times New Roman" w:cs="Times New Roman"/>
                <w:sz w:val="24"/>
                <w:szCs w:val="24"/>
              </w:rPr>
              <w:t xml:space="preserve"> Ne</w:t>
            </w:r>
          </w:p>
        </w:tc>
      </w:tr>
    </w:tbl>
    <w:p w14:paraId="711658D4" w14:textId="77777777" w:rsidR="00437878" w:rsidRPr="0099117D" w:rsidRDefault="00437878" w:rsidP="0099117D">
      <w:pPr>
        <w:spacing w:after="0" w:line="240" w:lineRule="auto"/>
        <w:rPr>
          <w:rFonts w:ascii="Times New Roman" w:hAnsi="Times New Roman" w:cs="Times New Roman"/>
          <w:sz w:val="24"/>
          <w:szCs w:val="24"/>
        </w:rPr>
      </w:pPr>
    </w:p>
    <w:tbl>
      <w:tblPr>
        <w:tblStyle w:val="Lentelstinklelis"/>
        <w:tblW w:w="15055" w:type="dxa"/>
        <w:jc w:val="center"/>
        <w:tblLook w:val="04A0" w:firstRow="1" w:lastRow="0" w:firstColumn="1" w:lastColumn="0" w:noHBand="0" w:noVBand="1"/>
      </w:tblPr>
      <w:tblGrid>
        <w:gridCol w:w="1176"/>
        <w:gridCol w:w="1470"/>
        <w:gridCol w:w="8206"/>
        <w:gridCol w:w="4203"/>
      </w:tblGrid>
      <w:tr w:rsidR="0086766A" w:rsidRPr="0099117D" w14:paraId="14A6342E" w14:textId="72CFE510" w:rsidTr="0099117D">
        <w:trPr>
          <w:jc w:val="center"/>
        </w:trPr>
        <w:tc>
          <w:tcPr>
            <w:tcW w:w="1176" w:type="dxa"/>
            <w:vAlign w:val="center"/>
          </w:tcPr>
          <w:p w14:paraId="430FAAC0" w14:textId="4610A0F4" w:rsidR="009169B7" w:rsidRPr="0099117D" w:rsidRDefault="009169B7" w:rsidP="0099117D">
            <w:pPr>
              <w:jc w:val="center"/>
              <w:rPr>
                <w:rFonts w:ascii="Times New Roman" w:hAnsi="Times New Roman" w:cs="Times New Roman"/>
                <w:b/>
                <w:bCs/>
                <w:sz w:val="24"/>
                <w:szCs w:val="24"/>
              </w:rPr>
            </w:pPr>
            <w:r w:rsidRPr="0099117D">
              <w:rPr>
                <w:rFonts w:ascii="Times New Roman" w:hAnsi="Times New Roman" w:cs="Times New Roman"/>
                <w:b/>
                <w:bCs/>
                <w:sz w:val="24"/>
                <w:szCs w:val="24"/>
              </w:rPr>
              <w:t>Eil. Nr.</w:t>
            </w:r>
          </w:p>
        </w:tc>
        <w:tc>
          <w:tcPr>
            <w:tcW w:w="1470" w:type="dxa"/>
            <w:vAlign w:val="center"/>
          </w:tcPr>
          <w:p w14:paraId="4B1672E6" w14:textId="21A7BDE7" w:rsidR="009169B7" w:rsidRPr="0099117D" w:rsidRDefault="00B83F1B" w:rsidP="0099117D">
            <w:pPr>
              <w:jc w:val="center"/>
              <w:rPr>
                <w:rFonts w:ascii="Times New Roman" w:hAnsi="Times New Roman" w:cs="Times New Roman"/>
                <w:b/>
                <w:bCs/>
                <w:sz w:val="24"/>
                <w:szCs w:val="24"/>
              </w:rPr>
            </w:pPr>
            <w:r w:rsidRPr="0099117D">
              <w:rPr>
                <w:rFonts w:ascii="Times New Roman" w:hAnsi="Times New Roman" w:cs="Times New Roman"/>
                <w:b/>
                <w:bCs/>
                <w:sz w:val="24"/>
                <w:szCs w:val="24"/>
              </w:rPr>
              <w:t xml:space="preserve">Projektų finansavimo sąlygų aprašo Nr. </w:t>
            </w:r>
            <w:r w:rsidR="00C35287" w:rsidRPr="0099117D">
              <w:rPr>
                <w:rFonts w:ascii="Times New Roman" w:hAnsi="Times New Roman" w:cs="Times New Roman"/>
                <w:b/>
                <w:bCs/>
                <w:sz w:val="24"/>
                <w:szCs w:val="24"/>
              </w:rPr>
              <w:t>17</w:t>
            </w:r>
            <w:r w:rsidRPr="0099117D">
              <w:rPr>
                <w:rFonts w:ascii="Times New Roman" w:hAnsi="Times New Roman" w:cs="Times New Roman"/>
                <w:b/>
                <w:bCs/>
                <w:sz w:val="24"/>
                <w:szCs w:val="24"/>
              </w:rPr>
              <w:t xml:space="preserve"> </w:t>
            </w:r>
            <w:r w:rsidR="009169B7" w:rsidRPr="0099117D">
              <w:rPr>
                <w:rFonts w:ascii="Times New Roman" w:hAnsi="Times New Roman" w:cs="Times New Roman"/>
                <w:b/>
                <w:bCs/>
                <w:sz w:val="24"/>
                <w:szCs w:val="24"/>
              </w:rPr>
              <w:t xml:space="preserve">projekto </w:t>
            </w:r>
            <w:r w:rsidR="005D39F9" w:rsidRPr="0099117D">
              <w:rPr>
                <w:rFonts w:ascii="Times New Roman" w:hAnsi="Times New Roman" w:cs="Times New Roman"/>
                <w:b/>
                <w:bCs/>
                <w:sz w:val="24"/>
                <w:szCs w:val="24"/>
              </w:rPr>
              <w:t xml:space="preserve">skyrius / </w:t>
            </w:r>
            <w:r w:rsidR="009169B7" w:rsidRPr="0099117D">
              <w:rPr>
                <w:rFonts w:ascii="Times New Roman" w:hAnsi="Times New Roman" w:cs="Times New Roman"/>
                <w:b/>
                <w:bCs/>
                <w:sz w:val="24"/>
                <w:szCs w:val="24"/>
              </w:rPr>
              <w:t>punktas</w:t>
            </w:r>
            <w:r w:rsidR="0007108A" w:rsidRPr="0099117D">
              <w:rPr>
                <w:rFonts w:ascii="Times New Roman" w:hAnsi="Times New Roman" w:cs="Times New Roman"/>
                <w:b/>
                <w:bCs/>
                <w:sz w:val="24"/>
                <w:szCs w:val="24"/>
              </w:rPr>
              <w:t>/ papunktis</w:t>
            </w:r>
            <w:r w:rsidR="00640C4C" w:rsidRPr="0099117D">
              <w:rPr>
                <w:rFonts w:ascii="Times New Roman" w:hAnsi="Times New Roman" w:cs="Times New Roman"/>
                <w:b/>
                <w:bCs/>
                <w:sz w:val="24"/>
                <w:szCs w:val="24"/>
              </w:rPr>
              <w:t xml:space="preserve"> ir kt.</w:t>
            </w:r>
          </w:p>
        </w:tc>
        <w:tc>
          <w:tcPr>
            <w:tcW w:w="8206" w:type="dxa"/>
            <w:vAlign w:val="center"/>
          </w:tcPr>
          <w:p w14:paraId="3742B1A7" w14:textId="3CB020E3" w:rsidR="009169B7" w:rsidRPr="0099117D" w:rsidRDefault="009169B7" w:rsidP="0099117D">
            <w:pPr>
              <w:jc w:val="center"/>
              <w:rPr>
                <w:rFonts w:ascii="Times New Roman" w:hAnsi="Times New Roman" w:cs="Times New Roman"/>
                <w:b/>
                <w:bCs/>
                <w:sz w:val="24"/>
                <w:szCs w:val="24"/>
              </w:rPr>
            </w:pPr>
            <w:r w:rsidRPr="0099117D">
              <w:rPr>
                <w:rFonts w:ascii="Times New Roman" w:hAnsi="Times New Roman" w:cs="Times New Roman"/>
                <w:b/>
                <w:bCs/>
                <w:sz w:val="24"/>
                <w:szCs w:val="24"/>
              </w:rPr>
              <w:t>Pastabos ir pasiūlymai</w:t>
            </w:r>
          </w:p>
        </w:tc>
        <w:tc>
          <w:tcPr>
            <w:tcW w:w="4203" w:type="dxa"/>
            <w:vAlign w:val="center"/>
          </w:tcPr>
          <w:p w14:paraId="2C938E06" w14:textId="26D78108" w:rsidR="009169B7" w:rsidRPr="0099117D" w:rsidRDefault="000A394B" w:rsidP="0099117D">
            <w:pPr>
              <w:jc w:val="center"/>
              <w:rPr>
                <w:rFonts w:ascii="Times New Roman" w:hAnsi="Times New Roman" w:cs="Times New Roman"/>
                <w:b/>
                <w:bCs/>
                <w:sz w:val="24"/>
                <w:szCs w:val="24"/>
              </w:rPr>
            </w:pPr>
            <w:r w:rsidRPr="0099117D">
              <w:rPr>
                <w:rFonts w:ascii="Times New Roman" w:hAnsi="Times New Roman" w:cs="Times New Roman"/>
                <w:b/>
                <w:bCs/>
                <w:sz w:val="24"/>
                <w:szCs w:val="24"/>
              </w:rPr>
              <w:t>Pastabų ir pasiūlymų vertinimas ir (jei taikoma) argumentai, kodėl neatsižvelgta į pastabas ar pasiūlymus</w:t>
            </w:r>
          </w:p>
        </w:tc>
      </w:tr>
      <w:tr w:rsidR="0086766A" w:rsidRPr="0099117D" w14:paraId="0D0BF9F4" w14:textId="77777777" w:rsidTr="0099117D">
        <w:trPr>
          <w:jc w:val="center"/>
        </w:trPr>
        <w:tc>
          <w:tcPr>
            <w:tcW w:w="1176" w:type="dxa"/>
          </w:tcPr>
          <w:p w14:paraId="5C04EBC3" w14:textId="61EEA4B6" w:rsidR="0033729B" w:rsidRPr="0099117D" w:rsidRDefault="5BCF1C9A" w:rsidP="00C47E50">
            <w:pPr>
              <w:jc w:val="center"/>
              <w:rPr>
                <w:rFonts w:ascii="Times New Roman" w:hAnsi="Times New Roman" w:cs="Times New Roman"/>
                <w:b/>
                <w:bCs/>
                <w:sz w:val="24"/>
                <w:szCs w:val="24"/>
              </w:rPr>
            </w:pPr>
            <w:bookmarkStart w:id="2" w:name="_Hlk204158872"/>
            <w:r w:rsidRPr="0099117D">
              <w:rPr>
                <w:rFonts w:ascii="Times New Roman" w:hAnsi="Times New Roman" w:cs="Times New Roman"/>
                <w:b/>
                <w:bCs/>
                <w:sz w:val="24"/>
                <w:szCs w:val="24"/>
              </w:rPr>
              <w:t>VU</w:t>
            </w:r>
          </w:p>
          <w:p w14:paraId="160C0662" w14:textId="07F1A2F3" w:rsidR="00E439AE"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w:t>
            </w:r>
          </w:p>
        </w:tc>
        <w:tc>
          <w:tcPr>
            <w:tcW w:w="1470" w:type="dxa"/>
          </w:tcPr>
          <w:p w14:paraId="665DA036" w14:textId="614628B3" w:rsidR="00E439AE"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5.4 ir 5.29</w:t>
            </w:r>
          </w:p>
        </w:tc>
        <w:tc>
          <w:tcPr>
            <w:tcW w:w="8206" w:type="dxa"/>
          </w:tcPr>
          <w:p w14:paraId="30D823D1" w14:textId="0CAC82AD" w:rsidR="00E439AE" w:rsidRPr="0099117D" w:rsidRDefault="5BCF1C9A" w:rsidP="00C47E50">
            <w:pPr>
              <w:tabs>
                <w:tab w:val="left" w:pos="720"/>
                <w:tab w:val="center" w:pos="4153"/>
                <w:tab w:val="right" w:pos="8306"/>
              </w:tabs>
              <w:jc w:val="both"/>
              <w:rPr>
                <w:rFonts w:ascii="Times New Roman" w:hAnsi="Times New Roman" w:cs="Times New Roman"/>
                <w:sz w:val="24"/>
                <w:szCs w:val="24"/>
              </w:rPr>
            </w:pPr>
            <w:r w:rsidRPr="0099117D">
              <w:rPr>
                <w:rFonts w:ascii="Times New Roman" w:hAnsi="Times New Roman" w:cs="Times New Roman"/>
                <w:sz w:val="24"/>
                <w:szCs w:val="24"/>
              </w:rPr>
              <w:t xml:space="preserve">Remiantis PFSA 2-oje dalyje pateiktomis rodiklių reikšmėmis ir 5.29 papunktyje nurodyta formule, 5 mln. vertės projektui formuojamas papildomas konsorciumo sudėties reikalavimas. Pagal aprašo 5.4 papunktį kiekviename projekte turi dalyvauti bent 3 mokslo ir studijų institucijos (toliau – MSI) ir 2 įmonės, tačiau pagal 5.29 papunktyje nurodytą formulę apskaičiuotas rodiklis Nr. P-12-001-01-02-01-04 „Su mokslinių tyrimų organizacijomis bendradarbiaujančios įmonės“ suponuoja, </w:t>
            </w:r>
            <w:r w:rsidRPr="0099117D">
              <w:rPr>
                <w:rFonts w:ascii="Times New Roman" w:hAnsi="Times New Roman" w:cs="Times New Roman"/>
                <w:sz w:val="24"/>
                <w:szCs w:val="24"/>
              </w:rPr>
              <w:lastRenderedPageBreak/>
              <w:t xml:space="preserve">kad tokių įmonių turi būti bent 15, atitinkamai bendras minimalus projekto vykdytojų skaičius – 18. </w:t>
            </w:r>
            <w:proofErr w:type="spellStart"/>
            <w:r w:rsidRPr="0099117D">
              <w:rPr>
                <w:rFonts w:ascii="Times New Roman" w:hAnsi="Times New Roman" w:cs="Times New Roman"/>
                <w:sz w:val="24"/>
                <w:szCs w:val="24"/>
              </w:rPr>
              <w:t>T.y</w:t>
            </w:r>
            <w:proofErr w:type="spellEnd"/>
            <w:r w:rsidRPr="0099117D">
              <w:rPr>
                <w:rFonts w:ascii="Times New Roman" w:hAnsi="Times New Roman" w:cs="Times New Roman"/>
                <w:sz w:val="24"/>
                <w:szCs w:val="24"/>
              </w:rPr>
              <w:t>. skirtingi aprašo punktai prieštarauja vienas kitam.</w:t>
            </w:r>
          </w:p>
        </w:tc>
        <w:tc>
          <w:tcPr>
            <w:tcW w:w="4203" w:type="dxa"/>
          </w:tcPr>
          <w:p w14:paraId="6EE2C77D" w14:textId="2FBD3607" w:rsidR="00E439AE"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lastRenderedPageBreak/>
              <w:t xml:space="preserve">Neatsižvelgta. PFSA projekto 5.4 papunktyje nurodyti minimalūs reikalavimai dėl sudaromo konsorciumo dalyvių. Atsižvelgiant į PFSA projekto 5.29 papunktį, projekto iniciatoriai turės siekti projekto dydžiui proporcingų </w:t>
            </w:r>
            <w:r w:rsidRPr="0099117D">
              <w:rPr>
                <w:rFonts w:ascii="Times New Roman" w:hAnsi="Times New Roman" w:cs="Times New Roman"/>
                <w:sz w:val="24"/>
                <w:szCs w:val="24"/>
              </w:rPr>
              <w:lastRenderedPageBreak/>
              <w:t>rodiklių reikšmių ir atsižvelgti į tai formuodami konsorciumą.</w:t>
            </w:r>
          </w:p>
        </w:tc>
      </w:tr>
      <w:tr w:rsidR="0086766A" w:rsidRPr="0099117D" w14:paraId="69099696" w14:textId="77777777" w:rsidTr="0099117D">
        <w:trPr>
          <w:jc w:val="center"/>
        </w:trPr>
        <w:tc>
          <w:tcPr>
            <w:tcW w:w="1176" w:type="dxa"/>
          </w:tcPr>
          <w:p w14:paraId="63CEE3E6" w14:textId="731D0126" w:rsidR="00E439AE" w:rsidRPr="0099117D" w:rsidRDefault="00035D9D"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2</w:t>
            </w:r>
          </w:p>
        </w:tc>
        <w:tc>
          <w:tcPr>
            <w:tcW w:w="1470" w:type="dxa"/>
          </w:tcPr>
          <w:p w14:paraId="1309E94A" w14:textId="7127CEF7" w:rsidR="00E439AE" w:rsidRPr="0099117D" w:rsidRDefault="000379A0" w:rsidP="00C47E50">
            <w:pPr>
              <w:jc w:val="center"/>
              <w:rPr>
                <w:rFonts w:ascii="Times New Roman" w:hAnsi="Times New Roman" w:cs="Times New Roman"/>
                <w:sz w:val="24"/>
                <w:szCs w:val="24"/>
              </w:rPr>
            </w:pPr>
            <w:r w:rsidRPr="0099117D">
              <w:rPr>
                <w:rFonts w:ascii="Times New Roman" w:hAnsi="Times New Roman" w:cs="Times New Roman"/>
                <w:sz w:val="24"/>
                <w:szCs w:val="24"/>
              </w:rPr>
              <w:t>5.13</w:t>
            </w:r>
          </w:p>
        </w:tc>
        <w:tc>
          <w:tcPr>
            <w:tcW w:w="8206" w:type="dxa"/>
          </w:tcPr>
          <w:p w14:paraId="7E478396" w14:textId="19365832" w:rsidR="00E439AE" w:rsidRPr="0099117D" w:rsidRDefault="00CB2C27" w:rsidP="00C47E50">
            <w:pPr>
              <w:tabs>
                <w:tab w:val="left" w:pos="720"/>
                <w:tab w:val="center" w:pos="4153"/>
                <w:tab w:val="right" w:pos="8306"/>
              </w:tabs>
              <w:jc w:val="both"/>
              <w:rPr>
                <w:rFonts w:ascii="Times New Roman" w:hAnsi="Times New Roman" w:cs="Times New Roman"/>
                <w:sz w:val="24"/>
                <w:szCs w:val="24"/>
              </w:rPr>
            </w:pPr>
            <w:r w:rsidRPr="0099117D">
              <w:rPr>
                <w:rFonts w:ascii="Times New Roman" w:hAnsi="Times New Roman" w:cs="Times New Roman"/>
                <w:sz w:val="24"/>
                <w:szCs w:val="24"/>
              </w:rPr>
              <w:t xml:space="preserve">5.13 papunktyje įtvirtintas reikalavimas, kad „(...)kolegijos tyrėjai, kurių pagrindinė darbovietė yra atitinkama kolegija, turi sudaryti ne mažiau kaip 10 procentų MTEP </w:t>
            </w:r>
            <w:proofErr w:type="spellStart"/>
            <w:r w:rsidRPr="0099117D">
              <w:rPr>
                <w:rFonts w:ascii="Times New Roman" w:hAnsi="Times New Roman" w:cs="Times New Roman"/>
                <w:sz w:val="24"/>
                <w:szCs w:val="24"/>
              </w:rPr>
              <w:t>paprojekčio</w:t>
            </w:r>
            <w:proofErr w:type="spellEnd"/>
            <w:r w:rsidRPr="0099117D">
              <w:rPr>
                <w:rFonts w:ascii="Times New Roman" w:hAnsi="Times New Roman" w:cs="Times New Roman"/>
                <w:sz w:val="24"/>
                <w:szCs w:val="24"/>
              </w:rPr>
              <w:t xml:space="preserve"> mokslinių tyrimų grupės“. PFSA nėra apibrėžta kas laikoma pagrindine darboviete. Ši sąvoka nėra apibrėžta ir darbo santykius reglamentuojančiuose teisės aktuose, pvz.. LR Darbo kodekse, o teikiant informaciją Pedagogų registrui dalies asmenų atžvilgiu priskyrimas remiasi NPD mokėjimu / nemokėjimu arba netgi </w:t>
            </w:r>
            <w:proofErr w:type="spellStart"/>
            <w:r w:rsidRPr="0099117D">
              <w:rPr>
                <w:rFonts w:ascii="Times New Roman" w:hAnsi="Times New Roman" w:cs="Times New Roman"/>
                <w:sz w:val="24"/>
                <w:szCs w:val="24"/>
              </w:rPr>
              <w:t>savideklaracija</w:t>
            </w:r>
            <w:proofErr w:type="spellEnd"/>
            <w:r w:rsidRPr="0099117D">
              <w:rPr>
                <w:rFonts w:ascii="Times New Roman" w:hAnsi="Times New Roman" w:cs="Times New Roman"/>
                <w:sz w:val="24"/>
                <w:szCs w:val="24"/>
              </w:rPr>
              <w:t>.</w:t>
            </w:r>
          </w:p>
        </w:tc>
        <w:tc>
          <w:tcPr>
            <w:tcW w:w="4203" w:type="dxa"/>
          </w:tcPr>
          <w:p w14:paraId="18900B2E" w14:textId="278746F4" w:rsidR="00E439AE" w:rsidRPr="0099117D" w:rsidRDefault="5BCF1C9A" w:rsidP="00C47E50">
            <w:pPr>
              <w:jc w:val="both"/>
              <w:rPr>
                <w:rFonts w:ascii="Times New Roman" w:eastAsia="Times New Roman" w:hAnsi="Times New Roman" w:cs="Times New Roman"/>
                <w:color w:val="000000" w:themeColor="text1"/>
                <w:sz w:val="24"/>
                <w:szCs w:val="24"/>
              </w:rPr>
            </w:pPr>
            <w:r w:rsidRPr="0099117D">
              <w:rPr>
                <w:rFonts w:ascii="Times New Roman" w:eastAsia="Times New Roman" w:hAnsi="Times New Roman" w:cs="Times New Roman"/>
                <w:color w:val="000000" w:themeColor="text1"/>
                <w:sz w:val="24"/>
                <w:szCs w:val="24"/>
              </w:rPr>
              <w:t>Neatsižvelgta. Pagrindinė darbovietė yra ta darbovietė, kurioje darbuotojui taikomas neapmokestinamas pajamų dydis (NPD). Jei nei vienoje darbovietėje netaikomas NPD, darbuotojas pats pasirenka, kuri darbovietė jam yra pagrindinė pagal darbo krūvį, pareigas, funkcijas ir pan. Siūlome remtis Pedagogų registru.</w:t>
            </w:r>
          </w:p>
        </w:tc>
      </w:tr>
      <w:tr w:rsidR="002A5B33" w:rsidRPr="0099117D" w14:paraId="1AB4AFF9" w14:textId="77777777" w:rsidTr="0099117D">
        <w:trPr>
          <w:jc w:val="center"/>
        </w:trPr>
        <w:tc>
          <w:tcPr>
            <w:tcW w:w="1176" w:type="dxa"/>
          </w:tcPr>
          <w:p w14:paraId="6DF50F6B" w14:textId="77B87CD9" w:rsidR="00A43A0D" w:rsidRPr="0099117D" w:rsidRDefault="0092587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3</w:t>
            </w:r>
          </w:p>
        </w:tc>
        <w:tc>
          <w:tcPr>
            <w:tcW w:w="1470" w:type="dxa"/>
          </w:tcPr>
          <w:p w14:paraId="6D5D6478" w14:textId="06B1F00A" w:rsidR="00A43A0D" w:rsidRPr="0099117D" w:rsidRDefault="00CB6D9F" w:rsidP="00C47E50">
            <w:pPr>
              <w:jc w:val="center"/>
              <w:rPr>
                <w:rFonts w:ascii="Times New Roman" w:hAnsi="Times New Roman" w:cs="Times New Roman"/>
                <w:sz w:val="24"/>
                <w:szCs w:val="24"/>
              </w:rPr>
            </w:pPr>
            <w:r w:rsidRPr="0099117D">
              <w:rPr>
                <w:rFonts w:ascii="Times New Roman" w:hAnsi="Times New Roman" w:cs="Times New Roman"/>
                <w:sz w:val="24"/>
                <w:szCs w:val="24"/>
              </w:rPr>
              <w:t>5.13</w:t>
            </w:r>
          </w:p>
        </w:tc>
        <w:tc>
          <w:tcPr>
            <w:tcW w:w="8206" w:type="dxa"/>
          </w:tcPr>
          <w:p w14:paraId="32E43F50" w14:textId="40ACC29B" w:rsidR="00A43A0D" w:rsidRPr="0099117D" w:rsidRDefault="00A432E1"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Reikėtų patikslinti 5.13 papunkčio nuostatas dėl kolegijos tyrėjų – ar tai asmenys, užimantys tyrėjų pareigas toje kolegijoje, ar asmenys, užimsiantys tokias pareigas projekte. Atkreiptinas dėmesys, kad daugelyje kolegijų pagrindinę akademinio personalo dalį sudaro lektoriai, kurie pagal LR mokslo ir studijų įstatymo 65 straipsnio 1 dalį nėra traktuojami kaip tyrėjai: „Asmenys, kurie nėra tyrėjai arba pripažinti menininkai, aukštosiose mokyklose gali užimti šias dėstytojų pareigybes: vyresniojo lektoriaus, lektoriaus.“.</w:t>
            </w:r>
          </w:p>
        </w:tc>
        <w:tc>
          <w:tcPr>
            <w:tcW w:w="4203" w:type="dxa"/>
          </w:tcPr>
          <w:p w14:paraId="795DB34E" w14:textId="43D800B0"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Turimi omenyje asmenys, užimantys tyrėjų pareigas kolegijose, kurios ketina dalyvauti įgyvendinant projektus.</w:t>
            </w:r>
          </w:p>
        </w:tc>
      </w:tr>
      <w:tr w:rsidR="002A5B33" w:rsidRPr="0099117D" w14:paraId="142880F4" w14:textId="77777777" w:rsidTr="0099117D">
        <w:trPr>
          <w:jc w:val="center"/>
        </w:trPr>
        <w:tc>
          <w:tcPr>
            <w:tcW w:w="1176" w:type="dxa"/>
          </w:tcPr>
          <w:p w14:paraId="20CFA805" w14:textId="7B9A8D5C"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4</w:t>
            </w:r>
          </w:p>
        </w:tc>
        <w:tc>
          <w:tcPr>
            <w:tcW w:w="1470" w:type="dxa"/>
          </w:tcPr>
          <w:p w14:paraId="596D8302" w14:textId="3F6A06B2" w:rsidR="00A43A0D" w:rsidRPr="0099117D" w:rsidRDefault="00E70D91" w:rsidP="00C47E50">
            <w:pPr>
              <w:jc w:val="center"/>
              <w:rPr>
                <w:rFonts w:ascii="Times New Roman" w:hAnsi="Times New Roman" w:cs="Times New Roman"/>
                <w:sz w:val="24"/>
                <w:szCs w:val="24"/>
              </w:rPr>
            </w:pPr>
            <w:r w:rsidRPr="0099117D">
              <w:rPr>
                <w:rFonts w:ascii="Times New Roman" w:hAnsi="Times New Roman" w:cs="Times New Roman"/>
                <w:sz w:val="24"/>
                <w:szCs w:val="24"/>
              </w:rPr>
              <w:t>5.25</w:t>
            </w:r>
          </w:p>
        </w:tc>
        <w:tc>
          <w:tcPr>
            <w:tcW w:w="8206" w:type="dxa"/>
          </w:tcPr>
          <w:p w14:paraId="20CC12C7" w14:textId="77777777" w:rsidR="00422372" w:rsidRPr="0099117D" w:rsidRDefault="00422372" w:rsidP="00C47E50">
            <w:pPr>
              <w:tabs>
                <w:tab w:val="left" w:pos="720"/>
                <w:tab w:val="center" w:pos="4153"/>
                <w:tab w:val="right" w:pos="8306"/>
              </w:tabs>
              <w:jc w:val="both"/>
              <w:rPr>
                <w:rFonts w:ascii="Times New Roman" w:hAnsi="Times New Roman" w:cs="Times New Roman"/>
                <w:sz w:val="24"/>
                <w:szCs w:val="24"/>
              </w:rPr>
            </w:pPr>
            <w:r w:rsidRPr="0099117D">
              <w:rPr>
                <w:rFonts w:ascii="Times New Roman" w:hAnsi="Times New Roman" w:cs="Times New Roman"/>
                <w:sz w:val="24"/>
                <w:szCs w:val="24"/>
              </w:rPr>
              <w:t xml:space="preserve">Jei numatomas tarptautinis ekspertinis vertinimas, siūlome nustatyti, kad ekspertiniam vertinimui naudojamos paraiškos dalys pildomos viena – anglų kalba, o lietuvišką šių dalių vertimą pateikia tik atrinktos paraiškos. </w:t>
            </w:r>
          </w:p>
          <w:p w14:paraId="5947D099" w14:textId="77777777" w:rsidR="00A43A0D" w:rsidRPr="0099117D" w:rsidRDefault="00A43A0D" w:rsidP="00C47E50">
            <w:pPr>
              <w:jc w:val="center"/>
              <w:rPr>
                <w:rFonts w:ascii="Times New Roman" w:hAnsi="Times New Roman" w:cs="Times New Roman"/>
                <w:b/>
                <w:bCs/>
                <w:sz w:val="24"/>
                <w:szCs w:val="24"/>
              </w:rPr>
            </w:pPr>
          </w:p>
        </w:tc>
        <w:tc>
          <w:tcPr>
            <w:tcW w:w="4203" w:type="dxa"/>
          </w:tcPr>
          <w:p w14:paraId="331A5480" w14:textId="749F64B1" w:rsidR="00A43A0D" w:rsidRPr="0099117D" w:rsidRDefault="00E70D91"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w:t>
            </w:r>
            <w:r w:rsidR="00FF25E6" w:rsidRPr="0099117D">
              <w:rPr>
                <w:rFonts w:ascii="Times New Roman" w:hAnsi="Times New Roman" w:cs="Times New Roman"/>
                <w:sz w:val="24"/>
                <w:szCs w:val="24"/>
              </w:rPr>
              <w:t>. Kadangi PFSA priedai yra teisės akto dalis, jie turi būti pildomi ir lietuvių kalba.</w:t>
            </w:r>
          </w:p>
        </w:tc>
      </w:tr>
      <w:tr w:rsidR="002A5B33" w:rsidRPr="0099117D" w14:paraId="2FA62AA8" w14:textId="77777777" w:rsidTr="0099117D">
        <w:trPr>
          <w:jc w:val="center"/>
        </w:trPr>
        <w:tc>
          <w:tcPr>
            <w:tcW w:w="1176" w:type="dxa"/>
          </w:tcPr>
          <w:p w14:paraId="14B0280F" w14:textId="732DFE6D" w:rsidR="00A43A0D" w:rsidRPr="0099117D" w:rsidRDefault="0092587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w:t>
            </w:r>
          </w:p>
        </w:tc>
        <w:tc>
          <w:tcPr>
            <w:tcW w:w="1470" w:type="dxa"/>
          </w:tcPr>
          <w:p w14:paraId="44FD80FF" w14:textId="70566F08" w:rsidR="00A43A0D" w:rsidRPr="0099117D" w:rsidRDefault="00D92353" w:rsidP="00C47E50">
            <w:pPr>
              <w:jc w:val="center"/>
              <w:rPr>
                <w:rFonts w:ascii="Times New Roman" w:hAnsi="Times New Roman" w:cs="Times New Roman"/>
                <w:sz w:val="24"/>
                <w:szCs w:val="24"/>
              </w:rPr>
            </w:pPr>
            <w:r w:rsidRPr="0099117D">
              <w:rPr>
                <w:rFonts w:ascii="Times New Roman" w:hAnsi="Times New Roman" w:cs="Times New Roman"/>
                <w:sz w:val="24"/>
                <w:szCs w:val="24"/>
              </w:rPr>
              <w:t>5.21</w:t>
            </w:r>
          </w:p>
        </w:tc>
        <w:tc>
          <w:tcPr>
            <w:tcW w:w="8206" w:type="dxa"/>
          </w:tcPr>
          <w:p w14:paraId="4C4A7D4B" w14:textId="0D5F39BA" w:rsidR="00A43A0D" w:rsidRPr="0099117D" w:rsidRDefault="009A1574"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5.21 papunktyje nėra aišku ar apribojimas taikomas vienai teikiamai paraiškai (projektui) ir jos </w:t>
            </w:r>
            <w:proofErr w:type="spellStart"/>
            <w:r w:rsidRPr="0099117D">
              <w:rPr>
                <w:rFonts w:ascii="Times New Roman" w:hAnsi="Times New Roman" w:cs="Times New Roman"/>
                <w:sz w:val="24"/>
                <w:szCs w:val="24"/>
              </w:rPr>
              <w:t>paprojekčiams</w:t>
            </w:r>
            <w:proofErr w:type="spellEnd"/>
            <w:r w:rsidRPr="0099117D">
              <w:rPr>
                <w:rFonts w:ascii="Times New Roman" w:hAnsi="Times New Roman" w:cs="Times New Roman"/>
                <w:sz w:val="24"/>
                <w:szCs w:val="24"/>
              </w:rPr>
              <w:t>, ar ir skirtingoms paraiškoms. T.</w:t>
            </w:r>
            <w:r w:rsidR="0099117D" w:rsidRPr="0099117D">
              <w:rPr>
                <w:rFonts w:ascii="Times New Roman" w:hAnsi="Times New Roman" w:cs="Times New Roman"/>
                <w:sz w:val="24"/>
                <w:szCs w:val="24"/>
              </w:rPr>
              <w:t xml:space="preserve"> </w:t>
            </w:r>
            <w:r w:rsidRPr="0099117D">
              <w:rPr>
                <w:rFonts w:ascii="Times New Roman" w:hAnsi="Times New Roman" w:cs="Times New Roman"/>
                <w:sz w:val="24"/>
                <w:szCs w:val="24"/>
              </w:rPr>
              <w:t xml:space="preserve">y. ar tas pats asmuo gali būti paraiškos A ir paraiškos B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vadovu?</w:t>
            </w:r>
          </w:p>
        </w:tc>
        <w:tc>
          <w:tcPr>
            <w:tcW w:w="4203" w:type="dxa"/>
          </w:tcPr>
          <w:p w14:paraId="60B58B19" w14:textId="669D969C"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Neatsižvelgta. Tas pats asmuo gali būti tik vieno projekto vieno MTEP </w:t>
            </w:r>
            <w:proofErr w:type="spellStart"/>
            <w:r w:rsidRPr="0099117D">
              <w:rPr>
                <w:rFonts w:ascii="Times New Roman" w:hAnsi="Times New Roman" w:cs="Times New Roman"/>
                <w:sz w:val="24"/>
                <w:szCs w:val="24"/>
              </w:rPr>
              <w:t>paprojekčio</w:t>
            </w:r>
            <w:proofErr w:type="spellEnd"/>
            <w:r w:rsidRPr="0099117D">
              <w:rPr>
                <w:rFonts w:ascii="Times New Roman" w:hAnsi="Times New Roman" w:cs="Times New Roman"/>
                <w:sz w:val="24"/>
                <w:szCs w:val="24"/>
              </w:rPr>
              <w:t xml:space="preserve"> vadovu, t. y. jis negali vadovauti nei kitam MTEP </w:t>
            </w:r>
            <w:proofErr w:type="spellStart"/>
            <w:r w:rsidRPr="0099117D">
              <w:rPr>
                <w:rFonts w:ascii="Times New Roman" w:hAnsi="Times New Roman" w:cs="Times New Roman"/>
                <w:sz w:val="24"/>
                <w:szCs w:val="24"/>
              </w:rPr>
              <w:t>paprojekčiui</w:t>
            </w:r>
            <w:proofErr w:type="spellEnd"/>
            <w:r w:rsidRPr="0099117D">
              <w:rPr>
                <w:rFonts w:ascii="Times New Roman" w:hAnsi="Times New Roman" w:cs="Times New Roman"/>
                <w:sz w:val="24"/>
                <w:szCs w:val="24"/>
              </w:rPr>
              <w:t xml:space="preserve"> tame pačiame projekte, nei MTEP </w:t>
            </w:r>
            <w:proofErr w:type="spellStart"/>
            <w:r w:rsidRPr="0099117D">
              <w:rPr>
                <w:rFonts w:ascii="Times New Roman" w:hAnsi="Times New Roman" w:cs="Times New Roman"/>
                <w:sz w:val="24"/>
                <w:szCs w:val="24"/>
              </w:rPr>
              <w:t>paprojekčiams</w:t>
            </w:r>
            <w:proofErr w:type="spellEnd"/>
            <w:r w:rsidRPr="0099117D">
              <w:rPr>
                <w:rFonts w:ascii="Times New Roman" w:hAnsi="Times New Roman" w:cs="Times New Roman"/>
                <w:sz w:val="24"/>
                <w:szCs w:val="24"/>
              </w:rPr>
              <w:t xml:space="preserve"> kituose projektuose. T</w:t>
            </w:r>
            <w:r w:rsidRPr="0099117D">
              <w:rPr>
                <w:rFonts w:ascii="Times New Roman" w:eastAsia="Times New Roman" w:hAnsi="Times New Roman" w:cs="Times New Roman"/>
                <w:sz w:val="24"/>
                <w:szCs w:val="24"/>
              </w:rPr>
              <w:t xml:space="preserve">ačiau toks asmuo gali būti to paties projekto kito MTEP </w:t>
            </w:r>
            <w:proofErr w:type="spellStart"/>
            <w:r w:rsidRPr="0099117D">
              <w:rPr>
                <w:rFonts w:ascii="Times New Roman" w:eastAsia="Times New Roman" w:hAnsi="Times New Roman" w:cs="Times New Roman"/>
                <w:sz w:val="24"/>
                <w:szCs w:val="24"/>
              </w:rPr>
              <w:t>paprojekčio</w:t>
            </w:r>
            <w:proofErr w:type="spellEnd"/>
            <w:r w:rsidRPr="0099117D">
              <w:rPr>
                <w:rFonts w:ascii="Times New Roman" w:eastAsia="Times New Roman" w:hAnsi="Times New Roman" w:cs="Times New Roman"/>
                <w:sz w:val="24"/>
                <w:szCs w:val="24"/>
              </w:rPr>
              <w:t xml:space="preserve"> tyrėjų grupės nariu ar kito projekto MTEP </w:t>
            </w:r>
            <w:proofErr w:type="spellStart"/>
            <w:r w:rsidRPr="0099117D">
              <w:rPr>
                <w:rFonts w:ascii="Times New Roman" w:eastAsia="Times New Roman" w:hAnsi="Times New Roman" w:cs="Times New Roman"/>
                <w:sz w:val="24"/>
                <w:szCs w:val="24"/>
              </w:rPr>
              <w:t>paprojekčio</w:t>
            </w:r>
            <w:proofErr w:type="spellEnd"/>
            <w:r w:rsidRPr="0099117D">
              <w:rPr>
                <w:rFonts w:ascii="Times New Roman" w:eastAsia="Times New Roman" w:hAnsi="Times New Roman" w:cs="Times New Roman"/>
                <w:sz w:val="24"/>
                <w:szCs w:val="24"/>
              </w:rPr>
              <w:t xml:space="preserve"> mokslinio tyrimo grupės nariu.</w:t>
            </w:r>
          </w:p>
        </w:tc>
      </w:tr>
      <w:tr w:rsidR="002A5B33" w:rsidRPr="0099117D" w14:paraId="55F6C119" w14:textId="77777777" w:rsidTr="0099117D">
        <w:trPr>
          <w:jc w:val="center"/>
        </w:trPr>
        <w:tc>
          <w:tcPr>
            <w:tcW w:w="1176" w:type="dxa"/>
          </w:tcPr>
          <w:p w14:paraId="14BF2A14" w14:textId="46868D1D" w:rsidR="00A43A0D" w:rsidRPr="0099117D" w:rsidRDefault="0092587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6</w:t>
            </w:r>
          </w:p>
        </w:tc>
        <w:tc>
          <w:tcPr>
            <w:tcW w:w="1470" w:type="dxa"/>
          </w:tcPr>
          <w:p w14:paraId="04BDF9D7" w14:textId="3059D500" w:rsidR="00A43A0D" w:rsidRPr="0099117D" w:rsidRDefault="001D25F2" w:rsidP="00C47E50">
            <w:pPr>
              <w:jc w:val="center"/>
              <w:rPr>
                <w:rFonts w:ascii="Times New Roman" w:hAnsi="Times New Roman" w:cs="Times New Roman"/>
                <w:sz w:val="24"/>
                <w:szCs w:val="24"/>
              </w:rPr>
            </w:pPr>
            <w:r w:rsidRPr="0099117D">
              <w:rPr>
                <w:rFonts w:ascii="Times New Roman" w:hAnsi="Times New Roman" w:cs="Times New Roman"/>
                <w:sz w:val="24"/>
                <w:szCs w:val="24"/>
              </w:rPr>
              <w:t>5.22</w:t>
            </w:r>
          </w:p>
        </w:tc>
        <w:tc>
          <w:tcPr>
            <w:tcW w:w="8206" w:type="dxa"/>
          </w:tcPr>
          <w:p w14:paraId="072665E8" w14:textId="6F6214A2" w:rsidR="00A43A0D" w:rsidRPr="0099117D" w:rsidRDefault="00A62A27"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5.22 papunktyje naudojama sąvoka „pagrindinis mokslinio tyrimo grupės narys“, tačiau niekur nėra apibrėžta kas šio kvietimo kontekste laikoma pagrindiniu, o kas nepagrindiniu vykdytoj</w:t>
            </w:r>
            <w:r w:rsidR="00454D4B" w:rsidRPr="0099117D">
              <w:rPr>
                <w:rFonts w:ascii="Times New Roman" w:hAnsi="Times New Roman" w:cs="Times New Roman"/>
                <w:sz w:val="24"/>
                <w:szCs w:val="24"/>
              </w:rPr>
              <w:t xml:space="preserve">u. </w:t>
            </w:r>
            <w:r w:rsidR="00585EDC" w:rsidRPr="0099117D">
              <w:rPr>
                <w:rFonts w:ascii="Times New Roman" w:hAnsi="Times New Roman" w:cs="Times New Roman"/>
                <w:sz w:val="24"/>
                <w:szCs w:val="24"/>
              </w:rPr>
              <w:t>Atkreiptinas dėmesys, kad 5.31.1 papunktyje sąvoka „pagrindinis veiklų vykdytojas“ jau naudojama kalbant apie instituciją, o ne asmenį. Ši sąvoka irgi neapibrėžta.</w:t>
            </w:r>
          </w:p>
        </w:tc>
        <w:tc>
          <w:tcPr>
            <w:tcW w:w="4203" w:type="dxa"/>
          </w:tcPr>
          <w:p w14:paraId="67201C9E" w14:textId="7669A561"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Atsižvelgta. Formuluotės patikslintos.</w:t>
            </w:r>
          </w:p>
        </w:tc>
      </w:tr>
      <w:tr w:rsidR="002A5B33" w:rsidRPr="0099117D" w14:paraId="00E71353" w14:textId="77777777" w:rsidTr="0099117D">
        <w:trPr>
          <w:jc w:val="center"/>
        </w:trPr>
        <w:tc>
          <w:tcPr>
            <w:tcW w:w="1176" w:type="dxa"/>
          </w:tcPr>
          <w:p w14:paraId="2A983411" w14:textId="32E07292" w:rsidR="00A43A0D" w:rsidRPr="0099117D" w:rsidRDefault="0092587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7</w:t>
            </w:r>
          </w:p>
        </w:tc>
        <w:tc>
          <w:tcPr>
            <w:tcW w:w="1470" w:type="dxa"/>
          </w:tcPr>
          <w:p w14:paraId="2C124047" w14:textId="2A5BF91D" w:rsidR="00A43A0D" w:rsidRPr="0099117D" w:rsidRDefault="0087723A" w:rsidP="00C47E50">
            <w:pPr>
              <w:jc w:val="center"/>
              <w:rPr>
                <w:rFonts w:ascii="Times New Roman" w:hAnsi="Times New Roman" w:cs="Times New Roman"/>
                <w:sz w:val="24"/>
                <w:szCs w:val="24"/>
              </w:rPr>
            </w:pPr>
            <w:r w:rsidRPr="0099117D">
              <w:rPr>
                <w:rFonts w:ascii="Times New Roman" w:hAnsi="Times New Roman" w:cs="Times New Roman"/>
                <w:sz w:val="24"/>
                <w:szCs w:val="24"/>
              </w:rPr>
              <w:t>5.21 ir 5.22</w:t>
            </w:r>
          </w:p>
        </w:tc>
        <w:tc>
          <w:tcPr>
            <w:tcW w:w="8206" w:type="dxa"/>
          </w:tcPr>
          <w:p w14:paraId="53389DF0" w14:textId="2CE5EDD7" w:rsidR="00A43A0D" w:rsidRPr="0099117D" w:rsidRDefault="00390291"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Siūlome performuluoti 5.21 ir 5.22 papunkčius atskiriant reikalavimus, kai asmuo numato dirbti viename projekte ir kai jis/ji dirbs keliuose skirtinguose projektuose.</w:t>
            </w:r>
          </w:p>
        </w:tc>
        <w:tc>
          <w:tcPr>
            <w:tcW w:w="4203" w:type="dxa"/>
          </w:tcPr>
          <w:p w14:paraId="3E0FD83B" w14:textId="752BE8EE" w:rsidR="00A43A0D" w:rsidRPr="0099117D" w:rsidRDefault="5BCF1C9A" w:rsidP="00C47E50">
            <w:pPr>
              <w:rPr>
                <w:rFonts w:ascii="Times New Roman" w:hAnsi="Times New Roman" w:cs="Times New Roman"/>
                <w:sz w:val="24"/>
                <w:szCs w:val="24"/>
              </w:rPr>
            </w:pPr>
            <w:r w:rsidRPr="0099117D">
              <w:rPr>
                <w:rFonts w:ascii="Times New Roman" w:hAnsi="Times New Roman" w:cs="Times New Roman"/>
                <w:sz w:val="24"/>
                <w:szCs w:val="24"/>
              </w:rPr>
              <w:t>Neatsižvelgta. 5.21 ir 5.22 papunkčiai suformuluoti pakankamai aiškiai.</w:t>
            </w:r>
          </w:p>
        </w:tc>
      </w:tr>
      <w:tr w:rsidR="002A5B33" w:rsidRPr="0099117D" w14:paraId="544B4891" w14:textId="77777777" w:rsidTr="0099117D">
        <w:trPr>
          <w:jc w:val="center"/>
        </w:trPr>
        <w:tc>
          <w:tcPr>
            <w:tcW w:w="1176" w:type="dxa"/>
          </w:tcPr>
          <w:p w14:paraId="3BDCF9FF" w14:textId="67980721" w:rsidR="00A43A0D" w:rsidRPr="0099117D" w:rsidRDefault="0092587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8</w:t>
            </w:r>
          </w:p>
        </w:tc>
        <w:tc>
          <w:tcPr>
            <w:tcW w:w="1470" w:type="dxa"/>
          </w:tcPr>
          <w:p w14:paraId="276F70E0" w14:textId="177241D5" w:rsidR="00A43A0D" w:rsidRPr="0099117D" w:rsidRDefault="007B78D0" w:rsidP="00C47E50">
            <w:pPr>
              <w:jc w:val="both"/>
              <w:rPr>
                <w:rFonts w:ascii="Times New Roman" w:hAnsi="Times New Roman" w:cs="Times New Roman"/>
                <w:sz w:val="24"/>
                <w:szCs w:val="24"/>
              </w:rPr>
            </w:pPr>
            <w:r w:rsidRPr="0099117D">
              <w:rPr>
                <w:rFonts w:ascii="Times New Roman" w:hAnsi="Times New Roman" w:cs="Times New Roman"/>
                <w:sz w:val="24"/>
                <w:szCs w:val="24"/>
              </w:rPr>
              <w:t>5.2</w:t>
            </w:r>
            <w:r w:rsidR="004B0055" w:rsidRPr="0099117D">
              <w:rPr>
                <w:rFonts w:ascii="Times New Roman" w:hAnsi="Times New Roman" w:cs="Times New Roman"/>
                <w:sz w:val="24"/>
                <w:szCs w:val="24"/>
              </w:rPr>
              <w:t>6-5.27</w:t>
            </w:r>
          </w:p>
        </w:tc>
        <w:tc>
          <w:tcPr>
            <w:tcW w:w="8206" w:type="dxa"/>
          </w:tcPr>
          <w:p w14:paraId="7949FA05" w14:textId="38614ADB" w:rsidR="00A43A0D" w:rsidRPr="0099117D" w:rsidRDefault="008D05E3" w:rsidP="00C47E50">
            <w:pPr>
              <w:jc w:val="both"/>
              <w:rPr>
                <w:rFonts w:ascii="Times New Roman" w:hAnsi="Times New Roman" w:cs="Times New Roman"/>
                <w:sz w:val="24"/>
                <w:szCs w:val="24"/>
              </w:rPr>
            </w:pPr>
            <w:r w:rsidRPr="0099117D">
              <w:rPr>
                <w:rFonts w:ascii="Times New Roman" w:hAnsi="Times New Roman" w:cs="Times New Roman"/>
                <w:sz w:val="24"/>
                <w:szCs w:val="24"/>
              </w:rPr>
              <w:t>5.26-5.27 papunkčiuose nenumatyta į kurią Misijos tematiką nukreipiamos lėšos, jei grupėse lieka nepaskirstytų lėšų (pvz., jei neužtenka pilnam vieno projekto finansavimui).</w:t>
            </w:r>
          </w:p>
        </w:tc>
        <w:tc>
          <w:tcPr>
            <w:tcW w:w="4203" w:type="dxa"/>
          </w:tcPr>
          <w:p w14:paraId="260977F2" w14:textId="7F9F059E" w:rsidR="00A43A0D" w:rsidRPr="0099117D" w:rsidRDefault="004B0055"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Neatsižvelgta. </w:t>
            </w:r>
            <w:r w:rsidR="00C569BD" w:rsidRPr="0099117D">
              <w:rPr>
                <w:rFonts w:ascii="Times New Roman" w:hAnsi="Times New Roman" w:cs="Times New Roman"/>
                <w:sz w:val="24"/>
                <w:szCs w:val="24"/>
              </w:rPr>
              <w:t xml:space="preserve">Bus remiamasi projektų </w:t>
            </w:r>
            <w:r w:rsidR="0007490D" w:rsidRPr="0099117D">
              <w:rPr>
                <w:rFonts w:ascii="Times New Roman" w:hAnsi="Times New Roman" w:cs="Times New Roman"/>
                <w:sz w:val="24"/>
                <w:szCs w:val="24"/>
              </w:rPr>
              <w:t xml:space="preserve">administravimo ir </w:t>
            </w:r>
            <w:r w:rsidR="00C569BD" w:rsidRPr="0099117D">
              <w:rPr>
                <w:rFonts w:ascii="Times New Roman" w:hAnsi="Times New Roman" w:cs="Times New Roman"/>
                <w:sz w:val="24"/>
                <w:szCs w:val="24"/>
              </w:rPr>
              <w:t xml:space="preserve">finansavimo </w:t>
            </w:r>
            <w:r w:rsidR="000F14E1" w:rsidRPr="0099117D">
              <w:rPr>
                <w:rFonts w:ascii="Times New Roman" w:hAnsi="Times New Roman" w:cs="Times New Roman"/>
                <w:sz w:val="24"/>
                <w:szCs w:val="24"/>
              </w:rPr>
              <w:t>taisyklių 53 punktu.</w:t>
            </w:r>
          </w:p>
        </w:tc>
      </w:tr>
      <w:bookmarkEnd w:id="2"/>
      <w:tr w:rsidR="002A5B33" w:rsidRPr="0099117D" w14:paraId="233D1B56" w14:textId="77777777" w:rsidTr="0099117D">
        <w:trPr>
          <w:jc w:val="center"/>
        </w:trPr>
        <w:tc>
          <w:tcPr>
            <w:tcW w:w="1176" w:type="dxa"/>
          </w:tcPr>
          <w:p w14:paraId="7A3347FF" w14:textId="4E5670C0" w:rsidR="00A43A0D" w:rsidRPr="0099117D" w:rsidRDefault="0092587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9</w:t>
            </w:r>
          </w:p>
        </w:tc>
        <w:tc>
          <w:tcPr>
            <w:tcW w:w="1470" w:type="dxa"/>
          </w:tcPr>
          <w:p w14:paraId="1C5DFDA5" w14:textId="0B941493" w:rsidR="00A43A0D" w:rsidRPr="0099117D" w:rsidRDefault="00D971B1" w:rsidP="00C47E50">
            <w:pPr>
              <w:jc w:val="center"/>
              <w:rPr>
                <w:rFonts w:ascii="Times New Roman" w:hAnsi="Times New Roman" w:cs="Times New Roman"/>
                <w:sz w:val="24"/>
                <w:szCs w:val="24"/>
              </w:rPr>
            </w:pPr>
            <w:r w:rsidRPr="0099117D">
              <w:rPr>
                <w:rFonts w:ascii="Times New Roman" w:hAnsi="Times New Roman" w:cs="Times New Roman"/>
                <w:sz w:val="24"/>
                <w:szCs w:val="24"/>
              </w:rPr>
              <w:t>5.31.1</w:t>
            </w:r>
          </w:p>
        </w:tc>
        <w:tc>
          <w:tcPr>
            <w:tcW w:w="8206" w:type="dxa"/>
          </w:tcPr>
          <w:p w14:paraId="5CD86E18" w14:textId="5AD5F5B3" w:rsidR="00A43A0D" w:rsidRPr="0099117D" w:rsidRDefault="5BCF1C9A"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5.31.1 papunktyje nurodoma, kad partneris gali būti pakeičiamas, jei „jo turimų specifinių MTEP žinių/rezultatų/kompetencijų  pagrindu nėra planuojamas vykdyti MTEP </w:t>
            </w:r>
            <w:proofErr w:type="spellStart"/>
            <w:r w:rsidRPr="0099117D">
              <w:rPr>
                <w:rFonts w:ascii="Times New Roman" w:hAnsi="Times New Roman" w:cs="Times New Roman"/>
                <w:sz w:val="24"/>
                <w:szCs w:val="24"/>
              </w:rPr>
              <w:t>paprojektis</w:t>
            </w:r>
            <w:proofErr w:type="spellEnd"/>
            <w:r w:rsidRPr="0099117D">
              <w:rPr>
                <w:rFonts w:ascii="Times New Roman" w:hAnsi="Times New Roman" w:cs="Times New Roman"/>
                <w:sz w:val="24"/>
                <w:szCs w:val="24"/>
              </w:rPr>
              <w:t xml:space="preserve">“. Tokia formuluotė – loginė klaida, nes, jei partnerio žinių ar kompetencijų nereikia, kodėl jis tapo konsorciumo dalimi? </w:t>
            </w:r>
          </w:p>
        </w:tc>
        <w:tc>
          <w:tcPr>
            <w:tcW w:w="4203" w:type="dxa"/>
          </w:tcPr>
          <w:p w14:paraId="76046FAC" w14:textId="3441E6F9" w:rsidR="00A43A0D" w:rsidRPr="0099117D" w:rsidRDefault="009467C9"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w:t>
            </w:r>
            <w:r w:rsidR="00240BFF" w:rsidRPr="0099117D">
              <w:rPr>
                <w:rFonts w:ascii="Times New Roman" w:hAnsi="Times New Roman" w:cs="Times New Roman"/>
                <w:sz w:val="24"/>
                <w:szCs w:val="24"/>
              </w:rPr>
              <w:t xml:space="preserve">. </w:t>
            </w:r>
            <w:r w:rsidR="00CA65D1" w:rsidRPr="0099117D">
              <w:rPr>
                <w:rFonts w:ascii="Times New Roman" w:hAnsi="Times New Roman" w:cs="Times New Roman"/>
                <w:sz w:val="24"/>
                <w:szCs w:val="24"/>
              </w:rPr>
              <w:t>Bus</w:t>
            </w:r>
            <w:r w:rsidR="00B8006B" w:rsidRPr="0099117D">
              <w:rPr>
                <w:rFonts w:ascii="Times New Roman" w:hAnsi="Times New Roman" w:cs="Times New Roman"/>
                <w:sz w:val="24"/>
                <w:szCs w:val="24"/>
              </w:rPr>
              <w:t xml:space="preserve"> </w:t>
            </w:r>
            <w:r w:rsidR="000C5336" w:rsidRPr="0099117D">
              <w:rPr>
                <w:rFonts w:ascii="Times New Roman" w:hAnsi="Times New Roman" w:cs="Times New Roman"/>
                <w:sz w:val="24"/>
                <w:szCs w:val="24"/>
              </w:rPr>
              <w:t>nustatyta PĮP vertinimo metu</w:t>
            </w:r>
            <w:r w:rsidR="009D7762" w:rsidRPr="0099117D">
              <w:rPr>
                <w:rFonts w:ascii="Times New Roman" w:hAnsi="Times New Roman" w:cs="Times New Roman"/>
                <w:sz w:val="24"/>
                <w:szCs w:val="24"/>
              </w:rPr>
              <w:t>.</w:t>
            </w:r>
          </w:p>
        </w:tc>
      </w:tr>
      <w:tr w:rsidR="002A5B33" w:rsidRPr="0099117D" w14:paraId="40D49441" w14:textId="77777777" w:rsidTr="0099117D">
        <w:trPr>
          <w:jc w:val="center"/>
        </w:trPr>
        <w:tc>
          <w:tcPr>
            <w:tcW w:w="1176" w:type="dxa"/>
          </w:tcPr>
          <w:p w14:paraId="7A4E83D6" w14:textId="766C9F95"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10</w:t>
            </w:r>
          </w:p>
        </w:tc>
        <w:tc>
          <w:tcPr>
            <w:tcW w:w="1470" w:type="dxa"/>
          </w:tcPr>
          <w:p w14:paraId="3124A187" w14:textId="02D66DB6"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5.31.4</w:t>
            </w:r>
          </w:p>
        </w:tc>
        <w:tc>
          <w:tcPr>
            <w:tcW w:w="8206" w:type="dxa"/>
          </w:tcPr>
          <w:p w14:paraId="65558A63" w14:textId="728B99E0"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5.31.1 papunktyje nurodyta tvarka keičiant partnerius nėra aišku, kaip konsorciumas gali/turi užtikrinti 5.31.4 papunktyje nurodytą reikalavimą: „užtikrinti tą pačią vietos konkursinėje eilėje“, kai vietą konkursinėje eilėje nustato ekspertinis vertinimas. Prašome patikslinti, kaip bus tikrinama vieta konkursinėje eilėje keičiant partnerį.</w:t>
            </w:r>
          </w:p>
        </w:tc>
        <w:tc>
          <w:tcPr>
            <w:tcW w:w="4203" w:type="dxa"/>
          </w:tcPr>
          <w:p w14:paraId="1DAAE9B5" w14:textId="36F674E9" w:rsidR="00A43A0D" w:rsidRPr="0099117D" w:rsidRDefault="00F53DCD"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Neatsižvelgta. Keičiantis partneriams turi būti užtikrinama, kad naujasis partneris būtų ne </w:t>
            </w:r>
            <w:r w:rsidR="00281A1E" w:rsidRPr="0099117D">
              <w:rPr>
                <w:rFonts w:ascii="Times New Roman" w:hAnsi="Times New Roman" w:cs="Times New Roman"/>
                <w:sz w:val="24"/>
                <w:szCs w:val="24"/>
              </w:rPr>
              <w:t>prastesnis nei buvęs.</w:t>
            </w:r>
          </w:p>
        </w:tc>
      </w:tr>
      <w:tr w:rsidR="002A5B33" w:rsidRPr="0099117D" w14:paraId="62DA56A2" w14:textId="77777777" w:rsidTr="0099117D">
        <w:trPr>
          <w:jc w:val="center"/>
        </w:trPr>
        <w:tc>
          <w:tcPr>
            <w:tcW w:w="1176" w:type="dxa"/>
          </w:tcPr>
          <w:p w14:paraId="364850BD" w14:textId="0B6BAA35" w:rsidR="00A43A0D" w:rsidRPr="0099117D" w:rsidRDefault="002B7AA9"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11</w:t>
            </w:r>
          </w:p>
        </w:tc>
        <w:tc>
          <w:tcPr>
            <w:tcW w:w="1470" w:type="dxa"/>
          </w:tcPr>
          <w:p w14:paraId="0F4E354F" w14:textId="3168E9EA" w:rsidR="00A43A0D" w:rsidRPr="0099117D" w:rsidRDefault="00211410" w:rsidP="00C47E50">
            <w:pPr>
              <w:jc w:val="both"/>
              <w:rPr>
                <w:rFonts w:ascii="Times New Roman" w:hAnsi="Times New Roman" w:cs="Times New Roman"/>
                <w:sz w:val="24"/>
                <w:szCs w:val="24"/>
              </w:rPr>
            </w:pPr>
            <w:r w:rsidRPr="0099117D">
              <w:rPr>
                <w:rFonts w:ascii="Times New Roman" w:hAnsi="Times New Roman" w:cs="Times New Roman"/>
                <w:sz w:val="24"/>
                <w:szCs w:val="24"/>
              </w:rPr>
              <w:t>12.3</w:t>
            </w:r>
          </w:p>
        </w:tc>
        <w:tc>
          <w:tcPr>
            <w:tcW w:w="8206" w:type="dxa"/>
          </w:tcPr>
          <w:p w14:paraId="4C209740" w14:textId="79813A4F" w:rsidR="00804A6A" w:rsidRPr="0099117D" w:rsidRDefault="5BCF1C9A" w:rsidP="00C47E50">
            <w:pPr>
              <w:tabs>
                <w:tab w:val="left" w:pos="720"/>
                <w:tab w:val="center" w:pos="4153"/>
                <w:tab w:val="right" w:pos="8306"/>
              </w:tabs>
              <w:jc w:val="both"/>
              <w:rPr>
                <w:rFonts w:ascii="Times New Roman" w:hAnsi="Times New Roman" w:cs="Times New Roman"/>
                <w:sz w:val="24"/>
                <w:szCs w:val="24"/>
              </w:rPr>
            </w:pPr>
            <w:r w:rsidRPr="0099117D">
              <w:rPr>
                <w:rFonts w:ascii="Times New Roman" w:hAnsi="Times New Roman" w:cs="Times New Roman"/>
                <w:sz w:val="24"/>
                <w:szCs w:val="24"/>
              </w:rPr>
              <w:t xml:space="preserve">12.3 papunkčio specialiojo atrankos kriterijaus Nr. 3 „Į projekto įgyvendinimą įtraukti studentai, doktorantai, mokslininkai stažuotojai“ aprašyme nurodoma, kad „mokslininkai stažuotojai ir (ar) doktorantai ir (ar) studentai turi būti įdarbinti projekte ne mažiau nei 0,25 etato“. Nėra aišku ar šis reikalavimas taikomas visiems į projektą / jo </w:t>
            </w:r>
            <w:proofErr w:type="spellStart"/>
            <w:r w:rsidRPr="0099117D">
              <w:rPr>
                <w:rFonts w:ascii="Times New Roman" w:hAnsi="Times New Roman" w:cs="Times New Roman"/>
                <w:sz w:val="24"/>
                <w:szCs w:val="24"/>
              </w:rPr>
              <w:t>paprojekčius</w:t>
            </w:r>
            <w:proofErr w:type="spellEnd"/>
            <w:r w:rsidRPr="0099117D">
              <w:rPr>
                <w:rFonts w:ascii="Times New Roman" w:hAnsi="Times New Roman" w:cs="Times New Roman"/>
                <w:sz w:val="24"/>
                <w:szCs w:val="24"/>
              </w:rPr>
              <w:t xml:space="preserve"> įtrauktiems nurodytų kategorijų vykdytojams, ar tik tiems, kurių turi užtikrinti minimalų įtrauktų studentų/doktorantų/stažuotojų reikalavimą. </w:t>
            </w:r>
          </w:p>
          <w:p w14:paraId="465FD896" w14:textId="77777777" w:rsidR="00A43A0D" w:rsidRPr="0099117D" w:rsidRDefault="00A43A0D" w:rsidP="00C47E50">
            <w:pPr>
              <w:jc w:val="both"/>
              <w:rPr>
                <w:rFonts w:ascii="Times New Roman" w:hAnsi="Times New Roman" w:cs="Times New Roman"/>
                <w:sz w:val="24"/>
                <w:szCs w:val="24"/>
              </w:rPr>
            </w:pPr>
          </w:p>
        </w:tc>
        <w:tc>
          <w:tcPr>
            <w:tcW w:w="4203" w:type="dxa"/>
          </w:tcPr>
          <w:p w14:paraId="6604D7DE" w14:textId="593B434F" w:rsidR="00A43A0D" w:rsidRPr="0099117D" w:rsidRDefault="5BCF1C9A" w:rsidP="00C47E50">
            <w:pPr>
              <w:jc w:val="both"/>
              <w:rPr>
                <w:rFonts w:ascii="Times New Roman" w:eastAsia="Times New Roman" w:hAnsi="Times New Roman" w:cs="Times New Roman"/>
                <w:sz w:val="24"/>
                <w:szCs w:val="24"/>
              </w:rPr>
            </w:pPr>
            <w:r w:rsidRPr="0099117D">
              <w:rPr>
                <w:rFonts w:ascii="Times New Roman" w:eastAsia="Times New Roman" w:hAnsi="Times New Roman" w:cs="Times New Roman"/>
                <w:sz w:val="24"/>
                <w:szCs w:val="24"/>
              </w:rPr>
              <w:t>Neatsižvelgta. Reikalavimas dėl 0,25 etato dalies įdarbinimo suformuluotas specialiajam atrankos kriterijui Nr. 3. Visiems kitiems į projektą įtrauktiems atitinkamų kategorijų vykdytojams šis reikalavimas netaikytinas.</w:t>
            </w:r>
          </w:p>
        </w:tc>
      </w:tr>
      <w:tr w:rsidR="002A5B33" w:rsidRPr="0099117D" w14:paraId="538457FC" w14:textId="77777777" w:rsidTr="0099117D">
        <w:trPr>
          <w:jc w:val="center"/>
        </w:trPr>
        <w:tc>
          <w:tcPr>
            <w:tcW w:w="1176" w:type="dxa"/>
          </w:tcPr>
          <w:p w14:paraId="6D3A6FC6" w14:textId="34F0E719"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12</w:t>
            </w:r>
          </w:p>
        </w:tc>
        <w:tc>
          <w:tcPr>
            <w:tcW w:w="1470" w:type="dxa"/>
          </w:tcPr>
          <w:p w14:paraId="75DEE07C" w14:textId="35E9ACF0" w:rsidR="00A43A0D"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12.3</w:t>
            </w:r>
          </w:p>
        </w:tc>
        <w:tc>
          <w:tcPr>
            <w:tcW w:w="8206" w:type="dxa"/>
          </w:tcPr>
          <w:p w14:paraId="30BCA3A1" w14:textId="77777777" w:rsidR="003D1485" w:rsidRPr="0099117D" w:rsidRDefault="5BCF1C9A" w:rsidP="00C47E50">
            <w:pPr>
              <w:tabs>
                <w:tab w:val="left" w:pos="720"/>
                <w:tab w:val="center" w:pos="4153"/>
                <w:tab w:val="right" w:pos="8306"/>
              </w:tabs>
              <w:jc w:val="both"/>
              <w:rPr>
                <w:rFonts w:ascii="Times New Roman" w:hAnsi="Times New Roman" w:cs="Times New Roman"/>
                <w:sz w:val="24"/>
                <w:szCs w:val="24"/>
              </w:rPr>
            </w:pPr>
            <w:r w:rsidRPr="0099117D">
              <w:rPr>
                <w:rFonts w:ascii="Times New Roman" w:hAnsi="Times New Roman" w:cs="Times New Roman"/>
                <w:sz w:val="24"/>
                <w:szCs w:val="24"/>
              </w:rPr>
              <w:t xml:space="preserve">12.3 papunkčio specialiojo atrankos kriterijaus Nr. 3 „Į projekto įgyvendinimą įtraukti studentai, doktorantai, mokslininkai stažuotojai“ aprašyme akcentuojama, kad „projekte įdarbintų doktorantų, mokslininkų stažuotojų vykdomų mokslinių tyrimų temos, 1-os arba 2-os studijų pakopos studentų studijų interesų sritys atitinka projekto temą“. Manome, kad toks reikalavimas yra perteklinis, apribojantis </w:t>
            </w:r>
            <w:r w:rsidRPr="0099117D">
              <w:rPr>
                <w:rFonts w:ascii="Times New Roman" w:hAnsi="Times New Roman" w:cs="Times New Roman"/>
                <w:sz w:val="24"/>
                <w:szCs w:val="24"/>
              </w:rPr>
              <w:lastRenderedPageBreak/>
              <w:t>projekto komandos formavimą pagal projekto poreikius, gali turėti neigiamos įtakos tarpdisciplininių grupių sudarymui.</w:t>
            </w:r>
          </w:p>
          <w:p w14:paraId="0256E212" w14:textId="54E23A29" w:rsidR="00A43A0D" w:rsidRPr="0099117D" w:rsidRDefault="5BCF1C9A" w:rsidP="00C47E50">
            <w:pPr>
              <w:tabs>
                <w:tab w:val="left" w:pos="720"/>
                <w:tab w:val="center" w:pos="4153"/>
                <w:tab w:val="right" w:pos="8306"/>
              </w:tabs>
              <w:jc w:val="both"/>
              <w:rPr>
                <w:rFonts w:ascii="Times New Roman" w:hAnsi="Times New Roman" w:cs="Times New Roman"/>
                <w:sz w:val="24"/>
                <w:szCs w:val="24"/>
              </w:rPr>
            </w:pPr>
            <w:r w:rsidRPr="0099117D">
              <w:rPr>
                <w:rFonts w:ascii="Times New Roman" w:hAnsi="Times New Roman" w:cs="Times New Roman"/>
                <w:sz w:val="24"/>
                <w:szCs w:val="24"/>
              </w:rPr>
              <w:t>Būtina patikslinti kada tikrinamas konkretaus asmens atitikimas atrankos kriterijams pagal konkrečią studijų pakopą/stažuotę, nes atskirų pakopų studijos trunka trumpiau nei konkrečios studijų pakopos trukmė, todėl konkretus asmuo gali baigti studijas ir nebetęsti jų aukštesnėje pakopoje, nutraukti jas ar persigalvoti dėl dalyvavimo projekte ir nėra aišku kaip bus traktuojamas jo/jos tolimesnis dalyvavimas projekte.</w:t>
            </w:r>
          </w:p>
        </w:tc>
        <w:tc>
          <w:tcPr>
            <w:tcW w:w="4203" w:type="dxa"/>
          </w:tcPr>
          <w:p w14:paraId="7DEBB3F1" w14:textId="2CE24798"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lastRenderedPageBreak/>
              <w:t xml:space="preserve">Neatsižvelgta. Svarbu, kad projekte įdarbinamų asmenų vykdoma veikla, studijų interesai sietųsi su projekto tema. Sąsajos neturėtų apsiriboti tik mokslo srities ar krypties atitikimu, o atsispindėti </w:t>
            </w:r>
            <w:r w:rsidRPr="0099117D">
              <w:rPr>
                <w:rFonts w:ascii="Times New Roman" w:hAnsi="Times New Roman" w:cs="Times New Roman"/>
                <w:sz w:val="24"/>
                <w:szCs w:val="24"/>
              </w:rPr>
              <w:lastRenderedPageBreak/>
              <w:t>šių asmenų vykdytų/vykdomų tyrimų, darbų, stažuočių ir pan. temose.</w:t>
            </w:r>
          </w:p>
          <w:p w14:paraId="5A2B8B1A" w14:textId="37DB954A"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Šių asmenų atitikimas kriterijaus reikalavimams tikrinamas vertinant PĮP, tačiau pagal galimybes šio reikalavimo laikymąsi svarbu užtikrinti visu projekto įgyvendinimo laikotarpiu, prireikus vykdant projekto personalo kaitą</w:t>
            </w:r>
          </w:p>
        </w:tc>
      </w:tr>
      <w:tr w:rsidR="002A5B33" w:rsidRPr="0099117D" w14:paraId="1F0B25C8" w14:textId="77777777" w:rsidTr="0099117D">
        <w:trPr>
          <w:jc w:val="center"/>
        </w:trPr>
        <w:tc>
          <w:tcPr>
            <w:tcW w:w="1176" w:type="dxa"/>
          </w:tcPr>
          <w:p w14:paraId="173052D7" w14:textId="2B07AB74"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13</w:t>
            </w:r>
          </w:p>
        </w:tc>
        <w:tc>
          <w:tcPr>
            <w:tcW w:w="1470" w:type="dxa"/>
          </w:tcPr>
          <w:p w14:paraId="33E6B1FC" w14:textId="1148E9EC" w:rsidR="00A43A0D"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12.3</w:t>
            </w:r>
          </w:p>
        </w:tc>
        <w:tc>
          <w:tcPr>
            <w:tcW w:w="8206" w:type="dxa"/>
          </w:tcPr>
          <w:p w14:paraId="3446ED02" w14:textId="0FF0580A" w:rsidR="00A43A0D"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sz w:val="24"/>
                <w:szCs w:val="24"/>
              </w:rPr>
              <w:t>12.3 papunkčio specialiojo atrankos kriterijus Nr. 3 „Į projekto įgyvendinimą įtraukti studentai, doktorantai, mokslininkai stažuotojai“ suponuoja, kad visi į projektą įtraukiami studentai, doktorantai ir stažuotojai, turi būti žinomi iš anksto, kad būtų galima patikrinti jų veiklų sąsajas su projekto tematika. Tačiau įprasta praktika projekto žemesnių kategorijų personalą planuoti pagal pareigas, jau projekto vykdymo metu įtraukiant reikiamų kompetencijų asmenis.</w:t>
            </w:r>
          </w:p>
        </w:tc>
        <w:tc>
          <w:tcPr>
            <w:tcW w:w="4203" w:type="dxa"/>
          </w:tcPr>
          <w:p w14:paraId="1FFF451D" w14:textId="3A4D93B1" w:rsidR="00A43A0D" w:rsidRPr="0099117D" w:rsidRDefault="5BCF1C9A" w:rsidP="00C47E50">
            <w:pPr>
              <w:jc w:val="both"/>
              <w:rPr>
                <w:rFonts w:ascii="Times New Roman" w:eastAsia="Times New Roman" w:hAnsi="Times New Roman" w:cs="Times New Roman"/>
                <w:b/>
                <w:bCs/>
                <w:sz w:val="24"/>
                <w:szCs w:val="24"/>
              </w:rPr>
            </w:pPr>
            <w:r w:rsidRPr="0099117D">
              <w:rPr>
                <w:rFonts w:ascii="Times New Roman" w:eastAsia="Times New Roman" w:hAnsi="Times New Roman" w:cs="Times New Roman"/>
                <w:sz w:val="24"/>
                <w:szCs w:val="24"/>
              </w:rPr>
              <w:t>Neatsižvelgta. Šiuo atveju projekte dalyvausiantys studentai, doktorantai ir mokslininkai stažuotojai, kurie įtraukti siekiant patenkinti specialiojo atrankos kriterijus Nr. 3 reikalavimus, turės būti žinomi iš anksto.</w:t>
            </w:r>
          </w:p>
        </w:tc>
      </w:tr>
      <w:tr w:rsidR="002A5B33" w:rsidRPr="0099117D" w14:paraId="55BA98D6" w14:textId="77777777" w:rsidTr="0099117D">
        <w:trPr>
          <w:jc w:val="center"/>
        </w:trPr>
        <w:tc>
          <w:tcPr>
            <w:tcW w:w="1176" w:type="dxa"/>
          </w:tcPr>
          <w:p w14:paraId="09B51EA2" w14:textId="372D592A" w:rsidR="00A43A0D" w:rsidRPr="0099117D" w:rsidRDefault="009650F2"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14</w:t>
            </w:r>
          </w:p>
        </w:tc>
        <w:tc>
          <w:tcPr>
            <w:tcW w:w="1470" w:type="dxa"/>
          </w:tcPr>
          <w:p w14:paraId="0464F071" w14:textId="6D2E5CC0" w:rsidR="00A43A0D" w:rsidRPr="0099117D" w:rsidRDefault="00AB3158" w:rsidP="00C47E50">
            <w:pPr>
              <w:jc w:val="center"/>
              <w:rPr>
                <w:rFonts w:ascii="Times New Roman" w:hAnsi="Times New Roman" w:cs="Times New Roman"/>
                <w:sz w:val="24"/>
                <w:szCs w:val="24"/>
              </w:rPr>
            </w:pPr>
            <w:r w:rsidRPr="0099117D">
              <w:rPr>
                <w:rFonts w:ascii="Times New Roman" w:hAnsi="Times New Roman" w:cs="Times New Roman"/>
                <w:sz w:val="24"/>
                <w:szCs w:val="24"/>
              </w:rPr>
              <w:t>12.3</w:t>
            </w:r>
          </w:p>
        </w:tc>
        <w:tc>
          <w:tcPr>
            <w:tcW w:w="8206" w:type="dxa"/>
          </w:tcPr>
          <w:p w14:paraId="2F68CC62" w14:textId="63C26A31" w:rsidR="00A43A0D" w:rsidRPr="0099117D" w:rsidRDefault="00672CF9"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12.3. p. specialiojo atrankos kriterijaus Nr. 3. „Į projekto įgyvendinimą įtraukti studentai, doktorantai, mokslininkai stažuotojai“ aprašyme akcentuojama, kad „Tuo atveju, jei projekte dalyvauja mokslinių tyrimų institutas – bent vienas mokslininkas stažuotojas arba doktorantas iš šio instituto“. Prašome patikslinti, kaip traktuojami jungtinės doktorantūros doktorantai.</w:t>
            </w:r>
          </w:p>
        </w:tc>
        <w:tc>
          <w:tcPr>
            <w:tcW w:w="4203" w:type="dxa"/>
          </w:tcPr>
          <w:p w14:paraId="6275A151" w14:textId="2B5AF5FB"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Jungtinės doktorantūros doktorantai priimami studijuoti į vieną pagrindinę instituciją ir su ja pasirašo studijų sutartį. Taigi, doktorantas priskiriamas tai institucijai, su kuria pasirašė sutartį.</w:t>
            </w:r>
          </w:p>
        </w:tc>
      </w:tr>
      <w:tr w:rsidR="002A5B33" w:rsidRPr="0099117D" w14:paraId="5C4221AD" w14:textId="77777777" w:rsidTr="0099117D">
        <w:trPr>
          <w:jc w:val="center"/>
        </w:trPr>
        <w:tc>
          <w:tcPr>
            <w:tcW w:w="1176" w:type="dxa"/>
          </w:tcPr>
          <w:p w14:paraId="72861F9B" w14:textId="6634C362"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15</w:t>
            </w:r>
          </w:p>
        </w:tc>
        <w:tc>
          <w:tcPr>
            <w:tcW w:w="1470" w:type="dxa"/>
          </w:tcPr>
          <w:p w14:paraId="1E7783A8" w14:textId="37917187" w:rsidR="00A43A0D"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12.3</w:t>
            </w:r>
          </w:p>
        </w:tc>
        <w:tc>
          <w:tcPr>
            <w:tcW w:w="8206" w:type="dxa"/>
          </w:tcPr>
          <w:p w14:paraId="6A0291BB" w14:textId="1F3C0DE1" w:rsidR="00A43A0D"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sz w:val="24"/>
                <w:szCs w:val="24"/>
              </w:rPr>
              <w:t xml:space="preserve">12.3. p. specialiojo atrankos kriterijaus Nr. 3. „Į projekto įgyvendinimą įtraukti studentai, doktorantai, mokslininkai stažuotojai“ aprašyme nustatyta, kad „Taip pat vertinama ar kiekvienoje projekto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(mokslinių tyrimų) tyrėjų grupėse dalyvauja bent po vieną mokslininką stažuotoją, arba doktorantą, arba 1-os, arba 2-os studijų pakopos studentą iš bet kurios MSI“. Siekiant išvengti skirtingo aiškinimo, reikėtų patikslinti ar iš bet kokios MSI, ar būtinai tik iš projekte dalyvausiančių MSI. Manytume, kad MSI įtraukimas į projektą neturėtų riboti jos 1-os, 2-os pakopos studentų ar doktorantų įsitraukimo į projekto veiklas.</w:t>
            </w:r>
          </w:p>
        </w:tc>
        <w:tc>
          <w:tcPr>
            <w:tcW w:w="4203" w:type="dxa"/>
          </w:tcPr>
          <w:p w14:paraId="7F9D9AA1" w14:textId="06F2EFE1"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Mokslininkai stažuotojai, doktorantai ir studentai gali būti iš bet kurios mokslo ir studijų institucijos, taip pat nedalyvaujančios projekte.</w:t>
            </w:r>
          </w:p>
        </w:tc>
      </w:tr>
      <w:tr w:rsidR="002A5B33" w:rsidRPr="0099117D" w14:paraId="64A12F74" w14:textId="77777777" w:rsidTr="0099117D">
        <w:trPr>
          <w:jc w:val="center"/>
        </w:trPr>
        <w:tc>
          <w:tcPr>
            <w:tcW w:w="1176" w:type="dxa"/>
          </w:tcPr>
          <w:p w14:paraId="7012C82E" w14:textId="51281BA0" w:rsidR="00A43A0D" w:rsidRPr="0099117D" w:rsidRDefault="002E5644"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16</w:t>
            </w:r>
          </w:p>
        </w:tc>
        <w:tc>
          <w:tcPr>
            <w:tcW w:w="1470" w:type="dxa"/>
          </w:tcPr>
          <w:p w14:paraId="1B9680DA" w14:textId="0293D237" w:rsidR="00A43A0D" w:rsidRPr="0099117D" w:rsidRDefault="00773DF3" w:rsidP="00C47E50">
            <w:pPr>
              <w:jc w:val="center"/>
              <w:rPr>
                <w:rFonts w:ascii="Times New Roman" w:hAnsi="Times New Roman" w:cs="Times New Roman"/>
                <w:sz w:val="24"/>
                <w:szCs w:val="24"/>
              </w:rPr>
            </w:pPr>
            <w:r w:rsidRPr="0099117D">
              <w:rPr>
                <w:rFonts w:ascii="Times New Roman" w:hAnsi="Times New Roman" w:cs="Times New Roman"/>
                <w:sz w:val="24"/>
                <w:szCs w:val="24"/>
              </w:rPr>
              <w:t>12.4</w:t>
            </w:r>
          </w:p>
        </w:tc>
        <w:tc>
          <w:tcPr>
            <w:tcW w:w="8206" w:type="dxa"/>
          </w:tcPr>
          <w:p w14:paraId="77D9F3A6" w14:textId="215A31E8" w:rsidR="00A43A0D" w:rsidRPr="0099117D" w:rsidRDefault="002D0851"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Prioritetinio atrankos kriterijaus Nr. 4 „Projekto parengtumo kokybė“ </w:t>
            </w:r>
            <w:proofErr w:type="spellStart"/>
            <w:r w:rsidRPr="0099117D">
              <w:rPr>
                <w:rFonts w:ascii="Times New Roman" w:hAnsi="Times New Roman" w:cs="Times New Roman"/>
                <w:sz w:val="24"/>
                <w:szCs w:val="24"/>
              </w:rPr>
              <w:t>subkriterijų</w:t>
            </w:r>
            <w:proofErr w:type="spellEnd"/>
            <w:r w:rsidRPr="0099117D">
              <w:rPr>
                <w:rFonts w:ascii="Times New Roman" w:hAnsi="Times New Roman" w:cs="Times New Roman"/>
                <w:sz w:val="24"/>
                <w:szCs w:val="24"/>
              </w:rPr>
              <w:t xml:space="preserve"> aprašymuose, nurodoma, kad „Kiekvienas projektą sudarantis MTEP </w:t>
            </w:r>
            <w:proofErr w:type="spellStart"/>
            <w:r w:rsidRPr="0099117D">
              <w:rPr>
                <w:rFonts w:ascii="Times New Roman" w:hAnsi="Times New Roman" w:cs="Times New Roman"/>
                <w:sz w:val="24"/>
                <w:szCs w:val="24"/>
              </w:rPr>
              <w:t>paprojektis</w:t>
            </w:r>
            <w:proofErr w:type="spellEnd"/>
            <w:r w:rsidRPr="0099117D">
              <w:rPr>
                <w:rFonts w:ascii="Times New Roman" w:hAnsi="Times New Roman" w:cs="Times New Roman"/>
                <w:sz w:val="24"/>
                <w:szCs w:val="24"/>
              </w:rPr>
              <w:t xml:space="preserve"> turi surinkti ne mažiau kaip 5 tarpinius balus pagal šį vertinimo aspektą. Tas MTEP </w:t>
            </w:r>
            <w:proofErr w:type="spellStart"/>
            <w:r w:rsidRPr="0099117D">
              <w:rPr>
                <w:rFonts w:ascii="Times New Roman" w:hAnsi="Times New Roman" w:cs="Times New Roman"/>
                <w:sz w:val="24"/>
                <w:szCs w:val="24"/>
              </w:rPr>
              <w:t>paprojektis</w:t>
            </w:r>
            <w:proofErr w:type="spellEnd"/>
            <w:r w:rsidRPr="0099117D">
              <w:rPr>
                <w:rFonts w:ascii="Times New Roman" w:hAnsi="Times New Roman" w:cs="Times New Roman"/>
                <w:sz w:val="24"/>
                <w:szCs w:val="24"/>
              </w:rPr>
              <w:t xml:space="preserve">, kuriam suteikiama 0 tarpinių balų yra atmetamas, tačiau į šį įvertį </w:t>
            </w:r>
            <w:r w:rsidRPr="0099117D">
              <w:rPr>
                <w:rFonts w:ascii="Times New Roman" w:hAnsi="Times New Roman" w:cs="Times New Roman"/>
                <w:sz w:val="24"/>
                <w:szCs w:val="24"/>
              </w:rPr>
              <w:lastRenderedPageBreak/>
              <w:t xml:space="preserve">atsižvelgiama išvedant bendrą projektui skiriamą balą pagal MTEP </w:t>
            </w:r>
            <w:proofErr w:type="spellStart"/>
            <w:r w:rsidRPr="0099117D">
              <w:rPr>
                <w:rFonts w:ascii="Times New Roman" w:hAnsi="Times New Roman" w:cs="Times New Roman"/>
                <w:sz w:val="24"/>
                <w:szCs w:val="24"/>
              </w:rPr>
              <w:t>paprojekčiams</w:t>
            </w:r>
            <w:proofErr w:type="spellEnd"/>
            <w:r w:rsidRPr="0099117D">
              <w:rPr>
                <w:rFonts w:ascii="Times New Roman" w:hAnsi="Times New Roman" w:cs="Times New Roman"/>
                <w:sz w:val="24"/>
                <w:szCs w:val="24"/>
              </w:rPr>
              <w:t xml:space="preserve"> suteiktų tarpinių balų vidurkį“. Manome, kad įskaičiuoti atmesto </w:t>
            </w:r>
            <w:proofErr w:type="spellStart"/>
            <w:r w:rsidRPr="0099117D">
              <w:rPr>
                <w:rFonts w:ascii="Times New Roman" w:hAnsi="Times New Roman" w:cs="Times New Roman"/>
                <w:sz w:val="24"/>
                <w:szCs w:val="24"/>
              </w:rPr>
              <w:t>paprojekčio</w:t>
            </w:r>
            <w:proofErr w:type="spellEnd"/>
            <w:r w:rsidRPr="0099117D">
              <w:rPr>
                <w:rFonts w:ascii="Times New Roman" w:hAnsi="Times New Roman" w:cs="Times New Roman"/>
                <w:sz w:val="24"/>
                <w:szCs w:val="24"/>
              </w:rPr>
              <w:t xml:space="preserve"> vertinimo rezultatus į bendrą įvertį (įskaitant ir su juo susijusius rezultatus, komandos patirtį ir t.t.) yra nekorektiška, nes šis </w:t>
            </w:r>
            <w:proofErr w:type="spellStart"/>
            <w:r w:rsidRPr="0099117D">
              <w:rPr>
                <w:rFonts w:ascii="Times New Roman" w:hAnsi="Times New Roman" w:cs="Times New Roman"/>
                <w:sz w:val="24"/>
                <w:szCs w:val="24"/>
              </w:rPr>
              <w:t>paprojektis</w:t>
            </w:r>
            <w:proofErr w:type="spellEnd"/>
            <w:r w:rsidRPr="0099117D">
              <w:rPr>
                <w:rFonts w:ascii="Times New Roman" w:hAnsi="Times New Roman" w:cs="Times New Roman"/>
                <w:sz w:val="24"/>
                <w:szCs w:val="24"/>
              </w:rPr>
              <w:t xml:space="preserve"> jau nelems projekto įgyvendinimo kokybės ir prisiimtų įsipareigojimų. </w:t>
            </w:r>
          </w:p>
        </w:tc>
        <w:tc>
          <w:tcPr>
            <w:tcW w:w="4203" w:type="dxa"/>
          </w:tcPr>
          <w:p w14:paraId="7F6519F1" w14:textId="73E25BD7" w:rsidR="00A43A0D" w:rsidRPr="0099117D" w:rsidRDefault="5BCF1C9A" w:rsidP="00C47E50">
            <w:pPr>
              <w:jc w:val="both"/>
              <w:rPr>
                <w:rFonts w:ascii="Times New Roman" w:eastAsia="Times New Roman" w:hAnsi="Times New Roman" w:cs="Times New Roman"/>
                <w:sz w:val="24"/>
                <w:szCs w:val="24"/>
              </w:rPr>
            </w:pPr>
            <w:r w:rsidRPr="0099117D">
              <w:rPr>
                <w:rFonts w:ascii="Times New Roman" w:hAnsi="Times New Roman" w:cs="Times New Roman"/>
                <w:sz w:val="24"/>
                <w:szCs w:val="24"/>
              </w:rPr>
              <w:lastRenderedPageBreak/>
              <w:t xml:space="preserve">Neatsižvelgta. Šis kriterijus reikalingas siekiant atrinkti kokybiškus, įvykdomus projektus, kurių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visuma sudaro logišką dermę. Sąlyga “</w:t>
            </w:r>
            <w:r w:rsidRPr="0099117D">
              <w:rPr>
                <w:rFonts w:ascii="Times New Roman" w:eastAsia="Times New Roman" w:hAnsi="Times New Roman" w:cs="Times New Roman"/>
                <w:color w:val="000000" w:themeColor="text1"/>
                <w:sz w:val="24"/>
                <w:szCs w:val="24"/>
              </w:rPr>
              <w:t xml:space="preserve">Tas MTEP </w:t>
            </w:r>
            <w:proofErr w:type="spellStart"/>
            <w:r w:rsidRPr="0099117D">
              <w:rPr>
                <w:rFonts w:ascii="Times New Roman" w:eastAsia="Times New Roman" w:hAnsi="Times New Roman" w:cs="Times New Roman"/>
                <w:color w:val="000000" w:themeColor="text1"/>
                <w:sz w:val="24"/>
                <w:szCs w:val="24"/>
              </w:rPr>
              <w:lastRenderedPageBreak/>
              <w:t>paprojektis</w:t>
            </w:r>
            <w:proofErr w:type="spellEnd"/>
            <w:r w:rsidRPr="0099117D">
              <w:rPr>
                <w:rFonts w:ascii="Times New Roman" w:eastAsia="Times New Roman" w:hAnsi="Times New Roman" w:cs="Times New Roman"/>
                <w:color w:val="000000" w:themeColor="text1"/>
                <w:sz w:val="24"/>
                <w:szCs w:val="24"/>
              </w:rPr>
              <w:t xml:space="preserve">, kuriam suteikiama 0 tarpinių balų yra atmetamas, tačiau į šį įvertį atsižvelgiama išvedant bendrą projektui skiriamą balą pagal MTEP </w:t>
            </w:r>
            <w:proofErr w:type="spellStart"/>
            <w:r w:rsidRPr="0099117D">
              <w:rPr>
                <w:rFonts w:ascii="Times New Roman" w:eastAsia="Times New Roman" w:hAnsi="Times New Roman" w:cs="Times New Roman"/>
                <w:color w:val="000000" w:themeColor="text1"/>
                <w:sz w:val="24"/>
                <w:szCs w:val="24"/>
              </w:rPr>
              <w:t>paprojekčiams</w:t>
            </w:r>
            <w:proofErr w:type="spellEnd"/>
            <w:r w:rsidRPr="0099117D">
              <w:rPr>
                <w:rFonts w:ascii="Times New Roman" w:eastAsia="Times New Roman" w:hAnsi="Times New Roman" w:cs="Times New Roman"/>
                <w:color w:val="000000" w:themeColor="text1"/>
                <w:sz w:val="24"/>
                <w:szCs w:val="24"/>
              </w:rPr>
              <w:t xml:space="preserve"> suteiktų tarpinių balų vidurkį” taikomas tik prioritetinio atrankos kriterijaus Nr. 4 atžvilgiu.</w:t>
            </w:r>
          </w:p>
        </w:tc>
      </w:tr>
      <w:tr w:rsidR="002A5B33" w:rsidRPr="0099117D" w14:paraId="7D19052A" w14:textId="77777777" w:rsidTr="0099117D">
        <w:trPr>
          <w:jc w:val="center"/>
        </w:trPr>
        <w:tc>
          <w:tcPr>
            <w:tcW w:w="1176" w:type="dxa"/>
          </w:tcPr>
          <w:p w14:paraId="16A66D8E" w14:textId="5DFE01E7" w:rsidR="00A43A0D" w:rsidRPr="0099117D" w:rsidRDefault="002D0851"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17</w:t>
            </w:r>
          </w:p>
        </w:tc>
        <w:tc>
          <w:tcPr>
            <w:tcW w:w="1470" w:type="dxa"/>
          </w:tcPr>
          <w:p w14:paraId="09C59018" w14:textId="0E4F945C" w:rsidR="00A43A0D" w:rsidRPr="0099117D" w:rsidRDefault="00337259"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w:t>
            </w:r>
          </w:p>
        </w:tc>
        <w:tc>
          <w:tcPr>
            <w:tcW w:w="8206" w:type="dxa"/>
          </w:tcPr>
          <w:p w14:paraId="7B35A256" w14:textId="610350E9" w:rsidR="00A43A0D" w:rsidRPr="0099117D" w:rsidRDefault="00F922D3"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PFSA nenurodyta, kad dėl prioritetinių vertinimo kriterijų atmetus vieną </w:t>
            </w:r>
            <w:proofErr w:type="spellStart"/>
            <w:r w:rsidRPr="0099117D">
              <w:rPr>
                <w:rFonts w:ascii="Times New Roman" w:hAnsi="Times New Roman" w:cs="Times New Roman"/>
                <w:sz w:val="24"/>
                <w:szCs w:val="24"/>
              </w:rPr>
              <w:t>paprojektį</w:t>
            </w:r>
            <w:proofErr w:type="spellEnd"/>
            <w:r w:rsidRPr="0099117D">
              <w:rPr>
                <w:rFonts w:ascii="Times New Roman" w:hAnsi="Times New Roman" w:cs="Times New Roman"/>
                <w:sz w:val="24"/>
                <w:szCs w:val="24"/>
              </w:rPr>
              <w:t xml:space="preserve"> ar kelis </w:t>
            </w:r>
            <w:proofErr w:type="spellStart"/>
            <w:r w:rsidRPr="0099117D">
              <w:rPr>
                <w:rFonts w:ascii="Times New Roman" w:hAnsi="Times New Roman" w:cs="Times New Roman"/>
                <w:sz w:val="24"/>
                <w:szCs w:val="24"/>
              </w:rPr>
              <w:t>paprojekčius</w:t>
            </w:r>
            <w:proofErr w:type="spellEnd"/>
            <w:r w:rsidRPr="0099117D">
              <w:rPr>
                <w:rFonts w:ascii="Times New Roman" w:hAnsi="Times New Roman" w:cs="Times New Roman"/>
                <w:sz w:val="24"/>
                <w:szCs w:val="24"/>
              </w:rPr>
              <w:t xml:space="preserve">, yra peržiūrimas projekto tinkamumas per specialiųjų kriterijų prizmę (pvz., gali sumažėti verslo partnerių skaičius ar būti eliminuoti </w:t>
            </w:r>
            <w:proofErr w:type="spellStart"/>
            <w:r w:rsidRPr="0099117D">
              <w:rPr>
                <w:rFonts w:ascii="Times New Roman" w:hAnsi="Times New Roman" w:cs="Times New Roman"/>
                <w:sz w:val="24"/>
                <w:szCs w:val="24"/>
              </w:rPr>
              <w:t>paprojekčiai</w:t>
            </w:r>
            <w:proofErr w:type="spellEnd"/>
            <w:r w:rsidRPr="0099117D">
              <w:rPr>
                <w:rFonts w:ascii="Times New Roman" w:hAnsi="Times New Roman" w:cs="Times New Roman"/>
                <w:sz w:val="24"/>
                <w:szCs w:val="24"/>
              </w:rPr>
              <w:t>, į kuriuos įtrauktos kolegijos).</w:t>
            </w:r>
          </w:p>
        </w:tc>
        <w:tc>
          <w:tcPr>
            <w:tcW w:w="4203" w:type="dxa"/>
          </w:tcPr>
          <w:p w14:paraId="53A1B13B" w14:textId="102F48C2"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Tikslas yra finansuoti tik geriausius projektus.</w:t>
            </w:r>
          </w:p>
        </w:tc>
      </w:tr>
      <w:tr w:rsidR="002A5B33" w:rsidRPr="0099117D" w14:paraId="2D276F9C" w14:textId="77777777" w:rsidTr="0099117D">
        <w:trPr>
          <w:jc w:val="center"/>
        </w:trPr>
        <w:tc>
          <w:tcPr>
            <w:tcW w:w="1176" w:type="dxa"/>
          </w:tcPr>
          <w:p w14:paraId="43E80934" w14:textId="6243B34F"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18</w:t>
            </w:r>
          </w:p>
        </w:tc>
        <w:tc>
          <w:tcPr>
            <w:tcW w:w="1470" w:type="dxa"/>
          </w:tcPr>
          <w:p w14:paraId="37B5EDED" w14:textId="585EB5AB" w:rsidR="00A43A0D"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12.4</w:t>
            </w:r>
          </w:p>
        </w:tc>
        <w:tc>
          <w:tcPr>
            <w:tcW w:w="8206" w:type="dxa"/>
          </w:tcPr>
          <w:p w14:paraId="5975755D" w14:textId="2D9B04A2" w:rsidR="00A43A0D"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sz w:val="24"/>
                <w:szCs w:val="24"/>
              </w:rPr>
              <w:t xml:space="preserve">Prioritetinių kriterijų aprašyme nurodoma, kad vertinama skalėje nuo 0 iki 10, tačiau iš esmės naudojama </w:t>
            </w:r>
            <w:proofErr w:type="spellStart"/>
            <w:r w:rsidRPr="0099117D">
              <w:rPr>
                <w:rFonts w:ascii="Times New Roman" w:hAnsi="Times New Roman" w:cs="Times New Roman"/>
                <w:sz w:val="24"/>
                <w:szCs w:val="24"/>
              </w:rPr>
              <w:t>tribalė</w:t>
            </w:r>
            <w:proofErr w:type="spellEnd"/>
            <w:r w:rsidRPr="0099117D">
              <w:rPr>
                <w:rFonts w:ascii="Times New Roman" w:hAnsi="Times New Roman" w:cs="Times New Roman"/>
                <w:sz w:val="24"/>
                <w:szCs w:val="24"/>
              </w:rPr>
              <w:t xml:space="preserve"> sistema: 0, 5 ir 10. Atsižvelgiant į projektų kompleksiškumą, matytume, kad skalė turėtų būti platesnė ir apimti daugiau tarpinių vertinimų. Atkreiptinas dėmesys, kad niekur nenurodoma kaip yra atliekamas apvalinimas išvedant suminį visų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įvertį. Pvz., 7,5 balo apvalinama į 5 ar į 10 balų.</w:t>
            </w:r>
          </w:p>
        </w:tc>
        <w:tc>
          <w:tcPr>
            <w:tcW w:w="4203" w:type="dxa"/>
          </w:tcPr>
          <w:p w14:paraId="0A244994" w14:textId="7DCC5C12"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Skalė yra optimaliai parinkta. Apvalinama iki sveiko skaičiaus.</w:t>
            </w:r>
          </w:p>
        </w:tc>
      </w:tr>
      <w:tr w:rsidR="002A5B33" w:rsidRPr="0099117D" w14:paraId="2FFDCFB6" w14:textId="77777777" w:rsidTr="0099117D">
        <w:trPr>
          <w:jc w:val="center"/>
        </w:trPr>
        <w:tc>
          <w:tcPr>
            <w:tcW w:w="1176" w:type="dxa"/>
          </w:tcPr>
          <w:p w14:paraId="5CF17A07" w14:textId="71BA79AF"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19</w:t>
            </w:r>
          </w:p>
        </w:tc>
        <w:tc>
          <w:tcPr>
            <w:tcW w:w="1470" w:type="dxa"/>
          </w:tcPr>
          <w:p w14:paraId="36E34DE3" w14:textId="2D90677A" w:rsidR="00A43A0D"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12.5</w:t>
            </w:r>
          </w:p>
        </w:tc>
        <w:tc>
          <w:tcPr>
            <w:tcW w:w="8206" w:type="dxa"/>
          </w:tcPr>
          <w:p w14:paraId="492FD428" w14:textId="72192DFB" w:rsidR="00A43A0D" w:rsidRPr="0099117D" w:rsidRDefault="5BCF1C9A"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Prioritetinio vertinimo kriterijaus Nr. 5 „Projekte numatytų MTEP darbų naujumas, rezultatų naujumas ir </w:t>
            </w:r>
            <w:proofErr w:type="spellStart"/>
            <w:r w:rsidRPr="0099117D">
              <w:rPr>
                <w:rFonts w:ascii="Times New Roman" w:hAnsi="Times New Roman" w:cs="Times New Roman"/>
                <w:sz w:val="24"/>
                <w:szCs w:val="24"/>
              </w:rPr>
              <w:t>komercinimo</w:t>
            </w:r>
            <w:proofErr w:type="spellEnd"/>
            <w:r w:rsidRPr="0099117D">
              <w:rPr>
                <w:rFonts w:ascii="Times New Roman" w:hAnsi="Times New Roman" w:cs="Times New Roman"/>
                <w:sz w:val="24"/>
                <w:szCs w:val="24"/>
              </w:rPr>
              <w:t xml:space="preserve"> potencialas“ </w:t>
            </w:r>
            <w:proofErr w:type="spellStart"/>
            <w:r w:rsidRPr="0099117D">
              <w:rPr>
                <w:rFonts w:ascii="Times New Roman" w:hAnsi="Times New Roman" w:cs="Times New Roman"/>
                <w:sz w:val="24"/>
                <w:szCs w:val="24"/>
              </w:rPr>
              <w:t>subkriterijus</w:t>
            </w:r>
            <w:proofErr w:type="spellEnd"/>
            <w:r w:rsidRPr="0099117D">
              <w:rPr>
                <w:rFonts w:ascii="Times New Roman" w:hAnsi="Times New Roman" w:cs="Times New Roman"/>
                <w:sz w:val="24"/>
                <w:szCs w:val="24"/>
              </w:rPr>
              <w:t xml:space="preserve"> 5.3 „ar planuojami sukurti produktai ir prototipai žymiai geresni, nei alternatyvūs sprendimai esantys rinkoje, projekto rezultatai skirti vartotojo rinkai“ yra itin subjektyvus, neapibrėžta, kas yra „žymiai geresni“. Iš skalės galima spręsti, kad siejama su TRL lygmeniu, kas iš principo nerodo produkto ar prototipo aktualumo ar galimo </w:t>
            </w:r>
            <w:proofErr w:type="spellStart"/>
            <w:r w:rsidRPr="0099117D">
              <w:rPr>
                <w:rFonts w:ascii="Times New Roman" w:hAnsi="Times New Roman" w:cs="Times New Roman"/>
                <w:sz w:val="24"/>
                <w:szCs w:val="24"/>
              </w:rPr>
              <w:t>komercinimo</w:t>
            </w:r>
            <w:proofErr w:type="spellEnd"/>
            <w:r w:rsidRPr="0099117D">
              <w:rPr>
                <w:rFonts w:ascii="Times New Roman" w:hAnsi="Times New Roman" w:cs="Times New Roman"/>
                <w:sz w:val="24"/>
                <w:szCs w:val="24"/>
              </w:rPr>
              <w:t xml:space="preserve"> potencialo. </w:t>
            </w:r>
          </w:p>
        </w:tc>
        <w:tc>
          <w:tcPr>
            <w:tcW w:w="4203" w:type="dxa"/>
          </w:tcPr>
          <w:p w14:paraId="4AEAE270" w14:textId="42639632" w:rsidR="00A43A0D" w:rsidRPr="0099117D" w:rsidRDefault="00677148"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w:t>
            </w:r>
            <w:r w:rsidR="000064C7" w:rsidRPr="0099117D">
              <w:rPr>
                <w:rFonts w:ascii="Times New Roman" w:hAnsi="Times New Roman" w:cs="Times New Roman"/>
                <w:sz w:val="24"/>
                <w:szCs w:val="24"/>
              </w:rPr>
              <w:t xml:space="preserve">. </w:t>
            </w:r>
            <w:r w:rsidR="009648F9" w:rsidRPr="0099117D">
              <w:rPr>
                <w:rFonts w:ascii="Times New Roman" w:hAnsi="Times New Roman" w:cs="Times New Roman"/>
                <w:sz w:val="24"/>
                <w:szCs w:val="24"/>
              </w:rPr>
              <w:t>Kriterijaus vertinimo aspektai aiškūs ir objektyvūs</w:t>
            </w:r>
            <w:r w:rsidR="00142467" w:rsidRPr="0099117D">
              <w:rPr>
                <w:rFonts w:ascii="Times New Roman" w:hAnsi="Times New Roman" w:cs="Times New Roman"/>
                <w:sz w:val="24"/>
                <w:szCs w:val="24"/>
              </w:rPr>
              <w:t>.</w:t>
            </w:r>
          </w:p>
        </w:tc>
      </w:tr>
      <w:tr w:rsidR="002A5B33" w:rsidRPr="0099117D" w14:paraId="72BB8A08" w14:textId="77777777" w:rsidTr="0099117D">
        <w:trPr>
          <w:jc w:val="center"/>
        </w:trPr>
        <w:tc>
          <w:tcPr>
            <w:tcW w:w="1176" w:type="dxa"/>
          </w:tcPr>
          <w:p w14:paraId="3716379C" w14:textId="35500E00" w:rsidR="00A43A0D" w:rsidRPr="0099117D" w:rsidRDefault="000703BF"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20</w:t>
            </w:r>
          </w:p>
        </w:tc>
        <w:tc>
          <w:tcPr>
            <w:tcW w:w="1470" w:type="dxa"/>
          </w:tcPr>
          <w:p w14:paraId="6A6021E1" w14:textId="4A967D18" w:rsidR="00A43A0D" w:rsidRPr="0099117D" w:rsidRDefault="00083D08" w:rsidP="00C47E50">
            <w:pPr>
              <w:jc w:val="center"/>
              <w:rPr>
                <w:rFonts w:ascii="Times New Roman" w:hAnsi="Times New Roman" w:cs="Times New Roman"/>
                <w:sz w:val="24"/>
                <w:szCs w:val="24"/>
              </w:rPr>
            </w:pPr>
            <w:r w:rsidRPr="0099117D">
              <w:rPr>
                <w:rFonts w:ascii="Times New Roman" w:hAnsi="Times New Roman" w:cs="Times New Roman"/>
                <w:sz w:val="24"/>
                <w:szCs w:val="24"/>
              </w:rPr>
              <w:t>12.5</w:t>
            </w:r>
          </w:p>
        </w:tc>
        <w:tc>
          <w:tcPr>
            <w:tcW w:w="8206" w:type="dxa"/>
          </w:tcPr>
          <w:p w14:paraId="05009626" w14:textId="5B9A8DD1" w:rsidR="00A43A0D" w:rsidRPr="0099117D" w:rsidRDefault="00DF6C91"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Prioritetinio vertinimo kriterijaus Nr. 5 „Projekte numatytų MTEP darbų naujumas, rezultatų naujumas ir </w:t>
            </w:r>
            <w:proofErr w:type="spellStart"/>
            <w:r w:rsidRPr="0099117D">
              <w:rPr>
                <w:rFonts w:ascii="Times New Roman" w:hAnsi="Times New Roman" w:cs="Times New Roman"/>
                <w:sz w:val="24"/>
                <w:szCs w:val="24"/>
              </w:rPr>
              <w:t>komercinimo</w:t>
            </w:r>
            <w:proofErr w:type="spellEnd"/>
            <w:r w:rsidRPr="0099117D">
              <w:rPr>
                <w:rFonts w:ascii="Times New Roman" w:hAnsi="Times New Roman" w:cs="Times New Roman"/>
                <w:sz w:val="24"/>
                <w:szCs w:val="24"/>
              </w:rPr>
              <w:t xml:space="preserve"> potencialas“ </w:t>
            </w:r>
            <w:proofErr w:type="spellStart"/>
            <w:r w:rsidRPr="0099117D">
              <w:rPr>
                <w:rFonts w:ascii="Times New Roman" w:hAnsi="Times New Roman" w:cs="Times New Roman"/>
                <w:sz w:val="24"/>
                <w:szCs w:val="24"/>
              </w:rPr>
              <w:t>subkriterijus</w:t>
            </w:r>
            <w:proofErr w:type="spellEnd"/>
            <w:r w:rsidRPr="0099117D">
              <w:rPr>
                <w:rFonts w:ascii="Times New Roman" w:hAnsi="Times New Roman" w:cs="Times New Roman"/>
                <w:sz w:val="24"/>
                <w:szCs w:val="24"/>
              </w:rPr>
              <w:t xml:space="preserve"> 5.3 „ar planuojami sukurti produktai ir prototipai žymiai geresni, nei alternatyvūs sprendimai esantys rinkoje, projekto rezultatai skirti vartotojo rinkai“ 0 balų skiriama, jei neplanuojama aukštesnio, nei 6 MTEP etapo rezultatų – tai nekoreliuoja su PFSA 5.12 punktu, pagal kurį 6 MTEP etapas yra minimalus rezultatas: taip sukuriama klaidinga nuostata, kad galima siekti 6 MTEP etapo. </w:t>
            </w:r>
          </w:p>
        </w:tc>
        <w:tc>
          <w:tcPr>
            <w:tcW w:w="4203" w:type="dxa"/>
          </w:tcPr>
          <w:p w14:paraId="028CE861" w14:textId="72041D10" w:rsidR="00A43A0D" w:rsidRPr="0099117D" w:rsidRDefault="00B115AF" w:rsidP="00C47E50">
            <w:pPr>
              <w:jc w:val="both"/>
              <w:rPr>
                <w:rFonts w:ascii="Times New Roman" w:hAnsi="Times New Roman" w:cs="Times New Roman"/>
                <w:sz w:val="24"/>
                <w:szCs w:val="24"/>
              </w:rPr>
            </w:pPr>
            <w:r w:rsidRPr="0099117D">
              <w:rPr>
                <w:rFonts w:ascii="Times New Roman" w:hAnsi="Times New Roman" w:cs="Times New Roman"/>
                <w:sz w:val="24"/>
                <w:szCs w:val="24"/>
              </w:rPr>
              <w:t>Atsiž</w:t>
            </w:r>
            <w:r w:rsidR="00351490" w:rsidRPr="0099117D">
              <w:rPr>
                <w:rFonts w:ascii="Times New Roman" w:hAnsi="Times New Roman" w:cs="Times New Roman"/>
                <w:sz w:val="24"/>
                <w:szCs w:val="24"/>
              </w:rPr>
              <w:t>velgta. Patikslintas MTEP etapas.</w:t>
            </w:r>
          </w:p>
        </w:tc>
      </w:tr>
      <w:tr w:rsidR="002A5B33" w:rsidRPr="0099117D" w14:paraId="7EAEF31A" w14:textId="77777777" w:rsidTr="0099117D">
        <w:trPr>
          <w:jc w:val="center"/>
        </w:trPr>
        <w:tc>
          <w:tcPr>
            <w:tcW w:w="1176" w:type="dxa"/>
          </w:tcPr>
          <w:p w14:paraId="1FAB48FA" w14:textId="7A0A882A" w:rsidR="00A43A0D" w:rsidRPr="0099117D" w:rsidRDefault="003601AE"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21</w:t>
            </w:r>
          </w:p>
        </w:tc>
        <w:tc>
          <w:tcPr>
            <w:tcW w:w="1470" w:type="dxa"/>
          </w:tcPr>
          <w:p w14:paraId="091B50CD" w14:textId="0FC2387E" w:rsidR="00A43A0D" w:rsidRPr="0099117D" w:rsidRDefault="00083D08" w:rsidP="00C47E50">
            <w:pPr>
              <w:jc w:val="center"/>
              <w:rPr>
                <w:rFonts w:ascii="Times New Roman" w:hAnsi="Times New Roman" w:cs="Times New Roman"/>
                <w:sz w:val="24"/>
                <w:szCs w:val="24"/>
              </w:rPr>
            </w:pPr>
            <w:r w:rsidRPr="0099117D">
              <w:rPr>
                <w:rFonts w:ascii="Times New Roman" w:hAnsi="Times New Roman" w:cs="Times New Roman"/>
                <w:sz w:val="24"/>
                <w:szCs w:val="24"/>
              </w:rPr>
              <w:t>12.6</w:t>
            </w:r>
          </w:p>
        </w:tc>
        <w:tc>
          <w:tcPr>
            <w:tcW w:w="8206" w:type="dxa"/>
          </w:tcPr>
          <w:p w14:paraId="77F781DD" w14:textId="1D96C583" w:rsidR="00A43A0D" w:rsidRPr="0099117D" w:rsidRDefault="006527F5"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Prioritetinio vertinimo kriterijaus Nr. 6 „Projekto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(mokslinių tyrimų) vadovų ir tyrėjų grupių tarptautinė mokslinė kompetencija“ </w:t>
            </w:r>
            <w:proofErr w:type="spellStart"/>
            <w:r w:rsidRPr="0099117D">
              <w:rPr>
                <w:rFonts w:ascii="Times New Roman" w:hAnsi="Times New Roman" w:cs="Times New Roman"/>
                <w:sz w:val="24"/>
                <w:szCs w:val="24"/>
              </w:rPr>
              <w:t>subkriterijaus</w:t>
            </w:r>
            <w:proofErr w:type="spellEnd"/>
            <w:r w:rsidRPr="0099117D">
              <w:rPr>
                <w:rFonts w:ascii="Times New Roman" w:hAnsi="Times New Roman" w:cs="Times New Roman"/>
                <w:sz w:val="24"/>
                <w:szCs w:val="24"/>
              </w:rPr>
              <w:t xml:space="preserve"> 6.1.1. „moksliniai pasiekimai tarptautiniame kontekste, dalyvaujant Europos Sąjungos bendrųjų mokslinių tyrimų ir inovacijų programų „Horizontas 2020“ ir „Europos Horizontas“ projektuose“ vertinama ne </w:t>
            </w:r>
            <w:proofErr w:type="spellStart"/>
            <w:r w:rsidRPr="0099117D">
              <w:rPr>
                <w:rFonts w:ascii="Times New Roman" w:hAnsi="Times New Roman" w:cs="Times New Roman"/>
                <w:sz w:val="24"/>
                <w:szCs w:val="24"/>
              </w:rPr>
              <w:t>paprojekčio</w:t>
            </w:r>
            <w:proofErr w:type="spellEnd"/>
            <w:r w:rsidRPr="0099117D">
              <w:rPr>
                <w:rFonts w:ascii="Times New Roman" w:hAnsi="Times New Roman" w:cs="Times New Roman"/>
                <w:sz w:val="24"/>
                <w:szCs w:val="24"/>
              </w:rPr>
              <w:t xml:space="preserve"> vadovo mokslinė kompetencija, bet kompetencija būtent teikiamos paraiškos tematika. Tai subjektyvus vertinimas, apribojantis naujų aktualių tematikų siūlymą, kas automatiškai prieštarauja prioritetiniam atrankos kriterijaus Nr. 5 </w:t>
            </w:r>
            <w:proofErr w:type="spellStart"/>
            <w:r w:rsidRPr="0099117D">
              <w:rPr>
                <w:rFonts w:ascii="Times New Roman" w:hAnsi="Times New Roman" w:cs="Times New Roman"/>
                <w:sz w:val="24"/>
                <w:szCs w:val="24"/>
              </w:rPr>
              <w:t>subkriterijui</w:t>
            </w:r>
            <w:proofErr w:type="spellEnd"/>
            <w:r w:rsidRPr="0099117D">
              <w:rPr>
                <w:rFonts w:ascii="Times New Roman" w:hAnsi="Times New Roman" w:cs="Times New Roman"/>
                <w:sz w:val="24"/>
                <w:szCs w:val="24"/>
              </w:rPr>
              <w:t xml:space="preserve"> 5.1 „ar projekto mokslinių tyrimų grupių veiklos yra orientuotos į naujų žinių ir (arba) technologijų kūrimą ir įgyvendinant veiklas sprendžiama aktuali MTEP problema“. Jei kuriamos tikrai naujos žinios ir (ar) technologijos, automatiškai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vadovų kompetencija bus vertinama prasčiau. Be to, sąsajos su vykdytais projektais (kuo akivaizdesnės, tuo geriau) pagal abu </w:t>
            </w:r>
            <w:proofErr w:type="spellStart"/>
            <w:r w:rsidRPr="0099117D">
              <w:rPr>
                <w:rFonts w:ascii="Times New Roman" w:hAnsi="Times New Roman" w:cs="Times New Roman"/>
                <w:sz w:val="24"/>
                <w:szCs w:val="24"/>
              </w:rPr>
              <w:t>subkriterijaus</w:t>
            </w:r>
            <w:proofErr w:type="spellEnd"/>
            <w:r w:rsidRPr="0099117D">
              <w:rPr>
                <w:rFonts w:ascii="Times New Roman" w:hAnsi="Times New Roman" w:cs="Times New Roman"/>
                <w:sz w:val="24"/>
                <w:szCs w:val="24"/>
              </w:rPr>
              <w:t xml:space="preserve"> 6.1.1 požymius suponuoja potencialų dvigubą finansavimą ir tyrimų multiplikavimą, o ne naujumą.</w:t>
            </w:r>
          </w:p>
        </w:tc>
        <w:tc>
          <w:tcPr>
            <w:tcW w:w="4203" w:type="dxa"/>
          </w:tcPr>
          <w:p w14:paraId="0EE872F6" w14:textId="678BB89D"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Šis kriterijus skirtas mokslinių tyrimų vadovų ir tyrėjų grupių tarptautinei mokslinei kompetencijai įvertinti.</w:t>
            </w:r>
          </w:p>
          <w:p w14:paraId="6D3E00BB" w14:textId="31016CE4"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Vadovo patirtis </w:t>
            </w:r>
            <w:proofErr w:type="spellStart"/>
            <w:r w:rsidRPr="0099117D">
              <w:rPr>
                <w:rFonts w:ascii="Times New Roman" w:hAnsi="Times New Roman" w:cs="Times New Roman"/>
                <w:sz w:val="24"/>
                <w:szCs w:val="24"/>
              </w:rPr>
              <w:t>temiškai</w:t>
            </w:r>
            <w:proofErr w:type="spellEnd"/>
            <w:r w:rsidRPr="0099117D">
              <w:rPr>
                <w:rFonts w:ascii="Times New Roman" w:hAnsi="Times New Roman" w:cs="Times New Roman"/>
                <w:sz w:val="24"/>
                <w:szCs w:val="24"/>
              </w:rPr>
              <w:t xml:space="preserve"> turi sietis su projektu. Nemanome, kad tai užkerta kelią orientacijai į naujų žinių kūrimą.</w:t>
            </w:r>
          </w:p>
        </w:tc>
      </w:tr>
      <w:tr w:rsidR="002A5B33" w:rsidRPr="0099117D" w14:paraId="71271CBD" w14:textId="77777777" w:rsidTr="0099117D">
        <w:trPr>
          <w:jc w:val="center"/>
        </w:trPr>
        <w:tc>
          <w:tcPr>
            <w:tcW w:w="1176" w:type="dxa"/>
          </w:tcPr>
          <w:p w14:paraId="18B11F50" w14:textId="4D3A326D"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22</w:t>
            </w:r>
          </w:p>
        </w:tc>
        <w:tc>
          <w:tcPr>
            <w:tcW w:w="1470" w:type="dxa"/>
          </w:tcPr>
          <w:p w14:paraId="5E0B0512" w14:textId="5AFC94AB" w:rsidR="00A43A0D"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12.6</w:t>
            </w:r>
          </w:p>
        </w:tc>
        <w:tc>
          <w:tcPr>
            <w:tcW w:w="8206" w:type="dxa"/>
          </w:tcPr>
          <w:p w14:paraId="67CE688A" w14:textId="7FE4D534" w:rsidR="00A43A0D" w:rsidRPr="0099117D" w:rsidRDefault="5BCF1C9A"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Atkreiptinas dėmesys, kad vertinami tik programų „Horizontas 2020“ ir „Europos horizontas“ projektai, tačiau vadovų ir tyrėjų grupės mokslinę kompetenciją iliustruoja ir dalyvavimas kitose programos, pavyzdžiui, </w:t>
            </w:r>
            <w:proofErr w:type="spellStart"/>
            <w:r w:rsidRPr="0099117D">
              <w:rPr>
                <w:rFonts w:ascii="Times New Roman" w:hAnsi="Times New Roman" w:cs="Times New Roman"/>
                <w:sz w:val="24"/>
                <w:szCs w:val="24"/>
              </w:rPr>
              <w:t>National</w:t>
            </w:r>
            <w:proofErr w:type="spellEnd"/>
            <w:r w:rsidRPr="0099117D">
              <w:rPr>
                <w:rFonts w:ascii="Times New Roman" w:hAnsi="Times New Roman" w:cs="Times New Roman"/>
                <w:sz w:val="24"/>
                <w:szCs w:val="24"/>
              </w:rPr>
              <w:t xml:space="preserve"> </w:t>
            </w:r>
            <w:proofErr w:type="spellStart"/>
            <w:r w:rsidRPr="0099117D">
              <w:rPr>
                <w:rFonts w:ascii="Times New Roman" w:hAnsi="Times New Roman" w:cs="Times New Roman"/>
                <w:sz w:val="24"/>
                <w:szCs w:val="24"/>
              </w:rPr>
              <w:t>Institutes</w:t>
            </w:r>
            <w:proofErr w:type="spellEnd"/>
            <w:r w:rsidRPr="0099117D">
              <w:rPr>
                <w:rFonts w:ascii="Times New Roman" w:hAnsi="Times New Roman" w:cs="Times New Roman"/>
                <w:sz w:val="24"/>
                <w:szCs w:val="24"/>
              </w:rPr>
              <w:t xml:space="preserve"> </w:t>
            </w:r>
            <w:proofErr w:type="spellStart"/>
            <w:r w:rsidRPr="0099117D">
              <w:rPr>
                <w:rFonts w:ascii="Times New Roman" w:hAnsi="Times New Roman" w:cs="Times New Roman"/>
                <w:sz w:val="24"/>
                <w:szCs w:val="24"/>
              </w:rPr>
              <w:t>of</w:t>
            </w:r>
            <w:proofErr w:type="spellEnd"/>
            <w:r w:rsidRPr="0099117D">
              <w:rPr>
                <w:rFonts w:ascii="Times New Roman" w:hAnsi="Times New Roman" w:cs="Times New Roman"/>
                <w:sz w:val="24"/>
                <w:szCs w:val="24"/>
              </w:rPr>
              <w:t xml:space="preserve"> </w:t>
            </w:r>
            <w:proofErr w:type="spellStart"/>
            <w:r w:rsidRPr="0099117D">
              <w:rPr>
                <w:rFonts w:ascii="Times New Roman" w:hAnsi="Times New Roman" w:cs="Times New Roman"/>
                <w:sz w:val="24"/>
                <w:szCs w:val="24"/>
              </w:rPr>
              <w:t>Health</w:t>
            </w:r>
            <w:proofErr w:type="spellEnd"/>
            <w:r w:rsidRPr="0099117D">
              <w:rPr>
                <w:rFonts w:ascii="Times New Roman" w:hAnsi="Times New Roman" w:cs="Times New Roman"/>
                <w:sz w:val="24"/>
                <w:szCs w:val="24"/>
              </w:rPr>
              <w:t xml:space="preserve">, Europos kosmoso agentūros, Europos gynybos agentūros ir kt. Siūlytina šio kriterijaus atsisakyti, paliekant tik 6.1.2 </w:t>
            </w:r>
            <w:proofErr w:type="spellStart"/>
            <w:r w:rsidRPr="0099117D">
              <w:rPr>
                <w:rFonts w:ascii="Times New Roman" w:hAnsi="Times New Roman" w:cs="Times New Roman"/>
                <w:sz w:val="24"/>
                <w:szCs w:val="24"/>
              </w:rPr>
              <w:t>subkriterijų</w:t>
            </w:r>
            <w:proofErr w:type="spellEnd"/>
            <w:r w:rsidRPr="0099117D">
              <w:rPr>
                <w:rFonts w:ascii="Times New Roman" w:hAnsi="Times New Roman" w:cs="Times New Roman"/>
                <w:sz w:val="24"/>
                <w:szCs w:val="24"/>
              </w:rPr>
              <w:t xml:space="preserve"> (be sąsajų su projekto tematika dalies).</w:t>
            </w:r>
          </w:p>
        </w:tc>
        <w:tc>
          <w:tcPr>
            <w:tcW w:w="4203" w:type="dxa"/>
          </w:tcPr>
          <w:p w14:paraId="748D70A3" w14:textId="7DE030CC"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Atsisakyti negalima, nes patvirtinta stebėsenos komitete.</w:t>
            </w:r>
          </w:p>
        </w:tc>
      </w:tr>
      <w:tr w:rsidR="002A5B33" w:rsidRPr="0099117D" w14:paraId="06DC69DA" w14:textId="77777777" w:rsidTr="0099117D">
        <w:trPr>
          <w:jc w:val="center"/>
        </w:trPr>
        <w:tc>
          <w:tcPr>
            <w:tcW w:w="1176" w:type="dxa"/>
          </w:tcPr>
          <w:p w14:paraId="048684DC" w14:textId="4BE66655"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23</w:t>
            </w:r>
          </w:p>
        </w:tc>
        <w:tc>
          <w:tcPr>
            <w:tcW w:w="1470" w:type="dxa"/>
          </w:tcPr>
          <w:p w14:paraId="37A3ABB0" w14:textId="633CC000" w:rsidR="00A43A0D"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12.6</w:t>
            </w:r>
          </w:p>
        </w:tc>
        <w:tc>
          <w:tcPr>
            <w:tcW w:w="8206" w:type="dxa"/>
          </w:tcPr>
          <w:p w14:paraId="1CFE4885" w14:textId="0C27CC5F" w:rsidR="00A43A0D" w:rsidRPr="0099117D" w:rsidRDefault="5BCF1C9A"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Prioritetinio vertinimo kriterijaus Nr. 6 „Projekto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(mokslinių tyrimų) vadovų ir tyrėjų grupių tarptautinė mokslinė kompetencija“ </w:t>
            </w:r>
            <w:proofErr w:type="spellStart"/>
            <w:r w:rsidRPr="0099117D">
              <w:rPr>
                <w:rFonts w:ascii="Times New Roman" w:hAnsi="Times New Roman" w:cs="Times New Roman"/>
                <w:sz w:val="24"/>
                <w:szCs w:val="24"/>
              </w:rPr>
              <w:t>subkriterijaus</w:t>
            </w:r>
            <w:proofErr w:type="spellEnd"/>
            <w:r w:rsidRPr="0099117D">
              <w:rPr>
                <w:rFonts w:ascii="Times New Roman" w:hAnsi="Times New Roman" w:cs="Times New Roman"/>
                <w:sz w:val="24"/>
                <w:szCs w:val="24"/>
              </w:rPr>
              <w:t xml:space="preserve"> 6.1.3 „geriausi tarptautinio lygio mokslo darbai“ skalės aprašyme taip pat siūlome atsisakytų tiesioginių sąsajų su projektu vertinimo, paliekant darbų kokybės vertinimą. Siūlytume apsvarstyti ar nereikėtų riboti teikiamų darbų skaičiaus per metų arba skaičiaus prizmę, taip vertinant pačius geriausius konkretaus vadovo darbus. Taip pat pažymėtina, kad šio kriterijaus aprašyme nurodoma, kad </w:t>
            </w:r>
            <w:proofErr w:type="spellStart"/>
            <w:r w:rsidRPr="0099117D">
              <w:rPr>
                <w:rFonts w:ascii="Times New Roman" w:hAnsi="Times New Roman" w:cs="Times New Roman"/>
                <w:sz w:val="24"/>
                <w:szCs w:val="24"/>
              </w:rPr>
              <w:t>subkriterijus</w:t>
            </w:r>
            <w:proofErr w:type="spellEnd"/>
            <w:r w:rsidRPr="0099117D">
              <w:rPr>
                <w:rFonts w:ascii="Times New Roman" w:hAnsi="Times New Roman" w:cs="Times New Roman"/>
                <w:sz w:val="24"/>
                <w:szCs w:val="24"/>
              </w:rPr>
              <w:t xml:space="preserve"> „geriausi tarptautinio lygio mokslo darbai“ vertinamas „atsižvelgiant į mokslo darbų apimtis ir kiekį“ – mokslo darbų apimtis (puslapių skaičius) niekaip neatspindi mokslo darbo kokybės, taip pat mokslo kokybės neatspindi ir paskelbtų publikacijų skaičius (nes dalis jų gali būti spausdintos abejotinos reputacijos leidyklose). </w:t>
            </w:r>
          </w:p>
        </w:tc>
        <w:tc>
          <w:tcPr>
            <w:tcW w:w="4203" w:type="dxa"/>
          </w:tcPr>
          <w:p w14:paraId="6230D807" w14:textId="6C5FA487"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Sąsajos su projektu bei mokslo darbų apimtys labai svarbios.</w:t>
            </w:r>
          </w:p>
        </w:tc>
      </w:tr>
      <w:tr w:rsidR="002A5B33" w:rsidRPr="0099117D" w14:paraId="5A694A6A" w14:textId="77777777" w:rsidTr="0099117D">
        <w:trPr>
          <w:jc w:val="center"/>
        </w:trPr>
        <w:tc>
          <w:tcPr>
            <w:tcW w:w="1176" w:type="dxa"/>
          </w:tcPr>
          <w:p w14:paraId="50D5737C" w14:textId="14FA52F4" w:rsidR="00A43A0D" w:rsidRPr="0099117D" w:rsidRDefault="002A5DB4"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24</w:t>
            </w:r>
          </w:p>
        </w:tc>
        <w:tc>
          <w:tcPr>
            <w:tcW w:w="1470" w:type="dxa"/>
          </w:tcPr>
          <w:p w14:paraId="27BC4B18" w14:textId="0894D625" w:rsidR="00A43A0D" w:rsidRPr="0099117D" w:rsidRDefault="006366C5" w:rsidP="00C47E50">
            <w:pPr>
              <w:jc w:val="center"/>
              <w:rPr>
                <w:rFonts w:ascii="Times New Roman" w:hAnsi="Times New Roman" w:cs="Times New Roman"/>
                <w:sz w:val="24"/>
                <w:szCs w:val="24"/>
              </w:rPr>
            </w:pPr>
            <w:r w:rsidRPr="0099117D">
              <w:rPr>
                <w:rFonts w:ascii="Times New Roman" w:hAnsi="Times New Roman" w:cs="Times New Roman"/>
                <w:sz w:val="24"/>
                <w:szCs w:val="24"/>
              </w:rPr>
              <w:t>12.6</w:t>
            </w:r>
          </w:p>
        </w:tc>
        <w:tc>
          <w:tcPr>
            <w:tcW w:w="8206" w:type="dxa"/>
          </w:tcPr>
          <w:p w14:paraId="7D999289" w14:textId="200650C9" w:rsidR="00A43A0D" w:rsidRPr="0099117D" w:rsidRDefault="00A34ADE"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Prioritetinio vertinimo kriterijaus Nr. 6 „Projekto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(mokslinių tyrimų) vadovų ir tyrėjų grupių tarptautinė mokslinė kompetencija“ </w:t>
            </w:r>
            <w:proofErr w:type="spellStart"/>
            <w:r w:rsidRPr="0099117D">
              <w:rPr>
                <w:rFonts w:ascii="Times New Roman" w:hAnsi="Times New Roman" w:cs="Times New Roman"/>
                <w:sz w:val="24"/>
                <w:szCs w:val="24"/>
              </w:rPr>
              <w:t>subkriterijaus</w:t>
            </w:r>
            <w:proofErr w:type="spellEnd"/>
            <w:r w:rsidRPr="0099117D">
              <w:rPr>
                <w:rFonts w:ascii="Times New Roman" w:hAnsi="Times New Roman" w:cs="Times New Roman"/>
                <w:sz w:val="24"/>
                <w:szCs w:val="24"/>
              </w:rPr>
              <w:t xml:space="preserve"> 6.2 „MTEP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(mokslinių tyrimų) tyrėjų grupės tarptautinė mokslinė kompetencija“ susiejimas su palyginamojo vertinimo įverčiais yra ydingas, nes pastarasis rodo visos institucijos pasiekimus ir rezultatus, o ne konkrečios tyrėjų grupės įdirbį. Atkreiptinas dėmesys, kad </w:t>
            </w:r>
            <w:proofErr w:type="spellStart"/>
            <w:r w:rsidRPr="0099117D">
              <w:rPr>
                <w:rFonts w:ascii="Times New Roman" w:hAnsi="Times New Roman" w:cs="Times New Roman"/>
                <w:sz w:val="24"/>
                <w:szCs w:val="24"/>
              </w:rPr>
              <w:t>paprojektį</w:t>
            </w:r>
            <w:proofErr w:type="spellEnd"/>
            <w:r w:rsidRPr="0099117D">
              <w:rPr>
                <w:rFonts w:ascii="Times New Roman" w:hAnsi="Times New Roman" w:cs="Times New Roman"/>
                <w:sz w:val="24"/>
                <w:szCs w:val="24"/>
              </w:rPr>
              <w:t xml:space="preserve"> formuojant iš kolegijos ir verslo įmonių automatiškai mažinamas viso projekto vertinimas.</w:t>
            </w:r>
          </w:p>
        </w:tc>
        <w:tc>
          <w:tcPr>
            <w:tcW w:w="4203" w:type="dxa"/>
          </w:tcPr>
          <w:p w14:paraId="3DA4CACC" w14:textId="1F6C83F3" w:rsidR="00A43A0D" w:rsidRPr="0099117D" w:rsidRDefault="5BCF1C9A" w:rsidP="00C47E50">
            <w:pPr>
              <w:jc w:val="both"/>
              <w:rPr>
                <w:rFonts w:ascii="Times New Roman" w:eastAsia="Times New Roman" w:hAnsi="Times New Roman" w:cs="Times New Roman"/>
                <w:sz w:val="24"/>
                <w:szCs w:val="24"/>
              </w:rPr>
            </w:pPr>
            <w:r w:rsidRPr="0099117D">
              <w:rPr>
                <w:rFonts w:ascii="Times New Roman" w:hAnsi="Times New Roman" w:cs="Times New Roman"/>
                <w:sz w:val="24"/>
                <w:szCs w:val="24"/>
              </w:rPr>
              <w:t xml:space="preserve">Neatsižvelgta. Vertinant atsižvelgiama į MTEP kokybės lygį, kuris nustatomas pagal palyginamojo vertinimo rezultatus. Palyginamasis vertinimas rodo ne tik visos institucijos pasiekimus ir rezultatus, tačiau ir atskirų jos suformuotų vertinamųjų vienetų įvertinimą. </w:t>
            </w:r>
            <w:r w:rsidRPr="0099117D">
              <w:rPr>
                <w:rFonts w:ascii="Times New Roman" w:eastAsia="Times New Roman" w:hAnsi="Times New Roman" w:cs="Times New Roman"/>
                <w:color w:val="000000" w:themeColor="text1"/>
                <w:sz w:val="24"/>
                <w:szCs w:val="24"/>
              </w:rPr>
              <w:t>Vertinamieji vienetai yra institucijų suformuotos struktūros vertinimui atlikti, veikiančios ne daugiau kaip dviejose mokslo srityse ir paprastai formuojami konkrečių mokslo grupių pagrindu.</w:t>
            </w:r>
          </w:p>
          <w:p w14:paraId="0797822A" w14:textId="4E762385" w:rsidR="00A43A0D" w:rsidRPr="0099117D" w:rsidRDefault="5BCF1C9A" w:rsidP="00C47E50">
            <w:pPr>
              <w:jc w:val="both"/>
              <w:rPr>
                <w:rFonts w:ascii="Times New Roman" w:eastAsia="Times New Roman" w:hAnsi="Times New Roman" w:cs="Times New Roman"/>
                <w:color w:val="000000" w:themeColor="text1"/>
                <w:sz w:val="24"/>
                <w:szCs w:val="24"/>
              </w:rPr>
            </w:pPr>
            <w:r w:rsidRPr="0099117D">
              <w:rPr>
                <w:rFonts w:ascii="Times New Roman" w:eastAsia="Times New Roman" w:hAnsi="Times New Roman" w:cs="Times New Roman"/>
                <w:color w:val="000000" w:themeColor="text1"/>
                <w:sz w:val="24"/>
                <w:szCs w:val="24"/>
              </w:rPr>
              <w:t>Vertinama tik projekto dalyvių universiteto ir/arba mokslinių tyrimų instituto tyrėjų patirtis.</w:t>
            </w:r>
          </w:p>
        </w:tc>
      </w:tr>
      <w:tr w:rsidR="002A5B33" w:rsidRPr="0099117D" w14:paraId="66E63AEC" w14:textId="77777777" w:rsidTr="0099117D">
        <w:trPr>
          <w:jc w:val="center"/>
        </w:trPr>
        <w:tc>
          <w:tcPr>
            <w:tcW w:w="1176" w:type="dxa"/>
          </w:tcPr>
          <w:p w14:paraId="62810F27" w14:textId="570683F5"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25</w:t>
            </w:r>
          </w:p>
        </w:tc>
        <w:tc>
          <w:tcPr>
            <w:tcW w:w="1470" w:type="dxa"/>
          </w:tcPr>
          <w:p w14:paraId="0C2F2755" w14:textId="446FA93F" w:rsidR="00A43A0D"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12.8</w:t>
            </w:r>
          </w:p>
        </w:tc>
        <w:tc>
          <w:tcPr>
            <w:tcW w:w="8206" w:type="dxa"/>
          </w:tcPr>
          <w:p w14:paraId="787C3B23" w14:textId="77777777" w:rsidR="00C62E3B" w:rsidRPr="0099117D" w:rsidRDefault="5BCF1C9A" w:rsidP="00C47E50">
            <w:pPr>
              <w:tabs>
                <w:tab w:val="left" w:pos="720"/>
                <w:tab w:val="center" w:pos="4153"/>
                <w:tab w:val="right" w:pos="8306"/>
              </w:tabs>
              <w:jc w:val="both"/>
              <w:rPr>
                <w:rFonts w:ascii="Times New Roman" w:hAnsi="Times New Roman" w:cs="Times New Roman"/>
                <w:sz w:val="24"/>
                <w:szCs w:val="24"/>
              </w:rPr>
            </w:pPr>
            <w:r w:rsidRPr="0099117D">
              <w:rPr>
                <w:rFonts w:ascii="Times New Roman" w:hAnsi="Times New Roman" w:cs="Times New Roman"/>
                <w:sz w:val="24"/>
                <w:szCs w:val="24"/>
              </w:rPr>
              <w:t xml:space="preserve">Prioritetinio vertinimo kriterijaus Nr. 8 „Pareiškėjo ir partnerių patirtis dalyvaujant tarptautinėse MTEP programose ir jose bendradarbiaujant su verslu“ </w:t>
            </w:r>
            <w:proofErr w:type="spellStart"/>
            <w:r w:rsidRPr="0099117D">
              <w:rPr>
                <w:rFonts w:ascii="Times New Roman" w:hAnsi="Times New Roman" w:cs="Times New Roman"/>
                <w:sz w:val="24"/>
                <w:szCs w:val="24"/>
              </w:rPr>
              <w:t>subkriterijumi</w:t>
            </w:r>
            <w:proofErr w:type="spellEnd"/>
            <w:r w:rsidRPr="0099117D">
              <w:rPr>
                <w:rFonts w:ascii="Times New Roman" w:hAnsi="Times New Roman" w:cs="Times New Roman"/>
                <w:sz w:val="24"/>
                <w:szCs w:val="24"/>
              </w:rPr>
              <w:t xml:space="preserve"> 8.1. „Vykdyti ir (ar) vykdomi Europos Sąjungos bendrųjų mokslinių tyrimų ir inovacijų programų „Horizontas 2020“ ir „Europos Horizontas“ MTEP projektai, iš jų – bendri su verslu MTEP projektai“ itin apriboja pareiškėjo ir partnerių patirties bei bendradarbiavimo ryšių atskleidimo galimybes, nes visa patirtis susiaurinta tik į dvi programas. Siūlome atsisakyti:</w:t>
            </w:r>
          </w:p>
          <w:p w14:paraId="50F5AFF1" w14:textId="77777777" w:rsidR="00C62E3B" w:rsidRPr="0099117D" w:rsidRDefault="5BCF1C9A" w:rsidP="00C47E50">
            <w:pPr>
              <w:tabs>
                <w:tab w:val="left" w:pos="720"/>
                <w:tab w:val="center" w:pos="4153"/>
                <w:tab w:val="right" w:pos="8306"/>
              </w:tabs>
              <w:jc w:val="both"/>
              <w:rPr>
                <w:rFonts w:ascii="Times New Roman" w:hAnsi="Times New Roman" w:cs="Times New Roman"/>
                <w:sz w:val="24"/>
                <w:szCs w:val="24"/>
              </w:rPr>
            </w:pPr>
            <w:r w:rsidRPr="0099117D">
              <w:rPr>
                <w:rFonts w:ascii="Times New Roman" w:hAnsi="Times New Roman" w:cs="Times New Roman"/>
                <w:sz w:val="24"/>
                <w:szCs w:val="24"/>
              </w:rPr>
              <w:t>- konkrečių programų įvardinimo;</w:t>
            </w:r>
          </w:p>
          <w:p w14:paraId="0804AB65" w14:textId="7EF2CFB2" w:rsidR="00A43A0D" w:rsidRPr="0099117D" w:rsidRDefault="5BCF1C9A"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sąsajų su teikiamu projektu vertinimo.</w:t>
            </w:r>
          </w:p>
        </w:tc>
        <w:tc>
          <w:tcPr>
            <w:tcW w:w="4203" w:type="dxa"/>
          </w:tcPr>
          <w:p w14:paraId="362FE80E" w14:textId="1C905B86" w:rsidR="00A43A0D" w:rsidRPr="0099117D" w:rsidRDefault="00EE6DE8"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w:t>
            </w:r>
            <w:r w:rsidR="005E4889" w:rsidRPr="0099117D">
              <w:rPr>
                <w:rFonts w:ascii="Times New Roman" w:hAnsi="Times New Roman" w:cs="Times New Roman"/>
                <w:sz w:val="24"/>
                <w:szCs w:val="24"/>
              </w:rPr>
              <w:t>. Šios nuostatos įtvirtintos Stebėsenos komiteto patvirtintame atrankos kriterijuje</w:t>
            </w:r>
            <w:r w:rsidR="00F67DA3" w:rsidRPr="0099117D">
              <w:rPr>
                <w:rFonts w:ascii="Times New Roman" w:hAnsi="Times New Roman" w:cs="Times New Roman"/>
                <w:sz w:val="24"/>
                <w:szCs w:val="24"/>
              </w:rPr>
              <w:t>.</w:t>
            </w:r>
          </w:p>
        </w:tc>
      </w:tr>
      <w:tr w:rsidR="002A5B33" w:rsidRPr="0099117D" w14:paraId="6DDC8E6A" w14:textId="77777777" w:rsidTr="0099117D">
        <w:trPr>
          <w:jc w:val="center"/>
        </w:trPr>
        <w:tc>
          <w:tcPr>
            <w:tcW w:w="1176" w:type="dxa"/>
          </w:tcPr>
          <w:p w14:paraId="296F67C5" w14:textId="3C1E5ED4" w:rsidR="00A43A0D" w:rsidRPr="0099117D" w:rsidRDefault="00EF53C1"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26</w:t>
            </w:r>
          </w:p>
        </w:tc>
        <w:tc>
          <w:tcPr>
            <w:tcW w:w="1470" w:type="dxa"/>
          </w:tcPr>
          <w:p w14:paraId="31ECC9F5" w14:textId="6DC8F382" w:rsidR="00A43A0D" w:rsidRPr="0099117D" w:rsidRDefault="00F67DA3" w:rsidP="00C47E50">
            <w:pPr>
              <w:jc w:val="center"/>
              <w:rPr>
                <w:rFonts w:ascii="Times New Roman" w:hAnsi="Times New Roman" w:cs="Times New Roman"/>
                <w:sz w:val="24"/>
                <w:szCs w:val="24"/>
              </w:rPr>
            </w:pPr>
            <w:r w:rsidRPr="0099117D">
              <w:rPr>
                <w:rFonts w:ascii="Times New Roman" w:hAnsi="Times New Roman" w:cs="Times New Roman"/>
                <w:sz w:val="24"/>
                <w:szCs w:val="24"/>
              </w:rPr>
              <w:t>12.8</w:t>
            </w:r>
          </w:p>
        </w:tc>
        <w:tc>
          <w:tcPr>
            <w:tcW w:w="8206" w:type="dxa"/>
          </w:tcPr>
          <w:p w14:paraId="640C8A3A" w14:textId="71F95E6A" w:rsidR="00A43A0D" w:rsidRPr="0099117D" w:rsidRDefault="00FD780A"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 xml:space="preserve">Prioritetinio vertinimo kriterijaus Nr. 8 „Pareiškėjo ir partnerių patirtis dalyvaujant tarptautinėse MTEP programose ir jose bendradarbiaujant su verslu“ </w:t>
            </w:r>
            <w:proofErr w:type="spellStart"/>
            <w:r w:rsidRPr="0099117D">
              <w:rPr>
                <w:rFonts w:ascii="Times New Roman" w:hAnsi="Times New Roman" w:cs="Times New Roman"/>
                <w:sz w:val="24"/>
                <w:szCs w:val="24"/>
              </w:rPr>
              <w:t>subkriterijaus</w:t>
            </w:r>
            <w:proofErr w:type="spellEnd"/>
            <w:r w:rsidRPr="0099117D">
              <w:rPr>
                <w:rFonts w:ascii="Times New Roman" w:hAnsi="Times New Roman" w:cs="Times New Roman"/>
                <w:sz w:val="24"/>
                <w:szCs w:val="24"/>
              </w:rPr>
              <w:t xml:space="preserve"> 8.2. „Turimos licencinės sutartys“ vertinimo skalė iš esmės yra ydinga, nes sudarytos licencinės, ypač išimtinės licencinės, sutartys negali turėti jokio tiesioginio poveikio teikiamam projektui. Jų buvimas tiesiog parodytų ar pareiškėjas ir partneriai turi gebėjimų pritaikyti savo vykdomų mokslinių tyrimų rezultatus rinkoje ar visuomenei.</w:t>
            </w:r>
          </w:p>
        </w:tc>
        <w:tc>
          <w:tcPr>
            <w:tcW w:w="4203" w:type="dxa"/>
          </w:tcPr>
          <w:p w14:paraId="501FC52F" w14:textId="05DE1DBD"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Neatsižvelgta. Šios nuostatos įtvirtintos Stebėsenos komiteto patvirtintame atrankos kriterijuje. Svarbu, kad licencinės sutartys sietųsi su </w:t>
            </w:r>
            <w:r w:rsidRPr="0099117D">
              <w:rPr>
                <w:rFonts w:ascii="Times New Roman" w:eastAsia="Times New Roman" w:hAnsi="Times New Roman" w:cs="Times New Roman"/>
                <w:sz w:val="24"/>
                <w:szCs w:val="24"/>
              </w:rPr>
              <w:t>projekto tematika arba Misijos tema. Šios kategorijos, ypač Misijų temos gali apimti platų mokslo sričių ir/ar krypčių spektrą.</w:t>
            </w:r>
          </w:p>
        </w:tc>
      </w:tr>
      <w:tr w:rsidR="002A5B33" w:rsidRPr="0099117D" w14:paraId="0604BD40" w14:textId="77777777" w:rsidTr="0099117D">
        <w:trPr>
          <w:jc w:val="center"/>
        </w:trPr>
        <w:tc>
          <w:tcPr>
            <w:tcW w:w="1176" w:type="dxa"/>
          </w:tcPr>
          <w:p w14:paraId="41505964" w14:textId="219D5B0E" w:rsidR="00A43A0D" w:rsidRPr="0099117D" w:rsidRDefault="003A280B"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27</w:t>
            </w:r>
          </w:p>
        </w:tc>
        <w:tc>
          <w:tcPr>
            <w:tcW w:w="1470" w:type="dxa"/>
          </w:tcPr>
          <w:p w14:paraId="428225EC" w14:textId="1AE3D47B" w:rsidR="00A43A0D" w:rsidRPr="0099117D" w:rsidRDefault="00640384" w:rsidP="00C47E50">
            <w:pPr>
              <w:jc w:val="center"/>
              <w:rPr>
                <w:rFonts w:ascii="Times New Roman" w:hAnsi="Times New Roman" w:cs="Times New Roman"/>
                <w:sz w:val="24"/>
                <w:szCs w:val="24"/>
              </w:rPr>
            </w:pPr>
            <w:r w:rsidRPr="0099117D">
              <w:rPr>
                <w:rFonts w:ascii="Times New Roman" w:hAnsi="Times New Roman" w:cs="Times New Roman"/>
                <w:sz w:val="24"/>
                <w:szCs w:val="24"/>
              </w:rPr>
              <w:t>4 priedas</w:t>
            </w:r>
          </w:p>
        </w:tc>
        <w:tc>
          <w:tcPr>
            <w:tcW w:w="8206" w:type="dxa"/>
          </w:tcPr>
          <w:p w14:paraId="15F5AB59" w14:textId="492DC154" w:rsidR="00A43A0D" w:rsidRPr="0099117D" w:rsidRDefault="003B049C" w:rsidP="00C47E50">
            <w:pPr>
              <w:tabs>
                <w:tab w:val="left" w:pos="720"/>
                <w:tab w:val="center" w:pos="4153"/>
                <w:tab w:val="right" w:pos="8306"/>
              </w:tabs>
              <w:jc w:val="both"/>
              <w:rPr>
                <w:rFonts w:ascii="Times New Roman" w:hAnsi="Times New Roman" w:cs="Times New Roman"/>
                <w:b/>
                <w:bCs/>
                <w:sz w:val="24"/>
                <w:szCs w:val="24"/>
              </w:rPr>
            </w:pPr>
            <w:r w:rsidRPr="0099117D">
              <w:rPr>
                <w:rFonts w:ascii="Times New Roman" w:hAnsi="Times New Roman" w:cs="Times New Roman"/>
                <w:sz w:val="24"/>
                <w:szCs w:val="24"/>
              </w:rPr>
              <w:t>PFSA 4 priedas „INFORMACIJOS, REIKALINGOS PROJEKTO ATITIKČIAI PROJEKTŲ ATRANKOS KRITERIJAMS IR IŠLAIDŲ TINKAMUMUI ĮVERTINTI, PATEIKIMO LENTELĖ“ suponuoja, kad projekto rengėjai turi iš anksto numatyti visus numatomus darbinti studentus, doktorantus ir stažuotojus. Kadangi didesnė jų dalis projektuose atlieka pagalbines funkcijas, įprasta praktika projekto planuoti įtraukimą pagal pareigas, jau projekto vykdymo metu įtraukiant reikiamų kompetencijų asmenis.</w:t>
            </w:r>
          </w:p>
        </w:tc>
        <w:tc>
          <w:tcPr>
            <w:tcW w:w="4203" w:type="dxa"/>
          </w:tcPr>
          <w:p w14:paraId="0CBB3C4B" w14:textId="5375CB00" w:rsidR="00A43A0D" w:rsidRPr="0099117D" w:rsidRDefault="5BCF1C9A" w:rsidP="00C47E50">
            <w:pPr>
              <w:jc w:val="both"/>
              <w:rPr>
                <w:rFonts w:ascii="Times New Roman" w:eastAsia="Times New Roman" w:hAnsi="Times New Roman" w:cs="Times New Roman"/>
                <w:b/>
                <w:bCs/>
                <w:sz w:val="24"/>
                <w:szCs w:val="24"/>
              </w:rPr>
            </w:pPr>
            <w:r w:rsidRPr="0099117D">
              <w:rPr>
                <w:rFonts w:ascii="Times New Roman" w:hAnsi="Times New Roman" w:cs="Times New Roman"/>
                <w:sz w:val="24"/>
                <w:szCs w:val="24"/>
              </w:rPr>
              <w:t xml:space="preserve">Neatsižvelgta. </w:t>
            </w:r>
            <w:r w:rsidRPr="0099117D">
              <w:rPr>
                <w:rFonts w:ascii="Times New Roman" w:eastAsia="Times New Roman" w:hAnsi="Times New Roman" w:cs="Times New Roman"/>
                <w:sz w:val="24"/>
                <w:szCs w:val="24"/>
              </w:rPr>
              <w:t>Šiuo atveju projekte dalyvausiantys studentai, doktorantai ir mokslininkai stažuotojai, kurie įtraukti siekiant patenkinti specialiojo atrankos kriterijus Nr. 3 reikalavimus, turės būti žinomi iš anksto.</w:t>
            </w:r>
          </w:p>
        </w:tc>
      </w:tr>
      <w:tr w:rsidR="002A5B33" w:rsidRPr="0099117D" w14:paraId="23E33C91" w14:textId="77777777" w:rsidTr="0099117D">
        <w:trPr>
          <w:jc w:val="center"/>
        </w:trPr>
        <w:tc>
          <w:tcPr>
            <w:tcW w:w="1176" w:type="dxa"/>
          </w:tcPr>
          <w:p w14:paraId="0A21AA79" w14:textId="77777777"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KTU</w:t>
            </w:r>
          </w:p>
          <w:p w14:paraId="7EDCF5F8" w14:textId="2DA5D196" w:rsidR="008C76F2"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28</w:t>
            </w:r>
          </w:p>
        </w:tc>
        <w:tc>
          <w:tcPr>
            <w:tcW w:w="1470" w:type="dxa"/>
          </w:tcPr>
          <w:p w14:paraId="7DD5345C" w14:textId="5CF7F3EC" w:rsidR="00A43A0D"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5.2</w:t>
            </w:r>
          </w:p>
        </w:tc>
        <w:tc>
          <w:tcPr>
            <w:tcW w:w="8206" w:type="dxa"/>
          </w:tcPr>
          <w:p w14:paraId="7746A4A1" w14:textId="35278792"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Vadovaujantis Aprašo I skyriaus „Veiklos ar </w:t>
            </w:r>
            <w:proofErr w:type="spellStart"/>
            <w:r w:rsidRPr="0099117D">
              <w:rPr>
                <w:rFonts w:ascii="Times New Roman" w:hAnsi="Times New Roman" w:cs="Times New Roman"/>
                <w:sz w:val="24"/>
                <w:szCs w:val="24"/>
              </w:rPr>
              <w:t>poveiklės</w:t>
            </w:r>
            <w:proofErr w:type="spellEnd"/>
            <w:r w:rsidRPr="0099117D">
              <w:rPr>
                <w:rFonts w:ascii="Times New Roman" w:hAnsi="Times New Roman" w:cs="Times New Roman"/>
                <w:sz w:val="24"/>
                <w:szCs w:val="24"/>
              </w:rPr>
              <w:t>, kurioms nustatomos projektų finansavimo sąlygos ir jų rodikliai“ 5 punktu „Reikalavimai projektams, pareiškėjams ir partneriams“, projektų pareiškėjais gali būti mokslo ir studijų institucijos (5.1 papunktis), t. y. tiek universitetai, tiek kolegijos. Vis dėlto tolesniuose šio skyriaus papunkčiuose nustatomas nevienodas šių institucijų vaidmuo projekte: kolegijos įvardijamos kaip būtini projekto partneriai (5.2 papunktis), o universitetai – tik kaip galimi partneriai (5.3 papunktis). Papunktyje 5.4 detalizuojama, kad privalomą konsorciumą turi sudaryti ne mažiau kaip trys mokslo ir studijų institucijos, iš kurių bent viena – kolegija. Ši nuostata leidžia interpretuoti, kad konsorciumą gali sudaryti vien tik kolegijos, be universitetų dalyvavimo. Atsižvelgiant į tai, siūloma patikslinti Aprašo 5.2 papunktį, nustatant, kad tiek kolegijos, tiek universitetai yra būtini projekto partneriai.</w:t>
            </w:r>
          </w:p>
        </w:tc>
        <w:tc>
          <w:tcPr>
            <w:tcW w:w="4203" w:type="dxa"/>
          </w:tcPr>
          <w:p w14:paraId="6C26B463" w14:textId="52409B5E"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Kolegijos būtinai turi dalyvauti projekte, o kokios kitos MSI bus projekte, tai jau konsorciumo apsisprendimo reikalas. Atkreiptinas dėmesys, kad mokslinių tyrimų institutas taip pat yra mokslo ir studijų institucija. Teoriškai paraišką gali teikti tik kolegijos ir įmonės, tačiau praktiškai tokiu atveju bus sudėtinga surinkti minimalią privalomą balų sumą vertinant paraišką pagal projektų atrankos kriterijus.</w:t>
            </w:r>
          </w:p>
        </w:tc>
      </w:tr>
      <w:tr w:rsidR="002A5B33" w:rsidRPr="0099117D" w14:paraId="7D13972F" w14:textId="77777777" w:rsidTr="0099117D">
        <w:trPr>
          <w:jc w:val="center"/>
        </w:trPr>
        <w:tc>
          <w:tcPr>
            <w:tcW w:w="1176" w:type="dxa"/>
          </w:tcPr>
          <w:p w14:paraId="5F97513A" w14:textId="5547995B"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29</w:t>
            </w:r>
          </w:p>
        </w:tc>
        <w:tc>
          <w:tcPr>
            <w:tcW w:w="1470" w:type="dxa"/>
          </w:tcPr>
          <w:p w14:paraId="4B141402" w14:textId="77777777" w:rsidR="00A43A0D" w:rsidRPr="0099117D" w:rsidRDefault="00A43A0D" w:rsidP="00C47E50">
            <w:pPr>
              <w:jc w:val="center"/>
              <w:rPr>
                <w:rFonts w:ascii="Times New Roman" w:hAnsi="Times New Roman" w:cs="Times New Roman"/>
                <w:b/>
                <w:bCs/>
                <w:sz w:val="24"/>
                <w:szCs w:val="24"/>
              </w:rPr>
            </w:pPr>
          </w:p>
        </w:tc>
        <w:tc>
          <w:tcPr>
            <w:tcW w:w="8206" w:type="dxa"/>
          </w:tcPr>
          <w:p w14:paraId="5C5066D1" w14:textId="4888B073"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Apraše nėra aiškiai apibrėžta, ar tas pats juridinis asmuo (tiek mokslo ir studijų institucija, tiek įmonė) gali dalyvauti daugiau nei viename konsorciume. Siekiant išvengti neapibrėžtumo ir užtikrinti sąlygų įgyvendinamumą, siūloma papildyti Aprašą, aiškiai nurodant, ar tas pats juridinis asmuo gali dalyvauti keliuose konsorciumuose, ir jei taip – kokiomis sąlygomis.</w:t>
            </w:r>
          </w:p>
        </w:tc>
        <w:tc>
          <w:tcPr>
            <w:tcW w:w="4203" w:type="dxa"/>
          </w:tcPr>
          <w:p w14:paraId="138554D1" w14:textId="07DF2FEA"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Tie patys juridiniai asmenys gali dalyvauti daugiau nei viename konsorciume.</w:t>
            </w:r>
          </w:p>
        </w:tc>
      </w:tr>
      <w:tr w:rsidR="002A5B33" w:rsidRPr="0099117D" w14:paraId="0ABAEE98" w14:textId="77777777" w:rsidTr="0099117D">
        <w:trPr>
          <w:jc w:val="center"/>
        </w:trPr>
        <w:tc>
          <w:tcPr>
            <w:tcW w:w="1176" w:type="dxa"/>
          </w:tcPr>
          <w:p w14:paraId="739BEE4B" w14:textId="6E9C1E3A" w:rsidR="00A43A0D" w:rsidRPr="0099117D" w:rsidRDefault="00C361C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30</w:t>
            </w:r>
          </w:p>
        </w:tc>
        <w:tc>
          <w:tcPr>
            <w:tcW w:w="1470" w:type="dxa"/>
          </w:tcPr>
          <w:p w14:paraId="401195C7" w14:textId="23DF0305" w:rsidR="00A43A0D" w:rsidRPr="0099117D" w:rsidRDefault="00103FD0" w:rsidP="00C47E50">
            <w:pPr>
              <w:jc w:val="center"/>
              <w:rPr>
                <w:rFonts w:ascii="Times New Roman" w:hAnsi="Times New Roman" w:cs="Times New Roman"/>
                <w:sz w:val="24"/>
                <w:szCs w:val="24"/>
              </w:rPr>
            </w:pPr>
            <w:r w:rsidRPr="0099117D">
              <w:rPr>
                <w:rFonts w:ascii="Times New Roman" w:hAnsi="Times New Roman" w:cs="Times New Roman"/>
                <w:sz w:val="24"/>
                <w:szCs w:val="24"/>
              </w:rPr>
              <w:t>5.10</w:t>
            </w:r>
          </w:p>
        </w:tc>
        <w:tc>
          <w:tcPr>
            <w:tcW w:w="8206" w:type="dxa"/>
          </w:tcPr>
          <w:p w14:paraId="7DABC7BC" w14:textId="3EE5FF66" w:rsidR="00A43A0D" w:rsidRPr="0099117D" w:rsidRDefault="00E52F7D"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Pagal Aprašą įgyvendinami projektai, vadovaujantis Aprašo 5.10 punktu, kurs sprendimus, žinias ir produktus, kurie darys poveikį visos šalies ekonomikai, visuomenei ir politikos formavimui, o ne tik tam tikram geografiniam regionui. Būtent tokiais atvejais, kai projekto naudą sunku objektyviai priskirti vienam konkrečiam regionui, CPVA direktoriaus 2023 m. birželio 22 d. įsakymu Nr. 2023/8-246 patvirtintose Rekomendacijose dėl projektų išlaidų atitikties ES fondų reikalavimams numatyta, kad išlaidos turi būti skaidomos tarp regionų pagal nustatytą pro </w:t>
            </w:r>
            <w:proofErr w:type="spellStart"/>
            <w:r w:rsidRPr="0099117D">
              <w:rPr>
                <w:rFonts w:ascii="Times New Roman" w:hAnsi="Times New Roman" w:cs="Times New Roman"/>
                <w:sz w:val="24"/>
                <w:szCs w:val="24"/>
              </w:rPr>
              <w:t>rata</w:t>
            </w:r>
            <w:proofErr w:type="spellEnd"/>
            <w:r w:rsidRPr="0099117D">
              <w:rPr>
                <w:rFonts w:ascii="Times New Roman" w:hAnsi="Times New Roman" w:cs="Times New Roman"/>
                <w:sz w:val="24"/>
                <w:szCs w:val="24"/>
              </w:rPr>
              <w:t xml:space="preserve"> principą – 70,85 % išlaidų priskiriant VVL regionui ir 29,15 % – </w:t>
            </w:r>
            <w:r w:rsidRPr="0099117D">
              <w:rPr>
                <w:rFonts w:ascii="Times New Roman" w:hAnsi="Times New Roman" w:cs="Times New Roman"/>
                <w:sz w:val="24"/>
                <w:szCs w:val="24"/>
              </w:rPr>
              <w:lastRenderedPageBreak/>
              <w:t xml:space="preserve">Sostinės regionui. Tačiau Apraše nurodytas finansavimo paskirstymas šio principo neatitinka – iš viso projektams skiriama 50 253 818 Eur, iš kurių tik 15 586 340 Eur (31 proc.) tenka VVL regionui, o net 34 667 478 Eur (69 proc.) – Sostinės regionui. Atsižvelgiant į tai, siūlome tikslinti Aprašo 5.15 ir 5.16 punktus, užtikrinant, kad finansavimo paskirstymas tarp regionų būtų grindžiamas CPVA rekomendacijose įtvirtintu </w:t>
            </w:r>
            <w:r w:rsidRPr="0099117D">
              <w:rPr>
                <w:rFonts w:ascii="Times New Roman" w:hAnsi="Times New Roman" w:cs="Times New Roman"/>
                <w:i/>
                <w:sz w:val="24"/>
                <w:szCs w:val="24"/>
              </w:rPr>
              <w:t xml:space="preserve">pro </w:t>
            </w:r>
            <w:proofErr w:type="spellStart"/>
            <w:r w:rsidRPr="0099117D">
              <w:rPr>
                <w:rFonts w:ascii="Times New Roman" w:hAnsi="Times New Roman" w:cs="Times New Roman"/>
                <w:i/>
                <w:sz w:val="24"/>
                <w:szCs w:val="24"/>
              </w:rPr>
              <w:t>rata</w:t>
            </w:r>
            <w:proofErr w:type="spellEnd"/>
            <w:r w:rsidRPr="0099117D">
              <w:rPr>
                <w:rFonts w:ascii="Times New Roman" w:hAnsi="Times New Roman" w:cs="Times New Roman"/>
                <w:sz w:val="24"/>
                <w:szCs w:val="24"/>
              </w:rPr>
              <w:t xml:space="preserve"> principu, taip užtikrinant ES fondų investicijų proporcingumą ir teisingą teritorinį balansą.</w:t>
            </w:r>
          </w:p>
        </w:tc>
        <w:tc>
          <w:tcPr>
            <w:tcW w:w="4203" w:type="dxa"/>
          </w:tcPr>
          <w:p w14:paraId="024B260A" w14:textId="695AAD26" w:rsidR="00A43A0D" w:rsidRPr="0099117D" w:rsidRDefault="5BCF1C9A" w:rsidP="00C47E50">
            <w:pPr>
              <w:shd w:val="clear" w:color="auto" w:fill="FFFFFF" w:themeFill="background1"/>
              <w:jc w:val="both"/>
              <w:rPr>
                <w:rFonts w:ascii="Times New Roman" w:eastAsia="Aptos" w:hAnsi="Times New Roman" w:cs="Times New Roman"/>
                <w:sz w:val="24"/>
                <w:szCs w:val="24"/>
              </w:rPr>
            </w:pPr>
            <w:r w:rsidRPr="0099117D">
              <w:rPr>
                <w:rFonts w:ascii="Times New Roman" w:hAnsi="Times New Roman" w:cs="Times New Roman"/>
                <w:sz w:val="24"/>
                <w:szCs w:val="24"/>
              </w:rPr>
              <w:lastRenderedPageBreak/>
              <w:t xml:space="preserve">Neatsižvelgta. </w:t>
            </w:r>
            <w:r w:rsidRPr="0099117D">
              <w:rPr>
                <w:rFonts w:ascii="Times New Roman" w:eastAsia="Aptos" w:hAnsi="Times New Roman" w:cs="Times New Roman"/>
                <w:sz w:val="24"/>
                <w:szCs w:val="24"/>
              </w:rPr>
              <w:t xml:space="preserve">2021–2027 metų Europos Sąjungos fondų investicijų programos lėšų paskirstymo plane, patvirtintame LRV </w:t>
            </w:r>
            <w:r w:rsidRPr="0099117D">
              <w:rPr>
                <w:rFonts w:ascii="Times New Roman" w:eastAsia="Times New Roman" w:hAnsi="Times New Roman" w:cs="Times New Roman"/>
                <w:color w:val="000000" w:themeColor="text1"/>
                <w:sz w:val="24"/>
                <w:szCs w:val="24"/>
              </w:rPr>
              <w:t xml:space="preserve">2023 m. liepos 31 d. nutarimu Nr. 612, </w:t>
            </w:r>
            <w:r w:rsidRPr="0099117D">
              <w:rPr>
                <w:rFonts w:ascii="Times New Roman" w:eastAsia="Times New Roman" w:hAnsi="Times New Roman" w:cs="Times New Roman"/>
                <w:sz w:val="24"/>
                <w:szCs w:val="24"/>
              </w:rPr>
              <w:t xml:space="preserve">1 prioriteto </w:t>
            </w:r>
            <w:r w:rsidRPr="0099117D">
              <w:rPr>
                <w:rFonts w:ascii="Times New Roman" w:eastAsia="Times New Roman" w:hAnsi="Times New Roman" w:cs="Times New Roman"/>
                <w:color w:val="000000" w:themeColor="text1"/>
                <w:sz w:val="24"/>
                <w:szCs w:val="24"/>
              </w:rPr>
              <w:t>„</w:t>
            </w:r>
            <w:r w:rsidRPr="0099117D">
              <w:rPr>
                <w:rFonts w:ascii="Times New Roman" w:eastAsia="Times New Roman" w:hAnsi="Times New Roman" w:cs="Times New Roman"/>
                <w:sz w:val="24"/>
                <w:szCs w:val="24"/>
              </w:rPr>
              <w:t>Pažangesnė Lietuva</w:t>
            </w:r>
            <w:r w:rsidRPr="0099117D">
              <w:rPr>
                <w:rFonts w:ascii="Times New Roman" w:eastAsia="Times New Roman" w:hAnsi="Times New Roman" w:cs="Times New Roman"/>
                <w:color w:val="000000" w:themeColor="text1"/>
                <w:sz w:val="24"/>
                <w:szCs w:val="24"/>
              </w:rPr>
              <w:t>“ ministerijai numatytų Sostinės regiono lėšų dalis ženkliai didesnė už VVL regiono lėšų dalį.</w:t>
            </w:r>
          </w:p>
          <w:p w14:paraId="787D80C3" w14:textId="1CC166DE" w:rsidR="00A43A0D" w:rsidRPr="0099117D" w:rsidRDefault="5BCF1C9A" w:rsidP="00C47E50">
            <w:pPr>
              <w:shd w:val="clear" w:color="auto" w:fill="FFFFFF" w:themeFill="background1"/>
              <w:jc w:val="both"/>
              <w:rPr>
                <w:rFonts w:ascii="Times New Roman" w:eastAsia="Times New Roman" w:hAnsi="Times New Roman" w:cs="Times New Roman"/>
                <w:sz w:val="24"/>
                <w:szCs w:val="24"/>
              </w:rPr>
            </w:pPr>
            <w:r w:rsidRPr="0099117D">
              <w:rPr>
                <w:rFonts w:ascii="Times New Roman" w:eastAsia="Times New Roman" w:hAnsi="Times New Roman" w:cs="Times New Roman"/>
                <w:sz w:val="24"/>
                <w:szCs w:val="24"/>
              </w:rPr>
              <w:lastRenderedPageBreak/>
              <w:t>Taip pat Finansų ministerija 2025 m. liepos 17 d. raštu Nr. 6K-25/3751 Ministerijai nurodė PFSA projekto 5.16 papunktyje atsisakyti nuostatos, leidžiančios, skelbiant kvietimą teikti projektų įgyvendinimo planus ir prisiimant įsipareigojimus pagal sudarytas projektų finansavimo sutartis, viršyti turimas lėšas.</w:t>
            </w:r>
          </w:p>
          <w:p w14:paraId="421A6C56" w14:textId="5633F876" w:rsidR="00A43A0D" w:rsidRPr="0099117D" w:rsidRDefault="5BCF1C9A" w:rsidP="00C47E50">
            <w:pPr>
              <w:shd w:val="clear" w:color="auto" w:fill="FFFFFF" w:themeFill="background1"/>
              <w:jc w:val="both"/>
              <w:rPr>
                <w:rFonts w:ascii="Times New Roman" w:hAnsi="Times New Roman" w:cs="Times New Roman"/>
                <w:sz w:val="24"/>
                <w:szCs w:val="24"/>
              </w:rPr>
            </w:pPr>
            <w:r w:rsidRPr="0099117D">
              <w:rPr>
                <w:rFonts w:ascii="Times New Roman" w:eastAsia="Times New Roman" w:hAnsi="Times New Roman" w:cs="Times New Roman"/>
                <w:sz w:val="24"/>
                <w:szCs w:val="24"/>
              </w:rPr>
              <w:t xml:space="preserve">Visa PFSA projekte numatyta VVL regionui planuojama skirti suma </w:t>
            </w:r>
            <w:r w:rsidRPr="0099117D">
              <w:rPr>
                <w:rFonts w:ascii="Times New Roman" w:eastAsia="Times New Roman" w:hAnsi="Times New Roman" w:cs="Times New Roman"/>
                <w:sz w:val="24"/>
                <w:szCs w:val="24"/>
                <w:lang w:eastAsia="lt-LT"/>
              </w:rPr>
              <w:t xml:space="preserve">– </w:t>
            </w:r>
            <w:r w:rsidRPr="0099117D">
              <w:rPr>
                <w:rFonts w:ascii="Times New Roman" w:eastAsia="Times New Roman" w:hAnsi="Times New Roman" w:cs="Times New Roman"/>
                <w:sz w:val="24"/>
                <w:szCs w:val="24"/>
              </w:rPr>
              <w:t>10 mln. Eur.</w:t>
            </w:r>
          </w:p>
        </w:tc>
      </w:tr>
      <w:tr w:rsidR="002A5B33" w:rsidRPr="0099117D" w14:paraId="24B9628C" w14:textId="77777777" w:rsidTr="0099117D">
        <w:trPr>
          <w:jc w:val="center"/>
        </w:trPr>
        <w:tc>
          <w:tcPr>
            <w:tcW w:w="1176" w:type="dxa"/>
          </w:tcPr>
          <w:p w14:paraId="405FFE68" w14:textId="67E0A203"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31</w:t>
            </w:r>
          </w:p>
        </w:tc>
        <w:tc>
          <w:tcPr>
            <w:tcW w:w="1470" w:type="dxa"/>
          </w:tcPr>
          <w:p w14:paraId="3DAFB6AB" w14:textId="59D50E60" w:rsidR="00A43A0D" w:rsidRPr="0099117D" w:rsidRDefault="5BCF1C9A" w:rsidP="00C47E50">
            <w:pPr>
              <w:jc w:val="center"/>
              <w:rPr>
                <w:rFonts w:ascii="Times New Roman" w:hAnsi="Times New Roman" w:cs="Times New Roman"/>
                <w:sz w:val="24"/>
                <w:szCs w:val="24"/>
              </w:rPr>
            </w:pPr>
            <w:r w:rsidRPr="0099117D">
              <w:rPr>
                <w:rFonts w:ascii="Times New Roman" w:hAnsi="Times New Roman" w:cs="Times New Roman"/>
                <w:sz w:val="24"/>
                <w:szCs w:val="24"/>
              </w:rPr>
              <w:t>2</w:t>
            </w:r>
          </w:p>
        </w:tc>
        <w:tc>
          <w:tcPr>
            <w:tcW w:w="8206" w:type="dxa"/>
          </w:tcPr>
          <w:p w14:paraId="18FFA4A0" w14:textId="1883BACF"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Manome, kad rodiklio „Remiamų projektų leidiniai“ nustatyta reikšmė – 471 – gali būti per didelė, atsižvelgiant į preliminarų projektų skaičių. Jei būtų įgyvendinama apie 11 projektų, vienam jų tektų po 42 leidinius, o tai reikštų, kad per visą projekto laikotarpį (apie 36 mėn.) kiekvieną mėnesį turėtų būti rengiama ir priimama publikuoti po 1–2 mokslinius darbus. Atsižvelgiant į mokslinių publikacijų rengimo ir recenzavimo trukmę, taip pat į tai, kad ne visi projektai gali būti orientuoti į akademinius rezultatus (kai kurių tikslas – praktiniai sprendimai ar eksperimentinė plėtra), toks uždavinys atrodo per ambicingas. Atsižvelgiant į tai, siūlome svarstyti šio rodiklio reikšmės peržiūrą ir korekciją.</w:t>
            </w:r>
          </w:p>
        </w:tc>
        <w:tc>
          <w:tcPr>
            <w:tcW w:w="4203" w:type="dxa"/>
          </w:tcPr>
          <w:p w14:paraId="225B542F" w14:textId="58F55826" w:rsidR="00A43A0D" w:rsidRPr="0099117D" w:rsidRDefault="00236CB8"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VVL region</w:t>
            </w:r>
            <w:r w:rsidR="0099117D" w:rsidRPr="0099117D">
              <w:rPr>
                <w:rFonts w:ascii="Times New Roman" w:hAnsi="Times New Roman" w:cs="Times New Roman"/>
                <w:sz w:val="24"/>
                <w:szCs w:val="24"/>
              </w:rPr>
              <w:t>e</w:t>
            </w:r>
            <w:r w:rsidR="00FF3025" w:rsidRPr="0099117D">
              <w:rPr>
                <w:rFonts w:ascii="Times New Roman" w:hAnsi="Times New Roman" w:cs="Times New Roman"/>
                <w:sz w:val="24"/>
                <w:szCs w:val="24"/>
              </w:rPr>
              <w:t xml:space="preserve"> šio rodiklio reikšmė </w:t>
            </w:r>
            <w:r w:rsidR="0099117D" w:rsidRPr="0099117D">
              <w:rPr>
                <w:rFonts w:ascii="Times New Roman" w:hAnsi="Times New Roman" w:cs="Times New Roman"/>
                <w:sz w:val="24"/>
                <w:szCs w:val="24"/>
              </w:rPr>
              <w:t>–</w:t>
            </w:r>
            <w:r w:rsidR="00FF3025" w:rsidRPr="0099117D">
              <w:rPr>
                <w:rFonts w:ascii="Times New Roman" w:hAnsi="Times New Roman" w:cs="Times New Roman"/>
                <w:sz w:val="24"/>
                <w:szCs w:val="24"/>
              </w:rPr>
              <w:t xml:space="preserve"> </w:t>
            </w:r>
            <w:r w:rsidR="007C2305" w:rsidRPr="0099117D">
              <w:rPr>
                <w:rFonts w:ascii="Times New Roman" w:hAnsi="Times New Roman" w:cs="Times New Roman"/>
                <w:sz w:val="24"/>
                <w:szCs w:val="24"/>
              </w:rPr>
              <w:t>86</w:t>
            </w:r>
            <w:r w:rsidR="00B176B5" w:rsidRPr="0099117D">
              <w:rPr>
                <w:rFonts w:ascii="Times New Roman" w:hAnsi="Times New Roman" w:cs="Times New Roman"/>
                <w:sz w:val="24"/>
                <w:szCs w:val="24"/>
              </w:rPr>
              <w:t xml:space="preserve"> leidiniai</w:t>
            </w:r>
            <w:r w:rsidR="0099117D" w:rsidRPr="0099117D">
              <w:rPr>
                <w:rFonts w:ascii="Times New Roman" w:hAnsi="Times New Roman" w:cs="Times New Roman"/>
                <w:sz w:val="24"/>
                <w:szCs w:val="24"/>
              </w:rPr>
              <w:t>,</w:t>
            </w:r>
            <w:r w:rsidR="00B176B5" w:rsidRPr="0099117D">
              <w:rPr>
                <w:rFonts w:ascii="Times New Roman" w:hAnsi="Times New Roman" w:cs="Times New Roman"/>
                <w:sz w:val="24"/>
                <w:szCs w:val="24"/>
              </w:rPr>
              <w:t xml:space="preserve"> </w:t>
            </w:r>
            <w:r w:rsidR="0099117D" w:rsidRPr="0099117D">
              <w:rPr>
                <w:rFonts w:ascii="Times New Roman" w:hAnsi="Times New Roman" w:cs="Times New Roman"/>
                <w:sz w:val="24"/>
                <w:szCs w:val="24"/>
              </w:rPr>
              <w:t>yra minimali</w:t>
            </w:r>
            <w:r w:rsidR="00FA583B" w:rsidRPr="0099117D">
              <w:rPr>
                <w:rFonts w:ascii="Times New Roman" w:hAnsi="Times New Roman" w:cs="Times New Roman"/>
                <w:sz w:val="24"/>
                <w:szCs w:val="24"/>
              </w:rPr>
              <w:t>.</w:t>
            </w:r>
          </w:p>
        </w:tc>
      </w:tr>
      <w:tr w:rsidR="002A5B33" w:rsidRPr="0099117D" w14:paraId="3525B697" w14:textId="77777777" w:rsidTr="0099117D">
        <w:trPr>
          <w:jc w:val="center"/>
        </w:trPr>
        <w:tc>
          <w:tcPr>
            <w:tcW w:w="1176" w:type="dxa"/>
          </w:tcPr>
          <w:p w14:paraId="770655AB" w14:textId="67570A67" w:rsidR="00A43A0D" w:rsidRPr="0099117D" w:rsidRDefault="004B76B7"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32</w:t>
            </w:r>
          </w:p>
        </w:tc>
        <w:tc>
          <w:tcPr>
            <w:tcW w:w="1470" w:type="dxa"/>
          </w:tcPr>
          <w:p w14:paraId="491185E5" w14:textId="77777777" w:rsidR="00A43A0D" w:rsidRPr="0099117D" w:rsidRDefault="00A43A0D" w:rsidP="00C47E50">
            <w:pPr>
              <w:jc w:val="center"/>
              <w:rPr>
                <w:rFonts w:ascii="Times New Roman" w:hAnsi="Times New Roman" w:cs="Times New Roman"/>
                <w:b/>
                <w:bCs/>
                <w:sz w:val="24"/>
                <w:szCs w:val="24"/>
              </w:rPr>
            </w:pPr>
          </w:p>
        </w:tc>
        <w:tc>
          <w:tcPr>
            <w:tcW w:w="8206" w:type="dxa"/>
          </w:tcPr>
          <w:p w14:paraId="404A76F0" w14:textId="76F11A32" w:rsidR="00A43A0D" w:rsidRPr="0099117D" w:rsidRDefault="00885A10" w:rsidP="00C47E50">
            <w:pPr>
              <w:jc w:val="both"/>
              <w:rPr>
                <w:rFonts w:ascii="Times New Roman" w:hAnsi="Times New Roman" w:cs="Times New Roman"/>
                <w:b/>
                <w:bCs/>
                <w:sz w:val="24"/>
                <w:szCs w:val="24"/>
              </w:rPr>
            </w:pPr>
            <w:r w:rsidRPr="0099117D">
              <w:rPr>
                <w:rFonts w:ascii="Times New Roman" w:hAnsi="Times New Roman" w:cs="Times New Roman"/>
                <w:sz w:val="24"/>
                <w:szCs w:val="24"/>
              </w:rPr>
              <w:t xml:space="preserve">Manome, kad rodiklio „Pateiktos patentų paraiškos“ nustatyta reikšmė – 70 – gali būti per aukšta, atsižvelgiant į preliminarų projektų skaičių. Jei būtų įgyvendinama apie 11 projektų, vienam jų tektų po 6–7 patentines paraiškas. Nors kai kurie vystomi produktai ar išradimai gali turėti komercinį potencialą, ne visi jie yra </w:t>
            </w:r>
            <w:proofErr w:type="spellStart"/>
            <w:r w:rsidRPr="0099117D">
              <w:rPr>
                <w:rFonts w:ascii="Times New Roman" w:hAnsi="Times New Roman" w:cs="Times New Roman"/>
                <w:sz w:val="24"/>
                <w:szCs w:val="24"/>
              </w:rPr>
              <w:t>patentabilūs</w:t>
            </w:r>
            <w:proofErr w:type="spellEnd"/>
            <w:r w:rsidRPr="0099117D">
              <w:rPr>
                <w:rFonts w:ascii="Times New Roman" w:hAnsi="Times New Roman" w:cs="Times New Roman"/>
                <w:sz w:val="24"/>
                <w:szCs w:val="24"/>
              </w:rPr>
              <w:t xml:space="preserve">, o MTEP veiklos pobūdis reiškia, kad nesėkmės galimos bet kuriame etape. Be to, pagal Apraše nustatytas sąlygas tik vienas konsorciumo projektas gali vykdyti ekonominę veiklą, todėl dauguma projektų būtų orientuoti į nekomercinius, fundamentaliuosius ar taikomuosius tyrimus, kurių rezultatai nebūtinai pritaikomi patentavimui. Esant tokiam reikalavimui, kyla rizika, kad siekiant formaliai įvykdyti rodiklį būtų teikiamos nebrandžios ar mažai perspektyvios paraiškos, o tai gali </w:t>
            </w:r>
            <w:r w:rsidRPr="0099117D">
              <w:rPr>
                <w:rFonts w:ascii="Times New Roman" w:hAnsi="Times New Roman" w:cs="Times New Roman"/>
                <w:sz w:val="24"/>
                <w:szCs w:val="24"/>
              </w:rPr>
              <w:lastRenderedPageBreak/>
              <w:t>prieštarauti atsakingo mokslo ir etikos principams. Atsižvelgiant į tai, siūlome svarstyti ir mažinti rodiklio „Pateiktos patentų paraiškos“ nustatytą reikšmę.</w:t>
            </w:r>
          </w:p>
        </w:tc>
        <w:tc>
          <w:tcPr>
            <w:tcW w:w="4203" w:type="dxa"/>
          </w:tcPr>
          <w:p w14:paraId="03C19960" w14:textId="62740876" w:rsidR="00A43A0D"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sz w:val="24"/>
                <w:szCs w:val="24"/>
              </w:rPr>
              <w:lastRenderedPageBreak/>
              <w:t xml:space="preserve">Neatsižvelgta. VVL regionui minimali šio rodiklio reikšmė yra 14 pateiktų patentų paraiškų ir tai yra minimali reikšmė, kurios turi siekti VVL regionas. Ekonominė veikla turi būti vykdoma bent 1 (viename) projekto MTEP </w:t>
            </w:r>
            <w:proofErr w:type="spellStart"/>
            <w:r w:rsidRPr="0099117D">
              <w:rPr>
                <w:rFonts w:ascii="Times New Roman" w:hAnsi="Times New Roman" w:cs="Times New Roman"/>
                <w:sz w:val="24"/>
                <w:szCs w:val="24"/>
              </w:rPr>
              <w:t>paprojektyje</w:t>
            </w:r>
            <w:proofErr w:type="spellEnd"/>
            <w:r w:rsidRPr="0099117D">
              <w:rPr>
                <w:rFonts w:ascii="Times New Roman" w:hAnsi="Times New Roman" w:cs="Times New Roman"/>
                <w:sz w:val="24"/>
                <w:szCs w:val="24"/>
              </w:rPr>
              <w:t xml:space="preserve">, t. y.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kuriuose vykdoma ekonominė veikla skaičius neribojamas.</w:t>
            </w:r>
          </w:p>
        </w:tc>
      </w:tr>
      <w:tr w:rsidR="002A5B33" w:rsidRPr="0099117D" w14:paraId="7B9B5B96" w14:textId="77777777" w:rsidTr="0099117D">
        <w:trPr>
          <w:jc w:val="center"/>
        </w:trPr>
        <w:tc>
          <w:tcPr>
            <w:tcW w:w="1176" w:type="dxa"/>
          </w:tcPr>
          <w:p w14:paraId="02DA99F9" w14:textId="44B4C3FF" w:rsidR="00A43A0D" w:rsidRPr="0099117D" w:rsidRDefault="00885A10"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33</w:t>
            </w:r>
          </w:p>
        </w:tc>
        <w:tc>
          <w:tcPr>
            <w:tcW w:w="1470" w:type="dxa"/>
          </w:tcPr>
          <w:p w14:paraId="17519424" w14:textId="2C024B8D" w:rsidR="00A43A0D" w:rsidRPr="0099117D" w:rsidRDefault="000F1E34"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5.27.7</w:t>
            </w:r>
          </w:p>
        </w:tc>
        <w:tc>
          <w:tcPr>
            <w:tcW w:w="8206" w:type="dxa"/>
          </w:tcPr>
          <w:p w14:paraId="2FACE2C7" w14:textId="622F4864" w:rsidR="00A43A0D" w:rsidRPr="0099117D" w:rsidRDefault="00F855A7" w:rsidP="00C47E50">
            <w:pPr>
              <w:jc w:val="both"/>
              <w:rPr>
                <w:rFonts w:ascii="Times New Roman" w:hAnsi="Times New Roman" w:cs="Times New Roman"/>
                <w:sz w:val="24"/>
                <w:szCs w:val="24"/>
              </w:rPr>
            </w:pPr>
            <w:r w:rsidRPr="0099117D">
              <w:rPr>
                <w:rFonts w:ascii="Times New Roman" w:hAnsi="Times New Roman" w:cs="Times New Roman"/>
                <w:sz w:val="24"/>
                <w:szCs w:val="24"/>
                <w:lang w:eastAsia="lt-LT"/>
              </w:rPr>
              <w:t xml:space="preserve">Aprašo 5.27.7 papunktyje minimas Aprašo 5 priedas, tačiau tokio priedo nėra. Prašome parengti 5.27.7 papunktyje minimą MTEP </w:t>
            </w:r>
            <w:proofErr w:type="spellStart"/>
            <w:r w:rsidRPr="0099117D">
              <w:rPr>
                <w:rFonts w:ascii="Times New Roman" w:hAnsi="Times New Roman" w:cs="Times New Roman"/>
                <w:sz w:val="24"/>
                <w:szCs w:val="24"/>
                <w:lang w:eastAsia="lt-LT"/>
              </w:rPr>
              <w:t>paprojekčio</w:t>
            </w:r>
            <w:proofErr w:type="spellEnd"/>
            <w:r w:rsidRPr="0099117D">
              <w:rPr>
                <w:rFonts w:ascii="Times New Roman" w:hAnsi="Times New Roman" w:cs="Times New Roman"/>
                <w:sz w:val="24"/>
                <w:szCs w:val="24"/>
                <w:lang w:eastAsia="lt-LT"/>
              </w:rPr>
              <w:t xml:space="preserve"> biudžeto lentelės formą.</w:t>
            </w:r>
          </w:p>
        </w:tc>
        <w:tc>
          <w:tcPr>
            <w:tcW w:w="4203" w:type="dxa"/>
          </w:tcPr>
          <w:p w14:paraId="1684B188" w14:textId="467B9BEC"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Atsižvelgta. Bus parengta ir pridėta tvirtinant PFSA.</w:t>
            </w:r>
          </w:p>
        </w:tc>
      </w:tr>
      <w:tr w:rsidR="002A5B33" w:rsidRPr="0099117D" w14:paraId="16BE3780" w14:textId="77777777" w:rsidTr="0099117D">
        <w:trPr>
          <w:jc w:val="center"/>
        </w:trPr>
        <w:tc>
          <w:tcPr>
            <w:tcW w:w="1176" w:type="dxa"/>
          </w:tcPr>
          <w:p w14:paraId="121577A4" w14:textId="09E9C883" w:rsidR="00A43A0D" w:rsidRPr="0099117D" w:rsidRDefault="00F855A7"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34</w:t>
            </w:r>
          </w:p>
        </w:tc>
        <w:tc>
          <w:tcPr>
            <w:tcW w:w="1470" w:type="dxa"/>
          </w:tcPr>
          <w:p w14:paraId="5C9B82A7" w14:textId="19D3C074" w:rsidR="00A43A0D" w:rsidRPr="0099117D" w:rsidRDefault="000F1E34"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5.27.8</w:t>
            </w:r>
          </w:p>
        </w:tc>
        <w:tc>
          <w:tcPr>
            <w:tcW w:w="8206" w:type="dxa"/>
          </w:tcPr>
          <w:p w14:paraId="54F023B9" w14:textId="53EA64F1" w:rsidR="00A43A0D" w:rsidRPr="0099117D" w:rsidRDefault="0048072D" w:rsidP="00C47E50">
            <w:pPr>
              <w:jc w:val="both"/>
              <w:rPr>
                <w:rFonts w:ascii="Times New Roman" w:hAnsi="Times New Roman" w:cs="Times New Roman"/>
                <w:sz w:val="24"/>
                <w:szCs w:val="24"/>
              </w:rPr>
            </w:pPr>
            <w:r w:rsidRPr="0099117D">
              <w:rPr>
                <w:rFonts w:ascii="Times New Roman" w:hAnsi="Times New Roman" w:cs="Times New Roman"/>
                <w:sz w:val="24"/>
                <w:szCs w:val="24"/>
                <w:lang w:eastAsia="lt-LT"/>
              </w:rPr>
              <w:t>Aprašo 5.27.8 papunktyje minimas Aprašo 6 priedas, tačiau tokio priedo nėra. Manome, kad tikslinga būtų turėti 5.27.8 papunktyje minimos Pažymos formą.</w:t>
            </w:r>
          </w:p>
        </w:tc>
        <w:tc>
          <w:tcPr>
            <w:tcW w:w="4203" w:type="dxa"/>
          </w:tcPr>
          <w:p w14:paraId="1B974EFE" w14:textId="2DD2E3DA" w:rsidR="00A43A0D"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sz w:val="24"/>
                <w:szCs w:val="24"/>
              </w:rPr>
              <w:t>Atsižvelgta. Bus parengta ir pridėta tvirtinant PFSA.</w:t>
            </w:r>
          </w:p>
        </w:tc>
      </w:tr>
      <w:tr w:rsidR="002A5B33" w:rsidRPr="0099117D" w14:paraId="0D588D9D" w14:textId="77777777" w:rsidTr="0099117D">
        <w:trPr>
          <w:jc w:val="center"/>
        </w:trPr>
        <w:tc>
          <w:tcPr>
            <w:tcW w:w="1176" w:type="dxa"/>
          </w:tcPr>
          <w:p w14:paraId="1A63D915" w14:textId="2B125152"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35</w:t>
            </w:r>
          </w:p>
        </w:tc>
        <w:tc>
          <w:tcPr>
            <w:tcW w:w="1470" w:type="dxa"/>
          </w:tcPr>
          <w:p w14:paraId="038BBB39" w14:textId="225E1700" w:rsidR="00A43A0D" w:rsidRPr="0099117D" w:rsidRDefault="5BCF1C9A"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5.29</w:t>
            </w:r>
          </w:p>
        </w:tc>
        <w:tc>
          <w:tcPr>
            <w:tcW w:w="8206" w:type="dxa"/>
          </w:tcPr>
          <w:p w14:paraId="229A1CDA" w14:textId="5743824B" w:rsidR="00A43A0D" w:rsidRPr="0099117D" w:rsidRDefault="5BCF1C9A" w:rsidP="00C47E50">
            <w:pPr>
              <w:jc w:val="both"/>
              <w:rPr>
                <w:rFonts w:ascii="Times New Roman" w:hAnsi="Times New Roman" w:cs="Times New Roman"/>
                <w:sz w:val="24"/>
                <w:szCs w:val="24"/>
                <w:lang w:eastAsia="lt-LT"/>
              </w:rPr>
            </w:pPr>
            <w:r w:rsidRPr="0099117D">
              <w:rPr>
                <w:rFonts w:ascii="Times New Roman" w:hAnsi="Times New Roman" w:cs="Times New Roman"/>
                <w:sz w:val="24"/>
                <w:szCs w:val="24"/>
                <w:lang w:eastAsia="lt-LT"/>
              </w:rPr>
              <w:t xml:space="preserve">Aprašo 5.29 papunktyje nurodyta formulė, pagal kurią apskaičiuojamos Projekto siekiamų Apraše išvardintų įgyvendinimo stebėsenos rodiklių vertės. Manome, kad minėtos kai kurių rodiklių vertės yra per daug ambicingos. </w:t>
            </w:r>
            <w:proofErr w:type="spellStart"/>
            <w:r w:rsidRPr="0099117D">
              <w:rPr>
                <w:rFonts w:ascii="Times New Roman" w:hAnsi="Times New Roman" w:cs="Times New Roman"/>
                <w:sz w:val="24"/>
                <w:szCs w:val="24"/>
                <w:lang w:eastAsia="lt-LT"/>
              </w:rPr>
              <w:t>T.y</w:t>
            </w:r>
            <w:proofErr w:type="spellEnd"/>
            <w:r w:rsidRPr="0099117D">
              <w:rPr>
                <w:rFonts w:ascii="Times New Roman" w:hAnsi="Times New Roman" w:cs="Times New Roman"/>
                <w:sz w:val="24"/>
                <w:szCs w:val="24"/>
                <w:lang w:eastAsia="lt-LT"/>
              </w:rPr>
              <w:t>. jei modeliuojamo Projekto biudžeto vertė būtų 5.000.000,00 Eur; pagal Aprašo 5.29 papunktyje nurodytą formulę gautume, kad modeliuojamo Projekto rezultatas turėtų būti 7-ios pateiktos patentų paraiškos. Manome, kad per daug ambicingas pateiktų patentų skaičius, skatintų patentuoti neperspektyvius išradimus, orientuojantis į kiekybę, bet ne į kokybę. Atsižvelgiant į tai, siūlome mažinti rodiklio „Pateiktos patentų paraiškos“ Apraše numatytą siektiną reikšmę.</w:t>
            </w:r>
          </w:p>
        </w:tc>
        <w:tc>
          <w:tcPr>
            <w:tcW w:w="4203" w:type="dxa"/>
          </w:tcPr>
          <w:p w14:paraId="0D5191F1" w14:textId="04733713"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PFSA projekte nurodytos minimalios rodiklių reikšmės. Jei būtų siekiama mažesnė reikšmė, gali būti sumažintas projekto biudžetas.</w:t>
            </w:r>
          </w:p>
        </w:tc>
      </w:tr>
      <w:tr w:rsidR="002A5B33" w:rsidRPr="0099117D" w14:paraId="77AE2206" w14:textId="77777777" w:rsidTr="0099117D">
        <w:trPr>
          <w:jc w:val="center"/>
        </w:trPr>
        <w:tc>
          <w:tcPr>
            <w:tcW w:w="1176" w:type="dxa"/>
          </w:tcPr>
          <w:p w14:paraId="193D8951" w14:textId="148EA94A" w:rsidR="00A43A0D" w:rsidRPr="0099117D" w:rsidRDefault="00FC4FF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36</w:t>
            </w:r>
          </w:p>
        </w:tc>
        <w:tc>
          <w:tcPr>
            <w:tcW w:w="1470" w:type="dxa"/>
          </w:tcPr>
          <w:p w14:paraId="68C9B4A0" w14:textId="0F1E9E60" w:rsidR="00A43A0D" w:rsidRPr="0099117D" w:rsidRDefault="000F1E34"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12.3</w:t>
            </w:r>
          </w:p>
        </w:tc>
        <w:tc>
          <w:tcPr>
            <w:tcW w:w="8206" w:type="dxa"/>
          </w:tcPr>
          <w:p w14:paraId="1D2353EA" w14:textId="39715300" w:rsidR="00A43A0D" w:rsidRPr="0099117D" w:rsidRDefault="008E7002" w:rsidP="00C47E50">
            <w:pPr>
              <w:jc w:val="both"/>
              <w:rPr>
                <w:rFonts w:ascii="Times New Roman" w:hAnsi="Times New Roman" w:cs="Times New Roman"/>
                <w:b/>
                <w:bCs/>
                <w:sz w:val="24"/>
                <w:szCs w:val="24"/>
              </w:rPr>
            </w:pPr>
            <w:r w:rsidRPr="0099117D">
              <w:rPr>
                <w:rFonts w:ascii="Times New Roman" w:hAnsi="Times New Roman" w:cs="Times New Roman"/>
                <w:sz w:val="24"/>
                <w:szCs w:val="24"/>
                <w:lang w:eastAsia="lt-LT"/>
              </w:rPr>
              <w:t>Aprašo papunktyje Nr. 12.3 „Kriterijai ir jų vertinimo aspektai“ nėra nurodyta, ar Projekto siekiami stebėsenos rodikliai vertinami pagal Aprašo 5.29 papunktyje nurodytą stebėsenos rodiklių nustatymo verčių metodiką. Manome, kad jei 5.29 papunktyje yra pateikiama formulė, pareiškėjų teikimai PĮP turi būti vertinimai taip pat atitinkamai.</w:t>
            </w:r>
          </w:p>
        </w:tc>
        <w:tc>
          <w:tcPr>
            <w:tcW w:w="4203" w:type="dxa"/>
          </w:tcPr>
          <w:p w14:paraId="6F570029" w14:textId="649449F9"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Aprašo projekto 12.3 papunktyje nurodyti specialieji ir prioritetiniai atrankos kriterijai.</w:t>
            </w:r>
          </w:p>
        </w:tc>
      </w:tr>
      <w:tr w:rsidR="002A5B33" w:rsidRPr="0099117D" w14:paraId="03445AD2" w14:textId="77777777" w:rsidTr="0099117D">
        <w:trPr>
          <w:jc w:val="center"/>
        </w:trPr>
        <w:tc>
          <w:tcPr>
            <w:tcW w:w="1176" w:type="dxa"/>
          </w:tcPr>
          <w:p w14:paraId="6E5C2734" w14:textId="08072D04" w:rsidR="00A43A0D" w:rsidRPr="0099117D" w:rsidRDefault="008E7002"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37</w:t>
            </w:r>
          </w:p>
        </w:tc>
        <w:tc>
          <w:tcPr>
            <w:tcW w:w="1470" w:type="dxa"/>
          </w:tcPr>
          <w:p w14:paraId="6058ECCD" w14:textId="24AE8259" w:rsidR="00A43A0D" w:rsidRPr="0099117D" w:rsidRDefault="000F1E34"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12.3</w:t>
            </w:r>
          </w:p>
        </w:tc>
        <w:tc>
          <w:tcPr>
            <w:tcW w:w="8206" w:type="dxa"/>
          </w:tcPr>
          <w:p w14:paraId="4E815880" w14:textId="5861EB2D" w:rsidR="00A43A0D" w:rsidRPr="0099117D" w:rsidRDefault="00306972" w:rsidP="00C47E50">
            <w:pPr>
              <w:jc w:val="both"/>
              <w:rPr>
                <w:rFonts w:ascii="Times New Roman" w:hAnsi="Times New Roman" w:cs="Times New Roman"/>
                <w:b/>
                <w:bCs/>
                <w:sz w:val="24"/>
                <w:szCs w:val="24"/>
              </w:rPr>
            </w:pPr>
            <w:r w:rsidRPr="0099117D">
              <w:rPr>
                <w:rFonts w:ascii="Times New Roman" w:hAnsi="Times New Roman" w:cs="Times New Roman"/>
                <w:sz w:val="24"/>
                <w:szCs w:val="24"/>
                <w:lang w:eastAsia="lt-LT"/>
              </w:rPr>
              <w:t xml:space="preserve">Aprašo papunkčio Nr. 12.3 „Kriterijai ir jų vertinimo aspektai“ lentelės eilutėje 5.1. vertinimo metodo aprašyme nenurodyta pagal ką vertinamas šis aspektas. T. y. taip, kaip buvo nurodyta prieš tai esančių aspektų aprašymuose. Pavyzdžiui: </w:t>
            </w:r>
            <w:r w:rsidRPr="0099117D">
              <w:rPr>
                <w:rFonts w:ascii="Times New Roman" w:hAnsi="Times New Roman" w:cs="Times New Roman"/>
                <w:i/>
                <w:sz w:val="24"/>
                <w:szCs w:val="24"/>
                <w:lang w:eastAsia="lt-LT"/>
              </w:rPr>
              <w:t>Vertinama pagal PĮP duomenis ir informaciją pateiktą Aprašo 1 ir 3 prieduose.</w:t>
            </w:r>
          </w:p>
        </w:tc>
        <w:tc>
          <w:tcPr>
            <w:tcW w:w="4203" w:type="dxa"/>
          </w:tcPr>
          <w:p w14:paraId="532D1325" w14:textId="2A87E087"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Atsižvelgta. Patikslinta.</w:t>
            </w:r>
          </w:p>
        </w:tc>
      </w:tr>
      <w:tr w:rsidR="002A5B33" w:rsidRPr="0099117D" w14:paraId="487B23F2" w14:textId="77777777" w:rsidTr="0099117D">
        <w:trPr>
          <w:jc w:val="center"/>
        </w:trPr>
        <w:tc>
          <w:tcPr>
            <w:tcW w:w="1176" w:type="dxa"/>
          </w:tcPr>
          <w:p w14:paraId="705CDEBC" w14:textId="61531961" w:rsidR="00A43A0D" w:rsidRPr="0099117D" w:rsidRDefault="00F831FC"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38</w:t>
            </w:r>
          </w:p>
        </w:tc>
        <w:tc>
          <w:tcPr>
            <w:tcW w:w="1470" w:type="dxa"/>
          </w:tcPr>
          <w:p w14:paraId="35D9D832" w14:textId="0F072B44" w:rsidR="00A43A0D" w:rsidRPr="0099117D" w:rsidRDefault="000F1E34"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12.3</w:t>
            </w:r>
          </w:p>
        </w:tc>
        <w:tc>
          <w:tcPr>
            <w:tcW w:w="8206" w:type="dxa"/>
          </w:tcPr>
          <w:p w14:paraId="0147D75A" w14:textId="6AA8B1CD" w:rsidR="00A43A0D" w:rsidRPr="0099117D" w:rsidRDefault="00210936" w:rsidP="00C47E50">
            <w:pPr>
              <w:jc w:val="both"/>
              <w:rPr>
                <w:rFonts w:ascii="Times New Roman" w:hAnsi="Times New Roman" w:cs="Times New Roman"/>
                <w:b/>
                <w:bCs/>
                <w:sz w:val="24"/>
                <w:szCs w:val="24"/>
              </w:rPr>
            </w:pPr>
            <w:r w:rsidRPr="0099117D">
              <w:rPr>
                <w:rFonts w:ascii="Times New Roman" w:hAnsi="Times New Roman" w:cs="Times New Roman"/>
                <w:sz w:val="24"/>
                <w:szCs w:val="24"/>
                <w:lang w:eastAsia="lt-LT"/>
              </w:rPr>
              <w:t>Aprašo papunkčio Nr. 12.3 „Kriterijai ir jų vertinimo aspektai“ lentelės eilutėje 5.2. vertinimo metodo aprašyme nenurodyta pagal ką vertinamas šis aspektas. Analogiškai, kaip prieš tai buvusioje pastaboje.</w:t>
            </w:r>
          </w:p>
        </w:tc>
        <w:tc>
          <w:tcPr>
            <w:tcW w:w="4203" w:type="dxa"/>
          </w:tcPr>
          <w:p w14:paraId="3C1D3B5D" w14:textId="473EDCA0" w:rsidR="00A43A0D"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sz w:val="24"/>
                <w:szCs w:val="24"/>
              </w:rPr>
              <w:t>Atsižvelgta. Patikslinta.</w:t>
            </w:r>
          </w:p>
        </w:tc>
      </w:tr>
      <w:tr w:rsidR="002A5B33" w:rsidRPr="0099117D" w14:paraId="79A57668" w14:textId="77777777" w:rsidTr="0099117D">
        <w:trPr>
          <w:jc w:val="center"/>
        </w:trPr>
        <w:tc>
          <w:tcPr>
            <w:tcW w:w="1176" w:type="dxa"/>
          </w:tcPr>
          <w:p w14:paraId="371ED2F5" w14:textId="4E89FA41" w:rsidR="00A43A0D" w:rsidRPr="0099117D" w:rsidRDefault="00210936"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39</w:t>
            </w:r>
          </w:p>
        </w:tc>
        <w:tc>
          <w:tcPr>
            <w:tcW w:w="1470" w:type="dxa"/>
          </w:tcPr>
          <w:p w14:paraId="348FC4E4" w14:textId="21139204" w:rsidR="00A43A0D" w:rsidRPr="0099117D" w:rsidRDefault="000F1E34"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12.3</w:t>
            </w:r>
          </w:p>
        </w:tc>
        <w:tc>
          <w:tcPr>
            <w:tcW w:w="8206" w:type="dxa"/>
          </w:tcPr>
          <w:p w14:paraId="0A812809" w14:textId="11766C84" w:rsidR="00A43A0D" w:rsidRPr="0099117D" w:rsidRDefault="00273B4D" w:rsidP="00C47E50">
            <w:pPr>
              <w:jc w:val="both"/>
              <w:rPr>
                <w:rFonts w:ascii="Times New Roman" w:hAnsi="Times New Roman" w:cs="Times New Roman"/>
                <w:b/>
                <w:bCs/>
                <w:sz w:val="24"/>
                <w:szCs w:val="24"/>
              </w:rPr>
            </w:pPr>
            <w:r w:rsidRPr="0099117D">
              <w:rPr>
                <w:rFonts w:ascii="Times New Roman" w:hAnsi="Times New Roman" w:cs="Times New Roman"/>
                <w:sz w:val="24"/>
                <w:szCs w:val="24"/>
                <w:lang w:eastAsia="lt-LT"/>
              </w:rPr>
              <w:t>Aprašo papunkčio Nr. 12.3 „Kriterijai ir jų vertinimo aspektai“ lentelės eilutėje 5.3. vertinimo metodo aprašyme nenurodyta pagal ką vertinamas šis aspektas. Analogiškai, kaip prieš tai buvusioje pastaboje.</w:t>
            </w:r>
          </w:p>
        </w:tc>
        <w:tc>
          <w:tcPr>
            <w:tcW w:w="4203" w:type="dxa"/>
          </w:tcPr>
          <w:p w14:paraId="17E9A682" w14:textId="72608354" w:rsidR="00A43A0D" w:rsidRPr="0099117D" w:rsidRDefault="5BCF1C9A" w:rsidP="00C47E50">
            <w:pPr>
              <w:rPr>
                <w:rFonts w:ascii="Times New Roman" w:hAnsi="Times New Roman" w:cs="Times New Roman"/>
                <w:b/>
                <w:bCs/>
                <w:sz w:val="24"/>
                <w:szCs w:val="24"/>
              </w:rPr>
            </w:pPr>
            <w:r w:rsidRPr="0099117D">
              <w:rPr>
                <w:rFonts w:ascii="Times New Roman" w:hAnsi="Times New Roman" w:cs="Times New Roman"/>
                <w:sz w:val="24"/>
                <w:szCs w:val="24"/>
              </w:rPr>
              <w:t>Atsižvelgta. Patikslinta.</w:t>
            </w:r>
          </w:p>
        </w:tc>
      </w:tr>
      <w:tr w:rsidR="002A5B33" w:rsidRPr="0099117D" w14:paraId="3E8743E9" w14:textId="77777777" w:rsidTr="0099117D">
        <w:trPr>
          <w:jc w:val="center"/>
        </w:trPr>
        <w:tc>
          <w:tcPr>
            <w:tcW w:w="1176" w:type="dxa"/>
          </w:tcPr>
          <w:p w14:paraId="5BBC61ED" w14:textId="01446FBC" w:rsidR="00A43A0D" w:rsidRPr="0099117D" w:rsidRDefault="00273B4D"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40</w:t>
            </w:r>
          </w:p>
        </w:tc>
        <w:tc>
          <w:tcPr>
            <w:tcW w:w="1470" w:type="dxa"/>
          </w:tcPr>
          <w:p w14:paraId="65059B89" w14:textId="06D573C8" w:rsidR="00A43A0D" w:rsidRPr="0099117D" w:rsidRDefault="000F1E34"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12.3</w:t>
            </w:r>
          </w:p>
        </w:tc>
        <w:tc>
          <w:tcPr>
            <w:tcW w:w="8206" w:type="dxa"/>
          </w:tcPr>
          <w:p w14:paraId="232CB9D4" w14:textId="4FCBE649" w:rsidR="00A43A0D" w:rsidRPr="0099117D" w:rsidRDefault="006C4B3F" w:rsidP="00C47E50">
            <w:pPr>
              <w:jc w:val="both"/>
              <w:rPr>
                <w:rFonts w:ascii="Times New Roman" w:hAnsi="Times New Roman" w:cs="Times New Roman"/>
                <w:b/>
                <w:bCs/>
                <w:sz w:val="24"/>
                <w:szCs w:val="24"/>
              </w:rPr>
            </w:pPr>
            <w:r w:rsidRPr="0099117D">
              <w:rPr>
                <w:rFonts w:ascii="Times New Roman" w:hAnsi="Times New Roman" w:cs="Times New Roman"/>
                <w:sz w:val="24"/>
                <w:szCs w:val="24"/>
                <w:lang w:eastAsia="lt-LT"/>
              </w:rPr>
              <w:t>Aprašo papunkčio Nr. 12.3 „Kriterijai ir jų vertinimo aspektai“ lentelės eilutėje 8.1. aspekto aprašyme rašoma „</w:t>
            </w:r>
            <w:r w:rsidRPr="0099117D">
              <w:rPr>
                <w:rFonts w:ascii="Times New Roman" w:hAnsi="Times New Roman" w:cs="Times New Roman"/>
                <w:sz w:val="24"/>
                <w:szCs w:val="24"/>
              </w:rPr>
              <w:t xml:space="preserve">Vertingesniais laikomi „Europos Horizontas“ projektai.“ Siūlome vertingumo prasme vertinti vienodai Europos Sąjungos </w:t>
            </w:r>
            <w:r w:rsidRPr="0099117D">
              <w:rPr>
                <w:rFonts w:ascii="Times New Roman" w:hAnsi="Times New Roman" w:cs="Times New Roman"/>
                <w:sz w:val="24"/>
                <w:szCs w:val="24"/>
                <w:lang w:eastAsia="lt-LT"/>
              </w:rPr>
              <w:t xml:space="preserve">bendrųjų mokslinių tyrimų ir inovacijų programų „Horizontas 2020“ ir „Europos Horizontas“ MTEP projektus. T. y. neišskirti </w:t>
            </w:r>
            <w:r w:rsidRPr="0099117D">
              <w:rPr>
                <w:rFonts w:ascii="Times New Roman" w:hAnsi="Times New Roman" w:cs="Times New Roman"/>
                <w:sz w:val="24"/>
                <w:szCs w:val="24"/>
              </w:rPr>
              <w:t>„Europos Horizontas“ programos projektų.</w:t>
            </w:r>
          </w:p>
        </w:tc>
        <w:tc>
          <w:tcPr>
            <w:tcW w:w="4203" w:type="dxa"/>
          </w:tcPr>
          <w:p w14:paraId="05E1B271" w14:textId="5C51B6B7" w:rsidR="00A43A0D" w:rsidRPr="0099117D" w:rsidRDefault="5BCF1C9A" w:rsidP="00C47E50">
            <w:pPr>
              <w:jc w:val="both"/>
              <w:rPr>
                <w:rFonts w:ascii="Times New Roman" w:eastAsia="Times New Roman" w:hAnsi="Times New Roman" w:cs="Times New Roman"/>
                <w:sz w:val="24"/>
                <w:szCs w:val="24"/>
              </w:rPr>
            </w:pPr>
            <w:r w:rsidRPr="0099117D">
              <w:rPr>
                <w:rFonts w:ascii="Times New Roman" w:eastAsia="Times New Roman" w:hAnsi="Times New Roman" w:cs="Times New Roman"/>
                <w:sz w:val="24"/>
                <w:szCs w:val="24"/>
              </w:rPr>
              <w:t>Neatsižvelgta. Programa „Europos Horizontas” šiuo atveju laikoma vertingesne dėl to, kad ji naujesnė, taigi dalyvaujant jos projektuose vykdyti moksliniai tyrimai ir kitos veiklos yra aktualesni.</w:t>
            </w:r>
          </w:p>
        </w:tc>
      </w:tr>
      <w:tr w:rsidR="002A5B33" w:rsidRPr="0099117D" w14:paraId="61A2E3BE" w14:textId="77777777" w:rsidTr="0099117D">
        <w:trPr>
          <w:jc w:val="center"/>
        </w:trPr>
        <w:tc>
          <w:tcPr>
            <w:tcW w:w="1176" w:type="dxa"/>
          </w:tcPr>
          <w:p w14:paraId="66451796" w14:textId="45A0730C" w:rsidR="00A43A0D" w:rsidRPr="0099117D" w:rsidRDefault="006C4B3F"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41</w:t>
            </w:r>
          </w:p>
        </w:tc>
        <w:tc>
          <w:tcPr>
            <w:tcW w:w="1470" w:type="dxa"/>
          </w:tcPr>
          <w:p w14:paraId="03A6BC73" w14:textId="50745B2C" w:rsidR="00A43A0D" w:rsidRPr="0099117D" w:rsidRDefault="004313AC"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12.3</w:t>
            </w:r>
          </w:p>
        </w:tc>
        <w:tc>
          <w:tcPr>
            <w:tcW w:w="8206" w:type="dxa"/>
          </w:tcPr>
          <w:p w14:paraId="2E982AEC" w14:textId="35561C0A" w:rsidR="00A43A0D" w:rsidRPr="0099117D" w:rsidRDefault="00D86D78" w:rsidP="00C47E50">
            <w:pPr>
              <w:jc w:val="both"/>
              <w:rPr>
                <w:rFonts w:ascii="Times New Roman" w:hAnsi="Times New Roman" w:cs="Times New Roman"/>
                <w:b/>
                <w:bCs/>
                <w:sz w:val="24"/>
                <w:szCs w:val="24"/>
              </w:rPr>
            </w:pPr>
            <w:r w:rsidRPr="0099117D">
              <w:rPr>
                <w:rFonts w:ascii="Times New Roman" w:hAnsi="Times New Roman" w:cs="Times New Roman"/>
                <w:sz w:val="24"/>
                <w:szCs w:val="24"/>
                <w:lang w:eastAsia="lt-LT"/>
              </w:rPr>
              <w:t>Aprašo papunkčio Nr. 12.3 „Kriterijai ir jų vertinimo aspektai“ lentelės eilutėje 8.1. aspekto aprašyme rašoma: &lt;&lt;...</w:t>
            </w:r>
            <w:r w:rsidRPr="0099117D">
              <w:rPr>
                <w:rFonts w:ascii="Times New Roman" w:hAnsi="Times New Roman" w:cs="Times New Roman"/>
                <w:sz w:val="24"/>
                <w:szCs w:val="24"/>
              </w:rPr>
              <w:t xml:space="preserve"> iš kurių bent 3 konsorciumo nariai – </w:t>
            </w:r>
            <w:r w:rsidRPr="0099117D">
              <w:rPr>
                <w:rFonts w:ascii="Times New Roman" w:hAnsi="Times New Roman" w:cs="Times New Roman"/>
                <w:b/>
                <w:sz w:val="24"/>
                <w:szCs w:val="24"/>
              </w:rPr>
              <w:t>verslo</w:t>
            </w:r>
            <w:r w:rsidRPr="0099117D">
              <w:rPr>
                <w:rFonts w:ascii="Times New Roman" w:hAnsi="Times New Roman" w:cs="Times New Roman"/>
                <w:sz w:val="24"/>
                <w:szCs w:val="24"/>
              </w:rPr>
              <w:t xml:space="preserve"> įmonės, visuose projektuose vykdytų...&gt;&gt;&gt;. Siūlome tikslinti ir rašyti tiesiog „įmonės“. Atitinkamai koreguoti ir kitose Aprašo vietose.</w:t>
            </w:r>
          </w:p>
        </w:tc>
        <w:tc>
          <w:tcPr>
            <w:tcW w:w="4203" w:type="dxa"/>
          </w:tcPr>
          <w:p w14:paraId="1EB35A7B" w14:textId="676FBF22"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Terminas „verslo įmonės“ naudojamas tik PFSA 12.3 p. lentelėje. Kadangi teisės aktuose tokios sąvokos kaip „verslo įmonė“ nėra, o LR smulkiojo ir vidutinio verslo įstatyme verslas apibrėžiamas kaip “ekonominės veiklos vykdymas”, nemanome, kad žodis „verslo“ apriboja galimų įmonių spektrą. Tokiu atveju, net pvz. Valstybės, savivaldybės ar socialinės įmonės laikytinos verslo įmonėmis, nes vykdo ekonominę veiklą.</w:t>
            </w:r>
          </w:p>
        </w:tc>
      </w:tr>
      <w:tr w:rsidR="002A5B33" w:rsidRPr="0099117D" w14:paraId="44DCD794" w14:textId="77777777" w:rsidTr="0099117D">
        <w:trPr>
          <w:jc w:val="center"/>
        </w:trPr>
        <w:tc>
          <w:tcPr>
            <w:tcW w:w="1176" w:type="dxa"/>
          </w:tcPr>
          <w:p w14:paraId="4107DFAB" w14:textId="0ED60409" w:rsidR="00A43A0D" w:rsidRPr="0099117D" w:rsidRDefault="003B1652"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42</w:t>
            </w:r>
          </w:p>
        </w:tc>
        <w:tc>
          <w:tcPr>
            <w:tcW w:w="1470" w:type="dxa"/>
          </w:tcPr>
          <w:p w14:paraId="661C6F52" w14:textId="1ADA87DF" w:rsidR="00A43A0D" w:rsidRPr="0099117D" w:rsidRDefault="004313AC"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12.3</w:t>
            </w:r>
          </w:p>
        </w:tc>
        <w:tc>
          <w:tcPr>
            <w:tcW w:w="8206" w:type="dxa"/>
          </w:tcPr>
          <w:p w14:paraId="6BE79293" w14:textId="2C17DA23" w:rsidR="00A43A0D" w:rsidRPr="0099117D" w:rsidRDefault="00865F45" w:rsidP="00C47E50">
            <w:pPr>
              <w:jc w:val="both"/>
              <w:rPr>
                <w:rFonts w:ascii="Times New Roman" w:hAnsi="Times New Roman" w:cs="Times New Roman"/>
                <w:b/>
                <w:bCs/>
                <w:sz w:val="24"/>
                <w:szCs w:val="24"/>
              </w:rPr>
            </w:pPr>
            <w:r w:rsidRPr="0099117D">
              <w:rPr>
                <w:rFonts w:ascii="Times New Roman" w:hAnsi="Times New Roman" w:cs="Times New Roman"/>
                <w:sz w:val="24"/>
                <w:szCs w:val="24"/>
                <w:lang w:eastAsia="lt-LT"/>
              </w:rPr>
              <w:t>Aprašo papunkčio Nr. 12.3 „Kriterijai ir jų vertinimo aspektai“ lentelės eilutėje 8.1. aspekto aprašyme numatyti per daug ambicingi kriterijai. Minėtame aprašyme nurodyta: „</w:t>
            </w:r>
            <w:r w:rsidRPr="0099117D">
              <w:rPr>
                <w:rFonts w:ascii="Times New Roman" w:hAnsi="Times New Roman" w:cs="Times New Roman"/>
                <w:sz w:val="24"/>
                <w:szCs w:val="24"/>
              </w:rPr>
              <w:t xml:space="preserve">10 balų skiriama, jei didesnės dalies vertinimui pateiktų projektų teminės sąsajos su atitinkamu projektu yra akivaizdžios, verslo dalyvavimas visuose projektuose yra reikšmingas, </w:t>
            </w:r>
            <w:r w:rsidRPr="0099117D">
              <w:rPr>
                <w:rFonts w:ascii="Times New Roman" w:hAnsi="Times New Roman" w:cs="Times New Roman"/>
                <w:b/>
                <w:sz w:val="24"/>
                <w:szCs w:val="24"/>
              </w:rPr>
              <w:t>visuose projektuose dalyvavo kiti konsorciumo nariai</w:t>
            </w:r>
            <w:r w:rsidRPr="0099117D">
              <w:rPr>
                <w:rFonts w:ascii="Times New Roman" w:hAnsi="Times New Roman" w:cs="Times New Roman"/>
                <w:sz w:val="24"/>
                <w:szCs w:val="24"/>
              </w:rPr>
              <w:t xml:space="preserve">, iš kurių bent 3 konsorciumo nariai – verslo įmonės, visuose projektuose vykdytų MTEP veiklų reikšmė projektui yra didelė.“ Minėtame tekste nurodoma, kad 10 balų pareiškėjai galėtų gauti tik tada, jei visuose patirtį pagrindžiančiuose projektuose dalyvavo </w:t>
            </w:r>
            <w:r w:rsidRPr="0099117D">
              <w:rPr>
                <w:rFonts w:ascii="Times New Roman" w:hAnsi="Times New Roman" w:cs="Times New Roman"/>
                <w:b/>
                <w:sz w:val="24"/>
                <w:szCs w:val="24"/>
              </w:rPr>
              <w:t xml:space="preserve">visi </w:t>
            </w:r>
            <w:r w:rsidRPr="0099117D">
              <w:rPr>
                <w:rFonts w:ascii="Times New Roman" w:hAnsi="Times New Roman" w:cs="Times New Roman"/>
                <w:sz w:val="24"/>
                <w:szCs w:val="24"/>
              </w:rPr>
              <w:t xml:space="preserve">naujos rengiamos paraiškos konsorciumo nariai, iš kurių bent 3 yra įmonės. Minėtame papunktyje nurodoma patirtis tarptautinėse programose, vadinasi labiau tikėtina, kad „Europos horizontas“ arba „Horizontas 2020“ projektuose dalyvavo tarptautinės įmonės, o ne Lietuvos verslo subjektai. Tai suponuoja, kad minėtas kriterijus yra per daug ambicingas tiek dėl reikalavimo, kad </w:t>
            </w:r>
            <w:r w:rsidRPr="0099117D">
              <w:rPr>
                <w:rFonts w:ascii="Times New Roman" w:hAnsi="Times New Roman" w:cs="Times New Roman"/>
                <w:sz w:val="24"/>
                <w:szCs w:val="24"/>
              </w:rPr>
              <w:lastRenderedPageBreak/>
              <w:t>ankstesniuose projektuose būtų dalyvavę kiti konsorciumo nariai, tiek dėl įmonių įtraukimo į ankstesnius patirtį pagrindžiančius projektus.</w:t>
            </w:r>
          </w:p>
        </w:tc>
        <w:tc>
          <w:tcPr>
            <w:tcW w:w="4203" w:type="dxa"/>
          </w:tcPr>
          <w:p w14:paraId="2DEEFFEC" w14:textId="65E9E4E3" w:rsidR="00A43A0D" w:rsidRPr="0099117D" w:rsidRDefault="00220D0F" w:rsidP="00C47E50">
            <w:pPr>
              <w:jc w:val="both"/>
              <w:rPr>
                <w:rFonts w:ascii="Times New Roman" w:hAnsi="Times New Roman" w:cs="Times New Roman"/>
                <w:sz w:val="24"/>
                <w:szCs w:val="24"/>
              </w:rPr>
            </w:pPr>
            <w:r w:rsidRPr="0099117D">
              <w:rPr>
                <w:rFonts w:ascii="Times New Roman" w:hAnsi="Times New Roman" w:cs="Times New Roman"/>
                <w:sz w:val="24"/>
                <w:szCs w:val="24"/>
              </w:rPr>
              <w:lastRenderedPageBreak/>
              <w:t>Neatsižvelgta.</w:t>
            </w:r>
            <w:r w:rsidR="006A5A95" w:rsidRPr="0099117D">
              <w:rPr>
                <w:rFonts w:ascii="Times New Roman" w:hAnsi="Times New Roman" w:cs="Times New Roman"/>
                <w:sz w:val="24"/>
                <w:szCs w:val="24"/>
              </w:rPr>
              <w:t xml:space="preserve"> Ambicingi kriterijai</w:t>
            </w:r>
            <w:r w:rsidR="0099740E" w:rsidRPr="0099117D">
              <w:rPr>
                <w:rFonts w:ascii="Times New Roman" w:hAnsi="Times New Roman" w:cs="Times New Roman"/>
                <w:sz w:val="24"/>
                <w:szCs w:val="24"/>
              </w:rPr>
              <w:t xml:space="preserve"> padeda atrinkti geriausius projektus.</w:t>
            </w:r>
          </w:p>
        </w:tc>
      </w:tr>
      <w:tr w:rsidR="002A5B33" w:rsidRPr="0099117D" w14:paraId="6145CED6" w14:textId="77777777" w:rsidTr="0099117D">
        <w:trPr>
          <w:jc w:val="center"/>
        </w:trPr>
        <w:tc>
          <w:tcPr>
            <w:tcW w:w="1176" w:type="dxa"/>
          </w:tcPr>
          <w:p w14:paraId="6747103F" w14:textId="706EF85E" w:rsidR="00A43A0D" w:rsidRPr="0099117D" w:rsidRDefault="00865F45"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43</w:t>
            </w:r>
          </w:p>
        </w:tc>
        <w:tc>
          <w:tcPr>
            <w:tcW w:w="1470" w:type="dxa"/>
          </w:tcPr>
          <w:p w14:paraId="2C4725AB" w14:textId="342F8AED" w:rsidR="00A43A0D" w:rsidRPr="0099117D" w:rsidRDefault="00DD0144"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12.3</w:t>
            </w:r>
          </w:p>
        </w:tc>
        <w:tc>
          <w:tcPr>
            <w:tcW w:w="8206" w:type="dxa"/>
          </w:tcPr>
          <w:p w14:paraId="407CD05C" w14:textId="45D8080F" w:rsidR="00A43A0D" w:rsidRPr="00C47E50" w:rsidRDefault="00E366FE" w:rsidP="00C47E50">
            <w:pPr>
              <w:jc w:val="both"/>
              <w:rPr>
                <w:rFonts w:ascii="Times New Roman" w:hAnsi="Times New Roman" w:cs="Times New Roman"/>
                <w:sz w:val="24"/>
                <w:szCs w:val="24"/>
                <w:lang w:eastAsia="lt-LT"/>
              </w:rPr>
            </w:pPr>
            <w:r w:rsidRPr="0099117D">
              <w:rPr>
                <w:rFonts w:ascii="Times New Roman" w:hAnsi="Times New Roman" w:cs="Times New Roman"/>
                <w:sz w:val="24"/>
                <w:szCs w:val="24"/>
                <w:lang w:eastAsia="lt-LT"/>
              </w:rPr>
              <w:t>Atitinkamai to paties papunkčio Nr. 12.3 „Kriterijai ir jų vertinimo aspektai“ lentelės eilutėje 8.1. aspekto vertinimo aprašyme nurodoma: &lt;&lt;...</w:t>
            </w:r>
            <w:r w:rsidRPr="0099117D">
              <w:rPr>
                <w:rFonts w:ascii="Times New Roman" w:hAnsi="Times New Roman" w:cs="Times New Roman"/>
                <w:sz w:val="24"/>
                <w:szCs w:val="24"/>
              </w:rPr>
              <w:t>5 balai skiriami, jei bent pusės vertinimui pateiktų projektų teminės sąsajos su atitinkamu projektu arba Misijos tema yra akivaizdžios, bent pusėje projektų verslo dalyvavimas yra reikšmingas, pusėje projektų dalyvavo kiti konsorciumo nariai...&gt;&gt;. Siūlome tikslinti ir nurodyti konkretų projektų skaičių, nenaudoti terminų „bent pusėje“, nes Aprašo 4 priedo 3.1 dalyje prašoma nurodyti ne daugiau nei 5 ankstesnius projektus. Vadinasi pusė yra 2,5. Siekiant išvengti dviprasmybių, siūlome nurodyti konkretų projektų skaičių, t. y. „3 arba daugiau“.</w:t>
            </w:r>
          </w:p>
        </w:tc>
        <w:tc>
          <w:tcPr>
            <w:tcW w:w="4203" w:type="dxa"/>
          </w:tcPr>
          <w:p w14:paraId="0F523EF4" w14:textId="76B4CD42"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Neatsižvelgta. Skaičiuojama nuo pateiktų vertinimui projektų skaičiaus. </w:t>
            </w:r>
            <w:r w:rsidRPr="0099117D">
              <w:rPr>
                <w:rFonts w:ascii="Times New Roman" w:eastAsia="Times New Roman" w:hAnsi="Times New Roman" w:cs="Times New Roman"/>
                <w:sz w:val="24"/>
                <w:szCs w:val="24"/>
              </w:rPr>
              <w:t>Jei vertinimui pateiktas nelyginis projektų skaičius, apvalinama į mažesnę pusę).</w:t>
            </w:r>
          </w:p>
        </w:tc>
      </w:tr>
      <w:tr w:rsidR="002A5B33" w:rsidRPr="0099117D" w14:paraId="7AF491E1" w14:textId="77777777" w:rsidTr="0099117D">
        <w:trPr>
          <w:jc w:val="center"/>
        </w:trPr>
        <w:tc>
          <w:tcPr>
            <w:tcW w:w="1176" w:type="dxa"/>
          </w:tcPr>
          <w:p w14:paraId="4E1CCA6C" w14:textId="6B44590A" w:rsidR="00A43A0D" w:rsidRPr="0099117D" w:rsidRDefault="0084642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44</w:t>
            </w:r>
          </w:p>
        </w:tc>
        <w:tc>
          <w:tcPr>
            <w:tcW w:w="1470" w:type="dxa"/>
          </w:tcPr>
          <w:p w14:paraId="418E738A" w14:textId="13006C9A" w:rsidR="00A43A0D" w:rsidRPr="0099117D" w:rsidRDefault="002A5B33"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12.3</w:t>
            </w:r>
          </w:p>
        </w:tc>
        <w:tc>
          <w:tcPr>
            <w:tcW w:w="8206" w:type="dxa"/>
          </w:tcPr>
          <w:p w14:paraId="10F35AF7" w14:textId="4AF9122C" w:rsidR="00A43A0D" w:rsidRPr="0099117D" w:rsidRDefault="00195C03" w:rsidP="00C47E50">
            <w:pPr>
              <w:tabs>
                <w:tab w:val="left" w:pos="615"/>
              </w:tabs>
              <w:jc w:val="both"/>
              <w:rPr>
                <w:rFonts w:ascii="Times New Roman" w:hAnsi="Times New Roman" w:cs="Times New Roman"/>
                <w:sz w:val="24"/>
                <w:szCs w:val="24"/>
                <w:lang w:eastAsia="lt-LT"/>
              </w:rPr>
            </w:pPr>
            <w:r w:rsidRPr="0099117D">
              <w:rPr>
                <w:rFonts w:ascii="Times New Roman" w:hAnsi="Times New Roman" w:cs="Times New Roman"/>
                <w:sz w:val="24"/>
                <w:szCs w:val="24"/>
                <w:lang w:eastAsia="lt-LT"/>
              </w:rPr>
              <w:t xml:space="preserve">Aprašo papunkčio Nr. 12.3 „Kriterijai ir jų vertinimo aspektai“ lentelės eilutėje 8.2. aspekto pavadinimas yra „8.2 Turimos licencinės sutartys“. Reikia tikslinti ką reiškia „turimos“. Jei buvo sudaryta prieš 5 metus ir nutraukta po metų, ar toks atvejis tinkamas? Siūlome vertinti ir jau pasibaigusias sutartis, nes licencinės sutarties pabaiga reiškia ciklo pabaigą </w:t>
            </w:r>
            <w:proofErr w:type="spellStart"/>
            <w:r w:rsidRPr="0099117D">
              <w:rPr>
                <w:rFonts w:ascii="Times New Roman" w:hAnsi="Times New Roman" w:cs="Times New Roman"/>
                <w:sz w:val="24"/>
                <w:szCs w:val="24"/>
                <w:lang w:eastAsia="lt-LT"/>
              </w:rPr>
              <w:t>komercializavimo</w:t>
            </w:r>
            <w:proofErr w:type="spellEnd"/>
            <w:r w:rsidRPr="0099117D">
              <w:rPr>
                <w:rFonts w:ascii="Times New Roman" w:hAnsi="Times New Roman" w:cs="Times New Roman"/>
                <w:sz w:val="24"/>
                <w:szCs w:val="24"/>
                <w:lang w:eastAsia="lt-LT"/>
              </w:rPr>
              <w:t xml:space="preserve"> sekoje, o ne bendradarbiavimo pabaigą. To paties 8.2 aspekto vertinimo aprašyme nurodoma: &lt;&lt;...</w:t>
            </w:r>
            <w:r w:rsidRPr="0099117D">
              <w:rPr>
                <w:rFonts w:ascii="Times New Roman" w:hAnsi="Times New Roman" w:cs="Times New Roman"/>
                <w:sz w:val="24"/>
                <w:szCs w:val="24"/>
              </w:rPr>
              <w:t>Vertinamos turimos geriausios</w:t>
            </w:r>
            <w:r w:rsidRPr="0099117D">
              <w:rPr>
                <w:rFonts w:ascii="Times New Roman" w:hAnsi="Times New Roman" w:cs="Times New Roman"/>
                <w:sz w:val="24"/>
                <w:szCs w:val="24"/>
                <w:u w:val="single"/>
              </w:rPr>
              <w:t xml:space="preserve"> </w:t>
            </w:r>
            <w:r w:rsidRPr="0099117D">
              <w:rPr>
                <w:rFonts w:ascii="Times New Roman" w:hAnsi="Times New Roman" w:cs="Times New Roman"/>
                <w:sz w:val="24"/>
                <w:szCs w:val="24"/>
              </w:rPr>
              <w:t>licencinės sutartys</w:t>
            </w:r>
            <w:r w:rsidRPr="0099117D">
              <w:rPr>
                <w:rFonts w:ascii="Times New Roman" w:hAnsi="Times New Roman" w:cs="Times New Roman"/>
                <w:sz w:val="24"/>
                <w:szCs w:val="24"/>
                <w:lang w:eastAsia="lt-LT"/>
              </w:rPr>
              <w:t>...&gt;&gt;. Terminas „geriausios“ yra abstraktus. Darome prielaidą, kad „geriausios“ yra tos, kurios labiausiai atitinka tematiką. Atitinkamai reiktų tikslinti aprašymą. 8.2 aspekto vertinimo aprašyme nurodoma: &lt;&lt;...</w:t>
            </w:r>
            <w:r w:rsidRPr="0099117D">
              <w:rPr>
                <w:rFonts w:ascii="Times New Roman" w:hAnsi="Times New Roman" w:cs="Times New Roman"/>
                <w:sz w:val="24"/>
                <w:szCs w:val="24"/>
              </w:rPr>
              <w:t xml:space="preserve">sutarčių sudarymą tarp konsorciumo dalyvių (pagal dalyvavusių (ypač verslo) skaičių)...&gt;&gt;. Siūlome tikslinti nurodant, kad sutartys turi būti sudarytos su įmonėmis. </w:t>
            </w:r>
            <w:r w:rsidRPr="0099117D">
              <w:rPr>
                <w:rFonts w:ascii="Times New Roman" w:hAnsi="Times New Roman" w:cs="Times New Roman"/>
                <w:sz w:val="24"/>
                <w:szCs w:val="24"/>
                <w:lang w:eastAsia="lt-LT"/>
              </w:rPr>
              <w:t>Be to, licencinės sutarties sudarymas su konsorciumo nariais nebūtinai rodo didesnį komercinį potencialą, nes: a) sutartys sudaromos atsiradus komercinėms sąlygoms, todėl gali būti nesudaromos, nes nėra verslo galimybės; b) labai naujos technologijos (</w:t>
            </w:r>
            <w:r w:rsidRPr="0099117D">
              <w:rPr>
                <w:rFonts w:ascii="Times New Roman" w:hAnsi="Times New Roman" w:cs="Times New Roman"/>
                <w:i/>
                <w:sz w:val="24"/>
                <w:szCs w:val="24"/>
                <w:lang w:eastAsia="lt-LT"/>
              </w:rPr>
              <w:t xml:space="preserve">angl. </w:t>
            </w:r>
            <w:proofErr w:type="spellStart"/>
            <w:r w:rsidRPr="0099117D">
              <w:rPr>
                <w:rFonts w:ascii="Times New Roman" w:hAnsi="Times New Roman" w:cs="Times New Roman"/>
                <w:i/>
                <w:sz w:val="24"/>
                <w:szCs w:val="24"/>
                <w:lang w:eastAsia="lt-LT"/>
              </w:rPr>
              <w:t>disruptive</w:t>
            </w:r>
            <w:proofErr w:type="spellEnd"/>
            <w:r w:rsidRPr="0099117D">
              <w:rPr>
                <w:rFonts w:ascii="Times New Roman" w:hAnsi="Times New Roman" w:cs="Times New Roman"/>
                <w:sz w:val="24"/>
                <w:szCs w:val="24"/>
                <w:lang w:eastAsia="lt-LT"/>
              </w:rPr>
              <w:t>) nėra licencijuojamos pačioje pradinėje tyrimų stadijoje dėl rizikos. c) sutarties neturėjimas nereiškia, kad žinios, kurios dar tik bus kuriamos ‚misijų projekte‘ neturi potencialo. Todėl siūlome vertinti visas licencines sutartis su įmonėmis, kurios atskleidžia MSI gebėjimą kurti aukštos pridėtinės vertės žinias. 8.2 aspekto vertinimo aprašyme nurodoma: &lt;&lt;...</w:t>
            </w:r>
            <w:r w:rsidRPr="0099117D">
              <w:rPr>
                <w:rFonts w:ascii="Times New Roman" w:hAnsi="Times New Roman" w:cs="Times New Roman"/>
                <w:sz w:val="24"/>
                <w:szCs w:val="24"/>
              </w:rPr>
              <w:t xml:space="preserve">5 balai skiriami, jei bent pusės vertinimui pateiktų licencinių sutarčių...&gt;&gt;. Siūlome tikslinti ir nurodyti konkretų sutarčių skaičių, nenaudoti </w:t>
            </w:r>
            <w:r w:rsidRPr="0099117D">
              <w:rPr>
                <w:rFonts w:ascii="Times New Roman" w:hAnsi="Times New Roman" w:cs="Times New Roman"/>
                <w:sz w:val="24"/>
                <w:szCs w:val="24"/>
              </w:rPr>
              <w:lastRenderedPageBreak/>
              <w:t>terminų „bent pusėje“, nes Aprašo 4 priedo 3.2 dalyje prašoma nurodyti ne daugiau nei 5 sutartis. Vadinasi pusė yra 2,5. Siekiant išvengti dviprasmybių, siūlome nurodyti konkretų sutarčių skaičių, t. y. „3 arba daugiau“. Taip pat 8.2 aspekto aprašyme kalbama apie 7 sutartis, kai tuo tarpu Aprašo 4 priedo 3.2 dalyje rašome apie 5 sutartis. Reikia suvienodinti sutarčių skaičių Apraše ir jo priede Nr. 4.</w:t>
            </w:r>
          </w:p>
        </w:tc>
        <w:tc>
          <w:tcPr>
            <w:tcW w:w="4203" w:type="dxa"/>
          </w:tcPr>
          <w:p w14:paraId="62F5636F" w14:textId="0B2EF5FA" w:rsidR="00A43A0D" w:rsidRPr="0099117D" w:rsidRDefault="00A91A8A" w:rsidP="00C47E50">
            <w:pPr>
              <w:jc w:val="both"/>
              <w:rPr>
                <w:rFonts w:ascii="Times New Roman" w:hAnsi="Times New Roman" w:cs="Times New Roman"/>
                <w:sz w:val="24"/>
                <w:szCs w:val="24"/>
              </w:rPr>
            </w:pPr>
            <w:r w:rsidRPr="0099117D">
              <w:rPr>
                <w:rFonts w:ascii="Times New Roman" w:hAnsi="Times New Roman" w:cs="Times New Roman"/>
                <w:sz w:val="24"/>
                <w:szCs w:val="24"/>
              </w:rPr>
              <w:lastRenderedPageBreak/>
              <w:t>Neatsižvelgta. Kriterijus aiškiai pasako kokios licencinės sutartys skaičiuojamos</w:t>
            </w:r>
          </w:p>
        </w:tc>
      </w:tr>
      <w:tr w:rsidR="002A5B33" w:rsidRPr="0099117D" w14:paraId="1A909288" w14:textId="77777777" w:rsidTr="0099117D">
        <w:trPr>
          <w:jc w:val="center"/>
        </w:trPr>
        <w:tc>
          <w:tcPr>
            <w:tcW w:w="1176" w:type="dxa"/>
          </w:tcPr>
          <w:p w14:paraId="138D6EE9" w14:textId="0F9113C5" w:rsidR="00A43A0D" w:rsidRPr="0099117D" w:rsidRDefault="00195C0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45</w:t>
            </w:r>
          </w:p>
        </w:tc>
        <w:tc>
          <w:tcPr>
            <w:tcW w:w="1470" w:type="dxa"/>
          </w:tcPr>
          <w:p w14:paraId="33E49206" w14:textId="5C26D051" w:rsidR="00A43A0D" w:rsidRPr="0099117D" w:rsidRDefault="00451055" w:rsidP="00C47E50">
            <w:pPr>
              <w:jc w:val="center"/>
              <w:rPr>
                <w:rFonts w:ascii="Times New Roman" w:hAnsi="Times New Roman" w:cs="Times New Roman"/>
                <w:b/>
                <w:bCs/>
                <w:sz w:val="24"/>
                <w:szCs w:val="24"/>
              </w:rPr>
            </w:pPr>
            <w:r w:rsidRPr="0099117D">
              <w:rPr>
                <w:rFonts w:ascii="Times New Roman" w:hAnsi="Times New Roman" w:cs="Times New Roman"/>
                <w:sz w:val="24"/>
                <w:szCs w:val="24"/>
                <w:lang w:eastAsia="lt-LT"/>
              </w:rPr>
              <w:t>5.27.4</w:t>
            </w:r>
          </w:p>
        </w:tc>
        <w:tc>
          <w:tcPr>
            <w:tcW w:w="8206" w:type="dxa"/>
          </w:tcPr>
          <w:p w14:paraId="62C2BE8E" w14:textId="503B06C3" w:rsidR="00A43A0D" w:rsidRPr="0099117D" w:rsidRDefault="00A57660" w:rsidP="00C47E50">
            <w:pPr>
              <w:tabs>
                <w:tab w:val="left" w:pos="615"/>
              </w:tabs>
              <w:jc w:val="both"/>
              <w:rPr>
                <w:rFonts w:ascii="Times New Roman" w:hAnsi="Times New Roman" w:cs="Times New Roman"/>
                <w:sz w:val="24"/>
                <w:szCs w:val="24"/>
                <w:lang w:eastAsia="lt-LT"/>
              </w:rPr>
            </w:pPr>
            <w:r w:rsidRPr="0099117D">
              <w:rPr>
                <w:rFonts w:ascii="Times New Roman" w:hAnsi="Times New Roman" w:cs="Times New Roman"/>
                <w:sz w:val="24"/>
                <w:szCs w:val="24"/>
                <w:lang w:eastAsia="lt-LT"/>
              </w:rPr>
              <w:t>Aprašo 5.27.4 nurodo, jog Pareiškėjai turės pateikti: „dokumentus, pagrindžiančius projekto biudžetą (sudarytas sutartis, komercinius pasiūlymus, nuorodas į rinkoje esančias kainas (pvz., Centrinėje viešųjų pirkimų informacinėje sistemoje) ir kitus dokumentus, pagrindžiančius darbo užmokesčio išlaidų pagrįstumą)“. Siekiant mažinti administracinę naštą Pareiškėjams ir didinti nacionalinių finansavimo priemonių paraiškų teikimo proceso optimalumą, siūlome taikyti Europos Sąjungos mokslinių tyrimų ir inovacijų programose „Horizontas 2020“ ir „Europos Horizontas“ taikomą praktiką, kuomet Pareiškėjai neturi pateikti kitas projekto išlaidas pagrindžiančių dokumentų, t. y. sudarytų sutarčių, komercinių pasiūlymų kopijų, nuorodų į rinkoje esančias kainas ir pan.</w:t>
            </w:r>
          </w:p>
        </w:tc>
        <w:tc>
          <w:tcPr>
            <w:tcW w:w="4203" w:type="dxa"/>
          </w:tcPr>
          <w:p w14:paraId="64152746" w14:textId="5B031293"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Reikalavimas privalomas reikalavimas Europos Sąjungos fondų lėšomis finansuojamiems projektams.</w:t>
            </w:r>
          </w:p>
        </w:tc>
      </w:tr>
      <w:tr w:rsidR="002A5B33" w:rsidRPr="0099117D" w14:paraId="0363F196" w14:textId="77777777" w:rsidTr="0099117D">
        <w:trPr>
          <w:jc w:val="center"/>
        </w:trPr>
        <w:tc>
          <w:tcPr>
            <w:tcW w:w="1176" w:type="dxa"/>
          </w:tcPr>
          <w:p w14:paraId="12CA50FA" w14:textId="77777777" w:rsidR="00845A40" w:rsidRPr="0099117D" w:rsidRDefault="008A6BA5"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FTMC</w:t>
            </w:r>
          </w:p>
          <w:p w14:paraId="375226AD" w14:textId="18626BB2" w:rsidR="00A43A0D" w:rsidRPr="0099117D" w:rsidRDefault="00451055"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46</w:t>
            </w:r>
          </w:p>
        </w:tc>
        <w:tc>
          <w:tcPr>
            <w:tcW w:w="1470" w:type="dxa"/>
          </w:tcPr>
          <w:p w14:paraId="65A28852" w14:textId="3EC021DC" w:rsidR="00A43A0D" w:rsidRPr="0099117D" w:rsidRDefault="008A6BA5" w:rsidP="00C47E50">
            <w:pPr>
              <w:jc w:val="center"/>
              <w:rPr>
                <w:rFonts w:ascii="Times New Roman" w:hAnsi="Times New Roman" w:cs="Times New Roman"/>
                <w:b/>
                <w:bCs/>
                <w:sz w:val="24"/>
                <w:szCs w:val="24"/>
              </w:rPr>
            </w:pPr>
            <w:r w:rsidRPr="0099117D">
              <w:rPr>
                <w:rFonts w:ascii="Times New Roman" w:hAnsi="Times New Roman" w:cs="Times New Roman"/>
                <w:i/>
                <w:iCs/>
                <w:sz w:val="24"/>
                <w:szCs w:val="24"/>
              </w:rPr>
              <w:t>5.19</w:t>
            </w:r>
          </w:p>
        </w:tc>
        <w:tc>
          <w:tcPr>
            <w:tcW w:w="8206" w:type="dxa"/>
          </w:tcPr>
          <w:p w14:paraId="3A8C42F9" w14:textId="77777777" w:rsidR="00341501" w:rsidRPr="0099117D" w:rsidRDefault="5BCF1C9A" w:rsidP="00C47E50">
            <w:pPr>
              <w:widowControl w:val="0"/>
              <w:jc w:val="both"/>
              <w:rPr>
                <w:rFonts w:ascii="Times New Roman" w:hAnsi="Times New Roman" w:cs="Times New Roman"/>
                <w:sz w:val="24"/>
                <w:szCs w:val="24"/>
              </w:rPr>
            </w:pPr>
            <w:r w:rsidRPr="0099117D">
              <w:rPr>
                <w:rFonts w:ascii="Times New Roman" w:hAnsi="Times New Roman" w:cs="Times New Roman"/>
                <w:sz w:val="24"/>
                <w:szCs w:val="24"/>
              </w:rPr>
              <w:t>5.19 punkte nustatytas MTEP veiklų tematikos ribojimas tik šiomis trimis misijų kryptimis nebėra adekvatus šiandienos geopolitinei ir ekonominei realybei.</w:t>
            </w:r>
          </w:p>
          <w:p w14:paraId="31F20E58" w14:textId="77777777" w:rsidR="00341501" w:rsidRPr="0099117D" w:rsidRDefault="5BCF1C9A" w:rsidP="00C47E50">
            <w:pPr>
              <w:widowControl w:val="0"/>
              <w:tabs>
                <w:tab w:val="num" w:pos="720"/>
              </w:tabs>
              <w:jc w:val="both"/>
              <w:rPr>
                <w:rFonts w:ascii="Times New Roman" w:hAnsi="Times New Roman" w:cs="Times New Roman"/>
                <w:sz w:val="24"/>
                <w:szCs w:val="24"/>
              </w:rPr>
            </w:pPr>
            <w:r w:rsidRPr="0099117D">
              <w:rPr>
                <w:rFonts w:ascii="Times New Roman" w:hAnsi="Times New Roman" w:cs="Times New Roman"/>
                <w:sz w:val="24"/>
                <w:szCs w:val="24"/>
              </w:rPr>
              <w:t xml:space="preserve">Pastaraisiais metais išryškėję tokie iššūkiai kaip: stiprėjanti gynybos ir saugumo tematika (ypač atsižvelgiant į Rusijos karo prieš Ukrainą kontekstą), tiekimo grandinių sutrikimai ir žaliavų strateginis (ne)prieinamumas, spartus kvantinių, dirbtinio intelekto, branduolinės energetikos bei puslaidininkių technologijų proveržis, ES ir NATO politinių bei karinių iniciatyvų sinergijos su mokslu stiprinimas, rodo, kad MTEP finansavimo prioritetai turi būti lankstesni ir atviresni platesniam temų spektrui, nei numatyta griežtai ribotose „misijų“ formuluotėse. </w:t>
            </w:r>
          </w:p>
          <w:p w14:paraId="2E1D0F2D" w14:textId="77777777" w:rsidR="00341501" w:rsidRPr="0099117D" w:rsidRDefault="5BCF1C9A" w:rsidP="00C47E50">
            <w:pPr>
              <w:widowControl w:val="0"/>
              <w:tabs>
                <w:tab w:val="num" w:pos="720"/>
              </w:tabs>
              <w:jc w:val="both"/>
              <w:rPr>
                <w:rFonts w:ascii="Times New Roman" w:hAnsi="Times New Roman" w:cs="Times New Roman"/>
                <w:sz w:val="24"/>
                <w:szCs w:val="24"/>
              </w:rPr>
            </w:pPr>
            <w:r w:rsidRPr="0099117D">
              <w:rPr>
                <w:rFonts w:ascii="Times New Roman" w:hAnsi="Times New Roman" w:cs="Times New Roman"/>
                <w:sz w:val="24"/>
                <w:szCs w:val="24"/>
              </w:rPr>
              <w:t>Tokie apribojimai šiuo metu gali trukdyti inovatyvių sprendimų kūrimui aktualiausiose valstybės atsparumo, saugumo, gynybos inovacijų bei technologinės autonomijos, kvantinių technologijų, ekonominės transformacijos, personalizuotos medicinos bei kitose srityse. Todėl visa tai reikalauja, kad nacionalinės MTEP finansavimo programos būtų lankstesnės, į ateitį orientuotos ir atviros inovatyvioms idėjoms platesniame temų spektre.</w:t>
            </w:r>
          </w:p>
          <w:p w14:paraId="2BDBF695" w14:textId="77777777" w:rsidR="00341501" w:rsidRPr="0099117D" w:rsidRDefault="5BCF1C9A" w:rsidP="00C47E50">
            <w:pPr>
              <w:widowControl w:val="0"/>
              <w:tabs>
                <w:tab w:val="num" w:pos="720"/>
              </w:tabs>
              <w:jc w:val="both"/>
              <w:rPr>
                <w:rFonts w:ascii="Times New Roman" w:hAnsi="Times New Roman" w:cs="Times New Roman"/>
                <w:sz w:val="24"/>
                <w:szCs w:val="24"/>
              </w:rPr>
            </w:pPr>
            <w:r w:rsidRPr="0099117D">
              <w:rPr>
                <w:rStyle w:val="Grietas"/>
                <w:rFonts w:ascii="Times New Roman" w:hAnsi="Times New Roman" w:cs="Times New Roman"/>
                <w:b w:val="0"/>
                <w:bCs w:val="0"/>
                <w:color w:val="000000" w:themeColor="text1"/>
                <w:sz w:val="24"/>
                <w:szCs w:val="24"/>
              </w:rPr>
              <w:t>Daugiametėje finansinėje programoje (</w:t>
            </w:r>
            <w:proofErr w:type="spellStart"/>
            <w:r w:rsidRPr="0099117D">
              <w:rPr>
                <w:rStyle w:val="Grietas"/>
                <w:rFonts w:ascii="Times New Roman" w:hAnsi="Times New Roman" w:cs="Times New Roman"/>
                <w:b w:val="0"/>
                <w:bCs w:val="0"/>
                <w:color w:val="000000" w:themeColor="text1"/>
                <w:sz w:val="24"/>
                <w:szCs w:val="24"/>
              </w:rPr>
              <w:t>Multiannual</w:t>
            </w:r>
            <w:proofErr w:type="spellEnd"/>
            <w:r w:rsidRPr="0099117D">
              <w:rPr>
                <w:rStyle w:val="Grietas"/>
                <w:rFonts w:ascii="Times New Roman" w:hAnsi="Times New Roman" w:cs="Times New Roman"/>
                <w:b w:val="0"/>
                <w:bCs w:val="0"/>
                <w:color w:val="000000" w:themeColor="text1"/>
                <w:sz w:val="24"/>
                <w:szCs w:val="24"/>
              </w:rPr>
              <w:t xml:space="preserve"> Financial </w:t>
            </w:r>
            <w:proofErr w:type="spellStart"/>
            <w:r w:rsidRPr="0099117D">
              <w:rPr>
                <w:rStyle w:val="Grietas"/>
                <w:rFonts w:ascii="Times New Roman" w:hAnsi="Times New Roman" w:cs="Times New Roman"/>
                <w:b w:val="0"/>
                <w:bCs w:val="0"/>
                <w:color w:val="000000" w:themeColor="text1"/>
                <w:sz w:val="24"/>
                <w:szCs w:val="24"/>
              </w:rPr>
              <w:t>Framework</w:t>
            </w:r>
            <w:proofErr w:type="spellEnd"/>
            <w:r w:rsidRPr="0099117D">
              <w:rPr>
                <w:rStyle w:val="Grietas"/>
                <w:rFonts w:ascii="Times New Roman" w:hAnsi="Times New Roman" w:cs="Times New Roman"/>
                <w:b w:val="0"/>
                <w:bCs w:val="0"/>
                <w:color w:val="000000" w:themeColor="text1"/>
                <w:sz w:val="24"/>
                <w:szCs w:val="24"/>
              </w:rPr>
              <w:t xml:space="preserve">, MFF) 2028–2034 m. prioritetai bus nukreipti į žaliąją, skaitmeninę ir technologinę </w:t>
            </w:r>
            <w:r w:rsidRPr="0099117D">
              <w:rPr>
                <w:rStyle w:val="Grietas"/>
                <w:rFonts w:ascii="Times New Roman" w:hAnsi="Times New Roman" w:cs="Times New Roman"/>
                <w:b w:val="0"/>
                <w:bCs w:val="0"/>
                <w:color w:val="000000" w:themeColor="text1"/>
                <w:sz w:val="24"/>
                <w:szCs w:val="24"/>
              </w:rPr>
              <w:lastRenderedPageBreak/>
              <w:t xml:space="preserve">transformaciją, sveikatą, biotechnologijas bei gynybos ir kosmoso sektorius. Šios </w:t>
            </w:r>
            <w:r w:rsidRPr="0099117D">
              <w:rPr>
                <w:rStyle w:val="Grietas"/>
                <w:rFonts w:ascii="Times New Roman" w:hAnsi="Times New Roman" w:cs="Times New Roman"/>
                <w:b w:val="0"/>
                <w:bCs w:val="0"/>
                <w:sz w:val="24"/>
                <w:szCs w:val="24"/>
              </w:rPr>
              <w:t>sritys taps pagrindiniais Europos konkurencingumo, inovacijų ir saugumo stiprinimo vektoriais. Todėl nacionalinės programos turėtų užtikrinti, kad MTEP finansavimo programos būtų lankstesnės, atliepiančios šiuos prioritetus, kuriančius valstybės ilgalaikį atsparumą, technologinį proveržį ir tvarią ekonominę transformaciją.</w:t>
            </w:r>
          </w:p>
          <w:p w14:paraId="0D0805A2" w14:textId="72B0ADEB" w:rsidR="00341501" w:rsidRPr="0099117D" w:rsidRDefault="5BCF1C9A" w:rsidP="00C47E50">
            <w:pPr>
              <w:widowControl w:val="0"/>
              <w:tabs>
                <w:tab w:val="num" w:pos="720"/>
              </w:tabs>
              <w:jc w:val="both"/>
              <w:rPr>
                <w:rFonts w:ascii="Times New Roman" w:hAnsi="Times New Roman" w:cs="Times New Roman"/>
                <w:sz w:val="24"/>
                <w:szCs w:val="24"/>
              </w:rPr>
            </w:pPr>
            <w:r w:rsidRPr="0099117D">
              <w:rPr>
                <w:rFonts w:ascii="Times New Roman" w:hAnsi="Times New Roman" w:cs="Times New Roman"/>
                <w:sz w:val="24"/>
                <w:szCs w:val="24"/>
              </w:rPr>
              <w:t>Be to, reikia pažymėti, kad minėti trys konsorciumų projektai dar nėra pasibaigę – jie įgyvendinami vos pusantrų metų, todėl jų rezultatai nėra žinomi, rodikliai nėra pasiekti ir neįvertinti, poveikio vertinimas dar neįmanomas.</w:t>
            </w:r>
          </w:p>
          <w:p w14:paraId="0B2BBB28" w14:textId="7E4D15B9" w:rsidR="004521DD" w:rsidRPr="0099117D" w:rsidRDefault="5BCF1C9A" w:rsidP="00C47E50">
            <w:pPr>
              <w:widowControl w:val="0"/>
              <w:jc w:val="both"/>
              <w:rPr>
                <w:rFonts w:ascii="Times New Roman" w:hAnsi="Times New Roman" w:cs="Times New Roman"/>
                <w:sz w:val="24"/>
                <w:szCs w:val="24"/>
              </w:rPr>
            </w:pPr>
            <w:r w:rsidRPr="0099117D">
              <w:rPr>
                <w:rFonts w:ascii="Times New Roman" w:hAnsi="Times New Roman" w:cs="Times New Roman"/>
                <w:sz w:val="24"/>
                <w:szCs w:val="24"/>
              </w:rPr>
              <w:t>Esant tokiai situacijai, siūlymas toliau formuoti finansavimo veiklas tik toms pačioms trims misijų temoms – nepasitikrinus ir neįvertinus ankstesnių investicijų efektyvumo – yra neracionalus ir ekonomiškai nepagrįstas. Be to, toks teminis apribojimas sudaro pagrįstą prielaidą, kad pagal PFSA 17 suplanuota priemonė iš esmės yra ne kas kita, kaip ankstesnės „Misijų“ priemonės tąsa ir tai kelia riziką, kad konkurencingumas konkurso metu bus labiau formalaus, nei realaus pobūdžio.</w:t>
            </w:r>
          </w:p>
          <w:p w14:paraId="4897B332" w14:textId="3A1CDDED" w:rsidR="004521DD" w:rsidRPr="0099117D" w:rsidRDefault="5BCF1C9A" w:rsidP="00C47E50">
            <w:pPr>
              <w:widowControl w:val="0"/>
              <w:jc w:val="both"/>
              <w:rPr>
                <w:rFonts w:ascii="Times New Roman" w:hAnsi="Times New Roman" w:cs="Times New Roman"/>
                <w:sz w:val="24"/>
                <w:szCs w:val="24"/>
              </w:rPr>
            </w:pPr>
            <w:r w:rsidRPr="0099117D">
              <w:rPr>
                <w:rFonts w:ascii="Times New Roman" w:hAnsi="Times New Roman" w:cs="Times New Roman"/>
                <w:sz w:val="24"/>
                <w:szCs w:val="24"/>
              </w:rPr>
              <w:t>Toks dubliavimas ne tik gali lemti neefektyvų viešųjų lėšų panaudojimą, bet ir stabdyti aktualiausioms sritims reikalingų inovacijų kūrimą – ypač ten, kur reikia greito reagavimo į kintančius nacionalinius ir tarptautinius saugumo, sveikatos ar technologijų iššūkius.</w:t>
            </w:r>
          </w:p>
          <w:p w14:paraId="2754AAF3" w14:textId="1C678863" w:rsidR="00A43A0D" w:rsidRPr="0099117D" w:rsidRDefault="5BCF1C9A" w:rsidP="00C47E50">
            <w:pPr>
              <w:widowControl w:val="0"/>
              <w:jc w:val="both"/>
              <w:rPr>
                <w:rFonts w:ascii="Times New Roman" w:hAnsi="Times New Roman" w:cs="Times New Roman"/>
                <w:b/>
                <w:bCs/>
                <w:sz w:val="24"/>
                <w:szCs w:val="24"/>
              </w:rPr>
            </w:pPr>
            <w:r w:rsidRPr="0099117D">
              <w:rPr>
                <w:rFonts w:ascii="Times New Roman" w:hAnsi="Times New Roman" w:cs="Times New Roman"/>
                <w:sz w:val="24"/>
                <w:szCs w:val="24"/>
              </w:rPr>
              <w:t>Siūlome neapsiriboti Misijų temomis ir likti prie Sumanios specializacijos prioritetų, tačiau rekomenduojame nustatyti ir naujas, valstybei pačias aktualiausias MTEP veiklų sritis arba įpareigoti pareiškėjus pagrįsti temos aktualumą bei svarbą valstybei savarankiškai paraiškoje.</w:t>
            </w:r>
          </w:p>
        </w:tc>
        <w:tc>
          <w:tcPr>
            <w:tcW w:w="4203" w:type="dxa"/>
          </w:tcPr>
          <w:p w14:paraId="762EFB19" w14:textId="6D9131E1" w:rsidR="00A43A0D" w:rsidRPr="0099117D" w:rsidRDefault="000A717B" w:rsidP="00C47E50">
            <w:pPr>
              <w:jc w:val="both"/>
              <w:rPr>
                <w:rFonts w:ascii="Times New Roman" w:hAnsi="Times New Roman" w:cs="Times New Roman"/>
                <w:sz w:val="24"/>
                <w:szCs w:val="24"/>
              </w:rPr>
            </w:pPr>
            <w:r w:rsidRPr="0099117D">
              <w:rPr>
                <w:rFonts w:ascii="Times New Roman" w:hAnsi="Times New Roman" w:cs="Times New Roman"/>
                <w:sz w:val="24"/>
                <w:szCs w:val="24"/>
              </w:rPr>
              <w:lastRenderedPageBreak/>
              <w:t>Neatsižvelgta</w:t>
            </w:r>
            <w:r w:rsidR="00B70261" w:rsidRPr="0099117D">
              <w:rPr>
                <w:rFonts w:ascii="Times New Roman" w:hAnsi="Times New Roman" w:cs="Times New Roman"/>
                <w:sz w:val="24"/>
                <w:szCs w:val="24"/>
              </w:rPr>
              <w:t>.</w:t>
            </w:r>
            <w:r w:rsidR="00791752" w:rsidRPr="0099117D">
              <w:rPr>
                <w:rFonts w:ascii="Times New Roman" w:hAnsi="Times New Roman" w:cs="Times New Roman"/>
                <w:sz w:val="24"/>
                <w:szCs w:val="24"/>
              </w:rPr>
              <w:t xml:space="preserve"> Visi projektai turi atitikti </w:t>
            </w:r>
            <w:r w:rsidR="00D441A6" w:rsidRPr="0099117D">
              <w:rPr>
                <w:rFonts w:ascii="Times New Roman" w:hAnsi="Times New Roman" w:cs="Times New Roman"/>
                <w:sz w:val="24"/>
                <w:szCs w:val="24"/>
              </w:rPr>
              <w:t>misijų temas.</w:t>
            </w:r>
          </w:p>
        </w:tc>
      </w:tr>
      <w:tr w:rsidR="002A5B33" w:rsidRPr="0099117D" w14:paraId="5AB261B5" w14:textId="77777777" w:rsidTr="0099117D">
        <w:trPr>
          <w:jc w:val="center"/>
        </w:trPr>
        <w:tc>
          <w:tcPr>
            <w:tcW w:w="1176" w:type="dxa"/>
          </w:tcPr>
          <w:p w14:paraId="2C37B294" w14:textId="2E32C952" w:rsidR="00A43A0D" w:rsidRPr="0099117D" w:rsidRDefault="00D441A6"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47</w:t>
            </w:r>
          </w:p>
        </w:tc>
        <w:tc>
          <w:tcPr>
            <w:tcW w:w="1470" w:type="dxa"/>
          </w:tcPr>
          <w:p w14:paraId="6FCA9C3F" w14:textId="7F0E7431" w:rsidR="00A43A0D" w:rsidRPr="0099117D" w:rsidRDefault="002D6B1F" w:rsidP="00C47E50">
            <w:pPr>
              <w:jc w:val="center"/>
              <w:rPr>
                <w:rFonts w:ascii="Times New Roman" w:hAnsi="Times New Roman" w:cs="Times New Roman"/>
                <w:sz w:val="24"/>
                <w:szCs w:val="24"/>
              </w:rPr>
            </w:pPr>
            <w:r w:rsidRPr="0099117D">
              <w:rPr>
                <w:rFonts w:ascii="Times New Roman" w:hAnsi="Times New Roman" w:cs="Times New Roman"/>
                <w:sz w:val="24"/>
                <w:szCs w:val="24"/>
              </w:rPr>
              <w:t>5.2.1</w:t>
            </w:r>
            <w:r w:rsidR="002D3B8D" w:rsidRPr="0099117D">
              <w:rPr>
                <w:rFonts w:ascii="Times New Roman" w:hAnsi="Times New Roman" w:cs="Times New Roman"/>
                <w:sz w:val="24"/>
                <w:szCs w:val="24"/>
              </w:rPr>
              <w:t>, 5.2.4</w:t>
            </w:r>
          </w:p>
        </w:tc>
        <w:tc>
          <w:tcPr>
            <w:tcW w:w="8206" w:type="dxa"/>
          </w:tcPr>
          <w:p w14:paraId="4AB1025F" w14:textId="77777777" w:rsidR="002D6B1F" w:rsidRPr="0099117D" w:rsidRDefault="002D6B1F" w:rsidP="00C47E50">
            <w:pPr>
              <w:widowControl w:val="0"/>
              <w:jc w:val="both"/>
              <w:rPr>
                <w:rFonts w:ascii="Times New Roman" w:hAnsi="Times New Roman" w:cs="Times New Roman"/>
                <w:sz w:val="24"/>
                <w:szCs w:val="24"/>
              </w:rPr>
            </w:pPr>
            <w:r w:rsidRPr="0099117D">
              <w:rPr>
                <w:rFonts w:ascii="Times New Roman" w:hAnsi="Times New Roman" w:cs="Times New Roman"/>
                <w:sz w:val="24"/>
                <w:szCs w:val="24"/>
              </w:rPr>
              <w:t xml:space="preserve">Punkto 5.2.1 reikalavimas, kad bent viename MTEP </w:t>
            </w:r>
            <w:proofErr w:type="spellStart"/>
            <w:r w:rsidRPr="0099117D">
              <w:rPr>
                <w:rFonts w:ascii="Times New Roman" w:hAnsi="Times New Roman" w:cs="Times New Roman"/>
                <w:sz w:val="24"/>
                <w:szCs w:val="24"/>
              </w:rPr>
              <w:t>paprojektyje</w:t>
            </w:r>
            <w:proofErr w:type="spellEnd"/>
            <w:r w:rsidRPr="0099117D">
              <w:rPr>
                <w:rFonts w:ascii="Times New Roman" w:hAnsi="Times New Roman" w:cs="Times New Roman"/>
                <w:sz w:val="24"/>
                <w:szCs w:val="24"/>
              </w:rPr>
              <w:t xml:space="preserve"> kolegijos tyrėjai sudarytų ne mažiau kaip 10 procentų mokslinių tyrimų grupės bei 5.4 punkte nurodytas konsorciumo sudėties reikalavimas kelia keletą esminių abejonių dėl šios nuostatos pagrįstumo ir praktinio įgyvendinimo.</w:t>
            </w:r>
          </w:p>
          <w:p w14:paraId="490ED0DC" w14:textId="52096689" w:rsidR="002D6B1F" w:rsidRPr="0099117D" w:rsidRDefault="002D6B1F" w:rsidP="00C47E50">
            <w:pPr>
              <w:widowControl w:val="0"/>
              <w:jc w:val="both"/>
              <w:rPr>
                <w:rFonts w:ascii="Times New Roman" w:hAnsi="Times New Roman" w:cs="Times New Roman"/>
                <w:sz w:val="24"/>
                <w:szCs w:val="24"/>
              </w:rPr>
            </w:pPr>
            <w:r w:rsidRPr="0099117D">
              <w:rPr>
                <w:rFonts w:ascii="Times New Roman" w:hAnsi="Times New Roman" w:cs="Times New Roman"/>
                <w:sz w:val="24"/>
                <w:szCs w:val="24"/>
              </w:rPr>
              <w:t xml:space="preserve">Fiksuota proporcinė kvota (ne mažiau kaip 10 proc.) nepriklausomai nuo tyrimų turinio, tematikos ar specifinių kompetencijų poreikio, yra perteklinė ir gali lemti formalų, o ne realų kolegijų tyrėjų įtraukimą. Tokia nuostata riboja galimybę konsorciumams formuoti tyrimų grupes pagal projekto mokslinę logiką ir ekspertinį poreikį, o ne pagal administracinius skaičius. Šis reikalavimas paskatins  formalius, </w:t>
            </w:r>
            <w:r w:rsidRPr="0099117D">
              <w:rPr>
                <w:rFonts w:ascii="Times New Roman" w:hAnsi="Times New Roman" w:cs="Times New Roman"/>
                <w:sz w:val="24"/>
                <w:szCs w:val="24"/>
              </w:rPr>
              <w:lastRenderedPageBreak/>
              <w:t xml:space="preserve">neefektyvius sprendimus, kai kolegijos partneris įtraukiamas tik tam, kad atitiktų proporciją, o ne dėl aiškaus mokslinio ar praktinio indėlio. </w:t>
            </w:r>
          </w:p>
          <w:p w14:paraId="586F6F2C" w14:textId="77777777" w:rsidR="002D6B1F" w:rsidRPr="0099117D" w:rsidRDefault="002D6B1F" w:rsidP="00C47E50">
            <w:pPr>
              <w:widowControl w:val="0"/>
              <w:jc w:val="both"/>
              <w:rPr>
                <w:rFonts w:ascii="Times New Roman" w:hAnsi="Times New Roman" w:cs="Times New Roman"/>
                <w:sz w:val="24"/>
                <w:szCs w:val="24"/>
              </w:rPr>
            </w:pPr>
            <w:r w:rsidRPr="0099117D">
              <w:rPr>
                <w:rFonts w:ascii="Times New Roman" w:hAnsi="Times New Roman" w:cs="Times New Roman"/>
                <w:sz w:val="24"/>
                <w:szCs w:val="24"/>
              </w:rPr>
              <w:t>Jei yra politinis sprendimas tikslingai skatinti MTEP veiklų plėtrą kolegijose, tai tą tikslą tikslingiau ir skaidriau būtų įgyvendinti per atskirą, tam skirtą finansavimo priemonę, o ne dirbtinai įpareigoti įtraukti kolegijas kaip partnerius nepriklausomai nuo projekto pobūdžio ar tyrimų logikos.</w:t>
            </w:r>
          </w:p>
          <w:p w14:paraId="4608D05D" w14:textId="77777777" w:rsidR="002D6B1F" w:rsidRPr="0099117D" w:rsidRDefault="002D6B1F" w:rsidP="00C47E50">
            <w:pPr>
              <w:widowControl w:val="0"/>
              <w:jc w:val="both"/>
              <w:rPr>
                <w:rFonts w:ascii="Times New Roman" w:hAnsi="Times New Roman" w:cs="Times New Roman"/>
                <w:b/>
                <w:bCs/>
                <w:sz w:val="24"/>
                <w:szCs w:val="24"/>
              </w:rPr>
            </w:pPr>
            <w:r w:rsidRPr="0099117D">
              <w:rPr>
                <w:rFonts w:ascii="Times New Roman" w:hAnsi="Times New Roman" w:cs="Times New Roman"/>
                <w:sz w:val="24"/>
                <w:szCs w:val="24"/>
              </w:rPr>
              <w:t>Atsižvelgiant į tai, kad taikomieji moksliniai tyrimai savo esme yra orientuoti į praktinį rezultatų pritaikomumą, o jų vykdymas labiausiai siejamas su mokslinių tyrimų institutų ir centrų pagrindinėmis funkcijomis, tampa nekorektiška išskirti tik kolegijas kaip privalomą šios srities vykdytojų grupę projekte.</w:t>
            </w:r>
          </w:p>
          <w:p w14:paraId="4AD91DD7" w14:textId="06108CD2" w:rsidR="00A43A0D" w:rsidRPr="0099117D" w:rsidRDefault="002D6B1F" w:rsidP="00C47E50">
            <w:pPr>
              <w:widowControl w:val="0"/>
              <w:jc w:val="both"/>
              <w:rPr>
                <w:rFonts w:ascii="Times New Roman" w:hAnsi="Times New Roman" w:cs="Times New Roman"/>
                <w:b/>
                <w:bCs/>
                <w:sz w:val="24"/>
                <w:szCs w:val="24"/>
              </w:rPr>
            </w:pPr>
            <w:r w:rsidRPr="0099117D">
              <w:rPr>
                <w:rFonts w:ascii="Times New Roman" w:hAnsi="Times New Roman" w:cs="Times New Roman"/>
                <w:sz w:val="24"/>
                <w:szCs w:val="24"/>
              </w:rPr>
              <w:t>Siūlome vertinimo metu skirti papildomus balus, jei projekto įgyvendinime dalyvauja kolegija, o mokslinių tyrimų institutus ir centrus nustatyti kaip privalomus partnerius, neapribojant jų teisės būti ir pareiškėjais - konsorciumo lyderiais.</w:t>
            </w:r>
          </w:p>
        </w:tc>
        <w:tc>
          <w:tcPr>
            <w:tcW w:w="4203" w:type="dxa"/>
          </w:tcPr>
          <w:p w14:paraId="065A8BD0" w14:textId="6229ECE4" w:rsidR="00A43A0D" w:rsidRPr="0099117D" w:rsidRDefault="00E974F7" w:rsidP="00C47E50">
            <w:pPr>
              <w:jc w:val="both"/>
              <w:rPr>
                <w:rFonts w:ascii="Times New Roman" w:hAnsi="Times New Roman" w:cs="Times New Roman"/>
                <w:sz w:val="24"/>
                <w:szCs w:val="24"/>
              </w:rPr>
            </w:pPr>
            <w:r w:rsidRPr="0099117D">
              <w:rPr>
                <w:rFonts w:ascii="Times New Roman" w:hAnsi="Times New Roman" w:cs="Times New Roman"/>
                <w:sz w:val="24"/>
                <w:szCs w:val="24"/>
              </w:rPr>
              <w:lastRenderedPageBreak/>
              <w:t xml:space="preserve">Neatsižvelgta. Kolegija turi dalyvauti visuose </w:t>
            </w:r>
            <w:r w:rsidR="004F5CDB" w:rsidRPr="0099117D">
              <w:rPr>
                <w:rFonts w:ascii="Times New Roman" w:hAnsi="Times New Roman" w:cs="Times New Roman"/>
                <w:sz w:val="24"/>
                <w:szCs w:val="24"/>
              </w:rPr>
              <w:t>projektuose</w:t>
            </w:r>
            <w:r w:rsidR="00A82503" w:rsidRPr="0099117D">
              <w:rPr>
                <w:rFonts w:ascii="Times New Roman" w:hAnsi="Times New Roman" w:cs="Times New Roman"/>
                <w:sz w:val="24"/>
                <w:szCs w:val="24"/>
              </w:rPr>
              <w:t xml:space="preserve">, o </w:t>
            </w:r>
            <w:r w:rsidR="009C508F" w:rsidRPr="0099117D">
              <w:rPr>
                <w:rFonts w:ascii="Times New Roman" w:hAnsi="Times New Roman" w:cs="Times New Roman"/>
                <w:sz w:val="24"/>
                <w:szCs w:val="24"/>
              </w:rPr>
              <w:t>mokslinių tyrimų institutai turi tokias pačias galimybes</w:t>
            </w:r>
            <w:r w:rsidR="00BF788A" w:rsidRPr="0099117D">
              <w:rPr>
                <w:rFonts w:ascii="Times New Roman" w:hAnsi="Times New Roman" w:cs="Times New Roman"/>
                <w:sz w:val="24"/>
                <w:szCs w:val="24"/>
              </w:rPr>
              <w:t xml:space="preserve"> dalyvauti konsorciume kaip ir universitetai</w:t>
            </w:r>
          </w:p>
        </w:tc>
      </w:tr>
      <w:tr w:rsidR="002A5B33" w:rsidRPr="0099117D" w14:paraId="21EB2AAE" w14:textId="77777777" w:rsidTr="0099117D">
        <w:trPr>
          <w:jc w:val="center"/>
        </w:trPr>
        <w:tc>
          <w:tcPr>
            <w:tcW w:w="1176" w:type="dxa"/>
          </w:tcPr>
          <w:p w14:paraId="085B50F9" w14:textId="11E4BBAE" w:rsidR="00A43A0D" w:rsidRPr="0099117D" w:rsidRDefault="00BF788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48</w:t>
            </w:r>
          </w:p>
        </w:tc>
        <w:tc>
          <w:tcPr>
            <w:tcW w:w="1470" w:type="dxa"/>
          </w:tcPr>
          <w:p w14:paraId="323E095E" w14:textId="47AE26C8" w:rsidR="00A43A0D" w:rsidRPr="0099117D" w:rsidRDefault="00F864F6"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5.4</w:t>
            </w:r>
            <w:r w:rsidR="00693DC7" w:rsidRPr="0099117D">
              <w:rPr>
                <w:rFonts w:ascii="Times New Roman" w:hAnsi="Times New Roman" w:cs="Times New Roman"/>
                <w:b/>
                <w:bCs/>
                <w:sz w:val="24"/>
                <w:szCs w:val="24"/>
              </w:rPr>
              <w:t>, 5.11</w:t>
            </w:r>
          </w:p>
        </w:tc>
        <w:tc>
          <w:tcPr>
            <w:tcW w:w="8206" w:type="dxa"/>
          </w:tcPr>
          <w:p w14:paraId="7ED4F601" w14:textId="037F4C72" w:rsidR="00F864F6" w:rsidRPr="0099117D" w:rsidRDefault="00F864F6" w:rsidP="00C47E50">
            <w:pPr>
              <w:widowControl w:val="0"/>
              <w:jc w:val="both"/>
              <w:rPr>
                <w:rFonts w:ascii="Times New Roman" w:hAnsi="Times New Roman" w:cs="Times New Roman"/>
                <w:sz w:val="24"/>
                <w:szCs w:val="24"/>
              </w:rPr>
            </w:pPr>
            <w:r w:rsidRPr="0099117D">
              <w:rPr>
                <w:rFonts w:ascii="Times New Roman" w:hAnsi="Times New Roman" w:cs="Times New Roman"/>
                <w:sz w:val="24"/>
                <w:szCs w:val="24"/>
              </w:rPr>
              <w:t xml:space="preserve">5.4 ir 5.11 punktuose nustatyti itin konkretūs konsorciumų bei MTEP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sudėties reikalavimai – ne mažiau kaip trys mokslo ir studijų institucijos (iš jų bent viena kolegija), ne mažiau kaip dvi įmonės, o projektą turi sudaryti ne mažiau kaip trys MTEP </w:t>
            </w:r>
            <w:proofErr w:type="spellStart"/>
            <w:r w:rsidRPr="0099117D">
              <w:rPr>
                <w:rFonts w:ascii="Times New Roman" w:hAnsi="Times New Roman" w:cs="Times New Roman"/>
                <w:sz w:val="24"/>
                <w:szCs w:val="24"/>
              </w:rPr>
              <w:t>paprojekčiai</w:t>
            </w:r>
            <w:proofErr w:type="spellEnd"/>
            <w:r w:rsidRPr="0099117D">
              <w:rPr>
                <w:rFonts w:ascii="Times New Roman" w:hAnsi="Times New Roman" w:cs="Times New Roman"/>
                <w:sz w:val="24"/>
                <w:szCs w:val="24"/>
              </w:rPr>
              <w:t xml:space="preserve">, vykdomi bendradarbiaujant su įmonėmis, įskaitant bent vieną </w:t>
            </w:r>
            <w:proofErr w:type="spellStart"/>
            <w:r w:rsidRPr="0099117D">
              <w:rPr>
                <w:rFonts w:ascii="Times New Roman" w:hAnsi="Times New Roman" w:cs="Times New Roman"/>
                <w:sz w:val="24"/>
                <w:szCs w:val="24"/>
              </w:rPr>
              <w:t>paprojektį</w:t>
            </w:r>
            <w:proofErr w:type="spellEnd"/>
            <w:r w:rsidRPr="0099117D">
              <w:rPr>
                <w:rFonts w:ascii="Times New Roman" w:hAnsi="Times New Roman" w:cs="Times New Roman"/>
                <w:sz w:val="24"/>
                <w:szCs w:val="24"/>
              </w:rPr>
              <w:t>, kuris būtų orientuotas į ekonominę veiklą pagal BBIR 25 straipsnį.</w:t>
            </w:r>
          </w:p>
          <w:p w14:paraId="3C187825" w14:textId="45A47094" w:rsidR="00F864F6" w:rsidRPr="0099117D" w:rsidRDefault="00F864F6" w:rsidP="00C47E50">
            <w:pPr>
              <w:widowControl w:val="0"/>
              <w:jc w:val="both"/>
              <w:rPr>
                <w:rFonts w:ascii="Times New Roman" w:hAnsi="Times New Roman" w:cs="Times New Roman"/>
                <w:sz w:val="24"/>
                <w:szCs w:val="24"/>
              </w:rPr>
            </w:pPr>
            <w:r w:rsidRPr="0099117D">
              <w:rPr>
                <w:rFonts w:ascii="Times New Roman" w:hAnsi="Times New Roman" w:cs="Times New Roman"/>
                <w:sz w:val="24"/>
                <w:szCs w:val="24"/>
              </w:rPr>
              <w:t>Tokia konstrukcija labiau atspindi planavimo šabloną nei mokslo ir inovacijų logiką, kai projektų struktūra diktuojama iš anksto nustatytų formalių sąlygų, o ne pačių tyrimų turinio ar problemos sprendimo poreikių.</w:t>
            </w:r>
          </w:p>
          <w:p w14:paraId="7544914C" w14:textId="507FBC53" w:rsidR="00F864F6" w:rsidRPr="0099117D" w:rsidRDefault="00F864F6" w:rsidP="00C47E50">
            <w:pPr>
              <w:widowControl w:val="0"/>
              <w:tabs>
                <w:tab w:val="left" w:pos="510"/>
              </w:tabs>
              <w:jc w:val="both"/>
              <w:rPr>
                <w:rFonts w:ascii="Times New Roman" w:hAnsi="Times New Roman" w:cs="Times New Roman"/>
                <w:sz w:val="24"/>
                <w:szCs w:val="24"/>
              </w:rPr>
            </w:pPr>
            <w:r w:rsidRPr="0099117D">
              <w:rPr>
                <w:rFonts w:ascii="Times New Roman" w:hAnsi="Times New Roman" w:cs="Times New Roman"/>
                <w:sz w:val="24"/>
                <w:szCs w:val="24"/>
              </w:rPr>
              <w:t xml:space="preserve">Siūlome supaprastinti konsorciumų ir </w:t>
            </w:r>
            <w:proofErr w:type="spellStart"/>
            <w:r w:rsidRPr="0099117D">
              <w:rPr>
                <w:rFonts w:ascii="Times New Roman" w:hAnsi="Times New Roman" w:cs="Times New Roman"/>
                <w:sz w:val="24"/>
                <w:szCs w:val="24"/>
              </w:rPr>
              <w:t>paprojekčių</w:t>
            </w:r>
            <w:proofErr w:type="spellEnd"/>
            <w:r w:rsidRPr="0099117D">
              <w:rPr>
                <w:rFonts w:ascii="Times New Roman" w:hAnsi="Times New Roman" w:cs="Times New Roman"/>
                <w:sz w:val="24"/>
                <w:szCs w:val="24"/>
              </w:rPr>
              <w:t xml:space="preserve"> struktūrą, atsisakant griežtai fiksuotų institucijų skaičiaus, tipų ir privalomų proporcijų. Vietoje to siūlome taikyti principą „tinkamas pagal projekto tikslus“, leidžiant pareiškėjui pagrįsti, kodėl pasirinkti partneriai ir jų įsitraukimo lygis yra būtinas projekto sėkmei. Tokia schema skatintų realų tarpsektorinį bendradarbiavimą, išlaikytų kokybės kriterijus ir sumažintų administracinę naštą, ypač mokslo institucijoms.</w:t>
            </w:r>
          </w:p>
          <w:p w14:paraId="7146BC9F" w14:textId="6EABF71D" w:rsidR="00F864F6" w:rsidRPr="0099117D" w:rsidRDefault="00F864F6" w:rsidP="00C47E50">
            <w:pPr>
              <w:widowControl w:val="0"/>
              <w:jc w:val="both"/>
              <w:rPr>
                <w:rFonts w:ascii="Times New Roman" w:hAnsi="Times New Roman" w:cs="Times New Roman"/>
                <w:sz w:val="24"/>
                <w:szCs w:val="24"/>
              </w:rPr>
            </w:pPr>
            <w:r w:rsidRPr="0099117D">
              <w:rPr>
                <w:rFonts w:ascii="Times New Roman" w:hAnsi="Times New Roman" w:cs="Times New Roman"/>
                <w:sz w:val="24"/>
                <w:szCs w:val="24"/>
              </w:rPr>
              <w:t xml:space="preserve">5.11 punkte taip pat nustatytas reikalavimas, kad projektą sudaro ne mažiau kaip 3 </w:t>
            </w:r>
            <w:proofErr w:type="spellStart"/>
            <w:r w:rsidRPr="0099117D">
              <w:rPr>
                <w:rFonts w:ascii="Times New Roman" w:hAnsi="Times New Roman" w:cs="Times New Roman"/>
                <w:sz w:val="24"/>
                <w:szCs w:val="24"/>
              </w:rPr>
              <w:t>paprojekčiai</w:t>
            </w:r>
            <w:proofErr w:type="spellEnd"/>
            <w:r w:rsidRPr="0099117D">
              <w:rPr>
                <w:rFonts w:ascii="Times New Roman" w:hAnsi="Times New Roman" w:cs="Times New Roman"/>
                <w:sz w:val="24"/>
                <w:szCs w:val="24"/>
              </w:rPr>
              <w:t>.</w:t>
            </w:r>
          </w:p>
          <w:p w14:paraId="10FA3BBC" w14:textId="41BF1733" w:rsidR="00A43A0D" w:rsidRPr="0099117D" w:rsidRDefault="00F864F6"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Siūlome atsisakyti šios imperatyvios nuostatos, nes ne visi MTEP taikomieji tyrimai reikalauja skaidymo į atskirus </w:t>
            </w:r>
            <w:proofErr w:type="spellStart"/>
            <w:r w:rsidRPr="0099117D">
              <w:rPr>
                <w:rFonts w:ascii="Times New Roman" w:hAnsi="Times New Roman" w:cs="Times New Roman"/>
                <w:sz w:val="24"/>
                <w:szCs w:val="24"/>
              </w:rPr>
              <w:t>paprojekčius</w:t>
            </w:r>
            <w:proofErr w:type="spellEnd"/>
            <w:r w:rsidRPr="0099117D">
              <w:rPr>
                <w:rFonts w:ascii="Times New Roman" w:hAnsi="Times New Roman" w:cs="Times New Roman"/>
                <w:sz w:val="24"/>
                <w:szCs w:val="24"/>
              </w:rPr>
              <w:t>. Kartais vieningas, kompleksiškai organizuotas projektas yra efektyvesnis, tiek moksline, tiek vadybine prasme.</w:t>
            </w:r>
          </w:p>
        </w:tc>
        <w:tc>
          <w:tcPr>
            <w:tcW w:w="4203" w:type="dxa"/>
          </w:tcPr>
          <w:p w14:paraId="6AD253F1" w14:textId="5FC30CC4"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Supaprastinus schemas nebūtų įgyvendinta veiksmingo mokslo ir verslo bendradarbiavimo schema bei būtų nepasiekti atitinkami stebėsenos rodikliai, kurių minimalios reikšmės nurodytos PFSA projekte.</w:t>
            </w:r>
          </w:p>
        </w:tc>
      </w:tr>
      <w:tr w:rsidR="002A5B33" w:rsidRPr="0099117D" w14:paraId="62743B9B" w14:textId="77777777" w:rsidTr="0099117D">
        <w:trPr>
          <w:jc w:val="center"/>
        </w:trPr>
        <w:tc>
          <w:tcPr>
            <w:tcW w:w="1176" w:type="dxa"/>
          </w:tcPr>
          <w:p w14:paraId="55D11EDD" w14:textId="4DF3761A" w:rsidR="00A43A0D" w:rsidRPr="0099117D" w:rsidRDefault="002C6E32"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49</w:t>
            </w:r>
          </w:p>
        </w:tc>
        <w:tc>
          <w:tcPr>
            <w:tcW w:w="1470" w:type="dxa"/>
          </w:tcPr>
          <w:p w14:paraId="5299F354" w14:textId="2F78A2C7" w:rsidR="00A43A0D" w:rsidRPr="0099117D" w:rsidRDefault="000A089B"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5.13</w:t>
            </w:r>
          </w:p>
        </w:tc>
        <w:tc>
          <w:tcPr>
            <w:tcW w:w="8206" w:type="dxa"/>
          </w:tcPr>
          <w:p w14:paraId="18D4B093" w14:textId="77777777" w:rsidR="00472622" w:rsidRPr="0099117D" w:rsidRDefault="000A089B" w:rsidP="00C47E50">
            <w:pPr>
              <w:widowControl w:val="0"/>
              <w:jc w:val="both"/>
              <w:rPr>
                <w:rFonts w:ascii="Times New Roman" w:hAnsi="Times New Roman" w:cs="Times New Roman"/>
                <w:bCs/>
                <w:sz w:val="24"/>
                <w:szCs w:val="24"/>
              </w:rPr>
            </w:pPr>
            <w:r w:rsidRPr="0099117D">
              <w:rPr>
                <w:rFonts w:ascii="Times New Roman" w:hAnsi="Times New Roman" w:cs="Times New Roman"/>
                <w:bCs/>
                <w:sz w:val="24"/>
                <w:szCs w:val="24"/>
              </w:rPr>
              <w:t>Punkto 5.13 formuluotėje vartojama sąvoka „pagrindinė darbovietė“ yra teisiškai ir praktiškai netiksli mokslinių tyrimų kontekste ir nuo 2017 metų iš esmės darbo teisėje neegzistuoja. Ši sąvoka dažniausiai taikoma tik mokesčių ir socialinio draudimo administravimo tikslais, tačiau ji neapibrėžia realios tyrėjo mokslinės veiklos apimties, atsakomybės ar profesinės tapatybės konkrečioje institucijoje. Tyrėjai dažnai aktyviai dirba keliose institucijose, dalyvauja skirtinguose projektuose pagal darbo sutartis ar projektinius susitarimus, tad jų „pagrindinės darbovietės“ statusas nebūtinai atspindi</w:t>
            </w:r>
            <w:r w:rsidR="00472622" w:rsidRPr="0099117D">
              <w:rPr>
                <w:rFonts w:ascii="Times New Roman" w:hAnsi="Times New Roman" w:cs="Times New Roman"/>
                <w:bCs/>
                <w:sz w:val="24"/>
                <w:szCs w:val="24"/>
              </w:rPr>
              <w:t xml:space="preserve"> jų faktiškai didžiausią indėlį konkrečiame projekte. Ribojant kolegijų atstovavimą tik pagal šią administracinę kategoriją, gali būti dirbtinai atmesti vertingi mokslininkai, turintys reikšmingų kompetencijų, tačiau formaliai neturintys „pagrindinės darbovietės“ kolegijoje.</w:t>
            </w:r>
          </w:p>
          <w:p w14:paraId="7718BEB2" w14:textId="7E5C102E" w:rsidR="00A43A0D" w:rsidRPr="0099117D" w:rsidRDefault="00472622" w:rsidP="00C47E50">
            <w:pPr>
              <w:widowControl w:val="0"/>
              <w:jc w:val="both"/>
              <w:rPr>
                <w:rFonts w:ascii="Times New Roman" w:hAnsi="Times New Roman" w:cs="Times New Roman"/>
                <w:bCs/>
                <w:sz w:val="24"/>
                <w:szCs w:val="24"/>
              </w:rPr>
            </w:pPr>
            <w:r w:rsidRPr="0099117D">
              <w:rPr>
                <w:rFonts w:ascii="Times New Roman" w:hAnsi="Times New Roman" w:cs="Times New Roman"/>
                <w:bCs/>
                <w:sz w:val="24"/>
                <w:szCs w:val="24"/>
              </w:rPr>
              <w:t>Siūlome tikslinti nuostatą atsisakant perteklinių formuluočių.</w:t>
            </w:r>
          </w:p>
        </w:tc>
        <w:tc>
          <w:tcPr>
            <w:tcW w:w="4203" w:type="dxa"/>
          </w:tcPr>
          <w:p w14:paraId="0B58A30F" w14:textId="1F7AC4D6"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Dalinai atsižvelgta. Patikslinta formuluotė.</w:t>
            </w:r>
          </w:p>
        </w:tc>
      </w:tr>
      <w:tr w:rsidR="002A5B33" w:rsidRPr="0099117D" w14:paraId="3C0C7F56" w14:textId="77777777" w:rsidTr="0099117D">
        <w:trPr>
          <w:jc w:val="center"/>
        </w:trPr>
        <w:tc>
          <w:tcPr>
            <w:tcW w:w="1176" w:type="dxa"/>
          </w:tcPr>
          <w:p w14:paraId="201F9C40" w14:textId="3BC46855" w:rsidR="00A43A0D" w:rsidRPr="0099117D" w:rsidRDefault="00255625"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50</w:t>
            </w:r>
          </w:p>
        </w:tc>
        <w:tc>
          <w:tcPr>
            <w:tcW w:w="1470" w:type="dxa"/>
          </w:tcPr>
          <w:p w14:paraId="77BA0F26" w14:textId="2AB2B57C" w:rsidR="00A43A0D" w:rsidRPr="0099117D" w:rsidRDefault="008B11E1"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5.22</w:t>
            </w:r>
          </w:p>
        </w:tc>
        <w:tc>
          <w:tcPr>
            <w:tcW w:w="8206" w:type="dxa"/>
          </w:tcPr>
          <w:p w14:paraId="7EF58D25" w14:textId="77777777" w:rsidR="00DF40CC" w:rsidRPr="0099117D" w:rsidRDefault="00DF40CC" w:rsidP="00C47E50">
            <w:pPr>
              <w:widowControl w:val="0"/>
              <w:jc w:val="both"/>
              <w:rPr>
                <w:rFonts w:ascii="Times New Roman" w:hAnsi="Times New Roman" w:cs="Times New Roman"/>
                <w:bCs/>
                <w:sz w:val="24"/>
                <w:szCs w:val="24"/>
              </w:rPr>
            </w:pPr>
            <w:r w:rsidRPr="0099117D">
              <w:rPr>
                <w:rFonts w:ascii="Times New Roman" w:hAnsi="Times New Roman" w:cs="Times New Roman"/>
                <w:bCs/>
                <w:sz w:val="24"/>
                <w:szCs w:val="24"/>
              </w:rPr>
              <w:t xml:space="preserve">Punkto 5.22 nuostata, kad tas pats asmuo gali būti ne daugiau kaip dviejų MTEP </w:t>
            </w:r>
            <w:proofErr w:type="spellStart"/>
            <w:r w:rsidRPr="0099117D">
              <w:rPr>
                <w:rFonts w:ascii="Times New Roman" w:hAnsi="Times New Roman" w:cs="Times New Roman"/>
                <w:bCs/>
                <w:sz w:val="24"/>
                <w:szCs w:val="24"/>
              </w:rPr>
              <w:t>paprojekčių</w:t>
            </w:r>
            <w:proofErr w:type="spellEnd"/>
            <w:r w:rsidRPr="0099117D">
              <w:rPr>
                <w:rFonts w:ascii="Times New Roman" w:hAnsi="Times New Roman" w:cs="Times New Roman"/>
                <w:bCs/>
                <w:sz w:val="24"/>
                <w:szCs w:val="24"/>
              </w:rPr>
              <w:t xml:space="preserve"> pagrindinis mokslinio tyrimo grupės narys, iš kurių vadovauti – tik vienam, yra, neproporcinga ir nesuderinama su realiomis mokslo veiklos praktikomis.</w:t>
            </w:r>
          </w:p>
          <w:p w14:paraId="2E4A80EC" w14:textId="77777777" w:rsidR="00A43A0D" w:rsidRPr="0099117D" w:rsidRDefault="0004353F" w:rsidP="00C47E50">
            <w:pPr>
              <w:jc w:val="both"/>
              <w:rPr>
                <w:rFonts w:ascii="Times New Roman" w:hAnsi="Times New Roman" w:cs="Times New Roman"/>
                <w:bCs/>
                <w:sz w:val="24"/>
                <w:szCs w:val="24"/>
              </w:rPr>
            </w:pPr>
            <w:r w:rsidRPr="0099117D">
              <w:rPr>
                <w:rFonts w:ascii="Times New Roman" w:hAnsi="Times New Roman" w:cs="Times New Roman"/>
                <w:bCs/>
                <w:sz w:val="24"/>
                <w:szCs w:val="24"/>
              </w:rPr>
              <w:t xml:space="preserve">Skirtingi </w:t>
            </w:r>
            <w:proofErr w:type="spellStart"/>
            <w:r w:rsidRPr="0099117D">
              <w:rPr>
                <w:rFonts w:ascii="Times New Roman" w:hAnsi="Times New Roman" w:cs="Times New Roman"/>
                <w:bCs/>
                <w:sz w:val="24"/>
                <w:szCs w:val="24"/>
              </w:rPr>
              <w:t>paprojekčiai</w:t>
            </w:r>
            <w:proofErr w:type="spellEnd"/>
            <w:r w:rsidRPr="0099117D">
              <w:rPr>
                <w:rFonts w:ascii="Times New Roman" w:hAnsi="Times New Roman" w:cs="Times New Roman"/>
                <w:bCs/>
                <w:sz w:val="24"/>
                <w:szCs w:val="24"/>
              </w:rPr>
              <w:t xml:space="preserve"> tame pačiame projekte bus glaudžiai susiję </w:t>
            </w:r>
            <w:proofErr w:type="spellStart"/>
            <w:r w:rsidRPr="0099117D">
              <w:rPr>
                <w:rFonts w:ascii="Times New Roman" w:hAnsi="Times New Roman" w:cs="Times New Roman"/>
                <w:bCs/>
                <w:sz w:val="24"/>
                <w:szCs w:val="24"/>
              </w:rPr>
              <w:t>tematiškai</w:t>
            </w:r>
            <w:proofErr w:type="spellEnd"/>
            <w:r w:rsidRPr="0099117D">
              <w:rPr>
                <w:rFonts w:ascii="Times New Roman" w:hAnsi="Times New Roman" w:cs="Times New Roman"/>
                <w:bCs/>
                <w:sz w:val="24"/>
                <w:szCs w:val="24"/>
              </w:rPr>
              <w:t>, ir tyrėjo įsitraukimas į kelias veiklas ar jų koordinavimą yra natūralus ir būtinas tęstinumo bei tarpdisciplininio bendradarbiavimo požiūriu.</w:t>
            </w:r>
          </w:p>
          <w:p w14:paraId="1B357441" w14:textId="77777777" w:rsidR="00026DE1" w:rsidRPr="0099117D" w:rsidRDefault="00026DE1" w:rsidP="00C47E50">
            <w:pPr>
              <w:widowControl w:val="0"/>
              <w:tabs>
                <w:tab w:val="left" w:pos="5760"/>
              </w:tabs>
              <w:jc w:val="both"/>
              <w:rPr>
                <w:rFonts w:ascii="Times New Roman" w:hAnsi="Times New Roman" w:cs="Times New Roman"/>
                <w:bCs/>
                <w:color w:val="000000"/>
                <w:sz w:val="24"/>
                <w:szCs w:val="24"/>
              </w:rPr>
            </w:pPr>
            <w:r w:rsidRPr="0099117D">
              <w:rPr>
                <w:rFonts w:ascii="Times New Roman" w:hAnsi="Times New Roman" w:cs="Times New Roman"/>
                <w:bCs/>
                <w:color w:val="000000"/>
                <w:sz w:val="24"/>
                <w:szCs w:val="24"/>
              </w:rPr>
              <w:t>Toks suvaržymas taip pat nesuderinamas su tarptautine praktika, kur dažnai tie patys tyrėjai dalyvauja keliuose teminiuose blokuose ar paketinėse iniciatyvose, ypač jeigu jie turi unikalių kompetencijų.</w:t>
            </w:r>
          </w:p>
          <w:p w14:paraId="37E42515" w14:textId="432F69A5" w:rsidR="0004353F" w:rsidRPr="0099117D" w:rsidRDefault="00026DE1" w:rsidP="00C47E50">
            <w:pPr>
              <w:widowControl w:val="0"/>
              <w:tabs>
                <w:tab w:val="left" w:pos="5760"/>
              </w:tabs>
              <w:rPr>
                <w:rFonts w:ascii="Times New Roman" w:hAnsi="Times New Roman" w:cs="Times New Roman"/>
                <w:b/>
                <w:bCs/>
                <w:sz w:val="24"/>
                <w:szCs w:val="24"/>
              </w:rPr>
            </w:pPr>
            <w:r w:rsidRPr="0099117D">
              <w:rPr>
                <w:rFonts w:ascii="Times New Roman" w:hAnsi="Times New Roman" w:cs="Times New Roman"/>
                <w:bCs/>
                <w:color w:val="000000"/>
                <w:sz w:val="24"/>
                <w:szCs w:val="24"/>
              </w:rPr>
              <w:t>Siūlome šios nuostatos atsisakyti.</w:t>
            </w:r>
          </w:p>
        </w:tc>
        <w:tc>
          <w:tcPr>
            <w:tcW w:w="4203" w:type="dxa"/>
          </w:tcPr>
          <w:p w14:paraId="466F6F45" w14:textId="68A46B7A"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Neatsižvelgta. Tame pačiame projekte tas pats asmuo gali dalyvauti ne daugiau kaip 2 </w:t>
            </w:r>
            <w:proofErr w:type="spellStart"/>
            <w:r w:rsidRPr="0099117D">
              <w:rPr>
                <w:rFonts w:ascii="Times New Roman" w:hAnsi="Times New Roman" w:cs="Times New Roman"/>
                <w:sz w:val="24"/>
                <w:szCs w:val="24"/>
              </w:rPr>
              <w:t>paprojekčiuose</w:t>
            </w:r>
            <w:proofErr w:type="spellEnd"/>
            <w:r w:rsidRPr="0099117D">
              <w:rPr>
                <w:rFonts w:ascii="Times New Roman" w:hAnsi="Times New Roman" w:cs="Times New Roman"/>
                <w:sz w:val="24"/>
                <w:szCs w:val="24"/>
              </w:rPr>
              <w:t>, iš kurių vieno gali būti vadovu.</w:t>
            </w:r>
          </w:p>
        </w:tc>
      </w:tr>
      <w:tr w:rsidR="002A5B33" w:rsidRPr="0099117D" w14:paraId="7522817D" w14:textId="77777777" w:rsidTr="0099117D">
        <w:trPr>
          <w:jc w:val="center"/>
        </w:trPr>
        <w:tc>
          <w:tcPr>
            <w:tcW w:w="1176" w:type="dxa"/>
          </w:tcPr>
          <w:p w14:paraId="467DD4D8" w14:textId="35677B8B" w:rsidR="00A43A0D" w:rsidRPr="0099117D" w:rsidRDefault="00AD0128"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51</w:t>
            </w:r>
          </w:p>
        </w:tc>
        <w:tc>
          <w:tcPr>
            <w:tcW w:w="1470" w:type="dxa"/>
          </w:tcPr>
          <w:p w14:paraId="645B2AB3" w14:textId="539A9487" w:rsidR="00A43A0D" w:rsidRPr="0099117D" w:rsidRDefault="00F70037"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2, 5.29</w:t>
            </w:r>
          </w:p>
        </w:tc>
        <w:tc>
          <w:tcPr>
            <w:tcW w:w="8206" w:type="dxa"/>
          </w:tcPr>
          <w:p w14:paraId="308260F8" w14:textId="7AD89CFB" w:rsidR="00F70037" w:rsidRPr="0099117D" w:rsidRDefault="5BCF1C9A"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themeColor="text1"/>
                <w:sz w:val="24"/>
                <w:szCs w:val="24"/>
              </w:rPr>
              <w:t>5.29 punkto formulė paskirsto visai priemonei numatytus rodiklius proporcingai pagal konkretaus projekto piniginę vertę. Jei projektų įgyvendinimui skiriama 44,66 mln. Eur, galima daryti prielaidą, kad bus finansuojami 8</w:t>
            </w:r>
            <w:r w:rsidR="00C47E50" w:rsidRPr="0099117D">
              <w:rPr>
                <w:rFonts w:ascii="Times New Roman" w:hAnsi="Times New Roman" w:cs="Times New Roman"/>
                <w:color w:val="000000"/>
                <w:sz w:val="24"/>
                <w:szCs w:val="24"/>
              </w:rPr>
              <w:t>–</w:t>
            </w:r>
            <w:r w:rsidRPr="0099117D">
              <w:rPr>
                <w:rFonts w:ascii="Times New Roman" w:hAnsi="Times New Roman" w:cs="Times New Roman"/>
                <w:color w:val="000000" w:themeColor="text1"/>
                <w:sz w:val="24"/>
                <w:szCs w:val="24"/>
              </w:rPr>
              <w:t>9 projektai, kurių kiekvieno vertė bus artima 5 mln. Eur.</w:t>
            </w:r>
          </w:p>
          <w:p w14:paraId="14CED061" w14:textId="409888E8" w:rsidR="00F70037" w:rsidRPr="0099117D" w:rsidRDefault="00F70037"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Reiškia vienas projektas Vilniaus regione turės pasiekti beveik 33 remiamų projektų leidinius; 5</w:t>
            </w:r>
            <w:r w:rsidR="00C47E50" w:rsidRPr="0099117D">
              <w:rPr>
                <w:rFonts w:ascii="Times New Roman" w:hAnsi="Times New Roman" w:cs="Times New Roman"/>
                <w:color w:val="000000"/>
                <w:sz w:val="24"/>
                <w:szCs w:val="24"/>
              </w:rPr>
              <w:t>–</w:t>
            </w:r>
            <w:r w:rsidRPr="0099117D">
              <w:rPr>
                <w:rFonts w:ascii="Times New Roman" w:hAnsi="Times New Roman" w:cs="Times New Roman"/>
                <w:color w:val="000000"/>
                <w:sz w:val="24"/>
                <w:szCs w:val="24"/>
              </w:rPr>
              <w:t>6 patentus, turėti 11 įmonių kaip partnerių (darome prielaidą iš rodiklio).</w:t>
            </w:r>
          </w:p>
          <w:p w14:paraId="5D1CDB40" w14:textId="77777777" w:rsidR="00F70037" w:rsidRPr="0099117D" w:rsidRDefault="00F70037"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Mūsų nuomone šie rodikliai vis dar per aukšti.</w:t>
            </w:r>
          </w:p>
          <w:p w14:paraId="37140110" w14:textId="77777777" w:rsidR="00F70037" w:rsidRPr="0099117D" w:rsidRDefault="00F70037"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 xml:space="preserve">Taip pat nėra aišku, ką reiškia ,,remiami projektų leidiniai“. Ar tai tik mokslinės </w:t>
            </w:r>
            <w:r w:rsidRPr="0099117D">
              <w:rPr>
                <w:rFonts w:ascii="Times New Roman" w:hAnsi="Times New Roman" w:cs="Times New Roman"/>
                <w:color w:val="000000"/>
                <w:sz w:val="24"/>
                <w:szCs w:val="24"/>
              </w:rPr>
              <w:lastRenderedPageBreak/>
              <w:t xml:space="preserve">publikacijos, ar gali būti ir pranešimai konferencijose. </w:t>
            </w:r>
          </w:p>
          <w:p w14:paraId="1579A259" w14:textId="55B6124E" w:rsidR="00F70037" w:rsidRPr="0099117D" w:rsidRDefault="5BCF1C9A" w:rsidP="00C47E50">
            <w:pPr>
              <w:widowControl w:val="0"/>
              <w:tabs>
                <w:tab w:val="left" w:pos="5760"/>
              </w:tabs>
              <w:jc w:val="both"/>
              <w:rPr>
                <w:rFonts w:ascii="Times New Roman" w:hAnsi="Times New Roman" w:cs="Times New Roman"/>
                <w:sz w:val="24"/>
                <w:szCs w:val="24"/>
              </w:rPr>
            </w:pPr>
            <w:r w:rsidRPr="0099117D">
              <w:rPr>
                <w:rFonts w:ascii="Times New Roman" w:hAnsi="Times New Roman" w:cs="Times New Roman"/>
                <w:color w:val="000000" w:themeColor="text1"/>
                <w:sz w:val="24"/>
                <w:szCs w:val="24"/>
              </w:rPr>
              <w:t>Taip pat nevisiškai aiški rodiklio formuluotė ,,</w:t>
            </w:r>
            <w:r w:rsidRPr="0099117D">
              <w:rPr>
                <w:rFonts w:ascii="Times New Roman" w:hAnsi="Times New Roman" w:cs="Times New Roman"/>
                <w:sz w:val="24"/>
                <w:szCs w:val="24"/>
              </w:rPr>
              <w:t>Su mokslinių tyrimų organizacijomis bendradarbiaujančios įmonės“. Ar tai privalomas bendras visų projektų partnerių skaičius ar tiesiog projekto įgyvendinimo metu įgyvendintas bendradarbiavimas.</w:t>
            </w:r>
          </w:p>
          <w:p w14:paraId="1881F2C4" w14:textId="344E673C" w:rsidR="00A43A0D" w:rsidRPr="0099117D" w:rsidRDefault="00F70037" w:rsidP="00C47E50">
            <w:pPr>
              <w:widowControl w:val="0"/>
              <w:tabs>
                <w:tab w:val="left" w:pos="5760"/>
              </w:tabs>
              <w:jc w:val="both"/>
              <w:rPr>
                <w:rFonts w:ascii="Times New Roman" w:hAnsi="Times New Roman" w:cs="Times New Roman"/>
                <w:sz w:val="24"/>
                <w:szCs w:val="24"/>
              </w:rPr>
            </w:pPr>
            <w:r w:rsidRPr="0099117D">
              <w:rPr>
                <w:rFonts w:ascii="Times New Roman" w:hAnsi="Times New Roman" w:cs="Times New Roman"/>
                <w:sz w:val="24"/>
                <w:szCs w:val="24"/>
              </w:rPr>
              <w:t>Siūlome tikslinti formuluotes.</w:t>
            </w:r>
          </w:p>
        </w:tc>
        <w:tc>
          <w:tcPr>
            <w:tcW w:w="4203" w:type="dxa"/>
          </w:tcPr>
          <w:p w14:paraId="4C4B0598" w14:textId="36730C37"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lastRenderedPageBreak/>
              <w:t xml:space="preserve">Neatsižvelgta. PFSA projekte numatytos minimalios rodiklių reikšmės, proporcingos finansavimui. Rodiklių apibrėžimai pateikiami rodiklių kortelėse, kurios yra pateikiamos </w:t>
            </w:r>
            <w:r w:rsidR="00C47E50" w:rsidRPr="00C47E50">
              <w:rPr>
                <w:rFonts w:ascii="Times New Roman" w:hAnsi="Times New Roman" w:cs="Times New Roman"/>
                <w:sz w:val="24"/>
                <w:szCs w:val="24"/>
              </w:rPr>
              <w:t>p</w:t>
            </w:r>
            <w:r w:rsidRPr="00C47E50">
              <w:rPr>
                <w:rFonts w:ascii="Times New Roman" w:hAnsi="Times New Roman" w:cs="Times New Roman"/>
                <w:sz w:val="24"/>
                <w:szCs w:val="24"/>
              </w:rPr>
              <w:t xml:space="preserve">ažangos priemonės </w:t>
            </w:r>
            <w:r w:rsidR="00C47E50" w:rsidRPr="00C47E50">
              <w:rPr>
                <w:rFonts w:ascii="Times New Roman" w:hAnsi="Times New Roman" w:cs="Times New Roman"/>
                <w:sz w:val="24"/>
                <w:szCs w:val="24"/>
              </w:rPr>
              <w:t>Nr. 12-001-01-02-01 „Stiprinti inovacijų ekosistemas mokslo centruose“</w:t>
            </w:r>
            <w:r w:rsidR="00C47E50" w:rsidRPr="00C47E50">
              <w:rPr>
                <w:rFonts w:ascii="Times New Roman" w:hAnsi="Times New Roman" w:cs="Times New Roman"/>
                <w:sz w:val="24"/>
                <w:szCs w:val="24"/>
              </w:rPr>
              <w:t xml:space="preserve"> </w:t>
            </w:r>
            <w:r w:rsidRPr="00C47E50">
              <w:rPr>
                <w:rFonts w:ascii="Times New Roman" w:hAnsi="Times New Roman" w:cs="Times New Roman"/>
                <w:sz w:val="24"/>
                <w:szCs w:val="24"/>
              </w:rPr>
              <w:t>aprašo 16 priede.</w:t>
            </w:r>
          </w:p>
        </w:tc>
      </w:tr>
      <w:tr w:rsidR="002A5B33" w:rsidRPr="0099117D" w14:paraId="317E679F" w14:textId="77777777" w:rsidTr="0099117D">
        <w:trPr>
          <w:jc w:val="center"/>
        </w:trPr>
        <w:tc>
          <w:tcPr>
            <w:tcW w:w="1176" w:type="dxa"/>
          </w:tcPr>
          <w:p w14:paraId="47CEA07B" w14:textId="186537F8" w:rsidR="00A43A0D" w:rsidRPr="0099117D" w:rsidRDefault="00B9378D"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52</w:t>
            </w:r>
          </w:p>
        </w:tc>
        <w:tc>
          <w:tcPr>
            <w:tcW w:w="1470" w:type="dxa"/>
          </w:tcPr>
          <w:p w14:paraId="5CEF6320" w14:textId="5A69384B" w:rsidR="00A43A0D" w:rsidRPr="0099117D" w:rsidRDefault="00ED4961"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5.11, 5.20</w:t>
            </w:r>
            <w:r w:rsidR="00EC7C30" w:rsidRPr="0099117D">
              <w:rPr>
                <w:rFonts w:ascii="Times New Roman" w:hAnsi="Times New Roman" w:cs="Times New Roman"/>
                <w:b/>
                <w:bCs/>
                <w:sz w:val="24"/>
                <w:szCs w:val="24"/>
              </w:rPr>
              <w:t>, 5.25</w:t>
            </w:r>
          </w:p>
        </w:tc>
        <w:tc>
          <w:tcPr>
            <w:tcW w:w="8206" w:type="dxa"/>
          </w:tcPr>
          <w:p w14:paraId="62A0BC6F" w14:textId="77777777" w:rsidR="006660C2" w:rsidRPr="0099117D" w:rsidRDefault="006660C2"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 xml:space="preserve">Reikalavimas teikti visą projektinę paraišką kartu su visais priedais tiek lietuvių, tiek anglų kalbomis sukuria perteklinę administracinę naštą, ypač didelės apimties </w:t>
            </w:r>
            <w:proofErr w:type="spellStart"/>
            <w:r w:rsidRPr="0099117D">
              <w:rPr>
                <w:rFonts w:ascii="Times New Roman" w:hAnsi="Times New Roman" w:cs="Times New Roman"/>
                <w:color w:val="000000"/>
                <w:sz w:val="24"/>
                <w:szCs w:val="24"/>
              </w:rPr>
              <w:t>konsorciuminiuose</w:t>
            </w:r>
            <w:proofErr w:type="spellEnd"/>
            <w:r w:rsidRPr="0099117D">
              <w:rPr>
                <w:rFonts w:ascii="Times New Roman" w:hAnsi="Times New Roman" w:cs="Times New Roman"/>
                <w:color w:val="000000"/>
                <w:sz w:val="24"/>
                <w:szCs w:val="24"/>
              </w:rPr>
              <w:t xml:space="preserve"> projektuose, kur dokumentacija gali siekti šimtus puslapių. Ši našta ne tik eikvoja paraiškų rengėjų laiką ir išteklius, bet ir didina klaidų riziką tarp versijų.</w:t>
            </w:r>
          </w:p>
          <w:p w14:paraId="4B69E550" w14:textId="77777777" w:rsidR="006660C2" w:rsidRPr="0099117D" w:rsidRDefault="006660C2"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Be to, jei planuojama, kad projektus vertins tarptautiniai (užsienio) ekspertai, tuomet lietuvio kalba teikiama paraiška praranda praktinę prasmę, nes netarnauja nei vertinimui, nei kokybei.</w:t>
            </w:r>
          </w:p>
          <w:p w14:paraId="388F09A0" w14:textId="77777777" w:rsidR="006660C2" w:rsidRPr="0099117D" w:rsidRDefault="006660C2"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Siūlome, kad paraiška (PĮP) ir jos priedai būtų teikiami tik anglų kalba, o lietuviška versija rengiama tik atrinktiems finansuoti projektams, prieš pasirašant sutartį.</w:t>
            </w:r>
          </w:p>
          <w:p w14:paraId="66BAB7A9" w14:textId="00505192" w:rsidR="00A43A0D" w:rsidRPr="0099117D" w:rsidRDefault="006660C2" w:rsidP="00C47E50">
            <w:pPr>
              <w:widowControl w:val="0"/>
              <w:tabs>
                <w:tab w:val="left" w:pos="5760"/>
              </w:tabs>
              <w:jc w:val="both"/>
              <w:rPr>
                <w:rFonts w:ascii="Times New Roman" w:hAnsi="Times New Roman" w:cs="Times New Roman"/>
                <w:b/>
                <w:bCs/>
                <w:sz w:val="24"/>
                <w:szCs w:val="24"/>
              </w:rPr>
            </w:pPr>
            <w:r w:rsidRPr="0099117D">
              <w:rPr>
                <w:rFonts w:ascii="Times New Roman" w:hAnsi="Times New Roman" w:cs="Times New Roman"/>
                <w:color w:val="000000"/>
                <w:sz w:val="24"/>
                <w:szCs w:val="24"/>
              </w:rPr>
              <w:t>Tai sumažintų administracinę naštą, užtikrintų sklandų vertinimą tarptautiniams ekspertams ir kartu atlieptų Lietuvos Respublikos valstybinės kalbos įstatymo reikalavimus finansuojamų projektų dokumentavimui. Primename, kad analogišką praktiką taiko ir kitos Lietuvos finansuojančios institucijos.</w:t>
            </w:r>
          </w:p>
        </w:tc>
        <w:tc>
          <w:tcPr>
            <w:tcW w:w="4203" w:type="dxa"/>
          </w:tcPr>
          <w:p w14:paraId="2424C3F6" w14:textId="194C2A76" w:rsidR="00A43A0D" w:rsidRPr="0099117D" w:rsidRDefault="00EC7C30"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Visi priedai turi būti teikiami</w:t>
            </w:r>
            <w:r w:rsidR="00944316" w:rsidRPr="0099117D">
              <w:rPr>
                <w:rFonts w:ascii="Times New Roman" w:hAnsi="Times New Roman" w:cs="Times New Roman"/>
                <w:sz w:val="24"/>
                <w:szCs w:val="24"/>
              </w:rPr>
              <w:t xml:space="preserve"> ir lietuvių kalba.</w:t>
            </w:r>
          </w:p>
        </w:tc>
      </w:tr>
      <w:tr w:rsidR="002A5B33" w:rsidRPr="0099117D" w14:paraId="1744CF21" w14:textId="77777777" w:rsidTr="0099117D">
        <w:trPr>
          <w:jc w:val="center"/>
        </w:trPr>
        <w:tc>
          <w:tcPr>
            <w:tcW w:w="1176" w:type="dxa"/>
          </w:tcPr>
          <w:p w14:paraId="5959FB87" w14:textId="64BB1E6F" w:rsidR="00A43A0D" w:rsidRPr="0099117D" w:rsidRDefault="00944316"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53</w:t>
            </w:r>
          </w:p>
        </w:tc>
        <w:tc>
          <w:tcPr>
            <w:tcW w:w="1470" w:type="dxa"/>
          </w:tcPr>
          <w:p w14:paraId="6C134FCB" w14:textId="2918E9BC" w:rsidR="00A43A0D" w:rsidRPr="0099117D" w:rsidRDefault="003D0B51"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12.3</w:t>
            </w:r>
            <w:r w:rsidR="00E36542" w:rsidRPr="0099117D">
              <w:rPr>
                <w:rFonts w:ascii="Times New Roman" w:hAnsi="Times New Roman" w:cs="Times New Roman"/>
                <w:b/>
                <w:bCs/>
                <w:sz w:val="24"/>
                <w:szCs w:val="24"/>
              </w:rPr>
              <w:t>-3</w:t>
            </w:r>
          </w:p>
        </w:tc>
        <w:tc>
          <w:tcPr>
            <w:tcW w:w="8206" w:type="dxa"/>
          </w:tcPr>
          <w:p w14:paraId="5A7F8147" w14:textId="77777777" w:rsidR="006F49C7" w:rsidRPr="0099117D" w:rsidRDefault="006F49C7"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 xml:space="preserve">Nuostata, pagal kurią vertinama, ar projekte dalyvauja bent vienas kolegijos studentas, kelia abejonių dėl jos realios pridėtinės vertės MTEP rezultatų kokybei. Mokslo tyrimų projektai, ypač taikomieji MTEP, reikalauja aukšto lygio mokslinių kompetencijų, nuoseklaus tyrimo metodų taikymo ir profesionalios atsakomybės. </w:t>
            </w:r>
          </w:p>
          <w:p w14:paraId="688F77C7" w14:textId="77777777" w:rsidR="006F49C7" w:rsidRPr="0099117D" w:rsidRDefault="006F49C7"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Vertinimo kriterijus, pagal kurį privaloma, kad projekte dalyvautų bent vienas kolegijos studentas, prieštarauja logikai ir nuoseklumui, kai tuo pat metu universitetų atveju priimamas gerokai platesnis ir aukštesnės kvalifikacijos pasirinkimas – bent vienas studentas, arba doktorantas, arba mokslininkas stažuotojas.</w:t>
            </w:r>
          </w:p>
          <w:p w14:paraId="1E29378A" w14:textId="4F689ED5" w:rsidR="006F49C7" w:rsidRPr="0099117D" w:rsidRDefault="006F49C7"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Jei tikslas – stiprinti kolegijų indėlį į MTEP veiklas, vertinimo kriterijus turėtų būti vienodai taikomas visų tipų institucijoms, akcentuojant tyrėjus, o ne studentus. Studentų dalyvavimas galėtų būti skatinamas kaip papildoma, bet ne privaloma veikla. Tai užtikrintų nuoseklumą, kokybę ir tikrą pridėtinę vertę.</w:t>
            </w:r>
          </w:p>
          <w:p w14:paraId="5D28415E" w14:textId="7BA233AE" w:rsidR="006E6AA4" w:rsidRPr="0099117D" w:rsidRDefault="006F49C7" w:rsidP="00C47E50">
            <w:pPr>
              <w:widowControl w:val="0"/>
              <w:tabs>
                <w:tab w:val="left" w:pos="5760"/>
              </w:tabs>
              <w:jc w:val="both"/>
              <w:rPr>
                <w:rFonts w:ascii="Times New Roman" w:hAnsi="Times New Roman" w:cs="Times New Roman"/>
                <w:sz w:val="24"/>
                <w:szCs w:val="24"/>
              </w:rPr>
            </w:pPr>
            <w:r w:rsidRPr="0099117D">
              <w:rPr>
                <w:rFonts w:ascii="Times New Roman" w:hAnsi="Times New Roman" w:cs="Times New Roman"/>
                <w:color w:val="000000"/>
                <w:sz w:val="24"/>
                <w:szCs w:val="24"/>
              </w:rPr>
              <w:lastRenderedPageBreak/>
              <w:t xml:space="preserve">Reikalavimas, kad mokslininkai stažuotojai, doktorantai ar studentai projekte būtų įdarbinti ne mažiau kaip 0,25 etato, yra nelankstus ir prieštarauja realiai mokslinės veiklos praktikai, Fiksuotas 0,25 etato reikalavimas neskatina lankstaus, motyvuoto įsitraukimo, nes studentų ir kitų jaunųjų tyrėjų </w:t>
            </w:r>
            <w:proofErr w:type="spellStart"/>
            <w:r w:rsidRPr="0099117D">
              <w:rPr>
                <w:rFonts w:ascii="Times New Roman" w:hAnsi="Times New Roman" w:cs="Times New Roman"/>
                <w:color w:val="000000"/>
                <w:sz w:val="24"/>
                <w:szCs w:val="24"/>
              </w:rPr>
              <w:t>įtrauktis</w:t>
            </w:r>
            <w:proofErr w:type="spellEnd"/>
            <w:r w:rsidRPr="0099117D">
              <w:rPr>
                <w:rFonts w:ascii="Times New Roman" w:hAnsi="Times New Roman" w:cs="Times New Roman"/>
                <w:color w:val="000000"/>
                <w:sz w:val="24"/>
                <w:szCs w:val="24"/>
              </w:rPr>
              <w:t xml:space="preserve"> į projektą gali būti sąlygota konkrečių,</w:t>
            </w:r>
            <w:r w:rsidR="006E6AA4" w:rsidRPr="0099117D">
              <w:rPr>
                <w:rFonts w:ascii="Times New Roman" w:hAnsi="Times New Roman" w:cs="Times New Roman"/>
                <w:color w:val="000000"/>
                <w:sz w:val="24"/>
                <w:szCs w:val="24"/>
              </w:rPr>
              <w:t xml:space="preserve"> trumpalaikių užduočių (pvz., eksperimentų ar duomenų rinkimo), o jų dalyvavimas tyrimuose turėtų būti grindžiamas projekto turiniu ir atliekamomis funkcijomis, o ne formaliai nustatytu darbo krūviu.</w:t>
            </w:r>
          </w:p>
          <w:p w14:paraId="3BE91236" w14:textId="18A5A668" w:rsidR="00A43A0D" w:rsidRPr="0099117D" w:rsidRDefault="006E6AA4" w:rsidP="00C47E50">
            <w:pPr>
              <w:widowControl w:val="0"/>
              <w:tabs>
                <w:tab w:val="left" w:pos="5760"/>
              </w:tabs>
              <w:jc w:val="both"/>
              <w:rPr>
                <w:rFonts w:ascii="Times New Roman" w:hAnsi="Times New Roman" w:cs="Times New Roman"/>
                <w:sz w:val="24"/>
                <w:szCs w:val="24"/>
              </w:rPr>
            </w:pPr>
            <w:r w:rsidRPr="0099117D">
              <w:rPr>
                <w:rFonts w:ascii="Times New Roman" w:hAnsi="Times New Roman" w:cs="Times New Roman"/>
                <w:sz w:val="24"/>
                <w:szCs w:val="24"/>
              </w:rPr>
              <w:t>Siūlome tikslinti formuluotes. Rekomenduojama atsisakyti fiksuoto 0,25 etato reikalavimo ir leisti institucijoms lanksčiai spręsti dėl mokslininkų stažuotojų, doktorantų ar studentų įtraukimo apimties, atsižvelgiant į jų vaidmenį, atsakomybes ir darbo specifiką projekte. Esant poreikiui, gali būti numatyta minimali įtraukimo trukmė ar atsiskaitymo forma (pvz., valandinis įsitraukimas ar rezultato aprašymas), o ne etatinis formalumas.</w:t>
            </w:r>
          </w:p>
        </w:tc>
        <w:tc>
          <w:tcPr>
            <w:tcW w:w="4203" w:type="dxa"/>
          </w:tcPr>
          <w:p w14:paraId="776C7802" w14:textId="5D3645DB" w:rsidR="00A43A0D" w:rsidRPr="0099117D" w:rsidRDefault="00E36542" w:rsidP="00C47E50">
            <w:pPr>
              <w:jc w:val="both"/>
              <w:rPr>
                <w:rFonts w:ascii="Times New Roman" w:hAnsi="Times New Roman" w:cs="Times New Roman"/>
                <w:sz w:val="24"/>
                <w:szCs w:val="24"/>
              </w:rPr>
            </w:pPr>
            <w:r w:rsidRPr="0099117D">
              <w:rPr>
                <w:rFonts w:ascii="Times New Roman" w:hAnsi="Times New Roman" w:cs="Times New Roman"/>
                <w:sz w:val="24"/>
                <w:szCs w:val="24"/>
              </w:rPr>
              <w:lastRenderedPageBreak/>
              <w:t>Neatsižvelgta. Kolegijos stude</w:t>
            </w:r>
            <w:r w:rsidR="000B0E6D" w:rsidRPr="0099117D">
              <w:rPr>
                <w:rFonts w:ascii="Times New Roman" w:hAnsi="Times New Roman" w:cs="Times New Roman"/>
                <w:sz w:val="24"/>
                <w:szCs w:val="24"/>
              </w:rPr>
              <w:t>ntų dalyvavimas būtinas, minimali etato dalis</w:t>
            </w:r>
            <w:r w:rsidR="00F45219" w:rsidRPr="0099117D">
              <w:rPr>
                <w:rFonts w:ascii="Times New Roman" w:hAnsi="Times New Roman" w:cs="Times New Roman"/>
                <w:sz w:val="24"/>
                <w:szCs w:val="24"/>
              </w:rPr>
              <w:t>- 0,25</w:t>
            </w:r>
            <w:r w:rsidR="000B0E6D" w:rsidRPr="0099117D">
              <w:rPr>
                <w:rFonts w:ascii="Times New Roman" w:hAnsi="Times New Roman" w:cs="Times New Roman"/>
                <w:sz w:val="24"/>
                <w:szCs w:val="24"/>
              </w:rPr>
              <w:t xml:space="preserve"> </w:t>
            </w:r>
            <w:r w:rsidR="00F45219" w:rsidRPr="0099117D">
              <w:rPr>
                <w:rFonts w:ascii="Times New Roman" w:hAnsi="Times New Roman" w:cs="Times New Roman"/>
                <w:sz w:val="24"/>
                <w:szCs w:val="24"/>
              </w:rPr>
              <w:t>įtvirtinta Stebėse</w:t>
            </w:r>
            <w:r w:rsidR="00E11FFD" w:rsidRPr="0099117D">
              <w:rPr>
                <w:rFonts w:ascii="Times New Roman" w:hAnsi="Times New Roman" w:cs="Times New Roman"/>
                <w:sz w:val="24"/>
                <w:szCs w:val="24"/>
              </w:rPr>
              <w:t>nos komiteto patvirtintuose projektų atrankos kriterijuose</w:t>
            </w:r>
            <w:r w:rsidR="00B43B6C" w:rsidRPr="0099117D">
              <w:rPr>
                <w:rFonts w:ascii="Times New Roman" w:hAnsi="Times New Roman" w:cs="Times New Roman"/>
                <w:sz w:val="24"/>
                <w:szCs w:val="24"/>
              </w:rPr>
              <w:t>.</w:t>
            </w:r>
          </w:p>
        </w:tc>
      </w:tr>
      <w:tr w:rsidR="002A5B33" w:rsidRPr="0099117D" w14:paraId="3BC89F91" w14:textId="77777777" w:rsidTr="0099117D">
        <w:trPr>
          <w:jc w:val="center"/>
        </w:trPr>
        <w:tc>
          <w:tcPr>
            <w:tcW w:w="1176" w:type="dxa"/>
          </w:tcPr>
          <w:p w14:paraId="45CAD5C4" w14:textId="7FA20FB4" w:rsidR="00A43A0D" w:rsidRPr="0099117D" w:rsidRDefault="00B43B6C"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54</w:t>
            </w:r>
          </w:p>
        </w:tc>
        <w:tc>
          <w:tcPr>
            <w:tcW w:w="1470" w:type="dxa"/>
          </w:tcPr>
          <w:p w14:paraId="1177A390" w14:textId="41ED709B" w:rsidR="00A43A0D" w:rsidRPr="0099117D" w:rsidRDefault="000F405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12.3</w:t>
            </w:r>
          </w:p>
        </w:tc>
        <w:tc>
          <w:tcPr>
            <w:tcW w:w="8206" w:type="dxa"/>
          </w:tcPr>
          <w:p w14:paraId="3BA08E4C" w14:textId="77777777" w:rsidR="008B000F" w:rsidRPr="0099117D" w:rsidRDefault="008B000F" w:rsidP="00C47E50">
            <w:pPr>
              <w:widowControl w:val="0"/>
              <w:tabs>
                <w:tab w:val="left" w:pos="5760"/>
              </w:tabs>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 xml:space="preserve">Pateikta vertinimo schema, kurioje kiekvienas MTEP </w:t>
            </w:r>
            <w:proofErr w:type="spellStart"/>
            <w:r w:rsidRPr="0099117D">
              <w:rPr>
                <w:rFonts w:ascii="Times New Roman" w:hAnsi="Times New Roman" w:cs="Times New Roman"/>
                <w:color w:val="000000"/>
                <w:sz w:val="24"/>
                <w:szCs w:val="24"/>
              </w:rPr>
              <w:t>paprojektis</w:t>
            </w:r>
            <w:proofErr w:type="spellEnd"/>
            <w:r w:rsidRPr="0099117D">
              <w:rPr>
                <w:rFonts w:ascii="Times New Roman" w:hAnsi="Times New Roman" w:cs="Times New Roman"/>
                <w:color w:val="000000"/>
                <w:sz w:val="24"/>
                <w:szCs w:val="24"/>
              </w:rPr>
              <w:t xml:space="preserve"> vertinamas 10, 5 arba 0 balų skale, nėra pakankamai diferencijuota ir gali iškreipti vertinimo rezultatus:</w:t>
            </w:r>
          </w:p>
          <w:p w14:paraId="197FDA32" w14:textId="77777777" w:rsidR="008B000F" w:rsidRPr="0099117D" w:rsidRDefault="008B000F" w:rsidP="00C47E50">
            <w:pPr>
              <w:pStyle w:val="Sraopastraipa"/>
              <w:widowControl w:val="0"/>
              <w:numPr>
                <w:ilvl w:val="0"/>
                <w:numId w:val="10"/>
              </w:numPr>
              <w:tabs>
                <w:tab w:val="left" w:pos="5760"/>
              </w:tabs>
              <w:ind w:left="0" w:firstLine="0"/>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per mažai tarpinių balų – vertinimo skalėje yra tik trys galimi balai (10, 5, 0), o tai neleidžia objektyviai atspindėti vertinimo niuansų. Pavyzdžiui, kaip vertinti projektą, kuris aiškiai geresnis nei 5 balai, bet neturi visų elementų, kad gautų 10? Tokiu atveju tiek 6, tiek 9 balų projektai gali gauti tą patį įvertinimą – 5, o tai diskriminuoja kokybiškesnius pareiškėjus.</w:t>
            </w:r>
          </w:p>
          <w:p w14:paraId="58E268CF" w14:textId="77777777" w:rsidR="008B000F" w:rsidRPr="0099117D" w:rsidRDefault="008B000F" w:rsidP="00C47E50">
            <w:pPr>
              <w:widowControl w:val="0"/>
              <w:numPr>
                <w:ilvl w:val="0"/>
                <w:numId w:val="10"/>
              </w:numPr>
              <w:tabs>
                <w:tab w:val="left" w:pos="5760"/>
              </w:tabs>
              <w:ind w:left="0" w:firstLine="0"/>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subjektyvumas – skalė su vos trimis reikšmėmis sukuria pernelyg platų interpretacijos lauką tarp 5 ir 10 balų, ypač kai kriterijai yra aprašyti gana apibendrintai („nėra trūkumų“, „nekelia grėsmės“, „ženkliai nesumažina“ ir pan.). Tai gali lemti nevienodus ekspertų vertinimus ir menką rezultatų palyginamumą.</w:t>
            </w:r>
          </w:p>
          <w:p w14:paraId="077B6719" w14:textId="20BCE76D" w:rsidR="008B000F" w:rsidRPr="0099117D" w:rsidRDefault="008B000F" w:rsidP="00C47E50">
            <w:pPr>
              <w:widowControl w:val="0"/>
              <w:numPr>
                <w:ilvl w:val="0"/>
                <w:numId w:val="10"/>
              </w:numPr>
              <w:tabs>
                <w:tab w:val="left" w:pos="5760"/>
              </w:tabs>
              <w:ind w:left="0" w:firstLine="0"/>
              <w:jc w:val="both"/>
              <w:rPr>
                <w:rFonts w:ascii="Times New Roman" w:hAnsi="Times New Roman" w:cs="Times New Roman"/>
                <w:color w:val="000000"/>
                <w:sz w:val="24"/>
                <w:szCs w:val="24"/>
              </w:rPr>
            </w:pPr>
            <w:r w:rsidRPr="0099117D">
              <w:rPr>
                <w:rFonts w:ascii="Times New Roman" w:hAnsi="Times New Roman" w:cs="Times New Roman"/>
                <w:color w:val="000000"/>
                <w:sz w:val="24"/>
                <w:szCs w:val="24"/>
              </w:rPr>
              <w:t>nėra proporcingumo – perėjimas nuo 10 iki 5 ir nuo 5 iki 0 balų yra neproporcingai staigus. Toks "trinaris" modelis labiau tinka labai paprastiems sprendimams (pvz., „tinkamas“, „vidutinis“, „netinkamas“), bet ne kompleksiškų MTEP projektų vertinimui, kur turinys dažnai sudėtingas ir daugiasluoksnis.</w:t>
            </w:r>
          </w:p>
          <w:p w14:paraId="35CA793F" w14:textId="05DA3774" w:rsidR="00A43A0D" w:rsidRPr="0099117D" w:rsidRDefault="008B000F" w:rsidP="00C47E50">
            <w:pPr>
              <w:widowControl w:val="0"/>
              <w:tabs>
                <w:tab w:val="left" w:pos="5760"/>
              </w:tabs>
              <w:jc w:val="both"/>
              <w:rPr>
                <w:rFonts w:ascii="Times New Roman" w:hAnsi="Times New Roman" w:cs="Times New Roman"/>
                <w:b/>
                <w:bCs/>
                <w:sz w:val="24"/>
                <w:szCs w:val="24"/>
              </w:rPr>
            </w:pPr>
            <w:r w:rsidRPr="0099117D">
              <w:rPr>
                <w:rFonts w:ascii="Times New Roman" w:hAnsi="Times New Roman" w:cs="Times New Roman"/>
                <w:color w:val="000000"/>
                <w:sz w:val="24"/>
                <w:szCs w:val="24"/>
              </w:rPr>
              <w:t>Siūlome vietoje trinarės vertinimo skalės (10–5–0), siūlome taikyti 10 balų skalę su vertinimu kas 1 balą (t. y. nuo 0 iki 10), kur kiekvienas balas aiškiai apibrėžiamas pagal iš anksto nustatytus kokybės kriterijus.</w:t>
            </w:r>
          </w:p>
        </w:tc>
        <w:tc>
          <w:tcPr>
            <w:tcW w:w="4203" w:type="dxa"/>
          </w:tcPr>
          <w:p w14:paraId="339A26A0" w14:textId="5E399699" w:rsidR="00A43A0D" w:rsidRPr="0099117D" w:rsidRDefault="000F4053"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Neatsižvelgta, pasirinkta </w:t>
            </w:r>
            <w:r w:rsidR="00F24294" w:rsidRPr="0099117D">
              <w:rPr>
                <w:rFonts w:ascii="Times New Roman" w:hAnsi="Times New Roman" w:cs="Times New Roman"/>
                <w:sz w:val="24"/>
                <w:szCs w:val="24"/>
              </w:rPr>
              <w:t>trinarė vertinimo skalė yra optimali projekto naudai-kokybei įvertinti</w:t>
            </w:r>
            <w:r w:rsidR="00F126CE" w:rsidRPr="0099117D">
              <w:rPr>
                <w:rFonts w:ascii="Times New Roman" w:hAnsi="Times New Roman" w:cs="Times New Roman"/>
                <w:sz w:val="24"/>
                <w:szCs w:val="24"/>
              </w:rPr>
              <w:t>.</w:t>
            </w:r>
          </w:p>
        </w:tc>
      </w:tr>
      <w:tr w:rsidR="002A5B33" w:rsidRPr="0099117D" w14:paraId="4D24EDAB" w14:textId="77777777" w:rsidTr="0099117D">
        <w:trPr>
          <w:jc w:val="center"/>
        </w:trPr>
        <w:tc>
          <w:tcPr>
            <w:tcW w:w="1176" w:type="dxa"/>
          </w:tcPr>
          <w:p w14:paraId="3C030BB7" w14:textId="77777777" w:rsidR="006E0668" w:rsidRPr="0099117D" w:rsidRDefault="006E0668"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KU</w:t>
            </w:r>
          </w:p>
          <w:p w14:paraId="1A9E568B" w14:textId="0D421A99" w:rsidR="00A43A0D" w:rsidRPr="0099117D" w:rsidRDefault="00F126CE"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55</w:t>
            </w:r>
          </w:p>
        </w:tc>
        <w:tc>
          <w:tcPr>
            <w:tcW w:w="1470" w:type="dxa"/>
          </w:tcPr>
          <w:p w14:paraId="476AD64E" w14:textId="08B5B87F" w:rsidR="00A43A0D" w:rsidRPr="0099117D" w:rsidRDefault="00A96677"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5.15</w:t>
            </w:r>
          </w:p>
        </w:tc>
        <w:tc>
          <w:tcPr>
            <w:tcW w:w="8206" w:type="dxa"/>
          </w:tcPr>
          <w:p w14:paraId="68AC56EF" w14:textId="53EAB97F" w:rsidR="00A43A0D" w:rsidRPr="0099117D" w:rsidRDefault="5BCF1C9A" w:rsidP="00C47E50">
            <w:pPr>
              <w:jc w:val="both"/>
              <w:rPr>
                <w:rFonts w:ascii="Times New Roman" w:eastAsia="Times New Roman" w:hAnsi="Times New Roman" w:cs="Times New Roman"/>
                <w:sz w:val="24"/>
                <w:szCs w:val="24"/>
              </w:rPr>
            </w:pPr>
            <w:r w:rsidRPr="0099117D">
              <w:rPr>
                <w:rFonts w:ascii="Times New Roman" w:eastAsia="Times New Roman" w:hAnsi="Times New Roman" w:cs="Times New Roman"/>
                <w:sz w:val="24"/>
                <w:szCs w:val="24"/>
              </w:rPr>
              <w:t>Lietuva, įgyvendinant ES sanglaudos politiką, yra dalijama į du regionus – Sostinės ir Vidurio ir Vakarų Lietuvos (VVL) – siekiant mažinti teritorinę atskirtį ir labiau remti VVL. Tačiau šios priemonės lėšų paskirstymas rodo aiškų disbalansą Sostinės regiono naudai. Statistika rodo, kad VVL potencialas dalyvaujant tarptautiniuose projektuose nėra mažesnis už Sostinės, todėl visiškai neaišku, kokiais principais vadovautasi skirstant finansavimą. Tokia praktika kelia abejonių dėl sąžiningos konkurencijos laikymosi ir sudaro diskriminacines sąlygas naujų žinių kūrimui bei komercinį potencialą turinčių MTEP iniciatyvų įgyvendinimui VVL regione. Prašome nurodyti kriterijus, kuriais remiantis suplanuotas šis regioninis lėšų pasiskirstymas.</w:t>
            </w:r>
          </w:p>
        </w:tc>
        <w:tc>
          <w:tcPr>
            <w:tcW w:w="4203" w:type="dxa"/>
          </w:tcPr>
          <w:p w14:paraId="368FFE8B" w14:textId="1EA5D8A4" w:rsidR="00A43A0D" w:rsidRPr="0099117D" w:rsidRDefault="5BCF1C9A" w:rsidP="00C47E50">
            <w:pPr>
              <w:shd w:val="clear" w:color="auto" w:fill="FFFFFF" w:themeFill="background1"/>
              <w:jc w:val="both"/>
              <w:rPr>
                <w:rFonts w:ascii="Times New Roman" w:hAnsi="Times New Roman" w:cs="Times New Roman"/>
                <w:sz w:val="24"/>
                <w:szCs w:val="24"/>
              </w:rPr>
            </w:pPr>
            <w:r w:rsidRPr="0099117D">
              <w:rPr>
                <w:rFonts w:ascii="Times New Roman" w:hAnsi="Times New Roman" w:cs="Times New Roman"/>
                <w:sz w:val="24"/>
                <w:szCs w:val="24"/>
              </w:rPr>
              <w:t xml:space="preserve">Neatsižvelgta. </w:t>
            </w:r>
            <w:r w:rsidRPr="0099117D">
              <w:rPr>
                <w:rFonts w:ascii="Times New Roman" w:eastAsia="Aptos" w:hAnsi="Times New Roman" w:cs="Times New Roman"/>
                <w:sz w:val="24"/>
                <w:szCs w:val="24"/>
              </w:rPr>
              <w:t xml:space="preserve">2021–2027 metų Europos Sąjungos fondų investicijų programos lėšų paskirstymo plane, patvirtintame LRV </w:t>
            </w:r>
            <w:r w:rsidRPr="0099117D">
              <w:rPr>
                <w:rFonts w:ascii="Times New Roman" w:eastAsia="Times New Roman" w:hAnsi="Times New Roman" w:cs="Times New Roman"/>
                <w:color w:val="000000" w:themeColor="text1"/>
                <w:sz w:val="24"/>
                <w:szCs w:val="24"/>
              </w:rPr>
              <w:t xml:space="preserve">2023 m. liepos 31 d. nutarimu Nr. 612, </w:t>
            </w:r>
            <w:r w:rsidRPr="0099117D">
              <w:rPr>
                <w:rFonts w:ascii="Times New Roman" w:eastAsia="Times New Roman" w:hAnsi="Times New Roman" w:cs="Times New Roman"/>
                <w:sz w:val="24"/>
                <w:szCs w:val="24"/>
              </w:rPr>
              <w:t xml:space="preserve">1 prioriteto </w:t>
            </w:r>
            <w:r w:rsidRPr="0099117D">
              <w:rPr>
                <w:rFonts w:ascii="Times New Roman" w:eastAsia="Times New Roman" w:hAnsi="Times New Roman" w:cs="Times New Roman"/>
                <w:color w:val="000000" w:themeColor="text1"/>
                <w:sz w:val="24"/>
                <w:szCs w:val="24"/>
              </w:rPr>
              <w:t>„</w:t>
            </w:r>
            <w:r w:rsidRPr="0099117D">
              <w:rPr>
                <w:rFonts w:ascii="Times New Roman" w:eastAsia="Times New Roman" w:hAnsi="Times New Roman" w:cs="Times New Roman"/>
                <w:sz w:val="24"/>
                <w:szCs w:val="24"/>
              </w:rPr>
              <w:t>Pažangesnė Lietuva</w:t>
            </w:r>
            <w:r w:rsidRPr="0099117D">
              <w:rPr>
                <w:rFonts w:ascii="Times New Roman" w:eastAsia="Times New Roman" w:hAnsi="Times New Roman" w:cs="Times New Roman"/>
                <w:color w:val="000000" w:themeColor="text1"/>
                <w:sz w:val="24"/>
                <w:szCs w:val="24"/>
              </w:rPr>
              <w:t>“ ministerijai numatytų Sostinės regiono lėšų dalis ženkliai didesnė už VVL regiono lėšų dalį.</w:t>
            </w:r>
          </w:p>
        </w:tc>
      </w:tr>
      <w:tr w:rsidR="002A5B33" w:rsidRPr="0099117D" w14:paraId="28E80E1A" w14:textId="77777777" w:rsidTr="0099117D">
        <w:trPr>
          <w:jc w:val="center"/>
        </w:trPr>
        <w:tc>
          <w:tcPr>
            <w:tcW w:w="1176" w:type="dxa"/>
          </w:tcPr>
          <w:p w14:paraId="1CBE846D" w14:textId="70B6B971" w:rsidR="00A43A0D" w:rsidRPr="0099117D" w:rsidRDefault="00A96677"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56</w:t>
            </w:r>
          </w:p>
        </w:tc>
        <w:tc>
          <w:tcPr>
            <w:tcW w:w="1470" w:type="dxa"/>
          </w:tcPr>
          <w:p w14:paraId="53EB1221" w14:textId="60E7CC5B" w:rsidR="00A43A0D" w:rsidRPr="0099117D" w:rsidRDefault="00DB0E68"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10.1</w:t>
            </w:r>
          </w:p>
        </w:tc>
        <w:tc>
          <w:tcPr>
            <w:tcW w:w="8206" w:type="dxa"/>
          </w:tcPr>
          <w:p w14:paraId="7C234F3B" w14:textId="7EEB1700" w:rsidR="00A43A0D" w:rsidRPr="0099117D" w:rsidRDefault="5BCF1C9A" w:rsidP="00C47E50">
            <w:pPr>
              <w:jc w:val="both"/>
              <w:rPr>
                <w:rFonts w:ascii="Times New Roman" w:eastAsia="Times New Roman" w:hAnsi="Times New Roman" w:cs="Times New Roman"/>
                <w:sz w:val="24"/>
                <w:szCs w:val="24"/>
              </w:rPr>
            </w:pPr>
            <w:r w:rsidRPr="0099117D">
              <w:rPr>
                <w:rFonts w:ascii="Times New Roman" w:eastAsia="Times New Roman" w:hAnsi="Times New Roman" w:cs="Times New Roman"/>
                <w:sz w:val="24"/>
                <w:szCs w:val="24"/>
              </w:rPr>
              <w:t xml:space="preserve">Neaiškus 10.1 punktas (Apskritis, kurioje gali būti įgyvendinami projektai) įrašyta „Netaikoma“. Ar tai reiškia, kad Sostinės regiono institucijos gali vykdyti </w:t>
            </w:r>
            <w:proofErr w:type="spellStart"/>
            <w:r w:rsidRPr="0099117D">
              <w:rPr>
                <w:rFonts w:ascii="Times New Roman" w:eastAsia="Times New Roman" w:hAnsi="Times New Roman" w:cs="Times New Roman"/>
                <w:sz w:val="24"/>
                <w:szCs w:val="24"/>
              </w:rPr>
              <w:t>paprojekčius</w:t>
            </w:r>
            <w:proofErr w:type="spellEnd"/>
            <w:r w:rsidRPr="0099117D">
              <w:rPr>
                <w:rFonts w:ascii="Times New Roman" w:eastAsia="Times New Roman" w:hAnsi="Times New Roman" w:cs="Times New Roman"/>
                <w:sz w:val="24"/>
                <w:szCs w:val="24"/>
              </w:rPr>
              <w:t xml:space="preserve"> VVL teritorijoje ir atvirkščiai? Jei taip, šį principą reikėtų aiškiau suformuluoti dokumente, nurodant kaip bus skirstomas finansavimas.</w:t>
            </w:r>
          </w:p>
        </w:tc>
        <w:tc>
          <w:tcPr>
            <w:tcW w:w="4203" w:type="dxa"/>
          </w:tcPr>
          <w:p w14:paraId="71A38311" w14:textId="3253799D"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Papunktyje numatyta nuostata taikoma, kai projektai finansuojami Teisingos pertvarkos fondo lėšomis. Šiuo atveju netaikomas.</w:t>
            </w:r>
          </w:p>
        </w:tc>
      </w:tr>
      <w:tr w:rsidR="002A5B33" w:rsidRPr="0099117D" w14:paraId="401DF80E" w14:textId="77777777" w:rsidTr="0099117D">
        <w:trPr>
          <w:jc w:val="center"/>
        </w:trPr>
        <w:tc>
          <w:tcPr>
            <w:tcW w:w="1176" w:type="dxa"/>
          </w:tcPr>
          <w:p w14:paraId="334569A0" w14:textId="2E4A132A" w:rsidR="00A43A0D" w:rsidRPr="0099117D" w:rsidRDefault="007B49F8"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57</w:t>
            </w:r>
          </w:p>
        </w:tc>
        <w:tc>
          <w:tcPr>
            <w:tcW w:w="1470" w:type="dxa"/>
          </w:tcPr>
          <w:p w14:paraId="08F1E423" w14:textId="7EA965D9" w:rsidR="00F61222" w:rsidRPr="0099117D" w:rsidRDefault="0094336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12</w:t>
            </w:r>
            <w:r w:rsidR="0052271E" w:rsidRPr="0099117D">
              <w:rPr>
                <w:rFonts w:ascii="Times New Roman" w:hAnsi="Times New Roman" w:cs="Times New Roman"/>
                <w:b/>
                <w:bCs/>
                <w:sz w:val="24"/>
                <w:szCs w:val="24"/>
              </w:rPr>
              <w:t>.3.8</w:t>
            </w:r>
          </w:p>
        </w:tc>
        <w:tc>
          <w:tcPr>
            <w:tcW w:w="8206" w:type="dxa"/>
          </w:tcPr>
          <w:p w14:paraId="42C9D15B" w14:textId="6031AC4A" w:rsidR="00A43A0D" w:rsidRPr="0099117D" w:rsidRDefault="5BCF1C9A" w:rsidP="00C47E50">
            <w:pPr>
              <w:jc w:val="both"/>
              <w:rPr>
                <w:rFonts w:ascii="Times New Roman" w:eastAsia="Times New Roman" w:hAnsi="Times New Roman" w:cs="Times New Roman"/>
                <w:sz w:val="24"/>
                <w:szCs w:val="24"/>
              </w:rPr>
            </w:pPr>
            <w:r w:rsidRPr="0099117D">
              <w:rPr>
                <w:rFonts w:ascii="Times New Roman" w:eastAsia="Times New Roman" w:hAnsi="Times New Roman" w:cs="Times New Roman"/>
                <w:sz w:val="24"/>
                <w:szCs w:val="24"/>
              </w:rPr>
              <w:t>Neaiškūs 8.2 bei 8.3 kriterijai:</w:t>
            </w:r>
            <w:r w:rsidRPr="0099117D">
              <w:rPr>
                <w:rFonts w:ascii="Times New Roman" w:eastAsia="Times New Roman" w:hAnsi="Times New Roman" w:cs="Times New Roman"/>
                <w:b/>
                <w:bCs/>
                <w:sz w:val="24"/>
                <w:szCs w:val="24"/>
              </w:rPr>
              <w:t xml:space="preserve"> </w:t>
            </w:r>
            <w:r w:rsidRPr="0099117D">
              <w:rPr>
                <w:rFonts w:ascii="Times New Roman" w:eastAsia="Times New Roman" w:hAnsi="Times New Roman" w:cs="Times New Roman"/>
                <w:sz w:val="24"/>
                <w:szCs w:val="24"/>
              </w:rPr>
              <w:t>konsorciumą turi sudaryti “bent dvi verslo įmonės“, tačiau vėliau reikalaujama, kad konsorciume būtų trys įmonės, turinčios bendrų tarptautinių MTEP projektų patirties. Dar labiau stebina vertinimas pagal licencines sutartis – daugiausia balų skiriama projektui, kuriame licencinės sutartys sudarytos tarp visų (pvz., 6) konsorciumo dalyvių, įskaitant tas 3 (?!) įmones. Tokia schema gali sudaryti privilegijuotas sąlygas iš anksto suplanuotiems konsorciumams ir eliminuoti naujai kuriamus konsorciumus. Prašome patikslinti 8.1 ir 8.2 kriterijus kaip konkurenciją iškraipančius.</w:t>
            </w:r>
          </w:p>
        </w:tc>
        <w:tc>
          <w:tcPr>
            <w:tcW w:w="4203" w:type="dxa"/>
          </w:tcPr>
          <w:p w14:paraId="53716434" w14:textId="2AB29C5E"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Siekiama, kad būtų atrinkti geriausi projektai.</w:t>
            </w:r>
          </w:p>
        </w:tc>
      </w:tr>
      <w:tr w:rsidR="002A5B33" w:rsidRPr="0099117D" w14:paraId="3A4633F8" w14:textId="77777777" w:rsidTr="0099117D">
        <w:trPr>
          <w:jc w:val="center"/>
        </w:trPr>
        <w:tc>
          <w:tcPr>
            <w:tcW w:w="1176" w:type="dxa"/>
          </w:tcPr>
          <w:p w14:paraId="2D030733" w14:textId="77777777" w:rsidR="0086766A" w:rsidRPr="0099117D" w:rsidRDefault="00FC27EB"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LA</w:t>
            </w:r>
            <w:r w:rsidR="0086766A" w:rsidRPr="0099117D">
              <w:rPr>
                <w:rFonts w:ascii="Times New Roman" w:hAnsi="Times New Roman" w:cs="Times New Roman"/>
                <w:b/>
                <w:bCs/>
                <w:sz w:val="24"/>
                <w:szCs w:val="24"/>
              </w:rPr>
              <w:t>MMC</w:t>
            </w:r>
          </w:p>
          <w:p w14:paraId="58C210C5" w14:textId="286E5D6E" w:rsidR="00A43A0D" w:rsidRPr="0099117D" w:rsidRDefault="00A801C8"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58</w:t>
            </w:r>
          </w:p>
        </w:tc>
        <w:tc>
          <w:tcPr>
            <w:tcW w:w="1470" w:type="dxa"/>
          </w:tcPr>
          <w:p w14:paraId="280A2DAF" w14:textId="477CFFDE" w:rsidR="00A43A0D" w:rsidRPr="0099117D" w:rsidRDefault="005D14BB"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5.15</w:t>
            </w:r>
          </w:p>
        </w:tc>
        <w:tc>
          <w:tcPr>
            <w:tcW w:w="8206" w:type="dxa"/>
          </w:tcPr>
          <w:p w14:paraId="29875D6E" w14:textId="6911D4FD"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Pagal 2 intervencinių priemonių sritis, iš kurių tik vienoje srityje   (Nr. 012)    VVL regiono institucijos  gali pretenduoti tik į 10 mln. Eurų sumą, kas nuo bendro  44 667 478 Eurų finansavimo sudaro tik 22,39% bei pagal Aprašo punktą 5.16 administruojanti institucija VVL gali skirti  papildomai iki 5 586 340 Eur, tuomet VVL institucijų projektams finansavimas siektų tik 31,02 proc., kas rodo aiškų sprendimą projektus koncentruoti Sostinės regione. Atsižvelgiant į tai, kad Lietuva suskirstyta į 2 regionus (Sostinės ir VVL) įgyvendinat ES politiką, kuria siekiama sumažinti atskirtį tarp regionų ir labiau paremti VVL, prašome užtikrinti, kad VVL lėšų suma būtų ne mažesnė nei Sostinės regionui</w:t>
            </w:r>
          </w:p>
        </w:tc>
        <w:tc>
          <w:tcPr>
            <w:tcW w:w="4203" w:type="dxa"/>
          </w:tcPr>
          <w:p w14:paraId="687A1734" w14:textId="1DFF5FB1" w:rsidR="00A43A0D" w:rsidRPr="0099117D" w:rsidRDefault="5BCF1C9A" w:rsidP="00C47E50">
            <w:pPr>
              <w:shd w:val="clear" w:color="auto" w:fill="FFFFFF" w:themeFill="background1"/>
              <w:jc w:val="both"/>
              <w:rPr>
                <w:rFonts w:ascii="Times New Roman" w:eastAsia="Aptos" w:hAnsi="Times New Roman" w:cs="Times New Roman"/>
                <w:sz w:val="24"/>
                <w:szCs w:val="24"/>
              </w:rPr>
            </w:pPr>
            <w:r w:rsidRPr="0099117D">
              <w:rPr>
                <w:rFonts w:ascii="Times New Roman" w:hAnsi="Times New Roman" w:cs="Times New Roman"/>
                <w:sz w:val="24"/>
                <w:szCs w:val="24"/>
              </w:rPr>
              <w:t xml:space="preserve">Neatsižvelgta. </w:t>
            </w:r>
            <w:r w:rsidRPr="0099117D">
              <w:rPr>
                <w:rFonts w:ascii="Times New Roman" w:eastAsia="Aptos" w:hAnsi="Times New Roman" w:cs="Times New Roman"/>
                <w:sz w:val="24"/>
                <w:szCs w:val="24"/>
              </w:rPr>
              <w:t xml:space="preserve">2021–2027 metų Europos Sąjungos fondų investicijų programos lėšų paskirstymo plane, patvirtintame LRV </w:t>
            </w:r>
            <w:r w:rsidRPr="0099117D">
              <w:rPr>
                <w:rFonts w:ascii="Times New Roman" w:eastAsia="Times New Roman" w:hAnsi="Times New Roman" w:cs="Times New Roman"/>
                <w:color w:val="000000" w:themeColor="text1"/>
                <w:sz w:val="24"/>
                <w:szCs w:val="24"/>
              </w:rPr>
              <w:t xml:space="preserve">2023 m. liepos 31 d. nutarimu Nr. 612, </w:t>
            </w:r>
            <w:r w:rsidRPr="0099117D">
              <w:rPr>
                <w:rFonts w:ascii="Times New Roman" w:eastAsia="Times New Roman" w:hAnsi="Times New Roman" w:cs="Times New Roman"/>
                <w:sz w:val="24"/>
                <w:szCs w:val="24"/>
              </w:rPr>
              <w:t xml:space="preserve">1 prioriteto </w:t>
            </w:r>
            <w:r w:rsidRPr="0099117D">
              <w:rPr>
                <w:rFonts w:ascii="Times New Roman" w:eastAsia="Times New Roman" w:hAnsi="Times New Roman" w:cs="Times New Roman"/>
                <w:color w:val="000000" w:themeColor="text1"/>
                <w:sz w:val="24"/>
                <w:szCs w:val="24"/>
              </w:rPr>
              <w:t>„</w:t>
            </w:r>
            <w:r w:rsidRPr="0099117D">
              <w:rPr>
                <w:rFonts w:ascii="Times New Roman" w:eastAsia="Times New Roman" w:hAnsi="Times New Roman" w:cs="Times New Roman"/>
                <w:sz w:val="24"/>
                <w:szCs w:val="24"/>
              </w:rPr>
              <w:t>Pažangesnė Lietuva</w:t>
            </w:r>
            <w:r w:rsidRPr="0099117D">
              <w:rPr>
                <w:rFonts w:ascii="Times New Roman" w:eastAsia="Times New Roman" w:hAnsi="Times New Roman" w:cs="Times New Roman"/>
                <w:color w:val="000000" w:themeColor="text1"/>
                <w:sz w:val="24"/>
                <w:szCs w:val="24"/>
              </w:rPr>
              <w:t>“ ministerijai numatytų Sostinės regiono lėšų dalis ženkliai didesnė už VVL regiono lėšų dalį.</w:t>
            </w:r>
          </w:p>
          <w:p w14:paraId="7D1811A5" w14:textId="1CC166DE" w:rsidR="00A43A0D" w:rsidRPr="0099117D" w:rsidRDefault="5BCF1C9A" w:rsidP="00C47E50">
            <w:pPr>
              <w:shd w:val="clear" w:color="auto" w:fill="FFFFFF" w:themeFill="background1"/>
              <w:jc w:val="both"/>
              <w:rPr>
                <w:rFonts w:ascii="Times New Roman" w:eastAsia="Times New Roman" w:hAnsi="Times New Roman" w:cs="Times New Roman"/>
                <w:sz w:val="24"/>
                <w:szCs w:val="24"/>
              </w:rPr>
            </w:pPr>
            <w:r w:rsidRPr="0099117D">
              <w:rPr>
                <w:rFonts w:ascii="Times New Roman" w:eastAsia="Times New Roman" w:hAnsi="Times New Roman" w:cs="Times New Roman"/>
                <w:sz w:val="24"/>
                <w:szCs w:val="24"/>
              </w:rPr>
              <w:t xml:space="preserve">Taip pat Finansų ministerija 2025 m. liepos 17 d. raštu Nr. 6K-25/3751 </w:t>
            </w:r>
            <w:r w:rsidRPr="0099117D">
              <w:rPr>
                <w:rFonts w:ascii="Times New Roman" w:eastAsia="Times New Roman" w:hAnsi="Times New Roman" w:cs="Times New Roman"/>
                <w:sz w:val="24"/>
                <w:szCs w:val="24"/>
              </w:rPr>
              <w:lastRenderedPageBreak/>
              <w:t>Ministerijai nurodė PFSA projekto 5.16 papunktyje atsisakyti nuostatos, leidžiančios, skelbiant kvietimą teikti projektų įgyvendinimo planus ir prisiimant įsipareigojimus pagal sudarytas projektų finansavimo sutartis, viršyti turimas lėšas.</w:t>
            </w:r>
          </w:p>
          <w:p w14:paraId="49180A0B" w14:textId="7B5B567C" w:rsidR="00A43A0D" w:rsidRPr="0099117D" w:rsidRDefault="5BCF1C9A" w:rsidP="00C47E50">
            <w:pPr>
              <w:shd w:val="clear" w:color="auto" w:fill="FFFFFF" w:themeFill="background1"/>
              <w:jc w:val="both"/>
              <w:rPr>
                <w:rFonts w:ascii="Times New Roman" w:eastAsia="Times New Roman" w:hAnsi="Times New Roman" w:cs="Times New Roman"/>
                <w:sz w:val="24"/>
                <w:szCs w:val="24"/>
              </w:rPr>
            </w:pPr>
            <w:r w:rsidRPr="0099117D">
              <w:rPr>
                <w:rFonts w:ascii="Times New Roman" w:eastAsia="Times New Roman" w:hAnsi="Times New Roman" w:cs="Times New Roman"/>
                <w:sz w:val="24"/>
                <w:szCs w:val="24"/>
              </w:rPr>
              <w:t xml:space="preserve">Visa PFSA projekte numatyta VVL regionui planuojama skirti suma </w:t>
            </w:r>
            <w:r w:rsidRPr="0099117D">
              <w:rPr>
                <w:rFonts w:ascii="Times New Roman" w:eastAsia="Times New Roman" w:hAnsi="Times New Roman" w:cs="Times New Roman"/>
                <w:sz w:val="24"/>
                <w:szCs w:val="24"/>
                <w:lang w:eastAsia="lt-LT"/>
              </w:rPr>
              <w:t xml:space="preserve">– </w:t>
            </w:r>
            <w:r w:rsidRPr="0099117D">
              <w:rPr>
                <w:rFonts w:ascii="Times New Roman" w:eastAsia="Times New Roman" w:hAnsi="Times New Roman" w:cs="Times New Roman"/>
                <w:sz w:val="24"/>
                <w:szCs w:val="24"/>
              </w:rPr>
              <w:t>10 mln. Eur.</w:t>
            </w:r>
          </w:p>
        </w:tc>
      </w:tr>
      <w:tr w:rsidR="002A5B33" w:rsidRPr="0099117D" w14:paraId="1741AF7C" w14:textId="77777777" w:rsidTr="0099117D">
        <w:trPr>
          <w:jc w:val="center"/>
        </w:trPr>
        <w:tc>
          <w:tcPr>
            <w:tcW w:w="1176" w:type="dxa"/>
          </w:tcPr>
          <w:p w14:paraId="3244811E" w14:textId="7D0F31D7" w:rsidR="00A43A0D" w:rsidRPr="0099117D" w:rsidRDefault="005D14BB"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59</w:t>
            </w:r>
          </w:p>
        </w:tc>
        <w:tc>
          <w:tcPr>
            <w:tcW w:w="1470" w:type="dxa"/>
          </w:tcPr>
          <w:p w14:paraId="091A3571" w14:textId="2D68B68C" w:rsidR="00A43A0D" w:rsidRPr="0099117D" w:rsidRDefault="0002402F"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12.3-4.3</w:t>
            </w:r>
          </w:p>
        </w:tc>
        <w:tc>
          <w:tcPr>
            <w:tcW w:w="8206" w:type="dxa"/>
          </w:tcPr>
          <w:p w14:paraId="4D80E5D9" w14:textId="330E41A8" w:rsidR="00A43A0D" w:rsidRPr="0099117D" w:rsidRDefault="00BF3AAB" w:rsidP="00C47E50">
            <w:pPr>
              <w:autoSpaceDE w:val="0"/>
              <w:autoSpaceDN w:val="0"/>
              <w:adjustRightInd w:val="0"/>
              <w:jc w:val="both"/>
              <w:rPr>
                <w:rFonts w:ascii="Times New Roman" w:hAnsi="Times New Roman" w:cs="Times New Roman"/>
                <w:b/>
                <w:bCs/>
                <w:sz w:val="24"/>
                <w:szCs w:val="24"/>
              </w:rPr>
            </w:pPr>
            <w:r w:rsidRPr="0099117D">
              <w:rPr>
                <w:rFonts w:ascii="Times New Roman" w:hAnsi="Times New Roman" w:cs="Times New Roman"/>
                <w:sz w:val="24"/>
                <w:szCs w:val="24"/>
              </w:rPr>
              <w:t>Siūlome patikslinti 4.3. kriterijų “Konsorciumo sudėties pagrįstumas, optimalumas siekiant projekto uždavinių”, papildant, kad 5 balai skiriami, jei konsorciume dalyvauja universitetai, kolegijos, valstybiniai mokslinių tyrimų institutai ir verslo įmonės. Valstybinių mokslinių tyrimų institutų įtraukimas sustiprintų projektų taikomųjų tyrimų vykdymą, inovacijų kūrimą bei turėtų pridėtinės vertės visai mokslo ir inovacijų kūrimo sistemai.</w:t>
            </w:r>
          </w:p>
        </w:tc>
        <w:tc>
          <w:tcPr>
            <w:tcW w:w="4203" w:type="dxa"/>
          </w:tcPr>
          <w:p w14:paraId="64FE9FB4" w14:textId="3CC9576A" w:rsidR="00A43A0D" w:rsidRPr="0099117D" w:rsidRDefault="005C3A9B"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w:t>
            </w:r>
            <w:r w:rsidR="009A22B3" w:rsidRPr="0099117D">
              <w:rPr>
                <w:rFonts w:ascii="Times New Roman" w:hAnsi="Times New Roman" w:cs="Times New Roman"/>
                <w:sz w:val="24"/>
                <w:szCs w:val="24"/>
              </w:rPr>
              <w:t>. Konsor</w:t>
            </w:r>
            <w:r w:rsidR="00373353" w:rsidRPr="0099117D">
              <w:rPr>
                <w:rFonts w:ascii="Times New Roman" w:hAnsi="Times New Roman" w:cs="Times New Roman"/>
                <w:sz w:val="24"/>
                <w:szCs w:val="24"/>
              </w:rPr>
              <w:t>ciumo sandara turi atitikti PFSA nustatytas sąlygas</w:t>
            </w:r>
            <w:r w:rsidR="00B5007F" w:rsidRPr="0099117D">
              <w:rPr>
                <w:rFonts w:ascii="Times New Roman" w:hAnsi="Times New Roman" w:cs="Times New Roman"/>
                <w:sz w:val="24"/>
                <w:szCs w:val="24"/>
              </w:rPr>
              <w:t>.</w:t>
            </w:r>
          </w:p>
        </w:tc>
      </w:tr>
      <w:tr w:rsidR="002A5B33" w:rsidRPr="0099117D" w14:paraId="7522510A" w14:textId="77777777" w:rsidTr="0099117D">
        <w:trPr>
          <w:jc w:val="center"/>
        </w:trPr>
        <w:tc>
          <w:tcPr>
            <w:tcW w:w="1176" w:type="dxa"/>
          </w:tcPr>
          <w:p w14:paraId="4DF5DB86" w14:textId="00303511" w:rsidR="00A43A0D" w:rsidRPr="0099117D" w:rsidRDefault="00B5007F"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60</w:t>
            </w:r>
          </w:p>
        </w:tc>
        <w:tc>
          <w:tcPr>
            <w:tcW w:w="1470" w:type="dxa"/>
          </w:tcPr>
          <w:p w14:paraId="6BF37559" w14:textId="3A719717" w:rsidR="00A43A0D" w:rsidRPr="0099117D" w:rsidRDefault="003F182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12.3-8</w:t>
            </w:r>
            <w:r w:rsidR="00C005AC" w:rsidRPr="0099117D">
              <w:rPr>
                <w:rFonts w:ascii="Times New Roman" w:hAnsi="Times New Roman" w:cs="Times New Roman"/>
                <w:b/>
                <w:bCs/>
                <w:sz w:val="24"/>
                <w:szCs w:val="24"/>
              </w:rPr>
              <w:t>.1</w:t>
            </w:r>
          </w:p>
        </w:tc>
        <w:tc>
          <w:tcPr>
            <w:tcW w:w="8206" w:type="dxa"/>
          </w:tcPr>
          <w:p w14:paraId="75E9D715" w14:textId="5F395C05"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 xml:space="preserve">Siūlome patikslinti 8.1 kriterijų </w:t>
            </w:r>
            <w:r w:rsidRPr="0099117D">
              <w:rPr>
                <w:rFonts w:ascii="Times New Roman" w:eastAsia="Times New Roman" w:hAnsi="Times New Roman" w:cs="Times New Roman"/>
                <w:color w:val="000000" w:themeColor="text1"/>
                <w:sz w:val="24"/>
                <w:szCs w:val="24"/>
              </w:rPr>
              <w:t>„</w:t>
            </w:r>
            <w:r w:rsidRPr="0099117D">
              <w:rPr>
                <w:rFonts w:ascii="Times New Roman" w:hAnsi="Times New Roman" w:cs="Times New Roman"/>
                <w:sz w:val="24"/>
                <w:szCs w:val="24"/>
              </w:rPr>
              <w:t>Pareiškėjo ir partnerių patirtis dalyvaujant tarptautinėse MTEP programose ir jose bendradarbiaujant su verslu</w:t>
            </w:r>
            <w:r w:rsidRPr="0099117D">
              <w:rPr>
                <w:rFonts w:ascii="Times New Roman" w:eastAsia="Times New Roman" w:hAnsi="Times New Roman" w:cs="Times New Roman"/>
                <w:color w:val="000000" w:themeColor="text1"/>
                <w:sz w:val="24"/>
                <w:szCs w:val="24"/>
              </w:rPr>
              <w:t>“</w:t>
            </w:r>
            <w:r w:rsidRPr="0099117D">
              <w:rPr>
                <w:rFonts w:ascii="Times New Roman" w:hAnsi="Times New Roman" w:cs="Times New Roman"/>
                <w:sz w:val="24"/>
                <w:szCs w:val="24"/>
              </w:rPr>
              <w:t xml:space="preserve"> atsisakant reikalavimo, kad </w:t>
            </w:r>
            <w:r w:rsidRPr="0099117D">
              <w:rPr>
                <w:rFonts w:ascii="Times New Roman" w:eastAsia="Times New Roman" w:hAnsi="Times New Roman" w:cs="Times New Roman"/>
                <w:color w:val="000000" w:themeColor="text1"/>
                <w:sz w:val="24"/>
                <w:szCs w:val="24"/>
              </w:rPr>
              <w:t>„</w:t>
            </w:r>
            <w:r w:rsidRPr="0099117D">
              <w:rPr>
                <w:rFonts w:ascii="Times New Roman" w:hAnsi="Times New Roman" w:cs="Times New Roman"/>
                <w:sz w:val="24"/>
                <w:szCs w:val="24"/>
              </w:rPr>
              <w:t>visuose projektuose dalyvavo kiti konsorciumo nariai</w:t>
            </w:r>
            <w:r w:rsidRPr="0099117D">
              <w:rPr>
                <w:rFonts w:ascii="Times New Roman" w:eastAsia="Times New Roman" w:hAnsi="Times New Roman" w:cs="Times New Roman"/>
                <w:color w:val="000000" w:themeColor="text1"/>
                <w:sz w:val="24"/>
                <w:szCs w:val="24"/>
              </w:rPr>
              <w:t>“</w:t>
            </w:r>
            <w:r w:rsidRPr="0099117D">
              <w:rPr>
                <w:rFonts w:ascii="Times New Roman" w:hAnsi="Times New Roman" w:cs="Times New Roman"/>
                <w:sz w:val="24"/>
                <w:szCs w:val="24"/>
              </w:rPr>
              <w:t>, nes tokia formuluotė užkerta kelią teikti paraiškas naujai suformuotiems konsorciumams, mažina naujų mažų ir vidutinių įmonių dalyvavimo projektuose galimybes bei sudaro išskirtines sąlygas tik anksčiau sudarytiems konsorciumams teikti paraiškas.</w:t>
            </w:r>
          </w:p>
        </w:tc>
        <w:tc>
          <w:tcPr>
            <w:tcW w:w="4203" w:type="dxa"/>
          </w:tcPr>
          <w:p w14:paraId="26ED354B" w14:textId="3945229D"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Siekiama, kad būtų atrinkti konkurencingiausi projektai.</w:t>
            </w:r>
          </w:p>
        </w:tc>
      </w:tr>
      <w:tr w:rsidR="002A5B33" w:rsidRPr="0099117D" w14:paraId="663F182A" w14:textId="77777777" w:rsidTr="0099117D">
        <w:trPr>
          <w:jc w:val="center"/>
        </w:trPr>
        <w:tc>
          <w:tcPr>
            <w:tcW w:w="1176" w:type="dxa"/>
          </w:tcPr>
          <w:p w14:paraId="5EFA3352" w14:textId="77777777" w:rsidR="00CD0904" w:rsidRPr="0099117D" w:rsidRDefault="00CD0904"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LEI</w:t>
            </w:r>
          </w:p>
          <w:p w14:paraId="408BE1D2" w14:textId="20AB1966" w:rsidR="00A43A0D" w:rsidRPr="0099117D" w:rsidRDefault="000D48C6"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61</w:t>
            </w:r>
          </w:p>
        </w:tc>
        <w:tc>
          <w:tcPr>
            <w:tcW w:w="1470" w:type="dxa"/>
          </w:tcPr>
          <w:p w14:paraId="5163126D" w14:textId="6613581B" w:rsidR="00A43A0D" w:rsidRPr="0099117D" w:rsidRDefault="00AB0F68"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5.15</w:t>
            </w:r>
          </w:p>
        </w:tc>
        <w:tc>
          <w:tcPr>
            <w:tcW w:w="8206" w:type="dxa"/>
          </w:tcPr>
          <w:p w14:paraId="60C6B0F8" w14:textId="04CF307C" w:rsidR="00A43A0D" w:rsidRPr="0099117D" w:rsidRDefault="5BCF1C9A" w:rsidP="00C47E50">
            <w:pPr>
              <w:jc w:val="both"/>
              <w:rPr>
                <w:rFonts w:ascii="Times New Roman" w:hAnsi="Times New Roman" w:cs="Times New Roman"/>
                <w:sz w:val="24"/>
                <w:szCs w:val="24"/>
              </w:rPr>
            </w:pPr>
            <w:r w:rsidRPr="0099117D">
              <w:rPr>
                <w:rFonts w:ascii="Times New Roman" w:eastAsia="Calibri" w:hAnsi="Times New Roman" w:cs="Times New Roman"/>
                <w:sz w:val="24"/>
                <w:szCs w:val="24"/>
              </w:rPr>
              <w:t>Įgyvendinant ES politiką buvo siekiama Lietuvą suskirstyti į 2 regionus (Sostinės ir VVL), taip planuojant sumažinti atskirtį tarp regionų ir labiau paremti VVL. Bet žvelgiant į finansavimo paskirstymą tarp regionų šioje priemonėje (2</w:t>
            </w:r>
            <w:r w:rsidRPr="0099117D">
              <w:rPr>
                <w:rFonts w:ascii="Times New Roman" w:eastAsia="Times New Roman" w:hAnsi="Times New Roman" w:cs="Times New Roman"/>
                <w:sz w:val="24"/>
                <w:szCs w:val="24"/>
              </w:rPr>
              <w:t>–</w:t>
            </w:r>
            <w:r w:rsidRPr="0099117D">
              <w:rPr>
                <w:rFonts w:ascii="Times New Roman" w:eastAsia="Calibri" w:hAnsi="Times New Roman" w:cs="Times New Roman"/>
                <w:sz w:val="24"/>
                <w:szCs w:val="24"/>
              </w:rPr>
              <w:t xml:space="preserve">3 projektai VVL regionui ir 7 projektai Sostinės regionui) nevisai suprantame didesnio finansavimo dalies paskyrimą Sostinės regionui. Atsižvelgiant į šių dviejų regionų potencialą tarptautiniuose projektuose, statistikos duomenys rodo, kad VVL niekuo nenusileidžia Sostinės regionui, todėl nėra aiškus lėšų paskirstymo tarp regionų principas ir manome, kad tai galimai pažeistų sąžiningą konkurenciją bei sudarytų nevienodas sąlygas naujų žinių kūrimui ir svarų komercinį potencialą turinčių mokslinių iniciatyvų vykdymui Vidurio ir Vakarų Lietuvos regione. Todėl, </w:t>
            </w:r>
            <w:r w:rsidRPr="0099117D">
              <w:rPr>
                <w:rFonts w:ascii="Times New Roman" w:eastAsia="Calibri" w:hAnsi="Times New Roman" w:cs="Times New Roman"/>
                <w:sz w:val="24"/>
                <w:szCs w:val="24"/>
              </w:rPr>
              <w:lastRenderedPageBreak/>
              <w:t>prašytume paviešinti kriterijus, kuriais remiantis atliktas toks lėšų paskirstymas tarp regionų šioje priemonėje.</w:t>
            </w:r>
          </w:p>
        </w:tc>
        <w:tc>
          <w:tcPr>
            <w:tcW w:w="4203" w:type="dxa"/>
          </w:tcPr>
          <w:p w14:paraId="5B52EC6E" w14:textId="71D1F4B6" w:rsidR="00A43A0D" w:rsidRPr="0099117D" w:rsidRDefault="0099117D" w:rsidP="00C47E50">
            <w:pPr>
              <w:shd w:val="clear" w:color="auto" w:fill="FFFFFF" w:themeFill="background1"/>
              <w:jc w:val="both"/>
              <w:rPr>
                <w:rFonts w:ascii="Times New Roman" w:eastAsia="Segoe UI Historic" w:hAnsi="Times New Roman" w:cs="Times New Roman"/>
                <w:sz w:val="24"/>
                <w:szCs w:val="24"/>
              </w:rPr>
            </w:pPr>
            <w:r w:rsidRPr="0099117D">
              <w:rPr>
                <w:rFonts w:ascii="Times New Roman" w:hAnsi="Times New Roman" w:cs="Times New Roman"/>
                <w:sz w:val="24"/>
                <w:szCs w:val="24"/>
              </w:rPr>
              <w:lastRenderedPageBreak/>
              <w:t xml:space="preserve">Neatsižvelgta. PFSA projekte nurodytos visos </w:t>
            </w:r>
            <w:r w:rsidRPr="0099117D">
              <w:rPr>
                <w:rFonts w:ascii="Times New Roman" w:hAnsi="Times New Roman" w:cs="Times New Roman"/>
                <w:b/>
                <w:bCs/>
                <w:sz w:val="24"/>
                <w:szCs w:val="24"/>
              </w:rPr>
              <w:t xml:space="preserve">galimos </w:t>
            </w:r>
            <w:r w:rsidRPr="0099117D">
              <w:rPr>
                <w:rFonts w:ascii="Times New Roman" w:hAnsi="Times New Roman" w:cs="Times New Roman"/>
                <w:sz w:val="24"/>
                <w:szCs w:val="24"/>
              </w:rPr>
              <w:t xml:space="preserve">kvietimui teikti projektų įgyvendinimo planus </w:t>
            </w:r>
            <w:r w:rsidRPr="0099117D">
              <w:rPr>
                <w:rFonts w:ascii="Times New Roman" w:hAnsi="Times New Roman" w:cs="Times New Roman"/>
                <w:b/>
                <w:bCs/>
                <w:sz w:val="24"/>
                <w:szCs w:val="24"/>
              </w:rPr>
              <w:t>skirti</w:t>
            </w:r>
            <w:r w:rsidRPr="0099117D">
              <w:rPr>
                <w:rFonts w:ascii="Times New Roman" w:hAnsi="Times New Roman" w:cs="Times New Roman"/>
                <w:sz w:val="24"/>
                <w:szCs w:val="24"/>
              </w:rPr>
              <w:t xml:space="preserve"> 2</w:t>
            </w:r>
            <w:r w:rsidRPr="0099117D">
              <w:rPr>
                <w:rFonts w:ascii="Times New Roman" w:eastAsia="Times New Roman" w:hAnsi="Times New Roman" w:cs="Times New Roman"/>
                <w:sz w:val="24"/>
                <w:szCs w:val="24"/>
              </w:rPr>
              <w:t>021–2027 metų Europos Sąjungos fondų investicijų programos 1 prioriteto „Pažangesnė Lietuva“ veiklos „Skatinti vykdyti taikomuosius MTEP“ lėšos.</w:t>
            </w:r>
          </w:p>
          <w:p w14:paraId="417FFDF9" w14:textId="5ABBA1C9" w:rsidR="00A43A0D" w:rsidRPr="0099117D" w:rsidRDefault="5BCF1C9A" w:rsidP="00C47E50">
            <w:pPr>
              <w:shd w:val="clear" w:color="auto" w:fill="FFFFFF" w:themeFill="background1"/>
              <w:jc w:val="both"/>
              <w:rPr>
                <w:rFonts w:ascii="Times New Roman" w:eastAsia="Aptos" w:hAnsi="Times New Roman" w:cs="Times New Roman"/>
                <w:sz w:val="24"/>
                <w:szCs w:val="24"/>
              </w:rPr>
            </w:pPr>
            <w:r w:rsidRPr="0099117D">
              <w:rPr>
                <w:rFonts w:ascii="Times New Roman" w:eastAsia="Aptos" w:hAnsi="Times New Roman" w:cs="Times New Roman"/>
                <w:sz w:val="24"/>
                <w:szCs w:val="24"/>
              </w:rPr>
              <w:t xml:space="preserve">2021–2027 metų Europos Sąjungos fondų investicijų programos lėšų paskirstymo plane, patvirtintame LRV </w:t>
            </w:r>
            <w:r w:rsidRPr="0099117D">
              <w:rPr>
                <w:rFonts w:ascii="Times New Roman" w:eastAsia="Times New Roman" w:hAnsi="Times New Roman" w:cs="Times New Roman"/>
                <w:color w:val="000000" w:themeColor="text1"/>
                <w:sz w:val="24"/>
                <w:szCs w:val="24"/>
              </w:rPr>
              <w:t xml:space="preserve">2023 m. liepos </w:t>
            </w:r>
            <w:r w:rsidRPr="0099117D">
              <w:rPr>
                <w:rFonts w:ascii="Times New Roman" w:eastAsia="Times New Roman" w:hAnsi="Times New Roman" w:cs="Times New Roman"/>
                <w:color w:val="000000" w:themeColor="text1"/>
                <w:sz w:val="24"/>
                <w:szCs w:val="24"/>
              </w:rPr>
              <w:lastRenderedPageBreak/>
              <w:t xml:space="preserve">31 d. nutarimu Nr. 612, </w:t>
            </w:r>
            <w:r w:rsidRPr="0099117D">
              <w:rPr>
                <w:rFonts w:ascii="Times New Roman" w:eastAsia="Times New Roman" w:hAnsi="Times New Roman" w:cs="Times New Roman"/>
                <w:sz w:val="24"/>
                <w:szCs w:val="24"/>
              </w:rPr>
              <w:t xml:space="preserve">1 prioriteto </w:t>
            </w:r>
            <w:r w:rsidRPr="0099117D">
              <w:rPr>
                <w:rFonts w:ascii="Times New Roman" w:eastAsia="Times New Roman" w:hAnsi="Times New Roman" w:cs="Times New Roman"/>
                <w:color w:val="000000" w:themeColor="text1"/>
                <w:sz w:val="24"/>
                <w:szCs w:val="24"/>
              </w:rPr>
              <w:t>„</w:t>
            </w:r>
            <w:r w:rsidRPr="0099117D">
              <w:rPr>
                <w:rFonts w:ascii="Times New Roman" w:eastAsia="Times New Roman" w:hAnsi="Times New Roman" w:cs="Times New Roman"/>
                <w:sz w:val="24"/>
                <w:szCs w:val="24"/>
              </w:rPr>
              <w:t>Pažangesnė Lietuva</w:t>
            </w:r>
            <w:r w:rsidRPr="0099117D">
              <w:rPr>
                <w:rFonts w:ascii="Times New Roman" w:eastAsia="Times New Roman" w:hAnsi="Times New Roman" w:cs="Times New Roman"/>
                <w:color w:val="000000" w:themeColor="text1"/>
                <w:sz w:val="24"/>
                <w:szCs w:val="24"/>
              </w:rPr>
              <w:t>“ ministerijai numatytų Sostinės regiono lėšų dalis ženkliai didesnė už VVL regiono lėšų dalį.</w:t>
            </w:r>
          </w:p>
        </w:tc>
      </w:tr>
      <w:tr w:rsidR="002A5B33" w:rsidRPr="0099117D" w14:paraId="238B9F49" w14:textId="77777777" w:rsidTr="0099117D">
        <w:trPr>
          <w:jc w:val="center"/>
        </w:trPr>
        <w:tc>
          <w:tcPr>
            <w:tcW w:w="1176" w:type="dxa"/>
          </w:tcPr>
          <w:p w14:paraId="1D8EF3E1" w14:textId="0BE147C4" w:rsidR="00A43A0D" w:rsidRPr="0099117D" w:rsidRDefault="00AB0F68"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62</w:t>
            </w:r>
          </w:p>
        </w:tc>
        <w:tc>
          <w:tcPr>
            <w:tcW w:w="1470" w:type="dxa"/>
          </w:tcPr>
          <w:p w14:paraId="102EB271" w14:textId="42E82948" w:rsidR="00A43A0D" w:rsidRPr="0099117D" w:rsidRDefault="003518A0"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5.15</w:t>
            </w:r>
          </w:p>
        </w:tc>
        <w:tc>
          <w:tcPr>
            <w:tcW w:w="8206" w:type="dxa"/>
          </w:tcPr>
          <w:p w14:paraId="6A805943" w14:textId="5CD92716" w:rsidR="00A43A0D" w:rsidRPr="0099117D" w:rsidRDefault="5BCF1C9A" w:rsidP="00C47E50">
            <w:pPr>
              <w:contextualSpacing/>
              <w:jc w:val="both"/>
              <w:rPr>
                <w:rFonts w:ascii="Times New Roman" w:eastAsia="Times New Roman" w:hAnsi="Times New Roman" w:cs="Times New Roman"/>
                <w:b/>
                <w:bCs/>
                <w:sz w:val="24"/>
                <w:szCs w:val="24"/>
              </w:rPr>
            </w:pPr>
            <w:r w:rsidRPr="0099117D">
              <w:rPr>
                <w:rFonts w:ascii="Times New Roman" w:eastAsia="Times New Roman" w:hAnsi="Times New Roman" w:cs="Times New Roman"/>
                <w:sz w:val="24"/>
                <w:szCs w:val="24"/>
              </w:rPr>
              <w:t xml:space="preserve">Analizuojant detaliau, nevisai aiškus lėšų paskirstymas pagal 2 intervencinių priemonių sritis, iš kurių tik vienoje srityje (Nr. 012) VVL regiono institucijos gali pretenduoti tik į 10 mln. Eurų sumą, kas nuo bendro 44 667 478 Eurų finansavimo sudaro tik 22,39 %. Papildomai, pagal Aprašo punktą 5.16 administruojanti institucija VVL gali skirti papildomai iki 5 586 340 Eur, tuomet VVL institucijų projektams finansavimas siektų tik 31,02 %. Toks akivaizdus finansavimo proporcingumo disbalansas, sustiprinamas intervencinių priemonių sričių Nr. 12 ir Nr. 29 charakterizavimu, kai VVL institucijoms labiau patariama orientuotis daugiau į tinklaveiką, apimant pramoninius tyrimus, eksperimentinę plėtrą bei galimybių studijas. Tuo tarpu Sostinės regiono institucijoms (intervencinių priemonių sritis Nr. 29) kažkodėl patariama daugiausia dėmesio skirti mažo anglies dioksido kiekio technologijų ekonomikai ir atsparumo klimato kaitai bei prisitaikymo prie jos tematikoms. Mūsų manymu, tokiu būdu yra apribojamos VVL institucijų veiklos, susietos su mažo anglies dioksido kiekio technologijų ekonomikos ir atsparumo klimato kaitai bei prisitaikymo prie jos tyrimais. </w:t>
            </w:r>
            <w:r w:rsidRPr="0099117D">
              <w:rPr>
                <w:rFonts w:ascii="Times New Roman" w:eastAsia="Times New Roman" w:hAnsi="Times New Roman" w:cs="Times New Roman"/>
                <w:b/>
                <w:bCs/>
                <w:sz w:val="24"/>
                <w:szCs w:val="24"/>
              </w:rPr>
              <w:t>Todėl,</w:t>
            </w:r>
            <w:r w:rsidRPr="0099117D">
              <w:rPr>
                <w:rFonts w:ascii="Times New Roman" w:eastAsia="Times New Roman" w:hAnsi="Times New Roman" w:cs="Times New Roman"/>
                <w:sz w:val="24"/>
                <w:szCs w:val="24"/>
              </w:rPr>
              <w:t xml:space="preserve"> </w:t>
            </w:r>
            <w:r w:rsidRPr="0099117D">
              <w:rPr>
                <w:rFonts w:ascii="Times New Roman" w:eastAsia="Times New Roman" w:hAnsi="Times New Roman" w:cs="Times New Roman"/>
                <w:b/>
                <w:bCs/>
                <w:sz w:val="24"/>
                <w:szCs w:val="24"/>
              </w:rPr>
              <w:t>siūlytume 5.14 p. veiklas pateikti bendru sąrašu, nenurodant, kokios veiklos turi būti prioritetu VVL ir Sostinės regionams, atsisakant 5.15.1 p. ir 5.15.2 p. veiklų detalizavimo.</w:t>
            </w:r>
          </w:p>
        </w:tc>
        <w:tc>
          <w:tcPr>
            <w:tcW w:w="4203" w:type="dxa"/>
          </w:tcPr>
          <w:p w14:paraId="58ED52BA" w14:textId="330E2977" w:rsidR="00A43A0D"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b/>
                <w:bCs/>
                <w:sz w:val="24"/>
                <w:szCs w:val="24"/>
              </w:rPr>
              <w:t xml:space="preserve">Neatsižvelgta. </w:t>
            </w:r>
            <w:r w:rsidRPr="0099117D">
              <w:rPr>
                <w:rFonts w:ascii="Times New Roman" w:hAnsi="Times New Roman" w:cs="Times New Roman"/>
                <w:sz w:val="24"/>
                <w:szCs w:val="24"/>
              </w:rPr>
              <w:t>Nėra ribojimų LEI</w:t>
            </w:r>
            <w:r w:rsidRPr="0099117D">
              <w:rPr>
                <w:rFonts w:ascii="Times New Roman" w:hAnsi="Times New Roman" w:cs="Times New Roman"/>
                <w:b/>
                <w:bCs/>
                <w:sz w:val="24"/>
                <w:szCs w:val="24"/>
              </w:rPr>
              <w:t xml:space="preserve"> </w:t>
            </w:r>
            <w:r w:rsidRPr="0099117D">
              <w:rPr>
                <w:rFonts w:ascii="Times New Roman" w:eastAsia="Times New Roman" w:hAnsi="Times New Roman" w:cs="Times New Roman"/>
                <w:sz w:val="24"/>
                <w:szCs w:val="24"/>
              </w:rPr>
              <w:t>vykdyti veiklas, susietas su mažo anglies dioksido kiekio technologijų ekonomikos ir atsparumo klimato kaitai bei prisitaikymo prie jos tyrimais</w:t>
            </w:r>
            <w:r w:rsidR="0099117D">
              <w:rPr>
                <w:rFonts w:ascii="Times New Roman" w:eastAsia="Times New Roman" w:hAnsi="Times New Roman" w:cs="Times New Roman"/>
                <w:sz w:val="24"/>
                <w:szCs w:val="24"/>
              </w:rPr>
              <w:t>.</w:t>
            </w:r>
          </w:p>
        </w:tc>
      </w:tr>
      <w:tr w:rsidR="002A5B33" w:rsidRPr="0099117D" w14:paraId="68FCF268" w14:textId="77777777" w:rsidTr="0099117D">
        <w:trPr>
          <w:jc w:val="center"/>
        </w:trPr>
        <w:tc>
          <w:tcPr>
            <w:tcW w:w="1176" w:type="dxa"/>
          </w:tcPr>
          <w:p w14:paraId="3E6A74B5" w14:textId="154A4CA7" w:rsidR="00A43A0D" w:rsidRPr="0099117D" w:rsidRDefault="007D429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63</w:t>
            </w:r>
          </w:p>
        </w:tc>
        <w:tc>
          <w:tcPr>
            <w:tcW w:w="1470" w:type="dxa"/>
          </w:tcPr>
          <w:p w14:paraId="150C1EA5" w14:textId="161A681A" w:rsidR="00A43A0D" w:rsidRPr="0099117D" w:rsidRDefault="00ED7970"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10</w:t>
            </w:r>
            <w:r w:rsidR="00451960" w:rsidRPr="0099117D">
              <w:rPr>
                <w:rFonts w:ascii="Times New Roman" w:hAnsi="Times New Roman" w:cs="Times New Roman"/>
                <w:b/>
                <w:bCs/>
                <w:sz w:val="24"/>
                <w:szCs w:val="24"/>
              </w:rPr>
              <w:t>.1</w:t>
            </w:r>
          </w:p>
        </w:tc>
        <w:tc>
          <w:tcPr>
            <w:tcW w:w="8206" w:type="dxa"/>
          </w:tcPr>
          <w:p w14:paraId="0D006015" w14:textId="44A8187A" w:rsidR="00A43A0D" w:rsidRPr="0099117D" w:rsidRDefault="5BCF1C9A" w:rsidP="00C47E50">
            <w:pPr>
              <w:contextualSpacing/>
              <w:jc w:val="both"/>
              <w:rPr>
                <w:rFonts w:ascii="Times New Roman" w:eastAsia="Times New Roman" w:hAnsi="Times New Roman" w:cs="Times New Roman"/>
                <w:b/>
                <w:bCs/>
                <w:sz w:val="24"/>
                <w:szCs w:val="24"/>
              </w:rPr>
            </w:pPr>
            <w:r w:rsidRPr="0099117D">
              <w:rPr>
                <w:rFonts w:ascii="Times New Roman" w:eastAsia="Times New Roman" w:hAnsi="Times New Roman" w:cs="Times New Roman"/>
                <w:sz w:val="24"/>
                <w:szCs w:val="24"/>
              </w:rPr>
              <w:t xml:space="preserve">Nevisiškai aiškus Aprašo 10 skyrelis „Apskritis, kurioje gali būti įgyvendinami projektai“ </w:t>
            </w:r>
            <w:r w:rsidR="00C47E50" w:rsidRPr="0099117D">
              <w:rPr>
                <w:rFonts w:ascii="Times New Roman" w:eastAsia="Times New Roman" w:hAnsi="Times New Roman" w:cs="Times New Roman"/>
                <w:sz w:val="24"/>
                <w:szCs w:val="24"/>
                <w:lang w:eastAsia="lt-LT"/>
              </w:rPr>
              <w:t>–</w:t>
            </w:r>
            <w:r w:rsidRPr="0099117D">
              <w:rPr>
                <w:rFonts w:ascii="Times New Roman" w:eastAsia="Times New Roman" w:hAnsi="Times New Roman" w:cs="Times New Roman"/>
                <w:sz w:val="24"/>
                <w:szCs w:val="24"/>
              </w:rPr>
              <w:t xml:space="preserve"> 10.1 p. „Netaikoma“, kuris kelia dvejonių, ar tai reiškia, kad Sostinės institucijos </w:t>
            </w:r>
            <w:proofErr w:type="spellStart"/>
            <w:r w:rsidRPr="0099117D">
              <w:rPr>
                <w:rFonts w:ascii="Times New Roman" w:eastAsia="Times New Roman" w:hAnsi="Times New Roman" w:cs="Times New Roman"/>
                <w:sz w:val="24"/>
                <w:szCs w:val="24"/>
              </w:rPr>
              <w:t>paprojekčius</w:t>
            </w:r>
            <w:proofErr w:type="spellEnd"/>
            <w:r w:rsidRPr="0099117D">
              <w:rPr>
                <w:rFonts w:ascii="Times New Roman" w:eastAsia="Times New Roman" w:hAnsi="Times New Roman" w:cs="Times New Roman"/>
                <w:sz w:val="24"/>
                <w:szCs w:val="24"/>
              </w:rPr>
              <w:t xml:space="preserve"> gali vykdyti VVL regione ir atvirkščiai? </w:t>
            </w:r>
            <w:r w:rsidRPr="0099117D">
              <w:rPr>
                <w:rFonts w:ascii="Times New Roman" w:eastAsia="Times New Roman" w:hAnsi="Times New Roman" w:cs="Times New Roman"/>
                <w:b/>
                <w:bCs/>
                <w:sz w:val="24"/>
                <w:szCs w:val="24"/>
              </w:rPr>
              <w:t>Jeigu TAIP, tai reikėtų aiškiau detalizuoti.</w:t>
            </w:r>
          </w:p>
        </w:tc>
        <w:tc>
          <w:tcPr>
            <w:tcW w:w="4203" w:type="dxa"/>
          </w:tcPr>
          <w:p w14:paraId="6272CBAF" w14:textId="1FCA25D2" w:rsidR="00A43A0D"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sz w:val="24"/>
                <w:szCs w:val="24"/>
              </w:rPr>
              <w:t xml:space="preserve">Neatsižvelgta. </w:t>
            </w:r>
            <w:r w:rsidRPr="0099117D">
              <w:rPr>
                <w:rFonts w:ascii="Times New Roman" w:eastAsia="Times New Roman" w:hAnsi="Times New Roman" w:cs="Times New Roman"/>
                <w:sz w:val="24"/>
                <w:szCs w:val="24"/>
              </w:rPr>
              <w:t>10.1</w:t>
            </w:r>
            <w:r w:rsidRPr="0099117D">
              <w:rPr>
                <w:rFonts w:ascii="Times New Roman" w:hAnsi="Times New Roman" w:cs="Times New Roman"/>
                <w:sz w:val="24"/>
                <w:szCs w:val="24"/>
              </w:rPr>
              <w:t xml:space="preserve"> papunkčio nuostata taikoma, kai projektai finansuojami Teisingos pertvarkos fondo lėšomis. Šiuo atveju netaikoma.</w:t>
            </w:r>
          </w:p>
        </w:tc>
      </w:tr>
      <w:tr w:rsidR="002A5B33" w:rsidRPr="0099117D" w14:paraId="6A8E322F" w14:textId="77777777" w:rsidTr="0099117D">
        <w:trPr>
          <w:jc w:val="center"/>
        </w:trPr>
        <w:tc>
          <w:tcPr>
            <w:tcW w:w="1176" w:type="dxa"/>
          </w:tcPr>
          <w:p w14:paraId="4AEC66F5" w14:textId="7E68D57F" w:rsidR="00A43A0D" w:rsidRPr="0099117D" w:rsidRDefault="00451960"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64</w:t>
            </w:r>
          </w:p>
        </w:tc>
        <w:tc>
          <w:tcPr>
            <w:tcW w:w="1470" w:type="dxa"/>
          </w:tcPr>
          <w:p w14:paraId="6A36A369" w14:textId="225EE897" w:rsidR="00A43A0D" w:rsidRPr="0099117D" w:rsidRDefault="00232945"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12.3-</w:t>
            </w:r>
            <w:r w:rsidR="001B28ED" w:rsidRPr="0099117D">
              <w:rPr>
                <w:rFonts w:ascii="Times New Roman" w:hAnsi="Times New Roman" w:cs="Times New Roman"/>
                <w:b/>
                <w:bCs/>
                <w:sz w:val="24"/>
                <w:szCs w:val="24"/>
              </w:rPr>
              <w:t>(</w:t>
            </w:r>
            <w:r w:rsidRPr="0099117D">
              <w:rPr>
                <w:rFonts w:ascii="Times New Roman" w:hAnsi="Times New Roman" w:cs="Times New Roman"/>
                <w:b/>
                <w:bCs/>
                <w:sz w:val="24"/>
                <w:szCs w:val="24"/>
              </w:rPr>
              <w:t>8.1</w:t>
            </w:r>
            <w:r w:rsidR="001B28ED" w:rsidRPr="0099117D">
              <w:rPr>
                <w:rFonts w:ascii="Times New Roman" w:hAnsi="Times New Roman" w:cs="Times New Roman"/>
                <w:b/>
                <w:bCs/>
                <w:sz w:val="24"/>
                <w:szCs w:val="24"/>
              </w:rPr>
              <w:t>-8.2)</w:t>
            </w:r>
          </w:p>
        </w:tc>
        <w:tc>
          <w:tcPr>
            <w:tcW w:w="8206" w:type="dxa"/>
          </w:tcPr>
          <w:p w14:paraId="4D27EE40" w14:textId="3416ABD1" w:rsidR="00A43A0D" w:rsidRPr="0099117D" w:rsidRDefault="0092204A" w:rsidP="00C47E50">
            <w:pPr>
              <w:shd w:val="clear" w:color="auto" w:fill="FFFFFF"/>
              <w:contextualSpacing/>
              <w:jc w:val="both"/>
              <w:rPr>
                <w:rFonts w:ascii="Times New Roman" w:hAnsi="Times New Roman" w:cs="Times New Roman"/>
                <w:b/>
                <w:bCs/>
                <w:sz w:val="24"/>
                <w:szCs w:val="24"/>
              </w:rPr>
            </w:pPr>
            <w:r w:rsidRPr="0099117D">
              <w:rPr>
                <w:rFonts w:ascii="Times New Roman" w:eastAsia="Calibri" w:hAnsi="Times New Roman" w:cs="Times New Roman"/>
                <w:sz w:val="24"/>
                <w:szCs w:val="24"/>
                <w:bdr w:val="none" w:sz="0" w:space="0" w:color="auto" w:frame="1"/>
                <w:lang w:eastAsia="lt-LT"/>
              </w:rPr>
              <w:t xml:space="preserve">Kriterijai 8.1 ir 8.2 sukelia neaiškumą dėl potencialių verslo įmonių pasirinkimo, nes šie kriterijai reikalauja, kad konsorciume būtų įtrauktos 3 verslo įmonės, dalyvavusios bendruose tarptautiniuose projektuose. Dar vienas abejotinas reikalavimas, susijęs su licencinėmis sutartimis, kur numatyta daugiausia balų skirti projektui, kuriame dalyvauja praktiškai visi konsorciumo nariai, </w:t>
            </w:r>
            <w:proofErr w:type="spellStart"/>
            <w:r w:rsidRPr="0099117D">
              <w:rPr>
                <w:rFonts w:ascii="Times New Roman" w:eastAsia="Calibri" w:hAnsi="Times New Roman" w:cs="Times New Roman"/>
                <w:sz w:val="24"/>
                <w:szCs w:val="24"/>
                <w:bdr w:val="none" w:sz="0" w:space="0" w:color="auto" w:frame="1"/>
                <w:lang w:eastAsia="lt-LT"/>
              </w:rPr>
              <w:t>t.y</w:t>
            </w:r>
            <w:proofErr w:type="spellEnd"/>
            <w:r w:rsidRPr="0099117D">
              <w:rPr>
                <w:rFonts w:ascii="Times New Roman" w:eastAsia="Calibri" w:hAnsi="Times New Roman" w:cs="Times New Roman"/>
                <w:sz w:val="24"/>
                <w:szCs w:val="24"/>
                <w:bdr w:val="none" w:sz="0" w:space="0" w:color="auto" w:frame="1"/>
                <w:lang w:eastAsia="lt-LT"/>
              </w:rPr>
              <w:t xml:space="preserve">. licencinės </w:t>
            </w:r>
            <w:r w:rsidRPr="0099117D">
              <w:rPr>
                <w:rFonts w:ascii="Times New Roman" w:eastAsia="Calibri" w:hAnsi="Times New Roman" w:cs="Times New Roman"/>
                <w:sz w:val="24"/>
                <w:szCs w:val="24"/>
                <w:bdr w:val="none" w:sz="0" w:space="0" w:color="auto" w:frame="1"/>
                <w:lang w:eastAsia="lt-LT"/>
              </w:rPr>
              <w:lastRenderedPageBreak/>
              <w:t xml:space="preserve">sutartys turi būti sudarytos tarp 6 konsorciumo dalyvių, t.t. ir su 3 verslo įmonėmis. Ar tokiais kriterijais vadovaujantis nebūtų sudaromos privilegijuotos sąlygos iš anksto suprognozuotiems konsorciumams? Todėl, siūlytume patikslinti šių kriterijų poveikį ir poreikį, kadangi yra išeliminuojamas naujai įkurtų įmonių, neturinčių tarptautinio bendradarbiavimo patirties, bet planuojančių realizuoti sukurtų/kuriamų </w:t>
            </w:r>
            <w:proofErr w:type="spellStart"/>
            <w:r w:rsidRPr="0099117D">
              <w:rPr>
                <w:rFonts w:ascii="Times New Roman" w:eastAsia="Calibri" w:hAnsi="Times New Roman" w:cs="Times New Roman"/>
                <w:sz w:val="24"/>
                <w:szCs w:val="24"/>
                <w:bdr w:val="none" w:sz="0" w:space="0" w:color="auto" w:frame="1"/>
                <w:lang w:eastAsia="lt-LT"/>
              </w:rPr>
              <w:t>paprojekčiuose</w:t>
            </w:r>
            <w:proofErr w:type="spellEnd"/>
            <w:r w:rsidRPr="0099117D">
              <w:rPr>
                <w:rFonts w:ascii="Times New Roman" w:eastAsia="Calibri" w:hAnsi="Times New Roman" w:cs="Times New Roman"/>
                <w:sz w:val="24"/>
                <w:szCs w:val="24"/>
                <w:bdr w:val="none" w:sz="0" w:space="0" w:color="auto" w:frame="1"/>
                <w:lang w:eastAsia="lt-LT"/>
              </w:rPr>
              <w:t xml:space="preserve"> MTEP produktų diegimą ir tolimesnį </w:t>
            </w:r>
            <w:proofErr w:type="spellStart"/>
            <w:r w:rsidRPr="0099117D">
              <w:rPr>
                <w:rFonts w:ascii="Times New Roman" w:eastAsia="Calibri" w:hAnsi="Times New Roman" w:cs="Times New Roman"/>
                <w:sz w:val="24"/>
                <w:szCs w:val="24"/>
                <w:bdr w:val="none" w:sz="0" w:space="0" w:color="auto" w:frame="1"/>
                <w:lang w:eastAsia="lt-LT"/>
              </w:rPr>
              <w:t>komercializavimą</w:t>
            </w:r>
            <w:proofErr w:type="spellEnd"/>
            <w:r w:rsidRPr="0099117D">
              <w:rPr>
                <w:rFonts w:ascii="Times New Roman" w:eastAsia="Calibri" w:hAnsi="Times New Roman" w:cs="Times New Roman"/>
                <w:sz w:val="24"/>
                <w:szCs w:val="24"/>
                <w:bdr w:val="none" w:sz="0" w:space="0" w:color="auto" w:frame="1"/>
                <w:lang w:eastAsia="lt-LT"/>
              </w:rPr>
              <w:t xml:space="preserve">, dalyvavimas. </w:t>
            </w:r>
          </w:p>
        </w:tc>
        <w:tc>
          <w:tcPr>
            <w:tcW w:w="4203" w:type="dxa"/>
          </w:tcPr>
          <w:p w14:paraId="0FEBF7CD" w14:textId="3E4182C8" w:rsidR="00A43A0D" w:rsidRPr="0099117D" w:rsidRDefault="00232945" w:rsidP="00C47E50">
            <w:pPr>
              <w:jc w:val="both"/>
              <w:rPr>
                <w:rFonts w:ascii="Times New Roman" w:hAnsi="Times New Roman" w:cs="Times New Roman"/>
                <w:b/>
                <w:bCs/>
                <w:sz w:val="24"/>
                <w:szCs w:val="24"/>
              </w:rPr>
            </w:pPr>
            <w:r w:rsidRPr="0099117D">
              <w:rPr>
                <w:rFonts w:ascii="Times New Roman" w:hAnsi="Times New Roman" w:cs="Times New Roman"/>
                <w:sz w:val="24"/>
                <w:szCs w:val="24"/>
              </w:rPr>
              <w:lastRenderedPageBreak/>
              <w:t>Neatsižvelgta. Siekiame, kad būtų finansuojami tik konkurencingiausi projektai.</w:t>
            </w:r>
          </w:p>
        </w:tc>
      </w:tr>
      <w:tr w:rsidR="002A5B33" w:rsidRPr="0099117D" w14:paraId="6DEC15D3" w14:textId="77777777" w:rsidTr="0099117D">
        <w:trPr>
          <w:jc w:val="center"/>
        </w:trPr>
        <w:tc>
          <w:tcPr>
            <w:tcW w:w="1176" w:type="dxa"/>
          </w:tcPr>
          <w:p w14:paraId="6C28368C" w14:textId="5E2178CC" w:rsidR="00A43A0D" w:rsidRPr="0099117D" w:rsidRDefault="001B28ED"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65</w:t>
            </w:r>
          </w:p>
        </w:tc>
        <w:tc>
          <w:tcPr>
            <w:tcW w:w="1470" w:type="dxa"/>
          </w:tcPr>
          <w:p w14:paraId="5DC19444" w14:textId="31BBC2C1" w:rsidR="00A43A0D" w:rsidRPr="0099117D" w:rsidRDefault="0053737E"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8.2</w:t>
            </w:r>
          </w:p>
        </w:tc>
        <w:tc>
          <w:tcPr>
            <w:tcW w:w="8206" w:type="dxa"/>
          </w:tcPr>
          <w:p w14:paraId="6661D4D6" w14:textId="28D20F69" w:rsidR="00A43A0D" w:rsidRPr="0099117D" w:rsidRDefault="5BCF1C9A" w:rsidP="00C47E50">
            <w:pPr>
              <w:contextualSpacing/>
              <w:jc w:val="both"/>
              <w:rPr>
                <w:rFonts w:ascii="Times New Roman" w:eastAsia="Calibri" w:hAnsi="Times New Roman" w:cs="Times New Roman"/>
                <w:sz w:val="24"/>
                <w:szCs w:val="24"/>
              </w:rPr>
            </w:pPr>
            <w:r w:rsidRPr="0099117D">
              <w:rPr>
                <w:rFonts w:ascii="Times New Roman" w:eastAsia="Calibri" w:hAnsi="Times New Roman" w:cs="Times New Roman"/>
                <w:sz w:val="24"/>
                <w:szCs w:val="24"/>
              </w:rPr>
              <w:t xml:space="preserve">Siūlome patikslinti 8.2 p. ir 4 priedo 3.2 p. reikalavimus, nes 8.2 p. nurodoma, kad vertinama ne daugiau kaip 7 licencinės sutartys, o 4 priedo 3.2 p. sakoma: „3.2 Licencinių sutarčių sąrašas (nurodomos ne daugiau nei 5 projekto tematiką arba Misijos temą atitinkančios licencinės sutartys, sudarytos ne anksčiau nei prieš 5 metus nuo PĮP pateikimo dienos).” </w:t>
            </w:r>
          </w:p>
        </w:tc>
        <w:tc>
          <w:tcPr>
            <w:tcW w:w="4203" w:type="dxa"/>
          </w:tcPr>
          <w:p w14:paraId="522EF14E" w14:textId="3171A8CF" w:rsidR="00A43A0D" w:rsidRPr="0099117D" w:rsidRDefault="00AE551A" w:rsidP="00C47E50">
            <w:pPr>
              <w:jc w:val="both"/>
              <w:rPr>
                <w:rFonts w:ascii="Times New Roman" w:hAnsi="Times New Roman" w:cs="Times New Roman"/>
                <w:sz w:val="24"/>
                <w:szCs w:val="24"/>
              </w:rPr>
            </w:pPr>
            <w:r w:rsidRPr="0099117D">
              <w:rPr>
                <w:rFonts w:ascii="Times New Roman" w:hAnsi="Times New Roman" w:cs="Times New Roman"/>
                <w:sz w:val="24"/>
                <w:szCs w:val="24"/>
              </w:rPr>
              <w:t>Atsižvelgta. Patikslintas</w:t>
            </w:r>
            <w:r w:rsidR="00FD6B1C" w:rsidRPr="0099117D">
              <w:rPr>
                <w:rFonts w:ascii="Times New Roman" w:hAnsi="Times New Roman" w:cs="Times New Roman"/>
                <w:sz w:val="24"/>
                <w:szCs w:val="24"/>
              </w:rPr>
              <w:t xml:space="preserve"> licencinių sutarčių skaičiaus reikalavimas</w:t>
            </w:r>
          </w:p>
        </w:tc>
      </w:tr>
      <w:tr w:rsidR="002A5B33" w:rsidRPr="0099117D" w14:paraId="1857C15A" w14:textId="77777777" w:rsidTr="0099117D">
        <w:trPr>
          <w:jc w:val="center"/>
        </w:trPr>
        <w:tc>
          <w:tcPr>
            <w:tcW w:w="1176" w:type="dxa"/>
          </w:tcPr>
          <w:p w14:paraId="79371A23" w14:textId="77777777" w:rsidR="00E54731" w:rsidRPr="0099117D" w:rsidRDefault="00E54731"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LSMU</w:t>
            </w:r>
          </w:p>
          <w:p w14:paraId="150E2D5A" w14:textId="5A93F551" w:rsidR="00A43A0D" w:rsidRPr="0099117D" w:rsidRDefault="002C38B4"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66</w:t>
            </w:r>
          </w:p>
        </w:tc>
        <w:tc>
          <w:tcPr>
            <w:tcW w:w="1470" w:type="dxa"/>
          </w:tcPr>
          <w:p w14:paraId="5BEE862C" w14:textId="1A176713" w:rsidR="00A43A0D" w:rsidRPr="0099117D" w:rsidRDefault="00E41E7D"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5.1, 5.2</w:t>
            </w:r>
          </w:p>
        </w:tc>
        <w:tc>
          <w:tcPr>
            <w:tcW w:w="8206" w:type="dxa"/>
          </w:tcPr>
          <w:p w14:paraId="689E33D4" w14:textId="337E011A" w:rsidR="00A43A0D" w:rsidRPr="0099117D" w:rsidRDefault="00E54731" w:rsidP="00C47E50">
            <w:pPr>
              <w:tabs>
                <w:tab w:val="left" w:pos="851"/>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sz w:val="24"/>
                <w:szCs w:val="24"/>
                <w:lang w:eastAsia="lt-LT"/>
              </w:rPr>
              <w:t xml:space="preserve">Aprašo I skyriaus „Veiklos ar </w:t>
            </w:r>
            <w:proofErr w:type="spellStart"/>
            <w:r w:rsidRPr="0099117D">
              <w:rPr>
                <w:rFonts w:ascii="Times New Roman" w:eastAsia="Times New Roman" w:hAnsi="Times New Roman" w:cs="Times New Roman"/>
                <w:sz w:val="24"/>
                <w:szCs w:val="24"/>
                <w:lang w:eastAsia="lt-LT"/>
              </w:rPr>
              <w:t>poveiklės</w:t>
            </w:r>
            <w:proofErr w:type="spellEnd"/>
            <w:r w:rsidRPr="0099117D">
              <w:rPr>
                <w:rFonts w:ascii="Times New Roman" w:eastAsia="Times New Roman" w:hAnsi="Times New Roman" w:cs="Times New Roman"/>
                <w:sz w:val="24"/>
                <w:szCs w:val="24"/>
                <w:lang w:eastAsia="lt-LT"/>
              </w:rPr>
              <w:t xml:space="preserve">, kurioms nustatomos projektų finansavimo sąlygos ir jų rodikliai“ 5 punkte „Reikalavimai projektams, pareiškėjams ir partneriams“ nurodyta, kad galimi pareiškėjai yra mokslo ir studijų institucijos (5.1 papunktis), kas apima tiek universitetus, tiek kolegijas. Atkreiptinas dėmesys, kad toliau šiame skyriuje </w:t>
            </w:r>
            <w:r w:rsidRPr="0099117D">
              <w:rPr>
                <w:rFonts w:ascii="Times New Roman" w:eastAsia="Times New Roman" w:hAnsi="Times New Roman" w:cs="Times New Roman"/>
                <w:b/>
                <w:bCs/>
                <w:sz w:val="24"/>
                <w:szCs w:val="24"/>
                <w:u w:val="single"/>
                <w:lang w:eastAsia="lt-LT"/>
              </w:rPr>
              <w:t>kolegijos</w:t>
            </w:r>
            <w:r w:rsidRPr="0099117D">
              <w:rPr>
                <w:rFonts w:ascii="Times New Roman" w:eastAsia="Times New Roman" w:hAnsi="Times New Roman" w:cs="Times New Roman"/>
                <w:sz w:val="24"/>
                <w:szCs w:val="24"/>
                <w:lang w:eastAsia="lt-LT"/>
              </w:rPr>
              <w:t xml:space="preserve"> išskiriamos kaip </w:t>
            </w:r>
            <w:r w:rsidRPr="0099117D">
              <w:rPr>
                <w:rFonts w:ascii="Times New Roman" w:eastAsia="Times New Roman" w:hAnsi="Times New Roman" w:cs="Times New Roman"/>
                <w:b/>
                <w:bCs/>
                <w:sz w:val="24"/>
                <w:szCs w:val="24"/>
                <w:u w:val="single"/>
                <w:lang w:eastAsia="lt-LT"/>
              </w:rPr>
              <w:t>būtini</w:t>
            </w:r>
            <w:r w:rsidRPr="0099117D">
              <w:rPr>
                <w:rFonts w:ascii="Times New Roman" w:eastAsia="Times New Roman" w:hAnsi="Times New Roman" w:cs="Times New Roman"/>
                <w:sz w:val="24"/>
                <w:szCs w:val="24"/>
                <w:lang w:eastAsia="lt-LT"/>
              </w:rPr>
              <w:t xml:space="preserve"> </w:t>
            </w:r>
            <w:r w:rsidRPr="0099117D">
              <w:rPr>
                <w:rFonts w:ascii="Times New Roman" w:eastAsia="Times New Roman" w:hAnsi="Times New Roman" w:cs="Times New Roman"/>
                <w:b/>
                <w:bCs/>
                <w:sz w:val="24"/>
                <w:szCs w:val="24"/>
                <w:u w:val="single"/>
                <w:lang w:eastAsia="lt-LT"/>
              </w:rPr>
              <w:t>projekto partneriai</w:t>
            </w:r>
            <w:r w:rsidRPr="0099117D">
              <w:rPr>
                <w:rFonts w:ascii="Times New Roman" w:eastAsia="Times New Roman" w:hAnsi="Times New Roman" w:cs="Times New Roman"/>
                <w:sz w:val="24"/>
                <w:szCs w:val="24"/>
                <w:lang w:eastAsia="lt-LT"/>
              </w:rPr>
              <w:t xml:space="preserve"> (5.2 papunktis), o </w:t>
            </w:r>
            <w:r w:rsidRPr="0099117D">
              <w:rPr>
                <w:rFonts w:ascii="Times New Roman" w:eastAsia="Times New Roman" w:hAnsi="Times New Roman" w:cs="Times New Roman"/>
                <w:b/>
                <w:bCs/>
                <w:sz w:val="24"/>
                <w:szCs w:val="24"/>
                <w:u w:val="single"/>
                <w:lang w:eastAsia="lt-LT"/>
              </w:rPr>
              <w:t>universitetai</w:t>
            </w:r>
            <w:r w:rsidRPr="0099117D">
              <w:rPr>
                <w:rFonts w:ascii="Times New Roman" w:eastAsia="Times New Roman" w:hAnsi="Times New Roman" w:cs="Times New Roman"/>
                <w:sz w:val="24"/>
                <w:szCs w:val="24"/>
                <w:lang w:eastAsia="lt-LT"/>
              </w:rPr>
              <w:t xml:space="preserve"> kaip </w:t>
            </w:r>
            <w:r w:rsidRPr="0099117D">
              <w:rPr>
                <w:rFonts w:ascii="Times New Roman" w:eastAsia="Times New Roman" w:hAnsi="Times New Roman" w:cs="Times New Roman"/>
                <w:b/>
                <w:bCs/>
                <w:sz w:val="24"/>
                <w:szCs w:val="24"/>
                <w:u w:val="single"/>
                <w:lang w:eastAsia="lt-LT"/>
              </w:rPr>
              <w:t>kiti projekto partneriai</w:t>
            </w:r>
            <w:r w:rsidRPr="0099117D">
              <w:rPr>
                <w:rFonts w:ascii="Times New Roman" w:eastAsia="Times New Roman" w:hAnsi="Times New Roman" w:cs="Times New Roman"/>
                <w:sz w:val="24"/>
                <w:szCs w:val="24"/>
                <w:lang w:eastAsia="lt-LT"/>
              </w:rPr>
              <w:t xml:space="preserve"> (5.3 papunktis). Taip pat 5.4 papunktyje nurodoma privaloma konsorciumo sudėtis, kurią &lt;&lt;... turi sudaryti bent 3 (trys) mokslo ir studijų institucijos (toliau – MSI), iš kurių bent 1 (viena) MSI yra kolegija. Remiantis šiame Aprašo 5 punkte pateikiama informacija yra galimybė konsorciumą sudaryti trims MSI kolegijoms į konsorciumo sudėtį neįtraukiant MSI universitetų, nes pagal Aprašą universitetai nėra privalomi ir būtini projekto partneriai. Todėl atsiranda pagrįsta rizika universitetams nebūti galimais projekto pareiškėjais. Atsižvelgiant į tai, siūlome tikslinti Aprašo 5.2 papunktį, nurodant universitetus, kaip ir kolegijas, būtinais projekto partneriais.</w:t>
            </w:r>
          </w:p>
        </w:tc>
        <w:tc>
          <w:tcPr>
            <w:tcW w:w="4203" w:type="dxa"/>
          </w:tcPr>
          <w:p w14:paraId="183730CC" w14:textId="7739A6B5"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Nėra draudimų ar ribojimų universitetams formuoti konsorciumus ir teikti projektų įgyvendinimo planus.</w:t>
            </w:r>
          </w:p>
        </w:tc>
      </w:tr>
      <w:tr w:rsidR="002A5B33" w:rsidRPr="0099117D" w14:paraId="152114F8" w14:textId="77777777" w:rsidTr="0099117D">
        <w:trPr>
          <w:jc w:val="center"/>
        </w:trPr>
        <w:tc>
          <w:tcPr>
            <w:tcW w:w="1176" w:type="dxa"/>
          </w:tcPr>
          <w:p w14:paraId="79A158DB" w14:textId="5DF9531F" w:rsidR="00A43A0D" w:rsidRPr="0099117D" w:rsidRDefault="00E41E7D" w:rsidP="00C47E50">
            <w:pPr>
              <w:jc w:val="center"/>
              <w:rPr>
                <w:rFonts w:ascii="Times New Roman" w:hAnsi="Times New Roman" w:cs="Times New Roman"/>
                <w:b/>
                <w:bCs/>
                <w:sz w:val="24"/>
                <w:szCs w:val="24"/>
              </w:rPr>
            </w:pPr>
            <w:bookmarkStart w:id="3" w:name="_Hlk204758819"/>
            <w:r w:rsidRPr="0099117D">
              <w:rPr>
                <w:rFonts w:ascii="Times New Roman" w:hAnsi="Times New Roman" w:cs="Times New Roman"/>
                <w:b/>
                <w:bCs/>
                <w:sz w:val="24"/>
                <w:szCs w:val="24"/>
              </w:rPr>
              <w:t>67</w:t>
            </w:r>
          </w:p>
        </w:tc>
        <w:tc>
          <w:tcPr>
            <w:tcW w:w="1470" w:type="dxa"/>
          </w:tcPr>
          <w:p w14:paraId="3DDACE7B" w14:textId="6152371B" w:rsidR="00A43A0D" w:rsidRPr="0099117D" w:rsidRDefault="003879F7"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5.4</w:t>
            </w:r>
          </w:p>
        </w:tc>
        <w:tc>
          <w:tcPr>
            <w:tcW w:w="8206" w:type="dxa"/>
          </w:tcPr>
          <w:p w14:paraId="0E302784" w14:textId="1F524FDC" w:rsidR="00A43A0D" w:rsidRPr="0099117D" w:rsidRDefault="009B575B" w:rsidP="00C47E50">
            <w:pPr>
              <w:tabs>
                <w:tab w:val="left" w:pos="851"/>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sz w:val="24"/>
                <w:szCs w:val="24"/>
                <w:lang w:eastAsia="lt-LT"/>
              </w:rPr>
              <w:t xml:space="preserve">Aprašo 5.4 papunktyje nurodyta, kad konsorciumą turi sudaryti bent 3 mokslo ir studijų institucijos. LR </w:t>
            </w:r>
            <w:hyperlink r:id="rId11" w:history="1">
              <w:r w:rsidRPr="0099117D">
                <w:rPr>
                  <w:rStyle w:val="Hipersaitas"/>
                  <w:rFonts w:ascii="Times New Roman" w:eastAsia="Times New Roman" w:hAnsi="Times New Roman" w:cs="Times New Roman"/>
                  <w:sz w:val="24"/>
                  <w:szCs w:val="24"/>
                  <w:lang w:eastAsia="lt-LT"/>
                </w:rPr>
                <w:t>mokslo ir studijų įstatyme</w:t>
              </w:r>
            </w:hyperlink>
            <w:r w:rsidRPr="0099117D">
              <w:rPr>
                <w:rFonts w:ascii="Times New Roman" w:eastAsia="Times New Roman" w:hAnsi="Times New Roman" w:cs="Times New Roman"/>
                <w:sz w:val="24"/>
                <w:szCs w:val="24"/>
                <w:lang w:eastAsia="lt-LT"/>
              </w:rPr>
              <w:t xml:space="preserve"> MSI apibrėžta kaip Lietuvos Respublikoje įregistruotas juridinis asmuo, kurio pagrindinė veikla – studijų vykdymas ir su studijomis susijusi veikla ir (arba) moksliniai tyrimai ir eksperimentinė plėtra. Kadangi institutai minėtame įstatyme priskiriami atskirai kategorijai, laikome, kad šį apibrėžimą atitinka Lietuvos universitetai ir kolegijos. </w:t>
            </w:r>
            <w:r w:rsidRPr="0099117D">
              <w:rPr>
                <w:rFonts w:ascii="Times New Roman" w:eastAsia="Times New Roman" w:hAnsi="Times New Roman" w:cs="Times New Roman"/>
                <w:sz w:val="24"/>
                <w:szCs w:val="24"/>
                <w:lang w:eastAsia="lt-LT"/>
              </w:rPr>
              <w:lastRenderedPageBreak/>
              <w:t>Atlikus paiešką LR švietimo, mokslo ir sporto ministerijos valdomoje atviroje informavimo, konsultavimo, orientavimo sistemoje „</w:t>
            </w:r>
            <w:proofErr w:type="spellStart"/>
            <w:r w:rsidRPr="0099117D">
              <w:rPr>
                <w:rFonts w:ascii="Times New Roman" w:eastAsia="Times New Roman" w:hAnsi="Times New Roman" w:cs="Times New Roman"/>
                <w:sz w:val="24"/>
                <w:szCs w:val="24"/>
                <w:lang w:eastAsia="lt-LT"/>
              </w:rPr>
              <w:t>Aikos</w:t>
            </w:r>
            <w:proofErr w:type="spellEnd"/>
            <w:r w:rsidRPr="0099117D">
              <w:rPr>
                <w:rFonts w:ascii="Times New Roman" w:eastAsia="Times New Roman" w:hAnsi="Times New Roman" w:cs="Times New Roman"/>
                <w:sz w:val="24"/>
                <w:szCs w:val="24"/>
                <w:lang w:eastAsia="lt-LT"/>
              </w:rPr>
              <w:t xml:space="preserve">“ pagal kriterijus „universitetas“ ir „kolegija“, gaunama 30 šiuos kriterijus atitinkančių rezultatų (MSI). 16 šių MSI priklauso Vidurio ir vakarų Lietuvos regionui (toliau - VVL), 14 – Sostinės regionui. Atsižvelgiant į MSI pasiskirstymą regionuose, matomas finansavimo paskirstymo netolygumas, kadangi VVL regionui iš projektams įgyvendinti skiriamų 50 253 818,00 Eur tenka 15 586 340,00 Eur, tuo tarpu Sostinės regionui – likę 34 667 478,00 Eur. Šiuo atveju, remiantis </w:t>
            </w:r>
            <w:hyperlink r:id="rId12" w:history="1">
              <w:r w:rsidRPr="0099117D">
                <w:rPr>
                  <w:rStyle w:val="Hipersaitas"/>
                  <w:rFonts w:ascii="Times New Roman" w:eastAsia="Times New Roman" w:hAnsi="Times New Roman" w:cs="Times New Roman"/>
                  <w:sz w:val="24"/>
                  <w:szCs w:val="24"/>
                  <w:lang w:eastAsia="lt-LT"/>
                </w:rPr>
                <w:t>CPVA direktoriaus 2023 m. birželio 22 d. įsakymu Nr. 2023/8-246 patvirtintomis Rekomendacijomis</w:t>
              </w:r>
            </w:hyperlink>
            <w:r w:rsidRPr="0099117D">
              <w:rPr>
                <w:rFonts w:ascii="Times New Roman" w:eastAsia="Times New Roman" w:hAnsi="Times New Roman" w:cs="Times New Roman"/>
                <w:sz w:val="24"/>
                <w:szCs w:val="24"/>
                <w:lang w:eastAsia="lt-LT"/>
              </w:rPr>
              <w:t xml:space="preserve"> dėl projektų išlaidų atitikties ES fondų reikalavimams, punkte „Projekto išlaidų teritorinis priskyrimas“ numatoma, kad „Investicijos išlaidos </w:t>
            </w:r>
            <w:r w:rsidRPr="0099117D">
              <w:rPr>
                <w:rFonts w:ascii="Times New Roman" w:eastAsia="Times New Roman" w:hAnsi="Times New Roman" w:cs="Times New Roman"/>
                <w:i/>
                <w:iCs/>
                <w:sz w:val="24"/>
                <w:szCs w:val="24"/>
                <w:lang w:eastAsia="lt-LT"/>
              </w:rPr>
              <w:t xml:space="preserve">pro </w:t>
            </w:r>
            <w:proofErr w:type="spellStart"/>
            <w:r w:rsidRPr="0099117D">
              <w:rPr>
                <w:rFonts w:ascii="Times New Roman" w:eastAsia="Times New Roman" w:hAnsi="Times New Roman" w:cs="Times New Roman"/>
                <w:i/>
                <w:iCs/>
                <w:sz w:val="24"/>
                <w:szCs w:val="24"/>
                <w:lang w:eastAsia="lt-LT"/>
              </w:rPr>
              <w:t>rata</w:t>
            </w:r>
            <w:proofErr w:type="spellEnd"/>
            <w:r w:rsidRPr="0099117D">
              <w:rPr>
                <w:rFonts w:ascii="Times New Roman" w:eastAsia="Times New Roman" w:hAnsi="Times New Roman" w:cs="Times New Roman"/>
                <w:sz w:val="24"/>
                <w:szCs w:val="24"/>
                <w:lang w:eastAsia="lt-LT"/>
              </w:rPr>
              <w:t xml:space="preserve"> principu priskiriamos taip: 29,15 procento Sostinės regionui ir 70,85 procento Vidurio ir vakarų Lietuvos regionui.“ Atsižvelgiant į tai, siūlome tikslinti Aprašo 5.15 ir 5.16 punktus dėl finansavimo paskirstymo regionams. </w:t>
            </w:r>
          </w:p>
        </w:tc>
        <w:tc>
          <w:tcPr>
            <w:tcW w:w="4203" w:type="dxa"/>
          </w:tcPr>
          <w:p w14:paraId="5D700CB7" w14:textId="4CF2D358" w:rsidR="00A43A0D" w:rsidRPr="0099117D" w:rsidRDefault="5BCF1C9A" w:rsidP="00C47E50">
            <w:pPr>
              <w:shd w:val="clear" w:color="auto" w:fill="FFFFFF" w:themeFill="background1"/>
              <w:jc w:val="both"/>
              <w:rPr>
                <w:rFonts w:ascii="Times New Roman" w:eastAsia="Times New Roman" w:hAnsi="Times New Roman" w:cs="Times New Roman"/>
                <w:sz w:val="24"/>
                <w:szCs w:val="24"/>
              </w:rPr>
            </w:pPr>
            <w:r w:rsidRPr="0099117D">
              <w:rPr>
                <w:rFonts w:ascii="Times New Roman" w:hAnsi="Times New Roman" w:cs="Times New Roman"/>
                <w:sz w:val="24"/>
                <w:szCs w:val="24"/>
              </w:rPr>
              <w:lastRenderedPageBreak/>
              <w:t xml:space="preserve">Neatsižvelgta. PFSA projekte nurodytos visos </w:t>
            </w:r>
            <w:r w:rsidRPr="0099117D">
              <w:rPr>
                <w:rFonts w:ascii="Times New Roman" w:hAnsi="Times New Roman" w:cs="Times New Roman"/>
                <w:b/>
                <w:bCs/>
                <w:sz w:val="24"/>
                <w:szCs w:val="24"/>
              </w:rPr>
              <w:t xml:space="preserve">galimos </w:t>
            </w:r>
            <w:r w:rsidRPr="0099117D">
              <w:rPr>
                <w:rFonts w:ascii="Times New Roman" w:hAnsi="Times New Roman" w:cs="Times New Roman"/>
                <w:sz w:val="24"/>
                <w:szCs w:val="24"/>
              </w:rPr>
              <w:t xml:space="preserve">kvietimui teikti projektų įgyvendinimo planus </w:t>
            </w:r>
            <w:r w:rsidRPr="0099117D">
              <w:rPr>
                <w:rFonts w:ascii="Times New Roman" w:hAnsi="Times New Roman" w:cs="Times New Roman"/>
                <w:b/>
                <w:bCs/>
                <w:sz w:val="24"/>
                <w:szCs w:val="24"/>
              </w:rPr>
              <w:t>skirti</w:t>
            </w:r>
            <w:r w:rsidRPr="0099117D">
              <w:rPr>
                <w:rFonts w:ascii="Times New Roman" w:hAnsi="Times New Roman" w:cs="Times New Roman"/>
                <w:sz w:val="24"/>
                <w:szCs w:val="24"/>
              </w:rPr>
              <w:t xml:space="preserve"> 2</w:t>
            </w:r>
            <w:r w:rsidRPr="0099117D">
              <w:rPr>
                <w:rFonts w:ascii="Times New Roman" w:eastAsia="Times New Roman" w:hAnsi="Times New Roman" w:cs="Times New Roman"/>
                <w:sz w:val="24"/>
                <w:szCs w:val="24"/>
              </w:rPr>
              <w:t xml:space="preserve">021–2027 metų Europos Sąjungos fondų investicijų programos 1 prioriteto „Pažangesnė </w:t>
            </w:r>
            <w:r w:rsidRPr="0099117D">
              <w:rPr>
                <w:rFonts w:ascii="Times New Roman" w:eastAsia="Times New Roman" w:hAnsi="Times New Roman" w:cs="Times New Roman"/>
                <w:sz w:val="24"/>
                <w:szCs w:val="24"/>
              </w:rPr>
              <w:lastRenderedPageBreak/>
              <w:t>Lietuva“ veiklos „Skatinti vykdyti taikomuosius MTEP“ lėšos.</w:t>
            </w:r>
          </w:p>
          <w:p w14:paraId="3CAAE123" w14:textId="1CC166DE" w:rsidR="00A43A0D" w:rsidRPr="0099117D" w:rsidRDefault="5BCF1C9A" w:rsidP="00C47E50">
            <w:pPr>
              <w:shd w:val="clear" w:color="auto" w:fill="FFFFFF" w:themeFill="background1"/>
              <w:jc w:val="both"/>
              <w:rPr>
                <w:rFonts w:ascii="Times New Roman" w:eastAsia="Times New Roman" w:hAnsi="Times New Roman" w:cs="Times New Roman"/>
                <w:sz w:val="24"/>
                <w:szCs w:val="24"/>
              </w:rPr>
            </w:pPr>
            <w:r w:rsidRPr="0099117D">
              <w:rPr>
                <w:rFonts w:ascii="Times New Roman" w:eastAsia="Times New Roman" w:hAnsi="Times New Roman" w:cs="Times New Roman"/>
                <w:sz w:val="24"/>
                <w:szCs w:val="24"/>
              </w:rPr>
              <w:t>Taip pat Finansų ministerija 2025 m. liepos 17 d. raštu Nr. 6K-25/3751 Ministerijai nurodė PFSA projekto 5.16 papunktyje atsisakyti nuostatos, leidžiančios, skelbiant kvietimą teikti projektų įgyvendinimo planus ir prisiimant įsipareigojimus pagal sudarytas projektų finansavimo sutartis, viršyti turimas lėšas.</w:t>
            </w:r>
          </w:p>
          <w:p w14:paraId="6868BCD5" w14:textId="1AA2A8B8" w:rsidR="00A43A0D" w:rsidRPr="0099117D" w:rsidRDefault="5BCF1C9A" w:rsidP="00C47E50">
            <w:pPr>
              <w:shd w:val="clear" w:color="auto" w:fill="FFFFFF" w:themeFill="background1"/>
              <w:jc w:val="both"/>
              <w:rPr>
                <w:rFonts w:ascii="Times New Roman" w:hAnsi="Times New Roman" w:cs="Times New Roman"/>
                <w:sz w:val="24"/>
                <w:szCs w:val="24"/>
              </w:rPr>
            </w:pPr>
            <w:r w:rsidRPr="0099117D">
              <w:rPr>
                <w:rFonts w:ascii="Times New Roman" w:eastAsia="Times New Roman" w:hAnsi="Times New Roman" w:cs="Times New Roman"/>
                <w:sz w:val="24"/>
                <w:szCs w:val="24"/>
              </w:rPr>
              <w:t xml:space="preserve">Visa PFSA projekte numatyta VVL regionui planuojama skirti suma </w:t>
            </w:r>
            <w:r w:rsidRPr="0099117D">
              <w:rPr>
                <w:rFonts w:ascii="Times New Roman" w:eastAsia="Times New Roman" w:hAnsi="Times New Roman" w:cs="Times New Roman"/>
                <w:sz w:val="24"/>
                <w:szCs w:val="24"/>
                <w:lang w:eastAsia="lt-LT"/>
              </w:rPr>
              <w:t xml:space="preserve">– </w:t>
            </w:r>
            <w:r w:rsidRPr="0099117D">
              <w:rPr>
                <w:rFonts w:ascii="Times New Roman" w:eastAsia="Times New Roman" w:hAnsi="Times New Roman" w:cs="Times New Roman"/>
                <w:sz w:val="24"/>
                <w:szCs w:val="24"/>
              </w:rPr>
              <w:t>10 mln. Eur.</w:t>
            </w:r>
          </w:p>
        </w:tc>
      </w:tr>
      <w:tr w:rsidR="002A5B33" w:rsidRPr="0099117D" w14:paraId="45A7172C" w14:textId="77777777" w:rsidTr="0099117D">
        <w:trPr>
          <w:jc w:val="center"/>
        </w:trPr>
        <w:tc>
          <w:tcPr>
            <w:tcW w:w="1176" w:type="dxa"/>
          </w:tcPr>
          <w:p w14:paraId="312E1C8D" w14:textId="7C0F41CA" w:rsidR="00A43A0D" w:rsidRPr="0099117D" w:rsidRDefault="002308E5"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lastRenderedPageBreak/>
              <w:t>68</w:t>
            </w:r>
          </w:p>
        </w:tc>
        <w:tc>
          <w:tcPr>
            <w:tcW w:w="1470" w:type="dxa"/>
          </w:tcPr>
          <w:p w14:paraId="510A1860" w14:textId="73D7D515" w:rsidR="00A43A0D" w:rsidRPr="0099117D" w:rsidRDefault="00765FE6"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w:t>
            </w:r>
          </w:p>
        </w:tc>
        <w:tc>
          <w:tcPr>
            <w:tcW w:w="8206" w:type="dxa"/>
          </w:tcPr>
          <w:p w14:paraId="0B55FBD6" w14:textId="2B992AAC" w:rsidR="00A43A0D" w:rsidRPr="0099117D" w:rsidRDefault="009849CA" w:rsidP="00C47E50">
            <w:pPr>
              <w:tabs>
                <w:tab w:val="left" w:pos="851"/>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sz w:val="24"/>
                <w:szCs w:val="24"/>
                <w:lang w:eastAsia="lt-LT"/>
              </w:rPr>
              <w:t>Apraše nenurodyta, ar tas pats juridinis asmuo gali priklausyti daugiau nei vienam konsorciumui. Atsižvelgiant į informaciją, išdėstytą antrojoje pastaboje, jei Sostinės regione yra 14 MSI, o norint panaudoti skiriamas lėšas, reikėtų vykdyti ne mažiau kaip 7 projektus (kai vienam projektui skiriama iki 5 mln.), tokiu atveju būtų reikalingi 7 konsorciumai ir vienam konsorciumui tektų tik po 2 MSI, kas neatitiktų Aprašo sąlygų. Atsižvelgiant į tai, siūlome  papildyti Aprašą ir nurodyti keliems konsorciumams ir kokiomis sąlygomis gali priklausyti tas pats juridinis asmuo (tiek MSI, tiek įmonė).</w:t>
            </w:r>
          </w:p>
        </w:tc>
        <w:tc>
          <w:tcPr>
            <w:tcW w:w="4203" w:type="dxa"/>
          </w:tcPr>
          <w:p w14:paraId="7CAAF5DD" w14:textId="05D7DDBB"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Tas pats juridinis asmuo gali dalyvauti neribotame skaičiuje konsorciumų.</w:t>
            </w:r>
          </w:p>
        </w:tc>
      </w:tr>
      <w:tr w:rsidR="002A5B33" w:rsidRPr="0099117D" w14:paraId="53D2E51D" w14:textId="77777777" w:rsidTr="0099117D">
        <w:trPr>
          <w:jc w:val="center"/>
        </w:trPr>
        <w:tc>
          <w:tcPr>
            <w:tcW w:w="1176" w:type="dxa"/>
          </w:tcPr>
          <w:p w14:paraId="3630BE70" w14:textId="0DA6E679" w:rsidR="00A43A0D" w:rsidRPr="0099117D" w:rsidRDefault="00765FE6"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69</w:t>
            </w:r>
          </w:p>
        </w:tc>
        <w:tc>
          <w:tcPr>
            <w:tcW w:w="1470" w:type="dxa"/>
          </w:tcPr>
          <w:p w14:paraId="0706A529" w14:textId="6196BC70" w:rsidR="00A43A0D" w:rsidRPr="0099117D" w:rsidRDefault="00900F6F"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w:t>
            </w:r>
          </w:p>
        </w:tc>
        <w:tc>
          <w:tcPr>
            <w:tcW w:w="8206" w:type="dxa"/>
          </w:tcPr>
          <w:p w14:paraId="24FABA89" w14:textId="3E0BB11F" w:rsidR="00A43A0D" w:rsidRPr="0099117D" w:rsidRDefault="00900F6F" w:rsidP="00C47E50">
            <w:pPr>
              <w:tabs>
                <w:tab w:val="left" w:pos="851"/>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sz w:val="24"/>
                <w:szCs w:val="24"/>
                <w:lang w:eastAsia="lt-LT"/>
              </w:rPr>
              <w:t xml:space="preserve">Apraše nepateiktas paaiškinimas, kaip projektus vykdysiantys juridiniai asmenys bus priskiriami Sostinės ir VVL regionams. Pvz., jei juridinis asmuo yra registruotas Sostinės regione, tačiau turi visą reikalingą infrastruktūrą ir veiklą vykdo taipogi ir VVL – kuriam regionui jis turėtų būti priskiriamas? Taip pat nėra aišku, jei projekto pareiškėjas priklauso VVL, ar jis gali į projekto konsorciumą įtraukti partnerį iš Sostinės regiono. Atsižvelgiant į tai siūlome papildyti Aprašą, pateikiant informaciją dėl juridinių asmenų priskyrimo regionams. </w:t>
            </w:r>
          </w:p>
        </w:tc>
        <w:tc>
          <w:tcPr>
            <w:tcW w:w="4203" w:type="dxa"/>
          </w:tcPr>
          <w:p w14:paraId="41D2ECCA" w14:textId="34386E6D" w:rsidR="00A43A0D" w:rsidRPr="0099117D" w:rsidRDefault="00934815"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Bus žiūrima kokioje institucijoje jis bus įdarbintas</w:t>
            </w:r>
            <w:r w:rsidR="00F53D9A" w:rsidRPr="0099117D">
              <w:rPr>
                <w:rFonts w:ascii="Times New Roman" w:hAnsi="Times New Roman" w:cs="Times New Roman"/>
                <w:sz w:val="24"/>
                <w:szCs w:val="24"/>
              </w:rPr>
              <w:t>, pagal tai ir bus priskiriamas regiona</w:t>
            </w:r>
            <w:r w:rsidR="004E55BA" w:rsidRPr="0099117D">
              <w:rPr>
                <w:rFonts w:ascii="Times New Roman" w:hAnsi="Times New Roman" w:cs="Times New Roman"/>
                <w:sz w:val="24"/>
                <w:szCs w:val="24"/>
              </w:rPr>
              <w:t>s</w:t>
            </w:r>
            <w:r w:rsidR="00127689" w:rsidRPr="0099117D">
              <w:rPr>
                <w:rFonts w:ascii="Times New Roman" w:hAnsi="Times New Roman" w:cs="Times New Roman"/>
                <w:sz w:val="24"/>
                <w:szCs w:val="24"/>
              </w:rPr>
              <w:t>. Projekto partneri</w:t>
            </w:r>
            <w:r w:rsidR="000C0348" w:rsidRPr="0099117D">
              <w:rPr>
                <w:rFonts w:ascii="Times New Roman" w:hAnsi="Times New Roman" w:cs="Times New Roman"/>
                <w:sz w:val="24"/>
                <w:szCs w:val="24"/>
              </w:rPr>
              <w:t>ai gali būti iš abiejų regionų.</w:t>
            </w:r>
          </w:p>
        </w:tc>
      </w:tr>
      <w:tr w:rsidR="002A5B33" w:rsidRPr="0099117D" w14:paraId="1F07446D" w14:textId="77777777" w:rsidTr="0099117D">
        <w:trPr>
          <w:jc w:val="center"/>
        </w:trPr>
        <w:tc>
          <w:tcPr>
            <w:tcW w:w="1176" w:type="dxa"/>
          </w:tcPr>
          <w:p w14:paraId="5CAC5A4E" w14:textId="427B02D7" w:rsidR="00A43A0D" w:rsidRPr="0099117D" w:rsidRDefault="004E55BA"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70</w:t>
            </w:r>
          </w:p>
        </w:tc>
        <w:tc>
          <w:tcPr>
            <w:tcW w:w="1470" w:type="dxa"/>
          </w:tcPr>
          <w:p w14:paraId="5B115B32" w14:textId="2EBE6AA9" w:rsidR="00A43A0D" w:rsidRPr="0099117D" w:rsidRDefault="00F70186"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w:t>
            </w:r>
          </w:p>
        </w:tc>
        <w:tc>
          <w:tcPr>
            <w:tcW w:w="8206" w:type="dxa"/>
          </w:tcPr>
          <w:p w14:paraId="43E4667B" w14:textId="0A11C2D8" w:rsidR="00A43A0D" w:rsidRPr="0099117D" w:rsidRDefault="00FE2CE0" w:rsidP="00C47E50">
            <w:pPr>
              <w:tabs>
                <w:tab w:val="left" w:pos="851"/>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color w:val="000000" w:themeColor="text1"/>
                <w:sz w:val="24"/>
                <w:szCs w:val="24"/>
                <w:lang w:eastAsia="lt-LT"/>
              </w:rPr>
              <w:t xml:space="preserve">Remiantis Apraše pateikiama informacija, Sostinės regionas pagal planuojamą skirti finansavimą galėtų vykdyti apytiksliai 7 projektus, o VVL – apytiksliai 4. Apraše nurodytas su mokslinių tyrimų organizacijomis bendradarbiaujančių įmonių </w:t>
            </w:r>
            <w:r w:rsidRPr="0099117D">
              <w:rPr>
                <w:rFonts w:ascii="Times New Roman" w:eastAsia="Times New Roman" w:hAnsi="Times New Roman" w:cs="Times New Roman"/>
                <w:color w:val="000000" w:themeColor="text1"/>
                <w:sz w:val="24"/>
                <w:szCs w:val="24"/>
                <w:lang w:eastAsia="lt-LT"/>
              </w:rPr>
              <w:lastRenderedPageBreak/>
              <w:t>skaičius atrodo neproporcingai  didelis, tokiu atveju į kiekvieną konsorciumą turėtų įeiti apie 13 įmonių ((99 + 48) / (7 + 4)), tad iš viso konsorciumus sudarys apytiksliai po 16 narių (13 + 3 MSI). Nepaisant to, kad tokio konsorciumo valdymas būtų itin sudėtingas, taip pat mažai tikėtina į projektą įtraukti 13 įmonių, turint omenyje, kad kiekviena jų turės prisidėti nuosavu įnašu.</w:t>
            </w:r>
          </w:p>
        </w:tc>
        <w:tc>
          <w:tcPr>
            <w:tcW w:w="4203" w:type="dxa"/>
          </w:tcPr>
          <w:p w14:paraId="2C3C43F1" w14:textId="52A1EFD7" w:rsidR="00A43A0D" w:rsidRPr="0099117D" w:rsidRDefault="002C2247" w:rsidP="00C47E50">
            <w:pPr>
              <w:jc w:val="both"/>
              <w:rPr>
                <w:rFonts w:ascii="Times New Roman" w:hAnsi="Times New Roman" w:cs="Times New Roman"/>
                <w:sz w:val="24"/>
                <w:szCs w:val="24"/>
              </w:rPr>
            </w:pPr>
            <w:r w:rsidRPr="0099117D">
              <w:rPr>
                <w:rFonts w:ascii="Times New Roman" w:hAnsi="Times New Roman" w:cs="Times New Roman"/>
                <w:sz w:val="24"/>
                <w:szCs w:val="24"/>
              </w:rPr>
              <w:lastRenderedPageBreak/>
              <w:t>Neatsižvelgta. Tokios projektų finansavimo sąlygos.</w:t>
            </w:r>
          </w:p>
        </w:tc>
      </w:tr>
      <w:tr w:rsidR="002A5B33" w:rsidRPr="0099117D" w14:paraId="03883508" w14:textId="77777777" w:rsidTr="0099117D">
        <w:trPr>
          <w:jc w:val="center"/>
        </w:trPr>
        <w:tc>
          <w:tcPr>
            <w:tcW w:w="1176" w:type="dxa"/>
          </w:tcPr>
          <w:p w14:paraId="74D8D533" w14:textId="7F2C1C10" w:rsidR="00A43A0D" w:rsidRPr="0099117D" w:rsidRDefault="00F70186"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71</w:t>
            </w:r>
          </w:p>
        </w:tc>
        <w:tc>
          <w:tcPr>
            <w:tcW w:w="1470" w:type="dxa"/>
          </w:tcPr>
          <w:p w14:paraId="3D77E9EF" w14:textId="137C5E38" w:rsidR="00A43A0D" w:rsidRPr="0099117D" w:rsidRDefault="00665F84"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w:t>
            </w:r>
          </w:p>
        </w:tc>
        <w:tc>
          <w:tcPr>
            <w:tcW w:w="8206" w:type="dxa"/>
          </w:tcPr>
          <w:p w14:paraId="3C563896" w14:textId="2FC31BEF" w:rsidR="00A43A0D" w:rsidRPr="0099117D" w:rsidRDefault="00665F84" w:rsidP="00C47E50">
            <w:pPr>
              <w:tabs>
                <w:tab w:val="left" w:pos="851"/>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color w:val="000000" w:themeColor="text1"/>
                <w:sz w:val="24"/>
                <w:szCs w:val="24"/>
                <w:lang w:eastAsia="lt-LT"/>
              </w:rPr>
              <w:t xml:space="preserve">Manome, kad rodiklis „Remiamų projektų leidiniai“ yra nepagrįstai didelis – 471 (VVL  + Sostinė). Tokiu atveju, jei vertinsime, kad iš viso galėtų būti apytiksliai apie 11 projektų, kiekvienam jų tektų po 42 leidinius. Projekto leidinys stebėsenos rodiklio kortelėje apibūdinamas kaip „mokslinis straipsnis, monografija ar jos dalis“ taip pat „Leidiniai turi būti pateikti ir priimti publikuoti.“ Pažymime, kad laikotarpis nuo publikacijos pateikimo iki jos priėmimo gali užtrukti 2-12 mėnesių, o kartais ir ilgiau. Jei projekto trukmė bus apie 36 mėn. (preliminariai įvertinus paraiškų teikimo ir vertinimo laikotarpį bei Apraše nurodytą veiklų pabaigos datą), tai reikštų, kad vykdant projektą, kiekvieną mėnesį turėtų būti išleidžiama po 1-2 publikacijas. Turint omenyje, kad publikacijų rengimo ir skelbimo našta tektų MSI, tokia apimtis viename projekte yra neįmanoma tiek laiko išteklių, tiek žmogiškųjų išteklių, tiek turinio pločio prasme. Atsižvelgiant į tai, siūlome svarstyti ir mažinti rodiklio „Remiamų projektų leidiniai“ numatytą dydį. </w:t>
            </w:r>
          </w:p>
        </w:tc>
        <w:tc>
          <w:tcPr>
            <w:tcW w:w="4203" w:type="dxa"/>
          </w:tcPr>
          <w:p w14:paraId="52C5A643" w14:textId="6ECD5DD3" w:rsidR="00A43A0D"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Neatsižvelgta. Rodiklio reikšmė yra proporcinga projekto dydžiui. PFSA projekte nurodytos minimalios rodiklių reikšmės.</w:t>
            </w:r>
          </w:p>
        </w:tc>
      </w:tr>
      <w:tr w:rsidR="002A5B33" w:rsidRPr="0099117D" w14:paraId="2FBE2009" w14:textId="77777777" w:rsidTr="0099117D">
        <w:trPr>
          <w:jc w:val="center"/>
        </w:trPr>
        <w:tc>
          <w:tcPr>
            <w:tcW w:w="1176" w:type="dxa"/>
          </w:tcPr>
          <w:p w14:paraId="1B671B79" w14:textId="6488272C" w:rsidR="00A43A0D" w:rsidRPr="0099117D" w:rsidRDefault="00925B84"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72</w:t>
            </w:r>
          </w:p>
        </w:tc>
        <w:tc>
          <w:tcPr>
            <w:tcW w:w="1470" w:type="dxa"/>
          </w:tcPr>
          <w:p w14:paraId="5D95A0D6" w14:textId="689B0D42" w:rsidR="00A43A0D" w:rsidRPr="0099117D" w:rsidRDefault="003831B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2</w:t>
            </w:r>
          </w:p>
        </w:tc>
        <w:tc>
          <w:tcPr>
            <w:tcW w:w="8206" w:type="dxa"/>
          </w:tcPr>
          <w:p w14:paraId="50480E34" w14:textId="5289D8F8" w:rsidR="00A43A0D" w:rsidRPr="0099117D" w:rsidRDefault="000541C3" w:rsidP="00C47E50">
            <w:pPr>
              <w:tabs>
                <w:tab w:val="left" w:pos="851"/>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color w:val="000000" w:themeColor="text1"/>
                <w:sz w:val="24"/>
                <w:szCs w:val="24"/>
                <w:lang w:eastAsia="lt-LT"/>
              </w:rPr>
              <w:t xml:space="preserve">Manome, kad rodiklis „Pateiktos patentų paraiškos“ yra nepagrįstai didelis – 70 (VVL  + Sostinė). Skaičiuojant analogiškai, kaip 6-joje pastaboje, vienam projektui tektų apytiksliai 6-7 patentinės paraiškos. Reikalingas ir didelį potencialą turintis produktas/išradimas gali būti sėkmingai </w:t>
            </w:r>
            <w:proofErr w:type="spellStart"/>
            <w:r w:rsidRPr="0099117D">
              <w:rPr>
                <w:rFonts w:ascii="Times New Roman" w:eastAsia="Times New Roman" w:hAnsi="Times New Roman" w:cs="Times New Roman"/>
                <w:color w:val="000000" w:themeColor="text1"/>
                <w:sz w:val="24"/>
                <w:szCs w:val="24"/>
                <w:lang w:eastAsia="lt-LT"/>
              </w:rPr>
              <w:t>komercinamas</w:t>
            </w:r>
            <w:proofErr w:type="spellEnd"/>
            <w:r w:rsidRPr="0099117D">
              <w:rPr>
                <w:rFonts w:ascii="Times New Roman" w:eastAsia="Times New Roman" w:hAnsi="Times New Roman" w:cs="Times New Roman"/>
                <w:color w:val="000000" w:themeColor="text1"/>
                <w:sz w:val="24"/>
                <w:szCs w:val="24"/>
                <w:lang w:eastAsia="lt-LT"/>
              </w:rPr>
              <w:t xml:space="preserve">, tačiau ne visada yra </w:t>
            </w:r>
            <w:proofErr w:type="spellStart"/>
            <w:r w:rsidRPr="0099117D">
              <w:rPr>
                <w:rFonts w:ascii="Times New Roman" w:eastAsia="Times New Roman" w:hAnsi="Times New Roman" w:cs="Times New Roman"/>
                <w:color w:val="000000" w:themeColor="text1"/>
                <w:sz w:val="24"/>
                <w:szCs w:val="24"/>
                <w:lang w:eastAsia="lt-LT"/>
              </w:rPr>
              <w:t>patentabilus</w:t>
            </w:r>
            <w:proofErr w:type="spellEnd"/>
            <w:r w:rsidRPr="0099117D">
              <w:rPr>
                <w:rFonts w:ascii="Times New Roman" w:eastAsia="Times New Roman" w:hAnsi="Times New Roman" w:cs="Times New Roman"/>
                <w:color w:val="000000" w:themeColor="text1"/>
                <w:sz w:val="24"/>
                <w:szCs w:val="24"/>
                <w:lang w:eastAsia="lt-LT"/>
              </w:rPr>
              <w:t xml:space="preserve">, taip pat reikėtų įvertinti ir tai, kad bevystant produktą, netikėta nesėkmė galima bet kuriame MTEP etape. Reikalavimas, kad visi (ar beveik visi) projekto metu vystomi išradimai būtų patentuojami, skatintų patentuoti net ir neperspektyvius išradimus, taipogi pastūmėtų mokslininkus į padėtį, kur reikėtų rinktis tarp mokslininko etikos principų ir projektinių įsipareigojimų. Atsižvelgiant į tai, siūlome svarstyti ir mažinti rodiklio „Pateiktos patentų paraiškos“ numatytą dydį. </w:t>
            </w:r>
          </w:p>
        </w:tc>
        <w:tc>
          <w:tcPr>
            <w:tcW w:w="4203" w:type="dxa"/>
          </w:tcPr>
          <w:p w14:paraId="7755C045" w14:textId="61AFAF2F" w:rsidR="00A43A0D"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sz w:val="24"/>
                <w:szCs w:val="24"/>
              </w:rPr>
              <w:t>Neatsižvelgta. Rodiklio reikšmė yra proporcinga projekto dydžiui. PFSA projekte nurodytos minimalios rodiklių reikšmės.</w:t>
            </w:r>
          </w:p>
        </w:tc>
      </w:tr>
      <w:bookmarkEnd w:id="3"/>
      <w:tr w:rsidR="00F73609" w:rsidRPr="0099117D" w14:paraId="352B0972" w14:textId="77777777" w:rsidTr="0099117D">
        <w:trPr>
          <w:jc w:val="center"/>
        </w:trPr>
        <w:tc>
          <w:tcPr>
            <w:tcW w:w="1176" w:type="dxa"/>
          </w:tcPr>
          <w:p w14:paraId="2DFEAEA3" w14:textId="28498DC3" w:rsidR="00F73609" w:rsidRPr="0099117D" w:rsidRDefault="00092D3E"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73</w:t>
            </w:r>
          </w:p>
        </w:tc>
        <w:tc>
          <w:tcPr>
            <w:tcW w:w="1470" w:type="dxa"/>
          </w:tcPr>
          <w:p w14:paraId="1E7E6A06" w14:textId="7D4C6B03" w:rsidR="00F73609" w:rsidRPr="0099117D" w:rsidRDefault="00AB78C4"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5.11</w:t>
            </w:r>
          </w:p>
        </w:tc>
        <w:tc>
          <w:tcPr>
            <w:tcW w:w="8206" w:type="dxa"/>
          </w:tcPr>
          <w:p w14:paraId="72B6349B" w14:textId="29869BA3" w:rsidR="00F73609" w:rsidRPr="0099117D" w:rsidRDefault="00AB78C4" w:rsidP="00C47E50">
            <w:pPr>
              <w:tabs>
                <w:tab w:val="left" w:pos="993"/>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sz w:val="24"/>
                <w:szCs w:val="24"/>
                <w:lang w:eastAsia="lt-LT"/>
              </w:rPr>
              <w:t xml:space="preserve">Aprašo 5.11 papunktyje pastebėta smulki sakinio struktūros klaida, paskutiniajame sakinyje – &lt;&lt; ... rezultatą planuojama teikti rinkai, </w:t>
            </w:r>
            <w:proofErr w:type="spellStart"/>
            <w:r w:rsidRPr="0099117D">
              <w:rPr>
                <w:rFonts w:ascii="Times New Roman" w:eastAsia="Times New Roman" w:hAnsi="Times New Roman" w:cs="Times New Roman"/>
                <w:sz w:val="24"/>
                <w:szCs w:val="24"/>
                <w:lang w:eastAsia="lt-LT"/>
              </w:rPr>
              <w:t>t.y</w:t>
            </w:r>
            <w:proofErr w:type="spellEnd"/>
            <w:r w:rsidRPr="0099117D">
              <w:rPr>
                <w:rFonts w:ascii="Times New Roman" w:eastAsia="Times New Roman" w:hAnsi="Times New Roman" w:cs="Times New Roman"/>
                <w:sz w:val="24"/>
                <w:szCs w:val="24"/>
                <w:lang w:eastAsia="lt-LT"/>
              </w:rPr>
              <w:t>. planuojama</w:t>
            </w:r>
            <w:r w:rsidRPr="0099117D">
              <w:rPr>
                <w:rFonts w:ascii="Times New Roman" w:eastAsia="Times New Roman" w:hAnsi="Times New Roman" w:cs="Times New Roman"/>
                <w:sz w:val="24"/>
                <w:szCs w:val="24"/>
                <w:u w:val="single"/>
                <w:lang w:eastAsia="lt-LT"/>
              </w:rPr>
              <w:t xml:space="preserve"> </w:t>
            </w:r>
            <w:r w:rsidRPr="0099117D">
              <w:rPr>
                <w:rFonts w:ascii="Times New Roman" w:eastAsia="Times New Roman" w:hAnsi="Times New Roman" w:cs="Times New Roman"/>
                <w:b/>
                <w:bCs/>
                <w:sz w:val="24"/>
                <w:szCs w:val="24"/>
                <w:u w:val="single"/>
                <w:lang w:eastAsia="lt-LT"/>
              </w:rPr>
              <w:t>vykdoma</w:t>
            </w:r>
            <w:r w:rsidRPr="0099117D">
              <w:rPr>
                <w:rFonts w:ascii="Times New Roman" w:eastAsia="Times New Roman" w:hAnsi="Times New Roman" w:cs="Times New Roman"/>
                <w:b/>
                <w:bCs/>
                <w:sz w:val="24"/>
                <w:szCs w:val="24"/>
                <w:lang w:eastAsia="lt-LT"/>
              </w:rPr>
              <w:t xml:space="preserve"> </w:t>
            </w:r>
            <w:r w:rsidRPr="0099117D">
              <w:rPr>
                <w:rFonts w:ascii="Times New Roman" w:eastAsia="Times New Roman" w:hAnsi="Times New Roman" w:cs="Times New Roman"/>
                <w:sz w:val="24"/>
                <w:szCs w:val="24"/>
                <w:lang w:eastAsia="lt-LT"/>
              </w:rPr>
              <w:lastRenderedPageBreak/>
              <w:t xml:space="preserve">ekonominė veikla.&gt;&gt;. Tikriausiai turėta omenyje &lt;&lt; ... rezultatą planuojama teikti rinkai, </w:t>
            </w:r>
            <w:proofErr w:type="spellStart"/>
            <w:r w:rsidRPr="0099117D">
              <w:rPr>
                <w:rFonts w:ascii="Times New Roman" w:eastAsia="Times New Roman" w:hAnsi="Times New Roman" w:cs="Times New Roman"/>
                <w:sz w:val="24"/>
                <w:szCs w:val="24"/>
                <w:lang w:eastAsia="lt-LT"/>
              </w:rPr>
              <w:t>t.y</w:t>
            </w:r>
            <w:proofErr w:type="spellEnd"/>
            <w:r w:rsidRPr="0099117D">
              <w:rPr>
                <w:rFonts w:ascii="Times New Roman" w:eastAsia="Times New Roman" w:hAnsi="Times New Roman" w:cs="Times New Roman"/>
                <w:sz w:val="24"/>
                <w:szCs w:val="24"/>
                <w:lang w:eastAsia="lt-LT"/>
              </w:rPr>
              <w:t>. planuojama</w:t>
            </w:r>
            <w:r w:rsidRPr="0099117D">
              <w:rPr>
                <w:rFonts w:ascii="Times New Roman" w:eastAsia="Times New Roman" w:hAnsi="Times New Roman" w:cs="Times New Roman"/>
                <w:b/>
                <w:bCs/>
                <w:sz w:val="24"/>
                <w:szCs w:val="24"/>
                <w:u w:val="single"/>
                <w:lang w:eastAsia="lt-LT"/>
              </w:rPr>
              <w:t xml:space="preserve"> vykdyti</w:t>
            </w:r>
            <w:r w:rsidRPr="0099117D">
              <w:rPr>
                <w:rFonts w:ascii="Times New Roman" w:eastAsia="Times New Roman" w:hAnsi="Times New Roman" w:cs="Times New Roman"/>
                <w:sz w:val="24"/>
                <w:szCs w:val="24"/>
                <w:lang w:eastAsia="lt-LT"/>
              </w:rPr>
              <w:t xml:space="preserve"> ekonominė veikla.&gt;&gt;</w:t>
            </w:r>
          </w:p>
        </w:tc>
        <w:tc>
          <w:tcPr>
            <w:tcW w:w="4203" w:type="dxa"/>
          </w:tcPr>
          <w:p w14:paraId="530D02A3" w14:textId="4B118A12" w:rsidR="00F73609" w:rsidRPr="0099117D" w:rsidRDefault="00C50109" w:rsidP="00C47E50">
            <w:pPr>
              <w:jc w:val="both"/>
              <w:rPr>
                <w:rFonts w:ascii="Times New Roman" w:hAnsi="Times New Roman" w:cs="Times New Roman"/>
                <w:sz w:val="24"/>
                <w:szCs w:val="24"/>
              </w:rPr>
            </w:pPr>
            <w:r w:rsidRPr="0099117D">
              <w:rPr>
                <w:rFonts w:ascii="Times New Roman" w:hAnsi="Times New Roman" w:cs="Times New Roman"/>
                <w:sz w:val="24"/>
                <w:szCs w:val="24"/>
              </w:rPr>
              <w:lastRenderedPageBreak/>
              <w:t>Atsižvelgta</w:t>
            </w:r>
            <w:r w:rsidR="0079303B" w:rsidRPr="0099117D">
              <w:rPr>
                <w:rFonts w:ascii="Times New Roman" w:hAnsi="Times New Roman" w:cs="Times New Roman"/>
                <w:sz w:val="24"/>
                <w:szCs w:val="24"/>
              </w:rPr>
              <w:t>. Patikslinta pagal pastabą.</w:t>
            </w:r>
          </w:p>
        </w:tc>
      </w:tr>
      <w:tr w:rsidR="00F73609" w:rsidRPr="0099117D" w14:paraId="1D337C90" w14:textId="77777777" w:rsidTr="0099117D">
        <w:trPr>
          <w:jc w:val="center"/>
        </w:trPr>
        <w:tc>
          <w:tcPr>
            <w:tcW w:w="1176" w:type="dxa"/>
          </w:tcPr>
          <w:p w14:paraId="4F163946" w14:textId="161FA8B5" w:rsidR="00F73609" w:rsidRPr="0099117D" w:rsidRDefault="0079303B"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74</w:t>
            </w:r>
          </w:p>
        </w:tc>
        <w:tc>
          <w:tcPr>
            <w:tcW w:w="1470" w:type="dxa"/>
          </w:tcPr>
          <w:p w14:paraId="22A00A9F" w14:textId="12A41CE0" w:rsidR="00F73609" w:rsidRPr="0099117D" w:rsidRDefault="00B910E6"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w:t>
            </w:r>
            <w:r w:rsidR="00E16753" w:rsidRPr="0099117D">
              <w:rPr>
                <w:rFonts w:ascii="Times New Roman" w:hAnsi="Times New Roman" w:cs="Times New Roman"/>
                <w:b/>
                <w:bCs/>
                <w:sz w:val="24"/>
                <w:szCs w:val="24"/>
              </w:rPr>
              <w:t>27.7.</w:t>
            </w:r>
          </w:p>
        </w:tc>
        <w:tc>
          <w:tcPr>
            <w:tcW w:w="8206" w:type="dxa"/>
          </w:tcPr>
          <w:p w14:paraId="70C44795" w14:textId="2678E367" w:rsidR="00F73609" w:rsidRPr="0099117D" w:rsidRDefault="00B910E6" w:rsidP="00C47E50">
            <w:pPr>
              <w:tabs>
                <w:tab w:val="left" w:pos="993"/>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sz w:val="24"/>
                <w:szCs w:val="24"/>
                <w:lang w:eastAsia="lt-LT"/>
              </w:rPr>
              <w:t xml:space="preserve">Aprašo 5.27.7 papunktyje nurodytas Aprašo 5 priedas, tačiau tokio priedo nėra. Prašome parengti 5.27.7 papunktyje minimą MTEP </w:t>
            </w:r>
            <w:proofErr w:type="spellStart"/>
            <w:r w:rsidRPr="0099117D">
              <w:rPr>
                <w:rFonts w:ascii="Times New Roman" w:eastAsia="Times New Roman" w:hAnsi="Times New Roman" w:cs="Times New Roman"/>
                <w:sz w:val="24"/>
                <w:szCs w:val="24"/>
                <w:lang w:eastAsia="lt-LT"/>
              </w:rPr>
              <w:t>paprojekčio</w:t>
            </w:r>
            <w:proofErr w:type="spellEnd"/>
            <w:r w:rsidRPr="0099117D">
              <w:rPr>
                <w:rFonts w:ascii="Times New Roman" w:eastAsia="Times New Roman" w:hAnsi="Times New Roman" w:cs="Times New Roman"/>
                <w:sz w:val="24"/>
                <w:szCs w:val="24"/>
                <w:lang w:eastAsia="lt-LT"/>
              </w:rPr>
              <w:t xml:space="preserve"> biudžeto lentelės formą.</w:t>
            </w:r>
          </w:p>
        </w:tc>
        <w:tc>
          <w:tcPr>
            <w:tcW w:w="4203" w:type="dxa"/>
          </w:tcPr>
          <w:p w14:paraId="34FB0675" w14:textId="6E4380D7" w:rsidR="00F73609" w:rsidRPr="0099117D" w:rsidRDefault="5BCF1C9A" w:rsidP="00C47E50">
            <w:pPr>
              <w:jc w:val="both"/>
              <w:rPr>
                <w:rFonts w:ascii="Times New Roman" w:hAnsi="Times New Roman" w:cs="Times New Roman"/>
                <w:sz w:val="24"/>
                <w:szCs w:val="24"/>
              </w:rPr>
            </w:pPr>
            <w:r w:rsidRPr="0099117D">
              <w:rPr>
                <w:rFonts w:ascii="Times New Roman" w:hAnsi="Times New Roman" w:cs="Times New Roman"/>
                <w:sz w:val="24"/>
                <w:szCs w:val="24"/>
              </w:rPr>
              <w:t>Atsižvelgta. Bus parengta ir pridėta tvirtinant PFSA.</w:t>
            </w:r>
          </w:p>
        </w:tc>
      </w:tr>
      <w:tr w:rsidR="00F73609" w:rsidRPr="0099117D" w14:paraId="0E74372D" w14:textId="77777777" w:rsidTr="0099117D">
        <w:trPr>
          <w:jc w:val="center"/>
        </w:trPr>
        <w:tc>
          <w:tcPr>
            <w:tcW w:w="1176" w:type="dxa"/>
          </w:tcPr>
          <w:p w14:paraId="5B3E73C8" w14:textId="56FC3BFA" w:rsidR="00F73609" w:rsidRPr="0099117D" w:rsidRDefault="00061C30"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75</w:t>
            </w:r>
          </w:p>
        </w:tc>
        <w:tc>
          <w:tcPr>
            <w:tcW w:w="1470" w:type="dxa"/>
          </w:tcPr>
          <w:p w14:paraId="05ECA6D6" w14:textId="1478A46F" w:rsidR="00F73609" w:rsidRPr="0099117D" w:rsidRDefault="002D27E4"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5.27.8</w:t>
            </w:r>
            <w:r w:rsidR="009431B1" w:rsidRPr="0099117D">
              <w:rPr>
                <w:rFonts w:ascii="Times New Roman" w:hAnsi="Times New Roman" w:cs="Times New Roman"/>
                <w:b/>
                <w:bCs/>
                <w:sz w:val="24"/>
                <w:szCs w:val="24"/>
              </w:rPr>
              <w:t>.</w:t>
            </w:r>
          </w:p>
        </w:tc>
        <w:tc>
          <w:tcPr>
            <w:tcW w:w="8206" w:type="dxa"/>
          </w:tcPr>
          <w:p w14:paraId="62C917C9" w14:textId="76912F93" w:rsidR="00F73609" w:rsidRPr="0099117D" w:rsidRDefault="002D27E4" w:rsidP="00C47E50">
            <w:pPr>
              <w:tabs>
                <w:tab w:val="left" w:pos="993"/>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sz w:val="24"/>
                <w:szCs w:val="24"/>
                <w:lang w:eastAsia="lt-LT"/>
              </w:rPr>
              <w:t>Aprašo 5.27.8 papunktyje nurodytas Aprašo 6 priedas, tačiau tokio priedo nėra. Prašome parengti 5.27.7 papunktyje minimą 5.27.8 papunktyje Pažymos formą.</w:t>
            </w:r>
          </w:p>
        </w:tc>
        <w:tc>
          <w:tcPr>
            <w:tcW w:w="4203" w:type="dxa"/>
          </w:tcPr>
          <w:p w14:paraId="57A27520" w14:textId="09A791C3" w:rsidR="00F73609"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sz w:val="24"/>
                <w:szCs w:val="24"/>
              </w:rPr>
              <w:t>Atsižvelgta. Bus parengta ir pridėta tvirtinant PFSA.</w:t>
            </w:r>
          </w:p>
        </w:tc>
      </w:tr>
      <w:tr w:rsidR="00F73609" w:rsidRPr="0099117D" w14:paraId="78193D4E" w14:textId="77777777" w:rsidTr="0099117D">
        <w:trPr>
          <w:jc w:val="center"/>
        </w:trPr>
        <w:tc>
          <w:tcPr>
            <w:tcW w:w="1176" w:type="dxa"/>
          </w:tcPr>
          <w:p w14:paraId="1B757811" w14:textId="546C1B05" w:rsidR="00F73609" w:rsidRPr="0099117D" w:rsidRDefault="009431B1"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76</w:t>
            </w:r>
          </w:p>
        </w:tc>
        <w:tc>
          <w:tcPr>
            <w:tcW w:w="1470" w:type="dxa"/>
          </w:tcPr>
          <w:p w14:paraId="048BD8EE" w14:textId="6987CFA1" w:rsidR="00F73609" w:rsidRPr="0099117D" w:rsidRDefault="00BC1B33" w:rsidP="00C47E50">
            <w:pPr>
              <w:jc w:val="center"/>
              <w:rPr>
                <w:rFonts w:ascii="Times New Roman" w:hAnsi="Times New Roman" w:cs="Times New Roman"/>
                <w:b/>
                <w:bCs/>
                <w:sz w:val="24"/>
                <w:szCs w:val="24"/>
              </w:rPr>
            </w:pPr>
            <w:r w:rsidRPr="0099117D">
              <w:rPr>
                <w:rFonts w:ascii="Times New Roman" w:hAnsi="Times New Roman" w:cs="Times New Roman"/>
                <w:b/>
                <w:bCs/>
                <w:sz w:val="24"/>
                <w:szCs w:val="24"/>
              </w:rPr>
              <w:t>12.3-</w:t>
            </w:r>
            <w:r w:rsidR="00752522" w:rsidRPr="0099117D">
              <w:rPr>
                <w:rFonts w:ascii="Times New Roman" w:hAnsi="Times New Roman" w:cs="Times New Roman"/>
                <w:b/>
                <w:bCs/>
                <w:sz w:val="24"/>
                <w:szCs w:val="24"/>
              </w:rPr>
              <w:t>8.2</w:t>
            </w:r>
          </w:p>
        </w:tc>
        <w:tc>
          <w:tcPr>
            <w:tcW w:w="8206" w:type="dxa"/>
          </w:tcPr>
          <w:p w14:paraId="040DD125" w14:textId="2A9F50BA" w:rsidR="00F73609" w:rsidRPr="0099117D" w:rsidRDefault="00BC1B33" w:rsidP="00C47E50">
            <w:pPr>
              <w:tabs>
                <w:tab w:val="left" w:pos="993"/>
              </w:tabs>
              <w:jc w:val="both"/>
              <w:textAlignment w:val="baseline"/>
              <w:rPr>
                <w:rFonts w:ascii="Times New Roman" w:hAnsi="Times New Roman" w:cs="Times New Roman"/>
                <w:b/>
                <w:bCs/>
                <w:sz w:val="24"/>
                <w:szCs w:val="24"/>
              </w:rPr>
            </w:pPr>
            <w:r w:rsidRPr="0099117D">
              <w:rPr>
                <w:rFonts w:ascii="Times New Roman" w:eastAsia="Times New Roman" w:hAnsi="Times New Roman" w:cs="Times New Roman"/>
                <w:sz w:val="24"/>
                <w:szCs w:val="24"/>
                <w:lang w:eastAsia="lt-LT"/>
              </w:rPr>
              <w:t>Aprašo 12.3 papunkčio „Kriterijai ir jų vertinimo aspektai“ lentelėje prie vertinimo metodo „8.2 Turimos licencinės sutartys“ nurodyta, kad &lt;&lt;...</w:t>
            </w:r>
            <w:r w:rsidRPr="0099117D">
              <w:rPr>
                <w:rFonts w:ascii="Times New Roman" w:hAnsi="Times New Roman" w:cs="Times New Roman"/>
                <w:sz w:val="24"/>
                <w:szCs w:val="24"/>
              </w:rPr>
              <w:t xml:space="preserve"> </w:t>
            </w:r>
            <w:r w:rsidRPr="0099117D">
              <w:rPr>
                <w:rFonts w:ascii="Times New Roman" w:eastAsia="Times New Roman" w:hAnsi="Times New Roman" w:cs="Times New Roman"/>
                <w:sz w:val="24"/>
                <w:szCs w:val="24"/>
                <w:lang w:eastAsia="lt-LT"/>
              </w:rPr>
              <w:t xml:space="preserve">Vertinamos turimos geriausios licencinės sutartys, sudarytos ne anksčiau, nei prieš 5 (penkis) metus iki PĮP pateikimo, projekto tematikoje arba Misijos temoje (ne daugiau </w:t>
            </w:r>
            <w:r w:rsidRPr="0099117D">
              <w:rPr>
                <w:rFonts w:ascii="Times New Roman" w:eastAsia="Times New Roman" w:hAnsi="Times New Roman" w:cs="Times New Roman"/>
                <w:b/>
                <w:bCs/>
                <w:sz w:val="24"/>
                <w:szCs w:val="24"/>
                <w:u w:val="single"/>
                <w:lang w:eastAsia="lt-LT"/>
              </w:rPr>
              <w:t>nei 7</w:t>
            </w:r>
            <w:r w:rsidRPr="0099117D">
              <w:rPr>
                <w:rFonts w:ascii="Times New Roman" w:eastAsia="Times New Roman" w:hAnsi="Times New Roman" w:cs="Times New Roman"/>
                <w:sz w:val="24"/>
                <w:szCs w:val="24"/>
                <w:lang w:eastAsia="lt-LT"/>
              </w:rPr>
              <w:t>) &gt;&gt;. Tačiau vertinamų licencinių sutarčių skaičiaus dydis, kuris nurodytas Aprašo 4 priedo Informacijos, reikalingos projekto atitikčiai projektų atrankos kriterijams ir išlaidų tinkamumui įvertinti, pateikimo lentelėje 3.2 papunktyje, yra kitoks ir skiriasi. Šioje vietoje pateikiama, kad  &lt;&lt;...</w:t>
            </w:r>
            <w:r w:rsidRPr="0099117D">
              <w:rPr>
                <w:rFonts w:ascii="Times New Roman" w:hAnsi="Times New Roman" w:cs="Times New Roman"/>
                <w:sz w:val="24"/>
                <w:szCs w:val="24"/>
              </w:rPr>
              <w:t xml:space="preserve"> </w:t>
            </w:r>
            <w:r w:rsidRPr="0099117D">
              <w:rPr>
                <w:rFonts w:ascii="Times New Roman" w:eastAsia="Times New Roman" w:hAnsi="Times New Roman" w:cs="Times New Roman"/>
                <w:sz w:val="24"/>
                <w:szCs w:val="24"/>
                <w:lang w:eastAsia="lt-LT"/>
              </w:rPr>
              <w:t xml:space="preserve">nurodomos ne daugiau </w:t>
            </w:r>
            <w:r w:rsidRPr="0099117D">
              <w:rPr>
                <w:rFonts w:ascii="Times New Roman" w:eastAsia="Times New Roman" w:hAnsi="Times New Roman" w:cs="Times New Roman"/>
                <w:b/>
                <w:bCs/>
                <w:sz w:val="24"/>
                <w:szCs w:val="24"/>
                <w:u w:val="single"/>
                <w:lang w:eastAsia="lt-LT"/>
              </w:rPr>
              <w:t>nei 5</w:t>
            </w:r>
            <w:r w:rsidRPr="0099117D">
              <w:rPr>
                <w:rFonts w:ascii="Times New Roman" w:eastAsia="Times New Roman" w:hAnsi="Times New Roman" w:cs="Times New Roman"/>
                <w:sz w:val="24"/>
                <w:szCs w:val="24"/>
                <w:lang w:eastAsia="lt-LT"/>
              </w:rPr>
              <w:t xml:space="preserve"> projekto tematiką arba Misijos temą atitinkančios licencinės sutartys, sudarytos ne anksčiau nei prieš 5 metų nuo PĮP pateikimo dienos&gt;&gt;. Atsižvelgiant į tai, prašome suvienodinti Apraše pateikiamą informaciją dėl vertinamų licencinių sutarčių skaičiaus. </w:t>
            </w:r>
          </w:p>
        </w:tc>
        <w:tc>
          <w:tcPr>
            <w:tcW w:w="4203" w:type="dxa"/>
          </w:tcPr>
          <w:p w14:paraId="211D3223" w14:textId="137CCD9A" w:rsidR="00F73609" w:rsidRPr="0099117D" w:rsidRDefault="5BCF1C9A" w:rsidP="00C47E50">
            <w:pPr>
              <w:jc w:val="both"/>
              <w:rPr>
                <w:rFonts w:ascii="Times New Roman" w:hAnsi="Times New Roman" w:cs="Times New Roman"/>
                <w:b/>
                <w:bCs/>
                <w:sz w:val="24"/>
                <w:szCs w:val="24"/>
              </w:rPr>
            </w:pPr>
            <w:r w:rsidRPr="0099117D">
              <w:rPr>
                <w:rFonts w:ascii="Times New Roman" w:hAnsi="Times New Roman" w:cs="Times New Roman"/>
                <w:sz w:val="24"/>
                <w:szCs w:val="24"/>
              </w:rPr>
              <w:t>Atsižvelgta. Informacija suvienodinta.</w:t>
            </w:r>
          </w:p>
        </w:tc>
      </w:tr>
    </w:tbl>
    <w:p w14:paraId="6D10C09B" w14:textId="77777777" w:rsidR="00DF41E3" w:rsidRPr="0099117D" w:rsidRDefault="00DF41E3" w:rsidP="00C47E50">
      <w:pPr>
        <w:spacing w:after="0" w:line="240" w:lineRule="auto"/>
        <w:jc w:val="both"/>
        <w:rPr>
          <w:rFonts w:ascii="Times New Roman" w:hAnsi="Times New Roman" w:cs="Times New Roman"/>
          <w:bCs/>
          <w:color w:val="000000"/>
          <w:sz w:val="24"/>
          <w:szCs w:val="24"/>
        </w:rPr>
      </w:pPr>
    </w:p>
    <w:sectPr w:rsidR="00DF41E3" w:rsidRPr="0099117D" w:rsidSect="00247D1F">
      <w:headerReference w:type="default" r:id="rId13"/>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2137" w14:textId="77777777" w:rsidR="009B6CB1" w:rsidRDefault="009B6CB1" w:rsidP="0076205C">
      <w:pPr>
        <w:spacing w:after="0" w:line="240" w:lineRule="auto"/>
      </w:pPr>
      <w:r>
        <w:separator/>
      </w:r>
    </w:p>
  </w:endnote>
  <w:endnote w:type="continuationSeparator" w:id="0">
    <w:p w14:paraId="51167F8F" w14:textId="77777777" w:rsidR="009B6CB1" w:rsidRDefault="009B6CB1" w:rsidP="0076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0DD2" w14:textId="77777777" w:rsidR="009B6CB1" w:rsidRDefault="009B6CB1" w:rsidP="0076205C">
      <w:pPr>
        <w:spacing w:after="0" w:line="240" w:lineRule="auto"/>
      </w:pPr>
      <w:r>
        <w:separator/>
      </w:r>
    </w:p>
  </w:footnote>
  <w:footnote w:type="continuationSeparator" w:id="0">
    <w:p w14:paraId="5A8D7C14" w14:textId="77777777" w:rsidR="009B6CB1" w:rsidRDefault="009B6CB1" w:rsidP="0076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971449"/>
      <w:docPartObj>
        <w:docPartGallery w:val="Page Numbers (Top of Page)"/>
        <w:docPartUnique/>
      </w:docPartObj>
    </w:sdtPr>
    <w:sdtContent>
      <w:p w14:paraId="007F0EC9" w14:textId="7F8A282B" w:rsidR="00247D1F" w:rsidRDefault="00247D1F">
        <w:pPr>
          <w:pStyle w:val="Antrats"/>
          <w:jc w:val="center"/>
        </w:pPr>
        <w:r>
          <w:fldChar w:fldCharType="begin"/>
        </w:r>
        <w:r>
          <w:instrText>PAGE   \* MERGEFORMAT</w:instrText>
        </w:r>
        <w:r>
          <w:fldChar w:fldCharType="separate"/>
        </w:r>
        <w:r>
          <w:t>2</w:t>
        </w:r>
        <w:r>
          <w:fldChar w:fldCharType="end"/>
        </w:r>
      </w:p>
    </w:sdtContent>
  </w:sdt>
  <w:p w14:paraId="1C0192EC" w14:textId="77777777" w:rsidR="00247D1F" w:rsidRDefault="00247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64CA2"/>
    <w:multiLevelType w:val="hybridMultilevel"/>
    <w:tmpl w:val="1F3A7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2C19C3"/>
    <w:multiLevelType w:val="hybridMultilevel"/>
    <w:tmpl w:val="12E09FB2"/>
    <w:lvl w:ilvl="0" w:tplc="FC26CA8C">
      <w:start w:val="1"/>
      <w:numFmt w:val="decimal"/>
      <w:lvlText w:val="%1."/>
      <w:lvlJc w:val="left"/>
      <w:pPr>
        <w:ind w:left="720" w:hanging="360"/>
      </w:pPr>
      <w:rPr>
        <w:rFonts w:ascii="Times New Roman" w:hAnsi="Times New Roman" w:cs="Times New Roman" w:hint="default"/>
        <w:b w:val="0"/>
        <w:bCs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7FC3BAB"/>
    <w:multiLevelType w:val="hybridMultilevel"/>
    <w:tmpl w:val="769E008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941997"/>
    <w:multiLevelType w:val="hybridMultilevel"/>
    <w:tmpl w:val="D57C9C3E"/>
    <w:lvl w:ilvl="0" w:tplc="5EB493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C1B33D2"/>
    <w:multiLevelType w:val="hybridMultilevel"/>
    <w:tmpl w:val="3F1A3E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D110EB"/>
    <w:multiLevelType w:val="hybridMultilevel"/>
    <w:tmpl w:val="20BE6EEA"/>
    <w:lvl w:ilvl="0" w:tplc="F5986D2E">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0D67713"/>
    <w:multiLevelType w:val="hybridMultilevel"/>
    <w:tmpl w:val="5A608C24"/>
    <w:lvl w:ilvl="0" w:tplc="F65E13A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39734A"/>
    <w:multiLevelType w:val="hybridMultilevel"/>
    <w:tmpl w:val="F0DA6ADA"/>
    <w:lvl w:ilvl="0" w:tplc="B172D8C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6629FE"/>
    <w:multiLevelType w:val="multilevel"/>
    <w:tmpl w:val="2C0C0FD6"/>
    <w:lvl w:ilvl="0">
      <w:start w:val="1"/>
      <w:numFmt w:val="lowerLetter"/>
      <w:lvlText w:val="%1)"/>
      <w:lvlJc w:val="left"/>
      <w:pPr>
        <w:tabs>
          <w:tab w:val="num" w:pos="720"/>
        </w:tabs>
        <w:ind w:left="720" w:hanging="360"/>
      </w:pPr>
      <w:rPr>
        <w:rFonts w:ascii="Gotham Book" w:eastAsia="Times New Roman" w:hAnsi="Gotham Book"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37C28"/>
    <w:multiLevelType w:val="hybridMultilevel"/>
    <w:tmpl w:val="8728AE1C"/>
    <w:lvl w:ilvl="0" w:tplc="B9103A6A">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5182290"/>
    <w:multiLevelType w:val="multilevel"/>
    <w:tmpl w:val="703A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413779"/>
    <w:multiLevelType w:val="hybridMultilevel"/>
    <w:tmpl w:val="4EB4D8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AC65870"/>
    <w:multiLevelType w:val="hybridMultilevel"/>
    <w:tmpl w:val="95DA78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30152910">
    <w:abstractNumId w:val="3"/>
  </w:num>
  <w:num w:numId="2" w16cid:durableId="1668628868">
    <w:abstractNumId w:val="7"/>
  </w:num>
  <w:num w:numId="3" w16cid:durableId="311955518">
    <w:abstractNumId w:val="5"/>
  </w:num>
  <w:num w:numId="4" w16cid:durableId="1952318658">
    <w:abstractNumId w:val="9"/>
  </w:num>
  <w:num w:numId="5" w16cid:durableId="146361740">
    <w:abstractNumId w:val="2"/>
  </w:num>
  <w:num w:numId="6" w16cid:durableId="723797003">
    <w:abstractNumId w:val="0"/>
  </w:num>
  <w:num w:numId="7" w16cid:durableId="794057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2827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6597280">
    <w:abstractNumId w:val="11"/>
  </w:num>
  <w:num w:numId="10" w16cid:durableId="516582509">
    <w:abstractNumId w:val="8"/>
  </w:num>
  <w:num w:numId="11" w16cid:durableId="2034723883">
    <w:abstractNumId w:val="10"/>
  </w:num>
  <w:num w:numId="12" w16cid:durableId="200825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8753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9760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F6"/>
    <w:rsid w:val="00001AA3"/>
    <w:rsid w:val="00002DDE"/>
    <w:rsid w:val="00003AD8"/>
    <w:rsid w:val="00003D24"/>
    <w:rsid w:val="00004AD3"/>
    <w:rsid w:val="00004F17"/>
    <w:rsid w:val="000064C7"/>
    <w:rsid w:val="0001072A"/>
    <w:rsid w:val="000127B6"/>
    <w:rsid w:val="00013DE1"/>
    <w:rsid w:val="00015300"/>
    <w:rsid w:val="00015E3D"/>
    <w:rsid w:val="0001743F"/>
    <w:rsid w:val="00022D88"/>
    <w:rsid w:val="0002402F"/>
    <w:rsid w:val="00026DE1"/>
    <w:rsid w:val="000315DF"/>
    <w:rsid w:val="000355E3"/>
    <w:rsid w:val="00035D9D"/>
    <w:rsid w:val="000379A0"/>
    <w:rsid w:val="0004353F"/>
    <w:rsid w:val="00047AF9"/>
    <w:rsid w:val="000541C3"/>
    <w:rsid w:val="00056F02"/>
    <w:rsid w:val="00057477"/>
    <w:rsid w:val="00057FCC"/>
    <w:rsid w:val="00061C30"/>
    <w:rsid w:val="000637C9"/>
    <w:rsid w:val="00067137"/>
    <w:rsid w:val="000703BF"/>
    <w:rsid w:val="0007108A"/>
    <w:rsid w:val="000711F1"/>
    <w:rsid w:val="0007490D"/>
    <w:rsid w:val="00076293"/>
    <w:rsid w:val="00077F7F"/>
    <w:rsid w:val="00083735"/>
    <w:rsid w:val="00083D08"/>
    <w:rsid w:val="00092D3E"/>
    <w:rsid w:val="000A089B"/>
    <w:rsid w:val="000A2CEF"/>
    <w:rsid w:val="000A394B"/>
    <w:rsid w:val="000A5791"/>
    <w:rsid w:val="000A5FFA"/>
    <w:rsid w:val="000A60CB"/>
    <w:rsid w:val="000A717B"/>
    <w:rsid w:val="000B0262"/>
    <w:rsid w:val="000B0DBA"/>
    <w:rsid w:val="000B0E6D"/>
    <w:rsid w:val="000B0FF8"/>
    <w:rsid w:val="000B34CE"/>
    <w:rsid w:val="000B3DC3"/>
    <w:rsid w:val="000B6AA1"/>
    <w:rsid w:val="000C0348"/>
    <w:rsid w:val="000C4062"/>
    <w:rsid w:val="000C5336"/>
    <w:rsid w:val="000D1011"/>
    <w:rsid w:val="000D48C6"/>
    <w:rsid w:val="000D48F1"/>
    <w:rsid w:val="000E0A3E"/>
    <w:rsid w:val="000E4C2B"/>
    <w:rsid w:val="000E6E92"/>
    <w:rsid w:val="000E75AF"/>
    <w:rsid w:val="000F10B8"/>
    <w:rsid w:val="000F14E1"/>
    <w:rsid w:val="000F1E34"/>
    <w:rsid w:val="000F4053"/>
    <w:rsid w:val="000F4E89"/>
    <w:rsid w:val="000F78A6"/>
    <w:rsid w:val="000F7921"/>
    <w:rsid w:val="001002F7"/>
    <w:rsid w:val="00102D2D"/>
    <w:rsid w:val="00103FD0"/>
    <w:rsid w:val="0011080F"/>
    <w:rsid w:val="001201B3"/>
    <w:rsid w:val="00121339"/>
    <w:rsid w:val="00127689"/>
    <w:rsid w:val="00135311"/>
    <w:rsid w:val="00140797"/>
    <w:rsid w:val="00140C86"/>
    <w:rsid w:val="001410E1"/>
    <w:rsid w:val="00142467"/>
    <w:rsid w:val="00150EA3"/>
    <w:rsid w:val="00157B1A"/>
    <w:rsid w:val="001611FF"/>
    <w:rsid w:val="00161F6C"/>
    <w:rsid w:val="00163360"/>
    <w:rsid w:val="00166359"/>
    <w:rsid w:val="001669FC"/>
    <w:rsid w:val="001711D5"/>
    <w:rsid w:val="00174FE7"/>
    <w:rsid w:val="001772F9"/>
    <w:rsid w:val="00182C29"/>
    <w:rsid w:val="00182DB8"/>
    <w:rsid w:val="00183C9C"/>
    <w:rsid w:val="0019184B"/>
    <w:rsid w:val="001926FE"/>
    <w:rsid w:val="00194006"/>
    <w:rsid w:val="001947D4"/>
    <w:rsid w:val="00195557"/>
    <w:rsid w:val="00195C03"/>
    <w:rsid w:val="001A1070"/>
    <w:rsid w:val="001A40CD"/>
    <w:rsid w:val="001A6527"/>
    <w:rsid w:val="001A66D0"/>
    <w:rsid w:val="001B28ED"/>
    <w:rsid w:val="001B3D7A"/>
    <w:rsid w:val="001B3DD5"/>
    <w:rsid w:val="001B4E2A"/>
    <w:rsid w:val="001B6B19"/>
    <w:rsid w:val="001C2E2F"/>
    <w:rsid w:val="001C7A2C"/>
    <w:rsid w:val="001D0894"/>
    <w:rsid w:val="001D0A12"/>
    <w:rsid w:val="001D10BE"/>
    <w:rsid w:val="001D25F2"/>
    <w:rsid w:val="001D3A20"/>
    <w:rsid w:val="001E0B67"/>
    <w:rsid w:val="001E284F"/>
    <w:rsid w:val="001F04FC"/>
    <w:rsid w:val="001F4C89"/>
    <w:rsid w:val="001F52A5"/>
    <w:rsid w:val="001F64A0"/>
    <w:rsid w:val="002018F5"/>
    <w:rsid w:val="00203FEB"/>
    <w:rsid w:val="00204145"/>
    <w:rsid w:val="002043F7"/>
    <w:rsid w:val="00210936"/>
    <w:rsid w:val="00211410"/>
    <w:rsid w:val="00220D0F"/>
    <w:rsid w:val="0022554D"/>
    <w:rsid w:val="002308E5"/>
    <w:rsid w:val="00232945"/>
    <w:rsid w:val="002368E7"/>
    <w:rsid w:val="00236CB8"/>
    <w:rsid w:val="00240BFF"/>
    <w:rsid w:val="002429C4"/>
    <w:rsid w:val="002439BF"/>
    <w:rsid w:val="00247D1F"/>
    <w:rsid w:val="00251D95"/>
    <w:rsid w:val="00252304"/>
    <w:rsid w:val="00255625"/>
    <w:rsid w:val="00265BF7"/>
    <w:rsid w:val="002734A0"/>
    <w:rsid w:val="00273B4D"/>
    <w:rsid w:val="002774C8"/>
    <w:rsid w:val="00277ED9"/>
    <w:rsid w:val="00281A1E"/>
    <w:rsid w:val="002822BD"/>
    <w:rsid w:val="00285F49"/>
    <w:rsid w:val="0028706B"/>
    <w:rsid w:val="002949D5"/>
    <w:rsid w:val="00297305"/>
    <w:rsid w:val="002A0743"/>
    <w:rsid w:val="002A0C41"/>
    <w:rsid w:val="002A2266"/>
    <w:rsid w:val="002A464B"/>
    <w:rsid w:val="002A5B33"/>
    <w:rsid w:val="002A5DB4"/>
    <w:rsid w:val="002B02BD"/>
    <w:rsid w:val="002B1414"/>
    <w:rsid w:val="002B60F9"/>
    <w:rsid w:val="002B7AA9"/>
    <w:rsid w:val="002C1190"/>
    <w:rsid w:val="002C2247"/>
    <w:rsid w:val="002C260C"/>
    <w:rsid w:val="002C38B4"/>
    <w:rsid w:val="002C5D03"/>
    <w:rsid w:val="002C6E32"/>
    <w:rsid w:val="002D0851"/>
    <w:rsid w:val="002D27E4"/>
    <w:rsid w:val="002D3B8D"/>
    <w:rsid w:val="002D3FB5"/>
    <w:rsid w:val="002D692E"/>
    <w:rsid w:val="002D6B1F"/>
    <w:rsid w:val="002E0AF2"/>
    <w:rsid w:val="002E4460"/>
    <w:rsid w:val="002E4ACA"/>
    <w:rsid w:val="002E4ADB"/>
    <w:rsid w:val="002E5644"/>
    <w:rsid w:val="002E75A1"/>
    <w:rsid w:val="002F2DAE"/>
    <w:rsid w:val="002F3344"/>
    <w:rsid w:val="002F3568"/>
    <w:rsid w:val="002F4818"/>
    <w:rsid w:val="00300F36"/>
    <w:rsid w:val="0030278E"/>
    <w:rsid w:val="00305095"/>
    <w:rsid w:val="003063A5"/>
    <w:rsid w:val="00306972"/>
    <w:rsid w:val="003071D5"/>
    <w:rsid w:val="00307AFA"/>
    <w:rsid w:val="0031016F"/>
    <w:rsid w:val="003107B4"/>
    <w:rsid w:val="00312D83"/>
    <w:rsid w:val="0031580F"/>
    <w:rsid w:val="00316F5F"/>
    <w:rsid w:val="003201BB"/>
    <w:rsid w:val="00320358"/>
    <w:rsid w:val="00326B47"/>
    <w:rsid w:val="003271CF"/>
    <w:rsid w:val="00327B78"/>
    <w:rsid w:val="003315ED"/>
    <w:rsid w:val="00333746"/>
    <w:rsid w:val="00337259"/>
    <w:rsid w:val="0033729B"/>
    <w:rsid w:val="003376DB"/>
    <w:rsid w:val="00337EE5"/>
    <w:rsid w:val="00341501"/>
    <w:rsid w:val="003415C0"/>
    <w:rsid w:val="0034217B"/>
    <w:rsid w:val="003433A2"/>
    <w:rsid w:val="003436D4"/>
    <w:rsid w:val="003437B3"/>
    <w:rsid w:val="00344053"/>
    <w:rsid w:val="00347814"/>
    <w:rsid w:val="00351490"/>
    <w:rsid w:val="00351755"/>
    <w:rsid w:val="003518A0"/>
    <w:rsid w:val="003522CE"/>
    <w:rsid w:val="00353AC2"/>
    <w:rsid w:val="0035697B"/>
    <w:rsid w:val="00357A28"/>
    <w:rsid w:val="00360113"/>
    <w:rsid w:val="003601AE"/>
    <w:rsid w:val="00360A3F"/>
    <w:rsid w:val="0036512B"/>
    <w:rsid w:val="00365F21"/>
    <w:rsid w:val="00367D5A"/>
    <w:rsid w:val="00371A2A"/>
    <w:rsid w:val="00373353"/>
    <w:rsid w:val="00373CE6"/>
    <w:rsid w:val="00377B56"/>
    <w:rsid w:val="00380A4C"/>
    <w:rsid w:val="0038315F"/>
    <w:rsid w:val="003831B3"/>
    <w:rsid w:val="00385B29"/>
    <w:rsid w:val="003879F7"/>
    <w:rsid w:val="00390291"/>
    <w:rsid w:val="00390B63"/>
    <w:rsid w:val="00392332"/>
    <w:rsid w:val="003961B6"/>
    <w:rsid w:val="003A13B9"/>
    <w:rsid w:val="003A280B"/>
    <w:rsid w:val="003A2A61"/>
    <w:rsid w:val="003A363D"/>
    <w:rsid w:val="003A4FB2"/>
    <w:rsid w:val="003A5C62"/>
    <w:rsid w:val="003B049C"/>
    <w:rsid w:val="003B1652"/>
    <w:rsid w:val="003B2C2E"/>
    <w:rsid w:val="003B38B5"/>
    <w:rsid w:val="003C4EB6"/>
    <w:rsid w:val="003D0B51"/>
    <w:rsid w:val="003D1485"/>
    <w:rsid w:val="003D2511"/>
    <w:rsid w:val="003D29C7"/>
    <w:rsid w:val="003E2C38"/>
    <w:rsid w:val="003E30A9"/>
    <w:rsid w:val="003E6486"/>
    <w:rsid w:val="003E6DB6"/>
    <w:rsid w:val="003F0282"/>
    <w:rsid w:val="003F1823"/>
    <w:rsid w:val="003F2E31"/>
    <w:rsid w:val="003F43B9"/>
    <w:rsid w:val="003F440B"/>
    <w:rsid w:val="003F462F"/>
    <w:rsid w:val="00404DDA"/>
    <w:rsid w:val="00404F1A"/>
    <w:rsid w:val="00413651"/>
    <w:rsid w:val="004141DB"/>
    <w:rsid w:val="00422372"/>
    <w:rsid w:val="004235CA"/>
    <w:rsid w:val="0042651F"/>
    <w:rsid w:val="00426E64"/>
    <w:rsid w:val="004313AC"/>
    <w:rsid w:val="00436999"/>
    <w:rsid w:val="00437878"/>
    <w:rsid w:val="00440310"/>
    <w:rsid w:val="004412DF"/>
    <w:rsid w:val="00444C09"/>
    <w:rsid w:val="0044570D"/>
    <w:rsid w:val="004506D7"/>
    <w:rsid w:val="00451055"/>
    <w:rsid w:val="00451960"/>
    <w:rsid w:val="004521DD"/>
    <w:rsid w:val="00453E30"/>
    <w:rsid w:val="00454D4B"/>
    <w:rsid w:val="00455797"/>
    <w:rsid w:val="00464039"/>
    <w:rsid w:val="0046676A"/>
    <w:rsid w:val="00472622"/>
    <w:rsid w:val="00473B3C"/>
    <w:rsid w:val="00475CD9"/>
    <w:rsid w:val="0048072D"/>
    <w:rsid w:val="004834B2"/>
    <w:rsid w:val="004858D4"/>
    <w:rsid w:val="0048689C"/>
    <w:rsid w:val="00486FFD"/>
    <w:rsid w:val="004958E8"/>
    <w:rsid w:val="004A31FB"/>
    <w:rsid w:val="004A7C7F"/>
    <w:rsid w:val="004B0055"/>
    <w:rsid w:val="004B12E8"/>
    <w:rsid w:val="004B1F54"/>
    <w:rsid w:val="004B2437"/>
    <w:rsid w:val="004B76B7"/>
    <w:rsid w:val="004D2DA7"/>
    <w:rsid w:val="004D2F78"/>
    <w:rsid w:val="004E0AC1"/>
    <w:rsid w:val="004E55BA"/>
    <w:rsid w:val="004E6411"/>
    <w:rsid w:val="004E7F65"/>
    <w:rsid w:val="004F0AB2"/>
    <w:rsid w:val="004F2CDD"/>
    <w:rsid w:val="004F5CDB"/>
    <w:rsid w:val="004F66AA"/>
    <w:rsid w:val="00500053"/>
    <w:rsid w:val="005028C3"/>
    <w:rsid w:val="00504DA7"/>
    <w:rsid w:val="0051033B"/>
    <w:rsid w:val="005111AF"/>
    <w:rsid w:val="005111D1"/>
    <w:rsid w:val="0051545F"/>
    <w:rsid w:val="0052271E"/>
    <w:rsid w:val="0052347D"/>
    <w:rsid w:val="00536AD3"/>
    <w:rsid w:val="0053737E"/>
    <w:rsid w:val="0054086A"/>
    <w:rsid w:val="0054160B"/>
    <w:rsid w:val="00544BE8"/>
    <w:rsid w:val="00546C3B"/>
    <w:rsid w:val="00552AC6"/>
    <w:rsid w:val="005542F6"/>
    <w:rsid w:val="00555616"/>
    <w:rsid w:val="0055662B"/>
    <w:rsid w:val="0056250E"/>
    <w:rsid w:val="00566354"/>
    <w:rsid w:val="00566BB1"/>
    <w:rsid w:val="00571A0A"/>
    <w:rsid w:val="00571A53"/>
    <w:rsid w:val="005731A2"/>
    <w:rsid w:val="00573F9D"/>
    <w:rsid w:val="0057530F"/>
    <w:rsid w:val="00575477"/>
    <w:rsid w:val="00580417"/>
    <w:rsid w:val="00581428"/>
    <w:rsid w:val="00583B15"/>
    <w:rsid w:val="005859AB"/>
    <w:rsid w:val="00585EDC"/>
    <w:rsid w:val="00586879"/>
    <w:rsid w:val="005875BB"/>
    <w:rsid w:val="00587B51"/>
    <w:rsid w:val="005A575C"/>
    <w:rsid w:val="005A6146"/>
    <w:rsid w:val="005A74F7"/>
    <w:rsid w:val="005B2DE1"/>
    <w:rsid w:val="005C2DA6"/>
    <w:rsid w:val="005C3A9B"/>
    <w:rsid w:val="005C6477"/>
    <w:rsid w:val="005D14BB"/>
    <w:rsid w:val="005D1A9E"/>
    <w:rsid w:val="005D39F9"/>
    <w:rsid w:val="005D4FC0"/>
    <w:rsid w:val="005D697A"/>
    <w:rsid w:val="005E04B7"/>
    <w:rsid w:val="005E4889"/>
    <w:rsid w:val="005E72AF"/>
    <w:rsid w:val="005F607B"/>
    <w:rsid w:val="0060120D"/>
    <w:rsid w:val="00601447"/>
    <w:rsid w:val="006020B8"/>
    <w:rsid w:val="00606CEC"/>
    <w:rsid w:val="00606D10"/>
    <w:rsid w:val="006073B2"/>
    <w:rsid w:val="00614AE5"/>
    <w:rsid w:val="0062082E"/>
    <w:rsid w:val="006237BF"/>
    <w:rsid w:val="00626BF7"/>
    <w:rsid w:val="00626C5D"/>
    <w:rsid w:val="00626E54"/>
    <w:rsid w:val="00630CE5"/>
    <w:rsid w:val="00634CD4"/>
    <w:rsid w:val="00635527"/>
    <w:rsid w:val="00636293"/>
    <w:rsid w:val="006366C5"/>
    <w:rsid w:val="00640384"/>
    <w:rsid w:val="00640BBB"/>
    <w:rsid w:val="00640C4C"/>
    <w:rsid w:val="00643178"/>
    <w:rsid w:val="00643D17"/>
    <w:rsid w:val="00643DC4"/>
    <w:rsid w:val="00650D24"/>
    <w:rsid w:val="006527F5"/>
    <w:rsid w:val="0065608A"/>
    <w:rsid w:val="00656F69"/>
    <w:rsid w:val="00657296"/>
    <w:rsid w:val="00665E22"/>
    <w:rsid w:val="00665F84"/>
    <w:rsid w:val="006660C2"/>
    <w:rsid w:val="006665DE"/>
    <w:rsid w:val="00666CB7"/>
    <w:rsid w:val="00672CF9"/>
    <w:rsid w:val="00677132"/>
    <w:rsid w:val="00677148"/>
    <w:rsid w:val="00680F68"/>
    <w:rsid w:val="006827F4"/>
    <w:rsid w:val="00682897"/>
    <w:rsid w:val="006851F3"/>
    <w:rsid w:val="00685B33"/>
    <w:rsid w:val="0069067A"/>
    <w:rsid w:val="006910D3"/>
    <w:rsid w:val="00693DC7"/>
    <w:rsid w:val="0069798D"/>
    <w:rsid w:val="006A393B"/>
    <w:rsid w:val="006A5A95"/>
    <w:rsid w:val="006A69CD"/>
    <w:rsid w:val="006A7085"/>
    <w:rsid w:val="006B2257"/>
    <w:rsid w:val="006B2EE7"/>
    <w:rsid w:val="006B4277"/>
    <w:rsid w:val="006C1515"/>
    <w:rsid w:val="006C239B"/>
    <w:rsid w:val="006C3CC9"/>
    <w:rsid w:val="006C4B3F"/>
    <w:rsid w:val="006C65DB"/>
    <w:rsid w:val="006D3D9A"/>
    <w:rsid w:val="006E0668"/>
    <w:rsid w:val="006E0A68"/>
    <w:rsid w:val="006E1A3C"/>
    <w:rsid w:val="006E2093"/>
    <w:rsid w:val="006E273D"/>
    <w:rsid w:val="006E2A70"/>
    <w:rsid w:val="006E371A"/>
    <w:rsid w:val="006E4D57"/>
    <w:rsid w:val="006E4F66"/>
    <w:rsid w:val="006E6AA4"/>
    <w:rsid w:val="006F29FB"/>
    <w:rsid w:val="006F30DA"/>
    <w:rsid w:val="006F3B09"/>
    <w:rsid w:val="006F49C7"/>
    <w:rsid w:val="006F4E26"/>
    <w:rsid w:val="006F7EAC"/>
    <w:rsid w:val="00701D10"/>
    <w:rsid w:val="00701F1E"/>
    <w:rsid w:val="0070426D"/>
    <w:rsid w:val="00705531"/>
    <w:rsid w:val="00705FFC"/>
    <w:rsid w:val="00706C0A"/>
    <w:rsid w:val="0071032B"/>
    <w:rsid w:val="00710949"/>
    <w:rsid w:val="00711E03"/>
    <w:rsid w:val="007152D8"/>
    <w:rsid w:val="007159DE"/>
    <w:rsid w:val="00721275"/>
    <w:rsid w:val="007225C2"/>
    <w:rsid w:val="0072389F"/>
    <w:rsid w:val="0072474D"/>
    <w:rsid w:val="00724BCD"/>
    <w:rsid w:val="00731548"/>
    <w:rsid w:val="007318A4"/>
    <w:rsid w:val="00732B21"/>
    <w:rsid w:val="00737661"/>
    <w:rsid w:val="00741942"/>
    <w:rsid w:val="00744189"/>
    <w:rsid w:val="00746FE8"/>
    <w:rsid w:val="00752522"/>
    <w:rsid w:val="00757F4F"/>
    <w:rsid w:val="00761431"/>
    <w:rsid w:val="007619C8"/>
    <w:rsid w:val="0076205C"/>
    <w:rsid w:val="00765FE6"/>
    <w:rsid w:val="007711DC"/>
    <w:rsid w:val="00773DF3"/>
    <w:rsid w:val="00787BA8"/>
    <w:rsid w:val="00791752"/>
    <w:rsid w:val="0079303B"/>
    <w:rsid w:val="00795705"/>
    <w:rsid w:val="007972C8"/>
    <w:rsid w:val="007A3A82"/>
    <w:rsid w:val="007A5C4D"/>
    <w:rsid w:val="007A6F7B"/>
    <w:rsid w:val="007A75D0"/>
    <w:rsid w:val="007B3B52"/>
    <w:rsid w:val="007B49F8"/>
    <w:rsid w:val="007B5A88"/>
    <w:rsid w:val="007B6981"/>
    <w:rsid w:val="007B78D0"/>
    <w:rsid w:val="007C03A0"/>
    <w:rsid w:val="007C1C7F"/>
    <w:rsid w:val="007C1F8D"/>
    <w:rsid w:val="007C2305"/>
    <w:rsid w:val="007C4E41"/>
    <w:rsid w:val="007C6524"/>
    <w:rsid w:val="007C6953"/>
    <w:rsid w:val="007C784C"/>
    <w:rsid w:val="007D066D"/>
    <w:rsid w:val="007D0E98"/>
    <w:rsid w:val="007D35D0"/>
    <w:rsid w:val="007D3F57"/>
    <w:rsid w:val="007D429A"/>
    <w:rsid w:val="007E6DE5"/>
    <w:rsid w:val="007E71FC"/>
    <w:rsid w:val="007F2CFF"/>
    <w:rsid w:val="007F5D08"/>
    <w:rsid w:val="007F681F"/>
    <w:rsid w:val="007F7E95"/>
    <w:rsid w:val="0080010A"/>
    <w:rsid w:val="008005B1"/>
    <w:rsid w:val="00804A6A"/>
    <w:rsid w:val="00804B2D"/>
    <w:rsid w:val="00810D79"/>
    <w:rsid w:val="008161B0"/>
    <w:rsid w:val="008210BC"/>
    <w:rsid w:val="00822847"/>
    <w:rsid w:val="00827CDA"/>
    <w:rsid w:val="00832D71"/>
    <w:rsid w:val="008374F1"/>
    <w:rsid w:val="008405A5"/>
    <w:rsid w:val="00842024"/>
    <w:rsid w:val="00842F64"/>
    <w:rsid w:val="00843A84"/>
    <w:rsid w:val="008450B0"/>
    <w:rsid w:val="00845A40"/>
    <w:rsid w:val="00846423"/>
    <w:rsid w:val="008479EC"/>
    <w:rsid w:val="00850C83"/>
    <w:rsid w:val="008523CC"/>
    <w:rsid w:val="00854264"/>
    <w:rsid w:val="008542F4"/>
    <w:rsid w:val="008559BE"/>
    <w:rsid w:val="00857B0D"/>
    <w:rsid w:val="0086401E"/>
    <w:rsid w:val="00865F45"/>
    <w:rsid w:val="0086691C"/>
    <w:rsid w:val="00866A3B"/>
    <w:rsid w:val="0086766A"/>
    <w:rsid w:val="0087257B"/>
    <w:rsid w:val="008728F6"/>
    <w:rsid w:val="00874FD0"/>
    <w:rsid w:val="0087723A"/>
    <w:rsid w:val="00882DB0"/>
    <w:rsid w:val="00882E80"/>
    <w:rsid w:val="00885A10"/>
    <w:rsid w:val="0089019C"/>
    <w:rsid w:val="008A372B"/>
    <w:rsid w:val="008A6BA5"/>
    <w:rsid w:val="008A7EFD"/>
    <w:rsid w:val="008B000F"/>
    <w:rsid w:val="008B11E1"/>
    <w:rsid w:val="008B1A57"/>
    <w:rsid w:val="008B280B"/>
    <w:rsid w:val="008B48A4"/>
    <w:rsid w:val="008B6E99"/>
    <w:rsid w:val="008C4F01"/>
    <w:rsid w:val="008C76F2"/>
    <w:rsid w:val="008D05E3"/>
    <w:rsid w:val="008D1E8D"/>
    <w:rsid w:val="008D43D0"/>
    <w:rsid w:val="008D670B"/>
    <w:rsid w:val="008E0DAC"/>
    <w:rsid w:val="008E15C8"/>
    <w:rsid w:val="008E24DC"/>
    <w:rsid w:val="008E29E6"/>
    <w:rsid w:val="008E7002"/>
    <w:rsid w:val="008F30D3"/>
    <w:rsid w:val="008F5CD2"/>
    <w:rsid w:val="008F66F2"/>
    <w:rsid w:val="00900F6F"/>
    <w:rsid w:val="00902E97"/>
    <w:rsid w:val="00903CB4"/>
    <w:rsid w:val="0090629B"/>
    <w:rsid w:val="00912630"/>
    <w:rsid w:val="00912AC4"/>
    <w:rsid w:val="00913D28"/>
    <w:rsid w:val="00915A46"/>
    <w:rsid w:val="009167D2"/>
    <w:rsid w:val="009169B7"/>
    <w:rsid w:val="00916D18"/>
    <w:rsid w:val="009219C4"/>
    <w:rsid w:val="0092204A"/>
    <w:rsid w:val="009223D5"/>
    <w:rsid w:val="0092246F"/>
    <w:rsid w:val="00925873"/>
    <w:rsid w:val="00925B84"/>
    <w:rsid w:val="00925C3F"/>
    <w:rsid w:val="00926369"/>
    <w:rsid w:val="00926938"/>
    <w:rsid w:val="00926B77"/>
    <w:rsid w:val="00927290"/>
    <w:rsid w:val="00930B9E"/>
    <w:rsid w:val="00931C81"/>
    <w:rsid w:val="0093207D"/>
    <w:rsid w:val="00934815"/>
    <w:rsid w:val="00934F1D"/>
    <w:rsid w:val="0093575D"/>
    <w:rsid w:val="00937F6B"/>
    <w:rsid w:val="00941BCE"/>
    <w:rsid w:val="009431B1"/>
    <w:rsid w:val="0094336A"/>
    <w:rsid w:val="00944316"/>
    <w:rsid w:val="00945FB6"/>
    <w:rsid w:val="009465EC"/>
    <w:rsid w:val="009467C9"/>
    <w:rsid w:val="00950682"/>
    <w:rsid w:val="00952612"/>
    <w:rsid w:val="009528E9"/>
    <w:rsid w:val="00956ECD"/>
    <w:rsid w:val="009572B0"/>
    <w:rsid w:val="00960C07"/>
    <w:rsid w:val="0096146E"/>
    <w:rsid w:val="00961D58"/>
    <w:rsid w:val="0096214A"/>
    <w:rsid w:val="009648F9"/>
    <w:rsid w:val="009650F2"/>
    <w:rsid w:val="009662A0"/>
    <w:rsid w:val="0096636C"/>
    <w:rsid w:val="00966CC2"/>
    <w:rsid w:val="00967487"/>
    <w:rsid w:val="00970A04"/>
    <w:rsid w:val="00974125"/>
    <w:rsid w:val="009849CA"/>
    <w:rsid w:val="0099117D"/>
    <w:rsid w:val="009932AF"/>
    <w:rsid w:val="0099740E"/>
    <w:rsid w:val="009A1574"/>
    <w:rsid w:val="009A22B3"/>
    <w:rsid w:val="009B0316"/>
    <w:rsid w:val="009B16B5"/>
    <w:rsid w:val="009B3403"/>
    <w:rsid w:val="009B575B"/>
    <w:rsid w:val="009B6CB1"/>
    <w:rsid w:val="009C508F"/>
    <w:rsid w:val="009D09A1"/>
    <w:rsid w:val="009D29D3"/>
    <w:rsid w:val="009D32B9"/>
    <w:rsid w:val="009D7541"/>
    <w:rsid w:val="009D7762"/>
    <w:rsid w:val="009E5251"/>
    <w:rsid w:val="009E6922"/>
    <w:rsid w:val="009E695D"/>
    <w:rsid w:val="009F00DF"/>
    <w:rsid w:val="009F55D8"/>
    <w:rsid w:val="009F709F"/>
    <w:rsid w:val="009F7FE0"/>
    <w:rsid w:val="00A1075A"/>
    <w:rsid w:val="00A126C6"/>
    <w:rsid w:val="00A15674"/>
    <w:rsid w:val="00A15839"/>
    <w:rsid w:val="00A227BE"/>
    <w:rsid w:val="00A2586C"/>
    <w:rsid w:val="00A34ADE"/>
    <w:rsid w:val="00A35705"/>
    <w:rsid w:val="00A37F2D"/>
    <w:rsid w:val="00A40341"/>
    <w:rsid w:val="00A413F2"/>
    <w:rsid w:val="00A432E1"/>
    <w:rsid w:val="00A43A0D"/>
    <w:rsid w:val="00A45E18"/>
    <w:rsid w:val="00A4697D"/>
    <w:rsid w:val="00A469DE"/>
    <w:rsid w:val="00A47B6C"/>
    <w:rsid w:val="00A526E3"/>
    <w:rsid w:val="00A5313B"/>
    <w:rsid w:val="00A55113"/>
    <w:rsid w:val="00A56883"/>
    <w:rsid w:val="00A57660"/>
    <w:rsid w:val="00A6201B"/>
    <w:rsid w:val="00A62A27"/>
    <w:rsid w:val="00A62DAC"/>
    <w:rsid w:val="00A64A6A"/>
    <w:rsid w:val="00A72616"/>
    <w:rsid w:val="00A7778C"/>
    <w:rsid w:val="00A801C8"/>
    <w:rsid w:val="00A818D3"/>
    <w:rsid w:val="00A81DA2"/>
    <w:rsid w:val="00A82003"/>
    <w:rsid w:val="00A82503"/>
    <w:rsid w:val="00A84684"/>
    <w:rsid w:val="00A86253"/>
    <w:rsid w:val="00A91A8A"/>
    <w:rsid w:val="00A96677"/>
    <w:rsid w:val="00A96D5E"/>
    <w:rsid w:val="00AA3296"/>
    <w:rsid w:val="00AA32E4"/>
    <w:rsid w:val="00AA46DD"/>
    <w:rsid w:val="00AB0F68"/>
    <w:rsid w:val="00AB3158"/>
    <w:rsid w:val="00AB6152"/>
    <w:rsid w:val="00AB788E"/>
    <w:rsid w:val="00AB78C4"/>
    <w:rsid w:val="00AC2488"/>
    <w:rsid w:val="00AC5F5E"/>
    <w:rsid w:val="00AD0128"/>
    <w:rsid w:val="00AD360B"/>
    <w:rsid w:val="00AD40BD"/>
    <w:rsid w:val="00AD4859"/>
    <w:rsid w:val="00AE3040"/>
    <w:rsid w:val="00AE32E5"/>
    <w:rsid w:val="00AE551A"/>
    <w:rsid w:val="00AE6F9D"/>
    <w:rsid w:val="00B04680"/>
    <w:rsid w:val="00B077DB"/>
    <w:rsid w:val="00B115AF"/>
    <w:rsid w:val="00B12037"/>
    <w:rsid w:val="00B15427"/>
    <w:rsid w:val="00B16C64"/>
    <w:rsid w:val="00B176B5"/>
    <w:rsid w:val="00B210D0"/>
    <w:rsid w:val="00B25D09"/>
    <w:rsid w:val="00B27893"/>
    <w:rsid w:val="00B27AE9"/>
    <w:rsid w:val="00B332AC"/>
    <w:rsid w:val="00B35134"/>
    <w:rsid w:val="00B3704B"/>
    <w:rsid w:val="00B41725"/>
    <w:rsid w:val="00B42A6B"/>
    <w:rsid w:val="00B43B6C"/>
    <w:rsid w:val="00B4504D"/>
    <w:rsid w:val="00B46B08"/>
    <w:rsid w:val="00B5007F"/>
    <w:rsid w:val="00B53E28"/>
    <w:rsid w:val="00B55684"/>
    <w:rsid w:val="00B56889"/>
    <w:rsid w:val="00B62D73"/>
    <w:rsid w:val="00B6471F"/>
    <w:rsid w:val="00B65B75"/>
    <w:rsid w:val="00B6788A"/>
    <w:rsid w:val="00B70261"/>
    <w:rsid w:val="00B75D26"/>
    <w:rsid w:val="00B766A1"/>
    <w:rsid w:val="00B76BAC"/>
    <w:rsid w:val="00B8006B"/>
    <w:rsid w:val="00B81813"/>
    <w:rsid w:val="00B8391C"/>
    <w:rsid w:val="00B83F1B"/>
    <w:rsid w:val="00B873B0"/>
    <w:rsid w:val="00B907B1"/>
    <w:rsid w:val="00B910E6"/>
    <w:rsid w:val="00B92144"/>
    <w:rsid w:val="00B9249C"/>
    <w:rsid w:val="00B92AD6"/>
    <w:rsid w:val="00B93317"/>
    <w:rsid w:val="00B9378D"/>
    <w:rsid w:val="00B93D64"/>
    <w:rsid w:val="00BA5414"/>
    <w:rsid w:val="00BB17FE"/>
    <w:rsid w:val="00BB36C7"/>
    <w:rsid w:val="00BB388F"/>
    <w:rsid w:val="00BB5F2A"/>
    <w:rsid w:val="00BB6BF0"/>
    <w:rsid w:val="00BB743A"/>
    <w:rsid w:val="00BC1B33"/>
    <w:rsid w:val="00BC3FD9"/>
    <w:rsid w:val="00BC5285"/>
    <w:rsid w:val="00BC5354"/>
    <w:rsid w:val="00BC641B"/>
    <w:rsid w:val="00BC728F"/>
    <w:rsid w:val="00BC79FC"/>
    <w:rsid w:val="00BD5268"/>
    <w:rsid w:val="00BD6C1D"/>
    <w:rsid w:val="00BD79F7"/>
    <w:rsid w:val="00BE0C7A"/>
    <w:rsid w:val="00BE23D7"/>
    <w:rsid w:val="00BE2DAF"/>
    <w:rsid w:val="00BE3073"/>
    <w:rsid w:val="00BE3E5E"/>
    <w:rsid w:val="00BF238A"/>
    <w:rsid w:val="00BF3AAB"/>
    <w:rsid w:val="00BF3CD0"/>
    <w:rsid w:val="00BF738B"/>
    <w:rsid w:val="00BF788A"/>
    <w:rsid w:val="00C005AC"/>
    <w:rsid w:val="00C02067"/>
    <w:rsid w:val="00C02301"/>
    <w:rsid w:val="00C02633"/>
    <w:rsid w:val="00C04258"/>
    <w:rsid w:val="00C07A1F"/>
    <w:rsid w:val="00C10CE3"/>
    <w:rsid w:val="00C14AE9"/>
    <w:rsid w:val="00C175CC"/>
    <w:rsid w:val="00C231CE"/>
    <w:rsid w:val="00C235DD"/>
    <w:rsid w:val="00C2408E"/>
    <w:rsid w:val="00C275CB"/>
    <w:rsid w:val="00C31905"/>
    <w:rsid w:val="00C321AA"/>
    <w:rsid w:val="00C32889"/>
    <w:rsid w:val="00C349BB"/>
    <w:rsid w:val="00C35287"/>
    <w:rsid w:val="00C361C3"/>
    <w:rsid w:val="00C45412"/>
    <w:rsid w:val="00C45ABE"/>
    <w:rsid w:val="00C46446"/>
    <w:rsid w:val="00C47E50"/>
    <w:rsid w:val="00C50109"/>
    <w:rsid w:val="00C5269E"/>
    <w:rsid w:val="00C5421E"/>
    <w:rsid w:val="00C54DF4"/>
    <w:rsid w:val="00C564DA"/>
    <w:rsid w:val="00C569BD"/>
    <w:rsid w:val="00C62E3B"/>
    <w:rsid w:val="00C646D7"/>
    <w:rsid w:val="00C67CC3"/>
    <w:rsid w:val="00C70DDE"/>
    <w:rsid w:val="00C77798"/>
    <w:rsid w:val="00C80F55"/>
    <w:rsid w:val="00C94CD9"/>
    <w:rsid w:val="00C97351"/>
    <w:rsid w:val="00CA10DD"/>
    <w:rsid w:val="00CA2E19"/>
    <w:rsid w:val="00CA65D1"/>
    <w:rsid w:val="00CA68E1"/>
    <w:rsid w:val="00CA6CCC"/>
    <w:rsid w:val="00CA7325"/>
    <w:rsid w:val="00CB2C27"/>
    <w:rsid w:val="00CB3F76"/>
    <w:rsid w:val="00CB5B49"/>
    <w:rsid w:val="00CB5DC1"/>
    <w:rsid w:val="00CB6D9F"/>
    <w:rsid w:val="00CC02F8"/>
    <w:rsid w:val="00CC1EBB"/>
    <w:rsid w:val="00CC1F06"/>
    <w:rsid w:val="00CC37F1"/>
    <w:rsid w:val="00CC4C6C"/>
    <w:rsid w:val="00CD0904"/>
    <w:rsid w:val="00CD2BEB"/>
    <w:rsid w:val="00CD2E52"/>
    <w:rsid w:val="00CD65C6"/>
    <w:rsid w:val="00CE1EA2"/>
    <w:rsid w:val="00CE4556"/>
    <w:rsid w:val="00CF3D9D"/>
    <w:rsid w:val="00D01752"/>
    <w:rsid w:val="00D019D7"/>
    <w:rsid w:val="00D02D06"/>
    <w:rsid w:val="00D0402C"/>
    <w:rsid w:val="00D07962"/>
    <w:rsid w:val="00D107B2"/>
    <w:rsid w:val="00D11F65"/>
    <w:rsid w:val="00D1401E"/>
    <w:rsid w:val="00D173F0"/>
    <w:rsid w:val="00D200AB"/>
    <w:rsid w:val="00D202DB"/>
    <w:rsid w:val="00D23565"/>
    <w:rsid w:val="00D24313"/>
    <w:rsid w:val="00D33F92"/>
    <w:rsid w:val="00D34225"/>
    <w:rsid w:val="00D35443"/>
    <w:rsid w:val="00D36BED"/>
    <w:rsid w:val="00D441A6"/>
    <w:rsid w:val="00D44A22"/>
    <w:rsid w:val="00D44FCF"/>
    <w:rsid w:val="00D53616"/>
    <w:rsid w:val="00D53C13"/>
    <w:rsid w:val="00D568CD"/>
    <w:rsid w:val="00D57417"/>
    <w:rsid w:val="00D615CD"/>
    <w:rsid w:val="00D638C1"/>
    <w:rsid w:val="00D63AAE"/>
    <w:rsid w:val="00D646EC"/>
    <w:rsid w:val="00D65237"/>
    <w:rsid w:val="00D70324"/>
    <w:rsid w:val="00D70BE9"/>
    <w:rsid w:val="00D75C1F"/>
    <w:rsid w:val="00D760D7"/>
    <w:rsid w:val="00D76373"/>
    <w:rsid w:val="00D81F59"/>
    <w:rsid w:val="00D840EB"/>
    <w:rsid w:val="00D84A71"/>
    <w:rsid w:val="00D86D78"/>
    <w:rsid w:val="00D86F98"/>
    <w:rsid w:val="00D92353"/>
    <w:rsid w:val="00D94627"/>
    <w:rsid w:val="00D971B1"/>
    <w:rsid w:val="00D972AF"/>
    <w:rsid w:val="00DA32E1"/>
    <w:rsid w:val="00DA65C5"/>
    <w:rsid w:val="00DB0E68"/>
    <w:rsid w:val="00DB16FA"/>
    <w:rsid w:val="00DB7F7A"/>
    <w:rsid w:val="00DC52C9"/>
    <w:rsid w:val="00DC75DF"/>
    <w:rsid w:val="00DD0144"/>
    <w:rsid w:val="00DE0759"/>
    <w:rsid w:val="00DE0F13"/>
    <w:rsid w:val="00DE5369"/>
    <w:rsid w:val="00DE796F"/>
    <w:rsid w:val="00DF2FB4"/>
    <w:rsid w:val="00DF40CC"/>
    <w:rsid w:val="00DF41E3"/>
    <w:rsid w:val="00DF5FD0"/>
    <w:rsid w:val="00DF6C91"/>
    <w:rsid w:val="00DF774B"/>
    <w:rsid w:val="00DF79A4"/>
    <w:rsid w:val="00E02416"/>
    <w:rsid w:val="00E06734"/>
    <w:rsid w:val="00E071B9"/>
    <w:rsid w:val="00E11301"/>
    <w:rsid w:val="00E11FFD"/>
    <w:rsid w:val="00E16753"/>
    <w:rsid w:val="00E22A5A"/>
    <w:rsid w:val="00E231FE"/>
    <w:rsid w:val="00E24E20"/>
    <w:rsid w:val="00E25B89"/>
    <w:rsid w:val="00E31E58"/>
    <w:rsid w:val="00E33761"/>
    <w:rsid w:val="00E36542"/>
    <w:rsid w:val="00E366FE"/>
    <w:rsid w:val="00E36CF8"/>
    <w:rsid w:val="00E3761B"/>
    <w:rsid w:val="00E41E7D"/>
    <w:rsid w:val="00E428D9"/>
    <w:rsid w:val="00E439AE"/>
    <w:rsid w:val="00E52F7D"/>
    <w:rsid w:val="00E54731"/>
    <w:rsid w:val="00E616C7"/>
    <w:rsid w:val="00E6263A"/>
    <w:rsid w:val="00E70D91"/>
    <w:rsid w:val="00E72212"/>
    <w:rsid w:val="00E723C9"/>
    <w:rsid w:val="00E76085"/>
    <w:rsid w:val="00E82157"/>
    <w:rsid w:val="00E82663"/>
    <w:rsid w:val="00E839CF"/>
    <w:rsid w:val="00E917AE"/>
    <w:rsid w:val="00E952EB"/>
    <w:rsid w:val="00E974F7"/>
    <w:rsid w:val="00E97514"/>
    <w:rsid w:val="00EA02EE"/>
    <w:rsid w:val="00EA1B6B"/>
    <w:rsid w:val="00EA3825"/>
    <w:rsid w:val="00EA4410"/>
    <w:rsid w:val="00EA4491"/>
    <w:rsid w:val="00EB02CC"/>
    <w:rsid w:val="00EB333E"/>
    <w:rsid w:val="00EB3C92"/>
    <w:rsid w:val="00EB3CEF"/>
    <w:rsid w:val="00EB4F32"/>
    <w:rsid w:val="00EB571D"/>
    <w:rsid w:val="00EB68CE"/>
    <w:rsid w:val="00EC2421"/>
    <w:rsid w:val="00EC4783"/>
    <w:rsid w:val="00EC5201"/>
    <w:rsid w:val="00EC7C30"/>
    <w:rsid w:val="00ED2F0F"/>
    <w:rsid w:val="00ED3E1D"/>
    <w:rsid w:val="00ED4961"/>
    <w:rsid w:val="00ED5713"/>
    <w:rsid w:val="00ED7970"/>
    <w:rsid w:val="00ED7B21"/>
    <w:rsid w:val="00EE0E03"/>
    <w:rsid w:val="00EE10F5"/>
    <w:rsid w:val="00EE3215"/>
    <w:rsid w:val="00EE5023"/>
    <w:rsid w:val="00EE6DE8"/>
    <w:rsid w:val="00EF30EC"/>
    <w:rsid w:val="00EF47BF"/>
    <w:rsid w:val="00EF53C1"/>
    <w:rsid w:val="00EF7E3C"/>
    <w:rsid w:val="00F066D3"/>
    <w:rsid w:val="00F126CE"/>
    <w:rsid w:val="00F23A47"/>
    <w:rsid w:val="00F24294"/>
    <w:rsid w:val="00F27EF6"/>
    <w:rsid w:val="00F3139D"/>
    <w:rsid w:val="00F41E47"/>
    <w:rsid w:val="00F45219"/>
    <w:rsid w:val="00F51995"/>
    <w:rsid w:val="00F525E1"/>
    <w:rsid w:val="00F53D9A"/>
    <w:rsid w:val="00F53DCD"/>
    <w:rsid w:val="00F54A36"/>
    <w:rsid w:val="00F61110"/>
    <w:rsid w:val="00F61222"/>
    <w:rsid w:val="00F646D3"/>
    <w:rsid w:val="00F658FD"/>
    <w:rsid w:val="00F67DA3"/>
    <w:rsid w:val="00F70037"/>
    <w:rsid w:val="00F70186"/>
    <w:rsid w:val="00F705F6"/>
    <w:rsid w:val="00F70862"/>
    <w:rsid w:val="00F72C05"/>
    <w:rsid w:val="00F73609"/>
    <w:rsid w:val="00F76C81"/>
    <w:rsid w:val="00F8181E"/>
    <w:rsid w:val="00F8244D"/>
    <w:rsid w:val="00F831FC"/>
    <w:rsid w:val="00F855A7"/>
    <w:rsid w:val="00F864F6"/>
    <w:rsid w:val="00F866E5"/>
    <w:rsid w:val="00F87F3B"/>
    <w:rsid w:val="00F91E5A"/>
    <w:rsid w:val="00F922D3"/>
    <w:rsid w:val="00F92DA9"/>
    <w:rsid w:val="00F9651D"/>
    <w:rsid w:val="00FA5693"/>
    <w:rsid w:val="00FA583B"/>
    <w:rsid w:val="00FA6199"/>
    <w:rsid w:val="00FB0296"/>
    <w:rsid w:val="00FB2ACD"/>
    <w:rsid w:val="00FB4702"/>
    <w:rsid w:val="00FB4A6C"/>
    <w:rsid w:val="00FB5223"/>
    <w:rsid w:val="00FB5419"/>
    <w:rsid w:val="00FB753A"/>
    <w:rsid w:val="00FC27EB"/>
    <w:rsid w:val="00FC4D0A"/>
    <w:rsid w:val="00FC4FFA"/>
    <w:rsid w:val="00FD098D"/>
    <w:rsid w:val="00FD1425"/>
    <w:rsid w:val="00FD2CB9"/>
    <w:rsid w:val="00FD6B1C"/>
    <w:rsid w:val="00FD73C4"/>
    <w:rsid w:val="00FD780A"/>
    <w:rsid w:val="00FE04C2"/>
    <w:rsid w:val="00FE0F7B"/>
    <w:rsid w:val="00FE1798"/>
    <w:rsid w:val="00FE2CE0"/>
    <w:rsid w:val="00FE75DD"/>
    <w:rsid w:val="00FE7E11"/>
    <w:rsid w:val="00FF25E6"/>
    <w:rsid w:val="00FF3025"/>
    <w:rsid w:val="00FF318F"/>
    <w:rsid w:val="5BCF1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4C1B"/>
  <w15:chartTrackingRefBased/>
  <w15:docId w15:val="{B2FC90B6-14CE-4020-A1BF-C30CA8D9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FB54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1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76205C"/>
    <w:pPr>
      <w:spacing w:after="0" w:line="240" w:lineRule="auto"/>
    </w:pPr>
    <w:rPr>
      <w:kern w:val="2"/>
      <w:sz w:val="20"/>
      <w:szCs w:val="20"/>
      <w14:ligatures w14:val="standardContextual"/>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qFormat/>
    <w:rsid w:val="0076205C"/>
    <w:rPr>
      <w:kern w:val="2"/>
      <w:sz w:val="20"/>
      <w:szCs w:val="20"/>
      <w14:ligatures w14:val="standardContextual"/>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76205C"/>
    <w:rPr>
      <w:vertAlign w:val="superscript"/>
    </w:rPr>
  </w:style>
  <w:style w:type="character" w:styleId="Hipersaitas">
    <w:name w:val="Hyperlink"/>
    <w:basedOn w:val="Numatytasispastraiposriftas"/>
    <w:uiPriority w:val="99"/>
    <w:unhideWhenUsed/>
    <w:rsid w:val="0076205C"/>
    <w:rPr>
      <w:color w:val="0563C1" w:themeColor="hyperlink"/>
      <w:u w:val="single"/>
    </w:rPr>
  </w:style>
  <w:style w:type="paragraph" w:styleId="Sraopastraipa">
    <w:name w:val="List Paragraph"/>
    <w:aliases w:val="SC Bullet point"/>
    <w:basedOn w:val="prastasis"/>
    <w:uiPriority w:val="34"/>
    <w:qFormat/>
    <w:rsid w:val="0076205C"/>
    <w:pPr>
      <w:ind w:left="720"/>
      <w:contextualSpacing/>
    </w:pPr>
    <w:rPr>
      <w:kern w:val="2"/>
      <w14:ligatures w14:val="standardContextual"/>
    </w:rPr>
  </w:style>
  <w:style w:type="character" w:styleId="Komentaronuoroda">
    <w:name w:val="annotation reference"/>
    <w:basedOn w:val="Numatytasispastraiposriftas"/>
    <w:semiHidden/>
    <w:unhideWhenUsed/>
    <w:rsid w:val="00587B51"/>
    <w:rPr>
      <w:sz w:val="16"/>
      <w:szCs w:val="16"/>
    </w:rPr>
  </w:style>
  <w:style w:type="paragraph" w:styleId="Komentarotekstas">
    <w:name w:val="annotation text"/>
    <w:basedOn w:val="prastasis"/>
    <w:link w:val="KomentarotekstasDiagrama"/>
    <w:unhideWhenUsed/>
    <w:rsid w:val="00587B5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587B51"/>
    <w:rPr>
      <w:rFonts w:ascii="Times New Roman" w:eastAsia="Times New Roman" w:hAnsi="Times New Roman" w:cs="Times New Roman"/>
      <w:sz w:val="20"/>
      <w:szCs w:val="20"/>
    </w:rPr>
  </w:style>
  <w:style w:type="character" w:customStyle="1" w:styleId="cf01">
    <w:name w:val="cf01"/>
    <w:basedOn w:val="Numatytasispastraiposriftas"/>
    <w:rsid w:val="00587B51"/>
    <w:rPr>
      <w:rFonts w:ascii="Segoe UI" w:hAnsi="Segoe UI" w:cs="Segoe UI" w:hint="default"/>
      <w:sz w:val="18"/>
      <w:szCs w:val="18"/>
    </w:rPr>
  </w:style>
  <w:style w:type="paragraph" w:customStyle="1" w:styleId="pf0">
    <w:name w:val="pf0"/>
    <w:basedOn w:val="prastasis"/>
    <w:rsid w:val="00587B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685B33"/>
    <w:rPr>
      <w:rFonts w:ascii="Segoe UI" w:hAnsi="Segoe UI" w:cs="Segoe UI" w:hint="default"/>
      <w:i/>
      <w:iCs/>
      <w:sz w:val="18"/>
      <w:szCs w:val="18"/>
    </w:rPr>
  </w:style>
  <w:style w:type="character" w:customStyle="1" w:styleId="cf31">
    <w:name w:val="cf31"/>
    <w:basedOn w:val="Numatytasispastraiposriftas"/>
    <w:rsid w:val="00685B33"/>
    <w:rPr>
      <w:rFonts w:ascii="Segoe UI" w:hAnsi="Segoe UI" w:cs="Segoe UI" w:hint="default"/>
      <w:i/>
      <w:iCs/>
      <w:sz w:val="18"/>
      <w:szCs w:val="18"/>
    </w:rPr>
  </w:style>
  <w:style w:type="paragraph" w:styleId="prastasiniatinklio">
    <w:name w:val="Normal (Web)"/>
    <w:basedOn w:val="prastasis"/>
    <w:uiPriority w:val="99"/>
    <w:unhideWhenUsed/>
    <w:rsid w:val="00BF3C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385B29"/>
    <w:rPr>
      <w:rFonts w:ascii="Segoe UI" w:hAnsi="Segoe UI" w:cs="Segoe UI" w:hint="default"/>
      <w:sz w:val="18"/>
      <w:szCs w:val="18"/>
    </w:rPr>
  </w:style>
  <w:style w:type="paragraph" w:styleId="Antrats">
    <w:name w:val="header"/>
    <w:basedOn w:val="prastasis"/>
    <w:link w:val="AntratsDiagrama"/>
    <w:uiPriority w:val="99"/>
    <w:unhideWhenUsed/>
    <w:rsid w:val="00247D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47D1F"/>
  </w:style>
  <w:style w:type="paragraph" w:styleId="Porat">
    <w:name w:val="footer"/>
    <w:basedOn w:val="prastasis"/>
    <w:link w:val="PoratDiagrama"/>
    <w:uiPriority w:val="99"/>
    <w:unhideWhenUsed/>
    <w:rsid w:val="00247D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47D1F"/>
  </w:style>
  <w:style w:type="paragraph" w:styleId="Pataisymai">
    <w:name w:val="Revision"/>
    <w:hidden/>
    <w:uiPriority w:val="99"/>
    <w:semiHidden/>
    <w:rsid w:val="006A69CD"/>
    <w:pPr>
      <w:spacing w:after="0" w:line="240" w:lineRule="auto"/>
    </w:p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6A69CD"/>
    <w:pPr>
      <w:spacing w:line="240" w:lineRule="exact"/>
    </w:pPr>
    <w:rPr>
      <w:vertAlign w:val="superscript"/>
    </w:rPr>
  </w:style>
  <w:style w:type="paragraph" w:styleId="Komentarotema">
    <w:name w:val="annotation subject"/>
    <w:basedOn w:val="Komentarotekstas"/>
    <w:next w:val="Komentarotekstas"/>
    <w:link w:val="KomentarotemaDiagrama"/>
    <w:uiPriority w:val="99"/>
    <w:semiHidden/>
    <w:unhideWhenUsed/>
    <w:rsid w:val="00EA4410"/>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A4410"/>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C175CC"/>
    <w:rPr>
      <w:b/>
      <w:bCs/>
    </w:rPr>
  </w:style>
  <w:style w:type="character" w:customStyle="1" w:styleId="ui-provider">
    <w:name w:val="ui-provider"/>
    <w:basedOn w:val="Numatytasispastraiposriftas"/>
    <w:rsid w:val="00D34225"/>
  </w:style>
  <w:style w:type="character" w:customStyle="1" w:styleId="footnotereference">
    <w:name w:val="footnotereference"/>
    <w:basedOn w:val="Numatytasispastraiposriftas"/>
    <w:rsid w:val="00FE75DD"/>
  </w:style>
  <w:style w:type="character" w:customStyle="1" w:styleId="Antrat1Diagrama">
    <w:name w:val="Antraštė 1 Diagrama"/>
    <w:basedOn w:val="Numatytasispastraiposriftas"/>
    <w:link w:val="Antrat1"/>
    <w:uiPriority w:val="9"/>
    <w:rsid w:val="00FB5419"/>
    <w:rPr>
      <w:rFonts w:ascii="Times New Roman" w:eastAsia="Times New Roman" w:hAnsi="Times New Roman" w:cs="Times New Roman"/>
      <w:b/>
      <w:bCs/>
      <w:kern w:val="36"/>
      <w:sz w:val="48"/>
      <w:szCs w:val="48"/>
      <w:lang w:eastAsia="lt-L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uiPriority w:val="99"/>
    <w:rsid w:val="00EB3C92"/>
    <w:pPr>
      <w:spacing w:line="240" w:lineRule="exact"/>
      <w:jc w:val="both"/>
    </w:pPr>
    <w:rPr>
      <w:rFonts w:ascii="Times New Roman" w:eastAsia="Times New Roman" w:hAnsi="Times New Roman" w:cs="Times New Roman"/>
      <w:sz w:val="24"/>
      <w:szCs w:val="24"/>
      <w:vertAlign w:val="superscript"/>
    </w:rPr>
  </w:style>
  <w:style w:type="paragraph" w:styleId="Betarp">
    <w:name w:val="No Spacing"/>
    <w:uiPriority w:val="1"/>
    <w:qFormat/>
    <w:rsid w:val="006979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493">
      <w:bodyDiv w:val="1"/>
      <w:marLeft w:val="0"/>
      <w:marRight w:val="0"/>
      <w:marTop w:val="0"/>
      <w:marBottom w:val="0"/>
      <w:divBdr>
        <w:top w:val="none" w:sz="0" w:space="0" w:color="auto"/>
        <w:left w:val="none" w:sz="0" w:space="0" w:color="auto"/>
        <w:bottom w:val="none" w:sz="0" w:space="0" w:color="auto"/>
        <w:right w:val="none" w:sz="0" w:space="0" w:color="auto"/>
      </w:divBdr>
    </w:div>
    <w:div w:id="12876858">
      <w:bodyDiv w:val="1"/>
      <w:marLeft w:val="0"/>
      <w:marRight w:val="0"/>
      <w:marTop w:val="0"/>
      <w:marBottom w:val="0"/>
      <w:divBdr>
        <w:top w:val="none" w:sz="0" w:space="0" w:color="auto"/>
        <w:left w:val="none" w:sz="0" w:space="0" w:color="auto"/>
        <w:bottom w:val="none" w:sz="0" w:space="0" w:color="auto"/>
        <w:right w:val="none" w:sz="0" w:space="0" w:color="auto"/>
      </w:divBdr>
    </w:div>
    <w:div w:id="54595905">
      <w:bodyDiv w:val="1"/>
      <w:marLeft w:val="0"/>
      <w:marRight w:val="0"/>
      <w:marTop w:val="0"/>
      <w:marBottom w:val="0"/>
      <w:divBdr>
        <w:top w:val="none" w:sz="0" w:space="0" w:color="auto"/>
        <w:left w:val="none" w:sz="0" w:space="0" w:color="auto"/>
        <w:bottom w:val="none" w:sz="0" w:space="0" w:color="auto"/>
        <w:right w:val="none" w:sz="0" w:space="0" w:color="auto"/>
      </w:divBdr>
    </w:div>
    <w:div w:id="58600733">
      <w:bodyDiv w:val="1"/>
      <w:marLeft w:val="0"/>
      <w:marRight w:val="0"/>
      <w:marTop w:val="0"/>
      <w:marBottom w:val="0"/>
      <w:divBdr>
        <w:top w:val="none" w:sz="0" w:space="0" w:color="auto"/>
        <w:left w:val="none" w:sz="0" w:space="0" w:color="auto"/>
        <w:bottom w:val="none" w:sz="0" w:space="0" w:color="auto"/>
        <w:right w:val="none" w:sz="0" w:space="0" w:color="auto"/>
      </w:divBdr>
    </w:div>
    <w:div w:id="116609392">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38230416">
      <w:bodyDiv w:val="1"/>
      <w:marLeft w:val="0"/>
      <w:marRight w:val="0"/>
      <w:marTop w:val="0"/>
      <w:marBottom w:val="0"/>
      <w:divBdr>
        <w:top w:val="none" w:sz="0" w:space="0" w:color="auto"/>
        <w:left w:val="none" w:sz="0" w:space="0" w:color="auto"/>
        <w:bottom w:val="none" w:sz="0" w:space="0" w:color="auto"/>
        <w:right w:val="none" w:sz="0" w:space="0" w:color="auto"/>
      </w:divBdr>
    </w:div>
    <w:div w:id="225189882">
      <w:bodyDiv w:val="1"/>
      <w:marLeft w:val="0"/>
      <w:marRight w:val="0"/>
      <w:marTop w:val="0"/>
      <w:marBottom w:val="0"/>
      <w:divBdr>
        <w:top w:val="none" w:sz="0" w:space="0" w:color="auto"/>
        <w:left w:val="none" w:sz="0" w:space="0" w:color="auto"/>
        <w:bottom w:val="none" w:sz="0" w:space="0" w:color="auto"/>
        <w:right w:val="none" w:sz="0" w:space="0" w:color="auto"/>
      </w:divBdr>
    </w:div>
    <w:div w:id="270940266">
      <w:bodyDiv w:val="1"/>
      <w:marLeft w:val="0"/>
      <w:marRight w:val="0"/>
      <w:marTop w:val="0"/>
      <w:marBottom w:val="0"/>
      <w:divBdr>
        <w:top w:val="none" w:sz="0" w:space="0" w:color="auto"/>
        <w:left w:val="none" w:sz="0" w:space="0" w:color="auto"/>
        <w:bottom w:val="none" w:sz="0" w:space="0" w:color="auto"/>
        <w:right w:val="none" w:sz="0" w:space="0" w:color="auto"/>
      </w:divBdr>
    </w:div>
    <w:div w:id="297299108">
      <w:bodyDiv w:val="1"/>
      <w:marLeft w:val="0"/>
      <w:marRight w:val="0"/>
      <w:marTop w:val="0"/>
      <w:marBottom w:val="0"/>
      <w:divBdr>
        <w:top w:val="none" w:sz="0" w:space="0" w:color="auto"/>
        <w:left w:val="none" w:sz="0" w:space="0" w:color="auto"/>
        <w:bottom w:val="none" w:sz="0" w:space="0" w:color="auto"/>
        <w:right w:val="none" w:sz="0" w:space="0" w:color="auto"/>
      </w:divBdr>
    </w:div>
    <w:div w:id="322322995">
      <w:bodyDiv w:val="1"/>
      <w:marLeft w:val="0"/>
      <w:marRight w:val="0"/>
      <w:marTop w:val="0"/>
      <w:marBottom w:val="0"/>
      <w:divBdr>
        <w:top w:val="none" w:sz="0" w:space="0" w:color="auto"/>
        <w:left w:val="none" w:sz="0" w:space="0" w:color="auto"/>
        <w:bottom w:val="none" w:sz="0" w:space="0" w:color="auto"/>
        <w:right w:val="none" w:sz="0" w:space="0" w:color="auto"/>
      </w:divBdr>
    </w:div>
    <w:div w:id="348877515">
      <w:bodyDiv w:val="1"/>
      <w:marLeft w:val="0"/>
      <w:marRight w:val="0"/>
      <w:marTop w:val="0"/>
      <w:marBottom w:val="0"/>
      <w:divBdr>
        <w:top w:val="none" w:sz="0" w:space="0" w:color="auto"/>
        <w:left w:val="none" w:sz="0" w:space="0" w:color="auto"/>
        <w:bottom w:val="none" w:sz="0" w:space="0" w:color="auto"/>
        <w:right w:val="none" w:sz="0" w:space="0" w:color="auto"/>
      </w:divBdr>
    </w:div>
    <w:div w:id="365453048">
      <w:bodyDiv w:val="1"/>
      <w:marLeft w:val="0"/>
      <w:marRight w:val="0"/>
      <w:marTop w:val="0"/>
      <w:marBottom w:val="0"/>
      <w:divBdr>
        <w:top w:val="none" w:sz="0" w:space="0" w:color="auto"/>
        <w:left w:val="none" w:sz="0" w:space="0" w:color="auto"/>
        <w:bottom w:val="none" w:sz="0" w:space="0" w:color="auto"/>
        <w:right w:val="none" w:sz="0" w:space="0" w:color="auto"/>
      </w:divBdr>
    </w:div>
    <w:div w:id="397217455">
      <w:bodyDiv w:val="1"/>
      <w:marLeft w:val="0"/>
      <w:marRight w:val="0"/>
      <w:marTop w:val="0"/>
      <w:marBottom w:val="0"/>
      <w:divBdr>
        <w:top w:val="none" w:sz="0" w:space="0" w:color="auto"/>
        <w:left w:val="none" w:sz="0" w:space="0" w:color="auto"/>
        <w:bottom w:val="none" w:sz="0" w:space="0" w:color="auto"/>
        <w:right w:val="none" w:sz="0" w:space="0" w:color="auto"/>
      </w:divBdr>
    </w:div>
    <w:div w:id="400569236">
      <w:bodyDiv w:val="1"/>
      <w:marLeft w:val="0"/>
      <w:marRight w:val="0"/>
      <w:marTop w:val="0"/>
      <w:marBottom w:val="0"/>
      <w:divBdr>
        <w:top w:val="none" w:sz="0" w:space="0" w:color="auto"/>
        <w:left w:val="none" w:sz="0" w:space="0" w:color="auto"/>
        <w:bottom w:val="none" w:sz="0" w:space="0" w:color="auto"/>
        <w:right w:val="none" w:sz="0" w:space="0" w:color="auto"/>
      </w:divBdr>
    </w:div>
    <w:div w:id="418404192">
      <w:bodyDiv w:val="1"/>
      <w:marLeft w:val="0"/>
      <w:marRight w:val="0"/>
      <w:marTop w:val="0"/>
      <w:marBottom w:val="0"/>
      <w:divBdr>
        <w:top w:val="none" w:sz="0" w:space="0" w:color="auto"/>
        <w:left w:val="none" w:sz="0" w:space="0" w:color="auto"/>
        <w:bottom w:val="none" w:sz="0" w:space="0" w:color="auto"/>
        <w:right w:val="none" w:sz="0" w:space="0" w:color="auto"/>
      </w:divBdr>
    </w:div>
    <w:div w:id="478546237">
      <w:bodyDiv w:val="1"/>
      <w:marLeft w:val="0"/>
      <w:marRight w:val="0"/>
      <w:marTop w:val="0"/>
      <w:marBottom w:val="0"/>
      <w:divBdr>
        <w:top w:val="none" w:sz="0" w:space="0" w:color="auto"/>
        <w:left w:val="none" w:sz="0" w:space="0" w:color="auto"/>
        <w:bottom w:val="none" w:sz="0" w:space="0" w:color="auto"/>
        <w:right w:val="none" w:sz="0" w:space="0" w:color="auto"/>
      </w:divBdr>
    </w:div>
    <w:div w:id="496697380">
      <w:bodyDiv w:val="1"/>
      <w:marLeft w:val="0"/>
      <w:marRight w:val="0"/>
      <w:marTop w:val="0"/>
      <w:marBottom w:val="0"/>
      <w:divBdr>
        <w:top w:val="none" w:sz="0" w:space="0" w:color="auto"/>
        <w:left w:val="none" w:sz="0" w:space="0" w:color="auto"/>
        <w:bottom w:val="none" w:sz="0" w:space="0" w:color="auto"/>
        <w:right w:val="none" w:sz="0" w:space="0" w:color="auto"/>
      </w:divBdr>
    </w:div>
    <w:div w:id="517818782">
      <w:bodyDiv w:val="1"/>
      <w:marLeft w:val="0"/>
      <w:marRight w:val="0"/>
      <w:marTop w:val="0"/>
      <w:marBottom w:val="0"/>
      <w:divBdr>
        <w:top w:val="none" w:sz="0" w:space="0" w:color="auto"/>
        <w:left w:val="none" w:sz="0" w:space="0" w:color="auto"/>
        <w:bottom w:val="none" w:sz="0" w:space="0" w:color="auto"/>
        <w:right w:val="none" w:sz="0" w:space="0" w:color="auto"/>
      </w:divBdr>
    </w:div>
    <w:div w:id="526255282">
      <w:bodyDiv w:val="1"/>
      <w:marLeft w:val="0"/>
      <w:marRight w:val="0"/>
      <w:marTop w:val="0"/>
      <w:marBottom w:val="0"/>
      <w:divBdr>
        <w:top w:val="none" w:sz="0" w:space="0" w:color="auto"/>
        <w:left w:val="none" w:sz="0" w:space="0" w:color="auto"/>
        <w:bottom w:val="none" w:sz="0" w:space="0" w:color="auto"/>
        <w:right w:val="none" w:sz="0" w:space="0" w:color="auto"/>
      </w:divBdr>
    </w:div>
    <w:div w:id="537547073">
      <w:bodyDiv w:val="1"/>
      <w:marLeft w:val="0"/>
      <w:marRight w:val="0"/>
      <w:marTop w:val="0"/>
      <w:marBottom w:val="0"/>
      <w:divBdr>
        <w:top w:val="none" w:sz="0" w:space="0" w:color="auto"/>
        <w:left w:val="none" w:sz="0" w:space="0" w:color="auto"/>
        <w:bottom w:val="none" w:sz="0" w:space="0" w:color="auto"/>
        <w:right w:val="none" w:sz="0" w:space="0" w:color="auto"/>
      </w:divBdr>
    </w:div>
    <w:div w:id="547955353">
      <w:bodyDiv w:val="1"/>
      <w:marLeft w:val="0"/>
      <w:marRight w:val="0"/>
      <w:marTop w:val="0"/>
      <w:marBottom w:val="0"/>
      <w:divBdr>
        <w:top w:val="none" w:sz="0" w:space="0" w:color="auto"/>
        <w:left w:val="none" w:sz="0" w:space="0" w:color="auto"/>
        <w:bottom w:val="none" w:sz="0" w:space="0" w:color="auto"/>
        <w:right w:val="none" w:sz="0" w:space="0" w:color="auto"/>
      </w:divBdr>
    </w:div>
    <w:div w:id="549732032">
      <w:bodyDiv w:val="1"/>
      <w:marLeft w:val="0"/>
      <w:marRight w:val="0"/>
      <w:marTop w:val="0"/>
      <w:marBottom w:val="0"/>
      <w:divBdr>
        <w:top w:val="none" w:sz="0" w:space="0" w:color="auto"/>
        <w:left w:val="none" w:sz="0" w:space="0" w:color="auto"/>
        <w:bottom w:val="none" w:sz="0" w:space="0" w:color="auto"/>
        <w:right w:val="none" w:sz="0" w:space="0" w:color="auto"/>
      </w:divBdr>
    </w:div>
    <w:div w:id="574752158">
      <w:bodyDiv w:val="1"/>
      <w:marLeft w:val="0"/>
      <w:marRight w:val="0"/>
      <w:marTop w:val="0"/>
      <w:marBottom w:val="0"/>
      <w:divBdr>
        <w:top w:val="none" w:sz="0" w:space="0" w:color="auto"/>
        <w:left w:val="none" w:sz="0" w:space="0" w:color="auto"/>
        <w:bottom w:val="none" w:sz="0" w:space="0" w:color="auto"/>
        <w:right w:val="none" w:sz="0" w:space="0" w:color="auto"/>
      </w:divBdr>
    </w:div>
    <w:div w:id="588581411">
      <w:bodyDiv w:val="1"/>
      <w:marLeft w:val="0"/>
      <w:marRight w:val="0"/>
      <w:marTop w:val="0"/>
      <w:marBottom w:val="0"/>
      <w:divBdr>
        <w:top w:val="none" w:sz="0" w:space="0" w:color="auto"/>
        <w:left w:val="none" w:sz="0" w:space="0" w:color="auto"/>
        <w:bottom w:val="none" w:sz="0" w:space="0" w:color="auto"/>
        <w:right w:val="none" w:sz="0" w:space="0" w:color="auto"/>
      </w:divBdr>
    </w:div>
    <w:div w:id="589117538">
      <w:bodyDiv w:val="1"/>
      <w:marLeft w:val="0"/>
      <w:marRight w:val="0"/>
      <w:marTop w:val="0"/>
      <w:marBottom w:val="0"/>
      <w:divBdr>
        <w:top w:val="none" w:sz="0" w:space="0" w:color="auto"/>
        <w:left w:val="none" w:sz="0" w:space="0" w:color="auto"/>
        <w:bottom w:val="none" w:sz="0" w:space="0" w:color="auto"/>
        <w:right w:val="none" w:sz="0" w:space="0" w:color="auto"/>
      </w:divBdr>
    </w:div>
    <w:div w:id="598829517">
      <w:bodyDiv w:val="1"/>
      <w:marLeft w:val="0"/>
      <w:marRight w:val="0"/>
      <w:marTop w:val="0"/>
      <w:marBottom w:val="0"/>
      <w:divBdr>
        <w:top w:val="none" w:sz="0" w:space="0" w:color="auto"/>
        <w:left w:val="none" w:sz="0" w:space="0" w:color="auto"/>
        <w:bottom w:val="none" w:sz="0" w:space="0" w:color="auto"/>
        <w:right w:val="none" w:sz="0" w:space="0" w:color="auto"/>
      </w:divBdr>
    </w:div>
    <w:div w:id="599217885">
      <w:bodyDiv w:val="1"/>
      <w:marLeft w:val="0"/>
      <w:marRight w:val="0"/>
      <w:marTop w:val="0"/>
      <w:marBottom w:val="0"/>
      <w:divBdr>
        <w:top w:val="none" w:sz="0" w:space="0" w:color="auto"/>
        <w:left w:val="none" w:sz="0" w:space="0" w:color="auto"/>
        <w:bottom w:val="none" w:sz="0" w:space="0" w:color="auto"/>
        <w:right w:val="none" w:sz="0" w:space="0" w:color="auto"/>
      </w:divBdr>
    </w:div>
    <w:div w:id="626352548">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34528634">
      <w:bodyDiv w:val="1"/>
      <w:marLeft w:val="0"/>
      <w:marRight w:val="0"/>
      <w:marTop w:val="0"/>
      <w:marBottom w:val="0"/>
      <w:divBdr>
        <w:top w:val="none" w:sz="0" w:space="0" w:color="auto"/>
        <w:left w:val="none" w:sz="0" w:space="0" w:color="auto"/>
        <w:bottom w:val="none" w:sz="0" w:space="0" w:color="auto"/>
        <w:right w:val="none" w:sz="0" w:space="0" w:color="auto"/>
      </w:divBdr>
    </w:div>
    <w:div w:id="644816678">
      <w:bodyDiv w:val="1"/>
      <w:marLeft w:val="0"/>
      <w:marRight w:val="0"/>
      <w:marTop w:val="0"/>
      <w:marBottom w:val="0"/>
      <w:divBdr>
        <w:top w:val="none" w:sz="0" w:space="0" w:color="auto"/>
        <w:left w:val="none" w:sz="0" w:space="0" w:color="auto"/>
        <w:bottom w:val="none" w:sz="0" w:space="0" w:color="auto"/>
        <w:right w:val="none" w:sz="0" w:space="0" w:color="auto"/>
      </w:divBdr>
    </w:div>
    <w:div w:id="671954673">
      <w:bodyDiv w:val="1"/>
      <w:marLeft w:val="0"/>
      <w:marRight w:val="0"/>
      <w:marTop w:val="0"/>
      <w:marBottom w:val="0"/>
      <w:divBdr>
        <w:top w:val="none" w:sz="0" w:space="0" w:color="auto"/>
        <w:left w:val="none" w:sz="0" w:space="0" w:color="auto"/>
        <w:bottom w:val="none" w:sz="0" w:space="0" w:color="auto"/>
        <w:right w:val="none" w:sz="0" w:space="0" w:color="auto"/>
      </w:divBdr>
    </w:div>
    <w:div w:id="702368842">
      <w:bodyDiv w:val="1"/>
      <w:marLeft w:val="0"/>
      <w:marRight w:val="0"/>
      <w:marTop w:val="0"/>
      <w:marBottom w:val="0"/>
      <w:divBdr>
        <w:top w:val="none" w:sz="0" w:space="0" w:color="auto"/>
        <w:left w:val="none" w:sz="0" w:space="0" w:color="auto"/>
        <w:bottom w:val="none" w:sz="0" w:space="0" w:color="auto"/>
        <w:right w:val="none" w:sz="0" w:space="0" w:color="auto"/>
      </w:divBdr>
    </w:div>
    <w:div w:id="702944975">
      <w:bodyDiv w:val="1"/>
      <w:marLeft w:val="0"/>
      <w:marRight w:val="0"/>
      <w:marTop w:val="0"/>
      <w:marBottom w:val="0"/>
      <w:divBdr>
        <w:top w:val="none" w:sz="0" w:space="0" w:color="auto"/>
        <w:left w:val="none" w:sz="0" w:space="0" w:color="auto"/>
        <w:bottom w:val="none" w:sz="0" w:space="0" w:color="auto"/>
        <w:right w:val="none" w:sz="0" w:space="0" w:color="auto"/>
      </w:divBdr>
    </w:div>
    <w:div w:id="706292175">
      <w:bodyDiv w:val="1"/>
      <w:marLeft w:val="0"/>
      <w:marRight w:val="0"/>
      <w:marTop w:val="0"/>
      <w:marBottom w:val="0"/>
      <w:divBdr>
        <w:top w:val="none" w:sz="0" w:space="0" w:color="auto"/>
        <w:left w:val="none" w:sz="0" w:space="0" w:color="auto"/>
        <w:bottom w:val="none" w:sz="0" w:space="0" w:color="auto"/>
        <w:right w:val="none" w:sz="0" w:space="0" w:color="auto"/>
      </w:divBdr>
    </w:div>
    <w:div w:id="719399274">
      <w:bodyDiv w:val="1"/>
      <w:marLeft w:val="0"/>
      <w:marRight w:val="0"/>
      <w:marTop w:val="0"/>
      <w:marBottom w:val="0"/>
      <w:divBdr>
        <w:top w:val="none" w:sz="0" w:space="0" w:color="auto"/>
        <w:left w:val="none" w:sz="0" w:space="0" w:color="auto"/>
        <w:bottom w:val="none" w:sz="0" w:space="0" w:color="auto"/>
        <w:right w:val="none" w:sz="0" w:space="0" w:color="auto"/>
      </w:divBdr>
    </w:div>
    <w:div w:id="726612859">
      <w:bodyDiv w:val="1"/>
      <w:marLeft w:val="0"/>
      <w:marRight w:val="0"/>
      <w:marTop w:val="0"/>
      <w:marBottom w:val="0"/>
      <w:divBdr>
        <w:top w:val="none" w:sz="0" w:space="0" w:color="auto"/>
        <w:left w:val="none" w:sz="0" w:space="0" w:color="auto"/>
        <w:bottom w:val="none" w:sz="0" w:space="0" w:color="auto"/>
        <w:right w:val="none" w:sz="0" w:space="0" w:color="auto"/>
      </w:divBdr>
    </w:div>
    <w:div w:id="729306468">
      <w:bodyDiv w:val="1"/>
      <w:marLeft w:val="0"/>
      <w:marRight w:val="0"/>
      <w:marTop w:val="0"/>
      <w:marBottom w:val="0"/>
      <w:divBdr>
        <w:top w:val="none" w:sz="0" w:space="0" w:color="auto"/>
        <w:left w:val="none" w:sz="0" w:space="0" w:color="auto"/>
        <w:bottom w:val="none" w:sz="0" w:space="0" w:color="auto"/>
        <w:right w:val="none" w:sz="0" w:space="0" w:color="auto"/>
      </w:divBdr>
    </w:div>
    <w:div w:id="803154152">
      <w:bodyDiv w:val="1"/>
      <w:marLeft w:val="0"/>
      <w:marRight w:val="0"/>
      <w:marTop w:val="0"/>
      <w:marBottom w:val="0"/>
      <w:divBdr>
        <w:top w:val="none" w:sz="0" w:space="0" w:color="auto"/>
        <w:left w:val="none" w:sz="0" w:space="0" w:color="auto"/>
        <w:bottom w:val="none" w:sz="0" w:space="0" w:color="auto"/>
        <w:right w:val="none" w:sz="0" w:space="0" w:color="auto"/>
      </w:divBdr>
    </w:div>
    <w:div w:id="898171111">
      <w:bodyDiv w:val="1"/>
      <w:marLeft w:val="0"/>
      <w:marRight w:val="0"/>
      <w:marTop w:val="0"/>
      <w:marBottom w:val="0"/>
      <w:divBdr>
        <w:top w:val="none" w:sz="0" w:space="0" w:color="auto"/>
        <w:left w:val="none" w:sz="0" w:space="0" w:color="auto"/>
        <w:bottom w:val="none" w:sz="0" w:space="0" w:color="auto"/>
        <w:right w:val="none" w:sz="0" w:space="0" w:color="auto"/>
      </w:divBdr>
    </w:div>
    <w:div w:id="970281022">
      <w:bodyDiv w:val="1"/>
      <w:marLeft w:val="0"/>
      <w:marRight w:val="0"/>
      <w:marTop w:val="0"/>
      <w:marBottom w:val="0"/>
      <w:divBdr>
        <w:top w:val="none" w:sz="0" w:space="0" w:color="auto"/>
        <w:left w:val="none" w:sz="0" w:space="0" w:color="auto"/>
        <w:bottom w:val="none" w:sz="0" w:space="0" w:color="auto"/>
        <w:right w:val="none" w:sz="0" w:space="0" w:color="auto"/>
      </w:divBdr>
    </w:div>
    <w:div w:id="973291585">
      <w:bodyDiv w:val="1"/>
      <w:marLeft w:val="0"/>
      <w:marRight w:val="0"/>
      <w:marTop w:val="0"/>
      <w:marBottom w:val="0"/>
      <w:divBdr>
        <w:top w:val="none" w:sz="0" w:space="0" w:color="auto"/>
        <w:left w:val="none" w:sz="0" w:space="0" w:color="auto"/>
        <w:bottom w:val="none" w:sz="0" w:space="0" w:color="auto"/>
        <w:right w:val="none" w:sz="0" w:space="0" w:color="auto"/>
      </w:divBdr>
    </w:div>
    <w:div w:id="992834388">
      <w:bodyDiv w:val="1"/>
      <w:marLeft w:val="0"/>
      <w:marRight w:val="0"/>
      <w:marTop w:val="0"/>
      <w:marBottom w:val="0"/>
      <w:divBdr>
        <w:top w:val="none" w:sz="0" w:space="0" w:color="auto"/>
        <w:left w:val="none" w:sz="0" w:space="0" w:color="auto"/>
        <w:bottom w:val="none" w:sz="0" w:space="0" w:color="auto"/>
        <w:right w:val="none" w:sz="0" w:space="0" w:color="auto"/>
      </w:divBdr>
    </w:div>
    <w:div w:id="1000932204">
      <w:bodyDiv w:val="1"/>
      <w:marLeft w:val="0"/>
      <w:marRight w:val="0"/>
      <w:marTop w:val="0"/>
      <w:marBottom w:val="0"/>
      <w:divBdr>
        <w:top w:val="none" w:sz="0" w:space="0" w:color="auto"/>
        <w:left w:val="none" w:sz="0" w:space="0" w:color="auto"/>
        <w:bottom w:val="none" w:sz="0" w:space="0" w:color="auto"/>
        <w:right w:val="none" w:sz="0" w:space="0" w:color="auto"/>
      </w:divBdr>
    </w:div>
    <w:div w:id="1023163677">
      <w:bodyDiv w:val="1"/>
      <w:marLeft w:val="0"/>
      <w:marRight w:val="0"/>
      <w:marTop w:val="0"/>
      <w:marBottom w:val="0"/>
      <w:divBdr>
        <w:top w:val="none" w:sz="0" w:space="0" w:color="auto"/>
        <w:left w:val="none" w:sz="0" w:space="0" w:color="auto"/>
        <w:bottom w:val="none" w:sz="0" w:space="0" w:color="auto"/>
        <w:right w:val="none" w:sz="0" w:space="0" w:color="auto"/>
      </w:divBdr>
    </w:div>
    <w:div w:id="1029768221">
      <w:bodyDiv w:val="1"/>
      <w:marLeft w:val="0"/>
      <w:marRight w:val="0"/>
      <w:marTop w:val="0"/>
      <w:marBottom w:val="0"/>
      <w:divBdr>
        <w:top w:val="none" w:sz="0" w:space="0" w:color="auto"/>
        <w:left w:val="none" w:sz="0" w:space="0" w:color="auto"/>
        <w:bottom w:val="none" w:sz="0" w:space="0" w:color="auto"/>
        <w:right w:val="none" w:sz="0" w:space="0" w:color="auto"/>
      </w:divBdr>
    </w:div>
    <w:div w:id="1079015596">
      <w:bodyDiv w:val="1"/>
      <w:marLeft w:val="0"/>
      <w:marRight w:val="0"/>
      <w:marTop w:val="0"/>
      <w:marBottom w:val="0"/>
      <w:divBdr>
        <w:top w:val="none" w:sz="0" w:space="0" w:color="auto"/>
        <w:left w:val="none" w:sz="0" w:space="0" w:color="auto"/>
        <w:bottom w:val="none" w:sz="0" w:space="0" w:color="auto"/>
        <w:right w:val="none" w:sz="0" w:space="0" w:color="auto"/>
      </w:divBdr>
    </w:div>
    <w:div w:id="1086536890">
      <w:bodyDiv w:val="1"/>
      <w:marLeft w:val="0"/>
      <w:marRight w:val="0"/>
      <w:marTop w:val="0"/>
      <w:marBottom w:val="0"/>
      <w:divBdr>
        <w:top w:val="none" w:sz="0" w:space="0" w:color="auto"/>
        <w:left w:val="none" w:sz="0" w:space="0" w:color="auto"/>
        <w:bottom w:val="none" w:sz="0" w:space="0" w:color="auto"/>
        <w:right w:val="none" w:sz="0" w:space="0" w:color="auto"/>
      </w:divBdr>
    </w:div>
    <w:div w:id="1102649040">
      <w:bodyDiv w:val="1"/>
      <w:marLeft w:val="0"/>
      <w:marRight w:val="0"/>
      <w:marTop w:val="0"/>
      <w:marBottom w:val="0"/>
      <w:divBdr>
        <w:top w:val="none" w:sz="0" w:space="0" w:color="auto"/>
        <w:left w:val="none" w:sz="0" w:space="0" w:color="auto"/>
        <w:bottom w:val="none" w:sz="0" w:space="0" w:color="auto"/>
        <w:right w:val="none" w:sz="0" w:space="0" w:color="auto"/>
      </w:divBdr>
    </w:div>
    <w:div w:id="1103110708">
      <w:bodyDiv w:val="1"/>
      <w:marLeft w:val="0"/>
      <w:marRight w:val="0"/>
      <w:marTop w:val="0"/>
      <w:marBottom w:val="0"/>
      <w:divBdr>
        <w:top w:val="none" w:sz="0" w:space="0" w:color="auto"/>
        <w:left w:val="none" w:sz="0" w:space="0" w:color="auto"/>
        <w:bottom w:val="none" w:sz="0" w:space="0" w:color="auto"/>
        <w:right w:val="none" w:sz="0" w:space="0" w:color="auto"/>
      </w:divBdr>
    </w:div>
    <w:div w:id="1106995677">
      <w:bodyDiv w:val="1"/>
      <w:marLeft w:val="0"/>
      <w:marRight w:val="0"/>
      <w:marTop w:val="0"/>
      <w:marBottom w:val="0"/>
      <w:divBdr>
        <w:top w:val="none" w:sz="0" w:space="0" w:color="auto"/>
        <w:left w:val="none" w:sz="0" w:space="0" w:color="auto"/>
        <w:bottom w:val="none" w:sz="0" w:space="0" w:color="auto"/>
        <w:right w:val="none" w:sz="0" w:space="0" w:color="auto"/>
      </w:divBdr>
    </w:div>
    <w:div w:id="1130125502">
      <w:bodyDiv w:val="1"/>
      <w:marLeft w:val="0"/>
      <w:marRight w:val="0"/>
      <w:marTop w:val="0"/>
      <w:marBottom w:val="0"/>
      <w:divBdr>
        <w:top w:val="none" w:sz="0" w:space="0" w:color="auto"/>
        <w:left w:val="none" w:sz="0" w:space="0" w:color="auto"/>
        <w:bottom w:val="none" w:sz="0" w:space="0" w:color="auto"/>
        <w:right w:val="none" w:sz="0" w:space="0" w:color="auto"/>
      </w:divBdr>
    </w:div>
    <w:div w:id="1156607752">
      <w:bodyDiv w:val="1"/>
      <w:marLeft w:val="0"/>
      <w:marRight w:val="0"/>
      <w:marTop w:val="0"/>
      <w:marBottom w:val="0"/>
      <w:divBdr>
        <w:top w:val="none" w:sz="0" w:space="0" w:color="auto"/>
        <w:left w:val="none" w:sz="0" w:space="0" w:color="auto"/>
        <w:bottom w:val="none" w:sz="0" w:space="0" w:color="auto"/>
        <w:right w:val="none" w:sz="0" w:space="0" w:color="auto"/>
      </w:divBdr>
    </w:div>
    <w:div w:id="1179465489">
      <w:bodyDiv w:val="1"/>
      <w:marLeft w:val="0"/>
      <w:marRight w:val="0"/>
      <w:marTop w:val="0"/>
      <w:marBottom w:val="0"/>
      <w:divBdr>
        <w:top w:val="none" w:sz="0" w:space="0" w:color="auto"/>
        <w:left w:val="none" w:sz="0" w:space="0" w:color="auto"/>
        <w:bottom w:val="none" w:sz="0" w:space="0" w:color="auto"/>
        <w:right w:val="none" w:sz="0" w:space="0" w:color="auto"/>
      </w:divBdr>
    </w:div>
    <w:div w:id="1190992476">
      <w:bodyDiv w:val="1"/>
      <w:marLeft w:val="0"/>
      <w:marRight w:val="0"/>
      <w:marTop w:val="0"/>
      <w:marBottom w:val="0"/>
      <w:divBdr>
        <w:top w:val="none" w:sz="0" w:space="0" w:color="auto"/>
        <w:left w:val="none" w:sz="0" w:space="0" w:color="auto"/>
        <w:bottom w:val="none" w:sz="0" w:space="0" w:color="auto"/>
        <w:right w:val="none" w:sz="0" w:space="0" w:color="auto"/>
      </w:divBdr>
    </w:div>
    <w:div w:id="1252930278">
      <w:bodyDiv w:val="1"/>
      <w:marLeft w:val="0"/>
      <w:marRight w:val="0"/>
      <w:marTop w:val="0"/>
      <w:marBottom w:val="0"/>
      <w:divBdr>
        <w:top w:val="none" w:sz="0" w:space="0" w:color="auto"/>
        <w:left w:val="none" w:sz="0" w:space="0" w:color="auto"/>
        <w:bottom w:val="none" w:sz="0" w:space="0" w:color="auto"/>
        <w:right w:val="none" w:sz="0" w:space="0" w:color="auto"/>
      </w:divBdr>
    </w:div>
    <w:div w:id="1263341104">
      <w:bodyDiv w:val="1"/>
      <w:marLeft w:val="0"/>
      <w:marRight w:val="0"/>
      <w:marTop w:val="0"/>
      <w:marBottom w:val="0"/>
      <w:divBdr>
        <w:top w:val="none" w:sz="0" w:space="0" w:color="auto"/>
        <w:left w:val="none" w:sz="0" w:space="0" w:color="auto"/>
        <w:bottom w:val="none" w:sz="0" w:space="0" w:color="auto"/>
        <w:right w:val="none" w:sz="0" w:space="0" w:color="auto"/>
      </w:divBdr>
    </w:div>
    <w:div w:id="1267888176">
      <w:bodyDiv w:val="1"/>
      <w:marLeft w:val="0"/>
      <w:marRight w:val="0"/>
      <w:marTop w:val="0"/>
      <w:marBottom w:val="0"/>
      <w:divBdr>
        <w:top w:val="none" w:sz="0" w:space="0" w:color="auto"/>
        <w:left w:val="none" w:sz="0" w:space="0" w:color="auto"/>
        <w:bottom w:val="none" w:sz="0" w:space="0" w:color="auto"/>
        <w:right w:val="none" w:sz="0" w:space="0" w:color="auto"/>
      </w:divBdr>
    </w:div>
    <w:div w:id="1279066389">
      <w:bodyDiv w:val="1"/>
      <w:marLeft w:val="0"/>
      <w:marRight w:val="0"/>
      <w:marTop w:val="0"/>
      <w:marBottom w:val="0"/>
      <w:divBdr>
        <w:top w:val="none" w:sz="0" w:space="0" w:color="auto"/>
        <w:left w:val="none" w:sz="0" w:space="0" w:color="auto"/>
        <w:bottom w:val="none" w:sz="0" w:space="0" w:color="auto"/>
        <w:right w:val="none" w:sz="0" w:space="0" w:color="auto"/>
      </w:divBdr>
    </w:div>
    <w:div w:id="1294093759">
      <w:bodyDiv w:val="1"/>
      <w:marLeft w:val="0"/>
      <w:marRight w:val="0"/>
      <w:marTop w:val="0"/>
      <w:marBottom w:val="0"/>
      <w:divBdr>
        <w:top w:val="none" w:sz="0" w:space="0" w:color="auto"/>
        <w:left w:val="none" w:sz="0" w:space="0" w:color="auto"/>
        <w:bottom w:val="none" w:sz="0" w:space="0" w:color="auto"/>
        <w:right w:val="none" w:sz="0" w:space="0" w:color="auto"/>
      </w:divBdr>
    </w:div>
    <w:div w:id="1296332964">
      <w:bodyDiv w:val="1"/>
      <w:marLeft w:val="0"/>
      <w:marRight w:val="0"/>
      <w:marTop w:val="0"/>
      <w:marBottom w:val="0"/>
      <w:divBdr>
        <w:top w:val="none" w:sz="0" w:space="0" w:color="auto"/>
        <w:left w:val="none" w:sz="0" w:space="0" w:color="auto"/>
        <w:bottom w:val="none" w:sz="0" w:space="0" w:color="auto"/>
        <w:right w:val="none" w:sz="0" w:space="0" w:color="auto"/>
      </w:divBdr>
    </w:div>
    <w:div w:id="1300769674">
      <w:bodyDiv w:val="1"/>
      <w:marLeft w:val="0"/>
      <w:marRight w:val="0"/>
      <w:marTop w:val="0"/>
      <w:marBottom w:val="0"/>
      <w:divBdr>
        <w:top w:val="none" w:sz="0" w:space="0" w:color="auto"/>
        <w:left w:val="none" w:sz="0" w:space="0" w:color="auto"/>
        <w:bottom w:val="none" w:sz="0" w:space="0" w:color="auto"/>
        <w:right w:val="none" w:sz="0" w:space="0" w:color="auto"/>
      </w:divBdr>
    </w:div>
    <w:div w:id="1324579401">
      <w:bodyDiv w:val="1"/>
      <w:marLeft w:val="0"/>
      <w:marRight w:val="0"/>
      <w:marTop w:val="0"/>
      <w:marBottom w:val="0"/>
      <w:divBdr>
        <w:top w:val="none" w:sz="0" w:space="0" w:color="auto"/>
        <w:left w:val="none" w:sz="0" w:space="0" w:color="auto"/>
        <w:bottom w:val="none" w:sz="0" w:space="0" w:color="auto"/>
        <w:right w:val="none" w:sz="0" w:space="0" w:color="auto"/>
      </w:divBdr>
    </w:div>
    <w:div w:id="1347637186">
      <w:bodyDiv w:val="1"/>
      <w:marLeft w:val="0"/>
      <w:marRight w:val="0"/>
      <w:marTop w:val="0"/>
      <w:marBottom w:val="0"/>
      <w:divBdr>
        <w:top w:val="none" w:sz="0" w:space="0" w:color="auto"/>
        <w:left w:val="none" w:sz="0" w:space="0" w:color="auto"/>
        <w:bottom w:val="none" w:sz="0" w:space="0" w:color="auto"/>
        <w:right w:val="none" w:sz="0" w:space="0" w:color="auto"/>
      </w:divBdr>
    </w:div>
    <w:div w:id="1359434119">
      <w:bodyDiv w:val="1"/>
      <w:marLeft w:val="0"/>
      <w:marRight w:val="0"/>
      <w:marTop w:val="0"/>
      <w:marBottom w:val="0"/>
      <w:divBdr>
        <w:top w:val="none" w:sz="0" w:space="0" w:color="auto"/>
        <w:left w:val="none" w:sz="0" w:space="0" w:color="auto"/>
        <w:bottom w:val="none" w:sz="0" w:space="0" w:color="auto"/>
        <w:right w:val="none" w:sz="0" w:space="0" w:color="auto"/>
      </w:divBdr>
    </w:div>
    <w:div w:id="1371104834">
      <w:bodyDiv w:val="1"/>
      <w:marLeft w:val="0"/>
      <w:marRight w:val="0"/>
      <w:marTop w:val="0"/>
      <w:marBottom w:val="0"/>
      <w:divBdr>
        <w:top w:val="none" w:sz="0" w:space="0" w:color="auto"/>
        <w:left w:val="none" w:sz="0" w:space="0" w:color="auto"/>
        <w:bottom w:val="none" w:sz="0" w:space="0" w:color="auto"/>
        <w:right w:val="none" w:sz="0" w:space="0" w:color="auto"/>
      </w:divBdr>
    </w:div>
    <w:div w:id="1373190504">
      <w:bodyDiv w:val="1"/>
      <w:marLeft w:val="0"/>
      <w:marRight w:val="0"/>
      <w:marTop w:val="0"/>
      <w:marBottom w:val="0"/>
      <w:divBdr>
        <w:top w:val="none" w:sz="0" w:space="0" w:color="auto"/>
        <w:left w:val="none" w:sz="0" w:space="0" w:color="auto"/>
        <w:bottom w:val="none" w:sz="0" w:space="0" w:color="auto"/>
        <w:right w:val="none" w:sz="0" w:space="0" w:color="auto"/>
      </w:divBdr>
    </w:div>
    <w:div w:id="1380085189">
      <w:bodyDiv w:val="1"/>
      <w:marLeft w:val="0"/>
      <w:marRight w:val="0"/>
      <w:marTop w:val="0"/>
      <w:marBottom w:val="0"/>
      <w:divBdr>
        <w:top w:val="none" w:sz="0" w:space="0" w:color="auto"/>
        <w:left w:val="none" w:sz="0" w:space="0" w:color="auto"/>
        <w:bottom w:val="none" w:sz="0" w:space="0" w:color="auto"/>
        <w:right w:val="none" w:sz="0" w:space="0" w:color="auto"/>
      </w:divBdr>
    </w:div>
    <w:div w:id="1401948899">
      <w:bodyDiv w:val="1"/>
      <w:marLeft w:val="0"/>
      <w:marRight w:val="0"/>
      <w:marTop w:val="0"/>
      <w:marBottom w:val="0"/>
      <w:divBdr>
        <w:top w:val="none" w:sz="0" w:space="0" w:color="auto"/>
        <w:left w:val="none" w:sz="0" w:space="0" w:color="auto"/>
        <w:bottom w:val="none" w:sz="0" w:space="0" w:color="auto"/>
        <w:right w:val="none" w:sz="0" w:space="0" w:color="auto"/>
      </w:divBdr>
    </w:div>
    <w:div w:id="1419130983">
      <w:bodyDiv w:val="1"/>
      <w:marLeft w:val="0"/>
      <w:marRight w:val="0"/>
      <w:marTop w:val="0"/>
      <w:marBottom w:val="0"/>
      <w:divBdr>
        <w:top w:val="none" w:sz="0" w:space="0" w:color="auto"/>
        <w:left w:val="none" w:sz="0" w:space="0" w:color="auto"/>
        <w:bottom w:val="none" w:sz="0" w:space="0" w:color="auto"/>
        <w:right w:val="none" w:sz="0" w:space="0" w:color="auto"/>
      </w:divBdr>
    </w:div>
    <w:div w:id="1433891511">
      <w:bodyDiv w:val="1"/>
      <w:marLeft w:val="0"/>
      <w:marRight w:val="0"/>
      <w:marTop w:val="0"/>
      <w:marBottom w:val="0"/>
      <w:divBdr>
        <w:top w:val="none" w:sz="0" w:space="0" w:color="auto"/>
        <w:left w:val="none" w:sz="0" w:space="0" w:color="auto"/>
        <w:bottom w:val="none" w:sz="0" w:space="0" w:color="auto"/>
        <w:right w:val="none" w:sz="0" w:space="0" w:color="auto"/>
      </w:divBdr>
    </w:div>
    <w:div w:id="1439368492">
      <w:bodyDiv w:val="1"/>
      <w:marLeft w:val="0"/>
      <w:marRight w:val="0"/>
      <w:marTop w:val="0"/>
      <w:marBottom w:val="0"/>
      <w:divBdr>
        <w:top w:val="none" w:sz="0" w:space="0" w:color="auto"/>
        <w:left w:val="none" w:sz="0" w:space="0" w:color="auto"/>
        <w:bottom w:val="none" w:sz="0" w:space="0" w:color="auto"/>
        <w:right w:val="none" w:sz="0" w:space="0" w:color="auto"/>
      </w:divBdr>
    </w:div>
    <w:div w:id="1474061076">
      <w:bodyDiv w:val="1"/>
      <w:marLeft w:val="0"/>
      <w:marRight w:val="0"/>
      <w:marTop w:val="0"/>
      <w:marBottom w:val="0"/>
      <w:divBdr>
        <w:top w:val="none" w:sz="0" w:space="0" w:color="auto"/>
        <w:left w:val="none" w:sz="0" w:space="0" w:color="auto"/>
        <w:bottom w:val="none" w:sz="0" w:space="0" w:color="auto"/>
        <w:right w:val="none" w:sz="0" w:space="0" w:color="auto"/>
      </w:divBdr>
    </w:div>
    <w:div w:id="1516113636">
      <w:bodyDiv w:val="1"/>
      <w:marLeft w:val="0"/>
      <w:marRight w:val="0"/>
      <w:marTop w:val="0"/>
      <w:marBottom w:val="0"/>
      <w:divBdr>
        <w:top w:val="none" w:sz="0" w:space="0" w:color="auto"/>
        <w:left w:val="none" w:sz="0" w:space="0" w:color="auto"/>
        <w:bottom w:val="none" w:sz="0" w:space="0" w:color="auto"/>
        <w:right w:val="none" w:sz="0" w:space="0" w:color="auto"/>
      </w:divBdr>
    </w:div>
    <w:div w:id="1556041030">
      <w:bodyDiv w:val="1"/>
      <w:marLeft w:val="0"/>
      <w:marRight w:val="0"/>
      <w:marTop w:val="0"/>
      <w:marBottom w:val="0"/>
      <w:divBdr>
        <w:top w:val="none" w:sz="0" w:space="0" w:color="auto"/>
        <w:left w:val="none" w:sz="0" w:space="0" w:color="auto"/>
        <w:bottom w:val="none" w:sz="0" w:space="0" w:color="auto"/>
        <w:right w:val="none" w:sz="0" w:space="0" w:color="auto"/>
      </w:divBdr>
    </w:div>
    <w:div w:id="1570309596">
      <w:bodyDiv w:val="1"/>
      <w:marLeft w:val="0"/>
      <w:marRight w:val="0"/>
      <w:marTop w:val="0"/>
      <w:marBottom w:val="0"/>
      <w:divBdr>
        <w:top w:val="none" w:sz="0" w:space="0" w:color="auto"/>
        <w:left w:val="none" w:sz="0" w:space="0" w:color="auto"/>
        <w:bottom w:val="none" w:sz="0" w:space="0" w:color="auto"/>
        <w:right w:val="none" w:sz="0" w:space="0" w:color="auto"/>
      </w:divBdr>
    </w:div>
    <w:div w:id="1589073428">
      <w:bodyDiv w:val="1"/>
      <w:marLeft w:val="0"/>
      <w:marRight w:val="0"/>
      <w:marTop w:val="0"/>
      <w:marBottom w:val="0"/>
      <w:divBdr>
        <w:top w:val="none" w:sz="0" w:space="0" w:color="auto"/>
        <w:left w:val="none" w:sz="0" w:space="0" w:color="auto"/>
        <w:bottom w:val="none" w:sz="0" w:space="0" w:color="auto"/>
        <w:right w:val="none" w:sz="0" w:space="0" w:color="auto"/>
      </w:divBdr>
    </w:div>
    <w:div w:id="1604336285">
      <w:bodyDiv w:val="1"/>
      <w:marLeft w:val="0"/>
      <w:marRight w:val="0"/>
      <w:marTop w:val="0"/>
      <w:marBottom w:val="0"/>
      <w:divBdr>
        <w:top w:val="none" w:sz="0" w:space="0" w:color="auto"/>
        <w:left w:val="none" w:sz="0" w:space="0" w:color="auto"/>
        <w:bottom w:val="none" w:sz="0" w:space="0" w:color="auto"/>
        <w:right w:val="none" w:sz="0" w:space="0" w:color="auto"/>
      </w:divBdr>
    </w:div>
    <w:div w:id="1634558967">
      <w:bodyDiv w:val="1"/>
      <w:marLeft w:val="0"/>
      <w:marRight w:val="0"/>
      <w:marTop w:val="0"/>
      <w:marBottom w:val="0"/>
      <w:divBdr>
        <w:top w:val="none" w:sz="0" w:space="0" w:color="auto"/>
        <w:left w:val="none" w:sz="0" w:space="0" w:color="auto"/>
        <w:bottom w:val="none" w:sz="0" w:space="0" w:color="auto"/>
        <w:right w:val="none" w:sz="0" w:space="0" w:color="auto"/>
      </w:divBdr>
    </w:div>
    <w:div w:id="1646592624">
      <w:bodyDiv w:val="1"/>
      <w:marLeft w:val="0"/>
      <w:marRight w:val="0"/>
      <w:marTop w:val="0"/>
      <w:marBottom w:val="0"/>
      <w:divBdr>
        <w:top w:val="none" w:sz="0" w:space="0" w:color="auto"/>
        <w:left w:val="none" w:sz="0" w:space="0" w:color="auto"/>
        <w:bottom w:val="none" w:sz="0" w:space="0" w:color="auto"/>
        <w:right w:val="none" w:sz="0" w:space="0" w:color="auto"/>
      </w:divBdr>
    </w:div>
    <w:div w:id="1651398045">
      <w:bodyDiv w:val="1"/>
      <w:marLeft w:val="0"/>
      <w:marRight w:val="0"/>
      <w:marTop w:val="0"/>
      <w:marBottom w:val="0"/>
      <w:divBdr>
        <w:top w:val="none" w:sz="0" w:space="0" w:color="auto"/>
        <w:left w:val="none" w:sz="0" w:space="0" w:color="auto"/>
        <w:bottom w:val="none" w:sz="0" w:space="0" w:color="auto"/>
        <w:right w:val="none" w:sz="0" w:space="0" w:color="auto"/>
      </w:divBdr>
    </w:div>
    <w:div w:id="1677147210">
      <w:bodyDiv w:val="1"/>
      <w:marLeft w:val="0"/>
      <w:marRight w:val="0"/>
      <w:marTop w:val="0"/>
      <w:marBottom w:val="0"/>
      <w:divBdr>
        <w:top w:val="none" w:sz="0" w:space="0" w:color="auto"/>
        <w:left w:val="none" w:sz="0" w:space="0" w:color="auto"/>
        <w:bottom w:val="none" w:sz="0" w:space="0" w:color="auto"/>
        <w:right w:val="none" w:sz="0" w:space="0" w:color="auto"/>
      </w:divBdr>
    </w:div>
    <w:div w:id="1679576975">
      <w:bodyDiv w:val="1"/>
      <w:marLeft w:val="0"/>
      <w:marRight w:val="0"/>
      <w:marTop w:val="0"/>
      <w:marBottom w:val="0"/>
      <w:divBdr>
        <w:top w:val="none" w:sz="0" w:space="0" w:color="auto"/>
        <w:left w:val="none" w:sz="0" w:space="0" w:color="auto"/>
        <w:bottom w:val="none" w:sz="0" w:space="0" w:color="auto"/>
        <w:right w:val="none" w:sz="0" w:space="0" w:color="auto"/>
      </w:divBdr>
    </w:div>
    <w:div w:id="1693339732">
      <w:bodyDiv w:val="1"/>
      <w:marLeft w:val="0"/>
      <w:marRight w:val="0"/>
      <w:marTop w:val="0"/>
      <w:marBottom w:val="0"/>
      <w:divBdr>
        <w:top w:val="none" w:sz="0" w:space="0" w:color="auto"/>
        <w:left w:val="none" w:sz="0" w:space="0" w:color="auto"/>
        <w:bottom w:val="none" w:sz="0" w:space="0" w:color="auto"/>
        <w:right w:val="none" w:sz="0" w:space="0" w:color="auto"/>
      </w:divBdr>
      <w:divsChild>
        <w:div w:id="1640376507">
          <w:marLeft w:val="0"/>
          <w:marRight w:val="0"/>
          <w:marTop w:val="0"/>
          <w:marBottom w:val="0"/>
          <w:divBdr>
            <w:top w:val="none" w:sz="0" w:space="0" w:color="auto"/>
            <w:left w:val="none" w:sz="0" w:space="0" w:color="auto"/>
            <w:bottom w:val="none" w:sz="0" w:space="0" w:color="auto"/>
            <w:right w:val="none" w:sz="0" w:space="0" w:color="auto"/>
          </w:divBdr>
        </w:div>
        <w:div w:id="687487357">
          <w:marLeft w:val="0"/>
          <w:marRight w:val="0"/>
          <w:marTop w:val="0"/>
          <w:marBottom w:val="0"/>
          <w:divBdr>
            <w:top w:val="none" w:sz="0" w:space="0" w:color="auto"/>
            <w:left w:val="none" w:sz="0" w:space="0" w:color="auto"/>
            <w:bottom w:val="none" w:sz="0" w:space="0" w:color="auto"/>
            <w:right w:val="none" w:sz="0" w:space="0" w:color="auto"/>
          </w:divBdr>
        </w:div>
        <w:div w:id="283923394">
          <w:marLeft w:val="0"/>
          <w:marRight w:val="0"/>
          <w:marTop w:val="0"/>
          <w:marBottom w:val="0"/>
          <w:divBdr>
            <w:top w:val="none" w:sz="0" w:space="0" w:color="auto"/>
            <w:left w:val="none" w:sz="0" w:space="0" w:color="auto"/>
            <w:bottom w:val="none" w:sz="0" w:space="0" w:color="auto"/>
            <w:right w:val="none" w:sz="0" w:space="0" w:color="auto"/>
          </w:divBdr>
        </w:div>
      </w:divsChild>
    </w:div>
    <w:div w:id="1725374859">
      <w:bodyDiv w:val="1"/>
      <w:marLeft w:val="0"/>
      <w:marRight w:val="0"/>
      <w:marTop w:val="0"/>
      <w:marBottom w:val="0"/>
      <w:divBdr>
        <w:top w:val="none" w:sz="0" w:space="0" w:color="auto"/>
        <w:left w:val="none" w:sz="0" w:space="0" w:color="auto"/>
        <w:bottom w:val="none" w:sz="0" w:space="0" w:color="auto"/>
        <w:right w:val="none" w:sz="0" w:space="0" w:color="auto"/>
      </w:divBdr>
    </w:div>
    <w:div w:id="1756586126">
      <w:bodyDiv w:val="1"/>
      <w:marLeft w:val="0"/>
      <w:marRight w:val="0"/>
      <w:marTop w:val="0"/>
      <w:marBottom w:val="0"/>
      <w:divBdr>
        <w:top w:val="none" w:sz="0" w:space="0" w:color="auto"/>
        <w:left w:val="none" w:sz="0" w:space="0" w:color="auto"/>
        <w:bottom w:val="none" w:sz="0" w:space="0" w:color="auto"/>
        <w:right w:val="none" w:sz="0" w:space="0" w:color="auto"/>
      </w:divBdr>
    </w:div>
    <w:div w:id="1768691574">
      <w:bodyDiv w:val="1"/>
      <w:marLeft w:val="0"/>
      <w:marRight w:val="0"/>
      <w:marTop w:val="0"/>
      <w:marBottom w:val="0"/>
      <w:divBdr>
        <w:top w:val="none" w:sz="0" w:space="0" w:color="auto"/>
        <w:left w:val="none" w:sz="0" w:space="0" w:color="auto"/>
        <w:bottom w:val="none" w:sz="0" w:space="0" w:color="auto"/>
        <w:right w:val="none" w:sz="0" w:space="0" w:color="auto"/>
      </w:divBdr>
    </w:div>
    <w:div w:id="1778522352">
      <w:bodyDiv w:val="1"/>
      <w:marLeft w:val="0"/>
      <w:marRight w:val="0"/>
      <w:marTop w:val="0"/>
      <w:marBottom w:val="0"/>
      <w:divBdr>
        <w:top w:val="none" w:sz="0" w:space="0" w:color="auto"/>
        <w:left w:val="none" w:sz="0" w:space="0" w:color="auto"/>
        <w:bottom w:val="none" w:sz="0" w:space="0" w:color="auto"/>
        <w:right w:val="none" w:sz="0" w:space="0" w:color="auto"/>
      </w:divBdr>
    </w:div>
    <w:div w:id="1864512706">
      <w:bodyDiv w:val="1"/>
      <w:marLeft w:val="0"/>
      <w:marRight w:val="0"/>
      <w:marTop w:val="0"/>
      <w:marBottom w:val="0"/>
      <w:divBdr>
        <w:top w:val="none" w:sz="0" w:space="0" w:color="auto"/>
        <w:left w:val="none" w:sz="0" w:space="0" w:color="auto"/>
        <w:bottom w:val="none" w:sz="0" w:space="0" w:color="auto"/>
        <w:right w:val="none" w:sz="0" w:space="0" w:color="auto"/>
      </w:divBdr>
    </w:div>
    <w:div w:id="1900237932">
      <w:bodyDiv w:val="1"/>
      <w:marLeft w:val="0"/>
      <w:marRight w:val="0"/>
      <w:marTop w:val="0"/>
      <w:marBottom w:val="0"/>
      <w:divBdr>
        <w:top w:val="none" w:sz="0" w:space="0" w:color="auto"/>
        <w:left w:val="none" w:sz="0" w:space="0" w:color="auto"/>
        <w:bottom w:val="none" w:sz="0" w:space="0" w:color="auto"/>
        <w:right w:val="none" w:sz="0" w:space="0" w:color="auto"/>
      </w:divBdr>
    </w:div>
    <w:div w:id="1909221943">
      <w:bodyDiv w:val="1"/>
      <w:marLeft w:val="0"/>
      <w:marRight w:val="0"/>
      <w:marTop w:val="0"/>
      <w:marBottom w:val="0"/>
      <w:divBdr>
        <w:top w:val="none" w:sz="0" w:space="0" w:color="auto"/>
        <w:left w:val="none" w:sz="0" w:space="0" w:color="auto"/>
        <w:bottom w:val="none" w:sz="0" w:space="0" w:color="auto"/>
        <w:right w:val="none" w:sz="0" w:space="0" w:color="auto"/>
      </w:divBdr>
    </w:div>
    <w:div w:id="1912734255">
      <w:bodyDiv w:val="1"/>
      <w:marLeft w:val="0"/>
      <w:marRight w:val="0"/>
      <w:marTop w:val="0"/>
      <w:marBottom w:val="0"/>
      <w:divBdr>
        <w:top w:val="none" w:sz="0" w:space="0" w:color="auto"/>
        <w:left w:val="none" w:sz="0" w:space="0" w:color="auto"/>
        <w:bottom w:val="none" w:sz="0" w:space="0" w:color="auto"/>
        <w:right w:val="none" w:sz="0" w:space="0" w:color="auto"/>
      </w:divBdr>
    </w:div>
    <w:div w:id="1937713337">
      <w:bodyDiv w:val="1"/>
      <w:marLeft w:val="0"/>
      <w:marRight w:val="0"/>
      <w:marTop w:val="0"/>
      <w:marBottom w:val="0"/>
      <w:divBdr>
        <w:top w:val="none" w:sz="0" w:space="0" w:color="auto"/>
        <w:left w:val="none" w:sz="0" w:space="0" w:color="auto"/>
        <w:bottom w:val="none" w:sz="0" w:space="0" w:color="auto"/>
        <w:right w:val="none" w:sz="0" w:space="0" w:color="auto"/>
      </w:divBdr>
    </w:div>
    <w:div w:id="1963882562">
      <w:bodyDiv w:val="1"/>
      <w:marLeft w:val="0"/>
      <w:marRight w:val="0"/>
      <w:marTop w:val="0"/>
      <w:marBottom w:val="0"/>
      <w:divBdr>
        <w:top w:val="none" w:sz="0" w:space="0" w:color="auto"/>
        <w:left w:val="none" w:sz="0" w:space="0" w:color="auto"/>
        <w:bottom w:val="none" w:sz="0" w:space="0" w:color="auto"/>
        <w:right w:val="none" w:sz="0" w:space="0" w:color="auto"/>
      </w:divBdr>
    </w:div>
    <w:div w:id="1994411094">
      <w:bodyDiv w:val="1"/>
      <w:marLeft w:val="0"/>
      <w:marRight w:val="0"/>
      <w:marTop w:val="0"/>
      <w:marBottom w:val="0"/>
      <w:divBdr>
        <w:top w:val="none" w:sz="0" w:space="0" w:color="auto"/>
        <w:left w:val="none" w:sz="0" w:space="0" w:color="auto"/>
        <w:bottom w:val="none" w:sz="0" w:space="0" w:color="auto"/>
        <w:right w:val="none" w:sz="0" w:space="0" w:color="auto"/>
      </w:divBdr>
    </w:div>
    <w:div w:id="1995253952">
      <w:bodyDiv w:val="1"/>
      <w:marLeft w:val="0"/>
      <w:marRight w:val="0"/>
      <w:marTop w:val="0"/>
      <w:marBottom w:val="0"/>
      <w:divBdr>
        <w:top w:val="none" w:sz="0" w:space="0" w:color="auto"/>
        <w:left w:val="none" w:sz="0" w:space="0" w:color="auto"/>
        <w:bottom w:val="none" w:sz="0" w:space="0" w:color="auto"/>
        <w:right w:val="none" w:sz="0" w:space="0" w:color="auto"/>
      </w:divBdr>
    </w:div>
    <w:div w:id="2029913622">
      <w:bodyDiv w:val="1"/>
      <w:marLeft w:val="0"/>
      <w:marRight w:val="0"/>
      <w:marTop w:val="0"/>
      <w:marBottom w:val="0"/>
      <w:divBdr>
        <w:top w:val="none" w:sz="0" w:space="0" w:color="auto"/>
        <w:left w:val="none" w:sz="0" w:space="0" w:color="auto"/>
        <w:bottom w:val="none" w:sz="0" w:space="0" w:color="auto"/>
        <w:right w:val="none" w:sz="0" w:space="0" w:color="auto"/>
      </w:divBdr>
    </w:div>
    <w:div w:id="2052219826">
      <w:bodyDiv w:val="1"/>
      <w:marLeft w:val="0"/>
      <w:marRight w:val="0"/>
      <w:marTop w:val="0"/>
      <w:marBottom w:val="0"/>
      <w:divBdr>
        <w:top w:val="none" w:sz="0" w:space="0" w:color="auto"/>
        <w:left w:val="none" w:sz="0" w:space="0" w:color="auto"/>
        <w:bottom w:val="none" w:sz="0" w:space="0" w:color="auto"/>
        <w:right w:val="none" w:sz="0" w:space="0" w:color="auto"/>
      </w:divBdr>
    </w:div>
    <w:div w:id="2081829159">
      <w:bodyDiv w:val="1"/>
      <w:marLeft w:val="0"/>
      <w:marRight w:val="0"/>
      <w:marTop w:val="0"/>
      <w:marBottom w:val="0"/>
      <w:divBdr>
        <w:top w:val="none" w:sz="0" w:space="0" w:color="auto"/>
        <w:left w:val="none" w:sz="0" w:space="0" w:color="auto"/>
        <w:bottom w:val="none" w:sz="0" w:space="0" w:color="auto"/>
        <w:right w:val="none" w:sz="0" w:space="0" w:color="auto"/>
      </w:divBdr>
    </w:div>
    <w:div w:id="2112047540">
      <w:bodyDiv w:val="1"/>
      <w:marLeft w:val="0"/>
      <w:marRight w:val="0"/>
      <w:marTop w:val="0"/>
      <w:marBottom w:val="0"/>
      <w:divBdr>
        <w:top w:val="none" w:sz="0" w:space="0" w:color="auto"/>
        <w:left w:val="none" w:sz="0" w:space="0" w:color="auto"/>
        <w:bottom w:val="none" w:sz="0" w:space="0" w:color="auto"/>
        <w:right w:val="none" w:sz="0" w:space="0" w:color="auto"/>
      </w:divBdr>
    </w:div>
    <w:div w:id="21458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uploads/documents/docs/2024-07/baa6e236b392e9687b233c6b8370926fe8ed09b665cc2da79ee69846a73af77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43430/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skyrius|5908eca3-6d57-464f-8cbe-536f81c5e307;Komunikacijos skyrius|7225d5ac-bb77-406d-9c1d-df1a7d9c62d1</dbd9b52b55eb4a0faa37c5caaf322afa>
    <DmsRegDoc xmlns="4b2e9d09-07c5-42d4-ad0a-92e216c40b99">390698</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3A75C-4A4C-4AFE-BA94-7845A5434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91E12-65F4-4A7C-9FE4-0AA74F4DEADC}">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9B66BF0A-8373-4E53-B7C8-FF6B01F0E3AF}">
  <ds:schemaRefs>
    <ds:schemaRef ds:uri="http://schemas.openxmlformats.org/officeDocument/2006/bibliography"/>
  </ds:schemaRefs>
</ds:datastoreItem>
</file>

<file path=customXml/itemProps4.xml><?xml version="1.0" encoding="utf-8"?>
<ds:datastoreItem xmlns:ds="http://schemas.openxmlformats.org/officeDocument/2006/customXml" ds:itemID="{26BB8A5B-8159-4B44-9091-B17802517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43435</Words>
  <Characters>24758</Characters>
  <Application>Microsoft Office Word</Application>
  <DocSecurity>0</DocSecurity>
  <Lines>206</Lines>
  <Paragraphs>136</Paragraphs>
  <ScaleCrop>false</ScaleCrop>
  <Company/>
  <LinksUpToDate>false</LinksUpToDate>
  <CharactersWithSpaces>68057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Dėl konsultacijų pažymos - info@cpva.lt</dc:title>
  <dc:subject/>
  <dc:creator>Paulius Raugalas</dc:creator>
  <cp:keywords/>
  <dc:description/>
  <cp:lastModifiedBy>Lučinskaitė Nerija | ŠMSM</cp:lastModifiedBy>
  <cp:revision>2</cp:revision>
  <dcterms:created xsi:type="dcterms:W3CDTF">2025-08-13T12:33:00Z</dcterms:created>
  <dcterms:modified xsi:type="dcterms:W3CDTF">2025-08-13T12:33:00Z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skyrius|5908eca3-6d57-464f-8cbe-536f81c5e307;#51;#Komunikacijos skyrius|7225d5ac-bb77-406d-9c1d-df1a7d9c62d1</vt:lpwstr>
  </property>
  <property fmtid="{D5CDD505-2E9C-101B-9397-08002B2CF9AE}" pid="7" name="DmsCPVAOtherResponsiblePersons">
    <vt:lpwstr/>
  </property>
  <property fmtid="{D5CDD505-2E9C-101B-9397-08002B2CF9AE}" pid="8" name="DmsPermissionsUsers">
    <vt:lpwstr>1073741823;#Sistemos abonementas;#803;#Neringa Sabienė;#876;#Lina Mechoncevė;#306;#Neringa Žemaitienė;#1334;#Urtė Morozovaitė;#136;#Alvyda Ažubalytė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2024-10-29T07:39:49Z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107897</vt:lpwstr>
  </property>
</Properties>
</file>