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303F3" w14:textId="06A1F202" w:rsidR="00B33655" w:rsidRDefault="00B33655" w:rsidP="00B33655">
      <w:pPr>
        <w:tabs>
          <w:tab w:val="center" w:pos="4513"/>
          <w:tab w:val="right" w:pos="9026"/>
        </w:tabs>
        <w:ind w:firstLine="9639"/>
        <w:rPr>
          <w:szCs w:val="24"/>
          <w:shd w:val="clear" w:color="auto" w:fill="FFFFFF"/>
        </w:rPr>
      </w:pPr>
      <w:bookmarkStart w:id="0" w:name="_GoBack"/>
      <w:bookmarkEnd w:id="0"/>
      <w:r>
        <w:rPr>
          <w:szCs w:val="24"/>
          <w:shd w:val="clear" w:color="auto" w:fill="FFFFFF"/>
        </w:rPr>
        <w:t xml:space="preserve">2021–2030 metų plėtros programos valdytojos </w:t>
      </w:r>
    </w:p>
    <w:p w14:paraId="1E6207E7" w14:textId="77777777" w:rsidR="00B33655" w:rsidRDefault="00B33655" w:rsidP="00B33655">
      <w:pPr>
        <w:ind w:firstLine="9639"/>
        <w:rPr>
          <w:szCs w:val="24"/>
          <w:shd w:val="clear" w:color="auto" w:fill="FFFFFF"/>
        </w:rPr>
      </w:pPr>
      <w:r>
        <w:rPr>
          <w:szCs w:val="24"/>
          <w:shd w:val="clear" w:color="auto" w:fill="FFFFFF"/>
        </w:rPr>
        <w:t xml:space="preserve">Lietuvos Respublikos švietimo, mokslo ir </w:t>
      </w:r>
    </w:p>
    <w:p w14:paraId="4ECF2F3C" w14:textId="77777777" w:rsidR="00B33655" w:rsidRDefault="00B33655" w:rsidP="00B33655">
      <w:pPr>
        <w:ind w:firstLine="9639"/>
        <w:rPr>
          <w:szCs w:val="24"/>
          <w:shd w:val="clear" w:color="auto" w:fill="FFFFFF"/>
        </w:rPr>
      </w:pPr>
      <w:r>
        <w:rPr>
          <w:szCs w:val="24"/>
          <w:shd w:val="clear" w:color="auto" w:fill="FFFFFF"/>
        </w:rPr>
        <w:t xml:space="preserve">sporto ministerijos švietimo plėtros programos </w:t>
      </w:r>
    </w:p>
    <w:p w14:paraId="31A065AA" w14:textId="77777777" w:rsidR="00B33655" w:rsidRDefault="00B33655" w:rsidP="00B33655">
      <w:pPr>
        <w:ind w:firstLine="9639"/>
        <w:rPr>
          <w:szCs w:val="24"/>
        </w:rPr>
      </w:pPr>
      <w:r>
        <w:rPr>
          <w:szCs w:val="24"/>
        </w:rPr>
        <w:t xml:space="preserve">pažangos priemonės Nr. 12-003-03-04-02 </w:t>
      </w:r>
    </w:p>
    <w:p w14:paraId="1C109299" w14:textId="77777777" w:rsidR="00B33655" w:rsidRDefault="00B33655" w:rsidP="00B33655">
      <w:pPr>
        <w:ind w:firstLine="9639"/>
        <w:rPr>
          <w:szCs w:val="24"/>
          <w:lang w:eastAsia="en-GB"/>
        </w:rPr>
      </w:pPr>
      <w:r>
        <w:rPr>
          <w:szCs w:val="24"/>
        </w:rPr>
        <w:t>„</w:t>
      </w:r>
      <w:r>
        <w:rPr>
          <w:szCs w:val="24"/>
          <w:lang w:eastAsia="en-GB"/>
        </w:rPr>
        <w:t xml:space="preserve">Užtikrinti efektyvų mokslo ir studijų sistemos </w:t>
      </w:r>
    </w:p>
    <w:p w14:paraId="7FE95864" w14:textId="250A6D51" w:rsidR="001132E0" w:rsidRDefault="00B33655" w:rsidP="00B33655">
      <w:pPr>
        <w:ind w:firstLine="9639"/>
        <w:rPr>
          <w:szCs w:val="24"/>
          <w:lang w:eastAsia="en-GB"/>
        </w:rPr>
      </w:pPr>
      <w:r>
        <w:rPr>
          <w:szCs w:val="24"/>
          <w:lang w:eastAsia="en-GB"/>
        </w:rPr>
        <w:t>valdymą“</w:t>
      </w:r>
      <w:r>
        <w:rPr>
          <w:szCs w:val="24"/>
        </w:rPr>
        <w:t xml:space="preserve"> aprašo</w:t>
      </w:r>
    </w:p>
    <w:p w14:paraId="446E8B98" w14:textId="14A9B482" w:rsidR="001132E0" w:rsidRDefault="00B33655" w:rsidP="00B33655">
      <w:pPr>
        <w:ind w:firstLine="9639"/>
        <w:rPr>
          <w:szCs w:val="24"/>
        </w:rPr>
      </w:pPr>
      <w:r>
        <w:rPr>
          <w:szCs w:val="24"/>
        </w:rPr>
        <w:t>2 priedas</w:t>
      </w:r>
    </w:p>
    <w:p w14:paraId="69AAF9AE" w14:textId="7252B6ED" w:rsidR="001132E0" w:rsidRPr="00B33655" w:rsidRDefault="001132E0">
      <w:pPr>
        <w:ind w:left="10032"/>
        <w:rPr>
          <w:szCs w:val="24"/>
        </w:rPr>
      </w:pPr>
    </w:p>
    <w:p w14:paraId="6A409350" w14:textId="77777777" w:rsidR="00B33655" w:rsidRPr="00B33655" w:rsidRDefault="00B33655">
      <w:pPr>
        <w:ind w:left="10032"/>
        <w:rPr>
          <w:szCs w:val="24"/>
        </w:rPr>
      </w:pPr>
    </w:p>
    <w:p w14:paraId="35F0E073" w14:textId="0838F543" w:rsidR="001132E0" w:rsidRDefault="00B33655">
      <w:pPr>
        <w:jc w:val="center"/>
        <w:rPr>
          <w:szCs w:val="24"/>
        </w:rPr>
      </w:pPr>
      <w:r>
        <w:rPr>
          <w:b/>
          <w:bCs/>
        </w:rPr>
        <w:t>2021</w:t>
      </w:r>
      <w:r>
        <w:rPr>
          <w:szCs w:val="24"/>
          <w:shd w:val="clear" w:color="auto" w:fill="FFFFFF"/>
        </w:rPr>
        <w:t>–</w:t>
      </w:r>
      <w:r>
        <w:rPr>
          <w:b/>
          <w:bCs/>
        </w:rPr>
        <w:t xml:space="preserve">2030 METŲ PLĖTROS PROGRAMOS VALDYTOJOS LIETUVOS RESPUBLIKOS ŠVIETIMO, MOKSLO IR SPORTO MINISTERIJOS </w:t>
      </w:r>
      <w:r>
        <w:rPr>
          <w:b/>
          <w:bCs/>
          <w:szCs w:val="24"/>
        </w:rPr>
        <w:t>ŠVIETIMO PLĖTROS PROGRAMOS PAŽANGOS PRIEMONĖS NR. 12-003-03-04-02 „UŽTIKRINTI EFEKTYVŲ MOKSLO IR STUDIJŲ SISTEMOS VALDYMĄ</w:t>
      </w:r>
      <w:r>
        <w:rPr>
          <w:b/>
          <w:bCs/>
          <w:szCs w:val="24"/>
          <w:lang w:eastAsia="en-GB"/>
        </w:rPr>
        <w:t>“</w:t>
      </w:r>
      <w:r>
        <w:rPr>
          <w:b/>
          <w:bCs/>
          <w:szCs w:val="24"/>
        </w:rPr>
        <w:t xml:space="preserve"> APRAŠO </w:t>
      </w:r>
      <w:r>
        <w:rPr>
          <w:b/>
          <w:bCs/>
          <w:caps/>
          <w:szCs w:val="24"/>
        </w:rPr>
        <w:t>VEIKLOS „Atnaujinti kolegijų tinklą, įvertinus potencialą, nacionalinius ir regioninius ūkio raidos ir darbo rinkos poreikius</w:t>
      </w:r>
      <w:r>
        <w:rPr>
          <w:b/>
          <w:bCs/>
          <w:iCs/>
          <w:caps/>
          <w:szCs w:val="24"/>
        </w:rPr>
        <w:t xml:space="preserve">“ </w:t>
      </w:r>
      <w:r>
        <w:rPr>
          <w:b/>
          <w:bCs/>
          <w:szCs w:val="24"/>
        </w:rPr>
        <w:t>PROJEKTŲ FINANSAVIMO SĄLYGŲ APRAŠAS</w:t>
      </w:r>
    </w:p>
    <w:p w14:paraId="74DF79CF" w14:textId="28FE5D65" w:rsidR="001132E0" w:rsidRDefault="001132E0" w:rsidP="00C666E5">
      <w:pPr>
        <w:spacing w:line="276" w:lineRule="auto"/>
        <w:jc w:val="center"/>
        <w:rPr>
          <w:i/>
          <w:szCs w:val="24"/>
        </w:rPr>
      </w:pPr>
    </w:p>
    <w:p w14:paraId="5AD6FBF1" w14:textId="77777777" w:rsidR="00DE7103" w:rsidRPr="006010DA" w:rsidRDefault="00DE7103" w:rsidP="00DE7103">
      <w:pPr>
        <w:spacing w:line="259" w:lineRule="auto"/>
        <w:jc w:val="center"/>
        <w:rPr>
          <w:b/>
          <w:bCs/>
        </w:rPr>
      </w:pPr>
      <w:r w:rsidRPr="006010DA">
        <w:rPr>
          <w:b/>
          <w:bCs/>
        </w:rPr>
        <w:t>I SKYRIUS</w:t>
      </w:r>
    </w:p>
    <w:p w14:paraId="048C35AE" w14:textId="77777777" w:rsidR="00DE7103" w:rsidRPr="006010DA" w:rsidRDefault="00DE7103" w:rsidP="00DE7103">
      <w:pPr>
        <w:spacing w:line="259" w:lineRule="auto"/>
        <w:jc w:val="center"/>
        <w:rPr>
          <w:b/>
          <w:bCs/>
        </w:rPr>
      </w:pPr>
      <w:r w:rsidRPr="006010DA">
        <w:rPr>
          <w:b/>
          <w:bCs/>
        </w:rPr>
        <w:t>VEIKLOS AR POVEIKLĖS, KURIOMS NUSTATOMOS PROJEKTŲ FINANSAVIMO SĄLYGOS IR JŲ RODIKLIAI</w:t>
      </w:r>
    </w:p>
    <w:p w14:paraId="3D058A81" w14:textId="77777777" w:rsidR="00C666E5" w:rsidRDefault="00C666E5" w:rsidP="007F1CF5">
      <w:pPr>
        <w:spacing w:line="276" w:lineRule="auto"/>
        <w:jc w:val="center"/>
        <w:rPr>
          <w:i/>
          <w:szCs w:val="24"/>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1276"/>
        <w:gridCol w:w="992"/>
        <w:gridCol w:w="992"/>
        <w:gridCol w:w="1134"/>
        <w:gridCol w:w="1276"/>
        <w:gridCol w:w="850"/>
        <w:gridCol w:w="1134"/>
        <w:gridCol w:w="993"/>
        <w:gridCol w:w="1275"/>
        <w:gridCol w:w="993"/>
        <w:gridCol w:w="1134"/>
      </w:tblGrid>
      <w:tr w:rsidR="001132E0" w14:paraId="0C9EAFF1" w14:textId="00AB4206">
        <w:tc>
          <w:tcPr>
            <w:tcW w:w="15027" w:type="dxa"/>
            <w:gridSpan w:val="13"/>
            <w:vAlign w:val="center"/>
          </w:tcPr>
          <w:p w14:paraId="451093CE" w14:textId="39143B20" w:rsidR="001132E0" w:rsidRPr="007F1CF5" w:rsidRDefault="00C00AF8" w:rsidP="007F1CF5">
            <w:pPr>
              <w:pStyle w:val="ListParagraph"/>
              <w:numPr>
                <w:ilvl w:val="0"/>
                <w:numId w:val="1"/>
              </w:numPr>
              <w:ind w:left="610" w:hanging="250"/>
              <w:rPr>
                <w:b/>
                <w:sz w:val="22"/>
                <w:szCs w:val="22"/>
              </w:rPr>
            </w:pPr>
            <w:r w:rsidRPr="00C00AF8">
              <w:rPr>
                <w:b/>
                <w:sz w:val="22"/>
                <w:szCs w:val="22"/>
              </w:rPr>
              <w:t>Veiklos ar poveiklės, kurioms nustatomos projektų finansavimo sąlygos</w:t>
            </w:r>
          </w:p>
        </w:tc>
      </w:tr>
      <w:tr w:rsidR="001132E0" w14:paraId="032DE036" w14:textId="2D01D548" w:rsidTr="007F1CF5">
        <w:tc>
          <w:tcPr>
            <w:tcW w:w="1560" w:type="dxa"/>
            <w:vAlign w:val="center"/>
          </w:tcPr>
          <w:p w14:paraId="3ED05A23" w14:textId="4F6B8CAA" w:rsidR="001132E0" w:rsidRDefault="00B33655">
            <w:pPr>
              <w:jc w:val="center"/>
              <w:rPr>
                <w:b/>
                <w:sz w:val="22"/>
                <w:szCs w:val="22"/>
              </w:rPr>
            </w:pPr>
            <w:r>
              <w:rPr>
                <w:b/>
                <w:sz w:val="22"/>
                <w:szCs w:val="22"/>
              </w:rPr>
              <w:t xml:space="preserve">Veiklos ar poveiklės </w:t>
            </w:r>
            <w:r w:rsidR="009F54F5">
              <w:rPr>
                <w:b/>
                <w:sz w:val="22"/>
                <w:szCs w:val="22"/>
              </w:rPr>
              <w:t xml:space="preserve">numeris ir </w:t>
            </w:r>
            <w:r>
              <w:rPr>
                <w:b/>
                <w:sz w:val="22"/>
                <w:szCs w:val="22"/>
              </w:rPr>
              <w:t>pavadinimas</w:t>
            </w:r>
          </w:p>
        </w:tc>
        <w:tc>
          <w:tcPr>
            <w:tcW w:w="1418" w:type="dxa"/>
            <w:vAlign w:val="center"/>
          </w:tcPr>
          <w:p w14:paraId="5A1EC349" w14:textId="4625F226" w:rsidR="001132E0" w:rsidRDefault="00B33655">
            <w:pPr>
              <w:jc w:val="center"/>
              <w:rPr>
                <w:b/>
                <w:sz w:val="22"/>
                <w:szCs w:val="22"/>
              </w:rPr>
            </w:pPr>
            <w:r>
              <w:rPr>
                <w:b/>
                <w:sz w:val="22"/>
                <w:szCs w:val="22"/>
              </w:rPr>
              <w:t>Finansavimo šaltinis</w:t>
            </w:r>
          </w:p>
        </w:tc>
        <w:tc>
          <w:tcPr>
            <w:tcW w:w="1276" w:type="dxa"/>
            <w:vAlign w:val="center"/>
          </w:tcPr>
          <w:p w14:paraId="7F2F5042" w14:textId="77777777" w:rsidR="001132E0" w:rsidRDefault="00B33655">
            <w:pPr>
              <w:jc w:val="center"/>
              <w:rPr>
                <w:b/>
                <w:bCs/>
                <w:sz w:val="22"/>
                <w:szCs w:val="22"/>
              </w:rPr>
            </w:pPr>
            <w:r>
              <w:rPr>
                <w:b/>
                <w:bCs/>
                <w:sz w:val="22"/>
                <w:szCs w:val="22"/>
              </w:rPr>
              <w:t>Prioritetas ar kompo</w:t>
            </w:r>
          </w:p>
          <w:p w14:paraId="6936A7CD" w14:textId="37B6E9AD" w:rsidR="001132E0" w:rsidRDefault="00B33655">
            <w:pPr>
              <w:jc w:val="center"/>
              <w:rPr>
                <w:b/>
                <w:sz w:val="22"/>
                <w:szCs w:val="22"/>
              </w:rPr>
            </w:pPr>
            <w:r>
              <w:rPr>
                <w:b/>
                <w:bCs/>
                <w:sz w:val="22"/>
                <w:szCs w:val="22"/>
              </w:rPr>
              <w:t>nentas</w:t>
            </w:r>
          </w:p>
        </w:tc>
        <w:tc>
          <w:tcPr>
            <w:tcW w:w="992" w:type="dxa"/>
            <w:vAlign w:val="center"/>
          </w:tcPr>
          <w:p w14:paraId="70D04CF8" w14:textId="65D9A414" w:rsidR="001132E0" w:rsidRDefault="00B33655">
            <w:pPr>
              <w:jc w:val="center"/>
              <w:rPr>
                <w:b/>
                <w:sz w:val="22"/>
                <w:szCs w:val="22"/>
              </w:rPr>
            </w:pPr>
            <w:r>
              <w:rPr>
                <w:b/>
                <w:bCs/>
                <w:sz w:val="22"/>
                <w:szCs w:val="22"/>
              </w:rPr>
              <w:t>Uždavinys ar priemonė</w:t>
            </w:r>
          </w:p>
        </w:tc>
        <w:tc>
          <w:tcPr>
            <w:tcW w:w="992" w:type="dxa"/>
            <w:vAlign w:val="center"/>
          </w:tcPr>
          <w:p w14:paraId="0225BCB6" w14:textId="171A6BD6" w:rsidR="001132E0" w:rsidRDefault="00B33655">
            <w:pPr>
              <w:jc w:val="center"/>
              <w:rPr>
                <w:b/>
                <w:sz w:val="22"/>
                <w:szCs w:val="22"/>
              </w:rPr>
            </w:pPr>
            <w:r>
              <w:rPr>
                <w:b/>
                <w:bCs/>
                <w:sz w:val="22"/>
                <w:szCs w:val="22"/>
              </w:rPr>
              <w:t>Veikla ar papriemonė</w:t>
            </w:r>
          </w:p>
        </w:tc>
        <w:tc>
          <w:tcPr>
            <w:tcW w:w="1134" w:type="dxa"/>
            <w:vAlign w:val="center"/>
          </w:tcPr>
          <w:p w14:paraId="7CC533E8" w14:textId="77777777" w:rsidR="001132E0" w:rsidRDefault="00B33655">
            <w:pPr>
              <w:jc w:val="center"/>
              <w:rPr>
                <w:b/>
                <w:sz w:val="22"/>
                <w:szCs w:val="22"/>
              </w:rPr>
            </w:pPr>
            <w:r>
              <w:rPr>
                <w:b/>
                <w:sz w:val="22"/>
                <w:szCs w:val="22"/>
              </w:rPr>
              <w:t>Intervencinės priemonės kodas</w:t>
            </w:r>
          </w:p>
        </w:tc>
        <w:tc>
          <w:tcPr>
            <w:tcW w:w="1276" w:type="dxa"/>
            <w:vAlign w:val="center"/>
          </w:tcPr>
          <w:p w14:paraId="290A76A6" w14:textId="77777777" w:rsidR="001132E0" w:rsidRDefault="00B33655">
            <w:pPr>
              <w:jc w:val="center"/>
              <w:rPr>
                <w:b/>
                <w:sz w:val="22"/>
                <w:szCs w:val="22"/>
              </w:rPr>
            </w:pPr>
            <w:r>
              <w:rPr>
                <w:b/>
                <w:sz w:val="22"/>
                <w:szCs w:val="22"/>
              </w:rPr>
              <w:t>Regionas, kuriam priskiria</w:t>
            </w:r>
          </w:p>
          <w:p w14:paraId="3465486A" w14:textId="214D2ED5" w:rsidR="001132E0" w:rsidRDefault="00B33655">
            <w:pPr>
              <w:jc w:val="center"/>
              <w:rPr>
                <w:b/>
                <w:bCs/>
                <w:sz w:val="22"/>
                <w:szCs w:val="22"/>
              </w:rPr>
            </w:pPr>
            <w:r>
              <w:rPr>
                <w:b/>
                <w:sz w:val="22"/>
                <w:szCs w:val="22"/>
              </w:rPr>
              <w:t>ma veikla ar poveiklė</w:t>
            </w:r>
          </w:p>
        </w:tc>
        <w:tc>
          <w:tcPr>
            <w:tcW w:w="850" w:type="dxa"/>
            <w:vAlign w:val="center"/>
          </w:tcPr>
          <w:p w14:paraId="2C97E21A" w14:textId="77777777" w:rsidR="001132E0" w:rsidRDefault="00B33655">
            <w:pPr>
              <w:jc w:val="center"/>
              <w:rPr>
                <w:b/>
                <w:sz w:val="22"/>
                <w:szCs w:val="22"/>
              </w:rPr>
            </w:pPr>
            <w:r>
              <w:rPr>
                <w:b/>
                <w:bCs/>
                <w:sz w:val="22"/>
                <w:szCs w:val="22"/>
              </w:rPr>
              <w:t>Paramos formos kodas</w:t>
            </w:r>
          </w:p>
        </w:tc>
        <w:tc>
          <w:tcPr>
            <w:tcW w:w="1134" w:type="dxa"/>
            <w:vAlign w:val="center"/>
          </w:tcPr>
          <w:p w14:paraId="59C9BFE2" w14:textId="77777777" w:rsidR="001132E0" w:rsidRDefault="00B33655">
            <w:pPr>
              <w:jc w:val="center"/>
              <w:rPr>
                <w:b/>
                <w:sz w:val="22"/>
                <w:szCs w:val="22"/>
              </w:rPr>
            </w:pPr>
            <w:r>
              <w:rPr>
                <w:b/>
                <w:bCs/>
                <w:sz w:val="22"/>
                <w:szCs w:val="22"/>
              </w:rPr>
              <w:t>Pagrindinės teritorinės srities kodas (-ai)</w:t>
            </w:r>
          </w:p>
        </w:tc>
        <w:tc>
          <w:tcPr>
            <w:tcW w:w="993" w:type="dxa"/>
            <w:vAlign w:val="center"/>
          </w:tcPr>
          <w:p w14:paraId="2BD32309" w14:textId="77777777" w:rsidR="001132E0" w:rsidRDefault="00B33655">
            <w:pPr>
              <w:jc w:val="center"/>
              <w:rPr>
                <w:b/>
                <w:sz w:val="22"/>
                <w:szCs w:val="22"/>
              </w:rPr>
            </w:pPr>
            <w:r>
              <w:rPr>
                <w:b/>
                <w:bCs/>
                <w:sz w:val="22"/>
                <w:szCs w:val="22"/>
              </w:rPr>
              <w:t>Ekonominės veiklos kodas (-ai)</w:t>
            </w:r>
          </w:p>
        </w:tc>
        <w:tc>
          <w:tcPr>
            <w:tcW w:w="1275" w:type="dxa"/>
            <w:vAlign w:val="center"/>
          </w:tcPr>
          <w:p w14:paraId="5DF3D341" w14:textId="77777777" w:rsidR="001132E0" w:rsidRDefault="00B33655">
            <w:pPr>
              <w:jc w:val="center"/>
              <w:rPr>
                <w:b/>
                <w:bCs/>
                <w:sz w:val="22"/>
                <w:szCs w:val="22"/>
              </w:rPr>
            </w:pPr>
            <w:r>
              <w:rPr>
                <w:b/>
                <w:bCs/>
                <w:sz w:val="22"/>
                <w:szCs w:val="22"/>
              </w:rPr>
              <w:t>„Europos socialinio fondo +“ (toliau – ESF+) antrinių temų kodai</w:t>
            </w:r>
          </w:p>
        </w:tc>
        <w:tc>
          <w:tcPr>
            <w:tcW w:w="993" w:type="dxa"/>
            <w:vAlign w:val="center"/>
          </w:tcPr>
          <w:p w14:paraId="6DFC4D49" w14:textId="77777777" w:rsidR="001132E0" w:rsidRDefault="00B33655">
            <w:pPr>
              <w:jc w:val="center"/>
              <w:rPr>
                <w:b/>
                <w:bCs/>
                <w:sz w:val="22"/>
                <w:szCs w:val="22"/>
              </w:rPr>
            </w:pPr>
            <w:r>
              <w:rPr>
                <w:b/>
                <w:bCs/>
                <w:sz w:val="22"/>
                <w:szCs w:val="22"/>
              </w:rPr>
              <w:t>Lyčių lygybės matmens kodas</w:t>
            </w:r>
          </w:p>
        </w:tc>
        <w:tc>
          <w:tcPr>
            <w:tcW w:w="1134" w:type="dxa"/>
          </w:tcPr>
          <w:p w14:paraId="15793FE0" w14:textId="37D50FBD" w:rsidR="001132E0" w:rsidRDefault="00B33655">
            <w:pPr>
              <w:jc w:val="center"/>
              <w:rPr>
                <w:b/>
                <w:bCs/>
                <w:sz w:val="22"/>
                <w:szCs w:val="22"/>
              </w:rPr>
            </w:pPr>
            <w:r>
              <w:rPr>
                <w:b/>
                <w:bCs/>
                <w:sz w:val="22"/>
                <w:szCs w:val="22"/>
              </w:rPr>
              <w:t>Nepanaudotos Ekonomikos gaivinimo ir atsparumo didinimo priemonės lėšos</w:t>
            </w:r>
          </w:p>
          <w:p w14:paraId="3A5FFC28" w14:textId="2BEC5823" w:rsidR="001132E0" w:rsidRDefault="00B33655">
            <w:pPr>
              <w:jc w:val="center"/>
              <w:rPr>
                <w:b/>
                <w:bCs/>
                <w:sz w:val="22"/>
                <w:szCs w:val="22"/>
              </w:rPr>
            </w:pPr>
            <w:r>
              <w:rPr>
                <w:b/>
                <w:bCs/>
                <w:sz w:val="22"/>
                <w:szCs w:val="22"/>
              </w:rPr>
              <w:t>(Taip / Ne)</w:t>
            </w:r>
          </w:p>
        </w:tc>
      </w:tr>
      <w:tr w:rsidR="001132E0" w14:paraId="25987BC8" w14:textId="0AF494A8" w:rsidTr="007F1CF5">
        <w:tc>
          <w:tcPr>
            <w:tcW w:w="1560" w:type="dxa"/>
          </w:tcPr>
          <w:p w14:paraId="34513F98" w14:textId="2D3BF308" w:rsidR="001132E0" w:rsidRDefault="000D527D" w:rsidP="000D527D">
            <w:pPr>
              <w:tabs>
                <w:tab w:val="left" w:pos="173"/>
                <w:tab w:val="left" w:pos="1308"/>
              </w:tabs>
              <w:jc w:val="both"/>
              <w:rPr>
                <w:iCs/>
                <w:sz w:val="22"/>
                <w:szCs w:val="22"/>
              </w:rPr>
            </w:pPr>
            <w:r>
              <w:rPr>
                <w:sz w:val="22"/>
                <w:szCs w:val="22"/>
              </w:rPr>
              <w:t xml:space="preserve">4. </w:t>
            </w:r>
            <w:r w:rsidR="00B33655">
              <w:rPr>
                <w:sz w:val="22"/>
                <w:szCs w:val="22"/>
              </w:rPr>
              <w:t xml:space="preserve">Atnaujinti kolegijų tinklą, įvertinus </w:t>
            </w:r>
            <w:r w:rsidR="00B33655">
              <w:rPr>
                <w:sz w:val="22"/>
                <w:szCs w:val="22"/>
              </w:rPr>
              <w:lastRenderedPageBreak/>
              <w:t>potencialą, nacionalinius ir regioninius ūkio raidos ir darbo rinkos poreikius</w:t>
            </w:r>
          </w:p>
          <w:p w14:paraId="0365C9DD" w14:textId="53CB2B84" w:rsidR="001132E0" w:rsidRDefault="001132E0">
            <w:pPr>
              <w:jc w:val="both"/>
              <w:rPr>
                <w:b/>
                <w:sz w:val="22"/>
                <w:szCs w:val="22"/>
              </w:rPr>
            </w:pPr>
          </w:p>
        </w:tc>
        <w:tc>
          <w:tcPr>
            <w:tcW w:w="1418" w:type="dxa"/>
          </w:tcPr>
          <w:p w14:paraId="12AB2385" w14:textId="77777777" w:rsidR="001132E0" w:rsidRDefault="00B33655">
            <w:pPr>
              <w:jc w:val="both"/>
              <w:rPr>
                <w:iCs/>
                <w:sz w:val="22"/>
                <w:szCs w:val="22"/>
              </w:rPr>
            </w:pPr>
            <w:r>
              <w:rPr>
                <w:iCs/>
                <w:sz w:val="22"/>
                <w:szCs w:val="22"/>
              </w:rPr>
              <w:lastRenderedPageBreak/>
              <w:t xml:space="preserve">Ekonomikos gaivinimo ir atsparumo </w:t>
            </w:r>
            <w:r>
              <w:rPr>
                <w:iCs/>
                <w:sz w:val="22"/>
                <w:szCs w:val="22"/>
              </w:rPr>
              <w:lastRenderedPageBreak/>
              <w:t xml:space="preserve">didinimo priemonės (toliau – EGADP) lėšos </w:t>
            </w:r>
          </w:p>
          <w:p w14:paraId="4A7E5738" w14:textId="77777777" w:rsidR="001132E0" w:rsidRDefault="001132E0">
            <w:pPr>
              <w:jc w:val="both"/>
              <w:rPr>
                <w:iCs/>
                <w:sz w:val="22"/>
                <w:szCs w:val="22"/>
              </w:rPr>
            </w:pPr>
          </w:p>
          <w:p w14:paraId="72FDD82F" w14:textId="6BE4D822" w:rsidR="001132E0" w:rsidRDefault="00B33655">
            <w:pPr>
              <w:jc w:val="both"/>
              <w:rPr>
                <w:b/>
                <w:sz w:val="22"/>
                <w:szCs w:val="22"/>
              </w:rPr>
            </w:pPr>
            <w:r>
              <w:rPr>
                <w:bCs/>
                <w:sz w:val="22"/>
                <w:szCs w:val="22"/>
              </w:rPr>
              <w:t>Valstybės biudžeto lėšos, skirtos apmokėti bendrai finansuojamiems iš ES fondų lėšų projektams, netinkamiems finansuoti iš ES fondų lėšų pirkimo ir (arba) importo PVM</w:t>
            </w:r>
          </w:p>
        </w:tc>
        <w:tc>
          <w:tcPr>
            <w:tcW w:w="1276" w:type="dxa"/>
          </w:tcPr>
          <w:p w14:paraId="0F5B660F" w14:textId="4544738E" w:rsidR="001132E0" w:rsidRDefault="00B33655">
            <w:pPr>
              <w:jc w:val="both"/>
              <w:rPr>
                <w:b/>
                <w:bCs/>
                <w:sz w:val="22"/>
                <w:szCs w:val="22"/>
              </w:rPr>
            </w:pPr>
            <w:r>
              <w:rPr>
                <w:iCs/>
                <w:sz w:val="22"/>
                <w:szCs w:val="22"/>
              </w:rPr>
              <w:lastRenderedPageBreak/>
              <w:t xml:space="preserve">5 </w:t>
            </w:r>
          </w:p>
        </w:tc>
        <w:tc>
          <w:tcPr>
            <w:tcW w:w="992" w:type="dxa"/>
          </w:tcPr>
          <w:p w14:paraId="4066FEFA" w14:textId="6E11FB4E" w:rsidR="001132E0" w:rsidRDefault="00B33655">
            <w:pPr>
              <w:jc w:val="both"/>
              <w:rPr>
                <w:b/>
                <w:bCs/>
                <w:sz w:val="22"/>
                <w:szCs w:val="22"/>
              </w:rPr>
            </w:pPr>
            <w:r>
              <w:rPr>
                <w:iCs/>
                <w:sz w:val="22"/>
                <w:szCs w:val="22"/>
              </w:rPr>
              <w:t>E.1</w:t>
            </w:r>
          </w:p>
        </w:tc>
        <w:tc>
          <w:tcPr>
            <w:tcW w:w="992" w:type="dxa"/>
          </w:tcPr>
          <w:p w14:paraId="4A509922" w14:textId="42E2CEAE" w:rsidR="001132E0" w:rsidRDefault="00B33655">
            <w:pPr>
              <w:jc w:val="both"/>
              <w:rPr>
                <w:b/>
                <w:bCs/>
                <w:sz w:val="22"/>
                <w:szCs w:val="22"/>
              </w:rPr>
            </w:pPr>
            <w:r>
              <w:rPr>
                <w:iCs/>
                <w:sz w:val="22"/>
                <w:szCs w:val="22"/>
              </w:rPr>
              <w:t xml:space="preserve">E.1.1.2. </w:t>
            </w:r>
          </w:p>
        </w:tc>
        <w:tc>
          <w:tcPr>
            <w:tcW w:w="1134" w:type="dxa"/>
          </w:tcPr>
          <w:p w14:paraId="110F7ECD" w14:textId="121FC00E" w:rsidR="001132E0" w:rsidRDefault="00B33655">
            <w:pPr>
              <w:jc w:val="both"/>
              <w:rPr>
                <w:b/>
                <w:sz w:val="22"/>
                <w:szCs w:val="22"/>
              </w:rPr>
            </w:pPr>
            <w:r>
              <w:rPr>
                <w:iCs/>
                <w:sz w:val="22"/>
                <w:szCs w:val="22"/>
              </w:rPr>
              <w:t>087, 113</w:t>
            </w:r>
          </w:p>
        </w:tc>
        <w:tc>
          <w:tcPr>
            <w:tcW w:w="1276" w:type="dxa"/>
          </w:tcPr>
          <w:p w14:paraId="1A8042F6" w14:textId="15F3A08E" w:rsidR="001132E0" w:rsidRDefault="00B33655">
            <w:pPr>
              <w:jc w:val="both"/>
              <w:rPr>
                <w:b/>
                <w:sz w:val="22"/>
                <w:szCs w:val="22"/>
              </w:rPr>
            </w:pPr>
            <w:r>
              <w:rPr>
                <w:b/>
                <w:sz w:val="22"/>
                <w:szCs w:val="22"/>
              </w:rPr>
              <w:t>-</w:t>
            </w:r>
          </w:p>
        </w:tc>
        <w:tc>
          <w:tcPr>
            <w:tcW w:w="850" w:type="dxa"/>
          </w:tcPr>
          <w:p w14:paraId="45958B98" w14:textId="0CB72473" w:rsidR="001132E0" w:rsidRDefault="00B33655">
            <w:pPr>
              <w:jc w:val="both"/>
              <w:rPr>
                <w:b/>
                <w:bCs/>
                <w:sz w:val="22"/>
                <w:szCs w:val="22"/>
              </w:rPr>
            </w:pPr>
            <w:r>
              <w:rPr>
                <w:b/>
                <w:bCs/>
                <w:sz w:val="22"/>
                <w:szCs w:val="22"/>
              </w:rPr>
              <w:t>-</w:t>
            </w:r>
          </w:p>
        </w:tc>
        <w:tc>
          <w:tcPr>
            <w:tcW w:w="1134" w:type="dxa"/>
          </w:tcPr>
          <w:p w14:paraId="151910DA" w14:textId="2B51A814" w:rsidR="001132E0" w:rsidRDefault="00B33655">
            <w:pPr>
              <w:jc w:val="both"/>
              <w:rPr>
                <w:b/>
                <w:bCs/>
                <w:sz w:val="22"/>
                <w:szCs w:val="22"/>
              </w:rPr>
            </w:pPr>
            <w:r>
              <w:rPr>
                <w:b/>
                <w:bCs/>
                <w:sz w:val="22"/>
                <w:szCs w:val="22"/>
              </w:rPr>
              <w:t>-</w:t>
            </w:r>
          </w:p>
        </w:tc>
        <w:tc>
          <w:tcPr>
            <w:tcW w:w="993" w:type="dxa"/>
          </w:tcPr>
          <w:p w14:paraId="7DA82B5F" w14:textId="2CF84BB2" w:rsidR="001132E0" w:rsidRDefault="00B33655">
            <w:pPr>
              <w:jc w:val="both"/>
              <w:rPr>
                <w:b/>
                <w:bCs/>
                <w:sz w:val="22"/>
                <w:szCs w:val="22"/>
              </w:rPr>
            </w:pPr>
            <w:r>
              <w:rPr>
                <w:b/>
                <w:bCs/>
                <w:sz w:val="22"/>
                <w:szCs w:val="22"/>
              </w:rPr>
              <w:t>-</w:t>
            </w:r>
          </w:p>
        </w:tc>
        <w:tc>
          <w:tcPr>
            <w:tcW w:w="1275" w:type="dxa"/>
          </w:tcPr>
          <w:p w14:paraId="3794D3D9" w14:textId="4B90E65E" w:rsidR="001132E0" w:rsidRDefault="00B33655">
            <w:pPr>
              <w:jc w:val="both"/>
              <w:rPr>
                <w:b/>
                <w:bCs/>
                <w:sz w:val="22"/>
                <w:szCs w:val="22"/>
              </w:rPr>
            </w:pPr>
            <w:r>
              <w:rPr>
                <w:b/>
                <w:bCs/>
                <w:sz w:val="22"/>
                <w:szCs w:val="22"/>
              </w:rPr>
              <w:t>-</w:t>
            </w:r>
          </w:p>
        </w:tc>
        <w:tc>
          <w:tcPr>
            <w:tcW w:w="993" w:type="dxa"/>
          </w:tcPr>
          <w:p w14:paraId="638FFAE1" w14:textId="2EC113BB" w:rsidR="001132E0" w:rsidRDefault="00B33655">
            <w:pPr>
              <w:jc w:val="both"/>
              <w:rPr>
                <w:sz w:val="22"/>
                <w:szCs w:val="22"/>
              </w:rPr>
            </w:pPr>
            <w:r>
              <w:rPr>
                <w:sz w:val="22"/>
                <w:szCs w:val="22"/>
              </w:rPr>
              <w:t>-</w:t>
            </w:r>
          </w:p>
        </w:tc>
        <w:tc>
          <w:tcPr>
            <w:tcW w:w="1134" w:type="dxa"/>
          </w:tcPr>
          <w:p w14:paraId="63F7B67D" w14:textId="2768F209" w:rsidR="001132E0" w:rsidRDefault="00B33655">
            <w:pPr>
              <w:jc w:val="both"/>
              <w:rPr>
                <w:sz w:val="22"/>
                <w:szCs w:val="22"/>
              </w:rPr>
            </w:pPr>
            <w:r>
              <w:rPr>
                <w:sz w:val="22"/>
                <w:szCs w:val="22"/>
              </w:rPr>
              <w:t>Ne</w:t>
            </w:r>
          </w:p>
        </w:tc>
      </w:tr>
    </w:tbl>
    <w:p w14:paraId="3DA7ED43" w14:textId="77777777" w:rsidR="001132E0" w:rsidRDefault="001132E0">
      <w:pPr>
        <w:spacing w:line="276" w:lineRule="auto"/>
        <w:rPr>
          <w:i/>
          <w:szCs w:val="24"/>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9"/>
        <w:gridCol w:w="3688"/>
        <w:gridCol w:w="3688"/>
        <w:gridCol w:w="3532"/>
      </w:tblGrid>
      <w:tr w:rsidR="00F119F7" w14:paraId="3E4192ED" w14:textId="77777777" w:rsidTr="00F8287D">
        <w:trPr>
          <w:trHeight w:val="405"/>
        </w:trPr>
        <w:tc>
          <w:tcPr>
            <w:tcW w:w="15027" w:type="dxa"/>
            <w:gridSpan w:val="4"/>
            <w:vAlign w:val="center"/>
          </w:tcPr>
          <w:p w14:paraId="34D72F62" w14:textId="2C54DED0" w:rsidR="00F119F7" w:rsidRDefault="00390A57" w:rsidP="007F1CF5">
            <w:pPr>
              <w:rPr>
                <w:sz w:val="22"/>
                <w:szCs w:val="22"/>
              </w:rPr>
            </w:pPr>
            <w:r>
              <w:rPr>
                <w:b/>
                <w:sz w:val="22"/>
                <w:szCs w:val="22"/>
              </w:rPr>
              <w:t xml:space="preserve">2. </w:t>
            </w:r>
            <w:r w:rsidRPr="001A6ED3">
              <w:rPr>
                <w:b/>
                <w:sz w:val="22"/>
                <w:szCs w:val="22"/>
              </w:rPr>
              <w:t>Veiklos ar poveiklės rodikliai</w:t>
            </w:r>
          </w:p>
        </w:tc>
      </w:tr>
      <w:tr w:rsidR="001132E0" w14:paraId="595DED0D" w14:textId="77777777">
        <w:trPr>
          <w:trHeight w:val="405"/>
        </w:trPr>
        <w:tc>
          <w:tcPr>
            <w:tcW w:w="4119" w:type="dxa"/>
            <w:vAlign w:val="center"/>
          </w:tcPr>
          <w:p w14:paraId="3ECD6A9C" w14:textId="77777777" w:rsidR="001132E0" w:rsidRDefault="00B33655">
            <w:pPr>
              <w:jc w:val="center"/>
              <w:rPr>
                <w:sz w:val="22"/>
                <w:szCs w:val="22"/>
              </w:rPr>
            </w:pPr>
            <w:r>
              <w:rPr>
                <w:sz w:val="22"/>
                <w:szCs w:val="22"/>
              </w:rPr>
              <w:t>Rodiklio pavadinimas</w:t>
            </w:r>
          </w:p>
        </w:tc>
        <w:tc>
          <w:tcPr>
            <w:tcW w:w="3688" w:type="dxa"/>
            <w:vAlign w:val="center"/>
          </w:tcPr>
          <w:p w14:paraId="697FAECC" w14:textId="77777777" w:rsidR="001132E0" w:rsidRDefault="00B33655">
            <w:pPr>
              <w:jc w:val="center"/>
              <w:rPr>
                <w:sz w:val="22"/>
                <w:szCs w:val="22"/>
              </w:rPr>
            </w:pPr>
            <w:r>
              <w:rPr>
                <w:sz w:val="22"/>
                <w:szCs w:val="22"/>
              </w:rPr>
              <w:t>Rodiklio kodas</w:t>
            </w:r>
          </w:p>
        </w:tc>
        <w:tc>
          <w:tcPr>
            <w:tcW w:w="3688" w:type="dxa"/>
            <w:vAlign w:val="center"/>
          </w:tcPr>
          <w:p w14:paraId="6261B6ED" w14:textId="77777777" w:rsidR="001132E0" w:rsidRDefault="00B33655">
            <w:pPr>
              <w:jc w:val="center"/>
              <w:rPr>
                <w:sz w:val="22"/>
                <w:szCs w:val="22"/>
              </w:rPr>
            </w:pPr>
            <w:r>
              <w:rPr>
                <w:sz w:val="22"/>
                <w:szCs w:val="22"/>
              </w:rPr>
              <w:t>Matavimo vienetai</w:t>
            </w:r>
          </w:p>
        </w:tc>
        <w:tc>
          <w:tcPr>
            <w:tcW w:w="3532" w:type="dxa"/>
            <w:vAlign w:val="center"/>
          </w:tcPr>
          <w:p w14:paraId="59B394BD" w14:textId="507E5205" w:rsidR="001132E0" w:rsidRDefault="00B33655">
            <w:pPr>
              <w:jc w:val="center"/>
              <w:rPr>
                <w:sz w:val="22"/>
                <w:szCs w:val="22"/>
              </w:rPr>
            </w:pPr>
            <w:r>
              <w:rPr>
                <w:sz w:val="22"/>
                <w:szCs w:val="22"/>
              </w:rPr>
              <w:t>Siektina reikšmė ir pasiekimo data</w:t>
            </w:r>
          </w:p>
        </w:tc>
      </w:tr>
      <w:tr w:rsidR="001132E0" w14:paraId="2FD4A513" w14:textId="77777777">
        <w:trPr>
          <w:trHeight w:val="725"/>
        </w:trPr>
        <w:tc>
          <w:tcPr>
            <w:tcW w:w="4119" w:type="dxa"/>
          </w:tcPr>
          <w:p w14:paraId="79FDDA66" w14:textId="736B7AD7" w:rsidR="001132E0" w:rsidRDefault="00B33655">
            <w:pPr>
              <w:jc w:val="center"/>
              <w:rPr>
                <w:sz w:val="22"/>
                <w:szCs w:val="22"/>
              </w:rPr>
            </w:pPr>
            <w:r>
              <w:rPr>
                <w:sz w:val="22"/>
                <w:szCs w:val="22"/>
              </w:rPr>
              <w:t>Įgyvendinti kolegijų pertvarkos (pagal atnaujintas misijas) projektai</w:t>
            </w:r>
          </w:p>
        </w:tc>
        <w:tc>
          <w:tcPr>
            <w:tcW w:w="3688" w:type="dxa"/>
          </w:tcPr>
          <w:p w14:paraId="49C051FF" w14:textId="77777777" w:rsidR="001132E0" w:rsidRDefault="00B33655">
            <w:pPr>
              <w:jc w:val="center"/>
              <w:rPr>
                <w:sz w:val="22"/>
                <w:szCs w:val="22"/>
              </w:rPr>
            </w:pPr>
            <w:r>
              <w:rPr>
                <w:sz w:val="22"/>
                <w:szCs w:val="22"/>
              </w:rPr>
              <w:t>P-12-003-03-04-02-08</w:t>
            </w:r>
          </w:p>
          <w:p w14:paraId="00E27461" w14:textId="141C810D" w:rsidR="001132E0" w:rsidRDefault="00B33655">
            <w:pPr>
              <w:jc w:val="center"/>
              <w:rPr>
                <w:i/>
                <w:iCs/>
                <w:sz w:val="22"/>
                <w:szCs w:val="22"/>
              </w:rPr>
            </w:pPr>
            <w:r>
              <w:rPr>
                <w:sz w:val="22"/>
                <w:szCs w:val="22"/>
                <w:lang w:eastAsia="lt-LT"/>
              </w:rPr>
              <w:t>P.S.1.1123</w:t>
            </w:r>
          </w:p>
        </w:tc>
        <w:tc>
          <w:tcPr>
            <w:tcW w:w="3688" w:type="dxa"/>
          </w:tcPr>
          <w:p w14:paraId="0A97558E" w14:textId="17B248BC" w:rsidR="001132E0" w:rsidRDefault="00B33655">
            <w:pPr>
              <w:jc w:val="center"/>
              <w:rPr>
                <w:i/>
                <w:iCs/>
                <w:sz w:val="22"/>
                <w:szCs w:val="22"/>
              </w:rPr>
            </w:pPr>
            <w:r>
              <w:rPr>
                <w:sz w:val="22"/>
                <w:szCs w:val="22"/>
              </w:rPr>
              <w:t>Skaičius</w:t>
            </w:r>
          </w:p>
        </w:tc>
        <w:tc>
          <w:tcPr>
            <w:tcW w:w="3532" w:type="dxa"/>
          </w:tcPr>
          <w:p w14:paraId="374A9299" w14:textId="77777777" w:rsidR="001132E0" w:rsidRDefault="00B33655">
            <w:pPr>
              <w:jc w:val="center"/>
              <w:rPr>
                <w:sz w:val="22"/>
                <w:szCs w:val="22"/>
              </w:rPr>
            </w:pPr>
            <w:r>
              <w:rPr>
                <w:sz w:val="22"/>
                <w:szCs w:val="22"/>
              </w:rPr>
              <w:t>5</w:t>
            </w:r>
          </w:p>
          <w:p w14:paraId="75A40159" w14:textId="3EBC8C91" w:rsidR="001132E0" w:rsidRPr="004F3B09" w:rsidRDefault="00B33655" w:rsidP="00AC4A7B">
            <w:pPr>
              <w:ind w:left="360"/>
              <w:jc w:val="center"/>
              <w:rPr>
                <w:i/>
                <w:iCs/>
                <w:sz w:val="22"/>
                <w:szCs w:val="22"/>
              </w:rPr>
            </w:pPr>
            <w:r w:rsidRPr="00AC4A7B">
              <w:rPr>
                <w:sz w:val="22"/>
                <w:szCs w:val="22"/>
              </w:rPr>
              <w:t>(2025 IV ketv.)</w:t>
            </w:r>
          </w:p>
        </w:tc>
      </w:tr>
    </w:tbl>
    <w:p w14:paraId="543FE1A9" w14:textId="77777777" w:rsidR="001132E0" w:rsidRDefault="001132E0">
      <w:pPr>
        <w:spacing w:line="259" w:lineRule="auto"/>
        <w:jc w:val="both"/>
        <w:rPr>
          <w:i/>
          <w:sz w:val="22"/>
          <w:szCs w:val="22"/>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1"/>
      </w:tblGrid>
      <w:tr w:rsidR="001132E0" w14:paraId="2B581E7B" w14:textId="77777777">
        <w:trPr>
          <w:trHeight w:val="298"/>
        </w:trPr>
        <w:tc>
          <w:tcPr>
            <w:tcW w:w="14991" w:type="dxa"/>
          </w:tcPr>
          <w:p w14:paraId="6992446E" w14:textId="01966C48" w:rsidR="001132E0" w:rsidRPr="007F1CF5" w:rsidRDefault="00B33655" w:rsidP="007F1CF5">
            <w:pPr>
              <w:pStyle w:val="ListParagraph"/>
              <w:numPr>
                <w:ilvl w:val="0"/>
                <w:numId w:val="3"/>
              </w:numPr>
              <w:ind w:left="315" w:hanging="284"/>
              <w:jc w:val="both"/>
              <w:rPr>
                <w:sz w:val="22"/>
                <w:szCs w:val="22"/>
              </w:rPr>
            </w:pPr>
            <w:r w:rsidRPr="007F1CF5">
              <w:rPr>
                <w:sz w:val="22"/>
                <w:szCs w:val="22"/>
              </w:rPr>
              <w:t>Ministerijos stebėsenos rodiklių aprašymo kortelės</w:t>
            </w:r>
          </w:p>
        </w:tc>
      </w:tr>
      <w:tr w:rsidR="001132E0" w14:paraId="120DC1A8" w14:textId="77777777">
        <w:trPr>
          <w:trHeight w:val="315"/>
        </w:trPr>
        <w:tc>
          <w:tcPr>
            <w:tcW w:w="14991" w:type="dxa"/>
          </w:tcPr>
          <w:p w14:paraId="6E962B73" w14:textId="64C88DAF" w:rsidR="001132E0" w:rsidRPr="007F1CF5" w:rsidRDefault="00B33655" w:rsidP="007F1CF5">
            <w:pPr>
              <w:pStyle w:val="ListParagraph"/>
              <w:numPr>
                <w:ilvl w:val="1"/>
                <w:numId w:val="3"/>
              </w:numPr>
              <w:tabs>
                <w:tab w:val="left" w:pos="457"/>
              </w:tabs>
              <w:ind w:left="31" w:firstLine="0"/>
              <w:rPr>
                <w:iCs/>
                <w:sz w:val="22"/>
                <w:szCs w:val="22"/>
              </w:rPr>
            </w:pPr>
            <w:r w:rsidRPr="007F1CF5">
              <w:rPr>
                <w:sz w:val="22"/>
                <w:szCs w:val="22"/>
              </w:rPr>
              <w:t>Rodiklių skaičiavimo metodika pateikta 2021–2030 m. plėtros programos valdytojos Lietuvos Respublikos švietimo, mokslo ir sporto ministerijos švietimo plėtros programos pažangos priemonės Nr. 12-003-03-04-02 „Užtikrinti efektyvų mokslo ir studijų sistemos valdymą“ aprašo</w:t>
            </w:r>
            <w:r w:rsidR="00F06D05" w:rsidRPr="007F1CF5">
              <w:rPr>
                <w:sz w:val="22"/>
                <w:szCs w:val="22"/>
              </w:rPr>
              <w:t xml:space="preserve"> (toliau – Aprašas)</w:t>
            </w:r>
            <w:r w:rsidRPr="007F1CF5">
              <w:rPr>
                <w:sz w:val="22"/>
                <w:szCs w:val="22"/>
              </w:rPr>
              <w:t xml:space="preserve"> 3 priede.</w:t>
            </w:r>
          </w:p>
        </w:tc>
      </w:tr>
    </w:tbl>
    <w:p w14:paraId="47F22ADF" w14:textId="77777777" w:rsidR="001132E0" w:rsidRDefault="001132E0">
      <w:pPr>
        <w:spacing w:line="259" w:lineRule="auto"/>
        <w:jc w:val="both"/>
        <w:rPr>
          <w:i/>
          <w:sz w:val="22"/>
          <w:szCs w:val="22"/>
        </w:rPr>
      </w:pPr>
    </w:p>
    <w:p w14:paraId="679FBBA3" w14:textId="77777777" w:rsidR="004F56CE" w:rsidRPr="001A6ED3" w:rsidRDefault="004F56CE" w:rsidP="004F56CE">
      <w:pPr>
        <w:jc w:val="center"/>
        <w:rPr>
          <w:b/>
          <w:bCs/>
          <w:szCs w:val="24"/>
        </w:rPr>
      </w:pPr>
      <w:r w:rsidRPr="001A6ED3">
        <w:rPr>
          <w:b/>
          <w:bCs/>
          <w:szCs w:val="24"/>
        </w:rPr>
        <w:t>II SKYRIUS</w:t>
      </w:r>
    </w:p>
    <w:p w14:paraId="75EE537F" w14:textId="77777777" w:rsidR="004F56CE" w:rsidRPr="001A6ED3" w:rsidRDefault="004F56CE" w:rsidP="004F56CE">
      <w:pPr>
        <w:jc w:val="center"/>
        <w:rPr>
          <w:b/>
          <w:szCs w:val="24"/>
        </w:rPr>
      </w:pPr>
      <w:r w:rsidRPr="001A6ED3">
        <w:rPr>
          <w:b/>
          <w:szCs w:val="24"/>
        </w:rPr>
        <w:t>SPECIALIEJI FINANSAVIMO REIKALAVIMAI</w:t>
      </w:r>
    </w:p>
    <w:p w14:paraId="02C54CBC" w14:textId="77777777" w:rsidR="004F56CE" w:rsidRDefault="004F56CE" w:rsidP="007F1CF5">
      <w:pPr>
        <w:spacing w:line="259" w:lineRule="auto"/>
        <w:jc w:val="center"/>
        <w:rPr>
          <w:i/>
          <w:sz w:val="22"/>
          <w:szCs w:val="22"/>
        </w:rPr>
      </w:pPr>
    </w:p>
    <w:tbl>
      <w:tblPr>
        <w:tblW w:w="514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1"/>
      </w:tblGrid>
      <w:tr w:rsidR="001132E0" w14:paraId="4702A3A0" w14:textId="77777777">
        <w:tc>
          <w:tcPr>
            <w:tcW w:w="5000" w:type="pct"/>
          </w:tcPr>
          <w:p w14:paraId="29B2AF7A" w14:textId="6FCEC13D" w:rsidR="001132E0" w:rsidRDefault="00A774C3">
            <w:pPr>
              <w:jc w:val="both"/>
              <w:rPr>
                <w:b/>
                <w:bCs/>
                <w:sz w:val="22"/>
                <w:szCs w:val="22"/>
              </w:rPr>
            </w:pPr>
            <w:r>
              <w:rPr>
                <w:b/>
                <w:bCs/>
                <w:sz w:val="22"/>
                <w:szCs w:val="22"/>
              </w:rPr>
              <w:t>4</w:t>
            </w:r>
            <w:r w:rsidR="00B33655">
              <w:rPr>
                <w:b/>
                <w:bCs/>
                <w:sz w:val="22"/>
                <w:szCs w:val="22"/>
              </w:rPr>
              <w:t>. Taikomi teisės aktai</w:t>
            </w:r>
            <w:r w:rsidR="00B33655">
              <w:rPr>
                <w:iCs/>
                <w:sz w:val="22"/>
                <w:szCs w:val="22"/>
              </w:rPr>
              <w:t xml:space="preserve"> </w:t>
            </w:r>
            <w:r w:rsidR="00FB34A9" w:rsidRPr="001A6ED3">
              <w:rPr>
                <w:b/>
                <w:bCs/>
                <w:szCs w:val="24"/>
              </w:rPr>
              <w:t>ir</w:t>
            </w:r>
            <w:r w:rsidR="00FB34A9">
              <w:rPr>
                <w:b/>
                <w:bCs/>
                <w:szCs w:val="24"/>
              </w:rPr>
              <w:t>,</w:t>
            </w:r>
            <w:r w:rsidR="00FB34A9" w:rsidRPr="001A6ED3">
              <w:rPr>
                <w:b/>
                <w:bCs/>
                <w:szCs w:val="24"/>
              </w:rPr>
              <w:t xml:space="preserve"> jei taikoma</w:t>
            </w:r>
            <w:r w:rsidR="00FB34A9">
              <w:rPr>
                <w:b/>
                <w:bCs/>
                <w:szCs w:val="24"/>
              </w:rPr>
              <w:t>,</w:t>
            </w:r>
            <w:r w:rsidR="00FB34A9" w:rsidRPr="001A6ED3">
              <w:rPr>
                <w:b/>
                <w:bCs/>
                <w:szCs w:val="24"/>
              </w:rPr>
              <w:t xml:space="preserve"> Apraše vartojamos sąvokos</w:t>
            </w:r>
          </w:p>
        </w:tc>
      </w:tr>
      <w:tr w:rsidR="001132E0" w14:paraId="40EE44A6" w14:textId="77777777">
        <w:tc>
          <w:tcPr>
            <w:tcW w:w="5000" w:type="pct"/>
          </w:tcPr>
          <w:p w14:paraId="35A0D03F" w14:textId="507D37A3" w:rsidR="001132E0" w:rsidRDefault="00B131E2">
            <w:pPr>
              <w:tabs>
                <w:tab w:val="left" w:pos="601"/>
              </w:tabs>
              <w:ind w:left="34" w:hanging="19"/>
              <w:jc w:val="both"/>
              <w:rPr>
                <w:iCs/>
                <w:sz w:val="22"/>
                <w:szCs w:val="22"/>
              </w:rPr>
            </w:pPr>
            <w:r>
              <w:rPr>
                <w:iCs/>
                <w:sz w:val="22"/>
                <w:szCs w:val="22"/>
              </w:rPr>
              <w:t>4</w:t>
            </w:r>
            <w:r w:rsidR="00B33655">
              <w:rPr>
                <w:iCs/>
                <w:sz w:val="22"/>
                <w:szCs w:val="22"/>
              </w:rPr>
              <w:t>.1.</w:t>
            </w:r>
            <w:r w:rsidR="00B33655">
              <w:rPr>
                <w:iCs/>
                <w:sz w:val="22"/>
                <w:szCs w:val="22"/>
              </w:rPr>
              <w:tab/>
            </w:r>
            <w:r w:rsidR="00B33655">
              <w:rPr>
                <w:sz w:val="22"/>
                <w:szCs w:val="22"/>
              </w:rPr>
              <w:t>Bendrieji teisės aktai</w:t>
            </w:r>
            <w:r w:rsidR="00B33655">
              <w:rPr>
                <w:iCs/>
                <w:sz w:val="22"/>
                <w:szCs w:val="22"/>
              </w:rPr>
              <w:t xml:space="preserve">, kuriais vadovaujamasi rengiant, teikiant ir vertinant </w:t>
            </w:r>
            <w:r w:rsidR="00B33655">
              <w:rPr>
                <w:sz w:val="22"/>
                <w:szCs w:val="22"/>
              </w:rPr>
              <w:t>projekto įgyvendinimo planus (toliau – PĮP)</w:t>
            </w:r>
            <w:r w:rsidR="00B33655">
              <w:rPr>
                <w:iCs/>
                <w:sz w:val="22"/>
                <w:szCs w:val="22"/>
              </w:rPr>
              <w:t xml:space="preserve">, priimant sprendimą dėl projektų finansavimo, sudarant projektų sutartį ir įgyvendinant projektą, finansuojamą pagal </w:t>
            </w:r>
            <w:r w:rsidR="00B33655">
              <w:rPr>
                <w:sz w:val="22"/>
                <w:szCs w:val="22"/>
                <w:shd w:val="clear" w:color="auto" w:fill="FFFFFF"/>
                <w:lang w:eastAsia="en-GB"/>
              </w:rPr>
              <w:t xml:space="preserve">2021–2030 m. plėtros programos valdytojos Lietuvos Respublikos švietimo, mokslo ir sporto ministerijos švietimo plėtros programos, </w:t>
            </w:r>
            <w:r w:rsidR="00B33655">
              <w:rPr>
                <w:sz w:val="22"/>
                <w:szCs w:val="22"/>
                <w:lang w:eastAsia="en-GB"/>
              </w:rPr>
              <w:t>patvirtintos Lietuvos Respublikos Vyriausybės 2021 m. gruodžio 1 d. nutarimu Nr. 1016 „Dėl 2021–2030 m. plėtros programos valdytojos Lietuvos Respublikos švietimo, mokslo ir sporto ministerijos švietimo plėtros programos patvirtinimo“ (toliau – Plėtros programa),</w:t>
            </w:r>
            <w:r w:rsidR="00B33655">
              <w:rPr>
                <w:iCs/>
                <w:sz w:val="22"/>
                <w:szCs w:val="22"/>
              </w:rPr>
              <w:t xml:space="preserve"> pažangos priemonės </w:t>
            </w:r>
            <w:r w:rsidR="00B33655">
              <w:rPr>
                <w:sz w:val="22"/>
                <w:szCs w:val="22"/>
                <w:lang w:eastAsia="lt-LT"/>
              </w:rPr>
              <w:t xml:space="preserve">Nr. </w:t>
            </w:r>
            <w:r w:rsidR="00B33655">
              <w:rPr>
                <w:iCs/>
                <w:caps/>
                <w:sz w:val="22"/>
                <w:szCs w:val="22"/>
                <w:lang w:eastAsia="lt-LT"/>
              </w:rPr>
              <w:t>12-003-03-04-02</w:t>
            </w:r>
            <w:r w:rsidR="00B33655">
              <w:rPr>
                <w:iCs/>
                <w:sz w:val="22"/>
                <w:szCs w:val="22"/>
              </w:rPr>
              <w:t xml:space="preserve"> „Užtikrinti efektyvų mokslo ir studijų sistemos valdymą“ veiklos „</w:t>
            </w:r>
            <w:r w:rsidR="00B33655">
              <w:rPr>
                <w:sz w:val="22"/>
                <w:szCs w:val="22"/>
              </w:rPr>
              <w:t>Atnaujinti kolegijų tinklą, įvertinus potencialą, nacionalinius ir regioninius ūkio raidos ir darbo rinkos poreikius</w:t>
            </w:r>
            <w:r w:rsidR="00B33655">
              <w:rPr>
                <w:iCs/>
                <w:sz w:val="22"/>
                <w:szCs w:val="22"/>
              </w:rPr>
              <w:t>“ projektų finansavimo sąlygų aprašą (toliau – PFSA):</w:t>
            </w:r>
          </w:p>
          <w:p w14:paraId="45C2469A" w14:textId="5FEF7FE7" w:rsidR="001132E0" w:rsidRDefault="00B131E2">
            <w:pPr>
              <w:tabs>
                <w:tab w:val="left" w:pos="601"/>
              </w:tabs>
              <w:spacing w:line="259" w:lineRule="auto"/>
              <w:ind w:left="34"/>
              <w:jc w:val="both"/>
              <w:rPr>
                <w:sz w:val="22"/>
                <w:szCs w:val="22"/>
              </w:rPr>
            </w:pPr>
            <w:r>
              <w:rPr>
                <w:sz w:val="22"/>
                <w:szCs w:val="22"/>
              </w:rPr>
              <w:t>4</w:t>
            </w:r>
            <w:r w:rsidR="00B33655">
              <w:rPr>
                <w:sz w:val="22"/>
                <w:szCs w:val="22"/>
              </w:rPr>
              <w:t xml:space="preserve">.1.1. 2021 m. vasario 12 d. Europos Parlamento ir Tarybos reglamentas (ES) 2021/241, kuriuo nustatoma Ekonomikos gaivinimo ir atsparumo didinimo priemonė; </w:t>
            </w:r>
          </w:p>
          <w:p w14:paraId="27848A8B" w14:textId="4B256F54" w:rsidR="001132E0" w:rsidRDefault="00B131E2">
            <w:pPr>
              <w:tabs>
                <w:tab w:val="left" w:pos="318"/>
                <w:tab w:val="left" w:pos="447"/>
                <w:tab w:val="left" w:pos="601"/>
              </w:tabs>
              <w:spacing w:line="259" w:lineRule="auto"/>
              <w:ind w:left="34"/>
              <w:jc w:val="both"/>
              <w:rPr>
                <w:iCs/>
                <w:sz w:val="22"/>
                <w:szCs w:val="22"/>
              </w:rPr>
            </w:pPr>
            <w:r>
              <w:rPr>
                <w:iCs/>
                <w:sz w:val="22"/>
                <w:szCs w:val="22"/>
              </w:rPr>
              <w:t>4</w:t>
            </w:r>
            <w:r w:rsidR="00B33655">
              <w:rPr>
                <w:iCs/>
                <w:sz w:val="22"/>
                <w:szCs w:val="22"/>
              </w:rPr>
              <w:t>.1.2. 2021 m. liepos 28 d. Tarybos įgyvendinimo sprendimo Nr. CM4171/21 dėl Lietuvos ekonomikos gaivinimo ir atsparumo didinimo plano įvertinimo patvirtinimo priedas (toliau – EGAD plano priedas);</w:t>
            </w:r>
          </w:p>
          <w:p w14:paraId="65E9940F" w14:textId="688F6C68" w:rsidR="001132E0" w:rsidRDefault="00B131E2">
            <w:pPr>
              <w:tabs>
                <w:tab w:val="left" w:pos="306"/>
                <w:tab w:val="left" w:pos="601"/>
              </w:tabs>
              <w:spacing w:line="259" w:lineRule="auto"/>
              <w:ind w:left="34"/>
              <w:jc w:val="both"/>
              <w:rPr>
                <w:iCs/>
                <w:sz w:val="22"/>
                <w:szCs w:val="22"/>
              </w:rPr>
            </w:pPr>
            <w:r>
              <w:rPr>
                <w:iCs/>
                <w:sz w:val="22"/>
                <w:szCs w:val="22"/>
              </w:rPr>
              <w:t>4</w:t>
            </w:r>
            <w:r w:rsidR="00B33655">
              <w:rPr>
                <w:iCs/>
                <w:sz w:val="22"/>
                <w:szCs w:val="22"/>
              </w:rPr>
              <w:t>.1.3. Lietuvos Respublikos strateginio valdymo įstatymas;</w:t>
            </w:r>
          </w:p>
          <w:p w14:paraId="43838D80" w14:textId="34B37A36" w:rsidR="001132E0" w:rsidRDefault="00B131E2">
            <w:pPr>
              <w:tabs>
                <w:tab w:val="left" w:pos="306"/>
                <w:tab w:val="left" w:pos="601"/>
              </w:tabs>
              <w:spacing w:line="259" w:lineRule="auto"/>
              <w:ind w:left="34"/>
              <w:jc w:val="both"/>
              <w:rPr>
                <w:iCs/>
                <w:sz w:val="22"/>
                <w:szCs w:val="22"/>
              </w:rPr>
            </w:pPr>
            <w:r>
              <w:rPr>
                <w:iCs/>
                <w:sz w:val="22"/>
                <w:szCs w:val="22"/>
              </w:rPr>
              <w:t>4</w:t>
            </w:r>
            <w:r w:rsidR="00B33655">
              <w:rPr>
                <w:iCs/>
                <w:sz w:val="22"/>
                <w:szCs w:val="22"/>
              </w:rPr>
              <w:t xml:space="preserve">.1.4. Lietuvos Respublikos biudžeto sandaros įstatymas; </w:t>
            </w:r>
          </w:p>
          <w:p w14:paraId="1C5E48AC" w14:textId="1C971187" w:rsidR="001132E0" w:rsidRDefault="00B131E2">
            <w:pPr>
              <w:tabs>
                <w:tab w:val="left" w:pos="306"/>
                <w:tab w:val="left" w:pos="601"/>
              </w:tabs>
              <w:spacing w:line="259" w:lineRule="auto"/>
              <w:ind w:left="34"/>
              <w:jc w:val="both"/>
              <w:rPr>
                <w:iCs/>
                <w:sz w:val="22"/>
                <w:szCs w:val="22"/>
              </w:rPr>
            </w:pPr>
            <w:r>
              <w:rPr>
                <w:iCs/>
                <w:sz w:val="22"/>
                <w:szCs w:val="22"/>
              </w:rPr>
              <w:t>4</w:t>
            </w:r>
            <w:r w:rsidR="00B33655">
              <w:rPr>
                <w:iCs/>
                <w:sz w:val="22"/>
                <w:szCs w:val="22"/>
              </w:rPr>
              <w:t>.1.5. Strateginio valdymo metodika, patvirtinta Lietuvos Respublikos Vyriausybės 2021 m. balandžio 28 d. nutarimu Nr. 292 „Dėl Strateginio valdymo metodikos patvirtinimo“;</w:t>
            </w:r>
          </w:p>
          <w:p w14:paraId="3EAEA93F" w14:textId="68119928" w:rsidR="001132E0" w:rsidRDefault="005D17B4">
            <w:pPr>
              <w:tabs>
                <w:tab w:val="left" w:pos="22"/>
                <w:tab w:val="left" w:pos="318"/>
                <w:tab w:val="left" w:pos="465"/>
                <w:tab w:val="left" w:pos="601"/>
                <w:tab w:val="left" w:pos="660"/>
              </w:tabs>
              <w:spacing w:line="259" w:lineRule="auto"/>
              <w:ind w:left="34"/>
              <w:jc w:val="both"/>
              <w:rPr>
                <w:color w:val="000000"/>
                <w:sz w:val="22"/>
                <w:szCs w:val="22"/>
              </w:rPr>
            </w:pPr>
            <w:r>
              <w:rPr>
                <w:color w:val="333333"/>
                <w:sz w:val="22"/>
                <w:szCs w:val="22"/>
                <w:shd w:val="clear" w:color="auto" w:fill="FFFFFF"/>
              </w:rPr>
              <w:t>4</w:t>
            </w:r>
            <w:r w:rsidR="00B33655">
              <w:rPr>
                <w:color w:val="333333"/>
                <w:sz w:val="22"/>
                <w:szCs w:val="22"/>
                <w:shd w:val="clear" w:color="auto" w:fill="FFFFFF"/>
              </w:rPr>
              <w:t xml:space="preserve">.1.6. </w:t>
            </w:r>
            <w:r w:rsidR="00B33655">
              <w:rPr>
                <w:color w:val="000000"/>
                <w:sz w:val="22"/>
                <w:szCs w:val="22"/>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1BD7C335" w14:textId="62BB9C7E" w:rsidR="001132E0" w:rsidRDefault="005D17B4">
            <w:pPr>
              <w:tabs>
                <w:tab w:val="left" w:pos="22"/>
                <w:tab w:val="left" w:pos="318"/>
                <w:tab w:val="left" w:pos="447"/>
                <w:tab w:val="left" w:pos="601"/>
                <w:tab w:val="left" w:pos="660"/>
                <w:tab w:val="left" w:pos="731"/>
              </w:tabs>
              <w:spacing w:line="259" w:lineRule="auto"/>
              <w:ind w:left="34"/>
              <w:jc w:val="both"/>
              <w:rPr>
                <w:sz w:val="22"/>
                <w:szCs w:val="22"/>
                <w:shd w:val="clear" w:color="auto" w:fill="FFFFFF"/>
              </w:rPr>
            </w:pPr>
            <w:r>
              <w:rPr>
                <w:color w:val="000000"/>
                <w:sz w:val="22"/>
                <w:szCs w:val="22"/>
              </w:rPr>
              <w:t>4</w:t>
            </w:r>
            <w:r w:rsidR="00B33655">
              <w:rPr>
                <w:color w:val="000000"/>
                <w:sz w:val="22"/>
                <w:szCs w:val="22"/>
              </w:rPr>
              <w:t>.1.7.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r w:rsidR="00255576">
              <w:rPr>
                <w:color w:val="000000"/>
                <w:sz w:val="22"/>
                <w:szCs w:val="22"/>
              </w:rPr>
              <w:t xml:space="preserve"> (toliau – PAFT)</w:t>
            </w:r>
            <w:r w:rsidR="00B33655">
              <w:rPr>
                <w:color w:val="000000"/>
                <w:sz w:val="22"/>
                <w:szCs w:val="22"/>
              </w:rPr>
              <w:t>;</w:t>
            </w:r>
          </w:p>
          <w:p w14:paraId="0B343416" w14:textId="006C38F0" w:rsidR="001132E0" w:rsidRDefault="00BC3B95">
            <w:pPr>
              <w:tabs>
                <w:tab w:val="left" w:pos="22"/>
                <w:tab w:val="left" w:pos="318"/>
                <w:tab w:val="left" w:pos="465"/>
                <w:tab w:val="left" w:pos="601"/>
                <w:tab w:val="left" w:pos="660"/>
              </w:tabs>
              <w:spacing w:line="259" w:lineRule="auto"/>
              <w:ind w:left="34"/>
              <w:jc w:val="both"/>
              <w:rPr>
                <w:sz w:val="22"/>
                <w:szCs w:val="22"/>
              </w:rPr>
            </w:pPr>
            <w:r>
              <w:rPr>
                <w:sz w:val="22"/>
                <w:szCs w:val="22"/>
              </w:rPr>
              <w:t>4</w:t>
            </w:r>
            <w:r w:rsidR="00B33655">
              <w:rPr>
                <w:sz w:val="22"/>
                <w:szCs w:val="22"/>
              </w:rPr>
              <w:t>.1.8. Investicijų projektų rengimo metodika, patvirtinta viešosios įstaigos Centrinės projektų valdymo agentūros direktoriaus 2014 m. gruodžio 31 d. įsakymu Nr. 2014/8-337 „Dėl Viešojo ir privataus sektorių partnerystės projektų rengimo ir įgyvendinimo metodinių rekomendacijų patvirtinimo“ (toliau – IP metodika);</w:t>
            </w:r>
          </w:p>
          <w:p w14:paraId="46AAA336" w14:textId="190A4E16" w:rsidR="001132E0" w:rsidRDefault="00BC3B95">
            <w:pPr>
              <w:tabs>
                <w:tab w:val="left" w:pos="22"/>
                <w:tab w:val="left" w:pos="318"/>
                <w:tab w:val="left" w:pos="447"/>
                <w:tab w:val="left" w:pos="601"/>
                <w:tab w:val="left" w:pos="660"/>
                <w:tab w:val="left" w:pos="731"/>
              </w:tabs>
              <w:spacing w:line="259" w:lineRule="auto"/>
              <w:ind w:left="34"/>
              <w:jc w:val="both"/>
              <w:rPr>
                <w:iCs/>
                <w:sz w:val="22"/>
                <w:szCs w:val="22"/>
              </w:rPr>
            </w:pPr>
            <w:r>
              <w:rPr>
                <w:sz w:val="22"/>
                <w:szCs w:val="22"/>
              </w:rPr>
              <w:t>4</w:t>
            </w:r>
            <w:r w:rsidR="00B33655">
              <w:rPr>
                <w:sz w:val="22"/>
                <w:szCs w:val="22"/>
              </w:rPr>
              <w:t>.1.9.</w:t>
            </w:r>
            <w:r w:rsidR="00B33655">
              <w:rPr>
                <w:iCs/>
                <w:sz w:val="22"/>
                <w:szCs w:val="22"/>
              </w:rPr>
              <w:t xml:space="preserve"> 2021–2030 metų nacionalinis pažangos planas, patvirtintas Lietuvos Respublikos Vyriausybės 2020 m. rugsėjo 9 d. nutarimu Nr. 998 „Dėl 2021–2030 metų nacionalinio pažangos plano patvirtinimo“.</w:t>
            </w:r>
          </w:p>
          <w:p w14:paraId="44A5654A" w14:textId="2493D757" w:rsidR="001132E0" w:rsidRDefault="00BC3B95">
            <w:pPr>
              <w:tabs>
                <w:tab w:val="left" w:pos="22"/>
                <w:tab w:val="left" w:pos="318"/>
                <w:tab w:val="left" w:pos="447"/>
                <w:tab w:val="left" w:pos="601"/>
                <w:tab w:val="left" w:pos="660"/>
                <w:tab w:val="left" w:pos="731"/>
              </w:tabs>
              <w:spacing w:line="259" w:lineRule="auto"/>
              <w:ind w:left="34"/>
              <w:jc w:val="both"/>
              <w:rPr>
                <w:sz w:val="22"/>
                <w:szCs w:val="22"/>
                <w:shd w:val="clear" w:color="auto" w:fill="FFFFFF"/>
              </w:rPr>
            </w:pPr>
            <w:r>
              <w:rPr>
                <w:sz w:val="22"/>
                <w:szCs w:val="22"/>
                <w:shd w:val="clear" w:color="auto" w:fill="FFFFFF"/>
              </w:rPr>
              <w:t>4</w:t>
            </w:r>
            <w:r w:rsidR="00B33655">
              <w:rPr>
                <w:sz w:val="22"/>
                <w:szCs w:val="22"/>
                <w:shd w:val="clear" w:color="auto" w:fill="FFFFFF"/>
              </w:rPr>
              <w:t xml:space="preserve">.2. Specialieji teisės aktai, </w:t>
            </w:r>
            <w:r w:rsidR="00B33655">
              <w:rPr>
                <w:iCs/>
                <w:sz w:val="22"/>
                <w:szCs w:val="22"/>
              </w:rPr>
              <w:t>kuriais vadovaujamasi rengiant, teikiant ir vertinant PĮP, priimant sprendimą dėl projektų finansavimo, sudarant projektų sutartį ir įgyvendinant projektą, finansuojamą pagal PFSA</w:t>
            </w:r>
            <w:r w:rsidR="00B33655">
              <w:rPr>
                <w:sz w:val="22"/>
                <w:szCs w:val="22"/>
                <w:shd w:val="clear" w:color="auto" w:fill="FFFFFF"/>
              </w:rPr>
              <w:t>:</w:t>
            </w:r>
          </w:p>
          <w:p w14:paraId="5C4C3E19" w14:textId="3D2DEF7D" w:rsidR="001132E0" w:rsidRDefault="00BC3B95">
            <w:pPr>
              <w:tabs>
                <w:tab w:val="left" w:pos="306"/>
                <w:tab w:val="left" w:pos="601"/>
              </w:tabs>
              <w:spacing w:line="259" w:lineRule="auto"/>
              <w:ind w:left="34"/>
              <w:jc w:val="both"/>
              <w:rPr>
                <w:iCs/>
                <w:sz w:val="22"/>
                <w:szCs w:val="22"/>
              </w:rPr>
            </w:pPr>
            <w:r>
              <w:rPr>
                <w:iCs/>
                <w:sz w:val="22"/>
                <w:szCs w:val="22"/>
              </w:rPr>
              <w:t>4</w:t>
            </w:r>
            <w:r w:rsidR="00B33655">
              <w:rPr>
                <w:iCs/>
                <w:sz w:val="22"/>
                <w:szCs w:val="22"/>
              </w:rPr>
              <w:t>.2.1. Lietuvos Respublikos mokslo ir studijų įstatymas;</w:t>
            </w:r>
          </w:p>
          <w:p w14:paraId="60C7FC30" w14:textId="7C429A9C" w:rsidR="001132E0" w:rsidRDefault="00BC3B95">
            <w:pPr>
              <w:tabs>
                <w:tab w:val="left" w:pos="22"/>
                <w:tab w:val="left" w:pos="318"/>
                <w:tab w:val="left" w:pos="447"/>
                <w:tab w:val="left" w:pos="601"/>
                <w:tab w:val="left" w:pos="660"/>
                <w:tab w:val="left" w:pos="731"/>
              </w:tabs>
              <w:spacing w:line="259" w:lineRule="auto"/>
              <w:ind w:left="34"/>
              <w:jc w:val="both"/>
              <w:rPr>
                <w:sz w:val="22"/>
                <w:szCs w:val="22"/>
                <w:shd w:val="clear" w:color="auto" w:fill="FFFFFF"/>
              </w:rPr>
            </w:pPr>
            <w:r>
              <w:rPr>
                <w:sz w:val="22"/>
                <w:szCs w:val="22"/>
                <w:shd w:val="clear" w:color="auto" w:fill="FFFFFF"/>
              </w:rPr>
              <w:t>4</w:t>
            </w:r>
            <w:r w:rsidR="00B33655">
              <w:rPr>
                <w:sz w:val="22"/>
                <w:szCs w:val="22"/>
                <w:shd w:val="clear" w:color="auto" w:fill="FFFFFF"/>
              </w:rPr>
              <w:t xml:space="preserve">.2.2. 2023–2024 metų valstybinių kolegijų tinklo stiprinimo veiksmų planas, patvirtintas Lietuvos Respublikos Vyriausybės </w:t>
            </w:r>
            <w:r w:rsidR="00B33655">
              <w:rPr>
                <w:sz w:val="22"/>
                <w:szCs w:val="22"/>
              </w:rPr>
              <w:t>2023 m. sausio 18 d. nutarimu Nr. 46</w:t>
            </w:r>
            <w:r w:rsidR="00B33655">
              <w:rPr>
                <w:sz w:val="22"/>
                <w:szCs w:val="22"/>
                <w:shd w:val="clear" w:color="auto" w:fill="FFFFFF"/>
              </w:rPr>
              <w:t xml:space="preserve"> „Dėl 2023–2024 metų valstybinių kolegijų tinklo stiprinimo veiksmų plano patvirtinimo“;</w:t>
            </w:r>
          </w:p>
          <w:p w14:paraId="18F7ADA6" w14:textId="245BF96E" w:rsidR="001132E0" w:rsidRDefault="00BC3B95">
            <w:pPr>
              <w:tabs>
                <w:tab w:val="left" w:pos="22"/>
                <w:tab w:val="left" w:pos="318"/>
                <w:tab w:val="left" w:pos="447"/>
                <w:tab w:val="left" w:pos="601"/>
                <w:tab w:val="left" w:pos="660"/>
                <w:tab w:val="left" w:pos="731"/>
              </w:tabs>
              <w:spacing w:line="259" w:lineRule="auto"/>
              <w:ind w:left="34"/>
              <w:jc w:val="both"/>
              <w:rPr>
                <w:sz w:val="22"/>
                <w:szCs w:val="22"/>
                <w:shd w:val="clear" w:color="auto" w:fill="FFFFFF"/>
              </w:rPr>
            </w:pPr>
            <w:r>
              <w:rPr>
                <w:sz w:val="22"/>
                <w:szCs w:val="22"/>
                <w:shd w:val="clear" w:color="auto" w:fill="FFFFFF"/>
              </w:rPr>
              <w:t>4</w:t>
            </w:r>
            <w:r w:rsidR="00B33655">
              <w:rPr>
                <w:sz w:val="22"/>
                <w:szCs w:val="22"/>
                <w:shd w:val="clear" w:color="auto" w:fill="FFFFFF"/>
              </w:rPr>
              <w:t>.2.3. 2023–2024 metų valstybinių kolegijų tinklo stiprinimo veiksmų plano įgyvendinimo priemonė, patvirtinta Lietuvos Respublikos Vyriausybės 2023 m. liepos 12 d. nutarimu Nr. 565 „Dėl 2023–2024 metų valstybinių kolegijų tinklo stiprinimo veiksmų plano įgyvendinimo priemonės patvirtinimo“;</w:t>
            </w:r>
          </w:p>
          <w:p w14:paraId="51A8E0BE" w14:textId="6EB65D92" w:rsidR="001132E0" w:rsidRDefault="00BC3B95">
            <w:pPr>
              <w:tabs>
                <w:tab w:val="left" w:pos="22"/>
                <w:tab w:val="left" w:pos="318"/>
                <w:tab w:val="left" w:pos="447"/>
                <w:tab w:val="left" w:pos="601"/>
                <w:tab w:val="left" w:pos="660"/>
                <w:tab w:val="left" w:pos="731"/>
              </w:tabs>
              <w:spacing w:line="259" w:lineRule="auto"/>
              <w:ind w:left="34"/>
              <w:jc w:val="both"/>
              <w:rPr>
                <w:sz w:val="22"/>
                <w:szCs w:val="22"/>
                <w:shd w:val="clear" w:color="auto" w:fill="FFFFFF"/>
              </w:rPr>
            </w:pPr>
            <w:r>
              <w:rPr>
                <w:sz w:val="22"/>
                <w:szCs w:val="22"/>
                <w:shd w:val="clear" w:color="auto" w:fill="FFFFFF"/>
              </w:rPr>
              <w:t>4</w:t>
            </w:r>
            <w:r w:rsidR="00B33655">
              <w:rPr>
                <w:sz w:val="22"/>
                <w:szCs w:val="22"/>
                <w:shd w:val="clear" w:color="auto" w:fill="FFFFFF"/>
              </w:rPr>
              <w:t>.2.4. 2023–2024 metų valstybinių kolegijų tinklo stiprinimo veiksmų plano įgyvendinimo priemonė, patvirtinta Lietuvos Respublikos Vyriausybės 2023 m. liepos 12 d. nutarimu Nr. 566 „Dėl 2023–2024 metų valstybinių kolegijų tinklo stiprinimo veiksmų plano įgyvendinimo priemonės patvirtinimo“;</w:t>
            </w:r>
          </w:p>
          <w:p w14:paraId="51A353DE" w14:textId="491D188E" w:rsidR="001132E0" w:rsidRDefault="00BC3B95">
            <w:pPr>
              <w:tabs>
                <w:tab w:val="left" w:pos="22"/>
                <w:tab w:val="left" w:pos="318"/>
                <w:tab w:val="left" w:pos="447"/>
                <w:tab w:val="left" w:pos="601"/>
                <w:tab w:val="left" w:pos="660"/>
                <w:tab w:val="left" w:pos="731"/>
              </w:tabs>
              <w:spacing w:line="259" w:lineRule="auto"/>
              <w:ind w:left="34"/>
              <w:jc w:val="both"/>
              <w:rPr>
                <w:sz w:val="22"/>
                <w:szCs w:val="22"/>
                <w:shd w:val="clear" w:color="auto" w:fill="FFFFFF"/>
              </w:rPr>
            </w:pPr>
            <w:r>
              <w:rPr>
                <w:sz w:val="22"/>
                <w:szCs w:val="22"/>
                <w:shd w:val="clear" w:color="auto" w:fill="FFFFFF"/>
              </w:rPr>
              <w:t>4</w:t>
            </w:r>
            <w:r w:rsidR="00B33655">
              <w:rPr>
                <w:sz w:val="22"/>
                <w:szCs w:val="22"/>
                <w:shd w:val="clear" w:color="auto" w:fill="FFFFFF"/>
              </w:rPr>
              <w:t>.2.5. 2023–2024 metų valstybinių kolegijų tinklo stiprinimo veiksmų plano įgyvendinimo priemonė, patvirtinta Lietuvos Respublikos Vyriausybės 2023 m. liepos 12 d. nutarimu Nr. 567 „Dėl 2023–2024 metų valstybinių kolegijų tinklo stiprinimo veiksmų plano įgyvendinimo priemonės patvirtinimo“;</w:t>
            </w:r>
          </w:p>
          <w:p w14:paraId="73BBBC84" w14:textId="6132361C" w:rsidR="001132E0" w:rsidRDefault="00BC3B95">
            <w:pPr>
              <w:tabs>
                <w:tab w:val="left" w:pos="22"/>
                <w:tab w:val="left" w:pos="318"/>
                <w:tab w:val="left" w:pos="447"/>
                <w:tab w:val="left" w:pos="601"/>
                <w:tab w:val="left" w:pos="660"/>
                <w:tab w:val="left" w:pos="731"/>
              </w:tabs>
              <w:spacing w:line="259" w:lineRule="auto"/>
              <w:ind w:left="34"/>
              <w:jc w:val="both"/>
              <w:rPr>
                <w:sz w:val="22"/>
                <w:szCs w:val="22"/>
                <w:shd w:val="clear" w:color="auto" w:fill="FFFFFF"/>
              </w:rPr>
            </w:pPr>
            <w:r>
              <w:rPr>
                <w:sz w:val="22"/>
                <w:szCs w:val="22"/>
                <w:shd w:val="clear" w:color="auto" w:fill="FFFFFF"/>
              </w:rPr>
              <w:t>4</w:t>
            </w:r>
            <w:r w:rsidR="00B33655">
              <w:rPr>
                <w:sz w:val="22"/>
                <w:szCs w:val="22"/>
                <w:shd w:val="clear" w:color="auto" w:fill="FFFFFF"/>
              </w:rPr>
              <w:t>.2.6. 2023–2024 metų valstybinių kolegijų tinklo stiprinimo veiksmų plano įgyvendinimo priemonė, patvirtinta Lietuvos Respublikos Vyriausybės 2023 m. liepos 12 d. nutarimu Nr. 568 „Dėl 2023–2024 metų valstybinių kolegijų tinklo stiprinimo veiksmų plano įgyvendinimo priemonės patvirtinimo“;</w:t>
            </w:r>
          </w:p>
          <w:p w14:paraId="32D73FDE" w14:textId="52DEC7A9" w:rsidR="001132E0" w:rsidRDefault="005D17B4">
            <w:pPr>
              <w:tabs>
                <w:tab w:val="left" w:pos="22"/>
                <w:tab w:val="left" w:pos="318"/>
                <w:tab w:val="left" w:pos="447"/>
                <w:tab w:val="left" w:pos="601"/>
                <w:tab w:val="left" w:pos="660"/>
                <w:tab w:val="left" w:pos="731"/>
              </w:tabs>
              <w:spacing w:line="259" w:lineRule="auto"/>
              <w:ind w:left="34"/>
              <w:jc w:val="both"/>
              <w:rPr>
                <w:sz w:val="22"/>
                <w:szCs w:val="22"/>
                <w:shd w:val="clear" w:color="auto" w:fill="FFFFFF"/>
              </w:rPr>
            </w:pPr>
            <w:r>
              <w:rPr>
                <w:sz w:val="22"/>
                <w:szCs w:val="22"/>
                <w:shd w:val="clear" w:color="auto" w:fill="FFFFFF"/>
              </w:rPr>
              <w:t>4</w:t>
            </w:r>
            <w:r w:rsidR="00B33655">
              <w:rPr>
                <w:sz w:val="22"/>
                <w:szCs w:val="22"/>
                <w:shd w:val="clear" w:color="auto" w:fill="FFFFFF"/>
              </w:rPr>
              <w:t>.2.7. 2023–2024 metų valstybinių kolegijų tinklo stiprinimo veiksmų plano įgyvendinimo priemonė, patvirtinta Lietuvos Respublikos Vyriausybės 2023 m. liepos 12 d. nutarimu Nr. 570 „Dėl 2023–2024 metų valstybinių kolegijų tinklo stiprinimo veiksmų plano įgyvendinimo priemonės patvirtinimo“;</w:t>
            </w:r>
          </w:p>
          <w:p w14:paraId="7A29AA87" w14:textId="6D7EEE8E" w:rsidR="001132E0" w:rsidRDefault="005D17B4">
            <w:pPr>
              <w:tabs>
                <w:tab w:val="left" w:pos="22"/>
                <w:tab w:val="left" w:pos="318"/>
                <w:tab w:val="left" w:pos="447"/>
                <w:tab w:val="left" w:pos="601"/>
                <w:tab w:val="left" w:pos="660"/>
                <w:tab w:val="left" w:pos="731"/>
              </w:tabs>
              <w:spacing w:line="259" w:lineRule="auto"/>
              <w:ind w:left="34"/>
              <w:jc w:val="both"/>
              <w:rPr>
                <w:sz w:val="22"/>
                <w:szCs w:val="22"/>
                <w:shd w:val="clear" w:color="auto" w:fill="FFFFFF"/>
              </w:rPr>
            </w:pPr>
            <w:r>
              <w:rPr>
                <w:sz w:val="22"/>
                <w:szCs w:val="22"/>
                <w:shd w:val="clear" w:color="auto" w:fill="FFFFFF"/>
              </w:rPr>
              <w:t>4</w:t>
            </w:r>
            <w:r w:rsidR="00B33655">
              <w:rPr>
                <w:sz w:val="22"/>
                <w:szCs w:val="22"/>
                <w:shd w:val="clear" w:color="auto" w:fill="FFFFFF"/>
              </w:rPr>
              <w:t>.2.8. 2023–2024 metų valstybinių kolegijų tinklo stiprinimo veiksmų plano įgyvendinimo priemonė, patvirtinta Lietuvos Respublikos Vyriausybės 2023 m. liepos 12 d. nutarimu Nr. 571 „Dėl 2023–2024 metų valstybinių kolegijų tinklo stiprinimo veiksmų plano įgyvendinimo priemonės patvirtinimo“;</w:t>
            </w:r>
          </w:p>
          <w:p w14:paraId="009BFA6A" w14:textId="3824BD11" w:rsidR="001132E0" w:rsidRDefault="005D17B4">
            <w:pPr>
              <w:tabs>
                <w:tab w:val="left" w:pos="22"/>
                <w:tab w:val="left" w:pos="318"/>
                <w:tab w:val="left" w:pos="447"/>
                <w:tab w:val="left" w:pos="601"/>
                <w:tab w:val="left" w:pos="660"/>
                <w:tab w:val="left" w:pos="731"/>
              </w:tabs>
              <w:spacing w:line="259" w:lineRule="auto"/>
              <w:ind w:left="34"/>
              <w:jc w:val="both"/>
              <w:rPr>
                <w:sz w:val="22"/>
                <w:szCs w:val="22"/>
                <w:shd w:val="clear" w:color="auto" w:fill="FFFFFF"/>
              </w:rPr>
            </w:pPr>
            <w:r>
              <w:rPr>
                <w:sz w:val="22"/>
                <w:szCs w:val="22"/>
                <w:shd w:val="clear" w:color="auto" w:fill="FFFFFF"/>
              </w:rPr>
              <w:t>4</w:t>
            </w:r>
            <w:r w:rsidR="00B33655">
              <w:rPr>
                <w:sz w:val="22"/>
                <w:szCs w:val="22"/>
                <w:shd w:val="clear" w:color="auto" w:fill="FFFFFF"/>
              </w:rPr>
              <w:t>.2.9. Bendrųjų studijų vykdymo reikalavimų aprašas, patvirtintas Lietuvos Respublikos švietimo, mokslo ir sporto ministro 2016 m. gruodžio 30 d. įsakymu Nr. V-1168 „Dėl Bendrųjų studijų vykdymo reikalavimų aprašo patvirtinimo“.</w:t>
            </w:r>
          </w:p>
          <w:p w14:paraId="4B4C15D4" w14:textId="56FF81FC" w:rsidR="001132E0" w:rsidRDefault="005D17B4">
            <w:pPr>
              <w:tabs>
                <w:tab w:val="left" w:pos="22"/>
                <w:tab w:val="left" w:pos="318"/>
                <w:tab w:val="left" w:pos="447"/>
                <w:tab w:val="left" w:pos="601"/>
              </w:tabs>
              <w:spacing w:line="259" w:lineRule="auto"/>
              <w:ind w:left="34"/>
              <w:jc w:val="both"/>
              <w:rPr>
                <w:sz w:val="22"/>
                <w:szCs w:val="22"/>
              </w:rPr>
            </w:pPr>
            <w:r>
              <w:rPr>
                <w:sz w:val="22"/>
                <w:szCs w:val="22"/>
              </w:rPr>
              <w:t>4</w:t>
            </w:r>
            <w:r w:rsidR="00B33655">
              <w:rPr>
                <w:sz w:val="22"/>
                <w:szCs w:val="22"/>
              </w:rPr>
              <w:t xml:space="preserve">.3. PFSA vartojamos sąvokos suprantamos taip, kaip jos apibrėžtos Strateginio valdymo metodikoje, Biudžeto sandaros įstatyme, Mokslo ir studijų įstatyme ir kituose paminėtuose teisės aktuose. </w:t>
            </w:r>
          </w:p>
        </w:tc>
      </w:tr>
      <w:tr w:rsidR="001132E0" w14:paraId="3308D7D4" w14:textId="77777777">
        <w:tc>
          <w:tcPr>
            <w:tcW w:w="5000" w:type="pct"/>
          </w:tcPr>
          <w:p w14:paraId="0FCC7DF5" w14:textId="6BBF4E40" w:rsidR="001132E0" w:rsidRDefault="00032886">
            <w:pPr>
              <w:jc w:val="both"/>
              <w:rPr>
                <w:b/>
                <w:sz w:val="22"/>
                <w:szCs w:val="22"/>
              </w:rPr>
            </w:pPr>
            <w:r>
              <w:rPr>
                <w:b/>
                <w:sz w:val="22"/>
                <w:szCs w:val="22"/>
              </w:rPr>
              <w:t>5</w:t>
            </w:r>
            <w:r w:rsidR="00B33655">
              <w:rPr>
                <w:b/>
                <w:sz w:val="22"/>
                <w:szCs w:val="22"/>
              </w:rPr>
              <w:t>. Reikalavimai projektams, pareiškėjams ir partneriams</w:t>
            </w:r>
          </w:p>
        </w:tc>
      </w:tr>
      <w:tr w:rsidR="001132E0" w14:paraId="65E1A457" w14:textId="77777777">
        <w:tc>
          <w:tcPr>
            <w:tcW w:w="5000" w:type="pct"/>
          </w:tcPr>
          <w:p w14:paraId="51828908" w14:textId="41739321" w:rsidR="001132E0" w:rsidRDefault="00566B02">
            <w:pPr>
              <w:ind w:left="360" w:hanging="360"/>
              <w:jc w:val="both"/>
              <w:rPr>
                <w:sz w:val="22"/>
                <w:szCs w:val="22"/>
              </w:rPr>
            </w:pPr>
            <w:r>
              <w:rPr>
                <w:sz w:val="22"/>
                <w:szCs w:val="22"/>
              </w:rPr>
              <w:t>5</w:t>
            </w:r>
            <w:r w:rsidR="00B33655">
              <w:rPr>
                <w:sz w:val="22"/>
                <w:szCs w:val="22"/>
              </w:rPr>
              <w:t xml:space="preserve">.1. Pagal PFSA, teikiamo finansavimo forma – dotacija. </w:t>
            </w:r>
          </w:p>
          <w:p w14:paraId="2538C473" w14:textId="0AACF50B" w:rsidR="001132E0" w:rsidRDefault="00566B02">
            <w:pPr>
              <w:tabs>
                <w:tab w:val="left" w:pos="447"/>
              </w:tabs>
              <w:ind w:left="22"/>
              <w:jc w:val="both"/>
              <w:rPr>
                <w:sz w:val="22"/>
                <w:szCs w:val="22"/>
              </w:rPr>
            </w:pPr>
            <w:r>
              <w:rPr>
                <w:sz w:val="22"/>
                <w:szCs w:val="22"/>
              </w:rPr>
              <w:t>5</w:t>
            </w:r>
            <w:r w:rsidR="00B33655">
              <w:rPr>
                <w:sz w:val="22"/>
                <w:szCs w:val="22"/>
              </w:rPr>
              <w:t xml:space="preserve">.2. Pagal PFSA, veiklai „Atnaujinti kolegijų tinklą, įvertinus potencialą, nacionalinius ir regioninius ūkio raidos ir darbo rinkos poreikius“ įgyvendinti skiriama iki </w:t>
            </w:r>
            <w:r w:rsidR="0046398D" w:rsidRPr="007F1CF5">
              <w:rPr>
                <w:sz w:val="22"/>
                <w:szCs w:val="22"/>
              </w:rPr>
              <w:t>22 586 000</w:t>
            </w:r>
            <w:r w:rsidR="00F83501">
              <w:rPr>
                <w:sz w:val="22"/>
                <w:szCs w:val="22"/>
              </w:rPr>
              <w:t>-</w:t>
            </w:r>
            <w:r w:rsidR="00B33655">
              <w:rPr>
                <w:sz w:val="22"/>
                <w:szCs w:val="22"/>
              </w:rPr>
              <w:t xml:space="preserve"> Eur (dvidešimt </w:t>
            </w:r>
            <w:r w:rsidR="00B5637C">
              <w:rPr>
                <w:sz w:val="22"/>
                <w:szCs w:val="22"/>
              </w:rPr>
              <w:t>dviejų</w:t>
            </w:r>
            <w:r w:rsidR="00653242">
              <w:rPr>
                <w:sz w:val="22"/>
                <w:szCs w:val="22"/>
              </w:rPr>
              <w:t xml:space="preserve"> </w:t>
            </w:r>
            <w:r w:rsidR="00B33655">
              <w:rPr>
                <w:sz w:val="22"/>
                <w:szCs w:val="22"/>
              </w:rPr>
              <w:t xml:space="preserve">milijonų </w:t>
            </w:r>
            <w:r w:rsidR="00DE6E97">
              <w:rPr>
                <w:sz w:val="22"/>
                <w:szCs w:val="22"/>
              </w:rPr>
              <w:t>penkių šimtų a</w:t>
            </w:r>
            <w:r w:rsidR="004062CA">
              <w:rPr>
                <w:sz w:val="22"/>
                <w:szCs w:val="22"/>
              </w:rPr>
              <w:t>štuoniasdešimt šešių</w:t>
            </w:r>
            <w:r w:rsidR="00B33655">
              <w:rPr>
                <w:sz w:val="22"/>
                <w:szCs w:val="22"/>
              </w:rPr>
              <w:t xml:space="preserve"> tūkstančių</w:t>
            </w:r>
            <w:r w:rsidR="00A5591F">
              <w:rPr>
                <w:sz w:val="22"/>
                <w:szCs w:val="22"/>
              </w:rPr>
              <w:t xml:space="preserve"> </w:t>
            </w:r>
            <w:r w:rsidR="00B33655">
              <w:rPr>
                <w:sz w:val="22"/>
                <w:szCs w:val="22"/>
              </w:rPr>
              <w:t xml:space="preserve">eurų, 00 ct) </w:t>
            </w:r>
            <w:r w:rsidR="00B33655">
              <w:rPr>
                <w:sz w:val="22"/>
                <w:szCs w:val="22"/>
                <w:shd w:val="clear" w:color="auto" w:fill="FFFFFF"/>
              </w:rPr>
              <w:t>EGADP</w:t>
            </w:r>
            <w:r w:rsidR="00B33655">
              <w:rPr>
                <w:sz w:val="22"/>
                <w:szCs w:val="22"/>
              </w:rPr>
              <w:t xml:space="preserve"> lėšų ir ne daugiau kaip 4 770 000,00 Eur (keturi milijonai septyni šimtai septyniasdešimt tūkstančių eurų, 00 ct) Lietuvos Respublikos valstybės biudžeto lėšų, skirtų apmokėti bendrai finansuojamiems iš ES fondų lėšų projektams, netinkamiems finansuoti iš ES fondų lėšų pirkimo ir (arba) importo PVM (toliau – PVM) kompensuoti. </w:t>
            </w:r>
          </w:p>
          <w:p w14:paraId="557D8568" w14:textId="7668CB4C" w:rsidR="001132E0" w:rsidRDefault="00566B02">
            <w:pPr>
              <w:tabs>
                <w:tab w:val="left" w:pos="447"/>
              </w:tabs>
              <w:ind w:left="22"/>
              <w:jc w:val="both"/>
              <w:rPr>
                <w:sz w:val="22"/>
                <w:szCs w:val="22"/>
              </w:rPr>
            </w:pPr>
            <w:r>
              <w:rPr>
                <w:sz w:val="22"/>
                <w:szCs w:val="22"/>
              </w:rPr>
              <w:t>5</w:t>
            </w:r>
            <w:r w:rsidR="00B33655">
              <w:rPr>
                <w:sz w:val="22"/>
                <w:szCs w:val="22"/>
              </w:rPr>
              <w:t>.3.</w:t>
            </w:r>
            <w:r w:rsidR="00B33655">
              <w:rPr>
                <w:iCs/>
                <w:sz w:val="22"/>
                <w:szCs w:val="22"/>
              </w:rPr>
              <w:t xml:space="preserve"> Pagal PFSA vienam projektui įgyvendinti skiriama iki </w:t>
            </w:r>
            <w:r w:rsidR="000F305C">
              <w:rPr>
                <w:sz w:val="22"/>
                <w:szCs w:val="22"/>
              </w:rPr>
              <w:t xml:space="preserve">4 </w:t>
            </w:r>
            <w:r w:rsidR="000126B0">
              <w:rPr>
                <w:sz w:val="22"/>
                <w:szCs w:val="22"/>
              </w:rPr>
              <w:t>516</w:t>
            </w:r>
            <w:r w:rsidR="000F305C">
              <w:rPr>
                <w:sz w:val="22"/>
                <w:szCs w:val="22"/>
              </w:rPr>
              <w:t xml:space="preserve"> 000,00</w:t>
            </w:r>
            <w:r w:rsidR="00B33655">
              <w:rPr>
                <w:iCs/>
                <w:sz w:val="22"/>
                <w:szCs w:val="22"/>
              </w:rPr>
              <w:t xml:space="preserve"> Eur (</w:t>
            </w:r>
            <w:r w:rsidR="0027542A">
              <w:rPr>
                <w:iCs/>
                <w:sz w:val="22"/>
                <w:szCs w:val="22"/>
              </w:rPr>
              <w:t xml:space="preserve">keturių </w:t>
            </w:r>
            <w:r w:rsidR="00B33655">
              <w:rPr>
                <w:iCs/>
                <w:sz w:val="22"/>
                <w:szCs w:val="22"/>
              </w:rPr>
              <w:t xml:space="preserve">milijonų </w:t>
            </w:r>
            <w:r w:rsidR="000126B0">
              <w:rPr>
                <w:iCs/>
                <w:sz w:val="22"/>
                <w:szCs w:val="22"/>
              </w:rPr>
              <w:t>penki</w:t>
            </w:r>
            <w:r w:rsidR="00E20484">
              <w:rPr>
                <w:iCs/>
                <w:sz w:val="22"/>
                <w:szCs w:val="22"/>
              </w:rPr>
              <w:t>ų</w:t>
            </w:r>
            <w:r w:rsidR="0027542A">
              <w:rPr>
                <w:iCs/>
                <w:sz w:val="22"/>
                <w:szCs w:val="22"/>
              </w:rPr>
              <w:t xml:space="preserve"> </w:t>
            </w:r>
            <w:r w:rsidR="00B33655">
              <w:rPr>
                <w:iCs/>
                <w:sz w:val="22"/>
                <w:szCs w:val="22"/>
              </w:rPr>
              <w:t xml:space="preserve">šimtų </w:t>
            </w:r>
            <w:r w:rsidR="00CF1E88">
              <w:rPr>
                <w:iCs/>
                <w:sz w:val="22"/>
                <w:szCs w:val="22"/>
              </w:rPr>
              <w:t>šešiolikos tūkstančių</w:t>
            </w:r>
            <w:r w:rsidR="00B33655">
              <w:rPr>
                <w:iCs/>
                <w:sz w:val="22"/>
                <w:szCs w:val="22"/>
              </w:rPr>
              <w:t xml:space="preserve"> eurų, 00 ct) neįskaitant PVM</w:t>
            </w:r>
            <w:r w:rsidR="00B33655">
              <w:rPr>
                <w:sz w:val="22"/>
                <w:szCs w:val="22"/>
              </w:rPr>
              <w:t xml:space="preserve">. Atsižvelgiant į kvietimo teikti PĮP rezultatus šiame papunktyje vienam projektui įgyvendinti skiriama lėšų suma gali būti padidinta, pakeičiant šį PFSA. </w:t>
            </w:r>
          </w:p>
          <w:p w14:paraId="0E427437" w14:textId="258F3B9F" w:rsidR="001132E0" w:rsidRDefault="00566B02">
            <w:pPr>
              <w:tabs>
                <w:tab w:val="left" w:pos="540"/>
              </w:tabs>
              <w:ind w:firstLine="22"/>
              <w:jc w:val="both"/>
              <w:rPr>
                <w:sz w:val="22"/>
                <w:szCs w:val="22"/>
              </w:rPr>
            </w:pPr>
            <w:r>
              <w:rPr>
                <w:bCs/>
                <w:iCs/>
                <w:sz w:val="22"/>
                <w:szCs w:val="22"/>
              </w:rPr>
              <w:t>5</w:t>
            </w:r>
            <w:r w:rsidR="00B33655">
              <w:rPr>
                <w:bCs/>
                <w:iCs/>
                <w:sz w:val="22"/>
                <w:szCs w:val="22"/>
              </w:rPr>
              <w:t>.4</w:t>
            </w:r>
            <w:r w:rsidR="00B33655">
              <w:rPr>
                <w:sz w:val="22"/>
                <w:szCs w:val="22"/>
              </w:rPr>
              <w:t>. Didžiausia galima projektų finansuojamoji dalis sudaro 100 proc. visų tinkamų finansuoti projekto išlaidų. Nuosavas įnašas neprivalomas. Pareiškėjas savo iniciatyva ir savo, ir (arba) kitų šaltinių lėšomis gali prisidėti prie projekto įgyvendinimo.</w:t>
            </w:r>
          </w:p>
          <w:p w14:paraId="1F92BFF8" w14:textId="56378E2D" w:rsidR="001132E0" w:rsidRDefault="00B933EB">
            <w:pPr>
              <w:tabs>
                <w:tab w:val="left" w:pos="447"/>
              </w:tabs>
              <w:ind w:left="22"/>
              <w:jc w:val="both"/>
              <w:rPr>
                <w:sz w:val="22"/>
                <w:szCs w:val="22"/>
              </w:rPr>
            </w:pPr>
            <w:r>
              <w:rPr>
                <w:sz w:val="22"/>
                <w:szCs w:val="22"/>
              </w:rPr>
              <w:t>5</w:t>
            </w:r>
            <w:r w:rsidR="00B33655">
              <w:rPr>
                <w:sz w:val="22"/>
                <w:szCs w:val="22"/>
              </w:rPr>
              <w:t>.5. Projektų atrankos būdas – planavimas.</w:t>
            </w:r>
          </w:p>
          <w:p w14:paraId="64874F4C" w14:textId="34849070" w:rsidR="001132E0" w:rsidRDefault="00B933EB">
            <w:pPr>
              <w:tabs>
                <w:tab w:val="left" w:pos="22"/>
                <w:tab w:val="left" w:pos="318"/>
                <w:tab w:val="left" w:pos="447"/>
                <w:tab w:val="left" w:pos="601"/>
                <w:tab w:val="left" w:pos="660"/>
                <w:tab w:val="left" w:pos="731"/>
              </w:tabs>
              <w:ind w:left="34"/>
              <w:jc w:val="both"/>
              <w:rPr>
                <w:sz w:val="22"/>
                <w:szCs w:val="22"/>
                <w:shd w:val="clear" w:color="auto" w:fill="FFFFFF"/>
              </w:rPr>
            </w:pPr>
            <w:r>
              <w:rPr>
                <w:sz w:val="22"/>
                <w:szCs w:val="22"/>
              </w:rPr>
              <w:t>5</w:t>
            </w:r>
            <w:r w:rsidR="00B33655">
              <w:rPr>
                <w:sz w:val="22"/>
                <w:szCs w:val="22"/>
              </w:rPr>
              <w:t xml:space="preserve">.6. Pagal PFSA galimi pareiškėjai – Lietuvos valstybinės aukštosios mokyklos, vykdančios 1.2.3–1.2.8 papunkčiuose nurodytas </w:t>
            </w:r>
            <w:r w:rsidR="00B33655">
              <w:rPr>
                <w:sz w:val="22"/>
                <w:szCs w:val="22"/>
                <w:shd w:val="clear" w:color="auto" w:fill="FFFFFF"/>
              </w:rPr>
              <w:t>2023–2024 metų valstybinių kolegijų tinklo stiprinimo veiksmų plano įgyvendinimo priemones ir dėl šių aukštųjų mokyklų yra priimtas atitinkamai Lietuvos Respublikos Seimo / Vyriausybės nutarimas dėl pritarimo reorganizuoti valstybinę aukštąją mokyklą.</w:t>
            </w:r>
          </w:p>
          <w:p w14:paraId="6EF0B49C" w14:textId="4DEE5571" w:rsidR="001132E0" w:rsidRDefault="00B933EB">
            <w:pPr>
              <w:tabs>
                <w:tab w:val="left" w:pos="22"/>
                <w:tab w:val="left" w:pos="318"/>
                <w:tab w:val="left" w:pos="447"/>
                <w:tab w:val="left" w:pos="601"/>
                <w:tab w:val="left" w:pos="660"/>
                <w:tab w:val="left" w:pos="731"/>
              </w:tabs>
              <w:ind w:left="34"/>
              <w:jc w:val="both"/>
              <w:rPr>
                <w:sz w:val="22"/>
                <w:szCs w:val="22"/>
                <w:shd w:val="clear" w:color="auto" w:fill="FFFFFF"/>
              </w:rPr>
            </w:pPr>
            <w:r>
              <w:rPr>
                <w:sz w:val="22"/>
                <w:szCs w:val="22"/>
              </w:rPr>
              <w:t>5</w:t>
            </w:r>
            <w:r w:rsidR="00B33655">
              <w:rPr>
                <w:sz w:val="22"/>
                <w:szCs w:val="22"/>
              </w:rPr>
              <w:t xml:space="preserve">.7. Projektai turi būti įgyvendinami su partneriais. Partneriai – Lietuvos valstybinės aukštosios mokyklos, vykdančios 1.2.3–1.2.8 papunkčiuose nurodytas </w:t>
            </w:r>
            <w:r w:rsidR="00B33655">
              <w:rPr>
                <w:sz w:val="22"/>
                <w:szCs w:val="22"/>
                <w:shd w:val="clear" w:color="auto" w:fill="FFFFFF"/>
              </w:rPr>
              <w:t>2023–2024 metų valstybinių kolegijų tinklo stiprinimo veiksmų plano įgyvendinimo priemones</w:t>
            </w:r>
            <w:r w:rsidR="00B33655">
              <w:rPr>
                <w:sz w:val="22"/>
                <w:szCs w:val="22"/>
              </w:rPr>
              <w:t xml:space="preserve"> ir dėl šių aukštųjų mokyklų yra priimtas atitinkamai Lietuvos Respublikos Seimo / Vyriausybės nutarimas dėl pritarimo reorganizuoti valstybinę aukštąją mokyklą</w:t>
            </w:r>
            <w:r w:rsidR="00B33655">
              <w:rPr>
                <w:sz w:val="22"/>
                <w:szCs w:val="22"/>
                <w:shd w:val="clear" w:color="auto" w:fill="FFFFFF"/>
              </w:rPr>
              <w:t>. Tuo atveju, jeigu partneris pagal priimtą atitinkamą Lietuvos Respublikos Seimo / Vyriausybės nutarimą dėl pritarimo reorganizuoti valstybinę aukštąją mokyklą yra panaikinamas kaip atskiras juridinis asmuo, prijungiant jį prie kitos aukštosios mokyklos ar sujungiant su kita aukštąją mokykla ir steigiant naują juridinį asmenį, projektas gali būti įgyvendinamas be partnerių.</w:t>
            </w:r>
          </w:p>
          <w:p w14:paraId="4FB1C403" w14:textId="763A967B" w:rsidR="001132E0" w:rsidRDefault="00B933EB">
            <w:pPr>
              <w:tabs>
                <w:tab w:val="left" w:pos="22"/>
                <w:tab w:val="left" w:pos="318"/>
                <w:tab w:val="left" w:pos="447"/>
                <w:tab w:val="left" w:pos="601"/>
                <w:tab w:val="left" w:pos="660"/>
                <w:tab w:val="left" w:pos="731"/>
              </w:tabs>
              <w:ind w:left="34"/>
              <w:jc w:val="both"/>
              <w:rPr>
                <w:sz w:val="22"/>
                <w:szCs w:val="22"/>
                <w:shd w:val="clear" w:color="auto" w:fill="FFFFFF"/>
              </w:rPr>
            </w:pPr>
            <w:r>
              <w:rPr>
                <w:sz w:val="22"/>
                <w:szCs w:val="22"/>
              </w:rPr>
              <w:t>5</w:t>
            </w:r>
            <w:r w:rsidR="00B33655">
              <w:rPr>
                <w:sz w:val="22"/>
                <w:szCs w:val="22"/>
              </w:rPr>
              <w:t>.8. Tas pats juridinis asmuo gali dalyvauti tik viename projekte kaip pareiškėjas ar partneris</w:t>
            </w:r>
            <w:r w:rsidR="00B33655">
              <w:rPr>
                <w:color w:val="000000"/>
                <w:sz w:val="22"/>
                <w:szCs w:val="22"/>
              </w:rPr>
              <w:t>.</w:t>
            </w:r>
          </w:p>
          <w:p w14:paraId="777F95BB" w14:textId="1B325A5A" w:rsidR="001132E0" w:rsidRDefault="00B933EB">
            <w:pPr>
              <w:jc w:val="both"/>
              <w:rPr>
                <w:sz w:val="22"/>
                <w:szCs w:val="22"/>
              </w:rPr>
            </w:pPr>
            <w:r>
              <w:rPr>
                <w:sz w:val="22"/>
                <w:szCs w:val="22"/>
              </w:rPr>
              <w:t>5</w:t>
            </w:r>
            <w:r w:rsidR="00B33655">
              <w:rPr>
                <w:sz w:val="22"/>
                <w:szCs w:val="22"/>
              </w:rPr>
              <w:t>.9. Pagal PFSA finansuojama veikla – kolegijų tinklo pertvarka. Finansuojamos šios veiklos poveiklės, susijusios su kolegijų veiklos pertvarka:</w:t>
            </w:r>
          </w:p>
          <w:p w14:paraId="2F8FAE13" w14:textId="4D19492F" w:rsidR="001132E0" w:rsidRDefault="00B933EB">
            <w:pPr>
              <w:jc w:val="both"/>
              <w:rPr>
                <w:sz w:val="22"/>
                <w:szCs w:val="22"/>
              </w:rPr>
            </w:pPr>
            <w:r>
              <w:rPr>
                <w:sz w:val="22"/>
                <w:szCs w:val="22"/>
              </w:rPr>
              <w:t>5</w:t>
            </w:r>
            <w:r w:rsidR="00B33655">
              <w:rPr>
                <w:sz w:val="22"/>
                <w:szCs w:val="22"/>
              </w:rPr>
              <w:t>.9.1. esamų studijų programų konsolidavimas;</w:t>
            </w:r>
          </w:p>
          <w:p w14:paraId="1BB8E584" w14:textId="041D09E6" w:rsidR="001132E0" w:rsidRDefault="00B933EB">
            <w:pPr>
              <w:jc w:val="both"/>
              <w:rPr>
                <w:sz w:val="22"/>
                <w:szCs w:val="22"/>
              </w:rPr>
            </w:pPr>
            <w:r>
              <w:rPr>
                <w:sz w:val="22"/>
                <w:szCs w:val="22"/>
              </w:rPr>
              <w:t>5</w:t>
            </w:r>
            <w:r w:rsidR="00B33655">
              <w:rPr>
                <w:sz w:val="22"/>
                <w:szCs w:val="22"/>
              </w:rPr>
              <w:t>.9.2. studijų ir mokslo veiklos kokybės gerinimas;</w:t>
            </w:r>
          </w:p>
          <w:p w14:paraId="0C69EAB2" w14:textId="40D3E3C1" w:rsidR="001132E0" w:rsidRDefault="00B933EB">
            <w:pPr>
              <w:jc w:val="both"/>
              <w:rPr>
                <w:sz w:val="22"/>
                <w:szCs w:val="22"/>
              </w:rPr>
            </w:pPr>
            <w:r>
              <w:rPr>
                <w:sz w:val="22"/>
                <w:szCs w:val="22"/>
              </w:rPr>
              <w:t>5</w:t>
            </w:r>
            <w:r w:rsidR="00B33655">
              <w:rPr>
                <w:sz w:val="22"/>
                <w:szCs w:val="22"/>
              </w:rPr>
              <w:t>.9.3. dėstytojų ir administracijos darbuotojų kompetencijų stiprinimas;</w:t>
            </w:r>
          </w:p>
          <w:p w14:paraId="4CBB8257" w14:textId="1034A338" w:rsidR="001132E0" w:rsidRDefault="00B933EB">
            <w:pPr>
              <w:jc w:val="both"/>
              <w:rPr>
                <w:sz w:val="22"/>
                <w:szCs w:val="22"/>
              </w:rPr>
            </w:pPr>
            <w:r>
              <w:rPr>
                <w:sz w:val="22"/>
                <w:szCs w:val="22"/>
              </w:rPr>
              <w:t>5</w:t>
            </w:r>
            <w:r w:rsidR="00B33655">
              <w:rPr>
                <w:sz w:val="22"/>
                <w:szCs w:val="22"/>
              </w:rPr>
              <w:t>.9.4. pagrindinių administracinių bei mokslo ir studijų aptarnavimo funkcijų ir procesų optimizavimas ir integravimas;</w:t>
            </w:r>
            <w:r w:rsidR="00B33655">
              <w:rPr>
                <w:strike/>
                <w:sz w:val="22"/>
                <w:szCs w:val="22"/>
              </w:rPr>
              <w:t xml:space="preserve"> </w:t>
            </w:r>
          </w:p>
          <w:p w14:paraId="5084125B" w14:textId="06AF5323" w:rsidR="001132E0" w:rsidRDefault="00B933EB">
            <w:pPr>
              <w:jc w:val="both"/>
              <w:rPr>
                <w:sz w:val="22"/>
                <w:szCs w:val="22"/>
              </w:rPr>
            </w:pPr>
            <w:r>
              <w:rPr>
                <w:sz w:val="22"/>
                <w:szCs w:val="22"/>
              </w:rPr>
              <w:t>5</w:t>
            </w:r>
            <w:r w:rsidR="00B33655">
              <w:rPr>
                <w:sz w:val="22"/>
                <w:szCs w:val="22"/>
              </w:rPr>
              <w:t xml:space="preserve">.9.5. naudojamos infrastruktūros optimizavimas. </w:t>
            </w:r>
          </w:p>
          <w:p w14:paraId="0A304CF5" w14:textId="14549EF1" w:rsidR="001132E0" w:rsidRDefault="00B933EB">
            <w:pPr>
              <w:tabs>
                <w:tab w:val="left" w:pos="540"/>
              </w:tabs>
              <w:ind w:firstLine="22"/>
              <w:jc w:val="both"/>
              <w:rPr>
                <w:sz w:val="22"/>
                <w:szCs w:val="22"/>
              </w:rPr>
            </w:pPr>
            <w:r>
              <w:rPr>
                <w:sz w:val="22"/>
                <w:szCs w:val="22"/>
              </w:rPr>
              <w:t>5</w:t>
            </w:r>
            <w:r w:rsidR="00B33655">
              <w:rPr>
                <w:sz w:val="22"/>
                <w:szCs w:val="22"/>
              </w:rPr>
              <w:t>.10. Projekto tinkamų finansuoti išlaidų dalis, kurios nepadengia projektui skiriamo finansavimo lėšos, turi būti finansuojama projekto vykdytojo lėšomis.</w:t>
            </w:r>
          </w:p>
          <w:p w14:paraId="3B51B249" w14:textId="3D4A05EC" w:rsidR="001132E0" w:rsidRDefault="00B933EB">
            <w:pPr>
              <w:jc w:val="both"/>
              <w:rPr>
                <w:rFonts w:eastAsia="Calibri"/>
                <w:sz w:val="22"/>
                <w:szCs w:val="22"/>
              </w:rPr>
            </w:pPr>
            <w:r>
              <w:rPr>
                <w:rFonts w:eastAsia="Calibri"/>
                <w:sz w:val="22"/>
                <w:szCs w:val="22"/>
              </w:rPr>
              <w:t>5</w:t>
            </w:r>
            <w:r w:rsidR="00B33655">
              <w:rPr>
                <w:rFonts w:eastAsia="Calibri"/>
                <w:sz w:val="22"/>
                <w:szCs w:val="22"/>
              </w:rPr>
              <w:t xml:space="preserve">.11.  </w:t>
            </w:r>
            <w:r w:rsidR="00B33655">
              <w:rPr>
                <w:sz w:val="22"/>
                <w:szCs w:val="22"/>
              </w:rPr>
              <w:t>Projektas turi atitikti projekto bendruosius atrankos kriterijus, nustatytus Strateginio valdymo metodikos 136 punkte ir Projektų administravimo ir finansavimo taisyklių 2 priede.</w:t>
            </w:r>
          </w:p>
          <w:p w14:paraId="269D1084" w14:textId="6AD020FB" w:rsidR="001132E0" w:rsidRDefault="00B933EB">
            <w:pPr>
              <w:jc w:val="both"/>
              <w:rPr>
                <w:b/>
                <w:bCs/>
                <w:sz w:val="22"/>
                <w:szCs w:val="22"/>
              </w:rPr>
            </w:pPr>
            <w:r>
              <w:rPr>
                <w:sz w:val="22"/>
                <w:szCs w:val="22"/>
                <w:lang w:eastAsia="lt-LT"/>
              </w:rPr>
              <w:t>5</w:t>
            </w:r>
            <w:r w:rsidR="00B33655">
              <w:rPr>
                <w:sz w:val="22"/>
                <w:szCs w:val="22"/>
                <w:lang w:eastAsia="lt-LT"/>
              </w:rPr>
              <w:t>.12. Projekto tikslai ir uždaviniai turi atitikti EGAD plano priedo 5 komponento „Aukštasis mokslas, nuosekli mokslo ir inovacijų skatinimo sistema ir aukštos pridėtinės vertės verslas</w:t>
            </w:r>
            <w:r w:rsidR="00B33655">
              <w:rPr>
                <w:rFonts w:eastAsia="Calibri"/>
                <w:sz w:val="22"/>
                <w:szCs w:val="22"/>
              </w:rPr>
              <w:t>“</w:t>
            </w:r>
            <w:r w:rsidR="00B33655">
              <w:rPr>
                <w:sz w:val="22"/>
                <w:szCs w:val="22"/>
                <w:lang w:eastAsia="lt-LT"/>
              </w:rPr>
              <w:t xml:space="preserve"> reformos „Kokybiškas aukštasis mokslas ir stiprios mokslo ir studijų institucijos</w:t>
            </w:r>
            <w:r w:rsidR="00B33655">
              <w:rPr>
                <w:rFonts w:eastAsia="Calibri"/>
                <w:sz w:val="22"/>
                <w:szCs w:val="22"/>
              </w:rPr>
              <w:t>“</w:t>
            </w:r>
            <w:r w:rsidR="00B33655">
              <w:rPr>
                <w:sz w:val="22"/>
                <w:szCs w:val="22"/>
                <w:lang w:eastAsia="lt-LT"/>
              </w:rPr>
              <w:t xml:space="preserve"> tikslą – </w:t>
            </w:r>
            <w:r w:rsidR="00B33655">
              <w:rPr>
                <w:sz w:val="22"/>
                <w:szCs w:val="22"/>
              </w:rPr>
              <w:t>gerinti Lietuvos aukštojo mokslo ir mokslo sistemos kokybę, didinti jos efektyvumą ir tarptautinį konkurencingumą</w:t>
            </w:r>
            <w:r w:rsidR="00B33655">
              <w:rPr>
                <w:sz w:val="22"/>
                <w:szCs w:val="22"/>
                <w:lang w:eastAsia="lt-LT"/>
              </w:rPr>
              <w:t>.</w:t>
            </w:r>
          </w:p>
          <w:p w14:paraId="2398FB11" w14:textId="6069049B" w:rsidR="001132E0" w:rsidRDefault="00B933EB">
            <w:pPr>
              <w:jc w:val="both"/>
              <w:rPr>
                <w:sz w:val="22"/>
                <w:szCs w:val="22"/>
              </w:rPr>
            </w:pPr>
            <w:r>
              <w:rPr>
                <w:sz w:val="22"/>
                <w:szCs w:val="22"/>
              </w:rPr>
              <w:t>5</w:t>
            </w:r>
            <w:r w:rsidR="00B33655">
              <w:rPr>
                <w:sz w:val="22"/>
                <w:szCs w:val="22"/>
              </w:rPr>
              <w:t>.13. Projekte privalomai turi būti numatytas PFSA 2.9.1, 2.9.4 ir 2.9.5 papunkčiuose nurodytų poveiklių užtikrinančių, kad optimizavus studijų programas ir infrastruktūrą bus galima padidinti veiklos efektyvumą, įgyvendinimas.</w:t>
            </w:r>
          </w:p>
          <w:p w14:paraId="532506C6" w14:textId="3E58AD3B" w:rsidR="001132E0" w:rsidRDefault="00B933EB">
            <w:pPr>
              <w:tabs>
                <w:tab w:val="left" w:pos="731"/>
              </w:tabs>
              <w:ind w:left="22" w:hanging="22"/>
              <w:jc w:val="both"/>
              <w:rPr>
                <w:sz w:val="22"/>
                <w:szCs w:val="22"/>
              </w:rPr>
            </w:pPr>
            <w:r>
              <w:rPr>
                <w:sz w:val="22"/>
                <w:szCs w:val="22"/>
              </w:rPr>
              <w:t>5</w:t>
            </w:r>
            <w:r w:rsidR="00B33655">
              <w:rPr>
                <w:sz w:val="22"/>
                <w:szCs w:val="22"/>
              </w:rPr>
              <w:t xml:space="preserve">.14. Vienas pareiškėjas pagal šį PFSA gali teikti tik vieną projektą. </w:t>
            </w:r>
          </w:p>
          <w:p w14:paraId="6353439D" w14:textId="35F2D6ED" w:rsidR="001132E0" w:rsidRDefault="00B933EB">
            <w:pPr>
              <w:tabs>
                <w:tab w:val="left" w:pos="510"/>
                <w:tab w:val="left" w:pos="660"/>
              </w:tabs>
              <w:ind w:firstLine="22"/>
              <w:jc w:val="both"/>
              <w:rPr>
                <w:sz w:val="22"/>
                <w:szCs w:val="22"/>
              </w:rPr>
            </w:pPr>
            <w:r>
              <w:rPr>
                <w:sz w:val="22"/>
                <w:szCs w:val="22"/>
              </w:rPr>
              <w:t>5</w:t>
            </w:r>
            <w:r w:rsidR="00B33655">
              <w:rPr>
                <w:sz w:val="22"/>
                <w:szCs w:val="22"/>
              </w:rPr>
              <w:t>.15. Pareiškėjas, prieš teikdamas PĮP Administruojančiajai institucijai, turi jį suderinti su Lietuvos Respublikos švietimo, mokslo ir sporto ministerija (toliau – Ministerija).</w:t>
            </w:r>
          </w:p>
          <w:p w14:paraId="40C4A28B" w14:textId="0F5DC9B4" w:rsidR="001132E0" w:rsidRDefault="00B933EB">
            <w:pPr>
              <w:tabs>
                <w:tab w:val="left" w:pos="510"/>
                <w:tab w:val="left" w:pos="660"/>
              </w:tabs>
              <w:ind w:firstLine="22"/>
              <w:jc w:val="both"/>
              <w:rPr>
                <w:sz w:val="22"/>
                <w:szCs w:val="22"/>
              </w:rPr>
            </w:pPr>
            <w:r>
              <w:rPr>
                <w:sz w:val="22"/>
                <w:szCs w:val="22"/>
              </w:rPr>
              <w:t>5</w:t>
            </w:r>
            <w:r w:rsidR="00B33655">
              <w:rPr>
                <w:sz w:val="22"/>
                <w:szCs w:val="22"/>
              </w:rPr>
              <w:t>.16. Administruojanti institucija turi informuoti Ministeriją, jeigu vertinimo metu nustatyta, kad pareiškėjo pateiktas PĮP neatitinka šio PFSA 2.15 papunkčio.</w:t>
            </w:r>
          </w:p>
          <w:p w14:paraId="3497C2D1" w14:textId="2F669A12" w:rsidR="001132E0" w:rsidRDefault="00B933EB">
            <w:pPr>
              <w:tabs>
                <w:tab w:val="left" w:pos="510"/>
                <w:tab w:val="left" w:pos="660"/>
              </w:tabs>
              <w:ind w:firstLine="22"/>
              <w:jc w:val="both"/>
              <w:rPr>
                <w:iCs/>
                <w:sz w:val="22"/>
                <w:szCs w:val="22"/>
              </w:rPr>
            </w:pPr>
            <w:r>
              <w:rPr>
                <w:iCs/>
                <w:sz w:val="22"/>
                <w:szCs w:val="22"/>
              </w:rPr>
              <w:t>5</w:t>
            </w:r>
            <w:r w:rsidR="00B33655">
              <w:rPr>
                <w:iCs/>
                <w:sz w:val="22"/>
                <w:szCs w:val="22"/>
              </w:rPr>
              <w:t xml:space="preserve">.17. Kartu su PĮP turi būti pateikta: </w:t>
            </w:r>
          </w:p>
          <w:p w14:paraId="170D01AF" w14:textId="19CAFAEB" w:rsidR="001132E0" w:rsidRDefault="00B933EB">
            <w:pPr>
              <w:tabs>
                <w:tab w:val="left" w:pos="510"/>
                <w:tab w:val="left" w:pos="660"/>
              </w:tabs>
              <w:ind w:firstLine="22"/>
              <w:jc w:val="both"/>
              <w:rPr>
                <w:iCs/>
                <w:sz w:val="22"/>
                <w:szCs w:val="22"/>
              </w:rPr>
            </w:pPr>
            <w:r>
              <w:rPr>
                <w:sz w:val="22"/>
                <w:szCs w:val="22"/>
              </w:rPr>
              <w:t>5</w:t>
            </w:r>
            <w:r w:rsidR="00B33655">
              <w:rPr>
                <w:sz w:val="22"/>
                <w:szCs w:val="22"/>
              </w:rPr>
              <w:t>.17.1. partnerio (-ių) deklaracijos pagal Projektų administravimo ir finansavimo taisyklių 1 priedo 1 priedą;</w:t>
            </w:r>
          </w:p>
          <w:p w14:paraId="1ADC8EAE" w14:textId="0A9BB692" w:rsidR="001132E0" w:rsidRDefault="00B933EB">
            <w:pPr>
              <w:tabs>
                <w:tab w:val="left" w:pos="645"/>
              </w:tabs>
              <w:ind w:left="22" w:hanging="22"/>
              <w:jc w:val="both"/>
              <w:rPr>
                <w:rFonts w:eastAsia="Calibri"/>
                <w:sz w:val="22"/>
                <w:szCs w:val="22"/>
              </w:rPr>
            </w:pPr>
            <w:r>
              <w:rPr>
                <w:iCs/>
                <w:sz w:val="22"/>
                <w:szCs w:val="22"/>
              </w:rPr>
              <w:t>5</w:t>
            </w:r>
            <w:r w:rsidR="00B33655">
              <w:rPr>
                <w:iCs/>
                <w:sz w:val="22"/>
                <w:szCs w:val="22"/>
              </w:rPr>
              <w:t xml:space="preserve">.17.2. </w:t>
            </w:r>
            <w:r w:rsidR="00B33655">
              <w:rPr>
                <w:rFonts w:eastAsia="Calibri"/>
                <w:iCs/>
                <w:sz w:val="22"/>
                <w:szCs w:val="22"/>
              </w:rPr>
              <w:t>kai projekto investicijų suma į ilgalaikį materialųjį ir nematerialųjį turtą viršija 1 000 000,00 Eur (vieną milijoną eurų, 00 ct) – investicijų projektas, kartu su sąnaudų ir naudos analizės ir (arba) sąnaudų efektyvumo analizės skaičiuokle (toliau – Skaičiuoklė) parengti pagal Investicijų projektų, kuriems siekiama gauti finansavimą iš Europos Sąjungos struktūrinės paramos ir / ar valstybės biudžeto lėšų rengimo metodika, patvirtinta Centrinės projektų valdymo agentūros direktoriaus 2014 m. gruodžio 31 d. įsakymu Nr. 2014/8-337 „Dėl Viešojo ir privataus sektorių partnerystės projektų rengimo ir įgyvendinimo metodinių rekomendacijų patvirtinimo“</w:t>
            </w:r>
            <w:r w:rsidR="00B33655">
              <w:rPr>
                <w:rFonts w:eastAsia="Calibri"/>
                <w:sz w:val="22"/>
                <w:szCs w:val="22"/>
              </w:rPr>
              <w:t>;</w:t>
            </w:r>
          </w:p>
          <w:p w14:paraId="1A5A7497" w14:textId="1F8AE681" w:rsidR="001132E0" w:rsidRDefault="00B933EB">
            <w:pPr>
              <w:tabs>
                <w:tab w:val="left" w:pos="510"/>
                <w:tab w:val="left" w:pos="660"/>
              </w:tabs>
              <w:ind w:firstLine="22"/>
              <w:jc w:val="both"/>
              <w:rPr>
                <w:iCs/>
                <w:sz w:val="22"/>
                <w:szCs w:val="22"/>
              </w:rPr>
            </w:pPr>
            <w:r>
              <w:rPr>
                <w:iCs/>
                <w:sz w:val="22"/>
                <w:szCs w:val="22"/>
              </w:rPr>
              <w:t>5</w:t>
            </w:r>
            <w:r w:rsidR="00B33655">
              <w:rPr>
                <w:iCs/>
                <w:sz w:val="22"/>
                <w:szCs w:val="22"/>
              </w:rPr>
              <w:t>.17.3. dokumentai, pagrindžiantys projekto išlaidų pagrįstumą (sudarytos sutartys, komerciniai siūlymai, nuorodos į rinkoje esančias kainas), išlaidų skaičiavimai;</w:t>
            </w:r>
          </w:p>
          <w:p w14:paraId="1B37945B" w14:textId="19A9EAF4" w:rsidR="001132E0" w:rsidRDefault="00B933EB">
            <w:pPr>
              <w:tabs>
                <w:tab w:val="left" w:pos="510"/>
                <w:tab w:val="left" w:pos="660"/>
              </w:tabs>
              <w:ind w:firstLine="22"/>
              <w:jc w:val="both"/>
              <w:rPr>
                <w:iCs/>
                <w:sz w:val="22"/>
                <w:szCs w:val="22"/>
              </w:rPr>
            </w:pPr>
            <w:r>
              <w:rPr>
                <w:iCs/>
                <w:sz w:val="22"/>
                <w:szCs w:val="22"/>
              </w:rPr>
              <w:t>5</w:t>
            </w:r>
            <w:r w:rsidR="00B33655">
              <w:rPr>
                <w:iCs/>
                <w:sz w:val="22"/>
                <w:szCs w:val="22"/>
              </w:rPr>
              <w:t>.17.4. nuosavybės arba kitą valdymo ar naudojimo teisę patvirtinantys dokumentai, jei projekto metu veiklos vykdomos ne nuosavybės teise valdomame statinyje (jei taikoma).</w:t>
            </w:r>
            <w:r w:rsidR="00B33655">
              <w:rPr>
                <w:sz w:val="22"/>
                <w:szCs w:val="22"/>
              </w:rPr>
              <w:t xml:space="preserve"> </w:t>
            </w:r>
            <w:r w:rsidR="00B33655">
              <w:rPr>
                <w:iCs/>
                <w:sz w:val="22"/>
                <w:szCs w:val="22"/>
              </w:rPr>
              <w:t>Daiktinės pareiškėjo (partnerio) teisės į statinį, kuriame įgyvendinant projektą bus vykdomi statybos darbai, taip pat statinio valdymo formos (nuoma, panauda) turi būti įregistruotos įstatymų nustatyta tvarka ir galioti ne trumpiau kaip penkerius metus nuo projekto finansavimo pabaigos. Jei statinys yra naudojamas pagal panaudos ar nuomos sutartį, pareiškėjas turi turėti panaudos davėjo ar nuomotojo raštišką sutikimą vykdyti projekto veiklas;</w:t>
            </w:r>
          </w:p>
          <w:p w14:paraId="2EC16167" w14:textId="7DDAA8E6" w:rsidR="001132E0" w:rsidRDefault="00B933EB">
            <w:pPr>
              <w:tabs>
                <w:tab w:val="left" w:pos="510"/>
                <w:tab w:val="left" w:pos="660"/>
              </w:tabs>
              <w:ind w:firstLine="22"/>
              <w:jc w:val="both"/>
              <w:rPr>
                <w:iCs/>
                <w:sz w:val="22"/>
                <w:szCs w:val="22"/>
              </w:rPr>
            </w:pPr>
            <w:r>
              <w:rPr>
                <w:iCs/>
                <w:sz w:val="22"/>
                <w:szCs w:val="22"/>
              </w:rPr>
              <w:t>5</w:t>
            </w:r>
            <w:r w:rsidR="00B33655">
              <w:rPr>
                <w:iCs/>
                <w:sz w:val="22"/>
                <w:szCs w:val="22"/>
              </w:rPr>
              <w:t>.17.5. informacija apie projekto biudžeto paskirstymą pagal pareiškėjus ir partnerius pagal Projektų administravimo ir finansavimo taisyklių 1 priedo 2 priedą.</w:t>
            </w:r>
          </w:p>
          <w:p w14:paraId="2DBDBA69" w14:textId="5D02D5C2" w:rsidR="001132E0" w:rsidRDefault="00B933EB">
            <w:pPr>
              <w:tabs>
                <w:tab w:val="left" w:pos="510"/>
                <w:tab w:val="left" w:pos="660"/>
              </w:tabs>
              <w:ind w:firstLine="22"/>
              <w:jc w:val="both"/>
              <w:rPr>
                <w:sz w:val="22"/>
                <w:szCs w:val="22"/>
              </w:rPr>
            </w:pPr>
            <w:r>
              <w:rPr>
                <w:sz w:val="22"/>
                <w:szCs w:val="22"/>
              </w:rPr>
              <w:t>5</w:t>
            </w:r>
            <w:r w:rsidR="00B33655">
              <w:rPr>
                <w:sz w:val="22"/>
                <w:szCs w:val="22"/>
              </w:rPr>
              <w:t xml:space="preserve">.18. Teikiamų pagal PFSA PĮP veiklos turi būti baigtos ne vėliau nei </w:t>
            </w:r>
            <w:r w:rsidR="003F1CE5">
              <w:rPr>
                <w:sz w:val="22"/>
                <w:szCs w:val="22"/>
              </w:rPr>
              <w:t xml:space="preserve">2026 </w:t>
            </w:r>
            <w:r w:rsidR="00B33655">
              <w:rPr>
                <w:sz w:val="22"/>
                <w:szCs w:val="22"/>
              </w:rPr>
              <w:t xml:space="preserve">m. </w:t>
            </w:r>
            <w:r>
              <w:rPr>
                <w:sz w:val="22"/>
                <w:szCs w:val="22"/>
              </w:rPr>
              <w:t>balandžio 30</w:t>
            </w:r>
            <w:r w:rsidR="00B33655">
              <w:rPr>
                <w:sz w:val="22"/>
                <w:szCs w:val="22"/>
              </w:rPr>
              <w:t xml:space="preserve"> d.</w:t>
            </w:r>
            <w:r w:rsidR="00387FE8">
              <w:rPr>
                <w:sz w:val="22"/>
                <w:szCs w:val="22"/>
              </w:rPr>
              <w:t xml:space="preserve"> </w:t>
            </w:r>
            <w:r w:rsidR="008A3134" w:rsidRPr="007F1CF5">
              <w:rPr>
                <w:sz w:val="22"/>
                <w:szCs w:val="22"/>
              </w:rPr>
              <w:t>Atskirais atvejais terminas pratęsiamas vadovaujantis PAFT 164 p</w:t>
            </w:r>
            <w:r w:rsidR="00255576" w:rsidRPr="007F1CF5">
              <w:rPr>
                <w:sz w:val="22"/>
                <w:szCs w:val="22"/>
              </w:rPr>
              <w:t>unktu</w:t>
            </w:r>
            <w:r w:rsidR="008A3134" w:rsidRPr="007F1CF5">
              <w:rPr>
                <w:sz w:val="22"/>
                <w:szCs w:val="22"/>
              </w:rPr>
              <w:t>.</w:t>
            </w:r>
          </w:p>
          <w:p w14:paraId="3D8C5794" w14:textId="1D2D76C5" w:rsidR="001132E0" w:rsidRDefault="00B933EB">
            <w:pPr>
              <w:tabs>
                <w:tab w:val="left" w:pos="601"/>
              </w:tabs>
              <w:ind w:left="22" w:hanging="22"/>
              <w:jc w:val="both"/>
              <w:rPr>
                <w:sz w:val="22"/>
                <w:szCs w:val="22"/>
              </w:rPr>
            </w:pPr>
            <w:r>
              <w:rPr>
                <w:sz w:val="22"/>
                <w:szCs w:val="22"/>
              </w:rPr>
              <w:t>5</w:t>
            </w:r>
            <w:r w:rsidR="00B33655">
              <w:rPr>
                <w:sz w:val="22"/>
                <w:szCs w:val="22"/>
              </w:rPr>
              <w:t>.19. PFSA nurodytiems stebėsenos rodikliams skaičiuoti taikomas Stebėsenos rodiklių skaičiavimo aprašas (stebėsenos rodiklių kortelės) pateiktas 2021–2030 m. plėtros programos valdytojos Lietuvos Respublikos švietimo, mokslo ir sporto ministerijos švietimo plėtros programos pažangos priemonės Nr. 12-003-03-04-02 „Užtikrinti efektyvų mokslo ir studijų sistemos valdymą“ aprašo 3 priede.</w:t>
            </w:r>
          </w:p>
          <w:p w14:paraId="0CF31E64" w14:textId="38A511AD" w:rsidR="001132E0" w:rsidRDefault="00B933EB">
            <w:pPr>
              <w:tabs>
                <w:tab w:val="left" w:pos="601"/>
              </w:tabs>
              <w:ind w:left="22" w:hanging="22"/>
              <w:jc w:val="both"/>
              <w:rPr>
                <w:sz w:val="22"/>
                <w:szCs w:val="22"/>
              </w:rPr>
            </w:pPr>
            <w:r>
              <w:rPr>
                <w:sz w:val="22"/>
                <w:szCs w:val="22"/>
              </w:rPr>
              <w:t>5</w:t>
            </w:r>
            <w:r w:rsidR="00B33655">
              <w:rPr>
                <w:sz w:val="22"/>
                <w:szCs w:val="22"/>
              </w:rPr>
              <w:t>.20. Pareiškėjas privalo įgyvendinti privalomas matomumo ir informavimo apie projektą veiksmų priemones, nustatytas Projektų administravimo ir finansavimo taisyklių VIII skyriaus pirmajame skirsnyje.</w:t>
            </w:r>
          </w:p>
        </w:tc>
      </w:tr>
      <w:tr w:rsidR="001132E0" w14:paraId="0B911F79" w14:textId="77777777">
        <w:tc>
          <w:tcPr>
            <w:tcW w:w="5000" w:type="pct"/>
          </w:tcPr>
          <w:p w14:paraId="58FD6178" w14:textId="78141B1B" w:rsidR="001132E0" w:rsidRDefault="002F5CD0">
            <w:pPr>
              <w:ind w:left="360" w:hanging="360"/>
              <w:jc w:val="both"/>
              <w:rPr>
                <w:b/>
                <w:bCs/>
                <w:sz w:val="22"/>
                <w:szCs w:val="22"/>
              </w:rPr>
            </w:pPr>
            <w:r>
              <w:rPr>
                <w:b/>
                <w:bCs/>
                <w:sz w:val="22"/>
                <w:szCs w:val="22"/>
              </w:rPr>
              <w:t>6</w:t>
            </w:r>
            <w:r w:rsidR="00B33655">
              <w:rPr>
                <w:b/>
                <w:bCs/>
                <w:sz w:val="22"/>
                <w:szCs w:val="22"/>
              </w:rPr>
              <w:t>. Reikalavimai jungtinio projekto projektams ir jungtinio projekto projektų pareiškėjams</w:t>
            </w:r>
          </w:p>
        </w:tc>
      </w:tr>
      <w:tr w:rsidR="001132E0" w14:paraId="09C4D30E" w14:textId="77777777">
        <w:tc>
          <w:tcPr>
            <w:tcW w:w="5000" w:type="pct"/>
          </w:tcPr>
          <w:p w14:paraId="6504F200" w14:textId="644BC2A3" w:rsidR="001132E0" w:rsidRDefault="002F5CD0">
            <w:pPr>
              <w:jc w:val="both"/>
              <w:rPr>
                <w:sz w:val="22"/>
                <w:szCs w:val="22"/>
              </w:rPr>
            </w:pPr>
            <w:r>
              <w:rPr>
                <w:sz w:val="22"/>
                <w:szCs w:val="22"/>
              </w:rPr>
              <w:t xml:space="preserve">6.1. </w:t>
            </w:r>
            <w:r w:rsidR="00B33655">
              <w:rPr>
                <w:sz w:val="22"/>
                <w:szCs w:val="22"/>
              </w:rPr>
              <w:t>Netaikoma.</w:t>
            </w:r>
          </w:p>
        </w:tc>
      </w:tr>
      <w:tr w:rsidR="001132E0" w14:paraId="574FFF58" w14:textId="77777777">
        <w:tc>
          <w:tcPr>
            <w:tcW w:w="5000" w:type="pct"/>
          </w:tcPr>
          <w:p w14:paraId="36257D98" w14:textId="3DD0FA59" w:rsidR="001132E0" w:rsidRDefault="007224A5">
            <w:pPr>
              <w:ind w:left="360" w:hanging="360"/>
              <w:jc w:val="both"/>
              <w:rPr>
                <w:b/>
                <w:bCs/>
                <w:sz w:val="22"/>
                <w:szCs w:val="22"/>
              </w:rPr>
            </w:pPr>
            <w:r>
              <w:rPr>
                <w:b/>
                <w:bCs/>
                <w:sz w:val="22"/>
                <w:szCs w:val="22"/>
              </w:rPr>
              <w:t>7</w:t>
            </w:r>
            <w:r w:rsidR="00B33655">
              <w:rPr>
                <w:b/>
                <w:bCs/>
                <w:sz w:val="22"/>
                <w:szCs w:val="22"/>
              </w:rPr>
              <w:t>. Projekto tikslinės grupės</w:t>
            </w:r>
          </w:p>
        </w:tc>
      </w:tr>
      <w:tr w:rsidR="001132E0" w14:paraId="395558E6" w14:textId="77777777">
        <w:tc>
          <w:tcPr>
            <w:tcW w:w="5000" w:type="pct"/>
          </w:tcPr>
          <w:p w14:paraId="2DF55F4A" w14:textId="12415836" w:rsidR="001132E0" w:rsidRDefault="00D67C8B">
            <w:pPr>
              <w:ind w:left="360" w:hanging="360"/>
              <w:jc w:val="both"/>
              <w:rPr>
                <w:sz w:val="22"/>
                <w:szCs w:val="22"/>
              </w:rPr>
            </w:pPr>
            <w:r>
              <w:rPr>
                <w:sz w:val="22"/>
                <w:szCs w:val="22"/>
              </w:rPr>
              <w:t xml:space="preserve">7.1. </w:t>
            </w:r>
            <w:r w:rsidR="00B33655">
              <w:rPr>
                <w:sz w:val="22"/>
                <w:szCs w:val="22"/>
              </w:rPr>
              <w:t>Valstybinių aukštųjų mokyklų darbuotojai ir studentai.</w:t>
            </w:r>
          </w:p>
        </w:tc>
      </w:tr>
      <w:tr w:rsidR="001132E0" w14:paraId="3B9A8068" w14:textId="77777777">
        <w:tc>
          <w:tcPr>
            <w:tcW w:w="5000" w:type="pct"/>
          </w:tcPr>
          <w:p w14:paraId="1C6A786C" w14:textId="0C0F6C6A" w:rsidR="001132E0" w:rsidRDefault="00D67C8B">
            <w:pPr>
              <w:jc w:val="both"/>
              <w:rPr>
                <w:b/>
                <w:sz w:val="22"/>
                <w:szCs w:val="22"/>
              </w:rPr>
            </w:pPr>
            <w:r>
              <w:rPr>
                <w:b/>
                <w:sz w:val="22"/>
                <w:szCs w:val="22"/>
              </w:rPr>
              <w:t>8</w:t>
            </w:r>
            <w:r w:rsidR="00B33655">
              <w:rPr>
                <w:b/>
                <w:sz w:val="22"/>
                <w:szCs w:val="22"/>
              </w:rPr>
              <w:t>. Horizontaliųjų principų (toliau – HP) reikalavimai</w:t>
            </w:r>
          </w:p>
        </w:tc>
      </w:tr>
      <w:tr w:rsidR="001132E0" w14:paraId="56B9A090" w14:textId="77777777">
        <w:tc>
          <w:tcPr>
            <w:tcW w:w="5000" w:type="pct"/>
          </w:tcPr>
          <w:p w14:paraId="2C532DE3" w14:textId="55DCBDBA" w:rsidR="001132E0" w:rsidRDefault="00D67C8B">
            <w:pPr>
              <w:jc w:val="both"/>
              <w:rPr>
                <w:rFonts w:eastAsia="Calibri"/>
                <w:sz w:val="22"/>
                <w:szCs w:val="22"/>
              </w:rPr>
            </w:pPr>
            <w:r>
              <w:rPr>
                <w:rFonts w:eastAsia="Calibri"/>
                <w:sz w:val="22"/>
                <w:szCs w:val="22"/>
              </w:rPr>
              <w:t>8</w:t>
            </w:r>
            <w:r w:rsidR="00B33655">
              <w:rPr>
                <w:rFonts w:eastAsia="Calibri"/>
                <w:sz w:val="22"/>
                <w:szCs w:val="22"/>
              </w:rPr>
              <w:t xml:space="preserve">.1. Projektuose negali būti numatyta: </w:t>
            </w:r>
          </w:p>
          <w:p w14:paraId="0E143249" w14:textId="75BA4673" w:rsidR="001132E0" w:rsidRDefault="00D67C8B">
            <w:pPr>
              <w:jc w:val="both"/>
              <w:rPr>
                <w:rFonts w:eastAsia="Calibri"/>
                <w:sz w:val="22"/>
                <w:szCs w:val="22"/>
              </w:rPr>
            </w:pPr>
            <w:r>
              <w:rPr>
                <w:rFonts w:eastAsia="Calibri"/>
                <w:sz w:val="22"/>
                <w:szCs w:val="22"/>
              </w:rPr>
              <w:t>8</w:t>
            </w:r>
            <w:r w:rsidR="00B33655">
              <w:rPr>
                <w:rFonts w:eastAsia="Calibri"/>
                <w:sz w:val="22"/>
                <w:szCs w:val="22"/>
              </w:rPr>
              <w:t xml:space="preserve">.1.1.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w:t>
            </w:r>
          </w:p>
          <w:p w14:paraId="37D9E5AC" w14:textId="1E6DD4D0" w:rsidR="001132E0" w:rsidRDefault="00D67C8B">
            <w:pPr>
              <w:jc w:val="both"/>
              <w:rPr>
                <w:rFonts w:eastAsia="Calibri"/>
                <w:sz w:val="22"/>
                <w:szCs w:val="22"/>
              </w:rPr>
            </w:pPr>
            <w:r>
              <w:rPr>
                <w:rFonts w:eastAsia="Calibri"/>
                <w:sz w:val="22"/>
                <w:szCs w:val="22"/>
              </w:rPr>
              <w:t>8</w:t>
            </w:r>
            <w:r w:rsidR="00B33655">
              <w:rPr>
                <w:rFonts w:eastAsia="Calibri"/>
                <w:sz w:val="22"/>
                <w:szCs w:val="22"/>
              </w:rPr>
              <w:t xml:space="preserve">.1.2. veiksmų, kurie turėtų neigiamą poveikį darnaus vystymosi principui įgyvendinti. </w:t>
            </w:r>
          </w:p>
          <w:p w14:paraId="0768B377" w14:textId="64637257" w:rsidR="001132E0" w:rsidRDefault="00D67C8B">
            <w:pPr>
              <w:jc w:val="both"/>
              <w:rPr>
                <w:rFonts w:eastAsia="Calibri"/>
                <w:sz w:val="22"/>
                <w:szCs w:val="22"/>
              </w:rPr>
            </w:pPr>
            <w:r>
              <w:rPr>
                <w:rFonts w:eastAsia="Calibri"/>
                <w:sz w:val="22"/>
                <w:szCs w:val="22"/>
              </w:rPr>
              <w:t>8</w:t>
            </w:r>
            <w:r w:rsidR="00B33655">
              <w:rPr>
                <w:rFonts w:eastAsia="Calibri"/>
                <w:sz w:val="22"/>
                <w:szCs w:val="22"/>
              </w:rPr>
              <w:t xml:space="preserve">.2.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 Atitiktis šiam principui turi būti užtikrinta viso projekto įgyvendinimo metu. Reikalavimai projektų atitikčiai šiam principui įvertinti pateikiami PFSA priede. </w:t>
            </w:r>
          </w:p>
        </w:tc>
      </w:tr>
      <w:tr w:rsidR="001132E0" w14:paraId="5029E677" w14:textId="77777777">
        <w:tc>
          <w:tcPr>
            <w:tcW w:w="5000" w:type="pct"/>
          </w:tcPr>
          <w:p w14:paraId="21AEF641" w14:textId="374ABCA0" w:rsidR="001132E0" w:rsidRDefault="00587BE0">
            <w:pPr>
              <w:jc w:val="both"/>
              <w:rPr>
                <w:rFonts w:eastAsia="Calibri"/>
                <w:sz w:val="22"/>
                <w:szCs w:val="22"/>
              </w:rPr>
            </w:pPr>
            <w:r>
              <w:rPr>
                <w:b/>
                <w:iCs/>
                <w:sz w:val="22"/>
                <w:szCs w:val="22"/>
              </w:rPr>
              <w:t>9</w:t>
            </w:r>
            <w:r w:rsidR="00B33655">
              <w:rPr>
                <w:b/>
                <w:iCs/>
                <w:sz w:val="22"/>
                <w:szCs w:val="22"/>
              </w:rPr>
              <w:t>. Europos Sąjungos pagrindinių teisių chartijos (toliau – Chartija) reikalavimai</w:t>
            </w:r>
          </w:p>
        </w:tc>
      </w:tr>
      <w:tr w:rsidR="001132E0" w14:paraId="58531575" w14:textId="77777777">
        <w:tc>
          <w:tcPr>
            <w:tcW w:w="5000" w:type="pct"/>
          </w:tcPr>
          <w:p w14:paraId="51F013F8" w14:textId="4B102811" w:rsidR="001132E0" w:rsidRDefault="00587BE0">
            <w:pPr>
              <w:jc w:val="both"/>
              <w:rPr>
                <w:sz w:val="22"/>
                <w:szCs w:val="22"/>
              </w:rPr>
            </w:pPr>
            <w:r>
              <w:rPr>
                <w:sz w:val="22"/>
                <w:szCs w:val="22"/>
              </w:rPr>
              <w:t>9</w:t>
            </w:r>
            <w:r w:rsidR="00B33655">
              <w:rPr>
                <w:sz w:val="22"/>
                <w:szCs w:val="22"/>
              </w:rPr>
              <w:t xml:space="preserve">.1. Pagal PFSA finansuojama veikla, įvertinus ją pagal 2016 m. liepos 23 d. Europos Komisijos pranešimą, – Rekomendacijų, kaip užtikrinti, kad būtų laikomasi Europos Sąjungos pagrindinių teisių chartijos nuostatų skirstant Europos struktūrinių ir investicinių fondų (ESI fondų) paramą, III priedą, nepažeidžia Chartijoje nustatytų pagrindinių teisių. Atsižvelgiant į veiklos, finansuojamos pagal PFSA, pobūdį, papildomi reikalavimai dėl aktyvių priemonių Chartijoje įtvirtintoms teisėms propaguoti nėra nustatomi. </w:t>
            </w:r>
          </w:p>
          <w:p w14:paraId="577255D1" w14:textId="69613528" w:rsidR="001132E0" w:rsidRDefault="00587BE0">
            <w:pPr>
              <w:jc w:val="both"/>
              <w:rPr>
                <w:b/>
                <w:iCs/>
                <w:sz w:val="22"/>
                <w:szCs w:val="22"/>
              </w:rPr>
            </w:pPr>
            <w:r>
              <w:rPr>
                <w:sz w:val="22"/>
                <w:szCs w:val="22"/>
              </w:rPr>
              <w:t>9</w:t>
            </w:r>
            <w:r w:rsidR="00B33655">
              <w:rPr>
                <w:sz w:val="22"/>
                <w:szCs w:val="22"/>
              </w:rPr>
              <w:t>.2. Projekto vykdytojas privalo nepažeisti Chartijos reikalavimų projekto vykdymo metu.</w:t>
            </w:r>
          </w:p>
        </w:tc>
      </w:tr>
      <w:tr w:rsidR="004F47B1" w14:paraId="4380A8C3" w14:textId="77777777">
        <w:tc>
          <w:tcPr>
            <w:tcW w:w="5000" w:type="pct"/>
          </w:tcPr>
          <w:p w14:paraId="3EE71E42" w14:textId="2441FF43" w:rsidR="004F47B1" w:rsidRPr="00B22252" w:rsidRDefault="001C395C">
            <w:pPr>
              <w:jc w:val="both"/>
              <w:rPr>
                <w:sz w:val="22"/>
                <w:szCs w:val="22"/>
              </w:rPr>
            </w:pPr>
            <w:r w:rsidRPr="007F1CF5">
              <w:rPr>
                <w:b/>
                <w:bCs/>
                <w:sz w:val="22"/>
                <w:szCs w:val="22"/>
              </w:rPr>
              <w:t>9</w:t>
            </w:r>
            <w:r w:rsidRPr="007F1CF5">
              <w:rPr>
                <w:b/>
                <w:bCs/>
                <w:sz w:val="22"/>
                <w:szCs w:val="22"/>
                <w:vertAlign w:val="superscript"/>
              </w:rPr>
              <w:t>1</w:t>
            </w:r>
            <w:r w:rsidRPr="007F1CF5">
              <w:rPr>
                <w:b/>
                <w:bCs/>
                <w:sz w:val="22"/>
                <w:szCs w:val="22"/>
              </w:rPr>
              <w:t xml:space="preserve">. </w:t>
            </w:r>
            <w:r w:rsidRPr="007F1CF5">
              <w:rPr>
                <w:b/>
                <w:bCs/>
                <w:iCs/>
                <w:sz w:val="22"/>
                <w:szCs w:val="22"/>
              </w:rPr>
              <w:t>Projekto prisidėjimas prie Europos Sąjungos Baltijos jūros regiono strategijos įgyvendinimo</w:t>
            </w:r>
          </w:p>
        </w:tc>
      </w:tr>
      <w:tr w:rsidR="004F47B1" w14:paraId="518400AF" w14:textId="77777777">
        <w:tc>
          <w:tcPr>
            <w:tcW w:w="5000" w:type="pct"/>
          </w:tcPr>
          <w:p w14:paraId="360DFBDC" w14:textId="77080BEB" w:rsidR="004F47B1" w:rsidRPr="00B22252" w:rsidRDefault="00B22252">
            <w:pPr>
              <w:jc w:val="both"/>
              <w:rPr>
                <w:sz w:val="22"/>
                <w:szCs w:val="22"/>
              </w:rPr>
            </w:pPr>
            <w:r w:rsidRPr="007F1CF5">
              <w:rPr>
                <w:sz w:val="22"/>
                <w:szCs w:val="22"/>
              </w:rPr>
              <w:t>9</w:t>
            </w:r>
            <w:r w:rsidRPr="007F1CF5">
              <w:rPr>
                <w:sz w:val="22"/>
                <w:szCs w:val="22"/>
                <w:vertAlign w:val="superscript"/>
              </w:rPr>
              <w:t>1</w:t>
            </w:r>
            <w:r w:rsidRPr="007F1CF5">
              <w:rPr>
                <w:sz w:val="22"/>
                <w:szCs w:val="22"/>
              </w:rPr>
              <w:t>.1. Netaikoma.</w:t>
            </w:r>
          </w:p>
        </w:tc>
      </w:tr>
      <w:tr w:rsidR="001132E0" w14:paraId="198D1464" w14:textId="77777777">
        <w:tc>
          <w:tcPr>
            <w:tcW w:w="5000" w:type="pct"/>
          </w:tcPr>
          <w:p w14:paraId="2A51A754" w14:textId="3A2F5227" w:rsidR="001132E0" w:rsidRDefault="006D199D">
            <w:pPr>
              <w:jc w:val="both"/>
              <w:rPr>
                <w:b/>
                <w:sz w:val="22"/>
                <w:szCs w:val="22"/>
              </w:rPr>
            </w:pPr>
            <w:r>
              <w:rPr>
                <w:b/>
                <w:sz w:val="22"/>
                <w:szCs w:val="22"/>
              </w:rPr>
              <w:t>10</w:t>
            </w:r>
            <w:r w:rsidR="00B33655">
              <w:rPr>
                <w:b/>
                <w:sz w:val="22"/>
                <w:szCs w:val="22"/>
              </w:rPr>
              <w:t>. Apskritis, kurioje gali būti įgyvendinami projektai</w:t>
            </w:r>
          </w:p>
        </w:tc>
      </w:tr>
      <w:tr w:rsidR="001132E0" w14:paraId="2B07AF59" w14:textId="77777777">
        <w:tc>
          <w:tcPr>
            <w:tcW w:w="5000" w:type="pct"/>
          </w:tcPr>
          <w:p w14:paraId="79C58EE4" w14:textId="32B2A10B" w:rsidR="001132E0" w:rsidRDefault="006D199D">
            <w:pPr>
              <w:jc w:val="both"/>
              <w:rPr>
                <w:sz w:val="22"/>
                <w:szCs w:val="22"/>
              </w:rPr>
            </w:pPr>
            <w:r>
              <w:rPr>
                <w:sz w:val="22"/>
                <w:szCs w:val="22"/>
              </w:rPr>
              <w:t xml:space="preserve">10.1. </w:t>
            </w:r>
            <w:r w:rsidR="00B33655">
              <w:rPr>
                <w:sz w:val="22"/>
                <w:szCs w:val="22"/>
              </w:rPr>
              <w:t>Ekonomikos gaivinimo ir atsparumo didinimo plano lėšomis finansuojamiems projektams šis punktas netaikomas.</w:t>
            </w:r>
          </w:p>
        </w:tc>
      </w:tr>
      <w:tr w:rsidR="001132E0" w14:paraId="5C7F45D4" w14:textId="77777777">
        <w:tc>
          <w:tcPr>
            <w:tcW w:w="5000" w:type="pct"/>
          </w:tcPr>
          <w:p w14:paraId="60DEC02C" w14:textId="35D14B8C" w:rsidR="001132E0" w:rsidRDefault="00E3400A">
            <w:pPr>
              <w:jc w:val="both"/>
              <w:rPr>
                <w:b/>
                <w:sz w:val="22"/>
                <w:szCs w:val="22"/>
              </w:rPr>
            </w:pPr>
            <w:r>
              <w:rPr>
                <w:b/>
                <w:sz w:val="22"/>
                <w:szCs w:val="22"/>
              </w:rPr>
              <w:t>11</w:t>
            </w:r>
            <w:r w:rsidR="00B33655">
              <w:rPr>
                <w:b/>
                <w:sz w:val="22"/>
                <w:szCs w:val="22"/>
              </w:rPr>
              <w:t>. Reikalavimai valstybės pagalbai (kurie nėra nurodyti kituose PFSA punktuose)</w:t>
            </w:r>
          </w:p>
        </w:tc>
      </w:tr>
      <w:tr w:rsidR="001132E0" w14:paraId="71FDBF17" w14:textId="77777777">
        <w:tc>
          <w:tcPr>
            <w:tcW w:w="5000" w:type="pct"/>
          </w:tcPr>
          <w:p w14:paraId="2C46D56B" w14:textId="1315BDE4" w:rsidR="001132E0" w:rsidRDefault="00E3400A">
            <w:pPr>
              <w:tabs>
                <w:tab w:val="left" w:pos="447"/>
              </w:tabs>
              <w:jc w:val="both"/>
              <w:rPr>
                <w:sz w:val="22"/>
                <w:szCs w:val="22"/>
              </w:rPr>
            </w:pPr>
            <w:r>
              <w:rPr>
                <w:sz w:val="22"/>
                <w:szCs w:val="22"/>
              </w:rPr>
              <w:t>11</w:t>
            </w:r>
            <w:r w:rsidR="00B33655">
              <w:rPr>
                <w:sz w:val="22"/>
                <w:szCs w:val="22"/>
              </w:rPr>
              <w:t xml:space="preserve">.1. Pagal PFSA, valstybės pagalba, kaip ji apibrėžta Sutarties dėl Europos Sąjungos veikimo 107 straipsnyje, ir </w:t>
            </w:r>
            <w:r w:rsidR="00B33655">
              <w:rPr>
                <w:i/>
                <w:iCs/>
                <w:sz w:val="22"/>
                <w:szCs w:val="22"/>
              </w:rPr>
              <w:t>de minimis</w:t>
            </w:r>
            <w:r w:rsidR="00B33655">
              <w:rPr>
                <w:sz w:val="22"/>
                <w:szCs w:val="22"/>
              </w:rPr>
              <w:t xml:space="preserve"> pagalba, kuri atitinka </w:t>
            </w:r>
            <w:r w:rsidR="00B33655">
              <w:rPr>
                <w:iCs/>
                <w:sz w:val="22"/>
                <w:szCs w:val="22"/>
              </w:rPr>
              <w:t xml:space="preserve">2023 m. gruodžio 13 d. Komisijos reglamento </w:t>
            </w:r>
            <w:r w:rsidR="00B33655">
              <w:rPr>
                <w:iCs/>
                <w:sz w:val="22"/>
                <w:szCs w:val="22"/>
                <w:u w:val="single"/>
              </w:rPr>
              <w:t>(</w:t>
            </w:r>
            <w:r w:rsidR="00B33655">
              <w:rPr>
                <w:iCs/>
                <w:sz w:val="22"/>
                <w:szCs w:val="22"/>
              </w:rPr>
              <w:t>ES) 2023/2831 dėl Sutarties dėl Europos Sąjungos veikimo 107 ir 108 straipsnių taikymo</w:t>
            </w:r>
            <w:r w:rsidR="00B33655">
              <w:rPr>
                <w:i/>
                <w:iCs/>
                <w:sz w:val="22"/>
                <w:szCs w:val="22"/>
              </w:rPr>
              <w:t xml:space="preserve"> de minimis </w:t>
            </w:r>
            <w:r w:rsidR="00B33655">
              <w:rPr>
                <w:iCs/>
                <w:sz w:val="22"/>
                <w:szCs w:val="22"/>
              </w:rPr>
              <w:t xml:space="preserve">pagalbai </w:t>
            </w:r>
            <w:r w:rsidR="00B33655">
              <w:rPr>
                <w:sz w:val="22"/>
                <w:szCs w:val="22"/>
              </w:rPr>
              <w:t>nuostatas, neteikiama.</w:t>
            </w:r>
          </w:p>
          <w:p w14:paraId="5AC5D15D" w14:textId="45B3CDB7" w:rsidR="001132E0" w:rsidRDefault="00E3400A">
            <w:pPr>
              <w:tabs>
                <w:tab w:val="left" w:pos="447"/>
              </w:tabs>
              <w:jc w:val="both"/>
              <w:rPr>
                <w:sz w:val="22"/>
                <w:szCs w:val="22"/>
              </w:rPr>
            </w:pPr>
            <w:r>
              <w:rPr>
                <w:sz w:val="22"/>
                <w:szCs w:val="22"/>
              </w:rPr>
              <w:t>11</w:t>
            </w:r>
            <w:r w:rsidR="00B33655">
              <w:rPr>
                <w:sz w:val="22"/>
                <w:szCs w:val="22"/>
              </w:rPr>
              <w:t>.2. Pagal PFSA, valstybės pagalba, kuri atitinka 2014 m. birželio 17 d. Komisijos reglamento (ES) Nr. 651/2014, kuriuo tam tikrų kategorijų pagalba skelbiama suderinama su vidaus rinka taikant Sutarties 107 ir 108 straipsnius, neteikiama.</w:t>
            </w:r>
          </w:p>
        </w:tc>
      </w:tr>
      <w:tr w:rsidR="001132E0" w14:paraId="3451CE38" w14:textId="77777777">
        <w:tc>
          <w:tcPr>
            <w:tcW w:w="5000" w:type="pct"/>
          </w:tcPr>
          <w:p w14:paraId="2E98BB2F" w14:textId="06371156" w:rsidR="001132E0" w:rsidRDefault="00F77C44">
            <w:pPr>
              <w:ind w:left="426" w:hanging="426"/>
              <w:jc w:val="both"/>
              <w:rPr>
                <w:i/>
                <w:sz w:val="22"/>
                <w:szCs w:val="22"/>
              </w:rPr>
            </w:pPr>
            <w:r>
              <w:rPr>
                <w:b/>
                <w:sz w:val="22"/>
                <w:szCs w:val="22"/>
              </w:rPr>
              <w:t>12</w:t>
            </w:r>
            <w:r w:rsidR="00B33655">
              <w:rPr>
                <w:b/>
                <w:sz w:val="22"/>
                <w:szCs w:val="22"/>
              </w:rPr>
              <w:t>. Projektų atrankos kriterijai</w:t>
            </w:r>
          </w:p>
        </w:tc>
      </w:tr>
      <w:tr w:rsidR="001132E0" w14:paraId="14174A27" w14:textId="77777777">
        <w:tc>
          <w:tcPr>
            <w:tcW w:w="5000" w:type="pct"/>
          </w:tcPr>
          <w:p w14:paraId="6CBC6FBB" w14:textId="333655AA" w:rsidR="001132E0" w:rsidRDefault="00995769">
            <w:pPr>
              <w:ind w:left="426" w:hanging="426"/>
              <w:jc w:val="both"/>
              <w:rPr>
                <w:b/>
                <w:sz w:val="22"/>
                <w:szCs w:val="22"/>
              </w:rPr>
            </w:pPr>
            <w:r>
              <w:rPr>
                <w:iCs/>
                <w:sz w:val="22"/>
                <w:szCs w:val="22"/>
              </w:rPr>
              <w:t xml:space="preserve">12.1. </w:t>
            </w:r>
            <w:r w:rsidR="00B33655">
              <w:rPr>
                <w:iCs/>
                <w:sz w:val="22"/>
                <w:szCs w:val="22"/>
              </w:rPr>
              <w:t>Projekto atranka vykdoma planavimo būdu, todėl specialieji ir prioritetiniai projektų atrankos kriterijai nėra nustatomi.</w:t>
            </w:r>
          </w:p>
        </w:tc>
      </w:tr>
      <w:tr w:rsidR="001132E0" w14:paraId="0AAB0DC4" w14:textId="77777777">
        <w:tc>
          <w:tcPr>
            <w:tcW w:w="5000" w:type="pct"/>
          </w:tcPr>
          <w:p w14:paraId="5FB700EB" w14:textId="007B0D2F" w:rsidR="001132E0" w:rsidRDefault="00995769">
            <w:pPr>
              <w:jc w:val="both"/>
              <w:rPr>
                <w:i/>
                <w:sz w:val="22"/>
                <w:szCs w:val="22"/>
              </w:rPr>
            </w:pPr>
            <w:r>
              <w:rPr>
                <w:b/>
                <w:sz w:val="22"/>
                <w:szCs w:val="22"/>
              </w:rPr>
              <w:t>13</w:t>
            </w:r>
            <w:r w:rsidR="00B33655">
              <w:rPr>
                <w:b/>
                <w:sz w:val="22"/>
                <w:szCs w:val="22"/>
              </w:rPr>
              <w:t>.</w:t>
            </w:r>
            <w:r w:rsidR="00B33655">
              <w:rPr>
                <w:sz w:val="22"/>
                <w:szCs w:val="22"/>
              </w:rPr>
              <w:t xml:space="preserve"> </w:t>
            </w:r>
            <w:r w:rsidR="00B33655">
              <w:rPr>
                <w:b/>
                <w:sz w:val="22"/>
                <w:szCs w:val="22"/>
              </w:rPr>
              <w:t>Jungtinio projekto projektų atrankos kriterijai</w:t>
            </w:r>
          </w:p>
        </w:tc>
      </w:tr>
      <w:tr w:rsidR="001132E0" w14:paraId="620D8614" w14:textId="77777777">
        <w:tc>
          <w:tcPr>
            <w:tcW w:w="5000" w:type="pct"/>
          </w:tcPr>
          <w:p w14:paraId="298803FB" w14:textId="7BA36930" w:rsidR="001132E0" w:rsidRDefault="00995769">
            <w:pPr>
              <w:jc w:val="both"/>
              <w:rPr>
                <w:bCs/>
                <w:sz w:val="22"/>
                <w:szCs w:val="22"/>
              </w:rPr>
            </w:pPr>
            <w:r>
              <w:rPr>
                <w:bCs/>
                <w:sz w:val="22"/>
                <w:szCs w:val="22"/>
              </w:rPr>
              <w:t xml:space="preserve">13.1. </w:t>
            </w:r>
            <w:r w:rsidR="00B33655">
              <w:rPr>
                <w:bCs/>
                <w:sz w:val="22"/>
                <w:szCs w:val="22"/>
              </w:rPr>
              <w:t>Netaikoma.</w:t>
            </w:r>
          </w:p>
        </w:tc>
      </w:tr>
      <w:tr w:rsidR="001132E0" w14:paraId="2FCEC3EA" w14:textId="77777777">
        <w:tc>
          <w:tcPr>
            <w:tcW w:w="5000" w:type="pct"/>
          </w:tcPr>
          <w:p w14:paraId="52916B50" w14:textId="7B515578" w:rsidR="001132E0" w:rsidRDefault="00995769">
            <w:pPr>
              <w:jc w:val="both"/>
              <w:rPr>
                <w:b/>
                <w:sz w:val="22"/>
                <w:szCs w:val="22"/>
              </w:rPr>
            </w:pPr>
            <w:r>
              <w:rPr>
                <w:b/>
                <w:sz w:val="22"/>
                <w:szCs w:val="22"/>
              </w:rPr>
              <w:t>14</w:t>
            </w:r>
            <w:r w:rsidR="00B33655">
              <w:rPr>
                <w:b/>
                <w:sz w:val="22"/>
                <w:szCs w:val="22"/>
              </w:rPr>
              <w:t>. Reikalavimai įgyvendinus projektų veiklas</w:t>
            </w:r>
          </w:p>
        </w:tc>
      </w:tr>
      <w:tr w:rsidR="001132E0" w14:paraId="433543CD" w14:textId="77777777" w:rsidTr="007F1CF5">
        <w:tc>
          <w:tcPr>
            <w:tcW w:w="5000" w:type="pct"/>
            <w:tcBorders>
              <w:bottom w:val="single" w:sz="4" w:space="0" w:color="auto"/>
            </w:tcBorders>
          </w:tcPr>
          <w:p w14:paraId="2A3EB868" w14:textId="79A788F8" w:rsidR="001132E0" w:rsidRDefault="00995769">
            <w:pPr>
              <w:tabs>
                <w:tab w:val="left" w:pos="589"/>
              </w:tabs>
              <w:jc w:val="both"/>
              <w:rPr>
                <w:iCs/>
                <w:sz w:val="22"/>
                <w:szCs w:val="22"/>
              </w:rPr>
            </w:pPr>
            <w:r>
              <w:rPr>
                <w:iCs/>
                <w:sz w:val="22"/>
                <w:szCs w:val="22"/>
              </w:rPr>
              <w:t xml:space="preserve">14.1. </w:t>
            </w:r>
            <w:r w:rsidR="00B33655">
              <w:rPr>
                <w:iCs/>
                <w:sz w:val="22"/>
                <w:szCs w:val="22"/>
              </w:rPr>
              <w:t xml:space="preserve">Pagal šį PFSA įgyvendinamiems projektams papildomi, nei nustatyti </w:t>
            </w:r>
            <w:r w:rsidR="00B33655">
              <w:rPr>
                <w:color w:val="000000"/>
                <w:sz w:val="22"/>
                <w:szCs w:val="22"/>
              </w:rPr>
              <w:t>Projektų administravimo ir finansavimo taisyklėse,</w:t>
            </w:r>
            <w:r w:rsidR="00B33655">
              <w:rPr>
                <w:iCs/>
                <w:sz w:val="22"/>
                <w:szCs w:val="22"/>
              </w:rPr>
              <w:t xml:space="preserve"> tęstinumo reikalavimai netaikomi. </w:t>
            </w:r>
          </w:p>
        </w:tc>
      </w:tr>
      <w:tr w:rsidR="001132E0" w14:paraId="47FF986E" w14:textId="77777777">
        <w:tc>
          <w:tcPr>
            <w:tcW w:w="5000" w:type="pct"/>
          </w:tcPr>
          <w:p w14:paraId="1A04DF84" w14:textId="603A9F15" w:rsidR="001132E0" w:rsidRDefault="00B33655">
            <w:pPr>
              <w:jc w:val="both"/>
              <w:rPr>
                <w:b/>
                <w:bCs/>
                <w:sz w:val="22"/>
                <w:szCs w:val="22"/>
              </w:rPr>
            </w:pPr>
            <w:r>
              <w:rPr>
                <w:b/>
                <w:bCs/>
                <w:sz w:val="22"/>
                <w:szCs w:val="22"/>
              </w:rPr>
              <w:br w:type="page"/>
            </w:r>
            <w:r w:rsidR="00995769">
              <w:rPr>
                <w:b/>
                <w:bCs/>
                <w:sz w:val="22"/>
                <w:szCs w:val="22"/>
              </w:rPr>
              <w:t>15</w:t>
            </w:r>
            <w:r>
              <w:rPr>
                <w:b/>
                <w:bCs/>
                <w:sz w:val="22"/>
                <w:szCs w:val="22"/>
              </w:rPr>
              <w:t>. Kiti reikalavimai</w:t>
            </w:r>
          </w:p>
        </w:tc>
      </w:tr>
      <w:tr w:rsidR="001132E0" w14:paraId="74BC0798" w14:textId="77777777" w:rsidTr="007F1CF5">
        <w:tc>
          <w:tcPr>
            <w:tcW w:w="5000" w:type="pct"/>
            <w:tcBorders>
              <w:bottom w:val="single" w:sz="4" w:space="0" w:color="auto"/>
            </w:tcBorders>
          </w:tcPr>
          <w:p w14:paraId="33879DC3" w14:textId="236D36CC" w:rsidR="001132E0" w:rsidRDefault="00995769">
            <w:pPr>
              <w:tabs>
                <w:tab w:val="left" w:pos="510"/>
                <w:tab w:val="left" w:pos="660"/>
              </w:tabs>
              <w:jc w:val="both"/>
              <w:rPr>
                <w:iCs/>
                <w:sz w:val="22"/>
                <w:szCs w:val="22"/>
              </w:rPr>
            </w:pPr>
            <w:r>
              <w:rPr>
                <w:iCs/>
                <w:sz w:val="22"/>
                <w:szCs w:val="22"/>
              </w:rPr>
              <w:t xml:space="preserve">15.1. </w:t>
            </w:r>
            <w:r w:rsidR="00B33655">
              <w:rPr>
                <w:iCs/>
                <w:sz w:val="22"/>
                <w:szCs w:val="22"/>
              </w:rPr>
              <w:t>Projekto įgyvendinimo priežiūrai užtikrinti ir iškilusiems projekto įgyvendinimo klausimams spręsti Ministerija sudarys Projektų priežiūros komitetą.</w:t>
            </w:r>
          </w:p>
        </w:tc>
      </w:tr>
      <w:tr w:rsidR="001132E0" w14:paraId="7910E3F1" w14:textId="77777777" w:rsidTr="007F1CF5">
        <w:tc>
          <w:tcPr>
            <w:tcW w:w="5000" w:type="pct"/>
            <w:tcBorders>
              <w:top w:val="single" w:sz="4" w:space="0" w:color="auto"/>
              <w:left w:val="nil"/>
              <w:bottom w:val="single" w:sz="4" w:space="0" w:color="auto"/>
              <w:right w:val="nil"/>
            </w:tcBorders>
          </w:tcPr>
          <w:p w14:paraId="2ED28E9E" w14:textId="77777777" w:rsidR="00FA0A1C" w:rsidRDefault="00FA0A1C">
            <w:pPr>
              <w:jc w:val="both"/>
              <w:rPr>
                <w:b/>
                <w:sz w:val="22"/>
                <w:szCs w:val="22"/>
              </w:rPr>
            </w:pPr>
          </w:p>
          <w:p w14:paraId="018D6928" w14:textId="1A4CA5CC" w:rsidR="00FA0A1C" w:rsidRPr="007F1CF5" w:rsidRDefault="00B64EFA" w:rsidP="007F1CF5">
            <w:pPr>
              <w:jc w:val="center"/>
              <w:rPr>
                <w:b/>
                <w:szCs w:val="24"/>
              </w:rPr>
            </w:pPr>
            <w:r w:rsidRPr="007F1CF5">
              <w:rPr>
                <w:b/>
                <w:szCs w:val="24"/>
              </w:rPr>
              <w:t>III SKYRIUS</w:t>
            </w:r>
          </w:p>
          <w:p w14:paraId="7518A925" w14:textId="77777777" w:rsidR="001132E0" w:rsidRPr="007F1CF5" w:rsidRDefault="00B33655" w:rsidP="00B64EFA">
            <w:pPr>
              <w:jc w:val="center"/>
              <w:rPr>
                <w:b/>
                <w:szCs w:val="24"/>
              </w:rPr>
            </w:pPr>
            <w:r w:rsidRPr="007F1CF5">
              <w:rPr>
                <w:b/>
                <w:szCs w:val="24"/>
              </w:rPr>
              <w:t>IŠLAIDŲ TINKAMUMO FINANSUOTI REIKALAVIMAI</w:t>
            </w:r>
          </w:p>
          <w:p w14:paraId="6C7C568A" w14:textId="26E6DBDD" w:rsidR="00B64EFA" w:rsidRDefault="00B64EFA" w:rsidP="007F1CF5">
            <w:pPr>
              <w:jc w:val="center"/>
              <w:rPr>
                <w:b/>
                <w:sz w:val="22"/>
                <w:szCs w:val="22"/>
              </w:rPr>
            </w:pPr>
          </w:p>
        </w:tc>
      </w:tr>
      <w:tr w:rsidR="001132E0" w14:paraId="25F82697" w14:textId="77777777" w:rsidTr="007F1CF5">
        <w:tc>
          <w:tcPr>
            <w:tcW w:w="5000" w:type="pct"/>
            <w:tcBorders>
              <w:top w:val="single" w:sz="4" w:space="0" w:color="auto"/>
              <w:bottom w:val="single" w:sz="4" w:space="0" w:color="auto"/>
            </w:tcBorders>
          </w:tcPr>
          <w:p w14:paraId="18057F7A" w14:textId="5D99A4BD" w:rsidR="001132E0" w:rsidRDefault="003072AA">
            <w:pPr>
              <w:jc w:val="both"/>
              <w:rPr>
                <w:b/>
                <w:sz w:val="22"/>
                <w:szCs w:val="22"/>
              </w:rPr>
            </w:pPr>
            <w:r>
              <w:rPr>
                <w:b/>
                <w:sz w:val="22"/>
                <w:szCs w:val="22"/>
              </w:rPr>
              <w:t>16</w:t>
            </w:r>
            <w:r w:rsidR="00B33655">
              <w:rPr>
                <w:b/>
                <w:sz w:val="22"/>
                <w:szCs w:val="22"/>
              </w:rPr>
              <w:t>. Išlaidų tinkamumo finansuoti reikalavimai</w:t>
            </w:r>
          </w:p>
        </w:tc>
      </w:tr>
      <w:tr w:rsidR="001132E0" w14:paraId="3A17CE4A" w14:textId="77777777" w:rsidTr="007F1CF5">
        <w:tc>
          <w:tcPr>
            <w:tcW w:w="5000" w:type="pct"/>
            <w:tcBorders>
              <w:bottom w:val="single" w:sz="4" w:space="0" w:color="auto"/>
            </w:tcBorders>
          </w:tcPr>
          <w:p w14:paraId="1198E4EF" w14:textId="43CF8B37" w:rsidR="001132E0" w:rsidRDefault="003072AA">
            <w:pPr>
              <w:tabs>
                <w:tab w:val="left" w:pos="420"/>
              </w:tabs>
              <w:jc w:val="both"/>
              <w:rPr>
                <w:color w:val="000000"/>
                <w:sz w:val="22"/>
                <w:szCs w:val="22"/>
              </w:rPr>
            </w:pPr>
            <w:r>
              <w:rPr>
                <w:bCs/>
                <w:sz w:val="22"/>
                <w:szCs w:val="22"/>
              </w:rPr>
              <w:t>16</w:t>
            </w:r>
            <w:r w:rsidR="00B33655">
              <w:rPr>
                <w:bCs/>
                <w:sz w:val="22"/>
                <w:szCs w:val="22"/>
              </w:rPr>
              <w:t xml:space="preserve">.1. </w:t>
            </w:r>
            <w:r w:rsidR="00B33655">
              <w:rPr>
                <w:color w:val="000000"/>
                <w:sz w:val="22"/>
                <w:szCs w:val="22"/>
              </w:rPr>
              <w:t>Projekto išlaidos turi atitikti Projektų administravimo ir finansavimo taisyklių</w:t>
            </w:r>
            <w:r w:rsidR="00B33655">
              <w:rPr>
                <w:color w:val="FF0000"/>
                <w:sz w:val="22"/>
                <w:szCs w:val="22"/>
              </w:rPr>
              <w:t> </w:t>
            </w:r>
            <w:r w:rsidR="00B33655">
              <w:rPr>
                <w:color w:val="000000"/>
                <w:sz w:val="22"/>
                <w:szCs w:val="22"/>
              </w:rPr>
              <w:t>VII skyriuje nustatytus projekto išlaidoms taikomus reikalavimus.</w:t>
            </w:r>
          </w:p>
          <w:p w14:paraId="7E0FF891" w14:textId="18FACA4A" w:rsidR="001132E0" w:rsidRDefault="003072AA">
            <w:pPr>
              <w:jc w:val="both"/>
              <w:rPr>
                <w:sz w:val="22"/>
                <w:szCs w:val="22"/>
              </w:rPr>
            </w:pPr>
            <w:r>
              <w:rPr>
                <w:sz w:val="22"/>
                <w:szCs w:val="22"/>
              </w:rPr>
              <w:t>16</w:t>
            </w:r>
            <w:r w:rsidR="00B33655">
              <w:rPr>
                <w:sz w:val="22"/>
                <w:szCs w:val="22"/>
              </w:rPr>
              <w:t xml:space="preserve">.2. Pagal PFSA, tinkamos yra su PFSA 2.9 papunktyje nurodyta veikla ir jos poveiklėmis susijusios išlaidos:  </w:t>
            </w:r>
          </w:p>
          <w:p w14:paraId="057A786C" w14:textId="7AEC7110" w:rsidR="001132E0" w:rsidRDefault="003072AA">
            <w:pPr>
              <w:jc w:val="both"/>
              <w:rPr>
                <w:sz w:val="22"/>
                <w:szCs w:val="22"/>
              </w:rPr>
            </w:pPr>
            <w:r>
              <w:rPr>
                <w:iCs/>
                <w:sz w:val="22"/>
                <w:szCs w:val="22"/>
              </w:rPr>
              <w:t>16</w:t>
            </w:r>
            <w:r w:rsidR="00B33655">
              <w:rPr>
                <w:iCs/>
                <w:sz w:val="22"/>
                <w:szCs w:val="22"/>
              </w:rPr>
              <w:t>.2.1. s</w:t>
            </w:r>
            <w:r w:rsidR="00B33655">
              <w:rPr>
                <w:sz w:val="22"/>
                <w:szCs w:val="22"/>
              </w:rPr>
              <w:t>tatyba, rekonstravimas, remontas ir kiti darbai, įranga, įrenginiai ir kitas turtas;</w:t>
            </w:r>
          </w:p>
          <w:p w14:paraId="668FD016" w14:textId="34954109" w:rsidR="001132E0" w:rsidRDefault="003072AA">
            <w:pPr>
              <w:jc w:val="both"/>
              <w:rPr>
                <w:iCs/>
                <w:sz w:val="22"/>
                <w:szCs w:val="22"/>
              </w:rPr>
            </w:pPr>
            <w:r>
              <w:rPr>
                <w:iCs/>
                <w:sz w:val="22"/>
                <w:szCs w:val="22"/>
              </w:rPr>
              <w:t>16</w:t>
            </w:r>
            <w:r w:rsidR="00B33655">
              <w:rPr>
                <w:iCs/>
                <w:sz w:val="22"/>
                <w:szCs w:val="22"/>
              </w:rPr>
              <w:t>.2.2. išeitinės išmokos reorganizuotos kolegijos darbuotojams, nesutikusiems tęsti darbo santykių, ilgalaikio darbo išmokos, apskaičiuotos pagal Lietuvos Respublikos garantijų darbuotojams jų darbdaviui tapus nemokiu ir ilgalaikio darbo išmokų įstatymo nuostatas;</w:t>
            </w:r>
          </w:p>
          <w:p w14:paraId="696DB41D" w14:textId="3A4FEFEE" w:rsidR="001132E0" w:rsidRDefault="003072AA">
            <w:pPr>
              <w:tabs>
                <w:tab w:val="left" w:pos="420"/>
              </w:tabs>
              <w:jc w:val="both"/>
              <w:rPr>
                <w:color w:val="000000"/>
                <w:sz w:val="22"/>
                <w:szCs w:val="22"/>
              </w:rPr>
            </w:pPr>
            <w:r>
              <w:rPr>
                <w:color w:val="000000"/>
                <w:sz w:val="22"/>
                <w:szCs w:val="22"/>
              </w:rPr>
              <w:t>16</w:t>
            </w:r>
            <w:r w:rsidR="00B33655">
              <w:rPr>
                <w:color w:val="000000"/>
                <w:sz w:val="22"/>
                <w:szCs w:val="22"/>
              </w:rPr>
              <w:t xml:space="preserve">.2.3. privalomos projektų matomumo ir informavimo apie projektus priemonės. Papildomos PĮP numatytos projektų matomumo ir informavimo apie projektus priemonės, komunikacinės veiklos; </w:t>
            </w:r>
          </w:p>
          <w:p w14:paraId="58E1F5E0" w14:textId="273171AB" w:rsidR="001132E0" w:rsidRDefault="003072AA">
            <w:pPr>
              <w:tabs>
                <w:tab w:val="left" w:pos="420"/>
              </w:tabs>
              <w:rPr>
                <w:color w:val="000000"/>
                <w:sz w:val="22"/>
                <w:szCs w:val="22"/>
              </w:rPr>
            </w:pPr>
            <w:r>
              <w:rPr>
                <w:color w:val="000000"/>
                <w:sz w:val="22"/>
                <w:szCs w:val="22"/>
              </w:rPr>
              <w:t>16</w:t>
            </w:r>
            <w:r w:rsidR="00B33655">
              <w:rPr>
                <w:color w:val="000000"/>
                <w:sz w:val="22"/>
                <w:szCs w:val="22"/>
              </w:rPr>
              <w:t>.2.4. projekto vykdymo išlaidos (prekės, paslaugos, darbo užmokestis);</w:t>
            </w:r>
          </w:p>
          <w:p w14:paraId="125EC96D" w14:textId="7309B218" w:rsidR="001132E0" w:rsidRDefault="003072AA">
            <w:pPr>
              <w:tabs>
                <w:tab w:val="left" w:pos="420"/>
              </w:tabs>
              <w:rPr>
                <w:color w:val="000000"/>
                <w:sz w:val="22"/>
                <w:szCs w:val="22"/>
              </w:rPr>
            </w:pPr>
            <w:r>
              <w:rPr>
                <w:color w:val="000000"/>
                <w:sz w:val="22"/>
                <w:szCs w:val="22"/>
              </w:rPr>
              <w:t>16</w:t>
            </w:r>
            <w:r w:rsidR="00B33655">
              <w:rPr>
                <w:color w:val="000000"/>
                <w:sz w:val="22"/>
                <w:szCs w:val="22"/>
              </w:rPr>
              <w:t xml:space="preserve">.2.5. kitos, nenurodytos, tačiau būtinos PFSA 2.9 papunktyje nurodytai veiklai ir jos poveiklėms vykdyti, išlaidos; </w:t>
            </w:r>
          </w:p>
          <w:p w14:paraId="03291EF7" w14:textId="0B7649B8" w:rsidR="001132E0" w:rsidRDefault="003072AA">
            <w:pPr>
              <w:tabs>
                <w:tab w:val="left" w:pos="420"/>
              </w:tabs>
              <w:jc w:val="both"/>
              <w:rPr>
                <w:color w:val="000000"/>
                <w:sz w:val="22"/>
                <w:szCs w:val="22"/>
              </w:rPr>
            </w:pPr>
            <w:r>
              <w:rPr>
                <w:color w:val="000000"/>
                <w:sz w:val="22"/>
                <w:szCs w:val="22"/>
              </w:rPr>
              <w:t>16</w:t>
            </w:r>
            <w:r w:rsidR="00B33655">
              <w:rPr>
                <w:color w:val="000000"/>
                <w:sz w:val="22"/>
                <w:szCs w:val="22"/>
              </w:rPr>
              <w:t>.2.6. išlaidos, aptartos PFSA 14 punkte.</w:t>
            </w:r>
          </w:p>
          <w:p w14:paraId="7FD34EA0" w14:textId="4A09D2F4" w:rsidR="001132E0" w:rsidRDefault="003072AA">
            <w:pPr>
              <w:tabs>
                <w:tab w:val="left" w:pos="420"/>
              </w:tabs>
              <w:jc w:val="both"/>
              <w:rPr>
                <w:color w:val="000000"/>
                <w:sz w:val="22"/>
                <w:szCs w:val="22"/>
              </w:rPr>
            </w:pPr>
            <w:r>
              <w:rPr>
                <w:color w:val="000000"/>
                <w:sz w:val="22"/>
                <w:szCs w:val="22"/>
              </w:rPr>
              <w:t>16</w:t>
            </w:r>
            <w:r w:rsidR="00B33655">
              <w:rPr>
                <w:color w:val="000000"/>
                <w:sz w:val="22"/>
                <w:szCs w:val="22"/>
              </w:rPr>
              <w:t>.3. Dienpinigių ir gyvenamojo ploto nuomos normos vykstantiems į komandiruotes asmenims visais atvejais negali viršyti maksimalių dienpinigių dydžių ir gyvenamojo ploto nuomos išlaidų normų, apskaičiuotų vadovaujantis Lietuvos Respublikos Vyriausybės 2004 m. balandžio 29 d. nutarimu Nr. 526 „Dėl dienpinigių ir kitų komandiruočių išlaidų apmokėjimo“.</w:t>
            </w:r>
          </w:p>
          <w:p w14:paraId="319370E1" w14:textId="5588F8F5" w:rsidR="001132E0" w:rsidRDefault="003072AA">
            <w:pPr>
              <w:tabs>
                <w:tab w:val="left" w:pos="447"/>
                <w:tab w:val="left" w:pos="608"/>
              </w:tabs>
              <w:jc w:val="both"/>
              <w:rPr>
                <w:sz w:val="22"/>
                <w:szCs w:val="22"/>
              </w:rPr>
            </w:pPr>
            <w:r>
              <w:rPr>
                <w:bCs/>
                <w:sz w:val="22"/>
                <w:szCs w:val="22"/>
              </w:rPr>
              <w:t>16</w:t>
            </w:r>
            <w:r w:rsidR="00B33655">
              <w:rPr>
                <w:bCs/>
                <w:sz w:val="22"/>
                <w:szCs w:val="22"/>
              </w:rPr>
              <w:t xml:space="preserve">.4. </w:t>
            </w:r>
            <w:r w:rsidR="00B33655">
              <w:rPr>
                <w:bCs/>
                <w:sz w:val="22"/>
                <w:szCs w:val="22"/>
              </w:rPr>
              <w:tab/>
              <w:t xml:space="preserve">PĮP parengimo išlaidos nėra tinkamos finansuoti </w:t>
            </w:r>
            <w:r w:rsidR="00B33655">
              <w:rPr>
                <w:sz w:val="22"/>
                <w:szCs w:val="22"/>
              </w:rPr>
              <w:t xml:space="preserve">(išskyrus investicijų projekto rengimo išlaidas). </w:t>
            </w:r>
          </w:p>
          <w:p w14:paraId="67B14D80" w14:textId="675112C7" w:rsidR="001132E0" w:rsidRDefault="003072AA">
            <w:pPr>
              <w:tabs>
                <w:tab w:val="left" w:pos="599"/>
              </w:tabs>
              <w:jc w:val="both"/>
              <w:rPr>
                <w:bCs/>
                <w:iCs/>
                <w:sz w:val="22"/>
                <w:szCs w:val="22"/>
              </w:rPr>
            </w:pPr>
            <w:r>
              <w:rPr>
                <w:bCs/>
                <w:iCs/>
                <w:sz w:val="22"/>
                <w:szCs w:val="22"/>
              </w:rPr>
              <w:t>16</w:t>
            </w:r>
            <w:r w:rsidR="00B33655">
              <w:rPr>
                <w:bCs/>
                <w:iCs/>
                <w:sz w:val="22"/>
                <w:szCs w:val="22"/>
              </w:rPr>
              <w:t xml:space="preserve">.5. Netinkamos finansuoti išlaidos: žemės įsigijimo, nekilnojamojo turto įsigijimo. </w:t>
            </w:r>
          </w:p>
          <w:p w14:paraId="228B8228" w14:textId="706C1FB8" w:rsidR="001132E0" w:rsidRDefault="003072AA">
            <w:pPr>
              <w:jc w:val="both"/>
              <w:rPr>
                <w:sz w:val="22"/>
                <w:szCs w:val="22"/>
              </w:rPr>
            </w:pPr>
            <w:r>
              <w:rPr>
                <w:sz w:val="22"/>
                <w:szCs w:val="22"/>
              </w:rPr>
              <w:t>16</w:t>
            </w:r>
            <w:r w:rsidR="00B33655">
              <w:rPr>
                <w:sz w:val="22"/>
                <w:szCs w:val="22"/>
              </w:rPr>
              <w:t xml:space="preserve">.6. PVM gali būti finansuojamas valstybės biudžeto lėšomis, vadovaujantis </w:t>
            </w:r>
            <w:r w:rsidR="00B33655">
              <w:rPr>
                <w:color w:val="000000"/>
                <w:sz w:val="22"/>
                <w:szCs w:val="22"/>
              </w:rPr>
              <w:t>Projektų administravimo ir finansavimo taisyklių</w:t>
            </w:r>
            <w:r w:rsidR="00B33655">
              <w:rPr>
                <w:sz w:val="22"/>
                <w:szCs w:val="22"/>
              </w:rPr>
              <w:t xml:space="preserve"> VII skyriaus ketvirtajame skirsnyje nustatyta tvarka.</w:t>
            </w:r>
          </w:p>
          <w:p w14:paraId="09FE8DD8" w14:textId="1D0CF839" w:rsidR="001132E0" w:rsidRDefault="003072AA" w:rsidP="007F1CF5">
            <w:pPr>
              <w:pBdr>
                <w:bottom w:val="single" w:sz="4" w:space="1" w:color="auto"/>
              </w:pBdr>
              <w:tabs>
                <w:tab w:val="left" w:pos="420"/>
                <w:tab w:val="left" w:pos="608"/>
              </w:tabs>
              <w:jc w:val="both"/>
              <w:rPr>
                <w:bCs/>
                <w:sz w:val="22"/>
                <w:szCs w:val="22"/>
              </w:rPr>
            </w:pPr>
            <w:r>
              <w:rPr>
                <w:bCs/>
                <w:sz w:val="22"/>
                <w:szCs w:val="22"/>
              </w:rPr>
              <w:t>16</w:t>
            </w:r>
            <w:r w:rsidR="00B33655">
              <w:rPr>
                <w:bCs/>
                <w:sz w:val="22"/>
                <w:szCs w:val="22"/>
              </w:rPr>
              <w:t>.7.</w:t>
            </w:r>
            <w:r w:rsidR="00B33655">
              <w:rPr>
                <w:bCs/>
                <w:sz w:val="22"/>
                <w:szCs w:val="22"/>
              </w:rPr>
              <w:tab/>
              <w:t xml:space="preserve">Projektų išlaidos gali būti patirtos iki projekto sutarties pasirašymo, jei tai neprieštarauja </w:t>
            </w:r>
            <w:r w:rsidR="00B33655">
              <w:rPr>
                <w:color w:val="000000"/>
                <w:sz w:val="22"/>
                <w:szCs w:val="22"/>
              </w:rPr>
              <w:t>Projektų administravimo ir finansavimo taisyklių</w:t>
            </w:r>
            <w:r w:rsidR="00B33655">
              <w:rPr>
                <w:color w:val="FF0000"/>
                <w:sz w:val="22"/>
                <w:szCs w:val="22"/>
              </w:rPr>
              <w:t> </w:t>
            </w:r>
            <w:r w:rsidR="00B33655">
              <w:rPr>
                <w:color w:val="000000"/>
                <w:sz w:val="22"/>
                <w:szCs w:val="22"/>
              </w:rPr>
              <w:t>VII skyriuje nustatytiems projekto išlaidoms taikomiems reikalavimams</w:t>
            </w:r>
            <w:r w:rsidR="00B33655">
              <w:rPr>
                <w:bCs/>
                <w:sz w:val="22"/>
                <w:szCs w:val="22"/>
              </w:rPr>
              <w:t>.</w:t>
            </w:r>
          </w:p>
          <w:p w14:paraId="6A257574" w14:textId="43F88318" w:rsidR="001132E0" w:rsidRDefault="003072AA" w:rsidP="007F1CF5">
            <w:pPr>
              <w:pBdr>
                <w:bottom w:val="single" w:sz="4" w:space="1" w:color="auto"/>
              </w:pBdr>
              <w:jc w:val="both"/>
              <w:rPr>
                <w:sz w:val="22"/>
                <w:szCs w:val="22"/>
              </w:rPr>
            </w:pPr>
            <w:r>
              <w:rPr>
                <w:sz w:val="22"/>
                <w:szCs w:val="22"/>
              </w:rPr>
              <w:t>16</w:t>
            </w:r>
            <w:r w:rsidR="00B33655">
              <w:rPr>
                <w:sz w:val="22"/>
                <w:szCs w:val="22"/>
              </w:rPr>
              <w:t xml:space="preserve">.8. Projekto vykdytojui gali būti mokamas avansas, vadovaujantis </w:t>
            </w:r>
            <w:r w:rsidR="00B33655">
              <w:rPr>
                <w:color w:val="000000"/>
                <w:sz w:val="22"/>
                <w:szCs w:val="22"/>
              </w:rPr>
              <w:t>Projektų administravimo ir finansavimo taisyklėse</w:t>
            </w:r>
            <w:r w:rsidR="00B33655">
              <w:rPr>
                <w:sz w:val="22"/>
                <w:szCs w:val="22"/>
              </w:rPr>
              <w:t xml:space="preserve"> numatytomis avanso mokėjimo sąlygomis.</w:t>
            </w:r>
          </w:p>
        </w:tc>
      </w:tr>
      <w:tr w:rsidR="001132E0" w14:paraId="60CBC9B1" w14:textId="77777777" w:rsidTr="007F1CF5">
        <w:trPr>
          <w:trHeight w:val="1020"/>
        </w:trPr>
        <w:tc>
          <w:tcPr>
            <w:tcW w:w="5000" w:type="pct"/>
            <w:tcBorders>
              <w:top w:val="single" w:sz="4" w:space="0" w:color="auto"/>
              <w:left w:val="nil"/>
              <w:bottom w:val="single" w:sz="4" w:space="0" w:color="auto"/>
              <w:right w:val="nil"/>
            </w:tcBorders>
          </w:tcPr>
          <w:p w14:paraId="33C51483" w14:textId="77777777" w:rsidR="00836D18" w:rsidRDefault="00836D18">
            <w:pPr>
              <w:jc w:val="both"/>
              <w:rPr>
                <w:b/>
                <w:sz w:val="22"/>
                <w:szCs w:val="22"/>
              </w:rPr>
            </w:pPr>
          </w:p>
          <w:p w14:paraId="3C45B664" w14:textId="77777777" w:rsidR="00A12E19" w:rsidRPr="00253511" w:rsidRDefault="00A12E19" w:rsidP="00A12E19">
            <w:pPr>
              <w:jc w:val="center"/>
              <w:rPr>
                <w:b/>
                <w:szCs w:val="24"/>
              </w:rPr>
            </w:pPr>
            <w:r w:rsidRPr="00253511">
              <w:rPr>
                <w:b/>
                <w:szCs w:val="24"/>
              </w:rPr>
              <w:t>IV SKYRIUS</w:t>
            </w:r>
          </w:p>
          <w:p w14:paraId="5972E6C1" w14:textId="77777777" w:rsidR="00A12E19" w:rsidRPr="00253511" w:rsidRDefault="00A12E19" w:rsidP="00A12E19">
            <w:pPr>
              <w:jc w:val="center"/>
              <w:rPr>
                <w:b/>
                <w:szCs w:val="24"/>
              </w:rPr>
            </w:pPr>
            <w:r w:rsidRPr="00253511">
              <w:rPr>
                <w:b/>
                <w:szCs w:val="24"/>
              </w:rPr>
              <w:t>SUPAPRASTINTAI APMOKAMŲ IŠLAIDŲ DYDŽIAI</w:t>
            </w:r>
          </w:p>
          <w:p w14:paraId="3E51BCFB" w14:textId="4C7E88AF" w:rsidR="001132E0" w:rsidRDefault="001132E0">
            <w:pPr>
              <w:jc w:val="both"/>
              <w:rPr>
                <w:sz w:val="22"/>
                <w:szCs w:val="22"/>
              </w:rPr>
            </w:pPr>
          </w:p>
        </w:tc>
      </w:tr>
      <w:tr w:rsidR="00B60855" w14:paraId="0CCEF8D9" w14:textId="77777777" w:rsidTr="00B60855">
        <w:trPr>
          <w:trHeight w:val="285"/>
        </w:trPr>
        <w:tc>
          <w:tcPr>
            <w:tcW w:w="5000" w:type="pct"/>
            <w:tcBorders>
              <w:top w:val="single" w:sz="4" w:space="0" w:color="auto"/>
              <w:left w:val="single" w:sz="4" w:space="0" w:color="auto"/>
              <w:bottom w:val="single" w:sz="4" w:space="0" w:color="auto"/>
              <w:right w:val="single" w:sz="4" w:space="0" w:color="auto"/>
            </w:tcBorders>
          </w:tcPr>
          <w:p w14:paraId="7DBE68FF" w14:textId="77777777" w:rsidR="00B60855" w:rsidRDefault="00B60855" w:rsidP="00B60855">
            <w:pPr>
              <w:jc w:val="both"/>
              <w:rPr>
                <w:b/>
                <w:sz w:val="22"/>
                <w:szCs w:val="22"/>
              </w:rPr>
            </w:pPr>
            <w:r>
              <w:rPr>
                <w:b/>
                <w:sz w:val="22"/>
                <w:szCs w:val="22"/>
              </w:rPr>
              <w:t>17. Projektų veiklų ir jungtinio projekto projektams įgyvendinti taikomi supaprastintai apmokamų išlaidų dydžiai</w:t>
            </w:r>
          </w:p>
        </w:tc>
      </w:tr>
      <w:tr w:rsidR="001132E0" w14:paraId="1282C195" w14:textId="77777777" w:rsidTr="007F1CF5">
        <w:tc>
          <w:tcPr>
            <w:tcW w:w="5000" w:type="pct"/>
            <w:tcBorders>
              <w:top w:val="single" w:sz="4" w:space="0" w:color="auto"/>
            </w:tcBorders>
          </w:tcPr>
          <w:p w14:paraId="729E9F07" w14:textId="67D0C73F" w:rsidR="001132E0" w:rsidRDefault="00232B24">
            <w:pPr>
              <w:jc w:val="both"/>
              <w:rPr>
                <w:sz w:val="22"/>
                <w:szCs w:val="22"/>
              </w:rPr>
            </w:pPr>
            <w:r>
              <w:rPr>
                <w:sz w:val="22"/>
                <w:szCs w:val="22"/>
              </w:rPr>
              <w:t>17</w:t>
            </w:r>
            <w:r w:rsidR="00B33655">
              <w:rPr>
                <w:sz w:val="22"/>
                <w:szCs w:val="22"/>
              </w:rPr>
              <w:t xml:space="preserve">.1. Netiesioginės išlaidos apmokamos taikant fiksuotąją normą pagal </w:t>
            </w:r>
            <w:r w:rsidR="00B33655">
              <w:rPr>
                <w:color w:val="000000"/>
                <w:sz w:val="22"/>
                <w:szCs w:val="22"/>
              </w:rPr>
              <w:t xml:space="preserve">Projektų administravimo ir finansavimo </w:t>
            </w:r>
            <w:r w:rsidR="00B33655">
              <w:rPr>
                <w:sz w:val="22"/>
                <w:szCs w:val="22"/>
              </w:rPr>
              <w:t xml:space="preserve">taisyklių 332.1 papunktį. </w:t>
            </w:r>
          </w:p>
          <w:p w14:paraId="5DB6A3DF" w14:textId="68573243" w:rsidR="001132E0" w:rsidRDefault="00232B24">
            <w:pPr>
              <w:jc w:val="both"/>
              <w:rPr>
                <w:sz w:val="22"/>
                <w:szCs w:val="22"/>
              </w:rPr>
            </w:pPr>
            <w:r>
              <w:rPr>
                <w:sz w:val="22"/>
                <w:szCs w:val="22"/>
              </w:rPr>
              <w:t>17</w:t>
            </w:r>
            <w:r w:rsidR="00B33655">
              <w:rPr>
                <w:sz w:val="22"/>
                <w:szCs w:val="22"/>
              </w:rPr>
              <w:t>.2. Projektų įgyvendinimo metu Administruojančiajai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bl>
            <w:tblPr>
              <w:tblW w:w="15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112"/>
              <w:gridCol w:w="1973"/>
              <w:gridCol w:w="3763"/>
              <w:gridCol w:w="4358"/>
              <w:gridCol w:w="236"/>
            </w:tblGrid>
            <w:tr w:rsidR="001132E0" w14:paraId="4CA17C69" w14:textId="77777777">
              <w:trPr>
                <w:gridAfter w:val="1"/>
                <w:wAfter w:w="236" w:type="dxa"/>
                <w:jc w:val="center"/>
              </w:trPr>
              <w:tc>
                <w:tcPr>
                  <w:tcW w:w="14891" w:type="dxa"/>
                  <w:gridSpan w:val="5"/>
                  <w:tcBorders>
                    <w:top w:val="single" w:sz="8" w:space="0" w:color="auto"/>
                    <w:left w:val="single" w:sz="8" w:space="0" w:color="auto"/>
                    <w:bottom w:val="single" w:sz="8" w:space="0" w:color="auto"/>
                    <w:right w:val="single" w:sz="8" w:space="0" w:color="auto"/>
                  </w:tcBorders>
                </w:tcPr>
                <w:p w14:paraId="35FD0388" w14:textId="77777777" w:rsidR="001132E0" w:rsidRDefault="00B33655">
                  <w:pPr>
                    <w:jc w:val="both"/>
                    <w:rPr>
                      <w:b/>
                      <w:bCs/>
                      <w:sz w:val="22"/>
                      <w:szCs w:val="22"/>
                    </w:rPr>
                  </w:pPr>
                  <w:r>
                    <w:rPr>
                      <w:rFonts w:ascii="Segoe UI Symbol" w:eastAsia="MS Gothic" w:hAnsi="Segoe UI Symbol" w:cs="Segoe UI Symbol"/>
                      <w:b/>
                      <w:bCs/>
                      <w:sz w:val="22"/>
                      <w:szCs w:val="22"/>
                    </w:rPr>
                    <w:t>☐</w:t>
                  </w:r>
                  <w:r>
                    <w:rPr>
                      <w:b/>
                      <w:bCs/>
                      <w:sz w:val="22"/>
                      <w:szCs w:val="22"/>
                    </w:rPr>
                    <w:t xml:space="preserve"> Indeksuojama</w:t>
                  </w:r>
                </w:p>
                <w:p w14:paraId="467D3686" w14:textId="54ED07E1" w:rsidR="001132E0" w:rsidRDefault="00B33655">
                  <w:pPr>
                    <w:jc w:val="both"/>
                    <w:rPr>
                      <w:b/>
                      <w:bCs/>
                      <w:sz w:val="22"/>
                      <w:szCs w:val="22"/>
                    </w:rPr>
                  </w:pPr>
                  <w:r>
                    <w:rPr>
                      <w:rFonts w:eastAsia="MS Gothic"/>
                      <w:b/>
                      <w:bCs/>
                      <w:sz w:val="22"/>
                      <w:szCs w:val="22"/>
                    </w:rPr>
                    <w:t>X</w:t>
                  </w:r>
                  <w:r>
                    <w:rPr>
                      <w:b/>
                      <w:bCs/>
                      <w:sz w:val="22"/>
                      <w:szCs w:val="22"/>
                    </w:rPr>
                    <w:t xml:space="preserve"> Neindeksuojama</w:t>
                  </w:r>
                </w:p>
              </w:tc>
            </w:tr>
            <w:tr w:rsidR="001132E0" w14:paraId="08717008" w14:textId="77777777">
              <w:trPr>
                <w:gridAfter w:val="1"/>
                <w:wAfter w:w="236" w:type="dxa"/>
                <w:jc w:val="center"/>
              </w:trPr>
              <w:tc>
                <w:tcPr>
                  <w:tcW w:w="2685" w:type="dxa"/>
                  <w:tcBorders>
                    <w:top w:val="single" w:sz="8" w:space="0" w:color="auto"/>
                    <w:left w:val="single" w:sz="8" w:space="0" w:color="auto"/>
                    <w:bottom w:val="single" w:sz="8" w:space="0" w:color="auto"/>
                    <w:right w:val="single" w:sz="8" w:space="0" w:color="auto"/>
                  </w:tcBorders>
                  <w:vAlign w:val="center"/>
                </w:tcPr>
                <w:p w14:paraId="6A2E97CB" w14:textId="77777777" w:rsidR="001132E0" w:rsidRDefault="00B33655">
                  <w:pPr>
                    <w:jc w:val="center"/>
                    <w:rPr>
                      <w:b/>
                      <w:bCs/>
                      <w:sz w:val="22"/>
                      <w:szCs w:val="22"/>
                    </w:rPr>
                  </w:pPr>
                  <w:r>
                    <w:rPr>
                      <w:b/>
                      <w:bCs/>
                      <w:sz w:val="22"/>
                      <w:szCs w:val="22"/>
                    </w:rPr>
                    <w:t>Veiklos ir (ar) išlaidos, kurioms taikomi supaprastintai apmokamų išlaidų dydžiai</w:t>
                  </w:r>
                </w:p>
              </w:tc>
              <w:tc>
                <w:tcPr>
                  <w:tcW w:w="2112" w:type="dxa"/>
                  <w:tcBorders>
                    <w:top w:val="single" w:sz="8" w:space="0" w:color="auto"/>
                    <w:left w:val="single" w:sz="8" w:space="0" w:color="auto"/>
                    <w:bottom w:val="single" w:sz="8" w:space="0" w:color="auto"/>
                    <w:right w:val="single" w:sz="8" w:space="0" w:color="auto"/>
                  </w:tcBorders>
                  <w:vAlign w:val="center"/>
                </w:tcPr>
                <w:p w14:paraId="188223CF" w14:textId="77777777" w:rsidR="001132E0" w:rsidRDefault="00B33655">
                  <w:pPr>
                    <w:jc w:val="center"/>
                    <w:rPr>
                      <w:b/>
                      <w:bCs/>
                      <w:sz w:val="22"/>
                      <w:szCs w:val="22"/>
                    </w:rPr>
                  </w:pPr>
                  <w:r>
                    <w:rPr>
                      <w:b/>
                      <w:bCs/>
                      <w:sz w:val="22"/>
                      <w:szCs w:val="22"/>
                    </w:rPr>
                    <w:t>Supaprastintai apmokamų išlaidų dydžio kodas</w:t>
                  </w:r>
                </w:p>
              </w:tc>
              <w:tc>
                <w:tcPr>
                  <w:tcW w:w="1973" w:type="dxa"/>
                  <w:tcBorders>
                    <w:top w:val="single" w:sz="8" w:space="0" w:color="auto"/>
                    <w:left w:val="single" w:sz="8" w:space="0" w:color="auto"/>
                    <w:bottom w:val="single" w:sz="8" w:space="0" w:color="auto"/>
                    <w:right w:val="single" w:sz="8" w:space="0" w:color="auto"/>
                  </w:tcBorders>
                  <w:vAlign w:val="center"/>
                </w:tcPr>
                <w:p w14:paraId="53A4869A" w14:textId="77777777" w:rsidR="001132E0" w:rsidRDefault="00B33655">
                  <w:pPr>
                    <w:jc w:val="center"/>
                    <w:rPr>
                      <w:b/>
                      <w:bCs/>
                      <w:i/>
                      <w:iCs/>
                      <w:color w:val="808080"/>
                      <w:sz w:val="22"/>
                      <w:szCs w:val="22"/>
                    </w:rPr>
                  </w:pPr>
                  <w:r>
                    <w:rPr>
                      <w:b/>
                      <w:bCs/>
                      <w:sz w:val="22"/>
                      <w:szCs w:val="22"/>
                    </w:rPr>
                    <w:t>Supaprastintai apmokamų išlaidų dydžio versija</w:t>
                  </w:r>
                </w:p>
              </w:tc>
              <w:tc>
                <w:tcPr>
                  <w:tcW w:w="3763" w:type="dxa"/>
                  <w:tcBorders>
                    <w:top w:val="single" w:sz="8" w:space="0" w:color="auto"/>
                    <w:left w:val="single" w:sz="8" w:space="0" w:color="auto"/>
                    <w:bottom w:val="single" w:sz="8" w:space="0" w:color="auto"/>
                    <w:right w:val="single" w:sz="8" w:space="0" w:color="auto"/>
                  </w:tcBorders>
                  <w:vAlign w:val="center"/>
                </w:tcPr>
                <w:p w14:paraId="69CCA9F2" w14:textId="77777777" w:rsidR="001132E0" w:rsidRDefault="00B33655">
                  <w:pPr>
                    <w:jc w:val="center"/>
                    <w:rPr>
                      <w:b/>
                      <w:bCs/>
                      <w:sz w:val="22"/>
                      <w:szCs w:val="22"/>
                    </w:rPr>
                  </w:pPr>
                  <w:r>
                    <w:rPr>
                      <w:b/>
                      <w:bCs/>
                      <w:sz w:val="22"/>
                      <w:szCs w:val="22"/>
                    </w:rPr>
                    <w:t>Supaprastintai apmokamų išlaidų dydžio pavadinimas</w:t>
                  </w:r>
                </w:p>
              </w:tc>
              <w:tc>
                <w:tcPr>
                  <w:tcW w:w="4358" w:type="dxa"/>
                  <w:tcBorders>
                    <w:top w:val="single" w:sz="8" w:space="0" w:color="auto"/>
                    <w:left w:val="single" w:sz="8" w:space="0" w:color="auto"/>
                    <w:bottom w:val="single" w:sz="8" w:space="0" w:color="auto"/>
                    <w:right w:val="single" w:sz="8" w:space="0" w:color="auto"/>
                  </w:tcBorders>
                  <w:vAlign w:val="center"/>
                </w:tcPr>
                <w:p w14:paraId="6BA0873F" w14:textId="77777777" w:rsidR="001132E0" w:rsidRDefault="00B33655">
                  <w:pPr>
                    <w:jc w:val="center"/>
                    <w:rPr>
                      <w:b/>
                      <w:bCs/>
                      <w:sz w:val="22"/>
                      <w:szCs w:val="22"/>
                    </w:rPr>
                  </w:pPr>
                  <w:r>
                    <w:rPr>
                      <w:b/>
                      <w:bCs/>
                      <w:sz w:val="22"/>
                      <w:szCs w:val="22"/>
                    </w:rPr>
                    <w:t>Papildoma informacija</w:t>
                  </w:r>
                </w:p>
              </w:tc>
            </w:tr>
            <w:tr w:rsidR="001132E0" w14:paraId="66DE7FDE" w14:textId="77777777">
              <w:trPr>
                <w:gridAfter w:val="1"/>
                <w:wAfter w:w="236" w:type="dxa"/>
                <w:jc w:val="center"/>
              </w:trPr>
              <w:tc>
                <w:tcPr>
                  <w:tcW w:w="2685" w:type="dxa"/>
                  <w:tcBorders>
                    <w:top w:val="single" w:sz="8" w:space="0" w:color="auto"/>
                    <w:left w:val="single" w:sz="8" w:space="0" w:color="auto"/>
                    <w:bottom w:val="single" w:sz="8" w:space="0" w:color="auto"/>
                    <w:right w:val="single" w:sz="8" w:space="0" w:color="auto"/>
                  </w:tcBorders>
                  <w:vAlign w:val="center"/>
                </w:tcPr>
                <w:p w14:paraId="02E38501" w14:textId="4273C55E" w:rsidR="001132E0" w:rsidRDefault="00B33655">
                  <w:pPr>
                    <w:jc w:val="both"/>
                    <w:rPr>
                      <w:i/>
                      <w:iCs/>
                      <w:sz w:val="22"/>
                      <w:szCs w:val="22"/>
                    </w:rPr>
                  </w:pPr>
                  <w:r>
                    <w:rPr>
                      <w:sz w:val="22"/>
                      <w:szCs w:val="22"/>
                    </w:rPr>
                    <w:t>Netiesioginės išlaidos (7 proc. tinkamų finansuoti tiesioginių išlaidų)</w:t>
                  </w:r>
                </w:p>
              </w:tc>
              <w:tc>
                <w:tcPr>
                  <w:tcW w:w="2112" w:type="dxa"/>
                  <w:tcBorders>
                    <w:top w:val="single" w:sz="8" w:space="0" w:color="auto"/>
                    <w:left w:val="single" w:sz="8" w:space="0" w:color="auto"/>
                    <w:bottom w:val="single" w:sz="8" w:space="0" w:color="auto"/>
                    <w:right w:val="single" w:sz="8" w:space="0" w:color="auto"/>
                  </w:tcBorders>
                  <w:vAlign w:val="center"/>
                </w:tcPr>
                <w:p w14:paraId="6D721D46" w14:textId="2A18289F" w:rsidR="001132E0" w:rsidRDefault="00B33655">
                  <w:pPr>
                    <w:jc w:val="center"/>
                    <w:rPr>
                      <w:i/>
                      <w:iCs/>
                      <w:sz w:val="22"/>
                      <w:szCs w:val="22"/>
                    </w:rPr>
                  </w:pPr>
                  <w:r>
                    <w:rPr>
                      <w:sz w:val="22"/>
                      <w:szCs w:val="22"/>
                      <w:lang w:eastAsia="lt-LT"/>
                    </w:rPr>
                    <w:t>FN-01</w:t>
                  </w:r>
                </w:p>
              </w:tc>
              <w:tc>
                <w:tcPr>
                  <w:tcW w:w="1973" w:type="dxa"/>
                  <w:tcBorders>
                    <w:top w:val="single" w:sz="8" w:space="0" w:color="auto"/>
                    <w:left w:val="single" w:sz="8" w:space="0" w:color="auto"/>
                    <w:bottom w:val="single" w:sz="8" w:space="0" w:color="auto"/>
                    <w:right w:val="single" w:sz="8" w:space="0" w:color="auto"/>
                  </w:tcBorders>
                  <w:vAlign w:val="center"/>
                </w:tcPr>
                <w:p w14:paraId="4DDA0330" w14:textId="1FB05424" w:rsidR="001132E0" w:rsidRDefault="00B33655">
                  <w:pPr>
                    <w:jc w:val="center"/>
                    <w:rPr>
                      <w:i/>
                      <w:iCs/>
                      <w:sz w:val="22"/>
                      <w:szCs w:val="22"/>
                    </w:rPr>
                  </w:pPr>
                  <w:r>
                    <w:rPr>
                      <w:sz w:val="22"/>
                      <w:szCs w:val="22"/>
                    </w:rPr>
                    <w:t>01</w:t>
                  </w:r>
                </w:p>
              </w:tc>
              <w:tc>
                <w:tcPr>
                  <w:tcW w:w="3763" w:type="dxa"/>
                  <w:tcBorders>
                    <w:top w:val="single" w:sz="8" w:space="0" w:color="auto"/>
                    <w:left w:val="single" w:sz="8" w:space="0" w:color="auto"/>
                    <w:bottom w:val="single" w:sz="8" w:space="0" w:color="auto"/>
                    <w:right w:val="single" w:sz="8" w:space="0" w:color="auto"/>
                  </w:tcBorders>
                </w:tcPr>
                <w:p w14:paraId="3FB9237A" w14:textId="605B0FF9" w:rsidR="001132E0" w:rsidRDefault="00B33655">
                  <w:pPr>
                    <w:jc w:val="center"/>
                    <w:rPr>
                      <w:i/>
                      <w:iCs/>
                      <w:sz w:val="22"/>
                      <w:szCs w:val="22"/>
                    </w:rPr>
                  </w:pPr>
                  <w:r>
                    <w:rPr>
                      <w:sz w:val="22"/>
                      <w:szCs w:val="22"/>
                      <w:lang w:eastAsia="lt-LT"/>
                    </w:rPr>
                    <w:t>7 proc. netiesioginių išlaidų fiksuotoji norma</w:t>
                  </w:r>
                </w:p>
              </w:tc>
              <w:tc>
                <w:tcPr>
                  <w:tcW w:w="4358" w:type="dxa"/>
                  <w:tcBorders>
                    <w:top w:val="single" w:sz="8" w:space="0" w:color="auto"/>
                    <w:left w:val="single" w:sz="8" w:space="0" w:color="auto"/>
                    <w:bottom w:val="single" w:sz="8" w:space="0" w:color="auto"/>
                    <w:right w:val="single" w:sz="8" w:space="0" w:color="auto"/>
                  </w:tcBorders>
                </w:tcPr>
                <w:p w14:paraId="3C92CD65" w14:textId="0EBB0299" w:rsidR="001132E0" w:rsidRDefault="00B33655">
                  <w:pPr>
                    <w:rPr>
                      <w:i/>
                      <w:iCs/>
                      <w:sz w:val="22"/>
                      <w:szCs w:val="22"/>
                    </w:rPr>
                  </w:pPr>
                  <w:r>
                    <w:rPr>
                      <w:sz w:val="22"/>
                      <w:szCs w:val="22"/>
                    </w:rPr>
                    <w:t>Netiesioginės projekto išlaidos skaičiuojamos nuo tinkamų finansuoti tiesioginių projekto išlaidų (7 proc.).</w:t>
                  </w:r>
                </w:p>
              </w:tc>
            </w:tr>
            <w:tr w:rsidR="001132E0" w14:paraId="6E0BA45A" w14:textId="77777777">
              <w:trPr>
                <w:gridAfter w:val="1"/>
                <w:wAfter w:w="236" w:type="dxa"/>
                <w:jc w:val="center"/>
              </w:trPr>
              <w:tc>
                <w:tcPr>
                  <w:tcW w:w="2685" w:type="dxa"/>
                  <w:tcBorders>
                    <w:top w:val="single" w:sz="8" w:space="0" w:color="auto"/>
                    <w:left w:val="single" w:sz="8" w:space="0" w:color="auto"/>
                    <w:bottom w:val="single" w:sz="8" w:space="0" w:color="auto"/>
                    <w:right w:val="single" w:sz="8" w:space="0" w:color="auto"/>
                  </w:tcBorders>
                  <w:vAlign w:val="center"/>
                </w:tcPr>
                <w:p w14:paraId="386A4CFA" w14:textId="7EFE82A8" w:rsidR="001132E0" w:rsidRDefault="00B33655">
                  <w:pPr>
                    <w:jc w:val="both"/>
                    <w:rPr>
                      <w:i/>
                      <w:iCs/>
                      <w:sz w:val="22"/>
                      <w:szCs w:val="22"/>
                    </w:rPr>
                  </w:pPr>
                  <w:r>
                    <w:rPr>
                      <w:color w:val="000000"/>
                      <w:sz w:val="22"/>
                      <w:szCs w:val="22"/>
                    </w:rPr>
                    <w:t xml:space="preserve">Informavimo apie projektą išlaidos </w:t>
                  </w:r>
                </w:p>
              </w:tc>
              <w:tc>
                <w:tcPr>
                  <w:tcW w:w="2112" w:type="dxa"/>
                  <w:tcBorders>
                    <w:top w:val="single" w:sz="8" w:space="0" w:color="auto"/>
                    <w:left w:val="single" w:sz="8" w:space="0" w:color="auto"/>
                    <w:bottom w:val="single" w:sz="8" w:space="0" w:color="auto"/>
                    <w:right w:val="single" w:sz="8" w:space="0" w:color="auto"/>
                  </w:tcBorders>
                  <w:vAlign w:val="center"/>
                </w:tcPr>
                <w:p w14:paraId="6117E8C3" w14:textId="62FF2372" w:rsidR="001132E0" w:rsidRDefault="00B33655">
                  <w:pPr>
                    <w:jc w:val="center"/>
                    <w:rPr>
                      <w:sz w:val="22"/>
                      <w:szCs w:val="22"/>
                      <w:lang w:eastAsia="lt-LT"/>
                    </w:rPr>
                  </w:pPr>
                  <w:r>
                    <w:rPr>
                      <w:sz w:val="22"/>
                      <w:szCs w:val="22"/>
                      <w:lang w:eastAsia="lt-LT"/>
                    </w:rPr>
                    <w:t>FS-01-03</w:t>
                  </w:r>
                </w:p>
              </w:tc>
              <w:tc>
                <w:tcPr>
                  <w:tcW w:w="1973" w:type="dxa"/>
                  <w:tcBorders>
                    <w:top w:val="single" w:sz="8" w:space="0" w:color="auto"/>
                    <w:left w:val="single" w:sz="8" w:space="0" w:color="auto"/>
                    <w:bottom w:val="single" w:sz="8" w:space="0" w:color="auto"/>
                    <w:right w:val="single" w:sz="8" w:space="0" w:color="auto"/>
                  </w:tcBorders>
                  <w:vAlign w:val="center"/>
                </w:tcPr>
                <w:p w14:paraId="6D4967CA" w14:textId="7ABB0DFE" w:rsidR="001132E0" w:rsidRDefault="00B33655">
                  <w:pPr>
                    <w:jc w:val="center"/>
                    <w:rPr>
                      <w:i/>
                      <w:iCs/>
                      <w:sz w:val="22"/>
                      <w:szCs w:val="22"/>
                    </w:rPr>
                  </w:pPr>
                  <w:r>
                    <w:rPr>
                      <w:sz w:val="22"/>
                      <w:szCs w:val="22"/>
                    </w:rPr>
                    <w:t>02</w:t>
                  </w:r>
                </w:p>
              </w:tc>
              <w:tc>
                <w:tcPr>
                  <w:tcW w:w="3763" w:type="dxa"/>
                  <w:tcBorders>
                    <w:top w:val="single" w:sz="8" w:space="0" w:color="auto"/>
                    <w:left w:val="single" w:sz="8" w:space="0" w:color="auto"/>
                    <w:bottom w:val="single" w:sz="8" w:space="0" w:color="auto"/>
                    <w:right w:val="single" w:sz="8" w:space="0" w:color="auto"/>
                  </w:tcBorders>
                </w:tcPr>
                <w:p w14:paraId="341FA040" w14:textId="47971277" w:rsidR="001132E0" w:rsidRDefault="00B33655">
                  <w:pPr>
                    <w:jc w:val="both"/>
                    <w:rPr>
                      <w:iCs/>
                      <w:sz w:val="22"/>
                      <w:szCs w:val="22"/>
                    </w:rPr>
                  </w:pPr>
                  <w:r>
                    <w:rPr>
                      <w:sz w:val="22"/>
                      <w:szCs w:val="22"/>
                    </w:rPr>
                    <w:t xml:space="preserve">Įgyvendintų privalomų matomumo ir informavimo priemonių apie ES fondų investicijų veiklas fiksuotoji suma, antrojo rinkinio FS be PVM  </w:t>
                  </w:r>
                </w:p>
              </w:tc>
              <w:tc>
                <w:tcPr>
                  <w:tcW w:w="4358" w:type="dxa"/>
                  <w:vMerge w:val="restart"/>
                  <w:tcBorders>
                    <w:top w:val="single" w:sz="8" w:space="0" w:color="auto"/>
                    <w:left w:val="single" w:sz="8" w:space="0" w:color="auto"/>
                    <w:right w:val="single" w:sz="8" w:space="0" w:color="auto"/>
                  </w:tcBorders>
                </w:tcPr>
                <w:p w14:paraId="4A284D5D" w14:textId="77777777" w:rsidR="001132E0" w:rsidRDefault="00B33655">
                  <w:pPr>
                    <w:jc w:val="both"/>
                    <w:rPr>
                      <w:sz w:val="22"/>
                      <w:szCs w:val="22"/>
                    </w:rPr>
                  </w:pPr>
                  <w:r>
                    <w:rPr>
                      <w:sz w:val="22"/>
                      <w:szCs w:val="22"/>
                    </w:rPr>
                    <w:t>1) Aktyvios galiojančios nuorodos į interneto svetainę, jei tokia yra, ir socialinės žiniasklaidos svetaines;</w:t>
                  </w:r>
                </w:p>
                <w:p w14:paraId="072CC327" w14:textId="77777777" w:rsidR="001132E0" w:rsidRDefault="00B33655">
                  <w:pPr>
                    <w:jc w:val="both"/>
                    <w:rPr>
                      <w:sz w:val="22"/>
                      <w:szCs w:val="22"/>
                    </w:rPr>
                  </w:pPr>
                  <w:r>
                    <w:rPr>
                      <w:sz w:val="22"/>
                      <w:szCs w:val="22"/>
                    </w:rPr>
                    <w:t>2) iškabintos ilgalaikės lentelės ar informacinės lentos su ES emblema  nuotrauka (-os);</w:t>
                  </w:r>
                </w:p>
                <w:p w14:paraId="4373A12B" w14:textId="77777777" w:rsidR="001132E0" w:rsidRDefault="00B33655">
                  <w:pPr>
                    <w:jc w:val="both"/>
                    <w:rPr>
                      <w:sz w:val="22"/>
                      <w:szCs w:val="22"/>
                    </w:rPr>
                  </w:pPr>
                  <w:r>
                    <w:rPr>
                      <w:sz w:val="22"/>
                      <w:szCs w:val="22"/>
                    </w:rPr>
                    <w:t>3) dokumentų ir komunikacinės medžiagos kopijos (tinka ir ekrano vaizdo kopijos) arba originalūs pavyzdžiai (pakankamos jų elektroninės versijos arba ekrano vaizdo kopijos), kuriuose gerai matomai pateiktas pareiškimas apie gautą fondų paramą.</w:t>
                  </w:r>
                </w:p>
                <w:p w14:paraId="40C68CA4" w14:textId="4882BB63" w:rsidR="001132E0" w:rsidRDefault="00B33655">
                  <w:pPr>
                    <w:jc w:val="both"/>
                    <w:rPr>
                      <w:sz w:val="22"/>
                      <w:szCs w:val="22"/>
                    </w:rPr>
                  </w:pPr>
                  <w:r>
                    <w:rPr>
                      <w:sz w:val="22"/>
                      <w:szCs w:val="22"/>
                    </w:rPr>
                    <w:t>Fiksuotąją sumą sudaro privalomų matomumo ir informavimo priemonių rinkinio išlaidos, kai:</w:t>
                  </w:r>
                </w:p>
                <w:p w14:paraId="1C0E57E2" w14:textId="77777777" w:rsidR="001132E0" w:rsidRDefault="00B33655">
                  <w:pPr>
                    <w:jc w:val="both"/>
                    <w:rPr>
                      <w:sz w:val="22"/>
                      <w:szCs w:val="22"/>
                    </w:rPr>
                  </w:pPr>
                  <w:r>
                    <w:rPr>
                      <w:sz w:val="22"/>
                      <w:szCs w:val="22"/>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6D4E3D95" w14:textId="77777777" w:rsidR="001132E0" w:rsidRDefault="00B33655">
                  <w:pPr>
                    <w:jc w:val="both"/>
                    <w:rPr>
                      <w:sz w:val="22"/>
                      <w:szCs w:val="22"/>
                    </w:rPr>
                  </w:pPr>
                  <w:r>
                    <w:rPr>
                      <w:sz w:val="22"/>
                      <w:szCs w:val="22"/>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6D9D7E14" w14:textId="77777777" w:rsidR="001132E0" w:rsidRDefault="00B33655">
                  <w:pPr>
                    <w:jc w:val="both"/>
                    <w:rPr>
                      <w:sz w:val="22"/>
                      <w:szCs w:val="22"/>
                    </w:rPr>
                  </w:pPr>
                  <w:r>
                    <w:rPr>
                      <w:sz w:val="22"/>
                      <w:szCs w:val="22"/>
                    </w:rPr>
                    <w:t>c) visuomenei arba dalyviams skirtuose dokumentuose ir komunikacijos medžiagoje, susijusioje su veiksmo įgyvendinimu, gerai matomai pateiktas pareiškimas, kuriame akcentuojama gaunama ES parama.</w:t>
                  </w:r>
                </w:p>
                <w:p w14:paraId="3C53986F" w14:textId="5B4764E4" w:rsidR="001132E0" w:rsidRDefault="001132E0">
                  <w:pPr>
                    <w:jc w:val="both"/>
                    <w:rPr>
                      <w:sz w:val="22"/>
                      <w:szCs w:val="22"/>
                    </w:rPr>
                  </w:pPr>
                </w:p>
              </w:tc>
            </w:tr>
            <w:tr w:rsidR="001132E0" w14:paraId="2183074D" w14:textId="77777777">
              <w:trPr>
                <w:gridAfter w:val="1"/>
                <w:wAfter w:w="236" w:type="dxa"/>
                <w:jc w:val="center"/>
              </w:trPr>
              <w:tc>
                <w:tcPr>
                  <w:tcW w:w="2685" w:type="dxa"/>
                  <w:tcBorders>
                    <w:top w:val="single" w:sz="8" w:space="0" w:color="auto"/>
                    <w:left w:val="single" w:sz="8" w:space="0" w:color="auto"/>
                    <w:bottom w:val="single" w:sz="8" w:space="0" w:color="auto"/>
                    <w:right w:val="single" w:sz="8" w:space="0" w:color="auto"/>
                  </w:tcBorders>
                  <w:vAlign w:val="center"/>
                </w:tcPr>
                <w:p w14:paraId="46F94F30" w14:textId="04E76657" w:rsidR="001132E0" w:rsidRDefault="00B33655">
                  <w:pPr>
                    <w:jc w:val="both"/>
                    <w:rPr>
                      <w:color w:val="000000"/>
                      <w:sz w:val="22"/>
                      <w:szCs w:val="22"/>
                    </w:rPr>
                  </w:pPr>
                  <w:r>
                    <w:rPr>
                      <w:color w:val="000000"/>
                      <w:sz w:val="22"/>
                      <w:szCs w:val="22"/>
                    </w:rPr>
                    <w:t xml:space="preserve">Informavimo apie projektą išlaidos </w:t>
                  </w:r>
                </w:p>
              </w:tc>
              <w:tc>
                <w:tcPr>
                  <w:tcW w:w="2112" w:type="dxa"/>
                  <w:tcBorders>
                    <w:top w:val="single" w:sz="8" w:space="0" w:color="auto"/>
                    <w:left w:val="single" w:sz="8" w:space="0" w:color="auto"/>
                    <w:bottom w:val="single" w:sz="8" w:space="0" w:color="auto"/>
                    <w:right w:val="single" w:sz="8" w:space="0" w:color="auto"/>
                  </w:tcBorders>
                  <w:vAlign w:val="center"/>
                </w:tcPr>
                <w:p w14:paraId="655FC5EB" w14:textId="5E2AF4DD" w:rsidR="001132E0" w:rsidRDefault="00B33655">
                  <w:pPr>
                    <w:jc w:val="center"/>
                    <w:rPr>
                      <w:sz w:val="22"/>
                      <w:szCs w:val="22"/>
                      <w:lang w:eastAsia="lt-LT"/>
                    </w:rPr>
                  </w:pPr>
                  <w:r>
                    <w:rPr>
                      <w:sz w:val="22"/>
                      <w:szCs w:val="22"/>
                      <w:lang w:eastAsia="lt-LT"/>
                    </w:rPr>
                    <w:t>FS-01-04</w:t>
                  </w:r>
                </w:p>
              </w:tc>
              <w:tc>
                <w:tcPr>
                  <w:tcW w:w="1973" w:type="dxa"/>
                  <w:tcBorders>
                    <w:top w:val="single" w:sz="8" w:space="0" w:color="auto"/>
                    <w:left w:val="single" w:sz="8" w:space="0" w:color="auto"/>
                    <w:bottom w:val="single" w:sz="8" w:space="0" w:color="auto"/>
                    <w:right w:val="single" w:sz="8" w:space="0" w:color="auto"/>
                  </w:tcBorders>
                  <w:vAlign w:val="center"/>
                </w:tcPr>
                <w:p w14:paraId="2638AE47" w14:textId="7514C893" w:rsidR="001132E0" w:rsidRDefault="00B33655">
                  <w:pPr>
                    <w:jc w:val="center"/>
                    <w:rPr>
                      <w:sz w:val="22"/>
                      <w:szCs w:val="22"/>
                    </w:rPr>
                  </w:pPr>
                  <w:r>
                    <w:rPr>
                      <w:sz w:val="22"/>
                      <w:szCs w:val="22"/>
                    </w:rPr>
                    <w:t>02</w:t>
                  </w:r>
                </w:p>
              </w:tc>
              <w:tc>
                <w:tcPr>
                  <w:tcW w:w="3763" w:type="dxa"/>
                  <w:tcBorders>
                    <w:top w:val="single" w:sz="8" w:space="0" w:color="auto"/>
                    <w:left w:val="single" w:sz="8" w:space="0" w:color="auto"/>
                    <w:bottom w:val="single" w:sz="8" w:space="0" w:color="auto"/>
                    <w:right w:val="single" w:sz="8" w:space="0" w:color="auto"/>
                  </w:tcBorders>
                </w:tcPr>
                <w:p w14:paraId="67828E77" w14:textId="00A450E1" w:rsidR="001132E0" w:rsidRDefault="00B33655">
                  <w:pPr>
                    <w:jc w:val="both"/>
                    <w:rPr>
                      <w:sz w:val="22"/>
                      <w:szCs w:val="22"/>
                    </w:rPr>
                  </w:pPr>
                  <w:r>
                    <w:rPr>
                      <w:sz w:val="22"/>
                      <w:szCs w:val="22"/>
                    </w:rPr>
                    <w:t>Įgyvendintų privalomų matomumo ir informavimo priemonių apie ES fondų investicijų veiklas fiksuotoji suma, antrojo rinkinio FS su PVM</w:t>
                  </w:r>
                </w:p>
              </w:tc>
              <w:tc>
                <w:tcPr>
                  <w:tcW w:w="4358" w:type="dxa"/>
                  <w:vMerge/>
                  <w:tcBorders>
                    <w:left w:val="single" w:sz="8" w:space="0" w:color="auto"/>
                    <w:right w:val="single" w:sz="8" w:space="0" w:color="auto"/>
                  </w:tcBorders>
                </w:tcPr>
                <w:p w14:paraId="16A05FAC" w14:textId="77777777" w:rsidR="001132E0" w:rsidRDefault="001132E0">
                  <w:pPr>
                    <w:jc w:val="both"/>
                    <w:rPr>
                      <w:sz w:val="22"/>
                      <w:szCs w:val="22"/>
                    </w:rPr>
                  </w:pPr>
                </w:p>
              </w:tc>
            </w:tr>
            <w:tr w:rsidR="001132E0" w14:paraId="653D789C" w14:textId="77777777">
              <w:trPr>
                <w:gridAfter w:val="1"/>
                <w:wAfter w:w="236" w:type="dxa"/>
                <w:jc w:val="center"/>
              </w:trPr>
              <w:tc>
                <w:tcPr>
                  <w:tcW w:w="2685" w:type="dxa"/>
                  <w:tcBorders>
                    <w:top w:val="single" w:sz="8" w:space="0" w:color="auto"/>
                    <w:left w:val="single" w:sz="8" w:space="0" w:color="auto"/>
                    <w:bottom w:val="single" w:sz="8" w:space="0" w:color="auto"/>
                    <w:right w:val="single" w:sz="8" w:space="0" w:color="auto"/>
                  </w:tcBorders>
                  <w:vAlign w:val="center"/>
                </w:tcPr>
                <w:p w14:paraId="25F9AAF1" w14:textId="77777777" w:rsidR="001132E0" w:rsidRDefault="00B33655">
                  <w:pPr>
                    <w:jc w:val="both"/>
                    <w:rPr>
                      <w:color w:val="000000"/>
                      <w:sz w:val="22"/>
                      <w:szCs w:val="22"/>
                    </w:rPr>
                  </w:pPr>
                  <w:r>
                    <w:rPr>
                      <w:color w:val="000000"/>
                      <w:sz w:val="22"/>
                      <w:szCs w:val="22"/>
                    </w:rPr>
                    <w:t>Projektą vykdančio personalo darbo užmokesčio išlaidų dalis per mėnesį, skirta kasmetinėms atostogoms (8,63 proc.)</w:t>
                  </w:r>
                </w:p>
                <w:p w14:paraId="4FEDA69F" w14:textId="350D9067" w:rsidR="001132E0" w:rsidRDefault="001132E0">
                  <w:pPr>
                    <w:ind w:firstLineChars="200" w:firstLine="440"/>
                    <w:jc w:val="both"/>
                    <w:rPr>
                      <w:color w:val="000000"/>
                      <w:sz w:val="22"/>
                      <w:szCs w:val="22"/>
                    </w:rPr>
                  </w:pPr>
                </w:p>
              </w:tc>
              <w:tc>
                <w:tcPr>
                  <w:tcW w:w="2112" w:type="dxa"/>
                  <w:tcBorders>
                    <w:top w:val="single" w:sz="4" w:space="0" w:color="auto"/>
                    <w:left w:val="single" w:sz="4" w:space="0" w:color="auto"/>
                    <w:bottom w:val="single" w:sz="4" w:space="0" w:color="auto"/>
                    <w:right w:val="single" w:sz="4" w:space="0" w:color="auto"/>
                  </w:tcBorders>
                  <w:vAlign w:val="center"/>
                </w:tcPr>
                <w:p w14:paraId="6B1DF48E" w14:textId="4D25CDC7" w:rsidR="001132E0" w:rsidRDefault="00B33655">
                  <w:pPr>
                    <w:jc w:val="center"/>
                    <w:rPr>
                      <w:sz w:val="22"/>
                      <w:szCs w:val="22"/>
                      <w:lang w:eastAsia="lt-LT"/>
                    </w:rPr>
                  </w:pPr>
                  <w:r>
                    <w:rPr>
                      <w:sz w:val="22"/>
                      <w:szCs w:val="22"/>
                    </w:rPr>
                    <w:t>FN-05-01</w:t>
                  </w:r>
                </w:p>
              </w:tc>
              <w:tc>
                <w:tcPr>
                  <w:tcW w:w="1973" w:type="dxa"/>
                  <w:tcBorders>
                    <w:top w:val="single" w:sz="4" w:space="0" w:color="auto"/>
                    <w:left w:val="single" w:sz="4" w:space="0" w:color="auto"/>
                    <w:bottom w:val="single" w:sz="4" w:space="0" w:color="auto"/>
                    <w:right w:val="single" w:sz="4" w:space="0" w:color="auto"/>
                  </w:tcBorders>
                  <w:vAlign w:val="center"/>
                </w:tcPr>
                <w:p w14:paraId="773BE0C5" w14:textId="68D3BE9B" w:rsidR="001132E0" w:rsidRDefault="00B33655">
                  <w:pPr>
                    <w:jc w:val="center"/>
                    <w:rPr>
                      <w:sz w:val="22"/>
                      <w:szCs w:val="22"/>
                    </w:rPr>
                  </w:pPr>
                  <w:r>
                    <w:rPr>
                      <w:sz w:val="22"/>
                      <w:szCs w:val="22"/>
                    </w:rPr>
                    <w:t>01</w:t>
                  </w:r>
                </w:p>
              </w:tc>
              <w:tc>
                <w:tcPr>
                  <w:tcW w:w="3763" w:type="dxa"/>
                  <w:tcBorders>
                    <w:top w:val="single" w:sz="4" w:space="0" w:color="auto"/>
                    <w:left w:val="single" w:sz="4" w:space="0" w:color="auto"/>
                    <w:bottom w:val="single" w:sz="4" w:space="0" w:color="auto"/>
                    <w:right w:val="single" w:sz="4" w:space="0" w:color="auto"/>
                  </w:tcBorders>
                  <w:vAlign w:val="center"/>
                </w:tcPr>
                <w:p w14:paraId="3E2064A5" w14:textId="77777777" w:rsidR="001132E0" w:rsidRDefault="00B33655">
                  <w:pPr>
                    <w:jc w:val="both"/>
                    <w:rPr>
                      <w:sz w:val="22"/>
                      <w:szCs w:val="22"/>
                    </w:rPr>
                  </w:pPr>
                  <w:r>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14:paraId="4F2AE911" w14:textId="69CACE05" w:rsidR="001132E0" w:rsidRDefault="00B33655">
                  <w:pPr>
                    <w:jc w:val="both"/>
                    <w:rPr>
                      <w:sz w:val="22"/>
                      <w:szCs w:val="22"/>
                    </w:rPr>
                  </w:pPr>
                  <w:r>
                    <w:rPr>
                      <w:sz w:val="22"/>
                      <w:szCs w:val="22"/>
                    </w:rPr>
                    <w:t>Fiksuotoji norma, taikoma, kai priklauso 20 d. d. (jeigu dirbama 5 d. d. per savaitę) arba 24 d. d. (jeigu dirbama 6 d. d. per savaitę) kasmetinių atostogų.</w:t>
                  </w:r>
                </w:p>
              </w:tc>
              <w:tc>
                <w:tcPr>
                  <w:tcW w:w="4358" w:type="dxa"/>
                  <w:vMerge w:val="restart"/>
                  <w:tcBorders>
                    <w:top w:val="single" w:sz="4" w:space="0" w:color="auto"/>
                    <w:left w:val="single" w:sz="4" w:space="0" w:color="auto"/>
                    <w:right w:val="single" w:sz="4" w:space="0" w:color="auto"/>
                  </w:tcBorders>
                  <w:vAlign w:val="center"/>
                </w:tcPr>
                <w:p w14:paraId="7F5AA8E3" w14:textId="77777777" w:rsidR="001132E0" w:rsidRDefault="00B33655">
                  <w:pPr>
                    <w:jc w:val="both"/>
                    <w:rPr>
                      <w:sz w:val="22"/>
                      <w:szCs w:val="22"/>
                    </w:rPr>
                  </w:pPr>
                  <w:r>
                    <w:rPr>
                      <w:sz w:val="22"/>
                      <w:szCs w:val="22"/>
                    </w:rPr>
                    <w:t>Pagrindžiantys dokumentai:</w:t>
                  </w:r>
                </w:p>
                <w:p w14:paraId="3C3C02A0" w14:textId="3B9919E0" w:rsidR="001132E0" w:rsidRDefault="00B33655">
                  <w:pPr>
                    <w:jc w:val="both"/>
                    <w:rPr>
                      <w:sz w:val="22"/>
                      <w:szCs w:val="22"/>
                    </w:rPr>
                  </w:pPr>
                  <w:r>
                    <w:rPr>
                      <w:sz w:val="22"/>
                      <w:szCs w:val="22"/>
                    </w:rPr>
                    <w:t>1. papildomų ir / ar pailgintų  kasmetinių atostogų trukmę pagrindžiantys dokumentai (įstaigos vadovo įsakymas ar darbuotojų prašymas, ar kt. dokumentai, nustatantys atostogų trukmę);</w:t>
                  </w:r>
                  <w:r>
                    <w:rPr>
                      <w:sz w:val="22"/>
                      <w:szCs w:val="22"/>
                    </w:rPr>
                    <w:br/>
                    <w:t>2. dokumentai, kuriuose nustatytas darbuotojui priklausantis darbo savaitės režimas (savaitės darbo dienų skaičius);</w:t>
                  </w:r>
                  <w:r>
                    <w:rPr>
                      <w:sz w:val="22"/>
                      <w:szCs w:val="22"/>
                    </w:rPr>
                    <w:br/>
                    <w:t xml:space="preserve">3. pažyma apie priskaičiuotą darbo užmokestį ir kasmetinių atostogų išlaidas taikant fiksuotąją normą. </w:t>
                  </w:r>
                </w:p>
              </w:tc>
            </w:tr>
            <w:tr w:rsidR="001132E0" w14:paraId="0F29C16A" w14:textId="058C4ED1">
              <w:trPr>
                <w:jc w:val="center"/>
              </w:trPr>
              <w:tc>
                <w:tcPr>
                  <w:tcW w:w="2685" w:type="dxa"/>
                  <w:tcBorders>
                    <w:top w:val="single" w:sz="8" w:space="0" w:color="auto"/>
                    <w:left w:val="single" w:sz="8" w:space="0" w:color="auto"/>
                    <w:bottom w:val="single" w:sz="8" w:space="0" w:color="auto"/>
                    <w:right w:val="single" w:sz="8" w:space="0" w:color="auto"/>
                  </w:tcBorders>
                  <w:vAlign w:val="center"/>
                </w:tcPr>
                <w:p w14:paraId="761F945F" w14:textId="77777777" w:rsidR="001132E0" w:rsidRDefault="00B33655">
                  <w:pPr>
                    <w:jc w:val="both"/>
                    <w:rPr>
                      <w:color w:val="000000"/>
                      <w:sz w:val="22"/>
                      <w:szCs w:val="22"/>
                    </w:rPr>
                  </w:pPr>
                  <w:r>
                    <w:rPr>
                      <w:color w:val="000000"/>
                      <w:sz w:val="22"/>
                      <w:szCs w:val="22"/>
                    </w:rPr>
                    <w:t>Projektą vykdančio personalo darbo užmokesčio išlaidų dalis per mėnesį, skirta kasmetinėms atostogoms (10,44 proc.)</w:t>
                  </w:r>
                </w:p>
                <w:p w14:paraId="37D6D914" w14:textId="31E6D17C" w:rsidR="001132E0" w:rsidRDefault="001132E0">
                  <w:pPr>
                    <w:ind w:firstLineChars="200" w:firstLine="440"/>
                    <w:jc w:val="both"/>
                    <w:rPr>
                      <w:color w:val="000000"/>
                      <w:sz w:val="22"/>
                      <w:szCs w:val="22"/>
                    </w:rPr>
                  </w:pPr>
                </w:p>
              </w:tc>
              <w:tc>
                <w:tcPr>
                  <w:tcW w:w="2112" w:type="dxa"/>
                  <w:tcBorders>
                    <w:top w:val="nil"/>
                    <w:left w:val="single" w:sz="4" w:space="0" w:color="auto"/>
                    <w:bottom w:val="single" w:sz="4" w:space="0" w:color="auto"/>
                    <w:right w:val="single" w:sz="4" w:space="0" w:color="auto"/>
                  </w:tcBorders>
                  <w:vAlign w:val="center"/>
                </w:tcPr>
                <w:p w14:paraId="4852AC02" w14:textId="3E542834" w:rsidR="001132E0" w:rsidRDefault="00B33655">
                  <w:pPr>
                    <w:jc w:val="center"/>
                    <w:rPr>
                      <w:sz w:val="22"/>
                      <w:szCs w:val="22"/>
                      <w:lang w:eastAsia="lt-LT"/>
                    </w:rPr>
                  </w:pPr>
                  <w:r>
                    <w:rPr>
                      <w:sz w:val="22"/>
                      <w:szCs w:val="22"/>
                    </w:rPr>
                    <w:t>FN-05-02</w:t>
                  </w:r>
                </w:p>
              </w:tc>
              <w:tc>
                <w:tcPr>
                  <w:tcW w:w="1973" w:type="dxa"/>
                  <w:tcBorders>
                    <w:top w:val="nil"/>
                    <w:left w:val="single" w:sz="4" w:space="0" w:color="auto"/>
                    <w:bottom w:val="single" w:sz="4" w:space="0" w:color="auto"/>
                    <w:right w:val="single" w:sz="4" w:space="0" w:color="auto"/>
                  </w:tcBorders>
                  <w:vAlign w:val="center"/>
                </w:tcPr>
                <w:p w14:paraId="269D971A" w14:textId="1E443486" w:rsidR="001132E0" w:rsidRDefault="00B33655">
                  <w:pPr>
                    <w:jc w:val="center"/>
                    <w:rPr>
                      <w:sz w:val="22"/>
                      <w:szCs w:val="22"/>
                    </w:rPr>
                  </w:pPr>
                  <w:r>
                    <w:rPr>
                      <w:sz w:val="22"/>
                      <w:szCs w:val="22"/>
                    </w:rPr>
                    <w:t>01</w:t>
                  </w:r>
                </w:p>
              </w:tc>
              <w:tc>
                <w:tcPr>
                  <w:tcW w:w="3763" w:type="dxa"/>
                  <w:tcBorders>
                    <w:top w:val="nil"/>
                    <w:left w:val="single" w:sz="4" w:space="0" w:color="auto"/>
                    <w:bottom w:val="single" w:sz="4" w:space="0" w:color="auto"/>
                    <w:right w:val="single" w:sz="8" w:space="0" w:color="auto"/>
                  </w:tcBorders>
                  <w:vAlign w:val="center"/>
                </w:tcPr>
                <w:p w14:paraId="5DD420F0" w14:textId="7A5BDEA4" w:rsidR="001132E0" w:rsidRDefault="00B33655">
                  <w:pPr>
                    <w:jc w:val="both"/>
                    <w:rPr>
                      <w:sz w:val="22"/>
                      <w:szCs w:val="22"/>
                    </w:rPr>
                  </w:pPr>
                  <w:r>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14:paraId="06BA9A23" w14:textId="7334CE23" w:rsidR="001132E0" w:rsidRDefault="00B33655">
                  <w:pPr>
                    <w:jc w:val="both"/>
                    <w:rPr>
                      <w:sz w:val="22"/>
                      <w:szCs w:val="22"/>
                    </w:rPr>
                  </w:pPr>
                  <w:r>
                    <w:rPr>
                      <w:sz w:val="22"/>
                      <w:szCs w:val="22"/>
                    </w:rPr>
                    <w:t>Fiksuotoji norma, taikoma, kai priklauso nuo 21 iki 25 d. d. (jeigu dirbama 5 d. d. per savaitę) arba nuo 25 iki 30 d. d. (jeigu dirbama 6 d. d. per savaitę) kasmetinių atostogų.</w:t>
                  </w:r>
                </w:p>
              </w:tc>
              <w:tc>
                <w:tcPr>
                  <w:tcW w:w="4358" w:type="dxa"/>
                  <w:vMerge/>
                  <w:tcBorders>
                    <w:left w:val="single" w:sz="4" w:space="0" w:color="auto"/>
                    <w:right w:val="single" w:sz="4" w:space="0" w:color="auto"/>
                  </w:tcBorders>
                  <w:vAlign w:val="center"/>
                </w:tcPr>
                <w:p w14:paraId="3FB7F473" w14:textId="77777777" w:rsidR="001132E0" w:rsidRDefault="001132E0">
                  <w:pPr>
                    <w:jc w:val="both"/>
                    <w:rPr>
                      <w:sz w:val="22"/>
                      <w:szCs w:val="22"/>
                    </w:rPr>
                  </w:pPr>
                </w:p>
              </w:tc>
              <w:tc>
                <w:tcPr>
                  <w:tcW w:w="236" w:type="dxa"/>
                  <w:tcBorders>
                    <w:top w:val="nil"/>
                    <w:left w:val="nil"/>
                    <w:bottom w:val="nil"/>
                    <w:right w:val="nil"/>
                  </w:tcBorders>
                  <w:vAlign w:val="bottom"/>
                </w:tcPr>
                <w:p w14:paraId="72B85DA6" w14:textId="77777777" w:rsidR="001132E0" w:rsidRDefault="001132E0">
                  <w:pPr>
                    <w:rPr>
                      <w:sz w:val="22"/>
                      <w:szCs w:val="22"/>
                    </w:rPr>
                  </w:pPr>
                </w:p>
              </w:tc>
            </w:tr>
            <w:tr w:rsidR="001132E0" w14:paraId="28C344E4" w14:textId="25ED8C36">
              <w:trPr>
                <w:jc w:val="center"/>
              </w:trPr>
              <w:tc>
                <w:tcPr>
                  <w:tcW w:w="2685" w:type="dxa"/>
                  <w:tcBorders>
                    <w:top w:val="single" w:sz="8" w:space="0" w:color="auto"/>
                    <w:left w:val="single" w:sz="8" w:space="0" w:color="auto"/>
                    <w:bottom w:val="single" w:sz="8" w:space="0" w:color="auto"/>
                    <w:right w:val="single" w:sz="8" w:space="0" w:color="auto"/>
                  </w:tcBorders>
                  <w:vAlign w:val="center"/>
                </w:tcPr>
                <w:p w14:paraId="348C02E3" w14:textId="77777777" w:rsidR="001132E0" w:rsidRDefault="00B33655">
                  <w:pPr>
                    <w:jc w:val="both"/>
                    <w:rPr>
                      <w:color w:val="000000"/>
                      <w:sz w:val="22"/>
                      <w:szCs w:val="22"/>
                    </w:rPr>
                  </w:pPr>
                  <w:r>
                    <w:rPr>
                      <w:color w:val="000000"/>
                      <w:sz w:val="22"/>
                      <w:szCs w:val="22"/>
                    </w:rPr>
                    <w:t>Projektą vykdančio personalo darbo užmokesčio išlaidų dalis per mėnesį, skirta kasmetinėms atostogoms (12,35 proc.)</w:t>
                  </w:r>
                </w:p>
                <w:p w14:paraId="179E0A65" w14:textId="1611839B" w:rsidR="001132E0" w:rsidRDefault="001132E0">
                  <w:pPr>
                    <w:ind w:firstLineChars="200" w:firstLine="440"/>
                    <w:jc w:val="both"/>
                    <w:rPr>
                      <w:color w:val="000000"/>
                      <w:sz w:val="22"/>
                      <w:szCs w:val="22"/>
                    </w:rPr>
                  </w:pPr>
                </w:p>
              </w:tc>
              <w:tc>
                <w:tcPr>
                  <w:tcW w:w="2112" w:type="dxa"/>
                  <w:tcBorders>
                    <w:top w:val="nil"/>
                    <w:left w:val="single" w:sz="4" w:space="0" w:color="auto"/>
                    <w:bottom w:val="single" w:sz="4" w:space="0" w:color="auto"/>
                    <w:right w:val="single" w:sz="4" w:space="0" w:color="auto"/>
                  </w:tcBorders>
                  <w:vAlign w:val="center"/>
                </w:tcPr>
                <w:p w14:paraId="2501758C" w14:textId="3D9735B9" w:rsidR="001132E0" w:rsidRDefault="00B33655">
                  <w:pPr>
                    <w:jc w:val="center"/>
                    <w:rPr>
                      <w:sz w:val="22"/>
                      <w:szCs w:val="22"/>
                      <w:lang w:eastAsia="lt-LT"/>
                    </w:rPr>
                  </w:pPr>
                  <w:r>
                    <w:rPr>
                      <w:sz w:val="22"/>
                      <w:szCs w:val="22"/>
                    </w:rPr>
                    <w:t>FN-05-03</w:t>
                  </w:r>
                </w:p>
              </w:tc>
              <w:tc>
                <w:tcPr>
                  <w:tcW w:w="1973" w:type="dxa"/>
                  <w:tcBorders>
                    <w:top w:val="nil"/>
                    <w:left w:val="single" w:sz="4" w:space="0" w:color="auto"/>
                    <w:bottom w:val="single" w:sz="4" w:space="0" w:color="auto"/>
                    <w:right w:val="single" w:sz="4" w:space="0" w:color="auto"/>
                  </w:tcBorders>
                  <w:vAlign w:val="center"/>
                </w:tcPr>
                <w:p w14:paraId="44073FD2" w14:textId="399FC7F4" w:rsidR="001132E0" w:rsidRDefault="00B33655">
                  <w:pPr>
                    <w:jc w:val="center"/>
                    <w:rPr>
                      <w:sz w:val="22"/>
                      <w:szCs w:val="22"/>
                    </w:rPr>
                  </w:pPr>
                  <w:r>
                    <w:rPr>
                      <w:sz w:val="22"/>
                      <w:szCs w:val="22"/>
                    </w:rPr>
                    <w:t>01</w:t>
                  </w:r>
                </w:p>
              </w:tc>
              <w:tc>
                <w:tcPr>
                  <w:tcW w:w="3763" w:type="dxa"/>
                  <w:tcBorders>
                    <w:top w:val="nil"/>
                    <w:left w:val="single" w:sz="4" w:space="0" w:color="auto"/>
                    <w:bottom w:val="single" w:sz="4" w:space="0" w:color="auto"/>
                    <w:right w:val="single" w:sz="4" w:space="0" w:color="auto"/>
                  </w:tcBorders>
                  <w:vAlign w:val="bottom"/>
                </w:tcPr>
                <w:p w14:paraId="132E285D" w14:textId="6CCF3DD7" w:rsidR="001132E0" w:rsidRDefault="00B33655">
                  <w:pPr>
                    <w:jc w:val="both"/>
                    <w:rPr>
                      <w:sz w:val="22"/>
                      <w:szCs w:val="22"/>
                    </w:rPr>
                  </w:pPr>
                  <w:r>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14:paraId="65282B76" w14:textId="4562D1A4" w:rsidR="001132E0" w:rsidRDefault="00B33655">
                  <w:pPr>
                    <w:jc w:val="both"/>
                    <w:rPr>
                      <w:sz w:val="22"/>
                      <w:szCs w:val="22"/>
                    </w:rPr>
                  </w:pPr>
                  <w:r>
                    <w:rPr>
                      <w:sz w:val="22"/>
                      <w:szCs w:val="22"/>
                    </w:rPr>
                    <w:t>Fiksuotoji norma, taikoma, kai priklauso nuo 26 iki 30 d. d. (jeigu dirbama 5 d. d. per savaitę) arba nuo 31 iki 36 d. d. (jeigu dirbama 6 d. d. per savaitę) kasmetinių atostogų.</w:t>
                  </w:r>
                </w:p>
              </w:tc>
              <w:tc>
                <w:tcPr>
                  <w:tcW w:w="4358" w:type="dxa"/>
                  <w:vMerge/>
                  <w:tcBorders>
                    <w:left w:val="single" w:sz="4" w:space="0" w:color="auto"/>
                    <w:right w:val="single" w:sz="4" w:space="0" w:color="auto"/>
                  </w:tcBorders>
                  <w:vAlign w:val="center"/>
                </w:tcPr>
                <w:p w14:paraId="51183558" w14:textId="77777777" w:rsidR="001132E0" w:rsidRDefault="001132E0">
                  <w:pPr>
                    <w:jc w:val="both"/>
                    <w:rPr>
                      <w:sz w:val="22"/>
                      <w:szCs w:val="22"/>
                    </w:rPr>
                  </w:pPr>
                </w:p>
              </w:tc>
              <w:tc>
                <w:tcPr>
                  <w:tcW w:w="236" w:type="dxa"/>
                  <w:tcBorders>
                    <w:top w:val="nil"/>
                    <w:left w:val="nil"/>
                    <w:bottom w:val="nil"/>
                    <w:right w:val="nil"/>
                  </w:tcBorders>
                  <w:vAlign w:val="bottom"/>
                </w:tcPr>
                <w:p w14:paraId="2528C477" w14:textId="77777777" w:rsidR="001132E0" w:rsidRDefault="001132E0">
                  <w:pPr>
                    <w:rPr>
                      <w:sz w:val="22"/>
                      <w:szCs w:val="22"/>
                    </w:rPr>
                  </w:pPr>
                </w:p>
              </w:tc>
            </w:tr>
            <w:tr w:rsidR="001132E0" w14:paraId="1AE9D506" w14:textId="2805E2B2">
              <w:trPr>
                <w:jc w:val="center"/>
              </w:trPr>
              <w:tc>
                <w:tcPr>
                  <w:tcW w:w="2685" w:type="dxa"/>
                  <w:tcBorders>
                    <w:top w:val="single" w:sz="8" w:space="0" w:color="auto"/>
                    <w:left w:val="single" w:sz="8" w:space="0" w:color="auto"/>
                    <w:bottom w:val="single" w:sz="8" w:space="0" w:color="auto"/>
                    <w:right w:val="single" w:sz="8" w:space="0" w:color="auto"/>
                  </w:tcBorders>
                  <w:vAlign w:val="center"/>
                </w:tcPr>
                <w:p w14:paraId="0DCB3664" w14:textId="77777777" w:rsidR="001132E0" w:rsidRDefault="00B33655">
                  <w:pPr>
                    <w:jc w:val="both"/>
                    <w:rPr>
                      <w:color w:val="000000"/>
                      <w:sz w:val="22"/>
                      <w:szCs w:val="22"/>
                    </w:rPr>
                  </w:pPr>
                  <w:r>
                    <w:rPr>
                      <w:color w:val="000000"/>
                      <w:sz w:val="22"/>
                      <w:szCs w:val="22"/>
                    </w:rPr>
                    <w:t>Projektą vykdančio personalo darbo užmokesčio išlaidų dalis per mėnesį, skirta kasmetinėms atostogoms (14,99 proc.)</w:t>
                  </w:r>
                </w:p>
                <w:p w14:paraId="5FD8A5C7" w14:textId="47F24D34" w:rsidR="001132E0" w:rsidRDefault="00B33655">
                  <w:pPr>
                    <w:ind w:firstLineChars="200" w:firstLine="440"/>
                    <w:jc w:val="both"/>
                    <w:rPr>
                      <w:color w:val="000000"/>
                      <w:sz w:val="22"/>
                      <w:szCs w:val="22"/>
                    </w:rPr>
                  </w:pPr>
                  <w:r>
                    <w:rPr>
                      <w:color w:val="000000"/>
                      <w:sz w:val="22"/>
                      <w:szCs w:val="22"/>
                    </w:rPr>
                    <w:t>.</w:t>
                  </w:r>
                </w:p>
              </w:tc>
              <w:tc>
                <w:tcPr>
                  <w:tcW w:w="2112" w:type="dxa"/>
                  <w:tcBorders>
                    <w:top w:val="nil"/>
                    <w:left w:val="single" w:sz="4" w:space="0" w:color="auto"/>
                    <w:bottom w:val="single" w:sz="4" w:space="0" w:color="auto"/>
                    <w:right w:val="single" w:sz="4" w:space="0" w:color="auto"/>
                  </w:tcBorders>
                  <w:vAlign w:val="center"/>
                </w:tcPr>
                <w:p w14:paraId="155CB6D6" w14:textId="6CF4C415" w:rsidR="001132E0" w:rsidRDefault="00B33655">
                  <w:pPr>
                    <w:jc w:val="center"/>
                    <w:rPr>
                      <w:sz w:val="22"/>
                      <w:szCs w:val="22"/>
                      <w:lang w:eastAsia="lt-LT"/>
                    </w:rPr>
                  </w:pPr>
                  <w:r>
                    <w:rPr>
                      <w:sz w:val="22"/>
                      <w:szCs w:val="22"/>
                    </w:rPr>
                    <w:t>FN-05-04</w:t>
                  </w:r>
                </w:p>
              </w:tc>
              <w:tc>
                <w:tcPr>
                  <w:tcW w:w="1973" w:type="dxa"/>
                  <w:tcBorders>
                    <w:top w:val="nil"/>
                    <w:left w:val="single" w:sz="4" w:space="0" w:color="auto"/>
                    <w:bottom w:val="single" w:sz="4" w:space="0" w:color="auto"/>
                    <w:right w:val="single" w:sz="4" w:space="0" w:color="auto"/>
                  </w:tcBorders>
                  <w:vAlign w:val="center"/>
                </w:tcPr>
                <w:p w14:paraId="20DEE6AB" w14:textId="41C6BC39" w:rsidR="001132E0" w:rsidRDefault="00B33655">
                  <w:pPr>
                    <w:jc w:val="center"/>
                    <w:rPr>
                      <w:sz w:val="22"/>
                      <w:szCs w:val="22"/>
                    </w:rPr>
                  </w:pPr>
                  <w:r>
                    <w:rPr>
                      <w:sz w:val="22"/>
                      <w:szCs w:val="22"/>
                    </w:rPr>
                    <w:t>01</w:t>
                  </w:r>
                </w:p>
              </w:tc>
              <w:tc>
                <w:tcPr>
                  <w:tcW w:w="3763" w:type="dxa"/>
                  <w:tcBorders>
                    <w:top w:val="nil"/>
                    <w:left w:val="single" w:sz="4" w:space="0" w:color="auto"/>
                    <w:bottom w:val="single" w:sz="4" w:space="0" w:color="auto"/>
                    <w:right w:val="single" w:sz="4" w:space="0" w:color="auto"/>
                  </w:tcBorders>
                  <w:vAlign w:val="bottom"/>
                </w:tcPr>
                <w:p w14:paraId="784340F6" w14:textId="77777777" w:rsidR="001132E0" w:rsidRDefault="00B33655">
                  <w:pPr>
                    <w:jc w:val="both"/>
                    <w:rPr>
                      <w:sz w:val="22"/>
                      <w:szCs w:val="22"/>
                    </w:rPr>
                  </w:pPr>
                  <w:r>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14:paraId="2243E712" w14:textId="660292CE" w:rsidR="001132E0" w:rsidRDefault="00B33655">
                  <w:pPr>
                    <w:jc w:val="both"/>
                    <w:rPr>
                      <w:sz w:val="22"/>
                      <w:szCs w:val="22"/>
                    </w:rPr>
                  </w:pPr>
                  <w:r>
                    <w:rPr>
                      <w:sz w:val="22"/>
                      <w:szCs w:val="22"/>
                    </w:rPr>
                    <w:t>Fiksuotoji norma, taikoma, kai priklauso nuo 31 iki 36 d. d. (jeigu dirbama 5 d. d. per savaitę) arba nuo 37 iki 42 d. d. (jeigu dirbama 6 d. d. per savaitę) kasmetinių atostogų.</w:t>
                  </w:r>
                </w:p>
              </w:tc>
              <w:tc>
                <w:tcPr>
                  <w:tcW w:w="4358" w:type="dxa"/>
                  <w:vMerge/>
                  <w:tcBorders>
                    <w:left w:val="single" w:sz="4" w:space="0" w:color="auto"/>
                    <w:right w:val="single" w:sz="4" w:space="0" w:color="auto"/>
                  </w:tcBorders>
                  <w:vAlign w:val="center"/>
                </w:tcPr>
                <w:p w14:paraId="220452D1" w14:textId="77777777" w:rsidR="001132E0" w:rsidRDefault="001132E0">
                  <w:pPr>
                    <w:jc w:val="both"/>
                    <w:rPr>
                      <w:sz w:val="22"/>
                      <w:szCs w:val="22"/>
                    </w:rPr>
                  </w:pPr>
                </w:p>
              </w:tc>
              <w:tc>
                <w:tcPr>
                  <w:tcW w:w="236" w:type="dxa"/>
                  <w:tcBorders>
                    <w:top w:val="nil"/>
                    <w:left w:val="nil"/>
                    <w:bottom w:val="nil"/>
                    <w:right w:val="nil"/>
                  </w:tcBorders>
                  <w:vAlign w:val="bottom"/>
                </w:tcPr>
                <w:p w14:paraId="04D69BDD" w14:textId="77777777" w:rsidR="001132E0" w:rsidRDefault="001132E0">
                  <w:pPr>
                    <w:rPr>
                      <w:sz w:val="22"/>
                      <w:szCs w:val="22"/>
                    </w:rPr>
                  </w:pPr>
                </w:p>
              </w:tc>
            </w:tr>
            <w:tr w:rsidR="001132E0" w14:paraId="701BA730" w14:textId="38260E8E">
              <w:trPr>
                <w:jc w:val="center"/>
              </w:trPr>
              <w:tc>
                <w:tcPr>
                  <w:tcW w:w="2685" w:type="dxa"/>
                  <w:tcBorders>
                    <w:top w:val="single" w:sz="8" w:space="0" w:color="auto"/>
                    <w:left w:val="single" w:sz="8" w:space="0" w:color="auto"/>
                    <w:bottom w:val="single" w:sz="8" w:space="0" w:color="auto"/>
                    <w:right w:val="single" w:sz="8" w:space="0" w:color="auto"/>
                  </w:tcBorders>
                  <w:vAlign w:val="center"/>
                </w:tcPr>
                <w:p w14:paraId="3588AA8B" w14:textId="77777777" w:rsidR="001132E0" w:rsidRDefault="00B33655">
                  <w:pPr>
                    <w:jc w:val="both"/>
                    <w:rPr>
                      <w:color w:val="000000"/>
                      <w:sz w:val="22"/>
                      <w:szCs w:val="22"/>
                    </w:rPr>
                  </w:pPr>
                  <w:r>
                    <w:rPr>
                      <w:color w:val="000000"/>
                      <w:sz w:val="22"/>
                      <w:szCs w:val="22"/>
                    </w:rPr>
                    <w:t>Projektą vykdančio personalo darbo užmokesčio išlaidų dalis per mėnesį, skirta kasmetinėms atostogoms (17,25 proc.)</w:t>
                  </w:r>
                </w:p>
                <w:p w14:paraId="793009B0" w14:textId="4A9DA34E" w:rsidR="001132E0" w:rsidRDefault="001132E0">
                  <w:pPr>
                    <w:ind w:firstLineChars="200" w:firstLine="440"/>
                    <w:jc w:val="both"/>
                    <w:rPr>
                      <w:color w:val="000000"/>
                      <w:sz w:val="22"/>
                      <w:szCs w:val="22"/>
                    </w:rPr>
                  </w:pPr>
                </w:p>
              </w:tc>
              <w:tc>
                <w:tcPr>
                  <w:tcW w:w="2112" w:type="dxa"/>
                  <w:tcBorders>
                    <w:top w:val="nil"/>
                    <w:left w:val="single" w:sz="4" w:space="0" w:color="auto"/>
                    <w:bottom w:val="single" w:sz="4" w:space="0" w:color="auto"/>
                    <w:right w:val="single" w:sz="4" w:space="0" w:color="auto"/>
                  </w:tcBorders>
                  <w:vAlign w:val="center"/>
                </w:tcPr>
                <w:p w14:paraId="42F0AD3C" w14:textId="05135D95" w:rsidR="001132E0" w:rsidRDefault="00B33655">
                  <w:pPr>
                    <w:jc w:val="center"/>
                    <w:rPr>
                      <w:sz w:val="22"/>
                      <w:szCs w:val="22"/>
                      <w:lang w:eastAsia="lt-LT"/>
                    </w:rPr>
                  </w:pPr>
                  <w:r>
                    <w:rPr>
                      <w:sz w:val="22"/>
                      <w:szCs w:val="22"/>
                    </w:rPr>
                    <w:t>FN-05-05</w:t>
                  </w:r>
                </w:p>
              </w:tc>
              <w:tc>
                <w:tcPr>
                  <w:tcW w:w="1973" w:type="dxa"/>
                  <w:tcBorders>
                    <w:top w:val="nil"/>
                    <w:left w:val="single" w:sz="4" w:space="0" w:color="auto"/>
                    <w:bottom w:val="single" w:sz="4" w:space="0" w:color="auto"/>
                    <w:right w:val="single" w:sz="4" w:space="0" w:color="auto"/>
                  </w:tcBorders>
                  <w:vAlign w:val="center"/>
                </w:tcPr>
                <w:p w14:paraId="2632B0CA" w14:textId="002FB5B8" w:rsidR="001132E0" w:rsidRDefault="00B33655">
                  <w:pPr>
                    <w:jc w:val="center"/>
                    <w:rPr>
                      <w:sz w:val="22"/>
                      <w:szCs w:val="22"/>
                    </w:rPr>
                  </w:pPr>
                  <w:r>
                    <w:rPr>
                      <w:sz w:val="22"/>
                      <w:szCs w:val="22"/>
                    </w:rPr>
                    <w:t>01</w:t>
                  </w:r>
                </w:p>
              </w:tc>
              <w:tc>
                <w:tcPr>
                  <w:tcW w:w="3763" w:type="dxa"/>
                  <w:tcBorders>
                    <w:top w:val="nil"/>
                    <w:left w:val="single" w:sz="4" w:space="0" w:color="auto"/>
                    <w:bottom w:val="single" w:sz="4" w:space="0" w:color="auto"/>
                    <w:right w:val="single" w:sz="4" w:space="0" w:color="auto"/>
                  </w:tcBorders>
                  <w:vAlign w:val="bottom"/>
                </w:tcPr>
                <w:p w14:paraId="09103439" w14:textId="5B477D54" w:rsidR="001132E0" w:rsidRDefault="00B33655">
                  <w:pPr>
                    <w:jc w:val="both"/>
                    <w:rPr>
                      <w:sz w:val="22"/>
                      <w:szCs w:val="22"/>
                    </w:rPr>
                  </w:pPr>
                  <w:r>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14:paraId="01B4EEA2" w14:textId="66ADCFE9" w:rsidR="001132E0" w:rsidRDefault="00B33655">
                  <w:pPr>
                    <w:jc w:val="both"/>
                    <w:rPr>
                      <w:sz w:val="22"/>
                      <w:szCs w:val="22"/>
                    </w:rPr>
                  </w:pPr>
                  <w:r>
                    <w:rPr>
                      <w:sz w:val="22"/>
                      <w:szCs w:val="22"/>
                    </w:rPr>
                    <w:t>Fiksuotoji norma, taikoma, kai priklauso nuo 37 iki 39 d. d. (jeigu dirbama 5 d. d. per savaitę) arba nuo 43 iki 47 d. d. (jeigu dirbama 6 d. d. per savaitę) kasmetinių atostogų.</w:t>
                  </w:r>
                </w:p>
              </w:tc>
              <w:tc>
                <w:tcPr>
                  <w:tcW w:w="4358" w:type="dxa"/>
                  <w:vMerge/>
                  <w:tcBorders>
                    <w:left w:val="single" w:sz="4" w:space="0" w:color="auto"/>
                    <w:right w:val="single" w:sz="4" w:space="0" w:color="auto"/>
                  </w:tcBorders>
                  <w:vAlign w:val="center"/>
                </w:tcPr>
                <w:p w14:paraId="153367A3" w14:textId="77777777" w:rsidR="001132E0" w:rsidRDefault="001132E0">
                  <w:pPr>
                    <w:jc w:val="both"/>
                    <w:rPr>
                      <w:sz w:val="22"/>
                      <w:szCs w:val="22"/>
                    </w:rPr>
                  </w:pPr>
                </w:p>
              </w:tc>
              <w:tc>
                <w:tcPr>
                  <w:tcW w:w="236" w:type="dxa"/>
                  <w:tcBorders>
                    <w:top w:val="nil"/>
                    <w:left w:val="nil"/>
                    <w:bottom w:val="nil"/>
                    <w:right w:val="nil"/>
                  </w:tcBorders>
                  <w:vAlign w:val="bottom"/>
                </w:tcPr>
                <w:p w14:paraId="270929F1" w14:textId="77777777" w:rsidR="001132E0" w:rsidRDefault="001132E0">
                  <w:pPr>
                    <w:rPr>
                      <w:sz w:val="22"/>
                      <w:szCs w:val="22"/>
                    </w:rPr>
                  </w:pPr>
                </w:p>
              </w:tc>
            </w:tr>
            <w:tr w:rsidR="001132E0" w14:paraId="55EFCB75" w14:textId="259AB98D">
              <w:trPr>
                <w:jc w:val="center"/>
              </w:trPr>
              <w:tc>
                <w:tcPr>
                  <w:tcW w:w="2685" w:type="dxa"/>
                  <w:tcBorders>
                    <w:top w:val="single" w:sz="8" w:space="0" w:color="auto"/>
                    <w:left w:val="single" w:sz="8" w:space="0" w:color="auto"/>
                    <w:bottom w:val="single" w:sz="8" w:space="0" w:color="auto"/>
                    <w:right w:val="single" w:sz="8" w:space="0" w:color="auto"/>
                  </w:tcBorders>
                  <w:vAlign w:val="center"/>
                </w:tcPr>
                <w:p w14:paraId="57036A7D" w14:textId="77777777" w:rsidR="001132E0" w:rsidRDefault="00B33655">
                  <w:pPr>
                    <w:jc w:val="both"/>
                    <w:rPr>
                      <w:color w:val="000000"/>
                      <w:sz w:val="22"/>
                      <w:szCs w:val="22"/>
                    </w:rPr>
                  </w:pPr>
                  <w:r>
                    <w:rPr>
                      <w:color w:val="000000"/>
                      <w:sz w:val="22"/>
                      <w:szCs w:val="22"/>
                    </w:rPr>
                    <w:t>Projektą vykdančio personalo darbo užmokesčio išlaidų dalis per mėnesį, skirta kasmetinėms atostogoms (18,89 proc.)</w:t>
                  </w:r>
                </w:p>
                <w:p w14:paraId="6FE9DE83" w14:textId="57778183" w:rsidR="001132E0" w:rsidRDefault="001132E0">
                  <w:pPr>
                    <w:ind w:firstLineChars="200" w:firstLine="440"/>
                    <w:jc w:val="both"/>
                    <w:rPr>
                      <w:color w:val="000000"/>
                      <w:sz w:val="22"/>
                      <w:szCs w:val="22"/>
                    </w:rPr>
                  </w:pPr>
                </w:p>
              </w:tc>
              <w:tc>
                <w:tcPr>
                  <w:tcW w:w="2112" w:type="dxa"/>
                  <w:tcBorders>
                    <w:top w:val="nil"/>
                    <w:left w:val="single" w:sz="4" w:space="0" w:color="auto"/>
                    <w:bottom w:val="single" w:sz="4" w:space="0" w:color="auto"/>
                    <w:right w:val="single" w:sz="4" w:space="0" w:color="auto"/>
                  </w:tcBorders>
                  <w:vAlign w:val="center"/>
                </w:tcPr>
                <w:p w14:paraId="7A0A2E03" w14:textId="52F9CBA9" w:rsidR="001132E0" w:rsidRDefault="00B33655">
                  <w:pPr>
                    <w:jc w:val="center"/>
                    <w:rPr>
                      <w:sz w:val="22"/>
                      <w:szCs w:val="22"/>
                      <w:lang w:eastAsia="lt-LT"/>
                    </w:rPr>
                  </w:pPr>
                  <w:r>
                    <w:rPr>
                      <w:sz w:val="22"/>
                      <w:szCs w:val="22"/>
                    </w:rPr>
                    <w:t>FN-05-06</w:t>
                  </w:r>
                </w:p>
              </w:tc>
              <w:tc>
                <w:tcPr>
                  <w:tcW w:w="1973" w:type="dxa"/>
                  <w:tcBorders>
                    <w:top w:val="nil"/>
                    <w:left w:val="single" w:sz="4" w:space="0" w:color="auto"/>
                    <w:bottom w:val="single" w:sz="4" w:space="0" w:color="auto"/>
                    <w:right w:val="single" w:sz="4" w:space="0" w:color="auto"/>
                  </w:tcBorders>
                  <w:vAlign w:val="center"/>
                </w:tcPr>
                <w:p w14:paraId="739434FA" w14:textId="415B139C" w:rsidR="001132E0" w:rsidRDefault="00B33655">
                  <w:pPr>
                    <w:jc w:val="center"/>
                    <w:rPr>
                      <w:sz w:val="22"/>
                      <w:szCs w:val="22"/>
                    </w:rPr>
                  </w:pPr>
                  <w:r>
                    <w:rPr>
                      <w:sz w:val="22"/>
                      <w:szCs w:val="22"/>
                    </w:rPr>
                    <w:t>01</w:t>
                  </w:r>
                </w:p>
              </w:tc>
              <w:tc>
                <w:tcPr>
                  <w:tcW w:w="3763" w:type="dxa"/>
                  <w:tcBorders>
                    <w:top w:val="nil"/>
                    <w:left w:val="single" w:sz="4" w:space="0" w:color="auto"/>
                    <w:bottom w:val="single" w:sz="4" w:space="0" w:color="auto"/>
                    <w:right w:val="single" w:sz="4" w:space="0" w:color="auto"/>
                  </w:tcBorders>
                  <w:vAlign w:val="bottom"/>
                </w:tcPr>
                <w:p w14:paraId="09B7DEF6" w14:textId="6DF14095" w:rsidR="001132E0" w:rsidRDefault="00B33655">
                  <w:pPr>
                    <w:jc w:val="both"/>
                    <w:rPr>
                      <w:sz w:val="22"/>
                      <w:szCs w:val="22"/>
                    </w:rPr>
                  </w:pPr>
                  <w:r>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14:paraId="17C15FD2" w14:textId="755790A5" w:rsidR="001132E0" w:rsidRDefault="00B33655">
                  <w:pPr>
                    <w:jc w:val="both"/>
                    <w:rPr>
                      <w:sz w:val="22"/>
                      <w:szCs w:val="22"/>
                    </w:rPr>
                  </w:pPr>
                  <w:r>
                    <w:rPr>
                      <w:sz w:val="22"/>
                      <w:szCs w:val="22"/>
                    </w:rPr>
                    <w:t>Fiksuotoji norma, taikoma, kai priklauso 40 d. d. (jeigu dirbama 5 d. d. per savaitę) arba 48 d. d. (jeigu dirbama 6 d. d. per savaitę) kasmetinių atostogų.</w:t>
                  </w:r>
                </w:p>
              </w:tc>
              <w:tc>
                <w:tcPr>
                  <w:tcW w:w="4358" w:type="dxa"/>
                  <w:vMerge/>
                  <w:tcBorders>
                    <w:left w:val="single" w:sz="4" w:space="0" w:color="auto"/>
                    <w:right w:val="single" w:sz="4" w:space="0" w:color="auto"/>
                  </w:tcBorders>
                  <w:vAlign w:val="center"/>
                </w:tcPr>
                <w:p w14:paraId="7085BEA6" w14:textId="77777777" w:rsidR="001132E0" w:rsidRDefault="001132E0">
                  <w:pPr>
                    <w:jc w:val="both"/>
                    <w:rPr>
                      <w:sz w:val="22"/>
                      <w:szCs w:val="22"/>
                    </w:rPr>
                  </w:pPr>
                </w:p>
              </w:tc>
              <w:tc>
                <w:tcPr>
                  <w:tcW w:w="236" w:type="dxa"/>
                  <w:tcBorders>
                    <w:top w:val="nil"/>
                    <w:left w:val="nil"/>
                    <w:bottom w:val="nil"/>
                    <w:right w:val="nil"/>
                  </w:tcBorders>
                  <w:vAlign w:val="bottom"/>
                </w:tcPr>
                <w:p w14:paraId="3BCD1623" w14:textId="77777777" w:rsidR="001132E0" w:rsidRDefault="001132E0">
                  <w:pPr>
                    <w:rPr>
                      <w:sz w:val="22"/>
                      <w:szCs w:val="22"/>
                    </w:rPr>
                  </w:pPr>
                </w:p>
              </w:tc>
            </w:tr>
            <w:tr w:rsidR="001132E0" w14:paraId="4A7CC34A" w14:textId="45D7143B">
              <w:trPr>
                <w:jc w:val="center"/>
              </w:trPr>
              <w:tc>
                <w:tcPr>
                  <w:tcW w:w="2685" w:type="dxa"/>
                  <w:tcBorders>
                    <w:top w:val="single" w:sz="8" w:space="0" w:color="auto"/>
                    <w:left w:val="single" w:sz="8" w:space="0" w:color="auto"/>
                    <w:bottom w:val="single" w:sz="8" w:space="0" w:color="auto"/>
                    <w:right w:val="single" w:sz="8" w:space="0" w:color="auto"/>
                  </w:tcBorders>
                  <w:vAlign w:val="center"/>
                </w:tcPr>
                <w:p w14:paraId="6B5D29BC" w14:textId="162CFAEE" w:rsidR="001132E0" w:rsidRDefault="00B33655">
                  <w:pPr>
                    <w:jc w:val="both"/>
                    <w:rPr>
                      <w:color w:val="000000"/>
                      <w:sz w:val="22"/>
                      <w:szCs w:val="22"/>
                    </w:rPr>
                  </w:pPr>
                  <w:r>
                    <w:rPr>
                      <w:color w:val="000000"/>
                      <w:sz w:val="22"/>
                      <w:szCs w:val="22"/>
                    </w:rPr>
                    <w:t>Projektą vykdančio personalo darbo užmokesčio išlaidų dalis per mėnesį, skirta kasmetinėms atostogoms (20,02 proc.)</w:t>
                  </w:r>
                </w:p>
              </w:tc>
              <w:tc>
                <w:tcPr>
                  <w:tcW w:w="2112" w:type="dxa"/>
                  <w:tcBorders>
                    <w:top w:val="nil"/>
                    <w:left w:val="single" w:sz="4" w:space="0" w:color="auto"/>
                    <w:bottom w:val="single" w:sz="4" w:space="0" w:color="auto"/>
                    <w:right w:val="single" w:sz="4" w:space="0" w:color="auto"/>
                  </w:tcBorders>
                  <w:vAlign w:val="center"/>
                </w:tcPr>
                <w:p w14:paraId="7016F027" w14:textId="5406E484" w:rsidR="001132E0" w:rsidRDefault="00B33655">
                  <w:pPr>
                    <w:jc w:val="center"/>
                    <w:rPr>
                      <w:sz w:val="22"/>
                      <w:szCs w:val="22"/>
                      <w:lang w:eastAsia="lt-LT"/>
                    </w:rPr>
                  </w:pPr>
                  <w:r>
                    <w:rPr>
                      <w:sz w:val="22"/>
                      <w:szCs w:val="22"/>
                    </w:rPr>
                    <w:t>FN-05-07</w:t>
                  </w:r>
                </w:p>
              </w:tc>
              <w:tc>
                <w:tcPr>
                  <w:tcW w:w="1973" w:type="dxa"/>
                  <w:tcBorders>
                    <w:top w:val="nil"/>
                    <w:left w:val="single" w:sz="4" w:space="0" w:color="auto"/>
                    <w:bottom w:val="single" w:sz="4" w:space="0" w:color="auto"/>
                    <w:right w:val="single" w:sz="4" w:space="0" w:color="auto"/>
                  </w:tcBorders>
                  <w:vAlign w:val="center"/>
                </w:tcPr>
                <w:p w14:paraId="3B0806DF" w14:textId="5E0C1140" w:rsidR="001132E0" w:rsidRDefault="00B33655">
                  <w:pPr>
                    <w:jc w:val="center"/>
                    <w:rPr>
                      <w:sz w:val="22"/>
                      <w:szCs w:val="22"/>
                    </w:rPr>
                  </w:pPr>
                  <w:r>
                    <w:rPr>
                      <w:sz w:val="22"/>
                      <w:szCs w:val="22"/>
                    </w:rPr>
                    <w:t>01</w:t>
                  </w:r>
                </w:p>
              </w:tc>
              <w:tc>
                <w:tcPr>
                  <w:tcW w:w="3763" w:type="dxa"/>
                  <w:tcBorders>
                    <w:top w:val="nil"/>
                    <w:left w:val="single" w:sz="4" w:space="0" w:color="auto"/>
                    <w:bottom w:val="single" w:sz="4" w:space="0" w:color="auto"/>
                    <w:right w:val="single" w:sz="4" w:space="0" w:color="auto"/>
                  </w:tcBorders>
                  <w:vAlign w:val="bottom"/>
                </w:tcPr>
                <w:p w14:paraId="54005B03" w14:textId="2CB054E3" w:rsidR="001132E0" w:rsidRDefault="00B33655">
                  <w:pPr>
                    <w:jc w:val="both"/>
                    <w:rPr>
                      <w:sz w:val="22"/>
                      <w:szCs w:val="22"/>
                    </w:rPr>
                  </w:pPr>
                  <w:r>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14:paraId="3DFC78D8" w14:textId="47594BDD" w:rsidR="001132E0" w:rsidRDefault="00B33655">
                  <w:pPr>
                    <w:jc w:val="both"/>
                    <w:rPr>
                      <w:sz w:val="22"/>
                      <w:szCs w:val="22"/>
                    </w:rPr>
                  </w:pPr>
                  <w:r>
                    <w:rPr>
                      <w:sz w:val="22"/>
                      <w:szCs w:val="22"/>
                    </w:rPr>
                    <w:t>Fiksuotoji norma, taikoma, kai priklauso nuo 41 d. d. (jeigu dirbama 5 d. d. per savaitę) arba nuo 49 d. d. (jeigu dirbama 6 d. d. per savaitę) kasmetinių atostogų.</w:t>
                  </w:r>
                </w:p>
              </w:tc>
              <w:tc>
                <w:tcPr>
                  <w:tcW w:w="4358" w:type="dxa"/>
                  <w:vMerge/>
                  <w:tcBorders>
                    <w:left w:val="single" w:sz="4" w:space="0" w:color="auto"/>
                    <w:bottom w:val="single" w:sz="4" w:space="0" w:color="000000"/>
                    <w:right w:val="single" w:sz="4" w:space="0" w:color="auto"/>
                  </w:tcBorders>
                  <w:vAlign w:val="center"/>
                </w:tcPr>
                <w:p w14:paraId="19B4DC86" w14:textId="77777777" w:rsidR="001132E0" w:rsidRDefault="001132E0">
                  <w:pPr>
                    <w:jc w:val="both"/>
                    <w:rPr>
                      <w:sz w:val="22"/>
                      <w:szCs w:val="22"/>
                    </w:rPr>
                  </w:pPr>
                </w:p>
              </w:tc>
              <w:tc>
                <w:tcPr>
                  <w:tcW w:w="236" w:type="dxa"/>
                  <w:tcBorders>
                    <w:top w:val="nil"/>
                    <w:left w:val="nil"/>
                    <w:bottom w:val="nil"/>
                    <w:right w:val="nil"/>
                  </w:tcBorders>
                  <w:vAlign w:val="bottom"/>
                </w:tcPr>
                <w:p w14:paraId="672FFB44" w14:textId="77777777" w:rsidR="001132E0" w:rsidRDefault="001132E0">
                  <w:pPr>
                    <w:rPr>
                      <w:sz w:val="22"/>
                      <w:szCs w:val="22"/>
                    </w:rPr>
                  </w:pPr>
                </w:p>
              </w:tc>
            </w:tr>
          </w:tbl>
          <w:p w14:paraId="5CD92C3B" w14:textId="10605AAF" w:rsidR="001132E0" w:rsidRDefault="001132E0">
            <w:pPr>
              <w:jc w:val="both"/>
              <w:rPr>
                <w:i/>
                <w:iCs/>
                <w:sz w:val="22"/>
                <w:szCs w:val="22"/>
              </w:rPr>
            </w:pPr>
          </w:p>
        </w:tc>
      </w:tr>
    </w:tbl>
    <w:p w14:paraId="3D49250E" w14:textId="1B99BEE9" w:rsidR="001132E0" w:rsidRDefault="00B33655">
      <w:pPr>
        <w:spacing w:line="259" w:lineRule="auto"/>
        <w:jc w:val="center"/>
        <w:rPr>
          <w:sz w:val="22"/>
          <w:szCs w:val="22"/>
        </w:rPr>
      </w:pPr>
      <w:r>
        <w:rPr>
          <w:sz w:val="22"/>
          <w:szCs w:val="22"/>
        </w:rPr>
        <w:t xml:space="preserve">_______________________________ </w:t>
      </w:r>
    </w:p>
    <w:p w14:paraId="6DA7CD54" w14:textId="38B8321C" w:rsidR="001132E0" w:rsidRDefault="001132E0">
      <w:pPr>
        <w:jc w:val="both"/>
        <w:rPr>
          <w:szCs w:val="24"/>
          <w:shd w:val="clear" w:color="auto" w:fill="FFFFFF"/>
        </w:rPr>
      </w:pPr>
    </w:p>
    <w:p w14:paraId="49CE9D9E" w14:textId="4A668D56" w:rsidR="001132E0" w:rsidRDefault="001132E0">
      <w:pPr>
        <w:ind w:left="9639"/>
        <w:jc w:val="both"/>
        <w:sectPr w:rsidR="001132E0" w:rsidSect="00B33655">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134" w:right="567" w:bottom="992" w:left="1701" w:header="709" w:footer="567" w:gutter="0"/>
          <w:pgNumType w:start="1"/>
          <w:cols w:space="1296"/>
          <w:titlePg/>
          <w:docGrid w:linePitch="360"/>
        </w:sectPr>
      </w:pPr>
    </w:p>
    <w:p w14:paraId="01BADED6" w14:textId="77777777" w:rsidR="001132E0" w:rsidRDefault="001132E0">
      <w:pPr>
        <w:tabs>
          <w:tab w:val="center" w:pos="4513"/>
          <w:tab w:val="right" w:pos="9026"/>
        </w:tabs>
      </w:pPr>
    </w:p>
    <w:p w14:paraId="40C51A66" w14:textId="595805D3" w:rsidR="001132E0" w:rsidRDefault="00B33655">
      <w:pPr>
        <w:ind w:left="9639"/>
        <w:jc w:val="both"/>
        <w:rPr>
          <w:szCs w:val="24"/>
          <w:shd w:val="clear" w:color="auto" w:fill="FFFFFF"/>
        </w:rPr>
      </w:pPr>
      <w:r>
        <w:rPr>
          <w:szCs w:val="24"/>
          <w:shd w:val="clear" w:color="auto" w:fill="FFFFFF"/>
        </w:rPr>
        <w:t xml:space="preserve">2 priedo „2021–2030 metų plėtros programos valdytojos Lietuvos Respublikos švietimo, mokslo ir sporto ministerijos švietimo plėtros programos pažangos priemonės Nr. 12-003-03-04-02 „Užtikrinti efektyvų mokslo ir studijų sistemos valdymą“ aprašo veiklos „Atnaujinti kolegijų tinklą, įvertinus potencialą, nacionalinius ir regioninius ūkio raidos ir darbo rinkos poreikius“ projektų finansavimo sąlygų aprašo“ </w:t>
      </w:r>
    </w:p>
    <w:p w14:paraId="4822CCC9" w14:textId="236DE9D2" w:rsidR="001132E0" w:rsidRDefault="00B33655">
      <w:pPr>
        <w:ind w:left="9639"/>
        <w:jc w:val="both"/>
        <w:rPr>
          <w:szCs w:val="24"/>
        </w:rPr>
      </w:pPr>
      <w:r>
        <w:rPr>
          <w:szCs w:val="24"/>
          <w:shd w:val="clear" w:color="auto" w:fill="FFFFFF"/>
        </w:rPr>
        <w:t>1 priedas</w:t>
      </w:r>
    </w:p>
    <w:p w14:paraId="249C3435" w14:textId="77777777" w:rsidR="001132E0" w:rsidRDefault="001132E0">
      <w:pPr>
        <w:jc w:val="center"/>
        <w:rPr>
          <w:rFonts w:eastAsia="Calibri"/>
          <w:b/>
          <w:bCs/>
          <w:szCs w:val="24"/>
        </w:rPr>
      </w:pPr>
    </w:p>
    <w:p w14:paraId="178B8908" w14:textId="77777777" w:rsidR="001132E0" w:rsidRDefault="00B33655">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5F14BF16" w14:textId="77777777" w:rsidR="001132E0" w:rsidRDefault="001132E0">
      <w:pPr>
        <w:jc w:val="center"/>
        <w:rPr>
          <w:rFonts w:eastAsia="Calibri"/>
          <w:b/>
          <w:bCs/>
          <w:szCs w:val="24"/>
        </w:rPr>
      </w:pPr>
    </w:p>
    <w:p w14:paraId="39F39E43" w14:textId="77777777" w:rsidR="001132E0" w:rsidRDefault="00B33655">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520B4010" w14:textId="34B8790E" w:rsidR="001132E0" w:rsidRDefault="00B33655">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14A589D8" w14:textId="6CE22043" w:rsidR="001132E0" w:rsidRDefault="00B33655">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39FC8E4B" w14:textId="28EBB913" w:rsidR="001132E0" w:rsidRDefault="001132E0">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7230"/>
        <w:gridCol w:w="3827"/>
      </w:tblGrid>
      <w:tr w:rsidR="001132E0" w14:paraId="227AE5B3" w14:textId="77777777">
        <w:tc>
          <w:tcPr>
            <w:tcW w:w="3686" w:type="dxa"/>
            <w:tcBorders>
              <w:top w:val="single" w:sz="4" w:space="0" w:color="auto"/>
              <w:left w:val="single" w:sz="4" w:space="0" w:color="auto"/>
              <w:bottom w:val="single" w:sz="4" w:space="0" w:color="auto"/>
              <w:right w:val="single" w:sz="4" w:space="0" w:color="auto"/>
            </w:tcBorders>
            <w:hideMark/>
          </w:tcPr>
          <w:p w14:paraId="43E87879" w14:textId="77777777" w:rsidR="001132E0" w:rsidRDefault="00B33655">
            <w:pPr>
              <w:jc w:val="center"/>
              <w:rPr>
                <w:rFonts w:eastAsia="Calibri"/>
                <w:b/>
                <w:sz w:val="22"/>
                <w:szCs w:val="22"/>
              </w:rPr>
            </w:pPr>
            <w:r>
              <w:rPr>
                <w:rFonts w:eastAsia="Calibri"/>
                <w:b/>
                <w:sz w:val="22"/>
                <w:szCs w:val="22"/>
              </w:rPr>
              <w:t>Aplinkos tikslai</w:t>
            </w:r>
          </w:p>
          <w:p w14:paraId="02D4ED8D" w14:textId="4862881B" w:rsidR="001132E0" w:rsidRDefault="00B33655">
            <w:pPr>
              <w:jc w:val="both"/>
              <w:rPr>
                <w:rFonts w:eastAsia="Calibri"/>
                <w:b/>
                <w:sz w:val="18"/>
                <w:szCs w:val="18"/>
              </w:rPr>
            </w:pPr>
            <w:r>
              <w:rPr>
                <w:rFonts w:eastAsia="Calibri"/>
                <w:sz w:val="18"/>
                <w:szCs w:val="18"/>
              </w:rPr>
              <w:t>(</w:t>
            </w:r>
            <w:r>
              <w:rPr>
                <w:rFonts w:eastAsia="Calibri"/>
                <w:i/>
                <w:sz w:val="18"/>
                <w:szCs w:val="18"/>
              </w:rPr>
              <w:t>pagal 2020 m. birželio 18 d. Europos Parlamento ir Tarybos reglamentą (ES) Nr. 2020/852 dėl sistemos tvariam investavimui palengvinti sukūrimo, kuriuo iš dalies keičiamas Reglamentas (ES) Nr. 2019/2088)</w:t>
            </w:r>
          </w:p>
        </w:tc>
        <w:tc>
          <w:tcPr>
            <w:tcW w:w="7230" w:type="dxa"/>
            <w:tcBorders>
              <w:top w:val="single" w:sz="4" w:space="0" w:color="auto"/>
              <w:left w:val="single" w:sz="4" w:space="0" w:color="auto"/>
              <w:bottom w:val="single" w:sz="4" w:space="0" w:color="auto"/>
              <w:right w:val="single" w:sz="4" w:space="0" w:color="auto"/>
            </w:tcBorders>
            <w:hideMark/>
          </w:tcPr>
          <w:p w14:paraId="070C5EF6" w14:textId="77777777" w:rsidR="001132E0" w:rsidRDefault="00B33655">
            <w:pPr>
              <w:jc w:val="center"/>
              <w:rPr>
                <w:rFonts w:eastAsia="Calibri"/>
                <w:b/>
                <w:sz w:val="22"/>
                <w:szCs w:val="22"/>
              </w:rPr>
            </w:pPr>
            <w:r>
              <w:rPr>
                <w:rFonts w:eastAsia="Calibri"/>
                <w:b/>
                <w:sz w:val="22"/>
                <w:szCs w:val="22"/>
              </w:rPr>
              <w:t>Pagrindimas</w:t>
            </w:r>
          </w:p>
          <w:p w14:paraId="3BCE752B" w14:textId="0A5E00F6" w:rsidR="001132E0" w:rsidRDefault="001132E0">
            <w:pPr>
              <w:jc w:val="center"/>
              <w:rPr>
                <w:rFonts w:eastAsia="Calibri"/>
                <w:b/>
                <w:sz w:val="22"/>
                <w:szCs w:val="22"/>
              </w:rPr>
            </w:pPr>
          </w:p>
        </w:tc>
        <w:tc>
          <w:tcPr>
            <w:tcW w:w="3827" w:type="dxa"/>
            <w:tcBorders>
              <w:top w:val="single" w:sz="4" w:space="0" w:color="auto"/>
              <w:left w:val="single" w:sz="4" w:space="0" w:color="auto"/>
              <w:bottom w:val="single" w:sz="4" w:space="0" w:color="auto"/>
              <w:right w:val="single" w:sz="4" w:space="0" w:color="auto"/>
            </w:tcBorders>
            <w:hideMark/>
          </w:tcPr>
          <w:p w14:paraId="23FFA3FE" w14:textId="0ABADBD7" w:rsidR="001132E0" w:rsidRDefault="00B33655">
            <w:pPr>
              <w:jc w:val="center"/>
              <w:rPr>
                <w:rFonts w:eastAsia="Calibri"/>
                <w:i/>
                <w:sz w:val="22"/>
                <w:szCs w:val="22"/>
              </w:rPr>
            </w:pPr>
            <w:r>
              <w:rPr>
                <w:rFonts w:eastAsia="Calibri"/>
                <w:b/>
                <w:sz w:val="22"/>
                <w:szCs w:val="22"/>
              </w:rPr>
              <w:t xml:space="preserve">Pagrindimo dokumentai </w:t>
            </w:r>
          </w:p>
          <w:p w14:paraId="22349EF5" w14:textId="2142FF66" w:rsidR="001132E0" w:rsidRDefault="001132E0">
            <w:pPr>
              <w:jc w:val="center"/>
              <w:rPr>
                <w:rFonts w:eastAsia="Calibri"/>
                <w:i/>
                <w:sz w:val="22"/>
                <w:szCs w:val="22"/>
              </w:rPr>
            </w:pPr>
          </w:p>
          <w:p w14:paraId="77DADDC6" w14:textId="612302BA" w:rsidR="001132E0" w:rsidRDefault="001132E0">
            <w:pPr>
              <w:jc w:val="both"/>
              <w:rPr>
                <w:rFonts w:eastAsia="Calibri"/>
                <w:i/>
                <w:sz w:val="22"/>
                <w:szCs w:val="22"/>
              </w:rPr>
            </w:pPr>
          </w:p>
        </w:tc>
      </w:tr>
      <w:tr w:rsidR="001132E0" w14:paraId="2318E7BD" w14:textId="77777777">
        <w:tc>
          <w:tcPr>
            <w:tcW w:w="3686" w:type="dxa"/>
            <w:tcBorders>
              <w:top w:val="single" w:sz="4" w:space="0" w:color="auto"/>
              <w:left w:val="single" w:sz="4" w:space="0" w:color="auto"/>
              <w:bottom w:val="single" w:sz="4" w:space="0" w:color="auto"/>
              <w:right w:val="single" w:sz="4" w:space="0" w:color="auto"/>
            </w:tcBorders>
            <w:hideMark/>
          </w:tcPr>
          <w:p w14:paraId="5FCAC5BD" w14:textId="28D08C65" w:rsidR="001132E0" w:rsidRDefault="00B33655">
            <w:pPr>
              <w:tabs>
                <w:tab w:val="left" w:pos="289"/>
              </w:tabs>
              <w:ind w:firstLine="5"/>
              <w:jc w:val="both"/>
              <w:rPr>
                <w:rFonts w:eastAsia="Calibri"/>
                <w:sz w:val="22"/>
                <w:szCs w:val="22"/>
              </w:rPr>
            </w:pPr>
            <w:r>
              <w:rPr>
                <w:rFonts w:eastAsia="Calibri"/>
                <w:sz w:val="22"/>
                <w:szCs w:val="22"/>
              </w:rPr>
              <w:t>1.</w:t>
            </w:r>
            <w:r>
              <w:rPr>
                <w:rFonts w:eastAsia="Calibri"/>
                <w:sz w:val="22"/>
                <w:szCs w:val="22"/>
              </w:rPr>
              <w:tab/>
              <w:t xml:space="preserve">Klimato kaitos švelninimas </w:t>
            </w:r>
          </w:p>
        </w:tc>
        <w:tc>
          <w:tcPr>
            <w:tcW w:w="7230" w:type="dxa"/>
            <w:tcBorders>
              <w:top w:val="single" w:sz="4" w:space="0" w:color="auto"/>
              <w:left w:val="single" w:sz="4" w:space="0" w:color="auto"/>
              <w:bottom w:val="single" w:sz="4" w:space="0" w:color="auto"/>
              <w:right w:val="single" w:sz="4" w:space="0" w:color="auto"/>
            </w:tcBorders>
          </w:tcPr>
          <w:p w14:paraId="0110C8F8" w14:textId="6B572414" w:rsidR="001132E0" w:rsidRDefault="00B33655">
            <w:pPr>
              <w:tabs>
                <w:tab w:val="left" w:pos="317"/>
              </w:tabs>
              <w:jc w:val="both"/>
              <w:rPr>
                <w:sz w:val="22"/>
                <w:szCs w:val="22"/>
                <w:shd w:val="clear" w:color="auto" w:fill="FFFFFF"/>
              </w:rPr>
            </w:pPr>
            <w:r>
              <w:rPr>
                <w:sz w:val="22"/>
                <w:szCs w:val="22"/>
              </w:rPr>
              <w:t xml:space="preserve">Projekto veiklos dėl savo pobūdžio neturės jokio neigiamo tiesioginio ar netiesioginio poveikio klimato kaitos švelninimo tikslui. </w:t>
            </w:r>
          </w:p>
          <w:p w14:paraId="00BC12A4" w14:textId="77777777" w:rsidR="001132E0" w:rsidRDefault="00B33655">
            <w:pPr>
              <w:tabs>
                <w:tab w:val="left" w:pos="317"/>
              </w:tabs>
              <w:jc w:val="both"/>
              <w:rPr>
                <w:rFonts w:eastAsia="Calibri"/>
                <w:bCs/>
                <w:iCs/>
                <w:sz w:val="22"/>
                <w:szCs w:val="22"/>
              </w:rPr>
            </w:pPr>
            <w:r>
              <w:rPr>
                <w:rFonts w:eastAsia="Calibri"/>
                <w:bCs/>
                <w:iCs/>
                <w:sz w:val="22"/>
                <w:szCs w:val="22"/>
              </w:rPr>
              <w:t>Laikoma, kad projekto veiklos atitinka klimato kaitos švelninimo tikslą, nes:</w:t>
            </w:r>
          </w:p>
          <w:p w14:paraId="6F073681" w14:textId="7034CC28" w:rsidR="001132E0" w:rsidRDefault="00B33655">
            <w:pPr>
              <w:tabs>
                <w:tab w:val="left" w:pos="317"/>
              </w:tabs>
              <w:ind w:left="720" w:hanging="360"/>
              <w:jc w:val="both"/>
              <w:rPr>
                <w:rFonts w:eastAsia="Calibri"/>
                <w:bCs/>
                <w:iCs/>
                <w:sz w:val="22"/>
                <w:szCs w:val="22"/>
              </w:rPr>
            </w:pPr>
            <w:r>
              <w:rPr>
                <w:rFonts w:eastAsia="Calibri"/>
                <w:bCs/>
                <w:iCs/>
                <w:sz w:val="22"/>
                <w:szCs w:val="22"/>
              </w:rPr>
              <w:t>1.</w:t>
            </w:r>
            <w:r>
              <w:rPr>
                <w:rFonts w:eastAsia="Calibri"/>
                <w:bCs/>
                <w:iCs/>
                <w:sz w:val="22"/>
                <w:szCs w:val="22"/>
              </w:rPr>
              <w:tab/>
              <w:t xml:space="preserve">modernizuojant infrastruktūrą bus laikomasi aplinkos apsaugą ir statybas reglamentuojančių teisės aktų; numatoma atlikti planuojamos ūkinės veiklos poveikio aplinkai vertinimą, kaip tai apibrėžta LR planuojamos ūkinės veiklos vertinimo įstatyme; </w:t>
            </w:r>
          </w:p>
          <w:p w14:paraId="52761FA5" w14:textId="63FBB592" w:rsidR="001132E0" w:rsidRDefault="00B33655">
            <w:pPr>
              <w:tabs>
                <w:tab w:val="left" w:pos="317"/>
              </w:tabs>
              <w:ind w:left="720" w:hanging="360"/>
              <w:jc w:val="both"/>
              <w:rPr>
                <w:rFonts w:eastAsia="Calibri"/>
                <w:bCs/>
                <w:iCs/>
                <w:sz w:val="22"/>
                <w:szCs w:val="22"/>
              </w:rPr>
            </w:pPr>
            <w:r>
              <w:rPr>
                <w:rFonts w:eastAsia="Calibri"/>
                <w:bCs/>
                <w:iCs/>
                <w:sz w:val="22"/>
                <w:szCs w:val="22"/>
              </w:rPr>
              <w:t>2.</w:t>
            </w:r>
            <w:r>
              <w:rPr>
                <w:rFonts w:eastAsia="Calibri"/>
                <w:bCs/>
                <w:iCs/>
                <w:sz w:val="22"/>
                <w:szCs w:val="22"/>
              </w:rPr>
              <w:tab/>
              <w:t xml:space="preserve">planuojama įsigyti įranga privalės atitikti (tai bus numatoma atitinkamuose įrangos įsigijimo dokumentuose) efektyvumo, tvarumo, ilgaamžiškumo reikalavimus pagal </w:t>
            </w:r>
            <w:r>
              <w:rPr>
                <w:rFonts w:eastAsia="Calibri"/>
                <w:iCs/>
                <w:sz w:val="22"/>
                <w:szCs w:val="22"/>
              </w:rPr>
              <w:t>2009 m. spalio 21 d. Europos Parlamento ir Tarybos direktyvą 2009/125/EB, nustatanti ekologinio projektavimo reikalavimų su energija susijusiems gaminiams nustatymo sistemą</w:t>
            </w:r>
            <w:r>
              <w:rPr>
                <w:rFonts w:eastAsia="Calibri"/>
                <w:bCs/>
                <w:iCs/>
                <w:sz w:val="22"/>
                <w:szCs w:val="22"/>
              </w:rPr>
              <w:t xml:space="preserve"> (toliau – Direktyva 2009/125/EB) ir </w:t>
            </w:r>
            <w:r>
              <w:rPr>
                <w:rFonts w:eastAsia="Calibri"/>
                <w:iCs/>
                <w:sz w:val="22"/>
                <w:szCs w:val="22"/>
              </w:rPr>
              <w:t xml:space="preserve">2011 m. birželio 8 d. Europos Parlamento ir Tarybos direktyvą 2011/65/ES dėl tam tikrų pavojingų medžiagų naudojimo elektros ir elektroninėje įrangoje apribojimo (toliau – </w:t>
            </w:r>
            <w:r>
              <w:rPr>
                <w:rFonts w:eastAsia="Calibri"/>
                <w:bCs/>
                <w:iCs/>
                <w:sz w:val="22"/>
                <w:szCs w:val="22"/>
              </w:rPr>
              <w:t>Direktyva 2011/65/ES).</w:t>
            </w:r>
          </w:p>
        </w:tc>
        <w:tc>
          <w:tcPr>
            <w:tcW w:w="3827" w:type="dxa"/>
            <w:tcBorders>
              <w:top w:val="single" w:sz="4" w:space="0" w:color="auto"/>
              <w:left w:val="single" w:sz="4" w:space="0" w:color="auto"/>
              <w:bottom w:val="single" w:sz="4" w:space="0" w:color="auto"/>
              <w:right w:val="single" w:sz="4" w:space="0" w:color="auto"/>
            </w:tcBorders>
            <w:hideMark/>
          </w:tcPr>
          <w:p w14:paraId="689DD38B" w14:textId="77777777" w:rsidR="001132E0" w:rsidRDefault="00B33655">
            <w:pPr>
              <w:tabs>
                <w:tab w:val="left" w:pos="589"/>
              </w:tabs>
              <w:jc w:val="both"/>
              <w:rPr>
                <w:rFonts w:eastAsia="Calibri"/>
                <w:iCs/>
                <w:sz w:val="22"/>
                <w:szCs w:val="22"/>
              </w:rPr>
            </w:pPr>
            <w:r>
              <w:rPr>
                <w:rFonts w:eastAsia="Calibri"/>
                <w:iCs/>
                <w:sz w:val="22"/>
                <w:szCs w:val="22"/>
              </w:rPr>
              <w:t>Pirkimų dokumentacija, sutartis su rangovu, darbų atlikimo aktas ir pan.</w:t>
            </w:r>
          </w:p>
          <w:p w14:paraId="09C96992" w14:textId="77777777" w:rsidR="001132E0" w:rsidRDefault="00B33655">
            <w:pPr>
              <w:tabs>
                <w:tab w:val="left" w:pos="589"/>
              </w:tabs>
              <w:jc w:val="both"/>
              <w:rPr>
                <w:rFonts w:eastAsia="Calibri"/>
                <w:iCs/>
                <w:sz w:val="22"/>
                <w:szCs w:val="22"/>
              </w:rPr>
            </w:pPr>
            <w:r>
              <w:rPr>
                <w:rFonts w:eastAsia="Calibri"/>
                <w:iCs/>
                <w:sz w:val="22"/>
                <w:szCs w:val="22"/>
              </w:rPr>
              <w:t>Reikalingos įrangos įsigijimo dokumentai.</w:t>
            </w:r>
          </w:p>
          <w:p w14:paraId="18A8E9AA" w14:textId="140C2C3E" w:rsidR="001132E0" w:rsidRDefault="00B33655">
            <w:pPr>
              <w:tabs>
                <w:tab w:val="left" w:pos="589"/>
              </w:tabs>
              <w:jc w:val="both"/>
              <w:rPr>
                <w:rFonts w:eastAsia="Calibri"/>
                <w:iCs/>
                <w:sz w:val="22"/>
                <w:szCs w:val="22"/>
              </w:rPr>
            </w:pPr>
            <w:r>
              <w:rPr>
                <w:rFonts w:eastAsia="Calibri"/>
                <w:iCs/>
                <w:sz w:val="22"/>
                <w:szCs w:val="22"/>
              </w:rPr>
              <w:t>Projekto vykdytojo deklaracija.</w:t>
            </w:r>
          </w:p>
        </w:tc>
      </w:tr>
      <w:tr w:rsidR="001132E0" w14:paraId="37FF8896" w14:textId="77777777">
        <w:trPr>
          <w:trHeight w:val="922"/>
        </w:trPr>
        <w:tc>
          <w:tcPr>
            <w:tcW w:w="3686" w:type="dxa"/>
            <w:tcBorders>
              <w:top w:val="single" w:sz="4" w:space="0" w:color="auto"/>
              <w:left w:val="single" w:sz="4" w:space="0" w:color="auto"/>
              <w:bottom w:val="single" w:sz="4" w:space="0" w:color="auto"/>
              <w:right w:val="single" w:sz="4" w:space="0" w:color="auto"/>
            </w:tcBorders>
            <w:hideMark/>
          </w:tcPr>
          <w:p w14:paraId="0D7F145B" w14:textId="7C199F31" w:rsidR="001132E0" w:rsidRDefault="00B33655">
            <w:pPr>
              <w:tabs>
                <w:tab w:val="left" w:pos="289"/>
              </w:tabs>
              <w:ind w:firstLine="5"/>
              <w:jc w:val="both"/>
              <w:rPr>
                <w:rFonts w:eastAsia="Calibri"/>
                <w:sz w:val="22"/>
                <w:szCs w:val="22"/>
              </w:rPr>
            </w:pPr>
            <w:r>
              <w:rPr>
                <w:rFonts w:eastAsia="Calibri"/>
                <w:sz w:val="22"/>
                <w:szCs w:val="22"/>
              </w:rPr>
              <w:t>2.</w:t>
            </w:r>
            <w:r>
              <w:rPr>
                <w:rFonts w:eastAsia="Calibri"/>
                <w:sz w:val="22"/>
                <w:szCs w:val="22"/>
              </w:rPr>
              <w:tab/>
              <w:t xml:space="preserve">Prisitaikymas prie klimato kaitos </w:t>
            </w:r>
          </w:p>
        </w:tc>
        <w:tc>
          <w:tcPr>
            <w:tcW w:w="7230" w:type="dxa"/>
            <w:tcBorders>
              <w:top w:val="single" w:sz="4" w:space="0" w:color="auto"/>
              <w:left w:val="single" w:sz="4" w:space="0" w:color="auto"/>
              <w:bottom w:val="single" w:sz="4" w:space="0" w:color="auto"/>
              <w:right w:val="single" w:sz="4" w:space="0" w:color="auto"/>
            </w:tcBorders>
          </w:tcPr>
          <w:p w14:paraId="7D61067B" w14:textId="3CE21788" w:rsidR="001132E0" w:rsidRDefault="00B33655">
            <w:pPr>
              <w:jc w:val="both"/>
              <w:rPr>
                <w:rFonts w:eastAsia="Calibri"/>
                <w:sz w:val="22"/>
                <w:szCs w:val="22"/>
              </w:rPr>
            </w:pPr>
            <w:r>
              <w:rPr>
                <w:sz w:val="22"/>
                <w:szCs w:val="22"/>
              </w:rPr>
              <w:t xml:space="preserve">Projektų veiklos </w:t>
            </w:r>
            <w:r>
              <w:rPr>
                <w:bCs/>
                <w:sz w:val="22"/>
                <w:szCs w:val="22"/>
              </w:rPr>
              <w:t>dėl savo pobūdžio</w:t>
            </w:r>
            <w:r>
              <w:rPr>
                <w:sz w:val="22"/>
                <w:szCs w:val="22"/>
              </w:rPr>
              <w:t xml:space="preserve"> neturės jokio neigiamo tiesioginio ar netiesioginio poveikio prisitaikymo prie klimato kaitos tikslui, </w:t>
            </w:r>
            <w:r>
              <w:rPr>
                <w:rFonts w:eastAsia="Calibri"/>
                <w:sz w:val="22"/>
                <w:szCs w:val="22"/>
              </w:rPr>
              <w:t xml:space="preserve">kadangi numatomos investicijos į esamos infrastruktūros tobulinimą bus vykdomos tik atlikus klimato rizikos patikrą ir / ar statant / renovuojant bus įgyvendinami fiziniai ir nefiziniai prisitaikymo sprendimai, kurie sumažins svarbiausias fizinio klimato rizikas. </w:t>
            </w:r>
          </w:p>
          <w:p w14:paraId="0E42971F" w14:textId="77777777" w:rsidR="001132E0" w:rsidRDefault="00B33655">
            <w:pPr>
              <w:jc w:val="both"/>
              <w:rPr>
                <w:rFonts w:eastAsia="Calibri"/>
                <w:sz w:val="22"/>
                <w:szCs w:val="22"/>
              </w:rPr>
            </w:pPr>
            <w:r>
              <w:rPr>
                <w:rFonts w:eastAsia="Calibri"/>
                <w:sz w:val="22"/>
                <w:szCs w:val="22"/>
              </w:rPr>
              <w:t>Renovacija nebus atliekama potvynių zonose, bus skatinama naudoti žaliąją infrastruktūrą – augmeniją ir kitus pastatų dizaino / apželdinimo sprendinius, kurie sumažintų energijos (kondensavimo) poreikius ir kt.</w:t>
            </w:r>
          </w:p>
          <w:p w14:paraId="5F3CA09A" w14:textId="24A1B8EC" w:rsidR="001132E0" w:rsidRDefault="00B33655">
            <w:pPr>
              <w:jc w:val="both"/>
              <w:rPr>
                <w:rFonts w:eastAsia="Calibri"/>
                <w:bCs/>
                <w:iCs/>
                <w:sz w:val="22"/>
                <w:szCs w:val="22"/>
              </w:rPr>
            </w:pPr>
            <w:r>
              <w:rPr>
                <w:color w:val="000000"/>
                <w:sz w:val="22"/>
                <w:szCs w:val="22"/>
                <w:shd w:val="clear" w:color="auto" w:fill="FFFFFF"/>
              </w:rPr>
              <w:t>Planuojamos veiklos neturės tiesioginio ar netiesioginio neigiamo poveikio prisitaikymo prie klimato kaitos tikslui, nes nenumatomas neigiamas poveikis žmogui, gamtai ar turtui. </w:t>
            </w:r>
          </w:p>
        </w:tc>
        <w:tc>
          <w:tcPr>
            <w:tcW w:w="3827" w:type="dxa"/>
            <w:tcBorders>
              <w:top w:val="single" w:sz="4" w:space="0" w:color="auto"/>
              <w:left w:val="single" w:sz="4" w:space="0" w:color="auto"/>
              <w:bottom w:val="single" w:sz="4" w:space="0" w:color="auto"/>
              <w:right w:val="single" w:sz="4" w:space="0" w:color="auto"/>
            </w:tcBorders>
          </w:tcPr>
          <w:p w14:paraId="3816954F" w14:textId="77777777" w:rsidR="001132E0" w:rsidRDefault="00B33655">
            <w:pPr>
              <w:tabs>
                <w:tab w:val="left" w:pos="589"/>
              </w:tabs>
              <w:spacing w:line="259" w:lineRule="auto"/>
              <w:jc w:val="both"/>
              <w:rPr>
                <w:rFonts w:eastAsia="Calibri"/>
                <w:bCs/>
                <w:sz w:val="22"/>
                <w:szCs w:val="22"/>
              </w:rPr>
            </w:pPr>
            <w:r>
              <w:rPr>
                <w:rFonts w:eastAsia="Calibri"/>
                <w:bCs/>
                <w:sz w:val="22"/>
                <w:szCs w:val="22"/>
              </w:rPr>
              <w:t>Pirkimų dokumentacija, sutartis su rangovu, darbų atlikimo aktas ir pan.</w:t>
            </w:r>
          </w:p>
          <w:p w14:paraId="556ACAB8" w14:textId="77777777" w:rsidR="001132E0" w:rsidRDefault="00B33655">
            <w:pPr>
              <w:tabs>
                <w:tab w:val="left" w:pos="589"/>
              </w:tabs>
              <w:jc w:val="both"/>
              <w:rPr>
                <w:rFonts w:eastAsia="Calibri"/>
                <w:bCs/>
                <w:sz w:val="22"/>
                <w:szCs w:val="22"/>
              </w:rPr>
            </w:pPr>
            <w:r>
              <w:rPr>
                <w:rFonts w:eastAsia="Calibri"/>
                <w:bCs/>
                <w:sz w:val="22"/>
                <w:szCs w:val="22"/>
              </w:rPr>
              <w:t>Reikalingos įrangos įsigijimo dokumentai.</w:t>
            </w:r>
          </w:p>
          <w:p w14:paraId="7CEFD892" w14:textId="77777777" w:rsidR="001132E0" w:rsidRDefault="00B33655">
            <w:pPr>
              <w:tabs>
                <w:tab w:val="left" w:pos="589"/>
              </w:tabs>
              <w:jc w:val="both"/>
              <w:rPr>
                <w:rFonts w:eastAsia="Calibri"/>
                <w:bCs/>
                <w:sz w:val="22"/>
                <w:szCs w:val="22"/>
              </w:rPr>
            </w:pPr>
            <w:r>
              <w:rPr>
                <w:rFonts w:eastAsia="Calibri"/>
                <w:bCs/>
                <w:sz w:val="22"/>
                <w:szCs w:val="22"/>
              </w:rPr>
              <w:t>Projekto vykdytojo deklaracija.</w:t>
            </w:r>
          </w:p>
          <w:p w14:paraId="33EA20F8" w14:textId="5BB4D37B" w:rsidR="001132E0" w:rsidRDefault="001132E0">
            <w:pPr>
              <w:jc w:val="both"/>
              <w:rPr>
                <w:rFonts w:eastAsia="Calibri"/>
                <w:bCs/>
                <w:sz w:val="22"/>
                <w:szCs w:val="22"/>
              </w:rPr>
            </w:pPr>
          </w:p>
        </w:tc>
      </w:tr>
      <w:tr w:rsidR="001132E0" w14:paraId="1D0B3C23" w14:textId="77777777">
        <w:tc>
          <w:tcPr>
            <w:tcW w:w="3686" w:type="dxa"/>
            <w:tcBorders>
              <w:top w:val="single" w:sz="4" w:space="0" w:color="auto"/>
              <w:left w:val="single" w:sz="4" w:space="0" w:color="auto"/>
              <w:bottom w:val="single" w:sz="4" w:space="0" w:color="auto"/>
              <w:right w:val="single" w:sz="4" w:space="0" w:color="auto"/>
            </w:tcBorders>
            <w:hideMark/>
          </w:tcPr>
          <w:p w14:paraId="6127A8B3" w14:textId="6E784FC5" w:rsidR="001132E0" w:rsidRDefault="00B33655">
            <w:pPr>
              <w:tabs>
                <w:tab w:val="left" w:pos="289"/>
              </w:tabs>
              <w:ind w:firstLine="5"/>
              <w:jc w:val="both"/>
              <w:rPr>
                <w:rFonts w:eastAsia="Calibri"/>
                <w:sz w:val="22"/>
                <w:szCs w:val="22"/>
              </w:rPr>
            </w:pPr>
            <w:r>
              <w:rPr>
                <w:rFonts w:eastAsia="Calibri"/>
                <w:sz w:val="22"/>
                <w:szCs w:val="22"/>
              </w:rPr>
              <w:t>3.</w:t>
            </w:r>
            <w:r>
              <w:rPr>
                <w:rFonts w:eastAsia="Calibri"/>
                <w:sz w:val="22"/>
                <w:szCs w:val="22"/>
              </w:rPr>
              <w:tab/>
              <w:t>Tausus vandens ir jūrų išteklių naudojimas ir apsauga</w:t>
            </w:r>
          </w:p>
        </w:tc>
        <w:tc>
          <w:tcPr>
            <w:tcW w:w="7230" w:type="dxa"/>
            <w:tcBorders>
              <w:top w:val="single" w:sz="4" w:space="0" w:color="auto"/>
              <w:left w:val="single" w:sz="4" w:space="0" w:color="auto"/>
              <w:bottom w:val="single" w:sz="4" w:space="0" w:color="auto"/>
              <w:right w:val="single" w:sz="4" w:space="0" w:color="auto"/>
            </w:tcBorders>
          </w:tcPr>
          <w:p w14:paraId="638AC999" w14:textId="77777777" w:rsidR="001132E0" w:rsidRDefault="00B33655">
            <w:pPr>
              <w:jc w:val="both"/>
              <w:rPr>
                <w:rFonts w:eastAsia="Calibri"/>
                <w:sz w:val="22"/>
                <w:szCs w:val="22"/>
              </w:rPr>
            </w:pPr>
            <w:r>
              <w:rPr>
                <w:sz w:val="22"/>
                <w:szCs w:val="22"/>
              </w:rPr>
              <w:t xml:space="preserve">Projektų veiklos dėl savo pobūdžio neturės jokio neigiamo tiesioginio ar netiesioginio poveikio tausaus vandens ir jūrų išteklių naudojimo ir apsaugos tikslui, </w:t>
            </w:r>
            <w:r>
              <w:rPr>
                <w:rFonts w:eastAsia="Calibri"/>
                <w:sz w:val="22"/>
                <w:szCs w:val="22"/>
              </w:rPr>
              <w:t>kadangi numatoma investuoti į esamos švietimo infrastruktūros tobulinimą, dėl to tikėtinas efektyvesnis vandenų išteklių naudojimas. Pakeitus seną ir neefektyvią vandens infrastruktūrą būtų naudojami efektyvesni vandens prietaisai, atitinkantys naujausius ES efektyvumo standartus. </w:t>
            </w:r>
          </w:p>
          <w:p w14:paraId="5E64E991" w14:textId="77777777" w:rsidR="001132E0" w:rsidRDefault="00B33655">
            <w:pPr>
              <w:jc w:val="both"/>
              <w:textAlignment w:val="baseline"/>
              <w:rPr>
                <w:rFonts w:eastAsia="Calibri"/>
                <w:sz w:val="22"/>
                <w:szCs w:val="22"/>
              </w:rPr>
            </w:pPr>
            <w:r>
              <w:rPr>
                <w:rFonts w:eastAsia="Calibri"/>
                <w:sz w:val="22"/>
                <w:szCs w:val="22"/>
              </w:rPr>
              <w:t>Taip pat, siekiant išvengti poveikio statybvietėje, nustatoma ir sprendžiama aplinkos degradacijos rizika, susijusi su vandens kokybės išsaugojimu ir vandens tausojimu. </w:t>
            </w:r>
          </w:p>
          <w:p w14:paraId="497FBC6F" w14:textId="20E442E6" w:rsidR="001132E0" w:rsidRDefault="00B33655">
            <w:pPr>
              <w:jc w:val="both"/>
              <w:rPr>
                <w:rFonts w:eastAsia="Calibri"/>
                <w:bCs/>
                <w:sz w:val="22"/>
                <w:szCs w:val="22"/>
              </w:rPr>
            </w:pPr>
            <w:r>
              <w:rPr>
                <w:rFonts w:eastAsia="Calibri"/>
                <w:sz w:val="22"/>
                <w:szCs w:val="22"/>
              </w:rPr>
              <w:t>Planuojamos veiklos neturės tiesioginio ar netiesioginio neigiamo poveikio šiam aplinkos tikslui, nes įgyvendinant šią veiklą neplanuojama statyti jokios infrastruktūros vandens telkinių apsaugos zonose arba arti vandens telkinių, nes tai galėtų turėti neigiamą poveikį tausaus vandens ir jūrų išteklių naudojimui</w:t>
            </w:r>
          </w:p>
        </w:tc>
        <w:tc>
          <w:tcPr>
            <w:tcW w:w="3827" w:type="dxa"/>
            <w:tcBorders>
              <w:top w:val="single" w:sz="4" w:space="0" w:color="auto"/>
              <w:left w:val="single" w:sz="4" w:space="0" w:color="auto"/>
              <w:bottom w:val="single" w:sz="4" w:space="0" w:color="auto"/>
              <w:right w:val="single" w:sz="4" w:space="0" w:color="auto"/>
            </w:tcBorders>
          </w:tcPr>
          <w:p w14:paraId="211F1B20" w14:textId="77777777" w:rsidR="001132E0" w:rsidRDefault="00B33655">
            <w:pPr>
              <w:tabs>
                <w:tab w:val="left" w:pos="589"/>
              </w:tabs>
              <w:spacing w:line="259" w:lineRule="auto"/>
              <w:jc w:val="both"/>
              <w:rPr>
                <w:rFonts w:eastAsia="Calibri"/>
                <w:bCs/>
                <w:sz w:val="22"/>
                <w:szCs w:val="22"/>
              </w:rPr>
            </w:pPr>
            <w:r>
              <w:rPr>
                <w:rFonts w:eastAsia="Calibri"/>
                <w:bCs/>
                <w:sz w:val="22"/>
                <w:szCs w:val="22"/>
              </w:rPr>
              <w:t>Pirkimų dokumentacija, sutartis su rangovu, darbų atlikimo aktas ir pan.</w:t>
            </w:r>
          </w:p>
          <w:p w14:paraId="41605BE3" w14:textId="77777777" w:rsidR="001132E0" w:rsidRDefault="00B33655">
            <w:pPr>
              <w:tabs>
                <w:tab w:val="left" w:pos="589"/>
              </w:tabs>
              <w:jc w:val="both"/>
              <w:rPr>
                <w:rFonts w:eastAsia="Calibri"/>
                <w:bCs/>
                <w:sz w:val="22"/>
                <w:szCs w:val="22"/>
              </w:rPr>
            </w:pPr>
            <w:r>
              <w:rPr>
                <w:rFonts w:eastAsia="Calibri"/>
                <w:bCs/>
                <w:sz w:val="22"/>
                <w:szCs w:val="22"/>
              </w:rPr>
              <w:t>Reikalingos įrangos įsigijimo dokumentai.</w:t>
            </w:r>
          </w:p>
          <w:p w14:paraId="28B1F553" w14:textId="77777777" w:rsidR="001132E0" w:rsidRDefault="00B33655">
            <w:pPr>
              <w:tabs>
                <w:tab w:val="left" w:pos="589"/>
              </w:tabs>
              <w:jc w:val="both"/>
              <w:rPr>
                <w:rFonts w:eastAsia="Calibri"/>
                <w:bCs/>
                <w:sz w:val="22"/>
                <w:szCs w:val="22"/>
              </w:rPr>
            </w:pPr>
            <w:r>
              <w:rPr>
                <w:rFonts w:eastAsia="Calibri"/>
                <w:bCs/>
                <w:sz w:val="22"/>
                <w:szCs w:val="22"/>
              </w:rPr>
              <w:t>Projekto vykdytojo deklaracija.</w:t>
            </w:r>
          </w:p>
          <w:p w14:paraId="446CCD42" w14:textId="3424497A" w:rsidR="001132E0" w:rsidRDefault="001132E0">
            <w:pPr>
              <w:jc w:val="both"/>
              <w:rPr>
                <w:rFonts w:eastAsia="Calibri"/>
                <w:bCs/>
                <w:sz w:val="22"/>
                <w:szCs w:val="22"/>
              </w:rPr>
            </w:pPr>
          </w:p>
        </w:tc>
      </w:tr>
      <w:tr w:rsidR="001132E0" w14:paraId="646C9EB8" w14:textId="77777777">
        <w:tc>
          <w:tcPr>
            <w:tcW w:w="3686" w:type="dxa"/>
            <w:tcBorders>
              <w:top w:val="single" w:sz="4" w:space="0" w:color="auto"/>
              <w:left w:val="single" w:sz="4" w:space="0" w:color="auto"/>
              <w:bottom w:val="single" w:sz="4" w:space="0" w:color="auto"/>
              <w:right w:val="single" w:sz="4" w:space="0" w:color="auto"/>
            </w:tcBorders>
            <w:hideMark/>
          </w:tcPr>
          <w:p w14:paraId="530ED86A" w14:textId="4826BAB2" w:rsidR="001132E0" w:rsidRDefault="00B33655">
            <w:pPr>
              <w:tabs>
                <w:tab w:val="left" w:pos="289"/>
              </w:tabs>
              <w:ind w:firstLine="5"/>
              <w:jc w:val="both"/>
              <w:rPr>
                <w:rFonts w:eastAsia="Calibri"/>
                <w:sz w:val="22"/>
                <w:szCs w:val="22"/>
              </w:rPr>
            </w:pPr>
            <w:r>
              <w:rPr>
                <w:rFonts w:eastAsia="Calibri"/>
                <w:sz w:val="22"/>
                <w:szCs w:val="22"/>
              </w:rPr>
              <w:t>4.</w:t>
            </w:r>
            <w:r>
              <w:rPr>
                <w:rFonts w:eastAsia="Calibri"/>
                <w:sz w:val="22"/>
                <w:szCs w:val="22"/>
              </w:rPr>
              <w:tab/>
              <w:t xml:space="preserve">Perėjimas prie žiedinės ekonomikos, įskaitant atliekų prevenciją ir perdirbimą </w:t>
            </w:r>
          </w:p>
        </w:tc>
        <w:tc>
          <w:tcPr>
            <w:tcW w:w="7230" w:type="dxa"/>
            <w:tcBorders>
              <w:top w:val="single" w:sz="4" w:space="0" w:color="auto"/>
              <w:left w:val="single" w:sz="4" w:space="0" w:color="auto"/>
              <w:bottom w:val="single" w:sz="4" w:space="0" w:color="auto"/>
              <w:right w:val="single" w:sz="4" w:space="0" w:color="auto"/>
            </w:tcBorders>
          </w:tcPr>
          <w:p w14:paraId="7B914235" w14:textId="38428920" w:rsidR="001132E0" w:rsidRDefault="00B33655">
            <w:pPr>
              <w:jc w:val="both"/>
              <w:rPr>
                <w:sz w:val="22"/>
                <w:szCs w:val="22"/>
              </w:rPr>
            </w:pPr>
            <w:r>
              <w:rPr>
                <w:sz w:val="22"/>
                <w:szCs w:val="22"/>
              </w:rPr>
              <w:t>Projektų veiklos dėl savo pobūdžio neturi jokio neigiamo tiesioginio ir netiesioginio poveikio šiam aplinkos tikslui.</w:t>
            </w:r>
          </w:p>
          <w:p w14:paraId="622D079C" w14:textId="77777777" w:rsidR="001132E0" w:rsidRDefault="00B33655">
            <w:pPr>
              <w:jc w:val="both"/>
              <w:rPr>
                <w:rFonts w:eastAsia="Calibri"/>
                <w:sz w:val="22"/>
                <w:szCs w:val="22"/>
              </w:rPr>
            </w:pPr>
            <w:r>
              <w:rPr>
                <w:rFonts w:eastAsia="Calibri"/>
                <w:sz w:val="22"/>
                <w:szCs w:val="22"/>
              </w:rPr>
              <w:t>Įgyvendinant planuojamas veiklas, susijusias su infrastruktūros kūrimu, modernizavimu, įrangos, priemonių ir kitų išteklių įsigijimu, užtikrinamas efektyvus atliekų surinkimas, skatinamas atskirų dalių pakartotinas naudojimas bei statytojams numatyti reikalavimai riboti atliekų susidarymą modernizavimo metu, taikyti naujausius metodus, pakartotinį medžiagų naudojimą ar perdirbimą, naudojantis pažangiomis statybinių atliekų rūšiavimo sistemomis. Todėl laikoma, kad veiklos atitinka žiedinės ekonomikos tikslą. </w:t>
            </w:r>
          </w:p>
          <w:p w14:paraId="7489CBF4" w14:textId="77777777" w:rsidR="001132E0" w:rsidRDefault="00B33655">
            <w:pPr>
              <w:jc w:val="both"/>
              <w:textAlignment w:val="baseline"/>
              <w:rPr>
                <w:rFonts w:eastAsia="Calibri"/>
                <w:sz w:val="22"/>
                <w:szCs w:val="22"/>
                <w:lang w:eastAsia="lt-LT"/>
              </w:rPr>
            </w:pPr>
            <w:r>
              <w:rPr>
                <w:rFonts w:eastAsia="Calibri"/>
                <w:sz w:val="22"/>
                <w:szCs w:val="22"/>
                <w:lang w:eastAsia="lt-LT"/>
              </w:rPr>
              <w:t>Nenumatoma, kad investicijos darys neigiamą įtaką žiedinei ekonomikai, kadangi atliekant švietimo įstaigų rekonstrukcijos (modernizavimo) darbus bus taikomi šie reikalavimai: </w:t>
            </w:r>
          </w:p>
          <w:p w14:paraId="65623923" w14:textId="77777777" w:rsidR="001132E0" w:rsidRDefault="00B33655">
            <w:pPr>
              <w:tabs>
                <w:tab w:val="left" w:pos="720"/>
              </w:tabs>
              <w:jc w:val="both"/>
              <w:textAlignment w:val="baseline"/>
              <w:rPr>
                <w:rFonts w:eastAsia="Calibri"/>
                <w:sz w:val="22"/>
                <w:szCs w:val="22"/>
                <w:lang w:eastAsia="lt-LT"/>
              </w:rPr>
            </w:pPr>
            <w:r>
              <w:rPr>
                <w:rFonts w:eastAsia="Calibri"/>
                <w:sz w:val="22"/>
                <w:szCs w:val="22"/>
                <w:lang w:eastAsia="lt-LT"/>
              </w:rPr>
              <w:t></w:t>
            </w:r>
            <w:r>
              <w:rPr>
                <w:rFonts w:eastAsia="Calibri"/>
                <w:sz w:val="22"/>
                <w:szCs w:val="22"/>
                <w:lang w:eastAsia="lt-LT"/>
              </w:rPr>
              <w:tab/>
              <w:t>mažiausiai 70 %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ES statybos ir griovimo atliekų tvarkymo protokolo;  </w:t>
            </w:r>
          </w:p>
          <w:p w14:paraId="0436EA55" w14:textId="19609069" w:rsidR="001132E0" w:rsidRDefault="00B33655">
            <w:pPr>
              <w:shd w:val="clear" w:color="auto" w:fill="FFFFFF"/>
              <w:tabs>
                <w:tab w:val="left" w:pos="720"/>
              </w:tabs>
              <w:jc w:val="both"/>
              <w:textAlignment w:val="baseline"/>
              <w:rPr>
                <w:rFonts w:eastAsia="Calibri"/>
                <w:sz w:val="22"/>
                <w:szCs w:val="22"/>
                <w:lang w:eastAsia="lt-LT"/>
              </w:rPr>
            </w:pPr>
            <w:r>
              <w:rPr>
                <w:rFonts w:eastAsia="Calibri"/>
                <w:sz w:val="22"/>
                <w:szCs w:val="22"/>
                <w:lang w:eastAsia="lt-LT"/>
              </w:rPr>
              <w:t></w:t>
            </w:r>
            <w:r>
              <w:rPr>
                <w:rFonts w:eastAsia="Calibri"/>
                <w:sz w:val="22"/>
                <w:szCs w:val="22"/>
                <w:lang w:eastAsia="lt-LT"/>
              </w:rPr>
              <w:tab/>
              <w:t>operatoriai bus įpareigoti riboti atliekų susidarymą procesuose, susijusiuose su statyba ir griovimu, laikytis ES statybos ir griovimo atliekų tvarkymo protokolo ir atsižvelgti į geriausius prieinamus metodus, naudoti selektyvų griovimą, kad būtų galima pašalinti ir saugiai tvarkyti pavojingas medžiagas ir palengvinti pakartotinį perdirbimą. Statybinės atliekos Atliekų tvarkymo įstatymo ir kitų teisės aktų nustatyta tvarka bus perduodamos atliekų tvarkytojams, turintiems teisę tvarkyti tokias atliekas.  Statybinių atliekų tvarkymo taisyklės nustatyto, kad statybvietėje turi būti išrūšiuotos ir atskirai laikinai saugomos susidarančios komunalinės atliekos, inertinės atliekos, perdirbti ir pakartotinai naudoti tinkamos atliekos, pavojingosios atliekos ir netinkamos perdirbti atliekos. Išrūšiuotos atliekos bus perduodamos įmonėms, turinčioms teisę tvarkyti tokias atliekas pagal sutartis dėl jų naudojimo ir šalinimo. Asbesto turinčios gaminių atliekos bus šalinamos nustatyta tvarka atskiroje sekcijoje, įrengtoje prie vienos ar kitos klasės sąvartyno, pagal inertinių atliekų sąvartynų reikalavimus pažymėtoje įspėjamaisiais užrašais. Tvarkant atliekas bus vadovaujamasi Europos Sąjungos geriausiais prieinamais gamybos būdais (toliau – GPGB) atliekoms apdoroti; </w:t>
            </w:r>
          </w:p>
          <w:p w14:paraId="49C86099" w14:textId="77777777" w:rsidR="001132E0" w:rsidRDefault="00B33655">
            <w:pPr>
              <w:tabs>
                <w:tab w:val="left" w:pos="720"/>
              </w:tabs>
              <w:jc w:val="both"/>
              <w:textAlignment w:val="baseline"/>
              <w:rPr>
                <w:rFonts w:eastAsia="Calibri"/>
                <w:sz w:val="22"/>
                <w:szCs w:val="22"/>
                <w:lang w:eastAsia="lt-LT"/>
              </w:rPr>
            </w:pPr>
            <w:r>
              <w:rPr>
                <w:rFonts w:eastAsia="Calibri"/>
                <w:sz w:val="22"/>
                <w:szCs w:val="22"/>
                <w:lang w:eastAsia="lt-LT"/>
              </w:rPr>
              <w:t></w:t>
            </w:r>
            <w:r>
              <w:rPr>
                <w:rFonts w:eastAsia="Calibri"/>
                <w:sz w:val="22"/>
                <w:szCs w:val="22"/>
                <w:lang w:eastAsia="lt-LT"/>
              </w:rPr>
              <w:tab/>
              <w:t>taip pat numatoma naudoti ir kokybiškai perdirbti selektyviai pašalinant medžiagas, naudojant turimas statybinių ir griovimo atliekų rūšiavimo sistemas;  </w:t>
            </w:r>
          </w:p>
          <w:p w14:paraId="272E9D62" w14:textId="77777777" w:rsidR="001132E0" w:rsidRDefault="00B33655">
            <w:pPr>
              <w:tabs>
                <w:tab w:val="left" w:pos="720"/>
              </w:tabs>
              <w:jc w:val="both"/>
              <w:textAlignment w:val="baseline"/>
              <w:rPr>
                <w:rFonts w:eastAsia="Calibri"/>
                <w:sz w:val="22"/>
                <w:szCs w:val="22"/>
                <w:lang w:eastAsia="lt-LT"/>
              </w:rPr>
            </w:pPr>
            <w:r>
              <w:rPr>
                <w:rFonts w:eastAsia="Calibri"/>
                <w:sz w:val="22"/>
                <w:szCs w:val="22"/>
                <w:lang w:eastAsia="lt-LT"/>
              </w:rPr>
              <w:t></w:t>
            </w:r>
            <w:r>
              <w:rPr>
                <w:rFonts w:eastAsia="Calibri"/>
                <w:sz w:val="22"/>
                <w:szCs w:val="22"/>
                <w:lang w:eastAsia="lt-LT"/>
              </w:rPr>
              <w:tab/>
              <w:t>pastatų projektai ir statybos metodai turės būti  paremti efektyvia analize atsižvelgiant į ISO 20887, skatinama naudoti pakartotinai panaudojamas medžiagas; </w:t>
            </w:r>
          </w:p>
          <w:p w14:paraId="42587D3C" w14:textId="77777777" w:rsidR="001132E0" w:rsidRDefault="00B33655">
            <w:pPr>
              <w:tabs>
                <w:tab w:val="left" w:pos="720"/>
              </w:tabs>
              <w:jc w:val="both"/>
              <w:textAlignment w:val="baseline"/>
              <w:rPr>
                <w:rFonts w:eastAsia="Calibri"/>
                <w:sz w:val="22"/>
                <w:szCs w:val="22"/>
                <w:lang w:eastAsia="lt-LT"/>
              </w:rPr>
            </w:pPr>
            <w:r>
              <w:rPr>
                <w:rFonts w:eastAsia="Calibri"/>
                <w:sz w:val="22"/>
                <w:szCs w:val="22"/>
                <w:lang w:eastAsia="lt-LT"/>
              </w:rPr>
              <w:t></w:t>
            </w:r>
            <w:r>
              <w:rPr>
                <w:rFonts w:eastAsia="Calibri"/>
                <w:sz w:val="22"/>
                <w:szCs w:val="22"/>
                <w:lang w:eastAsia="lt-LT"/>
              </w:rPr>
              <w:tab/>
              <w:t>statybvietėje bus vedamas atliekų apskaitos žurnalas, susidariusių ir perduotų tvarkyti statybinių atliekų apskaita, nurodomas jų kiekis, teikiamos atliekų apskaitos ataskaitos.  </w:t>
            </w:r>
          </w:p>
          <w:p w14:paraId="60F4E58A" w14:textId="77777777" w:rsidR="001132E0" w:rsidRDefault="00B33655">
            <w:pPr>
              <w:jc w:val="both"/>
              <w:textAlignment w:val="baseline"/>
              <w:rPr>
                <w:rFonts w:eastAsia="Calibri"/>
                <w:sz w:val="22"/>
                <w:szCs w:val="22"/>
                <w:lang w:eastAsia="lt-LT"/>
              </w:rPr>
            </w:pPr>
            <w:r>
              <w:rPr>
                <w:rFonts w:eastAsia="Calibri"/>
                <w:sz w:val="22"/>
                <w:szCs w:val="22"/>
                <w:lang w:eastAsia="lt-LT"/>
              </w:rPr>
              <w:t xml:space="preserve">Kuriant ir (ar) modernizuojant švietimo įstaigas bus laikomasi aplinkos apsaugą ir statybas reglamentuojančių teisės aktų. </w:t>
            </w:r>
          </w:p>
          <w:p w14:paraId="2E16B66D" w14:textId="77777777" w:rsidR="001132E0" w:rsidRDefault="00B33655">
            <w:pPr>
              <w:jc w:val="both"/>
              <w:textAlignment w:val="baseline"/>
              <w:rPr>
                <w:rFonts w:eastAsia="Calibri"/>
                <w:sz w:val="22"/>
                <w:szCs w:val="22"/>
                <w:lang w:eastAsia="lt-LT"/>
              </w:rPr>
            </w:pPr>
            <w:r>
              <w:rPr>
                <w:rFonts w:eastAsia="Calibri"/>
                <w:sz w:val="22"/>
                <w:szCs w:val="22"/>
                <w:lang w:eastAsia="lt-LT"/>
              </w:rPr>
              <w:t xml:space="preserve">Numatoma atlikti planuojamos ūkinės veiklos poveikio aplinkai vertinimą, kaip tai apibrėžta LR planuojamos ūkinės veiklos vertinimo įstatyme. Vykdant veiklas bus vadovaujamasi Statybos techninio reglamento, kuriame įtvirtinti ir aplinkos apsaugos reikalavimai, ir atsakomybė bei kontrolė, </w:t>
            </w:r>
            <w:r>
              <w:rPr>
                <w:color w:val="000000"/>
                <w:sz w:val="22"/>
                <w:szCs w:val="22"/>
                <w:bdr w:val="none" w:sz="0" w:space="0" w:color="auto" w:frame="1"/>
                <w:lang w:eastAsia="lt-LT"/>
              </w:rPr>
              <w:t>nuostatomis</w:t>
            </w:r>
            <w:r>
              <w:rPr>
                <w:rFonts w:eastAsia="Calibri"/>
                <w:sz w:val="22"/>
                <w:szCs w:val="22"/>
                <w:lang w:eastAsia="lt-LT"/>
              </w:rPr>
              <w:t xml:space="preserve">. </w:t>
            </w:r>
          </w:p>
          <w:p w14:paraId="38613E87" w14:textId="77777777" w:rsidR="001132E0" w:rsidRDefault="00B33655">
            <w:pPr>
              <w:jc w:val="both"/>
              <w:textAlignment w:val="baseline"/>
              <w:rPr>
                <w:rFonts w:eastAsia="Calibri"/>
                <w:sz w:val="22"/>
                <w:szCs w:val="22"/>
                <w:lang w:eastAsia="lt-LT"/>
              </w:rPr>
            </w:pPr>
            <w:r>
              <w:rPr>
                <w:rFonts w:eastAsia="Calibri"/>
                <w:sz w:val="22"/>
                <w:szCs w:val="22"/>
                <w:lang w:eastAsia="lt-LT"/>
              </w:rPr>
              <w:t>Statybos nebus atliekamos potvynių zonose. Bus skatinama naudoti žaliąją infrastruktūrą – augmeniją ir kitus pastatų dizaino / apželdinimo sprendinius, kurie sumažintų energijos (kondensavimo) poreikius, ir kt. </w:t>
            </w:r>
          </w:p>
          <w:p w14:paraId="05A88D19" w14:textId="77777777" w:rsidR="001132E0" w:rsidRDefault="00B33655">
            <w:pPr>
              <w:jc w:val="both"/>
              <w:textAlignment w:val="baseline"/>
              <w:rPr>
                <w:rFonts w:eastAsia="Calibri"/>
                <w:sz w:val="22"/>
                <w:szCs w:val="22"/>
                <w:lang w:eastAsia="lt-LT"/>
              </w:rPr>
            </w:pPr>
            <w:r>
              <w:rPr>
                <w:rFonts w:eastAsia="Calibri"/>
                <w:sz w:val="22"/>
                <w:szCs w:val="22"/>
                <w:lang w:eastAsia="lt-LT"/>
              </w:rPr>
              <w:t>Tai užtikrins rizikos dėl neigiamo poveikio klimatui, žmonėms, gamtai ar turtui eliminavimą.  </w:t>
            </w:r>
          </w:p>
          <w:p w14:paraId="2E39B992" w14:textId="10F032A2" w:rsidR="001132E0" w:rsidRDefault="00B33655">
            <w:pPr>
              <w:jc w:val="both"/>
              <w:textAlignment w:val="baseline"/>
              <w:rPr>
                <w:rFonts w:eastAsia="Calibri"/>
                <w:sz w:val="22"/>
                <w:szCs w:val="22"/>
                <w:lang w:eastAsia="lt-LT"/>
              </w:rPr>
            </w:pPr>
            <w:r>
              <w:rPr>
                <w:rFonts w:eastAsia="Calibri"/>
                <w:sz w:val="22"/>
                <w:szCs w:val="22"/>
                <w:lang w:eastAsia="lt-LT"/>
              </w:rPr>
              <w:t>Bus užtikrintas 2018 m. gegužės 30 d. Europos Parlamento ir Tarybos direktyvos (ES) 2018/844, kuria iš dalies keičiama Direktyva 2010/31/ES dėl pastatų energinio naudingumo ir Direktyva 2012/27/ES dėl energijos vartojimo efektyvumo, reikalavimų, susijusių su energetiniu pastatų efektyvumu, laikymasis (tai bus numatoma paslaugų įsigijimo ir kt.  dokumentuose). </w:t>
            </w:r>
          </w:p>
          <w:p w14:paraId="709FBD16" w14:textId="3FFC617D" w:rsidR="001132E0" w:rsidRDefault="00B33655">
            <w:pPr>
              <w:jc w:val="both"/>
              <w:rPr>
                <w:rFonts w:eastAsia="Calibri"/>
                <w:bCs/>
                <w:sz w:val="22"/>
                <w:szCs w:val="22"/>
              </w:rPr>
            </w:pPr>
            <w:r>
              <w:rPr>
                <w:rFonts w:eastAsia="Calibri"/>
                <w:bCs/>
                <w:sz w:val="22"/>
                <w:szCs w:val="22"/>
              </w:rPr>
              <w:t>Planuojama įsigyti IT įranga privalės atitikti (tai bus numatoma atitinkamuose IT įrangos įsigijimo dokumentuose) efektyvumo, tvarumo, ilgaamžiškumo reikalavimus pagal Direktyvą 2009/125/EB (serveriams ir duomenims saugoti, kompiuteriams ir kompiuterių serveriams ar elektroniniams ekranams) ir Direktyvą 2011/65/ES.</w:t>
            </w:r>
          </w:p>
          <w:p w14:paraId="0EA5D415" w14:textId="67C3F28D" w:rsidR="001132E0" w:rsidRDefault="00B33655">
            <w:pPr>
              <w:jc w:val="both"/>
              <w:rPr>
                <w:sz w:val="22"/>
                <w:szCs w:val="22"/>
              </w:rPr>
            </w:pPr>
            <w:r>
              <w:rPr>
                <w:rFonts w:eastAsia="Calibri"/>
                <w:sz w:val="22"/>
                <w:szCs w:val="22"/>
                <w:lang w:eastAsia="lt-LT"/>
              </w:rPr>
              <w:t>Pasibaigus įsigytos įrangos naudingo tarnavimo laikui, įrangos tiekėjai (pardavėjai) privalės (tai bus numatoma atitinkamuose įrangos įsigijimo dokumentuose) įrangos atliekas sutvarkyti vadovaudamiesi 2012 m. liepos 4 d. Europos Parlamento ir Tarybos direktyva 2012/19/ES dėl elektros ir elektroninės įrangos atliekų, reikalavimais ir Lietuvos Respublikos teisės aktais, reglamentuojančiais atliekų tvarkymą, bei Valstybinio atliekų prevencijos ir tvarkymo plano nuostatomis. </w:t>
            </w:r>
          </w:p>
        </w:tc>
        <w:tc>
          <w:tcPr>
            <w:tcW w:w="3827" w:type="dxa"/>
            <w:tcBorders>
              <w:top w:val="single" w:sz="4" w:space="0" w:color="auto"/>
              <w:left w:val="single" w:sz="4" w:space="0" w:color="auto"/>
              <w:bottom w:val="single" w:sz="4" w:space="0" w:color="auto"/>
              <w:right w:val="single" w:sz="4" w:space="0" w:color="auto"/>
            </w:tcBorders>
          </w:tcPr>
          <w:p w14:paraId="2AAAC205" w14:textId="02B502B7" w:rsidR="001132E0" w:rsidRDefault="00B33655">
            <w:pPr>
              <w:tabs>
                <w:tab w:val="left" w:pos="589"/>
              </w:tabs>
              <w:spacing w:line="259" w:lineRule="auto"/>
              <w:ind w:firstLine="62"/>
              <w:jc w:val="both"/>
              <w:rPr>
                <w:rFonts w:eastAsia="Calibri"/>
                <w:bCs/>
                <w:sz w:val="22"/>
                <w:szCs w:val="22"/>
              </w:rPr>
            </w:pPr>
            <w:r>
              <w:rPr>
                <w:rFonts w:eastAsia="Calibri"/>
                <w:bCs/>
                <w:sz w:val="22"/>
                <w:szCs w:val="22"/>
              </w:rPr>
              <w:t>Pirkimų dokumentacija, sutartis su rangovu, darbų atlikimo aktas ir pan.</w:t>
            </w:r>
          </w:p>
          <w:p w14:paraId="73E21108" w14:textId="77777777" w:rsidR="001132E0" w:rsidRDefault="00B33655">
            <w:pPr>
              <w:tabs>
                <w:tab w:val="left" w:pos="589"/>
              </w:tabs>
              <w:jc w:val="both"/>
              <w:rPr>
                <w:rFonts w:eastAsia="Calibri"/>
                <w:bCs/>
                <w:sz w:val="22"/>
                <w:szCs w:val="22"/>
              </w:rPr>
            </w:pPr>
            <w:r>
              <w:rPr>
                <w:rFonts w:eastAsia="Calibri"/>
                <w:bCs/>
                <w:sz w:val="22"/>
                <w:szCs w:val="22"/>
              </w:rPr>
              <w:t>Reikalingos įrangos įsigijimo dokumentai.</w:t>
            </w:r>
          </w:p>
          <w:p w14:paraId="42B44A3B" w14:textId="77777777" w:rsidR="001132E0" w:rsidRDefault="00B33655">
            <w:pPr>
              <w:tabs>
                <w:tab w:val="left" w:pos="589"/>
              </w:tabs>
              <w:jc w:val="both"/>
              <w:rPr>
                <w:rFonts w:eastAsia="Calibri"/>
                <w:bCs/>
                <w:sz w:val="22"/>
                <w:szCs w:val="22"/>
              </w:rPr>
            </w:pPr>
            <w:r>
              <w:rPr>
                <w:rFonts w:eastAsia="Calibri"/>
                <w:bCs/>
                <w:sz w:val="22"/>
                <w:szCs w:val="22"/>
              </w:rPr>
              <w:t>Projekto vykdytojo deklaracija.</w:t>
            </w:r>
          </w:p>
          <w:p w14:paraId="0AC5E19B" w14:textId="199089AF" w:rsidR="001132E0" w:rsidRDefault="001132E0">
            <w:pPr>
              <w:jc w:val="both"/>
              <w:rPr>
                <w:rFonts w:eastAsia="Calibri"/>
                <w:sz w:val="22"/>
                <w:szCs w:val="22"/>
              </w:rPr>
            </w:pPr>
          </w:p>
        </w:tc>
      </w:tr>
      <w:tr w:rsidR="001132E0" w14:paraId="38AF9927" w14:textId="77777777">
        <w:tc>
          <w:tcPr>
            <w:tcW w:w="3686" w:type="dxa"/>
            <w:tcBorders>
              <w:top w:val="single" w:sz="4" w:space="0" w:color="auto"/>
              <w:left w:val="single" w:sz="4" w:space="0" w:color="auto"/>
              <w:bottom w:val="single" w:sz="4" w:space="0" w:color="auto"/>
              <w:right w:val="single" w:sz="4" w:space="0" w:color="auto"/>
            </w:tcBorders>
            <w:hideMark/>
          </w:tcPr>
          <w:p w14:paraId="3611E784" w14:textId="674606FC" w:rsidR="001132E0" w:rsidRDefault="00B33655">
            <w:pPr>
              <w:tabs>
                <w:tab w:val="left" w:pos="289"/>
              </w:tabs>
              <w:ind w:firstLine="5"/>
              <w:jc w:val="both"/>
              <w:rPr>
                <w:rFonts w:eastAsia="Calibri"/>
                <w:sz w:val="22"/>
                <w:szCs w:val="22"/>
              </w:rPr>
            </w:pPr>
            <w:r>
              <w:rPr>
                <w:rFonts w:eastAsia="Calibri"/>
                <w:sz w:val="22"/>
                <w:szCs w:val="22"/>
              </w:rPr>
              <w:t>5.</w:t>
            </w:r>
            <w:r>
              <w:rPr>
                <w:rFonts w:eastAsia="Calibri"/>
                <w:sz w:val="22"/>
                <w:szCs w:val="22"/>
              </w:rPr>
              <w:tab/>
            </w:r>
            <w:r>
              <w:rPr>
                <w:rFonts w:eastAsia="Calibri"/>
                <w:bCs/>
                <w:sz w:val="22"/>
                <w:szCs w:val="22"/>
              </w:rPr>
              <w:t>Oro, vandens ar žemės taršos prevencija ir kontrolė</w:t>
            </w:r>
          </w:p>
        </w:tc>
        <w:tc>
          <w:tcPr>
            <w:tcW w:w="7230" w:type="dxa"/>
            <w:tcBorders>
              <w:top w:val="single" w:sz="4" w:space="0" w:color="auto"/>
              <w:left w:val="single" w:sz="4" w:space="0" w:color="auto"/>
              <w:bottom w:val="single" w:sz="4" w:space="0" w:color="auto"/>
              <w:right w:val="single" w:sz="4" w:space="0" w:color="auto"/>
            </w:tcBorders>
          </w:tcPr>
          <w:p w14:paraId="67EB714B" w14:textId="10E6CEBA" w:rsidR="001132E0" w:rsidRDefault="00B33655">
            <w:pPr>
              <w:jc w:val="both"/>
              <w:rPr>
                <w:sz w:val="22"/>
                <w:szCs w:val="22"/>
              </w:rPr>
            </w:pPr>
            <w:r>
              <w:rPr>
                <w:sz w:val="22"/>
                <w:szCs w:val="22"/>
              </w:rPr>
              <w:t>Projektų veiklos dėl savo pobūdžio neturi jokio neigiamo tiesioginio ir netiesioginio poveikio šiam aplinkos tikslui.</w:t>
            </w:r>
          </w:p>
          <w:p w14:paraId="353B62B9" w14:textId="77777777" w:rsidR="001132E0" w:rsidRDefault="00B33655">
            <w:pPr>
              <w:jc w:val="both"/>
              <w:rPr>
                <w:rFonts w:eastAsia="Calibri"/>
                <w:sz w:val="22"/>
                <w:szCs w:val="22"/>
              </w:rPr>
            </w:pPr>
            <w:r>
              <w:rPr>
                <w:rFonts w:eastAsia="Calibri"/>
                <w:sz w:val="22"/>
                <w:szCs w:val="22"/>
              </w:rPr>
              <w:t>Planuojamos įgyvendinti veiklos neturės jokio neigiamo tiesioginio ar netiesioginio poveikio reikšmingai oro, vandens ir dirvožemio taršai, nes modernizuojant bus naudojamos Statybos techniniame reglamente ir kituose teisės aktuose leistinos medžiagos, atitinkančios aplinkos apsaugos reikalavimus. </w:t>
            </w:r>
          </w:p>
          <w:p w14:paraId="42472062" w14:textId="77777777" w:rsidR="001132E0" w:rsidRDefault="00B33655">
            <w:pPr>
              <w:jc w:val="both"/>
              <w:textAlignment w:val="baseline"/>
              <w:rPr>
                <w:rFonts w:eastAsia="Calibri"/>
                <w:sz w:val="22"/>
                <w:szCs w:val="22"/>
              </w:rPr>
            </w:pPr>
            <w:r>
              <w:rPr>
                <w:rFonts w:eastAsia="Calibri"/>
                <w:sz w:val="22"/>
                <w:szCs w:val="22"/>
              </w:rPr>
              <w:t>Nenumatoma, kad įgyvendinant veiklas padidės teršalų išmetimas į orą, vandenį ar žemę, kadangi: </w:t>
            </w:r>
          </w:p>
          <w:p w14:paraId="3DB22CE3" w14:textId="636F7D1B" w:rsidR="001132E0" w:rsidRDefault="00B33655">
            <w:pPr>
              <w:jc w:val="both"/>
              <w:textAlignment w:val="baseline"/>
              <w:rPr>
                <w:rFonts w:eastAsia="Calibri"/>
                <w:sz w:val="22"/>
                <w:szCs w:val="22"/>
              </w:rPr>
            </w:pPr>
            <w:r>
              <w:rPr>
                <w:rFonts w:eastAsia="Calibri"/>
                <w:sz w:val="22"/>
                <w:szCs w:val="22"/>
              </w:rPr>
              <w:t>1. statybose naudojamose statybinėse dalyse ir medžiagose nėra asbesto ir labai didelį susirūpinimą keliančių medžiagų, nustatytų remiantis medžiagų, kurioms reikalingas leidimas, sąrašu, nurodytu 2006 m. gruodžio 18 d. Europos Parlamento ir Tarybos reglamentas (EB) Nr. 1907/2006 dėl cheminių medžiagų registracijos, įvertinimo, autorizacijos ir apribojimų (REACH), įsteigiantis Europos cheminių medžiagų agentūrą, iš dalies keičiantis Direktyvą 1999/45/EB bei panaikinantis Tarybos reglamentą (EEB) Nr. 793/93, Komisijos reglamentą (EB) Nr. 1488/94, Tarybos direktyvą 76/769/EEB ir Komisijos direktyvas 91/155/EEB, 93/67/EEB, 93/105/EB bei 2000/21/EB, XIV priede;</w:t>
            </w:r>
          </w:p>
          <w:p w14:paraId="7770DFC5" w14:textId="4D72FC21" w:rsidR="001132E0" w:rsidRDefault="00B33655">
            <w:pPr>
              <w:jc w:val="both"/>
              <w:textAlignment w:val="baseline"/>
              <w:rPr>
                <w:rFonts w:eastAsia="Calibri"/>
                <w:sz w:val="22"/>
                <w:szCs w:val="22"/>
              </w:rPr>
            </w:pPr>
            <w:r>
              <w:rPr>
                <w:rFonts w:eastAsia="Calibri"/>
                <w:sz w:val="22"/>
                <w:szCs w:val="22"/>
              </w:rPr>
              <w:t>2. statyboje naudojami komponentai ir medžiagos, galinčios liestis su žmonėmis, išskiria mažiau nei 0,06 mg formaldehido 1 m³ medžiagos ar komponento ir mažiau kaip 0,001 mg 1A ir 1B kategorijos kancerogeninių lakiųjų organinių junginių 1 m³ medžiagos arba komponento, atlikus bandymus pagal CEN / TS 16516 ir ISO 16000-3 arba kitas panašias standartizuotas bandymo sąlygas ir nustatymo metodus; </w:t>
            </w:r>
          </w:p>
          <w:p w14:paraId="40458A91" w14:textId="6244F7BA" w:rsidR="001132E0" w:rsidRDefault="00B33655">
            <w:pPr>
              <w:jc w:val="both"/>
              <w:textAlignment w:val="baseline"/>
              <w:rPr>
                <w:rFonts w:eastAsia="Calibri"/>
                <w:sz w:val="22"/>
                <w:szCs w:val="22"/>
              </w:rPr>
            </w:pPr>
            <w:r>
              <w:rPr>
                <w:rFonts w:eastAsia="Calibri"/>
                <w:sz w:val="22"/>
                <w:szCs w:val="22"/>
              </w:rPr>
              <w:t>3. imamasi priemonių sumažinti triukšmą, dulkių ir teršalų išmetimą vykdant statybos ar priežiūros darbus. </w:t>
            </w:r>
          </w:p>
          <w:p w14:paraId="5BBF4A12" w14:textId="77777777" w:rsidR="001132E0" w:rsidRDefault="001132E0">
            <w:pPr>
              <w:jc w:val="both"/>
              <w:rPr>
                <w:rFonts w:eastAsia="Calibri"/>
                <w:sz w:val="22"/>
                <w:szCs w:val="22"/>
              </w:rPr>
            </w:pPr>
          </w:p>
          <w:p w14:paraId="4E6628E1" w14:textId="312FA32C" w:rsidR="001132E0" w:rsidRDefault="00B33655">
            <w:pPr>
              <w:jc w:val="both"/>
              <w:rPr>
                <w:sz w:val="22"/>
                <w:szCs w:val="22"/>
              </w:rPr>
            </w:pPr>
            <w:r>
              <w:rPr>
                <w:rFonts w:eastAsia="Calibri"/>
                <w:sz w:val="22"/>
                <w:szCs w:val="22"/>
              </w:rPr>
              <w:t>Veikla įgyvendinama vadovaujantis 2018 m. gruodžio 11 d. Europos Parlamento ir Tarybos Direktyva (ES) 2018/2001 dėl skatinimo naudoti atsinaujinančiųjų išteklių energiją, bendrosios išimties reglamento nuostatomis, taip pat nacionaliniais teisės aktais, kuriuose nustatyti reikalavimai užtikrinti tausų išteklių naudojimą ir apsaugą.</w:t>
            </w:r>
          </w:p>
        </w:tc>
        <w:tc>
          <w:tcPr>
            <w:tcW w:w="3827" w:type="dxa"/>
            <w:tcBorders>
              <w:top w:val="single" w:sz="4" w:space="0" w:color="auto"/>
              <w:left w:val="single" w:sz="4" w:space="0" w:color="auto"/>
              <w:bottom w:val="single" w:sz="4" w:space="0" w:color="auto"/>
              <w:right w:val="single" w:sz="4" w:space="0" w:color="auto"/>
            </w:tcBorders>
          </w:tcPr>
          <w:p w14:paraId="60FDD8B0" w14:textId="54599F12" w:rsidR="001132E0" w:rsidRDefault="00B33655">
            <w:pPr>
              <w:tabs>
                <w:tab w:val="left" w:pos="589"/>
              </w:tabs>
              <w:spacing w:line="259" w:lineRule="auto"/>
              <w:ind w:firstLine="62"/>
              <w:jc w:val="both"/>
              <w:rPr>
                <w:rFonts w:eastAsia="Calibri"/>
                <w:bCs/>
                <w:sz w:val="22"/>
                <w:szCs w:val="22"/>
              </w:rPr>
            </w:pPr>
            <w:r>
              <w:rPr>
                <w:rFonts w:eastAsia="Calibri"/>
                <w:bCs/>
                <w:sz w:val="22"/>
                <w:szCs w:val="22"/>
              </w:rPr>
              <w:t>Pirkimų dokumentacija, sutartis su rangovu, darbų atlikimo aktas ir pan.</w:t>
            </w:r>
          </w:p>
          <w:p w14:paraId="056EBE12" w14:textId="77777777" w:rsidR="001132E0" w:rsidRDefault="00B33655">
            <w:pPr>
              <w:tabs>
                <w:tab w:val="left" w:pos="589"/>
              </w:tabs>
              <w:jc w:val="both"/>
              <w:rPr>
                <w:rFonts w:eastAsia="Calibri"/>
                <w:bCs/>
                <w:sz w:val="22"/>
                <w:szCs w:val="22"/>
              </w:rPr>
            </w:pPr>
            <w:r>
              <w:rPr>
                <w:rFonts w:eastAsia="Calibri"/>
                <w:bCs/>
                <w:sz w:val="22"/>
                <w:szCs w:val="22"/>
              </w:rPr>
              <w:t>Reikalingos įrangos įsigijimo dokumentai.</w:t>
            </w:r>
          </w:p>
          <w:p w14:paraId="047E5BC2" w14:textId="77777777" w:rsidR="001132E0" w:rsidRDefault="00B33655">
            <w:pPr>
              <w:tabs>
                <w:tab w:val="left" w:pos="589"/>
              </w:tabs>
              <w:jc w:val="both"/>
              <w:rPr>
                <w:rFonts w:eastAsia="Calibri"/>
                <w:bCs/>
                <w:sz w:val="22"/>
                <w:szCs w:val="22"/>
              </w:rPr>
            </w:pPr>
            <w:r>
              <w:rPr>
                <w:rFonts w:eastAsia="Calibri"/>
                <w:bCs/>
                <w:sz w:val="22"/>
                <w:szCs w:val="22"/>
              </w:rPr>
              <w:t>Projekto vykdytojo deklaracija.</w:t>
            </w:r>
          </w:p>
          <w:p w14:paraId="403B2963" w14:textId="52B156CC" w:rsidR="001132E0" w:rsidRDefault="001132E0">
            <w:pPr>
              <w:jc w:val="both"/>
              <w:rPr>
                <w:rFonts w:eastAsia="Calibri"/>
                <w:sz w:val="22"/>
                <w:szCs w:val="22"/>
              </w:rPr>
            </w:pPr>
          </w:p>
        </w:tc>
      </w:tr>
      <w:tr w:rsidR="001132E0" w14:paraId="225F36AD" w14:textId="77777777">
        <w:tc>
          <w:tcPr>
            <w:tcW w:w="3686" w:type="dxa"/>
            <w:tcBorders>
              <w:top w:val="single" w:sz="4" w:space="0" w:color="auto"/>
              <w:left w:val="single" w:sz="4" w:space="0" w:color="auto"/>
              <w:bottom w:val="single" w:sz="4" w:space="0" w:color="auto"/>
              <w:right w:val="single" w:sz="4" w:space="0" w:color="auto"/>
            </w:tcBorders>
            <w:hideMark/>
          </w:tcPr>
          <w:p w14:paraId="43932D02" w14:textId="4437EF7D" w:rsidR="001132E0" w:rsidRDefault="00B33655">
            <w:pPr>
              <w:tabs>
                <w:tab w:val="left" w:pos="289"/>
              </w:tabs>
              <w:ind w:left="5" w:firstLine="5"/>
              <w:jc w:val="both"/>
              <w:rPr>
                <w:rFonts w:eastAsia="Calibri"/>
                <w:sz w:val="22"/>
                <w:szCs w:val="22"/>
              </w:rPr>
            </w:pPr>
            <w:r>
              <w:rPr>
                <w:rFonts w:eastAsia="Calibri"/>
                <w:sz w:val="22"/>
                <w:szCs w:val="22"/>
              </w:rPr>
              <w:t>6.</w:t>
            </w:r>
            <w:r>
              <w:rPr>
                <w:rFonts w:eastAsia="Calibri"/>
                <w:sz w:val="22"/>
                <w:szCs w:val="22"/>
              </w:rPr>
              <w:tab/>
              <w:t>Biologinės įvairovės ir ekosistemų apsauga ir atkūrimas</w:t>
            </w:r>
          </w:p>
        </w:tc>
        <w:tc>
          <w:tcPr>
            <w:tcW w:w="7230" w:type="dxa"/>
            <w:tcBorders>
              <w:top w:val="single" w:sz="4" w:space="0" w:color="auto"/>
              <w:left w:val="single" w:sz="4" w:space="0" w:color="auto"/>
              <w:bottom w:val="single" w:sz="4" w:space="0" w:color="auto"/>
              <w:right w:val="single" w:sz="4" w:space="0" w:color="auto"/>
            </w:tcBorders>
          </w:tcPr>
          <w:p w14:paraId="00327647" w14:textId="5AE90EAB" w:rsidR="001132E0" w:rsidRDefault="00B33655">
            <w:pPr>
              <w:jc w:val="both"/>
              <w:rPr>
                <w:sz w:val="22"/>
                <w:szCs w:val="22"/>
              </w:rPr>
            </w:pPr>
            <w:r>
              <w:rPr>
                <w:sz w:val="22"/>
                <w:szCs w:val="22"/>
              </w:rPr>
              <w:t>Projektų veiklos dėl savo pobūdžio neturi jokio neigiamo tiesioginio ir netiesioginio poveikio šiam aplinkos tikslui.</w:t>
            </w:r>
          </w:p>
          <w:p w14:paraId="2AF03F63" w14:textId="77777777" w:rsidR="001132E0" w:rsidRDefault="001132E0">
            <w:pPr>
              <w:ind w:firstLine="285"/>
              <w:jc w:val="both"/>
              <w:rPr>
                <w:rFonts w:eastAsia="Calibri"/>
                <w:bC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8833B59" w14:textId="07AC9412" w:rsidR="001132E0" w:rsidRDefault="001132E0">
            <w:pPr>
              <w:jc w:val="both"/>
              <w:rPr>
                <w:rFonts w:eastAsia="Calibri"/>
                <w:iCs/>
                <w:sz w:val="22"/>
                <w:szCs w:val="22"/>
              </w:rPr>
            </w:pPr>
          </w:p>
          <w:p w14:paraId="5DBC7847" w14:textId="30EB5F09" w:rsidR="001132E0" w:rsidRDefault="00B33655">
            <w:pPr>
              <w:jc w:val="both"/>
              <w:rPr>
                <w:rFonts w:eastAsia="Calibri"/>
                <w:sz w:val="22"/>
                <w:szCs w:val="22"/>
              </w:rPr>
            </w:pPr>
            <w:r>
              <w:rPr>
                <w:rFonts w:eastAsia="Calibri"/>
                <w:iCs/>
                <w:sz w:val="22"/>
                <w:szCs w:val="22"/>
              </w:rPr>
              <w:t>Projekto vykdytojo deklaracija</w:t>
            </w:r>
          </w:p>
        </w:tc>
      </w:tr>
    </w:tbl>
    <w:p w14:paraId="7627E1F8" w14:textId="14307F5C" w:rsidR="001132E0" w:rsidRDefault="001132E0">
      <w:pPr>
        <w:spacing w:line="276" w:lineRule="auto"/>
        <w:jc w:val="both"/>
        <w:rPr>
          <w:rFonts w:eastAsia="Calibri"/>
          <w:bCs/>
          <w:szCs w:val="24"/>
        </w:rPr>
      </w:pPr>
    </w:p>
    <w:p w14:paraId="372234C7" w14:textId="17C57BD9" w:rsidR="001132E0" w:rsidRDefault="00B33655">
      <w:pPr>
        <w:spacing w:line="259" w:lineRule="auto"/>
        <w:jc w:val="center"/>
        <w:rPr>
          <w:sz w:val="22"/>
          <w:szCs w:val="22"/>
        </w:rPr>
      </w:pPr>
      <w:r>
        <w:rPr>
          <w:sz w:val="22"/>
          <w:szCs w:val="22"/>
        </w:rPr>
        <w:t>________________________________________</w:t>
      </w:r>
    </w:p>
    <w:p w14:paraId="1CFB333C" w14:textId="4E93A39E" w:rsidR="001132E0" w:rsidRDefault="001132E0">
      <w:pPr>
        <w:spacing w:line="259" w:lineRule="auto"/>
        <w:jc w:val="center"/>
        <w:rPr>
          <w:sz w:val="22"/>
          <w:szCs w:val="22"/>
        </w:rPr>
      </w:pPr>
    </w:p>
    <w:sectPr w:rsidR="001132E0">
      <w:pgSz w:w="16838" w:h="11906" w:orient="landscape"/>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81B7A" w14:textId="77777777" w:rsidR="00F95A99" w:rsidRDefault="00F95A99">
      <w:pPr>
        <w:rPr>
          <w:sz w:val="22"/>
          <w:szCs w:val="22"/>
        </w:rPr>
      </w:pPr>
      <w:r>
        <w:rPr>
          <w:sz w:val="22"/>
          <w:szCs w:val="22"/>
        </w:rPr>
        <w:separator/>
      </w:r>
    </w:p>
  </w:endnote>
  <w:endnote w:type="continuationSeparator" w:id="0">
    <w:p w14:paraId="691CC7D9" w14:textId="77777777" w:rsidR="00F95A99" w:rsidRDefault="00F95A99">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CD1F0" w14:textId="77777777" w:rsidR="001132E0" w:rsidRDefault="001132E0">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B177" w14:textId="77777777" w:rsidR="001132E0" w:rsidRDefault="001132E0">
    <w:pP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F7CD9" w14:textId="090D0280" w:rsidR="001132E0" w:rsidRDefault="001132E0">
    <w:pPr>
      <w:tabs>
        <w:tab w:val="center" w:pos="4513"/>
        <w:tab w:val="right" w:pos="9026"/>
      </w:tabs>
      <w:jc w:val="center"/>
    </w:pPr>
  </w:p>
  <w:p w14:paraId="37732BC1" w14:textId="77777777" w:rsidR="001132E0" w:rsidRDefault="001132E0">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8E2BC" w14:textId="77777777" w:rsidR="00F95A99" w:rsidRDefault="00F95A99">
      <w:pPr>
        <w:rPr>
          <w:sz w:val="22"/>
          <w:szCs w:val="22"/>
        </w:rPr>
      </w:pPr>
      <w:r>
        <w:rPr>
          <w:sz w:val="22"/>
          <w:szCs w:val="22"/>
        </w:rPr>
        <w:separator/>
      </w:r>
    </w:p>
  </w:footnote>
  <w:footnote w:type="continuationSeparator" w:id="0">
    <w:p w14:paraId="44BB4184" w14:textId="77777777" w:rsidR="00F95A99" w:rsidRDefault="00F95A99">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D2B1E" w14:textId="77777777" w:rsidR="001132E0" w:rsidRDefault="001132E0">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C8D27" w14:textId="5F0526EE" w:rsidR="001132E0" w:rsidRDefault="00B33655" w:rsidP="00B33655">
    <w:pPr>
      <w:tabs>
        <w:tab w:val="center" w:pos="4513"/>
        <w:tab w:val="right" w:pos="9026"/>
      </w:tabs>
      <w:jc w:val="center"/>
    </w:pPr>
    <w:r>
      <w:fldChar w:fldCharType="begin"/>
    </w:r>
    <w:r>
      <w:instrText>PAGE   \* MERGEFORMAT</w:instrText>
    </w:r>
    <w:r>
      <w:fldChar w:fldCharType="separate"/>
    </w:r>
    <w:r w:rsidR="00860EA8">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35725" w14:textId="50CF48BF" w:rsidR="001132E0" w:rsidRPr="00ED0E62" w:rsidRDefault="00ED0E62">
    <w:pPr>
      <w:tabs>
        <w:tab w:val="center" w:pos="4513"/>
        <w:tab w:val="right" w:pos="9026"/>
      </w:tabs>
      <w:rPr>
        <w:b/>
        <w:bCs/>
      </w:rPr>
    </w:pPr>
    <w:r>
      <w:tab/>
    </w:r>
    <w:r>
      <w:tab/>
    </w:r>
    <w:r>
      <w:tab/>
    </w:r>
    <w:r>
      <w:tab/>
    </w:r>
    <w:r>
      <w:tab/>
    </w:r>
    <w:r w:rsidR="007F1CF5">
      <w:tab/>
    </w:r>
    <w:r w:rsidRPr="00ED0E62">
      <w:rPr>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0668F"/>
    <w:multiLevelType w:val="hybridMultilevel"/>
    <w:tmpl w:val="BF7A5130"/>
    <w:lvl w:ilvl="0" w:tplc="FE22F5B4">
      <w:start w:val="2025"/>
      <w:numFmt w:val="decimal"/>
      <w:lvlText w:val="(%1"/>
      <w:lvlJc w:val="left"/>
      <w:pPr>
        <w:ind w:left="915" w:hanging="555"/>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64B5093"/>
    <w:multiLevelType w:val="hybridMultilevel"/>
    <w:tmpl w:val="BA2818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B842B4"/>
    <w:multiLevelType w:val="multilevel"/>
    <w:tmpl w:val="F754E7B4"/>
    <w:lvl w:ilvl="0">
      <w:start w:val="3"/>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126B0"/>
    <w:rsid w:val="00032886"/>
    <w:rsid w:val="00040001"/>
    <w:rsid w:val="000D527D"/>
    <w:rsid w:val="000F305C"/>
    <w:rsid w:val="001132E0"/>
    <w:rsid w:val="0016145A"/>
    <w:rsid w:val="001B132F"/>
    <w:rsid w:val="001C395C"/>
    <w:rsid w:val="001D280F"/>
    <w:rsid w:val="001F6F61"/>
    <w:rsid w:val="00232B24"/>
    <w:rsid w:val="00255576"/>
    <w:rsid w:val="002613AD"/>
    <w:rsid w:val="0027542A"/>
    <w:rsid w:val="0028770A"/>
    <w:rsid w:val="00292E83"/>
    <w:rsid w:val="002C1517"/>
    <w:rsid w:val="002F5CD0"/>
    <w:rsid w:val="003072AA"/>
    <w:rsid w:val="003534D1"/>
    <w:rsid w:val="00387FE8"/>
    <w:rsid w:val="00390A57"/>
    <w:rsid w:val="003F1CE5"/>
    <w:rsid w:val="003F6F2E"/>
    <w:rsid w:val="004062CA"/>
    <w:rsid w:val="0046398D"/>
    <w:rsid w:val="00471784"/>
    <w:rsid w:val="004F3B09"/>
    <w:rsid w:val="004F47B1"/>
    <w:rsid w:val="004F56CE"/>
    <w:rsid w:val="00541B02"/>
    <w:rsid w:val="00541D48"/>
    <w:rsid w:val="00555691"/>
    <w:rsid w:val="005570AB"/>
    <w:rsid w:val="00566B02"/>
    <w:rsid w:val="00587BE0"/>
    <w:rsid w:val="005D17B4"/>
    <w:rsid w:val="0064344D"/>
    <w:rsid w:val="00653242"/>
    <w:rsid w:val="006D199D"/>
    <w:rsid w:val="007224A5"/>
    <w:rsid w:val="007F1CF5"/>
    <w:rsid w:val="00807CED"/>
    <w:rsid w:val="0081163D"/>
    <w:rsid w:val="00836D18"/>
    <w:rsid w:val="00851883"/>
    <w:rsid w:val="008574CF"/>
    <w:rsid w:val="00860EA8"/>
    <w:rsid w:val="00893216"/>
    <w:rsid w:val="008A3134"/>
    <w:rsid w:val="00995769"/>
    <w:rsid w:val="009A5326"/>
    <w:rsid w:val="009B3976"/>
    <w:rsid w:val="009C3675"/>
    <w:rsid w:val="009F54F5"/>
    <w:rsid w:val="009F7E6A"/>
    <w:rsid w:val="00A12E19"/>
    <w:rsid w:val="00A361B0"/>
    <w:rsid w:val="00A447A6"/>
    <w:rsid w:val="00A5591F"/>
    <w:rsid w:val="00A774C3"/>
    <w:rsid w:val="00A86736"/>
    <w:rsid w:val="00AB176E"/>
    <w:rsid w:val="00AC061A"/>
    <w:rsid w:val="00AC4A7B"/>
    <w:rsid w:val="00B131E2"/>
    <w:rsid w:val="00B22252"/>
    <w:rsid w:val="00B33655"/>
    <w:rsid w:val="00B4051B"/>
    <w:rsid w:val="00B5637C"/>
    <w:rsid w:val="00B60855"/>
    <w:rsid w:val="00B64EFA"/>
    <w:rsid w:val="00B933EB"/>
    <w:rsid w:val="00BB3E3C"/>
    <w:rsid w:val="00BC3B95"/>
    <w:rsid w:val="00C00AF8"/>
    <w:rsid w:val="00C666E5"/>
    <w:rsid w:val="00C917FF"/>
    <w:rsid w:val="00CE42E1"/>
    <w:rsid w:val="00CE5BF7"/>
    <w:rsid w:val="00CF1E88"/>
    <w:rsid w:val="00D413AB"/>
    <w:rsid w:val="00D67C8B"/>
    <w:rsid w:val="00DE686E"/>
    <w:rsid w:val="00DE6E97"/>
    <w:rsid w:val="00DE7103"/>
    <w:rsid w:val="00E20484"/>
    <w:rsid w:val="00E3400A"/>
    <w:rsid w:val="00E374C5"/>
    <w:rsid w:val="00E6442A"/>
    <w:rsid w:val="00ED0E62"/>
    <w:rsid w:val="00EE480C"/>
    <w:rsid w:val="00F06D05"/>
    <w:rsid w:val="00F119F7"/>
    <w:rsid w:val="00F52093"/>
    <w:rsid w:val="00F77C44"/>
    <w:rsid w:val="00F83501"/>
    <w:rsid w:val="00F95A99"/>
    <w:rsid w:val="00F97F38"/>
    <w:rsid w:val="00FA0A1C"/>
    <w:rsid w:val="00FB34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E79F0"/>
  <w15:docId w15:val="{4EE38948-3DE1-4783-8512-2B2A9A16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C666E5"/>
  </w:style>
  <w:style w:type="paragraph" w:styleId="ListParagraph">
    <w:name w:val="List Paragraph"/>
    <w:basedOn w:val="Normal"/>
    <w:rsid w:val="00C00AF8"/>
    <w:pPr>
      <w:ind w:left="720"/>
      <w:contextualSpacing/>
    </w:pPr>
  </w:style>
  <w:style w:type="character" w:styleId="CommentReference">
    <w:name w:val="annotation reference"/>
    <w:basedOn w:val="DefaultParagraphFont"/>
    <w:semiHidden/>
    <w:unhideWhenUsed/>
    <w:rsid w:val="002613AD"/>
    <w:rPr>
      <w:sz w:val="16"/>
      <w:szCs w:val="16"/>
    </w:rPr>
  </w:style>
  <w:style w:type="paragraph" w:styleId="CommentText">
    <w:name w:val="annotation text"/>
    <w:basedOn w:val="Normal"/>
    <w:link w:val="CommentTextChar"/>
    <w:unhideWhenUsed/>
    <w:rsid w:val="002613AD"/>
    <w:rPr>
      <w:sz w:val="20"/>
    </w:rPr>
  </w:style>
  <w:style w:type="character" w:customStyle="1" w:styleId="CommentTextChar">
    <w:name w:val="Comment Text Char"/>
    <w:basedOn w:val="DefaultParagraphFont"/>
    <w:link w:val="CommentText"/>
    <w:rsid w:val="002613AD"/>
    <w:rPr>
      <w:sz w:val="20"/>
    </w:rPr>
  </w:style>
  <w:style w:type="paragraph" w:styleId="CommentSubject">
    <w:name w:val="annotation subject"/>
    <w:basedOn w:val="CommentText"/>
    <w:next w:val="CommentText"/>
    <w:link w:val="CommentSubjectChar"/>
    <w:semiHidden/>
    <w:unhideWhenUsed/>
    <w:rsid w:val="002613AD"/>
    <w:rPr>
      <w:b/>
      <w:bCs/>
    </w:rPr>
  </w:style>
  <w:style w:type="character" w:customStyle="1" w:styleId="CommentSubjectChar">
    <w:name w:val="Comment Subject Char"/>
    <w:basedOn w:val="CommentTextChar"/>
    <w:link w:val="CommentSubject"/>
    <w:semiHidden/>
    <w:rsid w:val="002613A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8946">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299503950">
      <w:bodyDiv w:val="1"/>
      <w:marLeft w:val="0"/>
      <w:marRight w:val="0"/>
      <w:marTop w:val="0"/>
      <w:marBottom w:val="0"/>
      <w:divBdr>
        <w:top w:val="none" w:sz="0" w:space="0" w:color="auto"/>
        <w:left w:val="none" w:sz="0" w:space="0" w:color="auto"/>
        <w:bottom w:val="none" w:sz="0" w:space="0" w:color="auto"/>
        <w:right w:val="none" w:sz="0" w:space="0" w:color="auto"/>
      </w:divBdr>
    </w:div>
    <w:div w:id="340812858">
      <w:bodyDiv w:val="1"/>
      <w:marLeft w:val="0"/>
      <w:marRight w:val="0"/>
      <w:marTop w:val="0"/>
      <w:marBottom w:val="0"/>
      <w:divBdr>
        <w:top w:val="none" w:sz="0" w:space="0" w:color="auto"/>
        <w:left w:val="none" w:sz="0" w:space="0" w:color="auto"/>
        <w:bottom w:val="none" w:sz="0" w:space="0" w:color="auto"/>
        <w:right w:val="none" w:sz="0" w:space="0" w:color="auto"/>
      </w:divBdr>
    </w:div>
    <w:div w:id="489979187">
      <w:bodyDiv w:val="1"/>
      <w:marLeft w:val="0"/>
      <w:marRight w:val="0"/>
      <w:marTop w:val="0"/>
      <w:marBottom w:val="0"/>
      <w:divBdr>
        <w:top w:val="none" w:sz="0" w:space="0" w:color="auto"/>
        <w:left w:val="none" w:sz="0" w:space="0" w:color="auto"/>
        <w:bottom w:val="none" w:sz="0" w:space="0" w:color="auto"/>
        <w:right w:val="none" w:sz="0" w:space="0" w:color="auto"/>
      </w:divBdr>
    </w:div>
    <w:div w:id="69312067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24455764">
      <w:bodyDiv w:val="1"/>
      <w:marLeft w:val="0"/>
      <w:marRight w:val="0"/>
      <w:marTop w:val="0"/>
      <w:marBottom w:val="0"/>
      <w:divBdr>
        <w:top w:val="none" w:sz="0" w:space="0" w:color="auto"/>
        <w:left w:val="none" w:sz="0" w:space="0" w:color="auto"/>
        <w:bottom w:val="none" w:sz="0" w:space="0" w:color="auto"/>
        <w:right w:val="none" w:sz="0" w:space="0" w:color="auto"/>
      </w:divBdr>
    </w:div>
    <w:div w:id="965546345">
      <w:bodyDiv w:val="1"/>
      <w:marLeft w:val="0"/>
      <w:marRight w:val="0"/>
      <w:marTop w:val="0"/>
      <w:marBottom w:val="0"/>
      <w:divBdr>
        <w:top w:val="none" w:sz="0" w:space="0" w:color="auto"/>
        <w:left w:val="none" w:sz="0" w:space="0" w:color="auto"/>
        <w:bottom w:val="none" w:sz="0" w:space="0" w:color="auto"/>
        <w:right w:val="none" w:sz="0" w:space="0" w:color="auto"/>
      </w:divBdr>
    </w:div>
    <w:div w:id="1042946349">
      <w:bodyDiv w:val="1"/>
      <w:marLeft w:val="0"/>
      <w:marRight w:val="0"/>
      <w:marTop w:val="0"/>
      <w:marBottom w:val="0"/>
      <w:divBdr>
        <w:top w:val="none" w:sz="0" w:space="0" w:color="auto"/>
        <w:left w:val="none" w:sz="0" w:space="0" w:color="auto"/>
        <w:bottom w:val="none" w:sz="0" w:space="0" w:color="auto"/>
        <w:right w:val="none" w:sz="0" w:space="0" w:color="auto"/>
      </w:divBdr>
    </w:div>
    <w:div w:id="1234926330">
      <w:bodyDiv w:val="1"/>
      <w:marLeft w:val="0"/>
      <w:marRight w:val="0"/>
      <w:marTop w:val="0"/>
      <w:marBottom w:val="0"/>
      <w:divBdr>
        <w:top w:val="none" w:sz="0" w:space="0" w:color="auto"/>
        <w:left w:val="none" w:sz="0" w:space="0" w:color="auto"/>
        <w:bottom w:val="none" w:sz="0" w:space="0" w:color="auto"/>
        <w:right w:val="none" w:sz="0" w:space="0" w:color="auto"/>
      </w:divBdr>
    </w:div>
    <w:div w:id="1245994287">
      <w:bodyDiv w:val="1"/>
      <w:marLeft w:val="0"/>
      <w:marRight w:val="0"/>
      <w:marTop w:val="0"/>
      <w:marBottom w:val="0"/>
      <w:divBdr>
        <w:top w:val="none" w:sz="0" w:space="0" w:color="auto"/>
        <w:left w:val="none" w:sz="0" w:space="0" w:color="auto"/>
        <w:bottom w:val="none" w:sz="0" w:space="0" w:color="auto"/>
        <w:right w:val="none" w:sz="0" w:space="0" w:color="auto"/>
      </w:divBdr>
    </w:div>
    <w:div w:id="1492719664">
      <w:bodyDiv w:val="1"/>
      <w:marLeft w:val="0"/>
      <w:marRight w:val="0"/>
      <w:marTop w:val="0"/>
      <w:marBottom w:val="0"/>
      <w:divBdr>
        <w:top w:val="none" w:sz="0" w:space="0" w:color="auto"/>
        <w:left w:val="none" w:sz="0" w:space="0" w:color="auto"/>
        <w:bottom w:val="none" w:sz="0" w:space="0" w:color="auto"/>
        <w:right w:val="none" w:sz="0" w:space="0" w:color="auto"/>
      </w:divBdr>
    </w:div>
    <w:div w:id="1645234225">
      <w:bodyDiv w:val="1"/>
      <w:marLeft w:val="0"/>
      <w:marRight w:val="0"/>
      <w:marTop w:val="0"/>
      <w:marBottom w:val="0"/>
      <w:divBdr>
        <w:top w:val="none" w:sz="0" w:space="0" w:color="auto"/>
        <w:left w:val="none" w:sz="0" w:space="0" w:color="auto"/>
        <w:bottom w:val="none" w:sz="0" w:space="0" w:color="auto"/>
        <w:right w:val="none" w:sz="0" w:space="0" w:color="auto"/>
      </w:divBdr>
    </w:div>
    <w:div w:id="1705136532">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98971178">
      <w:bodyDiv w:val="1"/>
      <w:marLeft w:val="0"/>
      <w:marRight w:val="0"/>
      <w:marTop w:val="0"/>
      <w:marBottom w:val="0"/>
      <w:divBdr>
        <w:top w:val="none" w:sz="0" w:space="0" w:color="auto"/>
        <w:left w:val="none" w:sz="0" w:space="0" w:color="auto"/>
        <w:bottom w:val="none" w:sz="0" w:space="0" w:color="auto"/>
        <w:right w:val="none" w:sz="0" w:space="0" w:color="auto"/>
      </w:divBdr>
    </w:div>
    <w:div w:id="199629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817CC2A-8BA2-42B1-9C4B-C0DE5E058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78F9D3D9-6263-4EC8-9655-54D05743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25287</Words>
  <Characters>14414</Characters>
  <Application>Microsoft Office Word</Application>
  <DocSecurity>4</DocSecurity>
  <Lines>120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7fac3418-4a73-417e-8662-ea4b183bdf52</vt:lpstr>
      <vt:lpstr>7fac3418-4a73-417e-8662-ea4b183bdf52</vt:lpstr>
    </vt:vector>
  </TitlesOfParts>
  <Company>HP Inc.</Company>
  <LinksUpToDate>false</LinksUpToDate>
  <CharactersWithSpaces>39622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7fac3418-4a73-417e-8662-ea4b183bdf52</dc:title>
  <dc:creator>Virginija Levinskienė</dc:creator>
  <cp:lastModifiedBy>Marija Samavičiūtė</cp:lastModifiedBy>
  <cp:revision>2</cp:revision>
  <dcterms:created xsi:type="dcterms:W3CDTF">2025-09-04T06:56:00Z</dcterms:created>
  <dcterms:modified xsi:type="dcterms:W3CDTF">2025-09-04T06:56:00Z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