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823D3" w14:textId="77777777" w:rsidR="008A0037" w:rsidRPr="009D5352" w:rsidRDefault="00244911">
      <w:pPr>
        <w:suppressAutoHyphens/>
        <w:ind w:left="9639"/>
        <w:jc w:val="both"/>
        <w:rPr>
          <w:bCs/>
          <w:szCs w:val="24"/>
        </w:rPr>
      </w:pPr>
      <w:r w:rsidRPr="009D5352">
        <w:rPr>
          <w:bCs/>
          <w:szCs w:val="24"/>
        </w:rPr>
        <w:t>2022–2030 m. plėtros programos valdytojos Lietuvos Respublikos švietimo, mokslo ir sporto ministerijos mokslo plėtros programos pažangos priemonės</w:t>
      </w:r>
      <w:r w:rsidR="008A0037" w:rsidRPr="009D5352">
        <w:rPr>
          <w:bCs/>
          <w:szCs w:val="24"/>
        </w:rPr>
        <w:t xml:space="preserve"> </w:t>
      </w:r>
    </w:p>
    <w:p w14:paraId="6EA94554" w14:textId="27256749" w:rsidR="00F4662F" w:rsidRPr="009D5352" w:rsidRDefault="00244911">
      <w:pPr>
        <w:suppressAutoHyphens/>
        <w:ind w:left="9639"/>
        <w:jc w:val="both"/>
        <w:rPr>
          <w:bCs/>
          <w:szCs w:val="24"/>
        </w:rPr>
      </w:pPr>
      <w:r w:rsidRPr="009D5352">
        <w:rPr>
          <w:bCs/>
          <w:szCs w:val="24"/>
        </w:rPr>
        <w:t>Nr. 12-001-01-02-01 „Stiprinti inovacijų ekosistemas mokslo centruose“ aprašo</w:t>
      </w:r>
    </w:p>
    <w:p w14:paraId="6ED59249" w14:textId="21797F37" w:rsidR="00F4662F" w:rsidRPr="009D5352" w:rsidRDefault="0079780B">
      <w:pPr>
        <w:suppressAutoHyphens/>
        <w:ind w:left="9639"/>
        <w:jc w:val="both"/>
        <w:rPr>
          <w:szCs w:val="24"/>
        </w:rPr>
      </w:pPr>
      <w:r w:rsidRPr="009D5352">
        <w:rPr>
          <w:szCs w:val="24"/>
        </w:rPr>
        <w:t>2</w:t>
      </w:r>
      <w:r w:rsidR="00244911" w:rsidRPr="009D5352">
        <w:rPr>
          <w:szCs w:val="24"/>
        </w:rPr>
        <w:t xml:space="preserve"> priedas</w:t>
      </w:r>
    </w:p>
    <w:p w14:paraId="1259F495" w14:textId="77777777" w:rsidR="00F4662F" w:rsidRPr="009D5352" w:rsidRDefault="00F4662F">
      <w:pPr>
        <w:suppressAutoHyphens/>
        <w:jc w:val="center"/>
        <w:rPr>
          <w:iCs/>
          <w:szCs w:val="24"/>
        </w:rPr>
      </w:pPr>
    </w:p>
    <w:p w14:paraId="2008A790" w14:textId="3C24B93C" w:rsidR="00F4662F" w:rsidRPr="009D5352" w:rsidRDefault="00244911">
      <w:pPr>
        <w:suppressAutoHyphens/>
        <w:jc w:val="center"/>
        <w:rPr>
          <w:b/>
          <w:szCs w:val="24"/>
        </w:rPr>
      </w:pPr>
      <w:r w:rsidRPr="009D5352">
        <w:rPr>
          <w:b/>
          <w:szCs w:val="24"/>
        </w:rPr>
        <w:t xml:space="preserve">2022–2030 M. PLĖTROS PROGRAMOS VALDYTOJOS LIETUVOS RESPUBLIKOS ŠVIETIMO, MOKSLO IR SPORTO MINISTERIJOS MOKSLO PLĖTROS PROGRAMOS PAŽANGOS PRIEMONĖS NR. 12-001-01-02-01 „STIPRINTI INOVACIJŲ EKOSISTEMAS MOKSLO CENTRUOSE“ PROJEKTŲ FINANSAVIMO SĄLYGŲ APRAŠAS NR. </w:t>
      </w:r>
      <w:r w:rsidR="00FF0334" w:rsidRPr="009D5352">
        <w:rPr>
          <w:b/>
          <w:szCs w:val="24"/>
        </w:rPr>
        <w:t>2</w:t>
      </w:r>
    </w:p>
    <w:p w14:paraId="0710F1F8" w14:textId="77777777" w:rsidR="00F4662F" w:rsidRPr="009D5352" w:rsidRDefault="00F4662F">
      <w:pPr>
        <w:suppressAutoHyphens/>
        <w:rPr>
          <w:bCs/>
          <w:i/>
          <w:szCs w:val="24"/>
        </w:rPr>
      </w:pPr>
    </w:p>
    <w:p w14:paraId="301F627B" w14:textId="77777777" w:rsidR="00F4662F" w:rsidRPr="009D5352" w:rsidRDefault="00244911">
      <w:pPr>
        <w:suppressAutoHyphens/>
        <w:spacing w:line="254" w:lineRule="auto"/>
        <w:jc w:val="center"/>
        <w:rPr>
          <w:b/>
          <w:bCs/>
        </w:rPr>
      </w:pPr>
      <w:r w:rsidRPr="009D5352">
        <w:rPr>
          <w:b/>
          <w:bCs/>
        </w:rPr>
        <w:t>I SKYRIUS</w:t>
      </w:r>
    </w:p>
    <w:p w14:paraId="3F11C2AE" w14:textId="77777777" w:rsidR="00F4662F" w:rsidRPr="009D5352" w:rsidRDefault="00244911">
      <w:pPr>
        <w:suppressAutoHyphens/>
        <w:spacing w:line="254" w:lineRule="auto"/>
        <w:jc w:val="center"/>
        <w:rPr>
          <w:b/>
          <w:bCs/>
        </w:rPr>
      </w:pPr>
      <w:r w:rsidRPr="009D5352">
        <w:rPr>
          <w:b/>
          <w:bCs/>
        </w:rPr>
        <w:t>VEIKLOS AR POVEIKLĖS, KURIOMS NUSTATOMOS PROJEKTŲ FINANSAVIMO SĄLYGOS IR JŲ RODIKLIAI</w:t>
      </w:r>
    </w:p>
    <w:p w14:paraId="27665751" w14:textId="77777777" w:rsidR="00F4662F" w:rsidRPr="009D5352" w:rsidRDefault="00F4662F">
      <w:pPr>
        <w:suppressAutoHyphens/>
        <w:spacing w:line="254" w:lineRule="auto"/>
        <w:jc w:val="center"/>
        <w:rPr>
          <w:b/>
          <w:szCs w:val="24"/>
        </w:rPr>
      </w:pPr>
    </w:p>
    <w:tbl>
      <w:tblPr>
        <w:tblW w:w="15440" w:type="dxa"/>
        <w:tblLayout w:type="fixed"/>
        <w:tblCellMar>
          <w:left w:w="10" w:type="dxa"/>
          <w:right w:w="10" w:type="dxa"/>
        </w:tblCellMar>
        <w:tblLook w:val="04A0" w:firstRow="1" w:lastRow="0" w:firstColumn="1" w:lastColumn="0" w:noHBand="0" w:noVBand="1"/>
      </w:tblPr>
      <w:tblGrid>
        <w:gridCol w:w="1555"/>
        <w:gridCol w:w="1275"/>
        <w:gridCol w:w="924"/>
        <w:gridCol w:w="1134"/>
        <w:gridCol w:w="1134"/>
        <w:gridCol w:w="1457"/>
        <w:gridCol w:w="1344"/>
        <w:gridCol w:w="1080"/>
        <w:gridCol w:w="1344"/>
        <w:gridCol w:w="1051"/>
        <w:gridCol w:w="1132"/>
        <w:gridCol w:w="859"/>
        <w:gridCol w:w="1151"/>
      </w:tblGrid>
      <w:tr w:rsidR="00F4662F" w:rsidRPr="009D5352" w14:paraId="0D40320C" w14:textId="77777777" w:rsidTr="00B97200">
        <w:tc>
          <w:tcPr>
            <w:tcW w:w="15440"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08A8E" w14:textId="77777777" w:rsidR="00F4662F" w:rsidRPr="009D5352" w:rsidRDefault="00244911">
            <w:pPr>
              <w:suppressAutoHyphens/>
              <w:ind w:left="720" w:hanging="360"/>
              <w:jc w:val="both"/>
              <w:rPr>
                <w:b/>
                <w:sz w:val="22"/>
                <w:szCs w:val="22"/>
              </w:rPr>
            </w:pPr>
            <w:r w:rsidRPr="009D5352">
              <w:rPr>
                <w:b/>
                <w:sz w:val="22"/>
                <w:szCs w:val="22"/>
              </w:rPr>
              <w:t>1.</w:t>
            </w:r>
            <w:r w:rsidRPr="009D5352">
              <w:rPr>
                <w:b/>
                <w:sz w:val="22"/>
                <w:szCs w:val="22"/>
              </w:rPr>
              <w:tab/>
              <w:t xml:space="preserve">Veiklos ar </w:t>
            </w:r>
            <w:proofErr w:type="spellStart"/>
            <w:r w:rsidRPr="009D5352">
              <w:rPr>
                <w:b/>
                <w:sz w:val="22"/>
                <w:szCs w:val="22"/>
              </w:rPr>
              <w:t>poveiklės</w:t>
            </w:r>
            <w:proofErr w:type="spellEnd"/>
            <w:r w:rsidRPr="009D5352">
              <w:rPr>
                <w:b/>
                <w:sz w:val="22"/>
                <w:szCs w:val="22"/>
              </w:rPr>
              <w:t>, kurioms nustatomos projektų finansavimo sąlygos</w:t>
            </w:r>
          </w:p>
        </w:tc>
      </w:tr>
      <w:tr w:rsidR="00F4662F" w:rsidRPr="009D5352" w14:paraId="7F41DB87" w14:textId="77777777" w:rsidTr="00B97200">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C9C45" w14:textId="77777777" w:rsidR="00F4662F" w:rsidRPr="009D5352" w:rsidRDefault="00244911">
            <w:pPr>
              <w:suppressAutoHyphens/>
              <w:jc w:val="center"/>
            </w:pPr>
            <w:r w:rsidRPr="009D5352">
              <w:rPr>
                <w:b/>
                <w:sz w:val="22"/>
                <w:szCs w:val="22"/>
              </w:rPr>
              <w:t xml:space="preserve">Veiklos ar </w:t>
            </w:r>
            <w:proofErr w:type="spellStart"/>
            <w:r w:rsidRPr="009D5352">
              <w:rPr>
                <w:b/>
                <w:sz w:val="22"/>
                <w:szCs w:val="22"/>
              </w:rPr>
              <w:t>poveiklės</w:t>
            </w:r>
            <w:proofErr w:type="spellEnd"/>
            <w:r w:rsidRPr="009D5352">
              <w:rPr>
                <w:b/>
                <w:sz w:val="22"/>
                <w:szCs w:val="22"/>
              </w:rPr>
              <w:t xml:space="preserve"> </w:t>
            </w:r>
            <w:r w:rsidRPr="009D5352">
              <w:rPr>
                <w:b/>
                <w:color w:val="000000"/>
                <w:sz w:val="22"/>
                <w:szCs w:val="22"/>
              </w:rPr>
              <w:t xml:space="preserve">numeris ir </w:t>
            </w:r>
            <w:r w:rsidRPr="009D5352">
              <w:rPr>
                <w:b/>
                <w:sz w:val="22"/>
                <w:szCs w:val="22"/>
              </w:rPr>
              <w:t>pavadinimas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3FFD3" w14:textId="77777777" w:rsidR="00F4662F" w:rsidRPr="009D5352" w:rsidRDefault="00244911">
            <w:pPr>
              <w:suppressAutoHyphens/>
              <w:ind w:right="-104" w:hanging="108"/>
              <w:jc w:val="center"/>
              <w:rPr>
                <w:b/>
                <w:sz w:val="22"/>
                <w:szCs w:val="22"/>
              </w:rPr>
            </w:pPr>
            <w:r w:rsidRPr="009D5352">
              <w:rPr>
                <w:b/>
                <w:sz w:val="22"/>
                <w:szCs w:val="22"/>
              </w:rPr>
              <w:t>Finansavimo šaltinis</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05C2" w14:textId="77777777" w:rsidR="00F4662F" w:rsidRPr="009D5352" w:rsidRDefault="00244911">
            <w:pPr>
              <w:suppressAutoHyphens/>
              <w:jc w:val="center"/>
              <w:rPr>
                <w:b/>
                <w:sz w:val="22"/>
                <w:szCs w:val="22"/>
              </w:rPr>
            </w:pPr>
            <w:r w:rsidRPr="009D5352">
              <w:rPr>
                <w:b/>
                <w:sz w:val="22"/>
                <w:szCs w:val="22"/>
              </w:rPr>
              <w:t>Prioritetas ar komponentas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BE7F4" w14:textId="77777777" w:rsidR="00F4662F" w:rsidRPr="009D5352" w:rsidRDefault="00244911">
            <w:pPr>
              <w:suppressAutoHyphens/>
              <w:jc w:val="center"/>
              <w:rPr>
                <w:b/>
                <w:sz w:val="22"/>
                <w:szCs w:val="22"/>
              </w:rPr>
            </w:pPr>
            <w:proofErr w:type="spellStart"/>
            <w:r w:rsidRPr="009D5352">
              <w:rPr>
                <w:b/>
                <w:sz w:val="22"/>
                <w:szCs w:val="22"/>
              </w:rPr>
              <w:t>Uždavi-nys</w:t>
            </w:r>
            <w:proofErr w:type="spellEnd"/>
            <w:r w:rsidRPr="009D5352">
              <w:rPr>
                <w:b/>
                <w:sz w:val="22"/>
                <w:szCs w:val="22"/>
              </w:rPr>
              <w:t xml:space="preserve"> ar priemonė</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E3483" w14:textId="77777777" w:rsidR="00F4662F" w:rsidRPr="009D5352" w:rsidRDefault="00244911">
            <w:pPr>
              <w:suppressAutoHyphens/>
              <w:jc w:val="center"/>
              <w:rPr>
                <w:b/>
                <w:sz w:val="22"/>
                <w:szCs w:val="22"/>
              </w:rPr>
            </w:pPr>
            <w:r w:rsidRPr="009D5352">
              <w:rPr>
                <w:b/>
                <w:sz w:val="22"/>
                <w:szCs w:val="22"/>
              </w:rPr>
              <w:t xml:space="preserve">Veikla ar </w:t>
            </w:r>
            <w:proofErr w:type="spellStart"/>
            <w:r w:rsidRPr="009D5352">
              <w:rPr>
                <w:b/>
                <w:sz w:val="22"/>
                <w:szCs w:val="22"/>
              </w:rPr>
              <w:t>paprie-monė</w:t>
            </w:r>
            <w:proofErr w:type="spellEnd"/>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15A43" w14:textId="77777777" w:rsidR="00F4662F" w:rsidRPr="009D5352" w:rsidRDefault="00244911">
            <w:pPr>
              <w:suppressAutoHyphens/>
              <w:jc w:val="center"/>
              <w:rPr>
                <w:b/>
                <w:sz w:val="22"/>
                <w:szCs w:val="22"/>
              </w:rPr>
            </w:pPr>
            <w:r w:rsidRPr="009D5352">
              <w:rPr>
                <w:b/>
                <w:sz w:val="22"/>
                <w:szCs w:val="22"/>
              </w:rPr>
              <w:t>Intervencinės priemonės kodas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0798E" w14:textId="77777777" w:rsidR="00F4662F" w:rsidRPr="009D5352" w:rsidRDefault="00244911">
            <w:pPr>
              <w:suppressAutoHyphens/>
              <w:jc w:val="center"/>
              <w:rPr>
                <w:b/>
                <w:sz w:val="22"/>
                <w:szCs w:val="22"/>
              </w:rPr>
            </w:pPr>
            <w:r w:rsidRPr="009D5352">
              <w:rPr>
                <w:b/>
                <w:sz w:val="22"/>
                <w:szCs w:val="22"/>
              </w:rPr>
              <w:t xml:space="preserve">Regionas, kuriam priskiriama veikla ar </w:t>
            </w:r>
            <w:proofErr w:type="spellStart"/>
            <w:r w:rsidRPr="009D5352">
              <w:rPr>
                <w:b/>
                <w:sz w:val="22"/>
                <w:szCs w:val="22"/>
              </w:rPr>
              <w:t>poveiklė</w:t>
            </w:r>
            <w:proofErr w:type="spellEnd"/>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425C9" w14:textId="77777777" w:rsidR="00F4662F" w:rsidRPr="009D5352" w:rsidRDefault="00244911">
            <w:pPr>
              <w:suppressAutoHyphens/>
              <w:jc w:val="center"/>
              <w:rPr>
                <w:b/>
                <w:sz w:val="22"/>
                <w:szCs w:val="22"/>
              </w:rPr>
            </w:pPr>
            <w:r w:rsidRPr="009D5352">
              <w:rPr>
                <w:b/>
                <w:sz w:val="22"/>
                <w:szCs w:val="22"/>
              </w:rPr>
              <w:t>Paramos formos kodas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A6AC3" w14:textId="77777777" w:rsidR="00F4662F" w:rsidRPr="009D5352" w:rsidRDefault="00244911">
            <w:pPr>
              <w:suppressAutoHyphens/>
              <w:jc w:val="center"/>
              <w:rPr>
                <w:b/>
                <w:sz w:val="22"/>
                <w:szCs w:val="22"/>
              </w:rPr>
            </w:pPr>
            <w:r w:rsidRPr="009D5352">
              <w:rPr>
                <w:b/>
                <w:sz w:val="22"/>
                <w:szCs w:val="22"/>
              </w:rPr>
              <w:t>Pagrindinės teritorinės srities kodas (-ai)</w:t>
            </w: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E6D0C" w14:textId="77777777" w:rsidR="00F4662F" w:rsidRPr="009D5352" w:rsidRDefault="00244911">
            <w:pPr>
              <w:suppressAutoHyphens/>
              <w:jc w:val="center"/>
              <w:rPr>
                <w:b/>
                <w:sz w:val="22"/>
                <w:szCs w:val="22"/>
              </w:rPr>
            </w:pPr>
            <w:proofErr w:type="spellStart"/>
            <w:r w:rsidRPr="009D5352">
              <w:rPr>
                <w:b/>
                <w:sz w:val="22"/>
                <w:szCs w:val="22"/>
              </w:rPr>
              <w:t>Ekono</w:t>
            </w:r>
            <w:proofErr w:type="spellEnd"/>
            <w:r w:rsidRPr="009D5352">
              <w:rPr>
                <w:b/>
                <w:sz w:val="22"/>
                <w:szCs w:val="22"/>
              </w:rPr>
              <w:t xml:space="preserve">-minės veiklos kodas </w:t>
            </w:r>
          </w:p>
          <w:p w14:paraId="69EA0D4B" w14:textId="77777777" w:rsidR="00F4662F" w:rsidRPr="009D5352" w:rsidRDefault="00244911">
            <w:pPr>
              <w:suppressAutoHyphens/>
              <w:jc w:val="center"/>
              <w:rPr>
                <w:b/>
                <w:sz w:val="22"/>
                <w:szCs w:val="22"/>
              </w:rPr>
            </w:pPr>
            <w:r w:rsidRPr="009D5352">
              <w:rPr>
                <w:b/>
                <w:sz w:val="22"/>
                <w:szCs w:val="22"/>
              </w:rPr>
              <w:t>(-ai)</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CEF54" w14:textId="77777777" w:rsidR="00F4662F" w:rsidRPr="009D5352" w:rsidRDefault="00244911">
            <w:pPr>
              <w:suppressAutoHyphens/>
              <w:jc w:val="center"/>
              <w:rPr>
                <w:b/>
                <w:sz w:val="22"/>
                <w:szCs w:val="22"/>
              </w:rPr>
            </w:pPr>
            <w:r w:rsidRPr="009D5352">
              <w:rPr>
                <w:b/>
                <w:sz w:val="22"/>
                <w:szCs w:val="22"/>
              </w:rPr>
              <w:t>„Europos socialinio fondo +“ (toliau – ESF+) antrinių temų kodai</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657BC" w14:textId="77777777" w:rsidR="00F4662F" w:rsidRPr="009D5352" w:rsidRDefault="00244911">
            <w:pPr>
              <w:suppressAutoHyphens/>
              <w:jc w:val="center"/>
              <w:rPr>
                <w:b/>
                <w:sz w:val="22"/>
                <w:szCs w:val="22"/>
              </w:rPr>
            </w:pPr>
            <w:r w:rsidRPr="009D5352">
              <w:rPr>
                <w:b/>
                <w:sz w:val="22"/>
                <w:szCs w:val="22"/>
              </w:rPr>
              <w:t>Lyčių lygybės mat-</w:t>
            </w:r>
            <w:proofErr w:type="spellStart"/>
            <w:r w:rsidRPr="009D5352">
              <w:rPr>
                <w:b/>
                <w:sz w:val="22"/>
                <w:szCs w:val="22"/>
              </w:rPr>
              <w:t>mens</w:t>
            </w:r>
            <w:proofErr w:type="spellEnd"/>
            <w:r w:rsidRPr="009D5352">
              <w:rPr>
                <w:b/>
                <w:sz w:val="22"/>
                <w:szCs w:val="22"/>
              </w:rPr>
              <w:t xml:space="preserve"> kodas</w:t>
            </w:r>
          </w:p>
        </w:tc>
        <w:tc>
          <w:tcPr>
            <w:tcW w:w="1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0A88E" w14:textId="77777777" w:rsidR="00F4662F" w:rsidRPr="009D5352" w:rsidRDefault="00244911">
            <w:pPr>
              <w:suppressAutoHyphens/>
              <w:jc w:val="center"/>
              <w:rPr>
                <w:b/>
                <w:sz w:val="22"/>
                <w:szCs w:val="22"/>
              </w:rPr>
            </w:pPr>
            <w:proofErr w:type="spellStart"/>
            <w:r w:rsidRPr="009D5352">
              <w:rPr>
                <w:b/>
                <w:sz w:val="22"/>
                <w:szCs w:val="22"/>
              </w:rPr>
              <w:t>Nepanau-dotos</w:t>
            </w:r>
            <w:proofErr w:type="spellEnd"/>
            <w:r w:rsidRPr="009D5352">
              <w:rPr>
                <w:b/>
                <w:sz w:val="22"/>
                <w:szCs w:val="22"/>
              </w:rPr>
              <w:t xml:space="preserve"> </w:t>
            </w:r>
            <w:proofErr w:type="spellStart"/>
            <w:r w:rsidRPr="009D5352">
              <w:rPr>
                <w:b/>
                <w:sz w:val="22"/>
                <w:szCs w:val="22"/>
              </w:rPr>
              <w:t>Ekonomi-kos</w:t>
            </w:r>
            <w:proofErr w:type="spellEnd"/>
            <w:r w:rsidRPr="009D5352">
              <w:rPr>
                <w:b/>
                <w:sz w:val="22"/>
                <w:szCs w:val="22"/>
              </w:rPr>
              <w:t xml:space="preserve"> gaivinimo ir atsparumo didinimo priemonės lėšos</w:t>
            </w:r>
          </w:p>
          <w:p w14:paraId="616F2095" w14:textId="77777777" w:rsidR="00F4662F" w:rsidRPr="009D5352" w:rsidRDefault="00244911">
            <w:pPr>
              <w:suppressAutoHyphens/>
              <w:jc w:val="center"/>
              <w:rPr>
                <w:b/>
                <w:sz w:val="22"/>
                <w:szCs w:val="22"/>
              </w:rPr>
            </w:pPr>
            <w:r w:rsidRPr="009D5352">
              <w:rPr>
                <w:b/>
                <w:sz w:val="22"/>
                <w:szCs w:val="22"/>
              </w:rPr>
              <w:t>(Taip / Ne)</w:t>
            </w:r>
          </w:p>
        </w:tc>
      </w:tr>
      <w:tr w:rsidR="00F4662F" w:rsidRPr="009D5352" w14:paraId="3159A463" w14:textId="77777777" w:rsidTr="00B97200">
        <w:trPr>
          <w:trHeight w:val="278"/>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603AE0" w14:textId="3CA0B411" w:rsidR="00F4662F" w:rsidRPr="009D5352" w:rsidRDefault="00E331FB" w:rsidP="00F07212">
            <w:pPr>
              <w:suppressAutoHyphens/>
              <w:ind w:firstLine="48"/>
              <w:rPr>
                <w:sz w:val="22"/>
                <w:szCs w:val="22"/>
              </w:rPr>
            </w:pPr>
            <w:r w:rsidRPr="009D5352">
              <w:rPr>
                <w:iCs/>
                <w:sz w:val="22"/>
                <w:szCs w:val="22"/>
              </w:rPr>
              <w:t xml:space="preserve">2.1. </w:t>
            </w:r>
            <w:r w:rsidRPr="009D5352">
              <w:rPr>
                <w:sz w:val="22"/>
                <w:szCs w:val="22"/>
              </w:rPr>
              <w:t xml:space="preserve">Programos „Europos horizontas“ </w:t>
            </w:r>
            <w:proofErr w:type="spellStart"/>
            <w:r w:rsidRPr="009D5352">
              <w:rPr>
                <w:sz w:val="22"/>
                <w:szCs w:val="22"/>
              </w:rPr>
              <w:t>akceleravimas</w:t>
            </w:r>
            <w:proofErr w:type="spellEnd"/>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BF9603" w14:textId="138FF81F" w:rsidR="00F4662F" w:rsidRPr="009D5352" w:rsidRDefault="00244911">
            <w:pPr>
              <w:suppressAutoHyphens/>
              <w:jc w:val="center"/>
            </w:pPr>
            <w:r w:rsidRPr="009D5352">
              <w:rPr>
                <w:iCs/>
                <w:sz w:val="22"/>
                <w:szCs w:val="22"/>
              </w:rPr>
              <w:t>Ekonomikos</w:t>
            </w:r>
            <w:r w:rsidRPr="009D5352">
              <w:rPr>
                <w:i/>
                <w:sz w:val="22"/>
                <w:szCs w:val="22"/>
              </w:rPr>
              <w:t xml:space="preserve"> </w:t>
            </w:r>
            <w:r w:rsidRPr="009D5352">
              <w:rPr>
                <w:sz w:val="22"/>
                <w:szCs w:val="22"/>
              </w:rPr>
              <w:t xml:space="preserve">gaivinimo ir atsparumo didinimo priemonės (toliau – EGADP) lėšos ir </w:t>
            </w:r>
            <w:r w:rsidRPr="009D5352">
              <w:rPr>
                <w:sz w:val="22"/>
                <w:szCs w:val="22"/>
              </w:rPr>
              <w:lastRenderedPageBreak/>
              <w:t xml:space="preserve">Lietuvos Respublikos valstybės biudžeto lėšos </w:t>
            </w:r>
            <w:r w:rsidR="007C052B" w:rsidRPr="009D5352">
              <w:rPr>
                <w:sz w:val="22"/>
                <w:szCs w:val="22"/>
              </w:rPr>
              <w:t>netinkamam finansuoti pridėtinės vertės mokesčiui apmokėti</w:t>
            </w:r>
          </w:p>
        </w:tc>
        <w:tc>
          <w:tcPr>
            <w:tcW w:w="9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EAEDD9" w14:textId="77777777" w:rsidR="00F4662F" w:rsidRPr="009D5352" w:rsidRDefault="00244911">
            <w:pPr>
              <w:suppressAutoHyphens/>
              <w:jc w:val="center"/>
            </w:pPr>
            <w:r w:rsidRPr="009D5352">
              <w:rPr>
                <w:sz w:val="22"/>
                <w:szCs w:val="22"/>
              </w:rPr>
              <w:lastRenderedPageBreak/>
              <w:t>5</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B361F2" w14:textId="77777777" w:rsidR="00F4662F" w:rsidRPr="009D5352" w:rsidRDefault="00244911">
            <w:pPr>
              <w:suppressAutoHyphens/>
              <w:jc w:val="center"/>
              <w:rPr>
                <w:sz w:val="22"/>
                <w:szCs w:val="22"/>
              </w:rPr>
            </w:pPr>
            <w:r w:rsidRPr="009D5352">
              <w:rPr>
                <w:sz w:val="22"/>
                <w:szCs w:val="22"/>
              </w:rPr>
              <w:t>E.1.3</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C138A9" w14:textId="77777777" w:rsidR="00F4662F" w:rsidRPr="009D5352" w:rsidRDefault="00244911">
            <w:pPr>
              <w:suppressAutoHyphens/>
              <w:jc w:val="center"/>
            </w:pPr>
            <w:r w:rsidRPr="009D5352">
              <w:rPr>
                <w:sz w:val="22"/>
                <w:szCs w:val="22"/>
              </w:rPr>
              <w:t>E.1.3.3</w:t>
            </w:r>
          </w:p>
        </w:tc>
        <w:tc>
          <w:tcPr>
            <w:tcW w:w="14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A78AA2" w14:textId="77777777" w:rsidR="00F4662F" w:rsidRPr="009D5352" w:rsidRDefault="00244911">
            <w:pPr>
              <w:suppressAutoHyphens/>
              <w:jc w:val="center"/>
            </w:pPr>
            <w:r w:rsidRPr="009D5352">
              <w:rPr>
                <w:sz w:val="22"/>
                <w:szCs w:val="22"/>
              </w:rPr>
              <w:t>021</w:t>
            </w:r>
          </w:p>
        </w:tc>
        <w:tc>
          <w:tcPr>
            <w:tcW w:w="13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7E1728" w14:textId="77777777" w:rsidR="00F4662F" w:rsidRPr="009D5352" w:rsidRDefault="00244911">
            <w:pPr>
              <w:suppressAutoHyphens/>
              <w:jc w:val="center"/>
            </w:pPr>
            <w:r w:rsidRPr="009D5352">
              <w:rPr>
                <w:sz w:val="22"/>
                <w:szCs w:val="22"/>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4B3D1D" w14:textId="77777777" w:rsidR="00F4662F" w:rsidRPr="009D5352" w:rsidRDefault="00244911">
            <w:pPr>
              <w:suppressAutoHyphens/>
              <w:jc w:val="center"/>
            </w:pPr>
            <w:r w:rsidRPr="009D5352">
              <w:rPr>
                <w:sz w:val="22"/>
                <w:szCs w:val="22"/>
              </w:rPr>
              <w:t>-</w:t>
            </w:r>
          </w:p>
        </w:tc>
        <w:tc>
          <w:tcPr>
            <w:tcW w:w="13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74445F" w14:textId="77777777" w:rsidR="00F4662F" w:rsidRPr="009D5352" w:rsidRDefault="00244911">
            <w:pPr>
              <w:suppressAutoHyphens/>
              <w:jc w:val="center"/>
              <w:rPr>
                <w:sz w:val="22"/>
                <w:szCs w:val="22"/>
              </w:rPr>
            </w:pPr>
            <w:r w:rsidRPr="009D5352">
              <w:rPr>
                <w:sz w:val="22"/>
                <w:szCs w:val="22"/>
              </w:rPr>
              <w:t>-</w:t>
            </w:r>
          </w:p>
        </w:tc>
        <w:tc>
          <w:tcPr>
            <w:tcW w:w="10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6FCB3F" w14:textId="77777777" w:rsidR="00F4662F" w:rsidRPr="009D5352" w:rsidRDefault="00244911">
            <w:pPr>
              <w:suppressAutoHyphens/>
              <w:jc w:val="center"/>
              <w:rPr>
                <w:sz w:val="22"/>
                <w:szCs w:val="22"/>
              </w:rPr>
            </w:pPr>
            <w:r w:rsidRPr="009D5352">
              <w:rPr>
                <w:sz w:val="22"/>
                <w:szCs w:val="22"/>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D52ED1" w14:textId="77777777" w:rsidR="00F4662F" w:rsidRPr="009D5352" w:rsidRDefault="00244911">
            <w:pPr>
              <w:suppressAutoHyphens/>
              <w:jc w:val="center"/>
            </w:pPr>
            <w:r w:rsidRPr="009D5352">
              <w:rPr>
                <w:sz w:val="22"/>
                <w:szCs w:val="22"/>
              </w:rPr>
              <w:t>-</w:t>
            </w:r>
          </w:p>
        </w:tc>
        <w:tc>
          <w:tcPr>
            <w:tcW w:w="8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71D661" w14:textId="77777777" w:rsidR="00F4662F" w:rsidRPr="009D5352" w:rsidRDefault="00244911">
            <w:pPr>
              <w:suppressAutoHyphens/>
              <w:jc w:val="center"/>
            </w:pPr>
            <w:r w:rsidRPr="009D5352">
              <w:rPr>
                <w:sz w:val="22"/>
                <w:szCs w:val="22"/>
              </w:rPr>
              <w:t>-</w:t>
            </w:r>
          </w:p>
        </w:tc>
        <w:tc>
          <w:tcPr>
            <w:tcW w:w="1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A0189" w14:textId="77777777" w:rsidR="00F4662F" w:rsidRPr="009D5352" w:rsidRDefault="00244911">
            <w:pPr>
              <w:suppressAutoHyphens/>
              <w:jc w:val="center"/>
              <w:rPr>
                <w:iCs/>
                <w:sz w:val="22"/>
                <w:szCs w:val="22"/>
              </w:rPr>
            </w:pPr>
            <w:r w:rsidRPr="009D5352">
              <w:rPr>
                <w:iCs/>
                <w:sz w:val="22"/>
                <w:szCs w:val="22"/>
              </w:rPr>
              <w:t>Ne</w:t>
            </w:r>
          </w:p>
        </w:tc>
      </w:tr>
    </w:tbl>
    <w:p w14:paraId="5704259B" w14:textId="77777777" w:rsidR="00F4662F" w:rsidRPr="009D5352" w:rsidRDefault="00F4662F">
      <w:pPr>
        <w:suppressAutoHyphens/>
        <w:ind w:firstLine="567"/>
        <w:jc w:val="both"/>
        <w:rPr>
          <w:iCs/>
          <w:szCs w:val="24"/>
        </w:rPr>
      </w:pPr>
    </w:p>
    <w:tbl>
      <w:tblPr>
        <w:tblW w:w="15134" w:type="dxa"/>
        <w:tblLayout w:type="fixed"/>
        <w:tblCellMar>
          <w:left w:w="10" w:type="dxa"/>
          <w:right w:w="10" w:type="dxa"/>
        </w:tblCellMar>
        <w:tblLook w:val="04A0" w:firstRow="1" w:lastRow="0" w:firstColumn="1" w:lastColumn="0" w:noHBand="0" w:noVBand="1"/>
      </w:tblPr>
      <w:tblGrid>
        <w:gridCol w:w="3783"/>
        <w:gridCol w:w="3784"/>
        <w:gridCol w:w="3783"/>
        <w:gridCol w:w="3784"/>
      </w:tblGrid>
      <w:tr w:rsidR="00F4662F" w:rsidRPr="009D5352" w14:paraId="52162DAE" w14:textId="77777777">
        <w:trPr>
          <w:trHeight w:val="405"/>
        </w:trPr>
        <w:tc>
          <w:tcPr>
            <w:tcW w:w="151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39BA0" w14:textId="77777777" w:rsidR="00F4662F" w:rsidRPr="009D5352" w:rsidRDefault="00244911">
            <w:pPr>
              <w:suppressAutoHyphens/>
            </w:pPr>
            <w:r w:rsidRPr="009D5352">
              <w:rPr>
                <w:b/>
                <w:sz w:val="22"/>
                <w:szCs w:val="22"/>
              </w:rPr>
              <w:t xml:space="preserve">2. Veiklos ar </w:t>
            </w:r>
            <w:proofErr w:type="spellStart"/>
            <w:r w:rsidRPr="009D5352">
              <w:rPr>
                <w:b/>
                <w:sz w:val="22"/>
                <w:szCs w:val="22"/>
              </w:rPr>
              <w:t>poveiklės</w:t>
            </w:r>
            <w:proofErr w:type="spellEnd"/>
            <w:r w:rsidRPr="009D5352">
              <w:rPr>
                <w:b/>
                <w:sz w:val="22"/>
                <w:szCs w:val="22"/>
              </w:rPr>
              <w:t xml:space="preserve"> rodikliai</w:t>
            </w:r>
          </w:p>
        </w:tc>
      </w:tr>
      <w:tr w:rsidR="00F4662F" w:rsidRPr="009D5352" w14:paraId="09891772" w14:textId="77777777">
        <w:trPr>
          <w:trHeight w:val="405"/>
        </w:trPr>
        <w:tc>
          <w:tcPr>
            <w:tcW w:w="3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33CE9" w14:textId="77777777" w:rsidR="00F4662F" w:rsidRPr="009D5352" w:rsidRDefault="00244911">
            <w:pPr>
              <w:suppressAutoHyphens/>
              <w:jc w:val="center"/>
              <w:rPr>
                <w:sz w:val="22"/>
                <w:szCs w:val="22"/>
              </w:rPr>
            </w:pPr>
            <w:r w:rsidRPr="009D5352">
              <w:rPr>
                <w:sz w:val="22"/>
                <w:szCs w:val="22"/>
              </w:rPr>
              <w:t>Rodiklio pavadinimas</w:t>
            </w:r>
          </w:p>
        </w:tc>
        <w:tc>
          <w:tcPr>
            <w:tcW w:w="3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4822D" w14:textId="77777777" w:rsidR="00F4662F" w:rsidRPr="009D5352" w:rsidRDefault="00244911">
            <w:pPr>
              <w:suppressAutoHyphens/>
              <w:jc w:val="center"/>
              <w:rPr>
                <w:sz w:val="22"/>
                <w:szCs w:val="22"/>
              </w:rPr>
            </w:pPr>
            <w:r w:rsidRPr="009D5352">
              <w:rPr>
                <w:sz w:val="22"/>
                <w:szCs w:val="22"/>
              </w:rPr>
              <w:t>Rodiklio kodas</w:t>
            </w:r>
          </w:p>
        </w:tc>
        <w:tc>
          <w:tcPr>
            <w:tcW w:w="3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2AF6B" w14:textId="77777777" w:rsidR="00F4662F" w:rsidRPr="009D5352" w:rsidRDefault="00244911">
            <w:pPr>
              <w:suppressAutoHyphens/>
              <w:jc w:val="center"/>
              <w:rPr>
                <w:sz w:val="22"/>
                <w:szCs w:val="22"/>
              </w:rPr>
            </w:pPr>
            <w:r w:rsidRPr="009D5352">
              <w:rPr>
                <w:sz w:val="22"/>
                <w:szCs w:val="22"/>
              </w:rPr>
              <w:t>Matavimo vienetai</w:t>
            </w:r>
          </w:p>
        </w:tc>
        <w:tc>
          <w:tcPr>
            <w:tcW w:w="3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0891E" w14:textId="77777777" w:rsidR="00F4662F" w:rsidRPr="009D5352" w:rsidRDefault="00244911">
            <w:pPr>
              <w:suppressAutoHyphens/>
              <w:jc w:val="center"/>
              <w:rPr>
                <w:sz w:val="22"/>
                <w:szCs w:val="22"/>
              </w:rPr>
            </w:pPr>
            <w:r w:rsidRPr="009D5352">
              <w:rPr>
                <w:sz w:val="22"/>
                <w:szCs w:val="22"/>
              </w:rPr>
              <w:t>Siektina reikšmė ir pasiekimo data</w:t>
            </w:r>
          </w:p>
        </w:tc>
      </w:tr>
      <w:tr w:rsidR="00F4662F" w:rsidRPr="009D5352" w14:paraId="7B590ABC" w14:textId="77777777">
        <w:trPr>
          <w:trHeight w:val="416"/>
        </w:trPr>
        <w:tc>
          <w:tcPr>
            <w:tcW w:w="3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53831" w14:textId="7C28B422" w:rsidR="00F4662F" w:rsidRPr="009D5352" w:rsidRDefault="00113CFC">
            <w:pPr>
              <w:suppressAutoHyphens/>
              <w:jc w:val="center"/>
              <w:rPr>
                <w:iCs/>
                <w:szCs w:val="24"/>
              </w:rPr>
            </w:pPr>
            <w:r w:rsidRPr="009D5352">
              <w:rPr>
                <w:iCs/>
                <w:szCs w:val="24"/>
              </w:rPr>
              <w:t>M</w:t>
            </w:r>
            <w:r w:rsidR="00244911" w:rsidRPr="009D5352">
              <w:rPr>
                <w:iCs/>
                <w:szCs w:val="24"/>
              </w:rPr>
              <w:t>okslo ir studijų institucijų ir mažų ir vidutinių įmonių potencialiems programos „Europos horizontas“ pareiškėjams</w:t>
            </w:r>
            <w:r w:rsidR="00D852F7" w:rsidRPr="009D5352">
              <w:rPr>
                <w:iCs/>
                <w:szCs w:val="24"/>
              </w:rPr>
              <w:t xml:space="preserve"> skirta finansinė parama projektams įgyvendinti ir konsultavimo paslaugoms teikti</w:t>
            </w:r>
          </w:p>
        </w:tc>
        <w:tc>
          <w:tcPr>
            <w:tcW w:w="3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B074" w14:textId="77777777" w:rsidR="00F4662F" w:rsidRPr="009D5352" w:rsidRDefault="00244911">
            <w:pPr>
              <w:suppressAutoHyphens/>
              <w:jc w:val="center"/>
              <w:rPr>
                <w:iCs/>
                <w:szCs w:val="24"/>
              </w:rPr>
            </w:pPr>
            <w:r w:rsidRPr="009D5352">
              <w:rPr>
                <w:iCs/>
                <w:szCs w:val="24"/>
              </w:rPr>
              <w:t>P-12-001-01-02-01-14</w:t>
            </w:r>
          </w:p>
          <w:p w14:paraId="6ED32755" w14:textId="77777777" w:rsidR="00F4662F" w:rsidRPr="009D5352" w:rsidRDefault="00F4662F">
            <w:pPr>
              <w:suppressAutoHyphens/>
              <w:rPr>
                <w:iCs/>
                <w:szCs w:val="24"/>
              </w:rPr>
            </w:pPr>
          </w:p>
          <w:p w14:paraId="3598D5E0" w14:textId="77777777" w:rsidR="00F4662F" w:rsidRPr="009D5352" w:rsidRDefault="00244911">
            <w:pPr>
              <w:suppressAutoHyphens/>
              <w:jc w:val="center"/>
            </w:pPr>
            <w:r w:rsidRPr="009D5352">
              <w:rPr>
                <w:iCs/>
                <w:szCs w:val="24"/>
                <w:shd w:val="clear" w:color="auto" w:fill="FFFFFF"/>
              </w:rPr>
              <w:t>P.S.1.1136</w:t>
            </w:r>
          </w:p>
        </w:tc>
        <w:tc>
          <w:tcPr>
            <w:tcW w:w="3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1BEBA" w14:textId="77777777" w:rsidR="00F4662F" w:rsidRPr="009D5352" w:rsidRDefault="00244911">
            <w:pPr>
              <w:suppressAutoHyphens/>
              <w:jc w:val="center"/>
            </w:pPr>
            <w:r w:rsidRPr="009D5352">
              <w:rPr>
                <w:color w:val="000000"/>
                <w:szCs w:val="24"/>
              </w:rPr>
              <w:t>Skaičius</w:t>
            </w:r>
          </w:p>
        </w:tc>
        <w:tc>
          <w:tcPr>
            <w:tcW w:w="3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EC2EF" w14:textId="598C6D9F" w:rsidR="00F4662F" w:rsidRPr="009D5352" w:rsidRDefault="00F850B6">
            <w:pPr>
              <w:suppressAutoHyphens/>
              <w:jc w:val="center"/>
              <w:rPr>
                <w:iCs/>
                <w:szCs w:val="24"/>
              </w:rPr>
            </w:pPr>
            <w:r w:rsidRPr="009D5352">
              <w:rPr>
                <w:iCs/>
                <w:szCs w:val="24"/>
              </w:rPr>
              <w:t>32</w:t>
            </w:r>
            <w:r w:rsidR="00783987" w:rsidRPr="009D5352">
              <w:rPr>
                <w:iCs/>
                <w:szCs w:val="24"/>
              </w:rPr>
              <w:t xml:space="preserve"> (2026 m. II </w:t>
            </w:r>
            <w:proofErr w:type="spellStart"/>
            <w:r w:rsidR="00783987" w:rsidRPr="009D5352">
              <w:rPr>
                <w:iCs/>
                <w:szCs w:val="24"/>
              </w:rPr>
              <w:t>ketv</w:t>
            </w:r>
            <w:proofErr w:type="spellEnd"/>
            <w:r w:rsidR="00783987" w:rsidRPr="009D5352">
              <w:rPr>
                <w:iCs/>
                <w:szCs w:val="24"/>
              </w:rPr>
              <w:t>.)</w:t>
            </w:r>
          </w:p>
        </w:tc>
      </w:tr>
      <w:tr w:rsidR="00F4662F" w:rsidRPr="009D5352" w14:paraId="1660EDF6" w14:textId="77777777">
        <w:trPr>
          <w:trHeight w:val="416"/>
        </w:trPr>
        <w:tc>
          <w:tcPr>
            <w:tcW w:w="3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CC2E" w14:textId="77777777" w:rsidR="00F4662F" w:rsidRPr="009D5352" w:rsidRDefault="00244911">
            <w:pPr>
              <w:suppressAutoHyphens/>
              <w:jc w:val="center"/>
              <w:rPr>
                <w:iCs/>
                <w:szCs w:val="24"/>
              </w:rPr>
            </w:pPr>
            <w:r w:rsidRPr="009D5352">
              <w:rPr>
                <w:iCs/>
                <w:szCs w:val="24"/>
              </w:rPr>
              <w:t>Paramą gavusiose mokslinių tyrimų įstaigose dirbantys mokslininkai</w:t>
            </w:r>
          </w:p>
        </w:tc>
        <w:tc>
          <w:tcPr>
            <w:tcW w:w="3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9CD58" w14:textId="73AB5616" w:rsidR="00544CCC" w:rsidRPr="009D5352" w:rsidRDefault="00014B1B" w:rsidP="00544CCC">
            <w:pPr>
              <w:suppressAutoHyphens/>
              <w:jc w:val="center"/>
              <w:rPr>
                <w:bCs/>
                <w:color w:val="000000"/>
                <w:szCs w:val="24"/>
                <w:shd w:val="clear" w:color="auto" w:fill="FFFFFF"/>
              </w:rPr>
            </w:pPr>
            <w:r w:rsidRPr="009D5352">
              <w:rPr>
                <w:bCs/>
                <w:color w:val="000000"/>
                <w:szCs w:val="24"/>
                <w:shd w:val="clear" w:color="auto" w:fill="FFFFFF"/>
              </w:rPr>
              <w:t>R</w:t>
            </w:r>
            <w:r w:rsidR="00544CCC" w:rsidRPr="009D5352">
              <w:rPr>
                <w:bCs/>
                <w:color w:val="000000"/>
                <w:szCs w:val="24"/>
                <w:shd w:val="clear" w:color="auto" w:fill="FFFFFF"/>
              </w:rPr>
              <w:t>-12-001-01-02-01-</w:t>
            </w:r>
            <w:r w:rsidRPr="009D5352">
              <w:rPr>
                <w:bCs/>
                <w:color w:val="000000"/>
                <w:szCs w:val="24"/>
                <w:shd w:val="clear" w:color="auto" w:fill="FFFFFF"/>
              </w:rPr>
              <w:t>09</w:t>
            </w:r>
          </w:p>
          <w:p w14:paraId="286DA942" w14:textId="77777777" w:rsidR="00014B1B" w:rsidRPr="009D5352" w:rsidRDefault="00014B1B" w:rsidP="00544CCC">
            <w:pPr>
              <w:suppressAutoHyphens/>
              <w:jc w:val="center"/>
              <w:rPr>
                <w:bCs/>
                <w:color w:val="000000"/>
                <w:szCs w:val="24"/>
                <w:shd w:val="clear" w:color="auto" w:fill="FFFFFF"/>
              </w:rPr>
            </w:pPr>
          </w:p>
          <w:p w14:paraId="16B88DD1" w14:textId="7F47A246" w:rsidR="00F4662F" w:rsidRPr="009D5352" w:rsidRDefault="00544CCC" w:rsidP="00544CCC">
            <w:pPr>
              <w:suppressAutoHyphens/>
              <w:jc w:val="center"/>
            </w:pPr>
            <w:r w:rsidRPr="009D5352">
              <w:rPr>
                <w:bCs/>
                <w:color w:val="000000"/>
                <w:szCs w:val="24"/>
                <w:shd w:val="clear" w:color="auto" w:fill="FFFFFF"/>
              </w:rPr>
              <w:t>R.B.1.2008</w:t>
            </w:r>
          </w:p>
        </w:tc>
        <w:tc>
          <w:tcPr>
            <w:tcW w:w="3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550C2" w14:textId="19999133" w:rsidR="00F4662F" w:rsidRPr="009D5352" w:rsidRDefault="00244911">
            <w:pPr>
              <w:suppressAutoHyphens/>
              <w:jc w:val="center"/>
              <w:rPr>
                <w:color w:val="000000"/>
                <w:szCs w:val="24"/>
              </w:rPr>
            </w:pPr>
            <w:r w:rsidRPr="009D5352">
              <w:rPr>
                <w:color w:val="000000"/>
                <w:szCs w:val="24"/>
              </w:rPr>
              <w:t xml:space="preserve">Metinis etato ekvivalentas </w:t>
            </w:r>
            <w:r w:rsidR="00A80A53" w:rsidRPr="009D5352">
              <w:rPr>
                <w:color w:val="000000"/>
                <w:szCs w:val="24"/>
                <w:bdr w:val="none" w:sz="0" w:space="0" w:color="auto" w:frame="1"/>
              </w:rPr>
              <w:t>(duomenys suskirstomi pagal lytį)</w:t>
            </w:r>
          </w:p>
        </w:tc>
        <w:tc>
          <w:tcPr>
            <w:tcW w:w="3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80768" w14:textId="61EA2D81" w:rsidR="00F4662F" w:rsidRPr="009D5352" w:rsidRDefault="00244911">
            <w:pPr>
              <w:suppressAutoHyphens/>
              <w:jc w:val="center"/>
            </w:pPr>
            <w:r w:rsidRPr="009D5352">
              <w:rPr>
                <w:iCs/>
                <w:szCs w:val="24"/>
              </w:rPr>
              <w:t xml:space="preserve">n / a </w:t>
            </w:r>
          </w:p>
        </w:tc>
      </w:tr>
    </w:tbl>
    <w:p w14:paraId="57928961" w14:textId="77777777" w:rsidR="00315588" w:rsidRPr="009D5352" w:rsidRDefault="00315588">
      <w:pPr>
        <w:suppressAutoHyphens/>
        <w:jc w:val="both"/>
        <w:rPr>
          <w:iCs/>
          <w:szCs w:val="24"/>
        </w:rPr>
      </w:pPr>
    </w:p>
    <w:p w14:paraId="21B7CD46" w14:textId="77777777" w:rsidR="00315588" w:rsidRPr="009D5352" w:rsidRDefault="00315588">
      <w:pPr>
        <w:suppressAutoHyphens/>
        <w:jc w:val="both"/>
        <w:rPr>
          <w:iCs/>
          <w:szCs w:val="24"/>
        </w:rPr>
      </w:pPr>
    </w:p>
    <w:tbl>
      <w:tblPr>
        <w:tblW w:w="15127" w:type="dxa"/>
        <w:tblCellMar>
          <w:left w:w="10" w:type="dxa"/>
          <w:right w:w="10" w:type="dxa"/>
        </w:tblCellMar>
        <w:tblLook w:val="04A0" w:firstRow="1" w:lastRow="0" w:firstColumn="1" w:lastColumn="0" w:noHBand="0" w:noVBand="1"/>
      </w:tblPr>
      <w:tblGrid>
        <w:gridCol w:w="15127"/>
      </w:tblGrid>
      <w:tr w:rsidR="00231CD9" w:rsidRPr="009D5352" w14:paraId="27BAAE80" w14:textId="77777777" w:rsidTr="00253345">
        <w:trPr>
          <w:trHeight w:val="298"/>
        </w:trPr>
        <w:tc>
          <w:tcPr>
            <w:tcW w:w="1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E7927" w14:textId="77777777" w:rsidR="00231CD9" w:rsidRPr="009D5352" w:rsidRDefault="00231CD9" w:rsidP="00253345">
            <w:pPr>
              <w:tabs>
                <w:tab w:val="left" w:pos="316"/>
              </w:tabs>
              <w:suppressAutoHyphens/>
              <w:jc w:val="both"/>
              <w:rPr>
                <w:b/>
                <w:bCs/>
                <w:szCs w:val="24"/>
              </w:rPr>
            </w:pPr>
            <w:r w:rsidRPr="009D5352">
              <w:rPr>
                <w:b/>
                <w:bCs/>
                <w:szCs w:val="24"/>
              </w:rPr>
              <w:t>3.</w:t>
            </w:r>
            <w:r w:rsidRPr="009D5352">
              <w:rPr>
                <w:b/>
                <w:bCs/>
                <w:szCs w:val="24"/>
              </w:rPr>
              <w:tab/>
              <w:t>Lietuvos Respublikos švietimo, mokslo ir sporto ministerijos (toliau – Ministerija) stebėsenos rodiklių aprašymo kortelės</w:t>
            </w:r>
          </w:p>
        </w:tc>
      </w:tr>
      <w:tr w:rsidR="00231CD9" w:rsidRPr="009D5352" w14:paraId="0CB06462" w14:textId="77777777" w:rsidTr="00253345">
        <w:trPr>
          <w:trHeight w:val="315"/>
        </w:trPr>
        <w:tc>
          <w:tcPr>
            <w:tcW w:w="1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53C8B" w14:textId="0F129237" w:rsidR="00231CD9" w:rsidRPr="009D5352" w:rsidRDefault="00231CD9" w:rsidP="00253345">
            <w:pPr>
              <w:suppressAutoHyphens/>
              <w:jc w:val="both"/>
              <w:rPr>
                <w:szCs w:val="24"/>
              </w:rPr>
            </w:pPr>
            <w:r w:rsidRPr="009D5352">
              <w:rPr>
                <w:szCs w:val="24"/>
              </w:rPr>
              <w:t>3.1. Ministerijos stebėsenos rodiklių aprašymo kortelės pateiktos šiuo Lietuvos Respublikos švietimo, mokslo ir sporto ministro įsakymu patvirtinto 2022–2030 metų plėtros programos valdytojos Lietuvos Respublikos švietimo, mokslo ir sporto ministerijos mokslo plėtros programos pažangos priemonės Nr.</w:t>
            </w:r>
            <w:r w:rsidR="005C4CDF">
              <w:rPr>
                <w:szCs w:val="24"/>
              </w:rPr>
              <w:t> </w:t>
            </w:r>
            <w:r w:rsidRPr="009D5352">
              <w:rPr>
                <w:szCs w:val="24"/>
              </w:rPr>
              <w:t>12-001-01-02-01 „Stiprinti inovacijų ekosistemas mokslo centruose“ aprašo 16 priede.</w:t>
            </w:r>
          </w:p>
        </w:tc>
      </w:tr>
    </w:tbl>
    <w:p w14:paraId="3E76EAAB" w14:textId="77777777" w:rsidR="00F4662F" w:rsidRDefault="00F4662F" w:rsidP="00F07212">
      <w:pPr>
        <w:suppressAutoHyphens/>
        <w:rPr>
          <w:szCs w:val="24"/>
        </w:rPr>
      </w:pPr>
    </w:p>
    <w:p w14:paraId="61E28901" w14:textId="77777777" w:rsidR="00F07212" w:rsidRDefault="00F07212" w:rsidP="00F07212">
      <w:pPr>
        <w:suppressAutoHyphens/>
        <w:rPr>
          <w:szCs w:val="24"/>
        </w:rPr>
      </w:pPr>
    </w:p>
    <w:p w14:paraId="2DB64EBA" w14:textId="77777777" w:rsidR="00F07212" w:rsidRDefault="00F07212" w:rsidP="00F07212">
      <w:pPr>
        <w:suppressAutoHyphens/>
        <w:rPr>
          <w:szCs w:val="24"/>
        </w:rPr>
      </w:pPr>
    </w:p>
    <w:p w14:paraId="31D4E3CB" w14:textId="77777777" w:rsidR="00F07212" w:rsidRDefault="00F07212" w:rsidP="00F07212">
      <w:pPr>
        <w:suppressAutoHyphens/>
        <w:rPr>
          <w:szCs w:val="24"/>
        </w:rPr>
      </w:pPr>
    </w:p>
    <w:p w14:paraId="0BBA5BFE" w14:textId="77777777" w:rsidR="00F07212" w:rsidRPr="009D5352" w:rsidRDefault="00F07212" w:rsidP="00F07212">
      <w:pPr>
        <w:suppressAutoHyphens/>
        <w:rPr>
          <w:szCs w:val="24"/>
        </w:rPr>
      </w:pPr>
    </w:p>
    <w:p w14:paraId="73157EA8" w14:textId="77777777" w:rsidR="00F4662F" w:rsidRPr="009D5352" w:rsidRDefault="00244911">
      <w:pPr>
        <w:suppressAutoHyphens/>
        <w:jc w:val="center"/>
        <w:rPr>
          <w:b/>
          <w:bCs/>
          <w:szCs w:val="24"/>
        </w:rPr>
      </w:pPr>
      <w:r w:rsidRPr="009D5352">
        <w:rPr>
          <w:b/>
          <w:bCs/>
          <w:szCs w:val="24"/>
        </w:rPr>
        <w:lastRenderedPageBreak/>
        <w:t>II SKYRIUS</w:t>
      </w:r>
    </w:p>
    <w:p w14:paraId="1AA8D963" w14:textId="77777777" w:rsidR="00F4662F" w:rsidRPr="009D5352" w:rsidRDefault="00244911">
      <w:pPr>
        <w:suppressAutoHyphens/>
        <w:jc w:val="center"/>
        <w:rPr>
          <w:b/>
          <w:szCs w:val="24"/>
        </w:rPr>
      </w:pPr>
      <w:r w:rsidRPr="009D5352">
        <w:rPr>
          <w:b/>
          <w:szCs w:val="24"/>
        </w:rPr>
        <w:t>SPECIALIEJI FINANSAVIMO REIKALAVIMAI</w:t>
      </w:r>
    </w:p>
    <w:p w14:paraId="5AA8633C" w14:textId="77777777" w:rsidR="00F4662F" w:rsidRPr="009D5352" w:rsidRDefault="00F4662F">
      <w:pPr>
        <w:suppressAutoHyphens/>
        <w:rPr>
          <w:b/>
          <w:i/>
          <w:szCs w:val="24"/>
        </w:rPr>
      </w:pPr>
    </w:p>
    <w:tbl>
      <w:tblPr>
        <w:tblW w:w="15134" w:type="dxa"/>
        <w:tblCellMar>
          <w:left w:w="10" w:type="dxa"/>
          <w:right w:w="10" w:type="dxa"/>
        </w:tblCellMar>
        <w:tblLook w:val="04A0" w:firstRow="1" w:lastRow="0" w:firstColumn="1" w:lastColumn="0" w:noHBand="0" w:noVBand="1"/>
      </w:tblPr>
      <w:tblGrid>
        <w:gridCol w:w="15134"/>
      </w:tblGrid>
      <w:tr w:rsidR="00F4662F" w:rsidRPr="009D5352" w14:paraId="0EA9999A"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DE73" w14:textId="77777777" w:rsidR="00F4662F" w:rsidRPr="009D5352" w:rsidRDefault="00244911">
            <w:pPr>
              <w:suppressAutoHyphens/>
            </w:pPr>
            <w:r w:rsidRPr="009D5352">
              <w:rPr>
                <w:b/>
                <w:bCs/>
                <w:szCs w:val="24"/>
              </w:rPr>
              <w:t>4</w:t>
            </w:r>
            <w:r w:rsidRPr="009D5352">
              <w:rPr>
                <w:szCs w:val="24"/>
              </w:rPr>
              <w:t xml:space="preserve">. </w:t>
            </w:r>
            <w:r w:rsidRPr="009D5352">
              <w:rPr>
                <w:b/>
                <w:bCs/>
                <w:szCs w:val="24"/>
              </w:rPr>
              <w:t>Taikomi teisės aktai</w:t>
            </w:r>
            <w:r w:rsidRPr="009D5352">
              <w:rPr>
                <w:szCs w:val="24"/>
              </w:rPr>
              <w:t xml:space="preserve"> </w:t>
            </w:r>
            <w:r w:rsidRPr="009D5352">
              <w:rPr>
                <w:b/>
                <w:bCs/>
                <w:szCs w:val="24"/>
              </w:rPr>
              <w:t>ir, jei taikoma, Apraše vartojamos sąvokos</w:t>
            </w:r>
          </w:p>
        </w:tc>
      </w:tr>
      <w:tr w:rsidR="00F4662F" w:rsidRPr="009D5352" w14:paraId="6F3DF1CD"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668C9" w14:textId="56800426" w:rsidR="00F4662F" w:rsidRPr="009D5352" w:rsidRDefault="00244911">
            <w:pPr>
              <w:suppressAutoHyphens/>
              <w:jc w:val="both"/>
              <w:rPr>
                <w:iCs/>
                <w:szCs w:val="24"/>
              </w:rPr>
            </w:pPr>
            <w:r w:rsidRPr="009D5352">
              <w:rPr>
                <w:iCs/>
                <w:szCs w:val="24"/>
              </w:rPr>
              <w:t>4.1. Teisės aktai, kuriais vadovaujamasi rengiant, teikiant ir vertinant projektų įgyvendinimo planą (toliau – PĮP), priimant sprendimą dėl projektų finansavimo, sudarant projekto sutartį ir įgyvendinant projektą, finansuojamą pagal 202</w:t>
            </w:r>
            <w:r w:rsidR="007177A5" w:rsidRPr="009D5352">
              <w:rPr>
                <w:iCs/>
                <w:szCs w:val="24"/>
              </w:rPr>
              <w:t>2</w:t>
            </w:r>
            <w:r w:rsidRPr="009D5352">
              <w:rPr>
                <w:iCs/>
                <w:szCs w:val="24"/>
              </w:rPr>
              <w:t xml:space="preserve">–2030 m. plėtros programos valdytojos Lietuvos Respublikos švietimo, mokslo ir sporto ministerijos mokslo plėtros programos pažangos priemonės Nr. 12-001-01-02-01 „Stiprinti inovacijų ekosistemas mokslo centruose“ projektų finansavimo sąlygų aprašą Nr. </w:t>
            </w:r>
            <w:r w:rsidR="007177A5" w:rsidRPr="009D5352">
              <w:rPr>
                <w:iCs/>
                <w:szCs w:val="24"/>
              </w:rPr>
              <w:t>2</w:t>
            </w:r>
            <w:r w:rsidRPr="009D5352">
              <w:rPr>
                <w:iCs/>
                <w:szCs w:val="24"/>
              </w:rPr>
              <w:t xml:space="preserve"> (toliau – Aprašas):</w:t>
            </w:r>
          </w:p>
          <w:p w14:paraId="289EB792" w14:textId="75E3E172" w:rsidR="00F4662F" w:rsidRPr="009D5352" w:rsidRDefault="00244911">
            <w:pPr>
              <w:suppressAutoHyphens/>
              <w:jc w:val="both"/>
              <w:rPr>
                <w:iCs/>
                <w:szCs w:val="24"/>
              </w:rPr>
            </w:pPr>
            <w:r w:rsidRPr="009D5352">
              <w:rPr>
                <w:iCs/>
                <w:szCs w:val="24"/>
              </w:rPr>
              <w:t xml:space="preserve">4.1.1. 2021 m. vasario 12 d. Europos Parlamento ir Tarybos reglamentas </w:t>
            </w:r>
            <w:hyperlink r:id="rId10" w:tgtFrame="_blank" w:history="1">
              <w:r w:rsidRPr="009D5352">
                <w:rPr>
                  <w:iCs/>
                  <w:color w:val="467886" w:themeColor="hyperlink"/>
                  <w:szCs w:val="24"/>
                  <w:u w:val="single"/>
                </w:rPr>
                <w:t>(ES) 2021/241</w:t>
              </w:r>
            </w:hyperlink>
            <w:r w:rsidRPr="009D5352">
              <w:rPr>
                <w:iCs/>
                <w:szCs w:val="24"/>
              </w:rPr>
              <w:t>, kuriuo nustatoma ekonomikos gaivinimo ir atsparumo didinimo priemonė</w:t>
            </w:r>
            <w:r w:rsidR="0044330D" w:rsidRPr="009D5352">
              <w:rPr>
                <w:iCs/>
                <w:szCs w:val="24"/>
              </w:rPr>
              <w:t>, su paskutiniais pakeitimais, padarytais 2024 m. vasario 29 d. Europos Parlamento ir Tarybos reglamentu (ES) 2024/795</w:t>
            </w:r>
            <w:r w:rsidRPr="009D5352">
              <w:rPr>
                <w:iCs/>
                <w:szCs w:val="24"/>
              </w:rPr>
              <w:t>;</w:t>
            </w:r>
          </w:p>
          <w:p w14:paraId="6BF519A1" w14:textId="082BFA2D" w:rsidR="00F4662F" w:rsidRPr="009D5352" w:rsidRDefault="00244911">
            <w:pPr>
              <w:suppressAutoHyphens/>
              <w:jc w:val="both"/>
              <w:rPr>
                <w:iCs/>
                <w:szCs w:val="24"/>
              </w:rPr>
            </w:pPr>
            <w:r w:rsidRPr="009D5352">
              <w:rPr>
                <w:iCs/>
                <w:szCs w:val="24"/>
              </w:rPr>
              <w:t xml:space="preserve">4.1.2. </w:t>
            </w:r>
            <w:r w:rsidR="00BA4D2F" w:rsidRPr="009D5352">
              <w:rPr>
                <w:iCs/>
                <w:szCs w:val="24"/>
              </w:rPr>
              <w:t xml:space="preserve">Ekonomikos gaivinimo ir atsparumo didinimo planas </w:t>
            </w:r>
            <w:r w:rsidR="00626817" w:rsidRPr="009D5352">
              <w:rPr>
                <w:iCs/>
                <w:szCs w:val="24"/>
              </w:rPr>
              <w:t xml:space="preserve">„Naujos kartos Lietuva“ , priimtas 2021 m. liepos 28 d. </w:t>
            </w:r>
            <w:r w:rsidR="00C561AC" w:rsidRPr="009D5352">
              <w:rPr>
                <w:iCs/>
                <w:szCs w:val="24"/>
              </w:rPr>
              <w:t xml:space="preserve">Europos Sąjungos </w:t>
            </w:r>
            <w:r w:rsidR="00626817" w:rsidRPr="009D5352">
              <w:rPr>
                <w:iCs/>
                <w:szCs w:val="24"/>
              </w:rPr>
              <w:t xml:space="preserve">Tarybos įgyvendinimo sprendimu </w:t>
            </w:r>
            <w:r w:rsidR="00C561AC" w:rsidRPr="009D5352">
              <w:rPr>
                <w:iCs/>
                <w:szCs w:val="24"/>
              </w:rPr>
              <w:t xml:space="preserve">Nr. CM 4171/21 </w:t>
            </w:r>
            <w:r w:rsidR="00626817" w:rsidRPr="009D5352">
              <w:rPr>
                <w:iCs/>
                <w:szCs w:val="24"/>
              </w:rPr>
              <w:t xml:space="preserve">dėl Lietuvos ekonomikos gaivinimo ir atsparumo didinimo plano patvirtinimo; </w:t>
            </w:r>
          </w:p>
          <w:p w14:paraId="34E51B2B" w14:textId="77777777" w:rsidR="00F4662F" w:rsidRPr="009D5352" w:rsidRDefault="00244911">
            <w:pPr>
              <w:suppressAutoHyphens/>
              <w:jc w:val="both"/>
              <w:rPr>
                <w:iCs/>
                <w:szCs w:val="24"/>
              </w:rPr>
            </w:pPr>
            <w:r w:rsidRPr="009D5352">
              <w:rPr>
                <w:iCs/>
                <w:szCs w:val="24"/>
              </w:rPr>
              <w:t>4.1.3. Lietuvos Respublikos mokslo ir studijų įstatymas;</w:t>
            </w:r>
          </w:p>
          <w:p w14:paraId="545006D4" w14:textId="1A29580F" w:rsidR="00F4662F" w:rsidRPr="009D5352" w:rsidRDefault="00244911">
            <w:pPr>
              <w:suppressAutoHyphens/>
              <w:jc w:val="both"/>
              <w:rPr>
                <w:iCs/>
                <w:szCs w:val="24"/>
              </w:rPr>
            </w:pPr>
            <w:r w:rsidRPr="009D5352">
              <w:rPr>
                <w:iCs/>
                <w:szCs w:val="24"/>
              </w:rPr>
              <w:t xml:space="preserve">4.1.4. </w:t>
            </w:r>
            <w:r w:rsidR="009619F2" w:rsidRPr="009D5352">
              <w:rPr>
                <w:iCs/>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00154A61">
              <w:rPr>
                <w:iCs/>
                <w:szCs w:val="24"/>
              </w:rPr>
              <w:t>;</w:t>
            </w:r>
            <w:r w:rsidR="009619F2" w:rsidRPr="009D5352">
              <w:rPr>
                <w:iCs/>
                <w:szCs w:val="24"/>
              </w:rPr>
              <w:t xml:space="preserve"> </w:t>
            </w:r>
          </w:p>
          <w:p w14:paraId="23526347" w14:textId="39F6A350" w:rsidR="0027025E" w:rsidRPr="009D5352" w:rsidRDefault="00244911">
            <w:pPr>
              <w:suppressAutoHyphens/>
              <w:jc w:val="both"/>
              <w:rPr>
                <w:iCs/>
                <w:szCs w:val="24"/>
              </w:rPr>
            </w:pPr>
            <w:r w:rsidRPr="009D5352">
              <w:rPr>
                <w:iCs/>
                <w:szCs w:val="24"/>
              </w:rPr>
              <w:t xml:space="preserve">4.1.5. </w:t>
            </w:r>
            <w:r w:rsidR="0027025E" w:rsidRPr="009D5352">
              <w:rPr>
                <w:iCs/>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5675AB" w:rsidRPr="009D5352">
              <w:rPr>
                <w:iCs/>
                <w:szCs w:val="24"/>
              </w:rPr>
              <w:t>;</w:t>
            </w:r>
          </w:p>
          <w:p w14:paraId="3786D6B7" w14:textId="057552CF" w:rsidR="00E828C5" w:rsidRPr="009D5352" w:rsidRDefault="00E828C5">
            <w:pPr>
              <w:suppressAutoHyphens/>
              <w:jc w:val="both"/>
              <w:rPr>
                <w:iCs/>
                <w:szCs w:val="24"/>
              </w:rPr>
            </w:pPr>
            <w:r w:rsidRPr="009D5352">
              <w:rPr>
                <w:iCs/>
                <w:szCs w:val="24"/>
              </w:rPr>
              <w:t>4.1.6.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6D6AB482" w14:textId="3F23E468" w:rsidR="00E828C5" w:rsidRPr="009D5352" w:rsidRDefault="00244911">
            <w:pPr>
              <w:suppressAutoHyphens/>
              <w:jc w:val="both"/>
              <w:rPr>
                <w:iCs/>
                <w:szCs w:val="24"/>
              </w:rPr>
            </w:pPr>
            <w:r w:rsidRPr="009D5352">
              <w:rPr>
                <w:iCs/>
                <w:szCs w:val="24"/>
              </w:rPr>
              <w:t xml:space="preserve">4.1.7. </w:t>
            </w:r>
            <w:r w:rsidR="00E828C5" w:rsidRPr="009D5352">
              <w:rPr>
                <w:iCs/>
                <w:szCs w:val="24"/>
              </w:rPr>
              <w:t>2021 m. balandžio 28 d. Europos parlamento ir Europos tarybos reglamentas (ES) 2021/695, kuriuo sukuriama bendroji mokslinių tyrimų ir inovacijų programa „Europos horizontas“, nustatomos su ja susijusios dalyvavimo ir sklaidos taisyklės ir panaikinami reglamentai (ES) Nr. 1290/2013 ir (ES) Nr.</w:t>
            </w:r>
            <w:r w:rsidR="00320117">
              <w:rPr>
                <w:iCs/>
                <w:szCs w:val="24"/>
              </w:rPr>
              <w:t> </w:t>
            </w:r>
            <w:r w:rsidR="00E828C5" w:rsidRPr="009D5352">
              <w:rPr>
                <w:iCs/>
                <w:szCs w:val="24"/>
              </w:rPr>
              <w:t>1291/2013</w:t>
            </w:r>
            <w:r w:rsidR="00211AF3" w:rsidRPr="009D5352">
              <w:rPr>
                <w:iCs/>
                <w:szCs w:val="24"/>
              </w:rPr>
              <w:t>, su paskutiniais pakeitimais, padarytais 2024 m. vasario 29 d. Europos Parlamento ir Tarybos reglamentu (ES) 2024/795</w:t>
            </w:r>
            <w:r w:rsidR="00E02952" w:rsidRPr="009D5352">
              <w:rPr>
                <w:iCs/>
                <w:szCs w:val="24"/>
              </w:rPr>
              <w:t>;</w:t>
            </w:r>
          </w:p>
          <w:p w14:paraId="0182F85C" w14:textId="05A42624" w:rsidR="00F4662F" w:rsidRPr="009D5352" w:rsidRDefault="00244911">
            <w:pPr>
              <w:suppressAutoHyphens/>
              <w:jc w:val="both"/>
              <w:rPr>
                <w:iCs/>
                <w:szCs w:val="24"/>
              </w:rPr>
            </w:pPr>
            <w:r w:rsidRPr="009D5352">
              <w:rPr>
                <w:iCs/>
                <w:szCs w:val="24"/>
              </w:rPr>
              <w:t xml:space="preserve">4.1.8. </w:t>
            </w:r>
            <w:r w:rsidR="00BC0B77" w:rsidRPr="009D5352">
              <w:rPr>
                <w:iCs/>
                <w:szCs w:val="24"/>
              </w:rPr>
              <w:t xml:space="preserve">Europos Sąjungos mokslinių tyrimų ir inovacijų programos „Europos horizontas“ </w:t>
            </w:r>
            <w:proofErr w:type="spellStart"/>
            <w:r w:rsidR="00BC0B77" w:rsidRPr="009D5352">
              <w:rPr>
                <w:iCs/>
                <w:szCs w:val="24"/>
              </w:rPr>
              <w:t>akceleravimo</w:t>
            </w:r>
            <w:proofErr w:type="spellEnd"/>
            <w:r w:rsidR="00BC0B77" w:rsidRPr="009D5352">
              <w:rPr>
                <w:iCs/>
                <w:szCs w:val="24"/>
              </w:rPr>
              <w:t xml:space="preserve"> veiklų planas, patvirtintas Lietuvos Respublikos švietimo, mokslo ir sporto ministro 2022 m. vasario 1 d. įsakymu V-151 „Dėl Europos Sąjungos mokslinių tyrimų ir inovacijų programos „Europos horizontas“ </w:t>
            </w:r>
            <w:proofErr w:type="spellStart"/>
            <w:r w:rsidR="00BC0B77" w:rsidRPr="009D5352">
              <w:rPr>
                <w:iCs/>
                <w:szCs w:val="24"/>
              </w:rPr>
              <w:t>akceleravimo</w:t>
            </w:r>
            <w:proofErr w:type="spellEnd"/>
            <w:r w:rsidR="00BC0B77" w:rsidRPr="009D5352">
              <w:rPr>
                <w:iCs/>
                <w:szCs w:val="24"/>
              </w:rPr>
              <w:t xml:space="preserve"> veiklų plano patvirtinimo“</w:t>
            </w:r>
            <w:r w:rsidR="000B5EF0" w:rsidRPr="009D5352">
              <w:rPr>
                <w:iCs/>
                <w:szCs w:val="24"/>
              </w:rPr>
              <w:t xml:space="preserve"> (paskelbtas Ministerijos interneto svetainėje https://smsm.lrv.lt/lt/veiklos-sritys-1/mokslas/es-bendroji-moksliniu-tyrimu-ir-inovaciju-programa-europos-horizontas/programos-europos-horizontas-akceleravimas/)</w:t>
            </w:r>
            <w:r w:rsidR="00BC0B77" w:rsidRPr="009D5352">
              <w:rPr>
                <w:iCs/>
                <w:szCs w:val="24"/>
              </w:rPr>
              <w:t>;</w:t>
            </w:r>
          </w:p>
          <w:p w14:paraId="187EA2C3" w14:textId="052A0EC6" w:rsidR="00F4662F" w:rsidRPr="009D5352" w:rsidRDefault="00244911">
            <w:pPr>
              <w:suppressAutoHyphens/>
              <w:jc w:val="both"/>
              <w:rPr>
                <w:iCs/>
                <w:szCs w:val="24"/>
              </w:rPr>
            </w:pPr>
            <w:r w:rsidRPr="009D5352">
              <w:rPr>
                <w:iCs/>
                <w:szCs w:val="24"/>
              </w:rPr>
              <w:t xml:space="preserve">4.1.9. </w:t>
            </w:r>
            <w:r w:rsidR="002D7E5C" w:rsidRPr="009D5352">
              <w:rPr>
                <w:iCs/>
                <w:szCs w:val="24"/>
              </w:rPr>
              <w:t>2020 m. rugsėjo 30 d. Europos Komisijos komunikatas COM(2020)628 dėl naujos Europos mokslinių tyrimų ir inovacijų erdvės;</w:t>
            </w:r>
          </w:p>
          <w:p w14:paraId="4D36D54D" w14:textId="58E6A589" w:rsidR="00F4662F" w:rsidRPr="009D5352" w:rsidRDefault="00244911">
            <w:pPr>
              <w:suppressAutoHyphens/>
              <w:jc w:val="both"/>
              <w:rPr>
                <w:iCs/>
                <w:szCs w:val="24"/>
              </w:rPr>
            </w:pPr>
            <w:r w:rsidRPr="009D5352">
              <w:rPr>
                <w:iCs/>
                <w:szCs w:val="24"/>
              </w:rPr>
              <w:t xml:space="preserve">4.1.10. </w:t>
            </w:r>
            <w:r w:rsidR="0027799E" w:rsidRPr="009D5352">
              <w:rPr>
                <w:iCs/>
                <w:szCs w:val="24"/>
              </w:rPr>
              <w:t>2021 m. lapkričio 26 d. Tarybos išvados 14308/21 dėl Europos mokslinių tyrimų erdvės;</w:t>
            </w:r>
          </w:p>
          <w:p w14:paraId="4BA1D4BC" w14:textId="340A450D" w:rsidR="00F4662F" w:rsidRPr="009D5352" w:rsidRDefault="00244911">
            <w:pPr>
              <w:suppressAutoHyphens/>
              <w:jc w:val="both"/>
              <w:rPr>
                <w:iCs/>
                <w:szCs w:val="24"/>
              </w:rPr>
            </w:pPr>
            <w:r w:rsidRPr="009D5352">
              <w:rPr>
                <w:iCs/>
                <w:szCs w:val="24"/>
              </w:rPr>
              <w:t xml:space="preserve">4.1.11. </w:t>
            </w:r>
            <w:r w:rsidR="00DB19EA" w:rsidRPr="009D5352">
              <w:rPr>
                <w:iCs/>
                <w:szCs w:val="24"/>
              </w:rPr>
              <w:t>2021 m. lapkričio 19 d. Tarybos rekomendacijos 13701/21 dėl Europos mokslo ir inovacijų pakto;</w:t>
            </w:r>
          </w:p>
          <w:p w14:paraId="1A6B05B8" w14:textId="7156F8DA" w:rsidR="00F4662F" w:rsidRPr="009D5352" w:rsidRDefault="00244911">
            <w:pPr>
              <w:suppressAutoHyphens/>
              <w:jc w:val="both"/>
              <w:rPr>
                <w:iCs/>
                <w:szCs w:val="24"/>
              </w:rPr>
            </w:pPr>
            <w:r w:rsidRPr="009D5352">
              <w:rPr>
                <w:iCs/>
                <w:szCs w:val="24"/>
              </w:rPr>
              <w:t xml:space="preserve">4.1.12. </w:t>
            </w:r>
            <w:r w:rsidR="00EB3535" w:rsidRPr="009D5352">
              <w:rPr>
                <w:iCs/>
                <w:szCs w:val="24"/>
              </w:rPr>
              <w:t>Aštuonioliktos Lietuvos Respublikos Vyriausybės programa, patvirtinta Lietuvos Respublikos Seimo 2020 m. gruodžio 11 d. nutarimu Nr. XIV-72 „Dėl Aštuonioliktosios Lietuvos Respublikos Vyriausybės programos“</w:t>
            </w:r>
            <w:r w:rsidR="00A331BC" w:rsidRPr="009D5352">
              <w:rPr>
                <w:iCs/>
                <w:szCs w:val="24"/>
              </w:rPr>
              <w:t>.</w:t>
            </w:r>
          </w:p>
          <w:p w14:paraId="16C71A05" w14:textId="5EFE4305" w:rsidR="00C80FA9" w:rsidRPr="009D5352" w:rsidRDefault="00244911" w:rsidP="00360F40">
            <w:pPr>
              <w:suppressAutoHyphens/>
              <w:jc w:val="both"/>
              <w:rPr>
                <w:iCs/>
                <w:szCs w:val="24"/>
              </w:rPr>
            </w:pPr>
            <w:r w:rsidRPr="009D5352">
              <w:rPr>
                <w:iCs/>
                <w:szCs w:val="24"/>
              </w:rPr>
              <w:lastRenderedPageBreak/>
              <w:t xml:space="preserve">4.2. </w:t>
            </w:r>
            <w:r w:rsidR="002B6D04" w:rsidRPr="009D5352">
              <w:rPr>
                <w:iCs/>
                <w:szCs w:val="24"/>
              </w:rPr>
              <w:t xml:space="preserve">Apraše vartojamos sąvokos suprantamos taip, kaip jos apibrėžtos Projektų administravimo ir finansavimo taisyklėse, Lietuvos Respublikos mokslo ir studijų įstatyme ir kituose </w:t>
            </w:r>
            <w:r w:rsidR="00BF1DA2" w:rsidRPr="009D5352">
              <w:rPr>
                <w:iCs/>
                <w:szCs w:val="24"/>
              </w:rPr>
              <w:t xml:space="preserve">Aprašo </w:t>
            </w:r>
            <w:r w:rsidR="0049504F" w:rsidRPr="009D5352">
              <w:rPr>
                <w:iCs/>
                <w:szCs w:val="24"/>
              </w:rPr>
              <w:t>4</w:t>
            </w:r>
            <w:r w:rsidR="002B6D04" w:rsidRPr="009D5352">
              <w:rPr>
                <w:iCs/>
                <w:szCs w:val="24"/>
              </w:rPr>
              <w:t>.1 papunktyje nurodytuose teisės aktuose.</w:t>
            </w:r>
          </w:p>
        </w:tc>
      </w:tr>
      <w:tr w:rsidR="00F4662F" w:rsidRPr="009D5352" w14:paraId="599A0793"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24A52" w14:textId="77777777" w:rsidR="00F4662F" w:rsidRPr="009D5352" w:rsidRDefault="00244911">
            <w:pPr>
              <w:suppressAutoHyphens/>
            </w:pPr>
            <w:r w:rsidRPr="009D5352">
              <w:rPr>
                <w:b/>
                <w:szCs w:val="24"/>
              </w:rPr>
              <w:lastRenderedPageBreak/>
              <w:t>5</w:t>
            </w:r>
            <w:r w:rsidRPr="009D5352">
              <w:rPr>
                <w:bCs/>
                <w:szCs w:val="24"/>
              </w:rPr>
              <w:t xml:space="preserve">. </w:t>
            </w:r>
            <w:r w:rsidRPr="009D5352">
              <w:rPr>
                <w:b/>
                <w:szCs w:val="24"/>
              </w:rPr>
              <w:t>Reikalavimai projektams, pareiškėjams ir partneriams</w:t>
            </w:r>
          </w:p>
        </w:tc>
      </w:tr>
      <w:tr w:rsidR="00F4662F" w:rsidRPr="009D5352" w14:paraId="5305F954" w14:textId="77777777">
        <w:trPr>
          <w:trHeight w:val="690"/>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17FCD" w14:textId="77777777" w:rsidR="00F4662F" w:rsidRPr="009D5352" w:rsidRDefault="00244911">
            <w:pPr>
              <w:suppressAutoHyphens/>
              <w:jc w:val="both"/>
              <w:rPr>
                <w:b/>
                <w:bCs/>
              </w:rPr>
            </w:pPr>
            <w:r w:rsidRPr="009D5352">
              <w:rPr>
                <w:b/>
                <w:bCs/>
                <w:szCs w:val="24"/>
              </w:rPr>
              <w:t>5.1. Reikalavimai projektams:</w:t>
            </w:r>
          </w:p>
          <w:p w14:paraId="22937971" w14:textId="5B5DFD78" w:rsidR="00520F4B" w:rsidRPr="009D5352" w:rsidRDefault="00244911" w:rsidP="00520F4B">
            <w:pPr>
              <w:suppressAutoHyphens/>
              <w:jc w:val="both"/>
              <w:rPr>
                <w:iCs/>
                <w:szCs w:val="24"/>
              </w:rPr>
            </w:pPr>
            <w:r w:rsidRPr="009D5352">
              <w:rPr>
                <w:iCs/>
                <w:szCs w:val="24"/>
              </w:rPr>
              <w:t xml:space="preserve">5.1.1. </w:t>
            </w:r>
            <w:r w:rsidR="00520F4B" w:rsidRPr="009D5352">
              <w:rPr>
                <w:iCs/>
                <w:szCs w:val="24"/>
              </w:rPr>
              <w:t xml:space="preserve">Pagal Aprašą skiriama parama veikloms, skirtoms Europos mokslinių tyrimų erdvės prioritetams įgyvendinti, siekiant institucinių pokyčių </w:t>
            </w:r>
            <w:r w:rsidR="006606F2" w:rsidRPr="009D5352">
              <w:rPr>
                <w:bCs/>
                <w:iCs/>
                <w:szCs w:val="24"/>
              </w:rPr>
              <w:t>mokslo ir studijų institucijos</w:t>
            </w:r>
            <w:r w:rsidR="00B64AC7" w:rsidRPr="009D5352">
              <w:rPr>
                <w:bCs/>
                <w:iCs/>
                <w:szCs w:val="24"/>
              </w:rPr>
              <w:t>e</w:t>
            </w:r>
            <w:r w:rsidR="006606F2" w:rsidRPr="009D5352">
              <w:rPr>
                <w:bCs/>
                <w:iCs/>
                <w:szCs w:val="24"/>
              </w:rPr>
              <w:t>, įtrauktos</w:t>
            </w:r>
            <w:r w:rsidR="00B64AC7" w:rsidRPr="009D5352">
              <w:rPr>
                <w:bCs/>
                <w:iCs/>
                <w:szCs w:val="24"/>
              </w:rPr>
              <w:t>e</w:t>
            </w:r>
            <w:r w:rsidR="006606F2" w:rsidRPr="009D5352">
              <w:rPr>
                <w:bCs/>
                <w:iCs/>
                <w:szCs w:val="24"/>
              </w:rPr>
              <w:t xml:space="preserve"> į Atviros informavimo, konsultavimo ir orientavimo sistemos registrą (toliau – MSI)</w:t>
            </w:r>
            <w:r w:rsidR="00520F4B" w:rsidRPr="009D5352">
              <w:rPr>
                <w:iCs/>
                <w:szCs w:val="24"/>
              </w:rPr>
              <w:t xml:space="preserve">: </w:t>
            </w:r>
          </w:p>
          <w:p w14:paraId="0EA6B307" w14:textId="20A750D8" w:rsidR="00520F4B" w:rsidRPr="009D5352" w:rsidRDefault="009A1CB2" w:rsidP="00520F4B">
            <w:pPr>
              <w:suppressAutoHyphens/>
              <w:jc w:val="both"/>
              <w:rPr>
                <w:iCs/>
                <w:szCs w:val="24"/>
              </w:rPr>
            </w:pPr>
            <w:r w:rsidRPr="009D5352">
              <w:rPr>
                <w:iCs/>
                <w:szCs w:val="24"/>
              </w:rPr>
              <w:t>5</w:t>
            </w:r>
            <w:r w:rsidR="00520F4B" w:rsidRPr="009D5352">
              <w:rPr>
                <w:iCs/>
                <w:szCs w:val="24"/>
              </w:rPr>
              <w:t>.</w:t>
            </w:r>
            <w:r w:rsidRPr="009D5352">
              <w:rPr>
                <w:iCs/>
                <w:szCs w:val="24"/>
              </w:rPr>
              <w:t>1</w:t>
            </w:r>
            <w:r w:rsidR="00520F4B" w:rsidRPr="009D5352">
              <w:rPr>
                <w:iCs/>
                <w:szCs w:val="24"/>
              </w:rPr>
              <w:t>.1.</w:t>
            </w:r>
            <w:r w:rsidR="00E568A2" w:rsidRPr="009D5352">
              <w:rPr>
                <w:iCs/>
                <w:szCs w:val="24"/>
              </w:rPr>
              <w:t>1.</w:t>
            </w:r>
            <w:r w:rsidR="00520F4B" w:rsidRPr="009D5352">
              <w:rPr>
                <w:iCs/>
                <w:szCs w:val="24"/>
              </w:rPr>
              <w:t xml:space="preserve"> prisidėti prie Europos mokslinių tyrimų vertinimo sistemos tobulinimo (keičiant vertinimo tvarkas pagal Europos mokslinių tyrimų erdvės (toliau – EMTE) siūlymus ir atvirojo mokslo praktiką) (EMTE veiksmas Nr. 3: Daryti pažangą siekiant reformuoti mokslinių tyrimų, tyrėjų ir institucijų vertinimo sistemą, kad būtų pagerinta jų kokybė, veiklos rezultatai ir poveikis);</w:t>
            </w:r>
          </w:p>
          <w:p w14:paraId="2C2ED841" w14:textId="495DA871" w:rsidR="00520F4B" w:rsidRPr="009D5352" w:rsidRDefault="00E568A2" w:rsidP="00520F4B">
            <w:pPr>
              <w:suppressAutoHyphens/>
              <w:jc w:val="both"/>
              <w:rPr>
                <w:bCs/>
                <w:iCs/>
                <w:szCs w:val="24"/>
              </w:rPr>
            </w:pPr>
            <w:r w:rsidRPr="009D5352">
              <w:rPr>
                <w:iCs/>
                <w:szCs w:val="24"/>
              </w:rPr>
              <w:t>5.1.1.</w:t>
            </w:r>
            <w:r w:rsidR="00520F4B" w:rsidRPr="009D5352">
              <w:rPr>
                <w:iCs/>
                <w:szCs w:val="24"/>
              </w:rPr>
              <w:t xml:space="preserve">2. parengti ir (arba) įgyvendinti lyčių lygybės ir lygių galimybių priemones (EMTE veiksmas Nr. 5: </w:t>
            </w:r>
            <w:r w:rsidR="00520F4B" w:rsidRPr="009D5352">
              <w:rPr>
                <w:bCs/>
                <w:iCs/>
                <w:szCs w:val="24"/>
              </w:rPr>
              <w:t xml:space="preserve">Skatinti lyčių lygybę ir </w:t>
            </w:r>
            <w:proofErr w:type="spellStart"/>
            <w:r w:rsidR="00520F4B" w:rsidRPr="009D5352">
              <w:rPr>
                <w:bCs/>
                <w:iCs/>
                <w:szCs w:val="24"/>
              </w:rPr>
              <w:t>įtraukumą</w:t>
            </w:r>
            <w:proofErr w:type="spellEnd"/>
            <w:r w:rsidR="00520F4B" w:rsidRPr="009D5352">
              <w:rPr>
                <w:bCs/>
                <w:iCs/>
                <w:szCs w:val="24"/>
              </w:rPr>
              <w:t>, atsižvelgiant į Liublianos deklaraciją);</w:t>
            </w:r>
          </w:p>
          <w:p w14:paraId="1C2AFEBF" w14:textId="3600D72F" w:rsidR="00520F4B" w:rsidRPr="009D5352" w:rsidRDefault="00E568A2" w:rsidP="00520F4B">
            <w:pPr>
              <w:suppressAutoHyphens/>
              <w:jc w:val="both"/>
              <w:rPr>
                <w:bCs/>
                <w:iCs/>
                <w:szCs w:val="24"/>
              </w:rPr>
            </w:pPr>
            <w:r w:rsidRPr="009D5352">
              <w:rPr>
                <w:bCs/>
                <w:iCs/>
                <w:szCs w:val="24"/>
              </w:rPr>
              <w:t>5.1.1.</w:t>
            </w:r>
            <w:r w:rsidR="00520F4B" w:rsidRPr="009D5352">
              <w:rPr>
                <w:bCs/>
                <w:iCs/>
                <w:szCs w:val="24"/>
              </w:rPr>
              <w:t xml:space="preserve">3. </w:t>
            </w:r>
            <w:r w:rsidR="00520F4B" w:rsidRPr="009D5352">
              <w:rPr>
                <w:iCs/>
                <w:szCs w:val="24"/>
              </w:rPr>
              <w:t>stiprinti tyrėjų karjeros patrauklumą įgyvendinant EMTE instrumentus (diegiant žmogiškųjų išteklių valdymo strategiją (HRS4R), tyrėjų karjeros stebėsenos sistemą ir kt.) (EMTE veiksmas Nr. 4: Skatinti patrauklią ir tvarią mokslinių tyrimų srities karjerą, subalansuotą talentų apykaitą ir tarptautinį, tarpdisciplininį ir tarpsektorinį judumą visoje EMTE</w:t>
            </w:r>
            <w:r w:rsidR="00520F4B" w:rsidRPr="009D5352">
              <w:rPr>
                <w:bCs/>
                <w:iCs/>
                <w:szCs w:val="24"/>
              </w:rPr>
              <w:t>);</w:t>
            </w:r>
          </w:p>
          <w:p w14:paraId="387BA3A7" w14:textId="07A7F61E" w:rsidR="00520F4B" w:rsidRPr="009D5352" w:rsidRDefault="00E568A2" w:rsidP="00520F4B">
            <w:pPr>
              <w:suppressAutoHyphens/>
              <w:jc w:val="both"/>
              <w:rPr>
                <w:iCs/>
                <w:szCs w:val="24"/>
              </w:rPr>
            </w:pPr>
            <w:r w:rsidRPr="009D5352">
              <w:rPr>
                <w:bCs/>
                <w:iCs/>
                <w:szCs w:val="24"/>
              </w:rPr>
              <w:t>5.1.1.</w:t>
            </w:r>
            <w:r w:rsidR="00520F4B" w:rsidRPr="009D5352">
              <w:rPr>
                <w:bCs/>
                <w:iCs/>
                <w:szCs w:val="24"/>
              </w:rPr>
              <w:t xml:space="preserve">4. </w:t>
            </w:r>
            <w:r w:rsidR="00520F4B" w:rsidRPr="009D5352">
              <w:rPr>
                <w:iCs/>
                <w:szCs w:val="24"/>
              </w:rPr>
              <w:t xml:space="preserve">plėtoti veiklas, skirtas piliečių įtraukimui į mokslo kampanijas (EMTE veiksmas Nr. 14: Priartinti mokslą prie piliečių); </w:t>
            </w:r>
          </w:p>
          <w:p w14:paraId="7A421555" w14:textId="671245A8" w:rsidR="00520F4B" w:rsidRPr="009D5352" w:rsidRDefault="00E568A2" w:rsidP="00520F4B">
            <w:pPr>
              <w:suppressAutoHyphens/>
              <w:jc w:val="both"/>
              <w:rPr>
                <w:bCs/>
                <w:iCs/>
                <w:szCs w:val="24"/>
              </w:rPr>
            </w:pPr>
            <w:r w:rsidRPr="009D5352">
              <w:rPr>
                <w:iCs/>
                <w:szCs w:val="24"/>
              </w:rPr>
              <w:t>5.1.1.</w:t>
            </w:r>
            <w:r w:rsidR="00520F4B" w:rsidRPr="009D5352">
              <w:rPr>
                <w:iCs/>
                <w:szCs w:val="24"/>
              </w:rPr>
              <w:t xml:space="preserve">5. skatinti abipusiškumu grindžiamą tarptautinį bendradarbiavimą (diegiant Europos Komisijos rekomendacijas dėl išorės grėsmių ir kt.) (EMTE veiksmas Nr. 9: </w:t>
            </w:r>
            <w:r w:rsidR="00520F4B" w:rsidRPr="009D5352">
              <w:rPr>
                <w:bCs/>
                <w:iCs/>
                <w:szCs w:val="24"/>
              </w:rPr>
              <w:t>Skatinti abipusiškumu grindžiamam tarptautiniam bendradarbiavimui palankią aplinką ir vienodas sąlygas);</w:t>
            </w:r>
          </w:p>
          <w:p w14:paraId="71309670" w14:textId="1BC3C6B5" w:rsidR="00F4662F" w:rsidRPr="009D5352" w:rsidRDefault="00E568A2">
            <w:pPr>
              <w:suppressAutoHyphens/>
              <w:jc w:val="both"/>
              <w:rPr>
                <w:iCs/>
                <w:szCs w:val="24"/>
              </w:rPr>
            </w:pPr>
            <w:r w:rsidRPr="009D5352">
              <w:rPr>
                <w:iCs/>
                <w:szCs w:val="24"/>
              </w:rPr>
              <w:t>5.1.1.</w:t>
            </w:r>
            <w:r w:rsidR="00520F4B" w:rsidRPr="009D5352">
              <w:rPr>
                <w:iCs/>
                <w:szCs w:val="24"/>
              </w:rPr>
              <w:t>6. prisidėti prie žinių ir inovacijų ekosistemos pertvarkos, skatinančios žaliąją transformaciją bei ateities darbuotojų ugdymą ir perkvalifikavimą (EMTE veiksmas Nr. 11: EMTE, kuria siekiama žaliosios transformacijos; EMTE veiksmas Nr. 12: Spartinti žaliąją / skaitmeninę pagrindinių Europos pramonės ekosistemų pertvarką; EMTE veiksmas Nr. 13: Įgalinti aukštojo mokslo institucijas vystytis laikantis EMTE ir užtikrinant sinergiją su Europos švietimo erdve).</w:t>
            </w:r>
          </w:p>
          <w:p w14:paraId="70084504" w14:textId="76A7337A" w:rsidR="00F4662F" w:rsidRPr="009D5352" w:rsidRDefault="00244911">
            <w:pPr>
              <w:suppressAutoHyphens/>
              <w:jc w:val="both"/>
            </w:pPr>
            <w:r w:rsidRPr="009D5352">
              <w:t xml:space="preserve">5.1.2. </w:t>
            </w:r>
            <w:r w:rsidR="008E3971" w:rsidRPr="009D5352">
              <w:t>Pagal Aprašą teikiamo finansavimo forma – dotacija.</w:t>
            </w:r>
          </w:p>
          <w:p w14:paraId="084C8DE3" w14:textId="1A493C08" w:rsidR="00F4662F" w:rsidRPr="009D5352" w:rsidRDefault="00244911">
            <w:pPr>
              <w:jc w:val="both"/>
              <w:rPr>
                <w:szCs w:val="24"/>
              </w:rPr>
            </w:pPr>
            <w:r w:rsidRPr="009D5352">
              <w:rPr>
                <w:szCs w:val="24"/>
              </w:rPr>
              <w:t>5.1.</w:t>
            </w:r>
            <w:r w:rsidR="00194419" w:rsidRPr="009D5352">
              <w:rPr>
                <w:szCs w:val="24"/>
              </w:rPr>
              <w:t>3. Pagal Aprašą projektams įgyvendinti numatoma skirti iki 2</w:t>
            </w:r>
            <w:r w:rsidR="00C12EB0" w:rsidRPr="009D5352">
              <w:rPr>
                <w:szCs w:val="24"/>
              </w:rPr>
              <w:t> </w:t>
            </w:r>
            <w:r w:rsidR="00194419" w:rsidRPr="009D5352">
              <w:rPr>
                <w:szCs w:val="24"/>
              </w:rPr>
              <w:t>000</w:t>
            </w:r>
            <w:r w:rsidR="00C12EB0" w:rsidRPr="009D5352">
              <w:rPr>
                <w:szCs w:val="24"/>
              </w:rPr>
              <w:t xml:space="preserve"> </w:t>
            </w:r>
            <w:r w:rsidR="00194419" w:rsidRPr="009D5352">
              <w:rPr>
                <w:szCs w:val="24"/>
              </w:rPr>
              <w:t>000</w:t>
            </w:r>
            <w:r w:rsidR="00C12EB0" w:rsidRPr="009D5352">
              <w:rPr>
                <w:szCs w:val="24"/>
              </w:rPr>
              <w:t>,00</w:t>
            </w:r>
            <w:r w:rsidR="00194419" w:rsidRPr="009D5352">
              <w:rPr>
                <w:szCs w:val="24"/>
              </w:rPr>
              <w:t xml:space="preserve"> Eur (dviejų milijonų eurų</w:t>
            </w:r>
            <w:r w:rsidR="00C12EB0" w:rsidRPr="009D5352">
              <w:rPr>
                <w:szCs w:val="24"/>
              </w:rPr>
              <w:t xml:space="preserve"> 00 ct</w:t>
            </w:r>
            <w:r w:rsidR="00194419" w:rsidRPr="009D5352">
              <w:rPr>
                <w:szCs w:val="24"/>
              </w:rPr>
              <w:t>) EGADP lėšų ir ne daugiau kaip 420</w:t>
            </w:r>
            <w:r w:rsidR="003936B8" w:rsidRPr="009D5352">
              <w:rPr>
                <w:szCs w:val="24"/>
              </w:rPr>
              <w:t xml:space="preserve"> </w:t>
            </w:r>
            <w:r w:rsidR="00194419" w:rsidRPr="009D5352">
              <w:rPr>
                <w:szCs w:val="24"/>
              </w:rPr>
              <w:t>000</w:t>
            </w:r>
            <w:r w:rsidR="003936B8" w:rsidRPr="009D5352">
              <w:rPr>
                <w:szCs w:val="24"/>
              </w:rPr>
              <w:t>,00</w:t>
            </w:r>
            <w:r w:rsidR="00194419" w:rsidRPr="009D5352">
              <w:rPr>
                <w:szCs w:val="24"/>
              </w:rPr>
              <w:t xml:space="preserve"> Eur (keturi</w:t>
            </w:r>
            <w:r w:rsidR="002161BD" w:rsidRPr="009D5352">
              <w:rPr>
                <w:szCs w:val="24"/>
              </w:rPr>
              <w:t>ų</w:t>
            </w:r>
            <w:r w:rsidR="00194419" w:rsidRPr="009D5352">
              <w:rPr>
                <w:szCs w:val="24"/>
              </w:rPr>
              <w:t xml:space="preserve"> šimt</w:t>
            </w:r>
            <w:r w:rsidR="002161BD" w:rsidRPr="009D5352">
              <w:rPr>
                <w:szCs w:val="24"/>
              </w:rPr>
              <w:t>ų</w:t>
            </w:r>
            <w:r w:rsidR="00194419" w:rsidRPr="009D5352">
              <w:rPr>
                <w:szCs w:val="24"/>
              </w:rPr>
              <w:t xml:space="preserve"> dvidešimt</w:t>
            </w:r>
            <w:r w:rsidR="007C331F" w:rsidRPr="009D5352">
              <w:rPr>
                <w:szCs w:val="24"/>
              </w:rPr>
              <w:t>ies</w:t>
            </w:r>
            <w:r w:rsidR="00194419" w:rsidRPr="009D5352">
              <w:rPr>
                <w:szCs w:val="24"/>
              </w:rPr>
              <w:t xml:space="preserve"> tūkstančių eurų</w:t>
            </w:r>
            <w:r w:rsidR="008F357C" w:rsidRPr="009D5352">
              <w:rPr>
                <w:szCs w:val="24"/>
              </w:rPr>
              <w:t xml:space="preserve"> 00 ct</w:t>
            </w:r>
            <w:r w:rsidR="00194419" w:rsidRPr="009D5352">
              <w:rPr>
                <w:szCs w:val="24"/>
              </w:rPr>
              <w:t>) Lietuvos Respublikos valstybės biudžeto lėšų pridėtinės vertės mokesčiui (toliau – PVM) kompensuoti.</w:t>
            </w:r>
          </w:p>
          <w:p w14:paraId="25C09CA3" w14:textId="0690B17D" w:rsidR="00F4662F" w:rsidRPr="009D5352" w:rsidRDefault="00244911">
            <w:pPr>
              <w:jc w:val="both"/>
              <w:rPr>
                <w:szCs w:val="24"/>
              </w:rPr>
            </w:pPr>
            <w:r w:rsidRPr="009D5352">
              <w:rPr>
                <w:szCs w:val="24"/>
              </w:rPr>
              <w:t>5.1.</w:t>
            </w:r>
            <w:r w:rsidR="002F6132" w:rsidRPr="009D5352">
              <w:rPr>
                <w:szCs w:val="24"/>
              </w:rPr>
              <w:t>4</w:t>
            </w:r>
            <w:r w:rsidRPr="009D5352">
              <w:rPr>
                <w:szCs w:val="24"/>
              </w:rPr>
              <w:t xml:space="preserve">. </w:t>
            </w:r>
            <w:r w:rsidR="002F6132" w:rsidRPr="009D5352">
              <w:rPr>
                <w:szCs w:val="24"/>
              </w:rPr>
              <w:t>Didžiausia galima projektui skirti finansavimo lėšų suma yra iki 60</w:t>
            </w:r>
            <w:r w:rsidR="003A2F4F" w:rsidRPr="009D5352">
              <w:rPr>
                <w:szCs w:val="24"/>
              </w:rPr>
              <w:t xml:space="preserve"> </w:t>
            </w:r>
            <w:r w:rsidR="002F6132" w:rsidRPr="009D5352">
              <w:rPr>
                <w:szCs w:val="24"/>
              </w:rPr>
              <w:t>000</w:t>
            </w:r>
            <w:r w:rsidR="004A5318" w:rsidRPr="009D5352">
              <w:rPr>
                <w:szCs w:val="24"/>
              </w:rPr>
              <w:t>,00</w:t>
            </w:r>
            <w:r w:rsidR="002F6132" w:rsidRPr="009D5352">
              <w:rPr>
                <w:szCs w:val="24"/>
              </w:rPr>
              <w:t xml:space="preserve"> Eur (šešiasdešimt</w:t>
            </w:r>
            <w:r w:rsidR="004A5318" w:rsidRPr="009D5352">
              <w:rPr>
                <w:szCs w:val="24"/>
              </w:rPr>
              <w:t>ies</w:t>
            </w:r>
            <w:r w:rsidR="002F6132" w:rsidRPr="009D5352">
              <w:rPr>
                <w:szCs w:val="24"/>
              </w:rPr>
              <w:t xml:space="preserve"> tūkstančių eurų</w:t>
            </w:r>
            <w:r w:rsidR="004A5318" w:rsidRPr="009D5352">
              <w:rPr>
                <w:szCs w:val="24"/>
              </w:rPr>
              <w:t xml:space="preserve"> 00 ct</w:t>
            </w:r>
            <w:r w:rsidR="002F6132" w:rsidRPr="009D5352">
              <w:rPr>
                <w:szCs w:val="24"/>
              </w:rPr>
              <w:t>).</w:t>
            </w:r>
          </w:p>
          <w:p w14:paraId="06DFE272" w14:textId="5E6858BE" w:rsidR="00633EEF" w:rsidRPr="009D5352" w:rsidRDefault="00244911" w:rsidP="00A33CFF">
            <w:pPr>
              <w:jc w:val="both"/>
              <w:rPr>
                <w:szCs w:val="24"/>
              </w:rPr>
            </w:pPr>
            <w:r w:rsidRPr="009D5352">
              <w:rPr>
                <w:szCs w:val="24"/>
              </w:rPr>
              <w:t>5.1.</w:t>
            </w:r>
            <w:r w:rsidR="001A4233" w:rsidRPr="009D5352">
              <w:rPr>
                <w:szCs w:val="24"/>
              </w:rPr>
              <w:t>5</w:t>
            </w:r>
            <w:r w:rsidRPr="009D5352">
              <w:rPr>
                <w:szCs w:val="24"/>
              </w:rPr>
              <w:t xml:space="preserve">. </w:t>
            </w:r>
            <w:r w:rsidR="00A33CFF" w:rsidRPr="009D5352">
              <w:rPr>
                <w:szCs w:val="24"/>
              </w:rPr>
              <w:t xml:space="preserve">Aprašo </w:t>
            </w:r>
            <w:r w:rsidR="008819B4" w:rsidRPr="009D5352">
              <w:rPr>
                <w:szCs w:val="24"/>
              </w:rPr>
              <w:t xml:space="preserve">5.1.1 </w:t>
            </w:r>
            <w:r w:rsidR="00A33CFF" w:rsidRPr="009D5352">
              <w:rPr>
                <w:szCs w:val="24"/>
              </w:rPr>
              <w:t>papunktyje nurodytiems pokyčiams pasiekti skiriamas finansavimas kompetencijų ugdymo programoms parengti / atnaujinti / įgyvendinti; planams / strategijoms / metodikoms / aprašams parengti ir (arba) įgyvendinti; nacionalinėms ir (arba) tarptautinėms partnerystėms (bendradarbiavimo) skatinti; seminarams, konferencijoms ir kitiems dalijimosi patirtimi renginiams organizuoti ir (arba) juose dalyvauti; informacinėms sistemoms kurti, diegti, atnaujinti, keisti.</w:t>
            </w:r>
          </w:p>
          <w:p w14:paraId="532B5886" w14:textId="54F6084A" w:rsidR="00F4662F" w:rsidRPr="009D5352" w:rsidRDefault="00244911">
            <w:pPr>
              <w:suppressAutoHyphens/>
              <w:jc w:val="both"/>
            </w:pPr>
            <w:r w:rsidRPr="009D5352">
              <w:rPr>
                <w:szCs w:val="24"/>
              </w:rPr>
              <w:t>5.1.</w:t>
            </w:r>
            <w:r w:rsidR="001A4233" w:rsidRPr="009D5352">
              <w:rPr>
                <w:szCs w:val="24"/>
              </w:rPr>
              <w:t>6</w:t>
            </w:r>
            <w:r w:rsidRPr="009D5352">
              <w:rPr>
                <w:szCs w:val="24"/>
              </w:rPr>
              <w:t xml:space="preserve">. </w:t>
            </w:r>
            <w:r w:rsidR="00701F1A" w:rsidRPr="009D5352">
              <w:rPr>
                <w:szCs w:val="24"/>
              </w:rPr>
              <w:t>Projektas turi atitikti projekto bendruosius atrankos kriterijus, nustatytus Projektų administravimo ir finansavimo taisyklių 2 priede.</w:t>
            </w:r>
          </w:p>
          <w:p w14:paraId="40EFF821" w14:textId="7E0E6240" w:rsidR="00F4662F" w:rsidRPr="009D5352" w:rsidRDefault="00244911">
            <w:pPr>
              <w:suppressAutoHyphens/>
              <w:jc w:val="both"/>
              <w:rPr>
                <w:iCs/>
                <w:szCs w:val="24"/>
              </w:rPr>
            </w:pPr>
            <w:r w:rsidRPr="009D5352">
              <w:rPr>
                <w:iCs/>
                <w:szCs w:val="24"/>
              </w:rPr>
              <w:t>5.1.</w:t>
            </w:r>
            <w:r w:rsidR="001A4233" w:rsidRPr="009D5352">
              <w:rPr>
                <w:iCs/>
                <w:szCs w:val="24"/>
              </w:rPr>
              <w:t>7</w:t>
            </w:r>
            <w:r w:rsidRPr="009D5352">
              <w:rPr>
                <w:iCs/>
                <w:szCs w:val="24"/>
              </w:rPr>
              <w:t xml:space="preserve">. </w:t>
            </w:r>
            <w:r w:rsidR="005D4C71" w:rsidRPr="009D5352">
              <w:rPr>
                <w:iCs/>
                <w:szCs w:val="24"/>
              </w:rPr>
              <w:t>Projekto veiklų įgyvendinimo trukmė turi būti ne ilgesnė kaip 18 mėnesių nuo projekto įgyvendinimo sutarties pasirašymo dienos.</w:t>
            </w:r>
          </w:p>
          <w:p w14:paraId="510ECF99" w14:textId="340E2D83" w:rsidR="00F4662F" w:rsidRPr="009D5352" w:rsidRDefault="00244911">
            <w:pPr>
              <w:suppressAutoHyphens/>
              <w:jc w:val="both"/>
              <w:rPr>
                <w:iCs/>
                <w:szCs w:val="24"/>
              </w:rPr>
            </w:pPr>
            <w:r w:rsidRPr="009D5352">
              <w:rPr>
                <w:iCs/>
                <w:szCs w:val="24"/>
              </w:rPr>
              <w:t>5.1.</w:t>
            </w:r>
            <w:r w:rsidR="001A4233" w:rsidRPr="009D5352">
              <w:rPr>
                <w:iCs/>
                <w:szCs w:val="24"/>
              </w:rPr>
              <w:t>8</w:t>
            </w:r>
            <w:r w:rsidRPr="009D5352">
              <w:rPr>
                <w:iCs/>
                <w:szCs w:val="24"/>
              </w:rPr>
              <w:t xml:space="preserve">. </w:t>
            </w:r>
            <w:r w:rsidR="005D4C71" w:rsidRPr="009D5352">
              <w:rPr>
                <w:iCs/>
                <w:szCs w:val="24"/>
              </w:rPr>
              <w:t>Projektai turi būti baigti įgyvendinti ne vėliau kaip iki 2026 m. balandžio 30 dienos.</w:t>
            </w:r>
          </w:p>
          <w:p w14:paraId="37B91922" w14:textId="5FF10F89" w:rsidR="00F4662F" w:rsidRPr="009D5352" w:rsidRDefault="00244911">
            <w:pPr>
              <w:suppressAutoHyphens/>
              <w:jc w:val="both"/>
              <w:rPr>
                <w:iCs/>
                <w:szCs w:val="24"/>
              </w:rPr>
            </w:pPr>
            <w:r w:rsidRPr="009D5352">
              <w:rPr>
                <w:iCs/>
                <w:szCs w:val="24"/>
              </w:rPr>
              <w:t xml:space="preserve">5.1.9. </w:t>
            </w:r>
            <w:r w:rsidR="001E783D" w:rsidRPr="009D5352">
              <w:rPr>
                <w:iCs/>
                <w:szCs w:val="24"/>
              </w:rPr>
              <w:t>Projekto įgyvendinimo metu turi būti įgyvendintos privalomos projektų matomumo ir informavimo apie projektus priemonės pagal Projektų administravimo ir finansavimo taisyklių 341.1, 341.2 ir 341.4 papunkčius.</w:t>
            </w:r>
          </w:p>
        </w:tc>
      </w:tr>
      <w:tr w:rsidR="00F4662F" w:rsidRPr="009D5352" w14:paraId="5EF5B94A" w14:textId="77777777">
        <w:trPr>
          <w:trHeight w:val="841"/>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73AEC66" w14:textId="77777777" w:rsidR="00F4662F" w:rsidRPr="009D5352" w:rsidRDefault="00244911">
            <w:pPr>
              <w:suppressAutoHyphens/>
              <w:jc w:val="both"/>
              <w:rPr>
                <w:b/>
                <w:bCs/>
              </w:rPr>
            </w:pPr>
            <w:r w:rsidRPr="009D5352">
              <w:rPr>
                <w:b/>
                <w:bCs/>
                <w:szCs w:val="24"/>
              </w:rPr>
              <w:lastRenderedPageBreak/>
              <w:t>5.2.</w:t>
            </w:r>
            <w:r w:rsidRPr="009D5352">
              <w:rPr>
                <w:b/>
                <w:bCs/>
                <w:i/>
                <w:iCs/>
                <w:szCs w:val="24"/>
              </w:rPr>
              <w:t xml:space="preserve"> </w:t>
            </w:r>
            <w:r w:rsidRPr="009D5352">
              <w:rPr>
                <w:b/>
                <w:bCs/>
                <w:szCs w:val="24"/>
              </w:rPr>
              <w:t>Reikalavimai pareiškėjams:</w:t>
            </w:r>
          </w:p>
          <w:p w14:paraId="1A8BD994" w14:textId="2BAB2164" w:rsidR="00F4662F" w:rsidRPr="009D5352" w:rsidRDefault="00244911">
            <w:pPr>
              <w:suppressAutoHyphens/>
              <w:jc w:val="both"/>
            </w:pPr>
            <w:r w:rsidRPr="009D5352">
              <w:rPr>
                <w:bCs/>
                <w:szCs w:val="24"/>
              </w:rPr>
              <w:t>5.2.1. Galimi pareiškėjai –</w:t>
            </w:r>
            <w:r w:rsidR="00DD11A0" w:rsidRPr="009D5352">
              <w:rPr>
                <w:bCs/>
                <w:szCs w:val="24"/>
              </w:rPr>
              <w:t>MSI. Galimybė pareiškėjui teikti paraišką su partneriu nenumatoma.</w:t>
            </w:r>
          </w:p>
          <w:p w14:paraId="0226B20D" w14:textId="1F8B1831" w:rsidR="00F4662F" w:rsidRPr="009D5352" w:rsidRDefault="00244911">
            <w:pPr>
              <w:suppressAutoHyphens/>
              <w:jc w:val="both"/>
              <w:rPr>
                <w:color w:val="000000"/>
                <w:szCs w:val="24"/>
              </w:rPr>
            </w:pPr>
            <w:r w:rsidRPr="009D5352">
              <w:rPr>
                <w:color w:val="000000"/>
                <w:szCs w:val="24"/>
              </w:rPr>
              <w:t xml:space="preserve">5.2.2. </w:t>
            </w:r>
            <w:r w:rsidR="00F004F8" w:rsidRPr="009D5352">
              <w:rPr>
                <w:color w:val="000000"/>
                <w:szCs w:val="24"/>
              </w:rPr>
              <w:t>Kartu su PĮP turi būti pateikta:</w:t>
            </w:r>
          </w:p>
          <w:p w14:paraId="21894171" w14:textId="1FE30FF3" w:rsidR="00F4662F" w:rsidRPr="009D5352" w:rsidRDefault="00244911">
            <w:pPr>
              <w:suppressAutoHyphens/>
              <w:jc w:val="both"/>
              <w:rPr>
                <w:color w:val="000000"/>
                <w:szCs w:val="24"/>
              </w:rPr>
            </w:pPr>
            <w:r w:rsidRPr="009D5352">
              <w:rPr>
                <w:color w:val="000000"/>
                <w:szCs w:val="24"/>
              </w:rPr>
              <w:t xml:space="preserve">5.2.2.1. </w:t>
            </w:r>
            <w:r w:rsidR="00F004F8" w:rsidRPr="009D5352">
              <w:rPr>
                <w:color w:val="000000"/>
                <w:szCs w:val="24"/>
              </w:rPr>
              <w:t>dokumentai, pagrindžiantys projekto išlaidų pagrįstumą;</w:t>
            </w:r>
          </w:p>
          <w:p w14:paraId="29A03FAE" w14:textId="5F2CC8FA" w:rsidR="00F4662F" w:rsidRPr="009D5352" w:rsidRDefault="00244911">
            <w:pPr>
              <w:suppressAutoHyphens/>
              <w:jc w:val="both"/>
              <w:rPr>
                <w:bCs/>
                <w:color w:val="000000"/>
              </w:rPr>
            </w:pPr>
            <w:r w:rsidRPr="009D5352">
              <w:rPr>
                <w:color w:val="000000"/>
              </w:rPr>
              <w:t xml:space="preserve">5.2.2.2. </w:t>
            </w:r>
            <w:r w:rsidR="00A3176D" w:rsidRPr="009D5352">
              <w:rPr>
                <w:color w:val="000000"/>
              </w:rPr>
              <w:t>pagrindimas, jog projekte numatytomis veiklomis bus siekiama Aprašo 5.</w:t>
            </w:r>
            <w:r w:rsidR="0024398A" w:rsidRPr="009D5352">
              <w:rPr>
                <w:color w:val="000000"/>
              </w:rPr>
              <w:t xml:space="preserve">1.1 </w:t>
            </w:r>
            <w:r w:rsidR="00A3176D" w:rsidRPr="009D5352">
              <w:rPr>
                <w:color w:val="000000"/>
              </w:rPr>
              <w:t>papunktyje nurodytų institucinių pokyčių įgyvendinimo.</w:t>
            </w:r>
          </w:p>
          <w:p w14:paraId="1A703D8B" w14:textId="25439F89" w:rsidR="002A2D90" w:rsidRPr="009D5352" w:rsidRDefault="00244911" w:rsidP="00875889">
            <w:pPr>
              <w:suppressAutoHyphens/>
              <w:jc w:val="both"/>
            </w:pPr>
            <w:r w:rsidRPr="009D5352">
              <w:t xml:space="preserve">5.2.3. </w:t>
            </w:r>
            <w:r w:rsidR="00AD0006" w:rsidRPr="009D5352">
              <w:t>Pagal Aprašą teikiamų paraiškų skaičius vienam pareiškėjui neribojamas. Tai pačiai veiklai (iš 5.1.1 papunktyje nurodytų) finansavimo projekto įgyvendinimo plane galima prašyti vieną kartą.</w:t>
            </w:r>
          </w:p>
        </w:tc>
      </w:tr>
      <w:tr w:rsidR="00F4662F" w:rsidRPr="009D5352" w14:paraId="1A8DFEF9"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223C7" w14:textId="77777777" w:rsidR="00F4662F" w:rsidRPr="009D5352" w:rsidRDefault="00244911">
            <w:pPr>
              <w:suppressAutoHyphens/>
              <w:jc w:val="both"/>
              <w:rPr>
                <w:b/>
                <w:bCs/>
              </w:rPr>
            </w:pPr>
            <w:r w:rsidRPr="009D5352">
              <w:rPr>
                <w:b/>
                <w:bCs/>
                <w:szCs w:val="24"/>
              </w:rPr>
              <w:t>5.3.</w:t>
            </w:r>
            <w:r w:rsidRPr="009D5352">
              <w:rPr>
                <w:b/>
                <w:bCs/>
                <w:i/>
                <w:iCs/>
                <w:szCs w:val="24"/>
              </w:rPr>
              <w:t xml:space="preserve"> </w:t>
            </w:r>
            <w:r w:rsidRPr="009D5352">
              <w:rPr>
                <w:b/>
                <w:bCs/>
                <w:szCs w:val="24"/>
              </w:rPr>
              <w:t>Reikalavimai partneriams:</w:t>
            </w:r>
          </w:p>
          <w:p w14:paraId="7FB33F3D" w14:textId="77777777" w:rsidR="00F4662F" w:rsidRPr="009D5352" w:rsidRDefault="00244911">
            <w:pPr>
              <w:suppressAutoHyphens/>
              <w:jc w:val="both"/>
            </w:pPr>
            <w:r w:rsidRPr="009D5352">
              <w:rPr>
                <w:iCs/>
                <w:szCs w:val="24"/>
              </w:rPr>
              <w:t>5.3.1. Partneriai negalimi.</w:t>
            </w:r>
          </w:p>
        </w:tc>
      </w:tr>
      <w:tr w:rsidR="00F4662F" w:rsidRPr="009D5352" w14:paraId="1B5F8A03"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B5B04" w14:textId="77777777" w:rsidR="00F4662F" w:rsidRPr="009D5352" w:rsidRDefault="00244911">
            <w:pPr>
              <w:suppressAutoHyphens/>
              <w:jc w:val="both"/>
            </w:pPr>
            <w:r w:rsidRPr="009D5352">
              <w:rPr>
                <w:b/>
                <w:szCs w:val="24"/>
              </w:rPr>
              <w:t>6. Reikalavimai jungtinio projekto projektams ir jungtinio projekto projektų pareiškėjams</w:t>
            </w:r>
          </w:p>
        </w:tc>
      </w:tr>
      <w:tr w:rsidR="00F4662F" w:rsidRPr="009D5352" w14:paraId="624CD37F" w14:textId="77777777">
        <w:trPr>
          <w:trHeight w:val="276"/>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E5B99" w14:textId="77777777" w:rsidR="00F4662F" w:rsidRPr="009D5352" w:rsidRDefault="00244911">
            <w:pPr>
              <w:suppressAutoHyphens/>
              <w:jc w:val="both"/>
            </w:pPr>
            <w:r w:rsidRPr="009D5352">
              <w:rPr>
                <w:bCs/>
                <w:szCs w:val="24"/>
              </w:rPr>
              <w:t>6.1. Netaikoma.</w:t>
            </w:r>
          </w:p>
        </w:tc>
      </w:tr>
      <w:tr w:rsidR="00F4662F" w:rsidRPr="009D5352" w14:paraId="085081F0" w14:textId="77777777">
        <w:trPr>
          <w:trHeight w:val="285"/>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AA3F3" w14:textId="77777777" w:rsidR="00F4662F" w:rsidRPr="009D5352" w:rsidRDefault="00244911">
            <w:pPr>
              <w:suppressAutoHyphens/>
            </w:pPr>
            <w:r w:rsidRPr="009D5352">
              <w:rPr>
                <w:b/>
                <w:szCs w:val="24"/>
              </w:rPr>
              <w:t>7. Projekto tikslinės grupės</w:t>
            </w:r>
          </w:p>
        </w:tc>
      </w:tr>
      <w:tr w:rsidR="00F4662F" w:rsidRPr="009D5352" w14:paraId="6DC995A3" w14:textId="77777777">
        <w:trPr>
          <w:trHeight w:val="285"/>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4017A" w14:textId="56DD4704" w:rsidR="00F4662F" w:rsidRPr="009D5352" w:rsidRDefault="00244911">
            <w:pPr>
              <w:suppressAutoHyphens/>
              <w:jc w:val="both"/>
              <w:rPr>
                <w:szCs w:val="24"/>
              </w:rPr>
            </w:pPr>
            <w:r w:rsidRPr="009D5352">
              <w:rPr>
                <w:szCs w:val="24"/>
              </w:rPr>
              <w:t>7.1. MSI</w:t>
            </w:r>
            <w:r w:rsidR="00E041D1" w:rsidRPr="009D5352">
              <w:rPr>
                <w:szCs w:val="24"/>
              </w:rPr>
              <w:t>.</w:t>
            </w:r>
          </w:p>
        </w:tc>
      </w:tr>
      <w:tr w:rsidR="00F4662F" w:rsidRPr="009D5352" w14:paraId="3308A036" w14:textId="77777777">
        <w:trPr>
          <w:trHeight w:val="285"/>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E72D7" w14:textId="77777777" w:rsidR="00F4662F" w:rsidRPr="009D5352" w:rsidRDefault="00244911">
            <w:pPr>
              <w:suppressAutoHyphens/>
            </w:pPr>
            <w:r w:rsidRPr="009D5352">
              <w:rPr>
                <w:b/>
                <w:szCs w:val="24"/>
              </w:rPr>
              <w:t>8.</w:t>
            </w:r>
            <w:r w:rsidRPr="009D5352">
              <w:rPr>
                <w:bCs/>
                <w:szCs w:val="24"/>
              </w:rPr>
              <w:t xml:space="preserve"> </w:t>
            </w:r>
            <w:r w:rsidRPr="009D5352">
              <w:rPr>
                <w:b/>
                <w:szCs w:val="24"/>
              </w:rPr>
              <w:t>Horizontaliųjų principų (toliau – HP) reikalavimai</w:t>
            </w:r>
          </w:p>
        </w:tc>
      </w:tr>
      <w:tr w:rsidR="00F4662F" w:rsidRPr="009D5352" w14:paraId="575554A7"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705FD" w14:textId="77777777" w:rsidR="00F4662F" w:rsidRPr="009D5352" w:rsidRDefault="00244911">
            <w:pPr>
              <w:suppressAutoHyphens/>
              <w:jc w:val="both"/>
              <w:rPr>
                <w:iCs/>
                <w:szCs w:val="24"/>
              </w:rPr>
            </w:pPr>
            <w:r w:rsidRPr="009D5352">
              <w:rPr>
                <w:iCs/>
                <w:szCs w:val="24"/>
              </w:rPr>
              <w:t>8.1. Projektuose negali būti numatyta:</w:t>
            </w:r>
          </w:p>
          <w:p w14:paraId="5BADBAF6" w14:textId="77777777" w:rsidR="00F4662F" w:rsidRPr="009D5352" w:rsidRDefault="00244911">
            <w:pPr>
              <w:suppressAutoHyphens/>
              <w:jc w:val="both"/>
              <w:rPr>
                <w:iCs/>
                <w:szCs w:val="24"/>
              </w:rPr>
            </w:pPr>
            <w:r w:rsidRPr="009D5352">
              <w:rPr>
                <w:iCs/>
                <w:szCs w:val="24"/>
              </w:rPr>
              <w:t>8.1.1.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32EA598B" w14:textId="77777777" w:rsidR="00F4662F" w:rsidRPr="009D5352" w:rsidRDefault="00244911">
            <w:pPr>
              <w:suppressAutoHyphens/>
              <w:jc w:val="both"/>
              <w:rPr>
                <w:iCs/>
                <w:szCs w:val="24"/>
              </w:rPr>
            </w:pPr>
            <w:r w:rsidRPr="009D5352">
              <w:rPr>
                <w:iCs/>
                <w:szCs w:val="24"/>
              </w:rPr>
              <w:t>8.1.2. veiksmų, kurie turėtų neigiamą poveikį darnaus vystymosi principui įgyvendinti.</w:t>
            </w:r>
          </w:p>
          <w:p w14:paraId="6379EBBB" w14:textId="1326C212" w:rsidR="00245B79" w:rsidRPr="009D5352" w:rsidRDefault="00244911" w:rsidP="002B482C">
            <w:pPr>
              <w:suppressAutoHyphens/>
              <w:jc w:val="both"/>
              <w:rPr>
                <w:iCs/>
                <w:szCs w:val="24"/>
              </w:rPr>
            </w:pPr>
            <w:r w:rsidRPr="009D5352">
              <w:rPr>
                <w:iCs/>
                <w:szCs w:val="24"/>
              </w:rPr>
              <w:t xml:space="preserve">8.2.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w:t>
            </w:r>
            <w:hyperlink r:id="rId11" w:tgtFrame="_blank" w:history="1">
              <w:r w:rsidRPr="009D5352">
                <w:rPr>
                  <w:iCs/>
                  <w:color w:val="467886" w:themeColor="hyperlink"/>
                  <w:szCs w:val="24"/>
                  <w:u w:val="single"/>
                </w:rPr>
                <w:t>(ES) Nr. 2020/852</w:t>
              </w:r>
            </w:hyperlink>
            <w:r w:rsidRPr="009D5352">
              <w:rPr>
                <w:iCs/>
                <w:color w:val="000000"/>
                <w:szCs w:val="24"/>
              </w:rPr>
              <w:t xml:space="preserve"> </w:t>
            </w:r>
            <w:r w:rsidRPr="009D5352">
              <w:rPr>
                <w:iCs/>
                <w:szCs w:val="24"/>
              </w:rPr>
              <w:t>dėl sistemos tvariam investavimui palengvinti sukūrimo, kuriuo iš dalies keičiamas Reglamentas</w:t>
            </w:r>
            <w:r w:rsidRPr="009D5352">
              <w:rPr>
                <w:color w:val="000000"/>
              </w:rPr>
              <w:t xml:space="preserve"> </w:t>
            </w:r>
            <w:hyperlink r:id="rId12" w:tgtFrame="_blank" w:history="1">
              <w:r w:rsidRPr="009D5352">
                <w:rPr>
                  <w:iCs/>
                  <w:color w:val="467886" w:themeColor="hyperlink"/>
                  <w:szCs w:val="24"/>
                  <w:u w:val="single"/>
                </w:rPr>
                <w:t>(ES) 2019/2088</w:t>
              </w:r>
            </w:hyperlink>
            <w:r w:rsidRPr="009D5352">
              <w:rPr>
                <w:iCs/>
                <w:szCs w:val="24"/>
              </w:rPr>
              <w:t xml:space="preserve">. Reikalavimai projektų atitikčiai šiam principui įvertinti pateikiami Aprašo </w:t>
            </w:r>
            <w:r w:rsidR="009D79AD" w:rsidRPr="009D5352">
              <w:rPr>
                <w:iCs/>
                <w:szCs w:val="24"/>
              </w:rPr>
              <w:t xml:space="preserve">1 </w:t>
            </w:r>
            <w:r w:rsidRPr="009D5352">
              <w:rPr>
                <w:iCs/>
                <w:szCs w:val="24"/>
              </w:rPr>
              <w:t>pried</w:t>
            </w:r>
            <w:r w:rsidR="00F351FC" w:rsidRPr="009D5352">
              <w:rPr>
                <w:iCs/>
                <w:szCs w:val="24"/>
              </w:rPr>
              <w:t>e</w:t>
            </w:r>
            <w:r w:rsidRPr="009D5352">
              <w:rPr>
                <w:iCs/>
                <w:szCs w:val="24"/>
              </w:rPr>
              <w:t>.</w:t>
            </w:r>
          </w:p>
        </w:tc>
      </w:tr>
      <w:tr w:rsidR="00F4662F" w:rsidRPr="009D5352" w14:paraId="5325CC68"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D5DD6" w14:textId="77777777" w:rsidR="00F4662F" w:rsidRPr="009D5352" w:rsidRDefault="00244911">
            <w:pPr>
              <w:suppressAutoHyphens/>
              <w:spacing w:line="254" w:lineRule="auto"/>
              <w:jc w:val="both"/>
              <w:rPr>
                <w:b/>
                <w:iCs/>
                <w:szCs w:val="24"/>
              </w:rPr>
            </w:pPr>
            <w:r w:rsidRPr="009D5352">
              <w:rPr>
                <w:b/>
                <w:iCs/>
                <w:szCs w:val="24"/>
              </w:rPr>
              <w:t>9. Europos Sąjungos pagrindinių teisių chartijos (toliau – Chartija) reikalavimai</w:t>
            </w:r>
          </w:p>
        </w:tc>
      </w:tr>
      <w:tr w:rsidR="00F4662F" w:rsidRPr="009D5352" w14:paraId="44DF34E1"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FA0BF" w14:textId="77777777" w:rsidR="00F4662F" w:rsidRPr="009D5352" w:rsidRDefault="00244911">
            <w:pPr>
              <w:suppressAutoHyphens/>
              <w:jc w:val="both"/>
              <w:rPr>
                <w:szCs w:val="24"/>
              </w:rPr>
            </w:pPr>
            <w:r w:rsidRPr="009D5352">
              <w:rPr>
                <w:szCs w:val="24"/>
              </w:rPr>
              <w:t xml:space="preserve">9.1. Pagal Aprašą finansuojama veikla, įvertinus ją pagal 2016 m. liepos 23 d. Europos Komisijos pranešimą – Rekomendacijų, kaip užtikrinti, kad būtų laikomasi Europos Sąjungos pagrindinių teisių chartijos nuostatų skirstant Europos struktūrinių ir investicinių fondų paramą (2016/C 269/01), III priedą, nepažeidžia Chartijoje nustatytų pagrindinių teisių. </w:t>
            </w:r>
          </w:p>
          <w:p w14:paraId="1466BFF7" w14:textId="77777777" w:rsidR="00F4662F" w:rsidRPr="009D5352" w:rsidRDefault="00244911">
            <w:pPr>
              <w:suppressAutoHyphens/>
              <w:jc w:val="both"/>
            </w:pPr>
            <w:r w:rsidRPr="009D5352">
              <w:rPr>
                <w:szCs w:val="24"/>
              </w:rPr>
              <w:t>9.2. Atsižvelgiant į pagal Aprašą finansuojamos veiklos pobūdį, papildomi reikalavimai dėl aktyvių priemonių Chartijoje įtvirtintoms teisėms užtikrinti nėra nustatomi.</w:t>
            </w:r>
          </w:p>
        </w:tc>
      </w:tr>
      <w:tr w:rsidR="00F4662F" w:rsidRPr="009D5352" w14:paraId="0FCF8291" w14:textId="77777777">
        <w:tc>
          <w:tcPr>
            <w:tcW w:w="15134" w:type="dxa"/>
            <w:tcBorders>
              <w:top w:val="single" w:sz="4" w:space="0" w:color="000000" w:themeColor="text1"/>
              <w:left w:val="single" w:sz="4" w:space="0" w:color="auto"/>
              <w:right w:val="single" w:sz="4" w:space="0" w:color="auto"/>
            </w:tcBorders>
            <w:tcMar>
              <w:top w:w="0" w:type="dxa"/>
              <w:left w:w="108" w:type="dxa"/>
              <w:bottom w:w="0" w:type="dxa"/>
              <w:right w:w="108" w:type="dxa"/>
            </w:tcMar>
          </w:tcPr>
          <w:p w14:paraId="41FC86E3" w14:textId="77777777" w:rsidR="00F4662F" w:rsidRPr="009D5352" w:rsidRDefault="00244911">
            <w:pPr>
              <w:suppressAutoHyphens/>
              <w:jc w:val="both"/>
              <w:rPr>
                <w:szCs w:val="24"/>
              </w:rPr>
            </w:pPr>
            <w:r w:rsidRPr="009D5352">
              <w:rPr>
                <w:b/>
                <w:bCs/>
                <w:szCs w:val="24"/>
              </w:rPr>
              <w:t>9</w:t>
            </w:r>
            <w:r w:rsidRPr="009D5352">
              <w:rPr>
                <w:b/>
                <w:bCs/>
                <w:szCs w:val="24"/>
                <w:vertAlign w:val="superscript"/>
              </w:rPr>
              <w:t>1</w:t>
            </w:r>
            <w:r w:rsidRPr="009D5352">
              <w:rPr>
                <w:b/>
                <w:bCs/>
                <w:szCs w:val="24"/>
              </w:rPr>
              <w:t xml:space="preserve">. </w:t>
            </w:r>
            <w:r w:rsidRPr="009D5352">
              <w:rPr>
                <w:b/>
                <w:bCs/>
                <w:iCs/>
                <w:szCs w:val="24"/>
              </w:rPr>
              <w:t xml:space="preserve">Projekto prisidėjimas prie Europos Sąjungos Baltijos jūros regiono strategijos įgyvendinimo </w:t>
            </w:r>
          </w:p>
        </w:tc>
      </w:tr>
      <w:tr w:rsidR="00F4662F" w:rsidRPr="009D5352" w14:paraId="2ECF8655" w14:textId="77777777">
        <w:tc>
          <w:tcPr>
            <w:tcW w:w="15134" w:type="dxa"/>
            <w:tcBorders>
              <w:left w:val="single" w:sz="4" w:space="0" w:color="auto"/>
              <w:bottom w:val="single" w:sz="4" w:space="0" w:color="000000" w:themeColor="text1"/>
              <w:right w:val="single" w:sz="4" w:space="0" w:color="auto"/>
            </w:tcBorders>
            <w:tcMar>
              <w:top w:w="0" w:type="dxa"/>
              <w:left w:w="108" w:type="dxa"/>
              <w:bottom w:w="0" w:type="dxa"/>
              <w:right w:w="108" w:type="dxa"/>
            </w:tcMar>
          </w:tcPr>
          <w:p w14:paraId="26D0AED2" w14:textId="77777777" w:rsidR="00F4662F" w:rsidRPr="00F07212" w:rsidRDefault="00244911">
            <w:pPr>
              <w:suppressAutoHyphens/>
              <w:jc w:val="both"/>
              <w:rPr>
                <w:szCs w:val="24"/>
              </w:rPr>
            </w:pPr>
            <w:r w:rsidRPr="009D5352">
              <w:rPr>
                <w:szCs w:val="24"/>
              </w:rPr>
              <w:t>9</w:t>
            </w:r>
            <w:r w:rsidRPr="009D5352">
              <w:rPr>
                <w:szCs w:val="24"/>
                <w:vertAlign w:val="superscript"/>
              </w:rPr>
              <w:t>1</w:t>
            </w:r>
            <w:r w:rsidRPr="009D5352">
              <w:rPr>
                <w:szCs w:val="24"/>
              </w:rPr>
              <w:t>.</w:t>
            </w:r>
            <w:r w:rsidRPr="00F07212">
              <w:rPr>
                <w:szCs w:val="24"/>
              </w:rPr>
              <w:t>1</w:t>
            </w:r>
            <w:r w:rsidRPr="009D5352">
              <w:rPr>
                <w:szCs w:val="24"/>
              </w:rPr>
              <w:t>. Netaikoma.</w:t>
            </w:r>
          </w:p>
        </w:tc>
      </w:tr>
      <w:tr w:rsidR="00F4662F" w:rsidRPr="009D5352" w14:paraId="2D4BDE69"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12EC3" w14:textId="77777777" w:rsidR="00F4662F" w:rsidRPr="009D5352" w:rsidRDefault="00244911">
            <w:pPr>
              <w:suppressAutoHyphens/>
              <w:rPr>
                <w:b/>
                <w:szCs w:val="24"/>
              </w:rPr>
            </w:pPr>
            <w:r w:rsidRPr="009D5352">
              <w:rPr>
                <w:b/>
                <w:szCs w:val="24"/>
              </w:rPr>
              <w:t>10. Apskritis, kurioje gali būti įgyvendinami projektai</w:t>
            </w:r>
          </w:p>
        </w:tc>
      </w:tr>
      <w:tr w:rsidR="00F4662F" w:rsidRPr="009D5352" w14:paraId="651387C8"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02761" w14:textId="77777777" w:rsidR="00F4662F" w:rsidRPr="009D5352" w:rsidRDefault="00244911">
            <w:pPr>
              <w:suppressAutoHyphens/>
              <w:jc w:val="both"/>
            </w:pPr>
            <w:r w:rsidRPr="009D5352">
              <w:rPr>
                <w:iCs/>
                <w:szCs w:val="24"/>
              </w:rPr>
              <w:t>10.1. Netaikoma.</w:t>
            </w:r>
          </w:p>
        </w:tc>
      </w:tr>
      <w:tr w:rsidR="00F4662F" w:rsidRPr="009D5352" w14:paraId="57E51FC3"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F1CD" w14:textId="77777777" w:rsidR="00F4662F" w:rsidRPr="009D5352" w:rsidRDefault="00244911">
            <w:pPr>
              <w:suppressAutoHyphens/>
              <w:jc w:val="both"/>
              <w:rPr>
                <w:b/>
                <w:szCs w:val="24"/>
              </w:rPr>
            </w:pPr>
            <w:r w:rsidRPr="009D5352">
              <w:rPr>
                <w:b/>
                <w:szCs w:val="24"/>
              </w:rPr>
              <w:t>11. Reikalavimai valstybės pagalbai (kurie nėra nurodyti kituose Aprašo punktuose)</w:t>
            </w:r>
          </w:p>
        </w:tc>
      </w:tr>
      <w:tr w:rsidR="00F4662F" w:rsidRPr="009D5352" w14:paraId="30D73961"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7C587" w14:textId="77777777" w:rsidR="009A77FE" w:rsidRPr="009D5352" w:rsidRDefault="009A77FE" w:rsidP="009A77FE">
            <w:pPr>
              <w:suppressAutoHyphens/>
              <w:jc w:val="both"/>
              <w:rPr>
                <w:iCs/>
                <w:szCs w:val="24"/>
              </w:rPr>
            </w:pPr>
            <w:r w:rsidRPr="009D5352">
              <w:rPr>
                <w:iCs/>
                <w:szCs w:val="24"/>
              </w:rPr>
              <w:lastRenderedPageBreak/>
              <w:t>11.1.</w:t>
            </w:r>
            <w:r w:rsidRPr="009D5352">
              <w:rPr>
                <w:i/>
                <w:iCs/>
                <w:szCs w:val="24"/>
              </w:rPr>
              <w:t xml:space="preserve"> </w:t>
            </w:r>
            <w:r w:rsidRPr="009D5352">
              <w:rPr>
                <w:iCs/>
                <w:szCs w:val="24"/>
              </w:rPr>
              <w:t xml:space="preserve">Pagal Aprašą valstybės pagalba, kaip ji apibrėžta Sutarties dėl Europos Sąjungos veikimo 107 straipsnyje, ir </w:t>
            </w:r>
            <w:r w:rsidRPr="009D5352">
              <w:rPr>
                <w:i/>
                <w:iCs/>
                <w:szCs w:val="24"/>
              </w:rPr>
              <w:t xml:space="preserve">de </w:t>
            </w:r>
            <w:proofErr w:type="spellStart"/>
            <w:r w:rsidRPr="009D5352">
              <w:rPr>
                <w:i/>
                <w:iCs/>
                <w:szCs w:val="24"/>
              </w:rPr>
              <w:t>minimis</w:t>
            </w:r>
            <w:proofErr w:type="spellEnd"/>
            <w:r w:rsidRPr="009D5352">
              <w:rPr>
                <w:iCs/>
                <w:szCs w:val="24"/>
              </w:rPr>
              <w:t xml:space="preserve"> pagalba, kuri atitinka 2023 m. gruodžio 13 d. Komisijos reglamento (ES) 2023/2831 dėl Sutarties dėl Europos Sąjungos veikimo 107 ir 108 straipsnių taikymo </w:t>
            </w:r>
            <w:r w:rsidRPr="009D5352">
              <w:rPr>
                <w:i/>
                <w:iCs/>
                <w:szCs w:val="24"/>
              </w:rPr>
              <w:t xml:space="preserve">de </w:t>
            </w:r>
            <w:proofErr w:type="spellStart"/>
            <w:r w:rsidRPr="009D5352">
              <w:rPr>
                <w:i/>
                <w:iCs/>
                <w:szCs w:val="24"/>
              </w:rPr>
              <w:t>minimis</w:t>
            </w:r>
            <w:proofErr w:type="spellEnd"/>
            <w:r w:rsidRPr="009D5352">
              <w:rPr>
                <w:iCs/>
                <w:szCs w:val="24"/>
              </w:rPr>
              <w:t xml:space="preserve"> pagalbai nuostatas, neteikiama.</w:t>
            </w:r>
          </w:p>
          <w:p w14:paraId="56C52772" w14:textId="77777777" w:rsidR="008B72B8" w:rsidRPr="009D5352" w:rsidRDefault="008B72B8" w:rsidP="008B72B8">
            <w:pPr>
              <w:suppressAutoHyphens/>
              <w:jc w:val="both"/>
              <w:rPr>
                <w:iCs/>
                <w:szCs w:val="24"/>
              </w:rPr>
            </w:pPr>
            <w:r w:rsidRPr="009D5352">
              <w:rPr>
                <w:iCs/>
                <w:szCs w:val="24"/>
              </w:rPr>
              <w:t>11.2. Pagal Aprašą valstybės pagalba, kuri atitinka 2014 m. birželio 17 d. Komisijos reglamento (ES) Nr. 651/2014, kuriuo tam tikrų kategorijų pagalba skelbiama suderinama su vidaus rinka taikant Sutarties 107 ir 108 straipsnius, neteikiama.</w:t>
            </w:r>
          </w:p>
          <w:p w14:paraId="032EAE09" w14:textId="320AC3C7" w:rsidR="00F4662F" w:rsidRPr="009D5352" w:rsidRDefault="008B72B8" w:rsidP="008B72B8">
            <w:pPr>
              <w:suppressAutoHyphens/>
              <w:jc w:val="both"/>
              <w:rPr>
                <w:iCs/>
                <w:szCs w:val="24"/>
              </w:rPr>
            </w:pPr>
            <w:r w:rsidRPr="009D5352">
              <w:rPr>
                <w:iCs/>
                <w:szCs w:val="24"/>
              </w:rPr>
              <w:t xml:space="preserve">11.3. Siekiant nustatyti, ar teikiamas finansavimas yra (nėra) valstybės pagalba, administruojančioji institucija pildo Patikros lapą dėl valstybės pagalbos ir </w:t>
            </w:r>
            <w:r w:rsidRPr="009D5352">
              <w:rPr>
                <w:i/>
                <w:iCs/>
                <w:szCs w:val="24"/>
              </w:rPr>
              <w:t xml:space="preserve">de </w:t>
            </w:r>
            <w:proofErr w:type="spellStart"/>
            <w:r w:rsidRPr="009D5352">
              <w:rPr>
                <w:i/>
                <w:iCs/>
                <w:szCs w:val="24"/>
              </w:rPr>
              <w:t>minimis</w:t>
            </w:r>
            <w:proofErr w:type="spellEnd"/>
            <w:r w:rsidRPr="009D5352">
              <w:rPr>
                <w:iCs/>
                <w:szCs w:val="24"/>
              </w:rPr>
              <w:t xml:space="preserve"> pagalbos buvimo ar nebuvimo (Aprašo </w:t>
            </w:r>
            <w:r w:rsidR="009D79AD" w:rsidRPr="009D5352">
              <w:rPr>
                <w:iCs/>
                <w:szCs w:val="24"/>
              </w:rPr>
              <w:t>2</w:t>
            </w:r>
            <w:r w:rsidRPr="009D5352">
              <w:rPr>
                <w:iCs/>
                <w:szCs w:val="24"/>
              </w:rPr>
              <w:t xml:space="preserve"> priedas).</w:t>
            </w:r>
          </w:p>
        </w:tc>
      </w:tr>
      <w:tr w:rsidR="007A39F0" w:rsidRPr="009D5352" w14:paraId="0861C472"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E3C07" w14:textId="6ECD922F" w:rsidR="00977B31" w:rsidRPr="009D5352" w:rsidRDefault="007A39F0" w:rsidP="009A77FE">
            <w:pPr>
              <w:suppressAutoHyphens/>
              <w:jc w:val="both"/>
              <w:rPr>
                <w:b/>
                <w:iCs/>
                <w:szCs w:val="24"/>
              </w:rPr>
            </w:pPr>
            <w:r w:rsidRPr="009D5352">
              <w:rPr>
                <w:b/>
                <w:iCs/>
                <w:szCs w:val="24"/>
              </w:rPr>
              <w:t>12</w:t>
            </w:r>
            <w:r w:rsidRPr="009D5352">
              <w:rPr>
                <w:bCs/>
                <w:iCs/>
                <w:szCs w:val="24"/>
              </w:rPr>
              <w:t xml:space="preserve">. </w:t>
            </w:r>
            <w:r w:rsidRPr="009D5352">
              <w:rPr>
                <w:b/>
                <w:iCs/>
                <w:szCs w:val="24"/>
              </w:rPr>
              <w:t>Projektų atrankos kriterijai</w:t>
            </w:r>
          </w:p>
        </w:tc>
      </w:tr>
      <w:tr w:rsidR="00960CE7" w:rsidRPr="009D5352" w14:paraId="5C51336D"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A614E" w14:textId="4CEDD6F1" w:rsidR="0049084B" w:rsidRPr="009D5352" w:rsidRDefault="0049084B" w:rsidP="0049084B">
            <w:pPr>
              <w:suppressAutoHyphens/>
              <w:jc w:val="both"/>
              <w:rPr>
                <w:bCs/>
                <w:iCs/>
                <w:szCs w:val="24"/>
              </w:rPr>
            </w:pPr>
            <w:r w:rsidRPr="009D5352">
              <w:rPr>
                <w:bCs/>
                <w:iCs/>
                <w:szCs w:val="24"/>
              </w:rPr>
              <w:t xml:space="preserve">12.1. Projektas turi atitikti </w:t>
            </w:r>
            <w:r w:rsidR="00D333AA" w:rsidRPr="009D5352">
              <w:rPr>
                <w:bCs/>
                <w:iCs/>
                <w:szCs w:val="24"/>
              </w:rPr>
              <w:t>Projektų administravimo ir finansavimo taisyklių 2 priede nustatytus projektų bendruosius atrankos kriterijus.</w:t>
            </w:r>
          </w:p>
          <w:p w14:paraId="1B02FA83" w14:textId="5C548C29" w:rsidR="00960CE7" w:rsidRPr="009D5352" w:rsidRDefault="0049084B" w:rsidP="009A77FE">
            <w:pPr>
              <w:suppressAutoHyphens/>
              <w:jc w:val="both"/>
              <w:rPr>
                <w:bCs/>
                <w:iCs/>
                <w:szCs w:val="24"/>
              </w:rPr>
            </w:pPr>
            <w:r w:rsidRPr="009D5352">
              <w:rPr>
                <w:bCs/>
                <w:iCs/>
                <w:szCs w:val="24"/>
              </w:rPr>
              <w:t>12.</w:t>
            </w:r>
            <w:r w:rsidR="00C65B18" w:rsidRPr="009D5352">
              <w:rPr>
                <w:bCs/>
                <w:iCs/>
                <w:szCs w:val="24"/>
              </w:rPr>
              <w:t xml:space="preserve">2. </w:t>
            </w:r>
            <w:r w:rsidR="00CD05D2" w:rsidRPr="009D5352">
              <w:rPr>
                <w:bCs/>
                <w:iCs/>
                <w:szCs w:val="24"/>
              </w:rPr>
              <w:t>Specialieji ir prioritetiniai projektų atrankos kriterijai nėra nustatomi.</w:t>
            </w:r>
          </w:p>
        </w:tc>
      </w:tr>
      <w:tr w:rsidR="00F4662F" w:rsidRPr="009D5352" w14:paraId="023504B5" w14:textId="77777777">
        <w:trPr>
          <w:trHeight w:val="309"/>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BC64E" w14:textId="77777777" w:rsidR="00F4662F" w:rsidRPr="009D5352" w:rsidRDefault="00244911">
            <w:pPr>
              <w:suppressAutoHyphens/>
              <w:jc w:val="both"/>
            </w:pPr>
            <w:r w:rsidRPr="009D5352">
              <w:rPr>
                <w:b/>
                <w:szCs w:val="22"/>
              </w:rPr>
              <w:t>13</w:t>
            </w:r>
            <w:r w:rsidRPr="009D5352">
              <w:rPr>
                <w:bCs/>
                <w:szCs w:val="22"/>
              </w:rPr>
              <w:t xml:space="preserve">. </w:t>
            </w:r>
            <w:r w:rsidRPr="009D5352">
              <w:rPr>
                <w:b/>
                <w:szCs w:val="22"/>
              </w:rPr>
              <w:t>Jungtinio projekto projektų atrankos kriterijai</w:t>
            </w:r>
          </w:p>
          <w:p w14:paraId="3EB35E4A" w14:textId="77777777" w:rsidR="00F4662F" w:rsidRPr="009D5352" w:rsidRDefault="00244911">
            <w:pPr>
              <w:suppressAutoHyphens/>
              <w:jc w:val="both"/>
            </w:pPr>
            <w:r w:rsidRPr="009D5352">
              <w:t>13.1. Netaikoma.</w:t>
            </w:r>
          </w:p>
        </w:tc>
      </w:tr>
      <w:tr w:rsidR="00F4662F" w:rsidRPr="009D5352" w14:paraId="3CE3BA93"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2437C" w14:textId="77777777" w:rsidR="00F4662F" w:rsidRPr="009D5352" w:rsidRDefault="00244911">
            <w:pPr>
              <w:suppressAutoHyphens/>
            </w:pPr>
            <w:r w:rsidRPr="009D5352">
              <w:rPr>
                <w:b/>
                <w:szCs w:val="24"/>
              </w:rPr>
              <w:t>14</w:t>
            </w:r>
            <w:r w:rsidRPr="009D5352">
              <w:rPr>
                <w:bCs/>
                <w:szCs w:val="24"/>
              </w:rPr>
              <w:t xml:space="preserve">. </w:t>
            </w:r>
            <w:r w:rsidRPr="009D5352">
              <w:rPr>
                <w:b/>
                <w:szCs w:val="24"/>
              </w:rPr>
              <w:t>Reikalavimai įgyvendinus projektų veiklas</w:t>
            </w:r>
          </w:p>
        </w:tc>
      </w:tr>
      <w:tr w:rsidR="00F4662F" w:rsidRPr="009D5352" w14:paraId="03C01EDB" w14:textId="77777777">
        <w:trPr>
          <w:trHeight w:val="300"/>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A85E9" w14:textId="7E405F58" w:rsidR="00F4662F" w:rsidRPr="009D5352" w:rsidRDefault="00EF4A01">
            <w:pPr>
              <w:tabs>
                <w:tab w:val="left" w:pos="1134"/>
              </w:tabs>
              <w:suppressAutoHyphens/>
              <w:jc w:val="both"/>
              <w:rPr>
                <w:szCs w:val="24"/>
              </w:rPr>
            </w:pPr>
            <w:r w:rsidRPr="009D5352">
              <w:rPr>
                <w:szCs w:val="24"/>
              </w:rPr>
              <w:t>14.1</w:t>
            </w:r>
            <w:r w:rsidR="00964ABF" w:rsidRPr="009D5352">
              <w:rPr>
                <w:szCs w:val="24"/>
              </w:rPr>
              <w:t>. Netaikoma</w:t>
            </w:r>
          </w:p>
        </w:tc>
      </w:tr>
      <w:tr w:rsidR="00F4662F" w:rsidRPr="009D5352" w14:paraId="6367AB90"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578D" w14:textId="77777777" w:rsidR="00F4662F" w:rsidRPr="009D5352" w:rsidRDefault="00244911">
            <w:pPr>
              <w:suppressAutoHyphens/>
              <w:rPr>
                <w:b/>
                <w:szCs w:val="24"/>
              </w:rPr>
            </w:pPr>
            <w:r w:rsidRPr="009D5352">
              <w:rPr>
                <w:b/>
                <w:szCs w:val="24"/>
              </w:rPr>
              <w:t>15. Kiti reikalavimai</w:t>
            </w:r>
          </w:p>
        </w:tc>
      </w:tr>
      <w:tr w:rsidR="00F4662F" w:rsidRPr="009D5352" w14:paraId="42D9A5CC"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DB085" w14:textId="77777777" w:rsidR="00F4662F" w:rsidRPr="009D5352" w:rsidRDefault="00244911">
            <w:pPr>
              <w:tabs>
                <w:tab w:val="left" w:pos="1134"/>
              </w:tabs>
              <w:suppressAutoHyphens/>
              <w:jc w:val="both"/>
              <w:rPr>
                <w:i/>
                <w:strike/>
                <w:szCs w:val="24"/>
              </w:rPr>
            </w:pPr>
            <w:r w:rsidRPr="009D5352">
              <w:rPr>
                <w:iCs/>
                <w:szCs w:val="24"/>
              </w:rPr>
              <w:t>15.1. Netaikoma.</w:t>
            </w:r>
          </w:p>
        </w:tc>
      </w:tr>
    </w:tbl>
    <w:p w14:paraId="32BA67E4" w14:textId="77777777" w:rsidR="00F4662F" w:rsidRPr="009D5352" w:rsidRDefault="00F4662F"/>
    <w:p w14:paraId="34305512" w14:textId="77777777" w:rsidR="00F4662F" w:rsidRPr="009D5352" w:rsidRDefault="00244911">
      <w:pPr>
        <w:suppressAutoHyphens/>
        <w:jc w:val="center"/>
        <w:rPr>
          <w:b/>
          <w:szCs w:val="24"/>
        </w:rPr>
      </w:pPr>
      <w:r w:rsidRPr="009D5352">
        <w:rPr>
          <w:b/>
          <w:szCs w:val="24"/>
        </w:rPr>
        <w:t>III SKYRIUS</w:t>
      </w:r>
    </w:p>
    <w:p w14:paraId="3D3C52B4" w14:textId="77777777" w:rsidR="00F4662F" w:rsidRPr="009D5352" w:rsidRDefault="00244911">
      <w:pPr>
        <w:suppressAutoHyphens/>
        <w:jc w:val="center"/>
        <w:rPr>
          <w:b/>
          <w:szCs w:val="24"/>
        </w:rPr>
      </w:pPr>
      <w:r w:rsidRPr="009D5352">
        <w:rPr>
          <w:b/>
          <w:szCs w:val="24"/>
        </w:rPr>
        <w:t>IŠLAIDŲ TINKAMUMO FINANSUOTI REIKALAVIMAI</w:t>
      </w:r>
    </w:p>
    <w:p w14:paraId="4E3DA1F3" w14:textId="77777777" w:rsidR="00F4662F" w:rsidRPr="009D5352" w:rsidRDefault="00F4662F"/>
    <w:tbl>
      <w:tblPr>
        <w:tblW w:w="15134" w:type="dxa"/>
        <w:tblCellMar>
          <w:left w:w="10" w:type="dxa"/>
          <w:right w:w="10" w:type="dxa"/>
        </w:tblCellMar>
        <w:tblLook w:val="04A0" w:firstRow="1" w:lastRow="0" w:firstColumn="1" w:lastColumn="0" w:noHBand="0" w:noVBand="1"/>
      </w:tblPr>
      <w:tblGrid>
        <w:gridCol w:w="15134"/>
      </w:tblGrid>
      <w:tr w:rsidR="00F4662F" w:rsidRPr="009D5352" w14:paraId="5AA29E4F" w14:textId="77777777">
        <w:tc>
          <w:tcPr>
            <w:tcW w:w="15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AC9F6" w14:textId="77777777" w:rsidR="00F4662F" w:rsidRPr="009D5352" w:rsidRDefault="00244911">
            <w:pPr>
              <w:suppressAutoHyphens/>
              <w:jc w:val="both"/>
            </w:pPr>
            <w:r w:rsidRPr="009D5352">
              <w:rPr>
                <w:b/>
                <w:szCs w:val="24"/>
              </w:rPr>
              <w:t>16</w:t>
            </w:r>
            <w:r w:rsidRPr="009D5352">
              <w:rPr>
                <w:bCs/>
                <w:szCs w:val="24"/>
              </w:rPr>
              <w:t xml:space="preserve">. </w:t>
            </w:r>
            <w:r w:rsidRPr="009D5352">
              <w:rPr>
                <w:b/>
                <w:szCs w:val="24"/>
              </w:rPr>
              <w:t>Išlaidų tinkamumo finansuoti reikalavimai</w:t>
            </w:r>
          </w:p>
        </w:tc>
      </w:tr>
      <w:tr w:rsidR="00F4662F" w:rsidRPr="009D5352" w14:paraId="21997C5B" w14:textId="77777777">
        <w:tc>
          <w:tcPr>
            <w:tcW w:w="15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73926" w14:textId="5548CBC1" w:rsidR="00403F76" w:rsidRPr="009D5352" w:rsidRDefault="00244911" w:rsidP="00403F76">
            <w:pPr>
              <w:suppressAutoHyphens/>
              <w:jc w:val="both"/>
              <w:rPr>
                <w:szCs w:val="24"/>
              </w:rPr>
            </w:pPr>
            <w:r w:rsidRPr="009D5352">
              <w:rPr>
                <w:szCs w:val="24"/>
              </w:rPr>
              <w:t xml:space="preserve">16.1. </w:t>
            </w:r>
            <w:r w:rsidR="00403F76" w:rsidRPr="009D5352">
              <w:rPr>
                <w:bCs/>
                <w:szCs w:val="24"/>
              </w:rPr>
              <w:t>Planuojamos išlaidos turi atitikti Projektų administravimo ir finansavimo taisyklių VII</w:t>
            </w:r>
            <w:r w:rsidR="00403F76" w:rsidRPr="009D5352">
              <w:rPr>
                <w:szCs w:val="24"/>
              </w:rPr>
              <w:t xml:space="preserve"> skyriuje nustatytus projektų išlaidoms taikomus reikalavimus.</w:t>
            </w:r>
          </w:p>
          <w:p w14:paraId="1E684897" w14:textId="5426FBE1" w:rsidR="00403F76" w:rsidRPr="009D5352" w:rsidRDefault="007341DA" w:rsidP="00403F76">
            <w:pPr>
              <w:suppressAutoHyphens/>
              <w:jc w:val="both"/>
              <w:rPr>
                <w:szCs w:val="24"/>
              </w:rPr>
            </w:pPr>
            <w:r w:rsidRPr="009D5352">
              <w:rPr>
                <w:szCs w:val="24"/>
              </w:rPr>
              <w:t>16.</w:t>
            </w:r>
            <w:r w:rsidR="00403F76" w:rsidRPr="009D5352">
              <w:rPr>
                <w:szCs w:val="24"/>
              </w:rPr>
              <w:t xml:space="preserve">2. PVM nėra tinkamas finansuoti EGADP lėšomis. PVM gali būti finansuojamas Lietuvos biudžeto lėšomis vadovaujantis Projektų administravimo ir finansavimo taisyklių </w:t>
            </w:r>
            <w:r w:rsidR="003D7A6B" w:rsidRPr="009D5352">
              <w:rPr>
                <w:iCs/>
                <w:szCs w:val="24"/>
              </w:rPr>
              <w:t xml:space="preserve">VII skyriaus </w:t>
            </w:r>
            <w:r w:rsidR="003D7A6B" w:rsidRPr="009D5352">
              <w:rPr>
                <w:szCs w:val="24"/>
              </w:rPr>
              <w:t>k</w:t>
            </w:r>
            <w:r w:rsidR="00403F76" w:rsidRPr="009D5352">
              <w:rPr>
                <w:szCs w:val="24"/>
              </w:rPr>
              <w:t>etvirtajame skirsnyje nustatyta tvarka.</w:t>
            </w:r>
          </w:p>
          <w:p w14:paraId="21B57DE8" w14:textId="36787B83" w:rsidR="00403F76" w:rsidRPr="009D5352" w:rsidRDefault="0087316B" w:rsidP="00403F76">
            <w:pPr>
              <w:suppressAutoHyphens/>
              <w:jc w:val="both"/>
              <w:rPr>
                <w:iCs/>
                <w:szCs w:val="24"/>
              </w:rPr>
            </w:pPr>
            <w:r w:rsidRPr="009D5352">
              <w:rPr>
                <w:szCs w:val="24"/>
              </w:rPr>
              <w:t>16</w:t>
            </w:r>
            <w:r w:rsidR="00403F76" w:rsidRPr="009D5352">
              <w:rPr>
                <w:szCs w:val="24"/>
              </w:rPr>
              <w:t>.3. Pagal Aprašą netinkamomis finansuoti laikomos šios išlaidų kategorijos:</w:t>
            </w:r>
          </w:p>
          <w:p w14:paraId="4AABF7D6" w14:textId="77010D86" w:rsidR="00403F76" w:rsidRPr="009D5352" w:rsidRDefault="007442BD" w:rsidP="00403F76">
            <w:pPr>
              <w:suppressAutoHyphens/>
              <w:jc w:val="both"/>
              <w:rPr>
                <w:iCs/>
                <w:szCs w:val="24"/>
              </w:rPr>
            </w:pPr>
            <w:r w:rsidRPr="009D5352">
              <w:rPr>
                <w:iCs/>
                <w:szCs w:val="24"/>
              </w:rPr>
              <w:t>16</w:t>
            </w:r>
            <w:r w:rsidR="00403F76" w:rsidRPr="009D5352">
              <w:rPr>
                <w:iCs/>
                <w:szCs w:val="24"/>
              </w:rPr>
              <w:t>.3.1. žemė;</w:t>
            </w:r>
          </w:p>
          <w:p w14:paraId="424F9C51" w14:textId="4E4B8E8A" w:rsidR="00403F76" w:rsidRPr="009D5352" w:rsidRDefault="007442BD" w:rsidP="00403F76">
            <w:pPr>
              <w:suppressAutoHyphens/>
              <w:jc w:val="both"/>
              <w:rPr>
                <w:iCs/>
                <w:szCs w:val="24"/>
              </w:rPr>
            </w:pPr>
            <w:r w:rsidRPr="009D5352">
              <w:rPr>
                <w:iCs/>
                <w:szCs w:val="24"/>
              </w:rPr>
              <w:t>16</w:t>
            </w:r>
            <w:r w:rsidR="00403F76" w:rsidRPr="009D5352">
              <w:rPr>
                <w:iCs/>
                <w:szCs w:val="24"/>
              </w:rPr>
              <w:t>.3.2. nekilnojamasis turtas;</w:t>
            </w:r>
          </w:p>
          <w:p w14:paraId="032CA586" w14:textId="004002DC" w:rsidR="00403F76" w:rsidRPr="009D5352" w:rsidRDefault="007442BD" w:rsidP="00403F76">
            <w:pPr>
              <w:suppressAutoHyphens/>
              <w:jc w:val="both"/>
              <w:rPr>
                <w:iCs/>
                <w:szCs w:val="24"/>
              </w:rPr>
            </w:pPr>
            <w:r w:rsidRPr="009D5352">
              <w:rPr>
                <w:iCs/>
                <w:szCs w:val="24"/>
              </w:rPr>
              <w:t>16</w:t>
            </w:r>
            <w:r w:rsidR="00403F76" w:rsidRPr="009D5352">
              <w:rPr>
                <w:iCs/>
                <w:szCs w:val="24"/>
              </w:rPr>
              <w:t>.3.3. statyba, rekonstravimas, remontas ir kiti darbai;</w:t>
            </w:r>
          </w:p>
          <w:p w14:paraId="62D6ADD7" w14:textId="42BE73B9" w:rsidR="00403F76" w:rsidRPr="009D5352" w:rsidRDefault="007442BD" w:rsidP="00403F76">
            <w:pPr>
              <w:suppressAutoHyphens/>
              <w:jc w:val="both"/>
              <w:rPr>
                <w:iCs/>
                <w:szCs w:val="24"/>
              </w:rPr>
            </w:pPr>
            <w:r w:rsidRPr="009D5352">
              <w:rPr>
                <w:iCs/>
                <w:szCs w:val="24"/>
              </w:rPr>
              <w:t>16</w:t>
            </w:r>
            <w:r w:rsidR="00403F76" w:rsidRPr="009D5352">
              <w:rPr>
                <w:iCs/>
                <w:szCs w:val="24"/>
              </w:rPr>
              <w:t>.3.4.</w:t>
            </w:r>
            <w:r w:rsidR="00403F76" w:rsidRPr="009D5352">
              <w:rPr>
                <w:szCs w:val="24"/>
              </w:rPr>
              <w:t xml:space="preserve"> įranga, įrenginiai ir kitas turtas, išskyrus informacinių sistemų kūrimo ir (ar) modernizavimo išlaidas (įskaitant informacinių sistemų projektavimo, techninės priežiūros ir kitas susijusias išlaidas);</w:t>
            </w:r>
          </w:p>
          <w:p w14:paraId="60D7F8BB" w14:textId="651E10C3" w:rsidR="00403F76" w:rsidRPr="009D5352" w:rsidRDefault="0098625A" w:rsidP="00403F76">
            <w:pPr>
              <w:suppressAutoHyphens/>
              <w:jc w:val="both"/>
              <w:rPr>
                <w:iCs/>
                <w:szCs w:val="24"/>
              </w:rPr>
            </w:pPr>
            <w:r w:rsidRPr="009D5352">
              <w:rPr>
                <w:iCs/>
                <w:szCs w:val="24"/>
              </w:rPr>
              <w:t>16</w:t>
            </w:r>
            <w:r w:rsidR="00403F76" w:rsidRPr="009D5352">
              <w:rPr>
                <w:iCs/>
                <w:szCs w:val="24"/>
              </w:rPr>
              <w:t>.3.5. įgyvendinant projektą naudojamo ilgalaikio turto nusidėvėjimo (amortizacijos) sąnaudos;</w:t>
            </w:r>
          </w:p>
          <w:p w14:paraId="586E16CB" w14:textId="4282E29E" w:rsidR="00403F76" w:rsidRPr="009D5352" w:rsidRDefault="0098625A" w:rsidP="00403F76">
            <w:pPr>
              <w:suppressAutoHyphens/>
              <w:jc w:val="both"/>
              <w:rPr>
                <w:iCs/>
                <w:szCs w:val="24"/>
              </w:rPr>
            </w:pPr>
            <w:r w:rsidRPr="009D5352">
              <w:rPr>
                <w:iCs/>
                <w:szCs w:val="24"/>
              </w:rPr>
              <w:t>16</w:t>
            </w:r>
            <w:r w:rsidR="00403F76" w:rsidRPr="009D5352">
              <w:rPr>
                <w:iCs/>
                <w:szCs w:val="24"/>
              </w:rPr>
              <w:t>.3.6. nepiniginis projekto vykdytojo įnašas.</w:t>
            </w:r>
          </w:p>
          <w:p w14:paraId="126D4310" w14:textId="50C96B45" w:rsidR="00403F76" w:rsidRPr="009D5352" w:rsidRDefault="0098625A" w:rsidP="00403F76">
            <w:pPr>
              <w:suppressAutoHyphens/>
              <w:jc w:val="both"/>
              <w:rPr>
                <w:szCs w:val="24"/>
              </w:rPr>
            </w:pPr>
            <w:r w:rsidRPr="009D5352">
              <w:rPr>
                <w:iCs/>
                <w:szCs w:val="24"/>
              </w:rPr>
              <w:lastRenderedPageBreak/>
              <w:t>16</w:t>
            </w:r>
            <w:r w:rsidR="00403F76" w:rsidRPr="009D5352">
              <w:rPr>
                <w:iCs/>
                <w:szCs w:val="24"/>
              </w:rPr>
              <w:t>.4.</w:t>
            </w:r>
            <w:r w:rsidR="00403F76" w:rsidRPr="009D5352">
              <w:rPr>
                <w:szCs w:val="24"/>
              </w:rPr>
              <w:t xml:space="preserve"> Dienpinigių ir gyvenamojo ploto nuomos normos vykstantiems į užsienio komandiruotes asmenims visais atvejais negali viršyti maksimalių dienpinigių dydžių ir gyvenamojo ploto nuomos išlaidų normų, apskaičiuotų vadovaujantis Lietuvos Respublikos Vyriausybės 2004 m. balandžio 29 d. nutarimu Nr. 526 „Dėl dienpinigių ir kitų komandiruočių išlaidų apmokėjimo“.</w:t>
            </w:r>
          </w:p>
          <w:p w14:paraId="04B28413" w14:textId="07AD328E" w:rsidR="00403F76" w:rsidRPr="009D5352" w:rsidRDefault="00DD18E8" w:rsidP="00403F76">
            <w:pPr>
              <w:suppressAutoHyphens/>
              <w:jc w:val="both"/>
              <w:rPr>
                <w:szCs w:val="24"/>
              </w:rPr>
            </w:pPr>
            <w:r w:rsidRPr="009D5352">
              <w:rPr>
                <w:bCs/>
                <w:szCs w:val="24"/>
              </w:rPr>
              <w:t>16</w:t>
            </w:r>
            <w:r w:rsidR="00403F76" w:rsidRPr="009D5352">
              <w:rPr>
                <w:bCs/>
                <w:szCs w:val="24"/>
              </w:rPr>
              <w:t>.5. Didžiausia galima projektų finansuojamoji dalis</w:t>
            </w:r>
            <w:r w:rsidR="00403F76" w:rsidRPr="00F07212">
              <w:rPr>
                <w:szCs w:val="24"/>
              </w:rPr>
              <w:t xml:space="preserve"> </w:t>
            </w:r>
            <w:r w:rsidR="00403F76" w:rsidRPr="009D5352">
              <w:rPr>
                <w:szCs w:val="24"/>
              </w:rPr>
              <w:t>sudaro 100 proc. visų tinkamų finansuoti projekto išlaidų.</w:t>
            </w:r>
          </w:p>
          <w:p w14:paraId="4F817669" w14:textId="5112B41C" w:rsidR="00403F76" w:rsidRPr="009D5352" w:rsidRDefault="00DD18E8" w:rsidP="00403F76">
            <w:pPr>
              <w:suppressAutoHyphens/>
              <w:jc w:val="both"/>
              <w:rPr>
                <w:szCs w:val="24"/>
              </w:rPr>
            </w:pPr>
            <w:r w:rsidRPr="009D5352">
              <w:rPr>
                <w:szCs w:val="24"/>
              </w:rPr>
              <w:t>16</w:t>
            </w:r>
            <w:r w:rsidR="00403F76" w:rsidRPr="009D5352">
              <w:rPr>
                <w:szCs w:val="24"/>
              </w:rPr>
              <w:t>.6. Pareiškėjas savo iniciatyva ir savo ir (arba) kitų šaltinių lėšomis gali prisidėti prie projekto įgyvendinimo.</w:t>
            </w:r>
          </w:p>
          <w:p w14:paraId="34A88C1D" w14:textId="70CDCD89" w:rsidR="00403F76" w:rsidRPr="009D5352" w:rsidRDefault="00DD18E8" w:rsidP="00403F76">
            <w:pPr>
              <w:suppressAutoHyphens/>
              <w:jc w:val="both"/>
              <w:rPr>
                <w:szCs w:val="24"/>
              </w:rPr>
            </w:pPr>
            <w:r w:rsidRPr="009D5352">
              <w:rPr>
                <w:szCs w:val="24"/>
              </w:rPr>
              <w:t>16</w:t>
            </w:r>
            <w:r w:rsidR="00403F76" w:rsidRPr="009D5352">
              <w:rPr>
                <w:szCs w:val="24"/>
              </w:rPr>
              <w:t>.7. Projekto tinkamų finansuoti išlaidų dalis, kurios nepadengia projektui skiriamo finansavimo lėšos, turi būti finansuojama iš projekto vykdytojo lėšų.</w:t>
            </w:r>
          </w:p>
          <w:p w14:paraId="4113F293" w14:textId="0C0098E1" w:rsidR="00403F76" w:rsidRPr="009D5352" w:rsidRDefault="005535B9" w:rsidP="00403F76">
            <w:pPr>
              <w:suppressAutoHyphens/>
              <w:jc w:val="both"/>
              <w:rPr>
                <w:szCs w:val="24"/>
              </w:rPr>
            </w:pPr>
            <w:r w:rsidRPr="009D5352">
              <w:rPr>
                <w:szCs w:val="24"/>
              </w:rPr>
              <w:t>16</w:t>
            </w:r>
            <w:r w:rsidR="00403F76" w:rsidRPr="009D5352">
              <w:rPr>
                <w:szCs w:val="24"/>
              </w:rPr>
              <w:t>.8. Projekto vykdytojui gali būti mokamas avansas, vadovaujantis Projektų administravimo ir finansavimo taisyklių 153–159 punktais.</w:t>
            </w:r>
          </w:p>
          <w:p w14:paraId="354DDA87" w14:textId="0B8A8A82" w:rsidR="00403F76" w:rsidRPr="009D5352" w:rsidRDefault="005535B9" w:rsidP="00403F76">
            <w:pPr>
              <w:suppressAutoHyphens/>
              <w:jc w:val="both"/>
              <w:rPr>
                <w:szCs w:val="24"/>
              </w:rPr>
            </w:pPr>
            <w:r w:rsidRPr="009D5352">
              <w:rPr>
                <w:szCs w:val="24"/>
              </w:rPr>
              <w:t>16</w:t>
            </w:r>
            <w:r w:rsidR="00403F76" w:rsidRPr="009D5352">
              <w:rPr>
                <w:szCs w:val="24"/>
              </w:rPr>
              <w:t>.9. Kryžminis finansavimas netaikomas.</w:t>
            </w:r>
          </w:p>
          <w:p w14:paraId="6E17C97C" w14:textId="464C400E" w:rsidR="00F4662F" w:rsidRPr="009D5352" w:rsidRDefault="00827525">
            <w:pPr>
              <w:suppressAutoHyphens/>
              <w:jc w:val="both"/>
              <w:rPr>
                <w:szCs w:val="24"/>
              </w:rPr>
            </w:pPr>
            <w:r w:rsidRPr="009D5352">
              <w:rPr>
                <w:szCs w:val="24"/>
              </w:rPr>
              <w:t>16</w:t>
            </w:r>
            <w:r w:rsidR="00403F76" w:rsidRPr="009D5352">
              <w:rPr>
                <w:szCs w:val="24"/>
              </w:rPr>
              <w:t>.10. Projektų išlaidos gali būti patirtos nuo kvietimo teikti paraiškas paskelbimo dienos.</w:t>
            </w:r>
          </w:p>
        </w:tc>
      </w:tr>
    </w:tbl>
    <w:p w14:paraId="18446E87" w14:textId="77777777" w:rsidR="00F4662F" w:rsidRPr="009D5352" w:rsidRDefault="00F4662F">
      <w:pPr>
        <w:suppressAutoHyphens/>
        <w:jc w:val="center"/>
        <w:rPr>
          <w:b/>
          <w:szCs w:val="24"/>
        </w:rPr>
      </w:pPr>
    </w:p>
    <w:p w14:paraId="1450DEC1" w14:textId="77777777" w:rsidR="00F4662F" w:rsidRPr="009D5352" w:rsidRDefault="00244911">
      <w:pPr>
        <w:suppressAutoHyphens/>
        <w:jc w:val="center"/>
        <w:rPr>
          <w:b/>
          <w:szCs w:val="24"/>
        </w:rPr>
      </w:pPr>
      <w:r w:rsidRPr="009D5352">
        <w:rPr>
          <w:b/>
          <w:szCs w:val="24"/>
        </w:rPr>
        <w:t>IV SKYRIUS</w:t>
      </w:r>
    </w:p>
    <w:p w14:paraId="7D7E3DF1" w14:textId="77777777" w:rsidR="00F4662F" w:rsidRPr="009D5352" w:rsidRDefault="00244911">
      <w:pPr>
        <w:suppressAutoHyphens/>
        <w:jc w:val="center"/>
        <w:rPr>
          <w:b/>
          <w:szCs w:val="24"/>
        </w:rPr>
      </w:pPr>
      <w:r w:rsidRPr="009D5352">
        <w:rPr>
          <w:b/>
          <w:szCs w:val="24"/>
        </w:rPr>
        <w:t>SUPAPRASTINTAI APMOKAMŲ IŠLAIDŲ DYDŽIAI</w:t>
      </w:r>
    </w:p>
    <w:p w14:paraId="6F1B50B7" w14:textId="77777777" w:rsidR="00F4662F" w:rsidRPr="009D5352" w:rsidRDefault="00F4662F"/>
    <w:tbl>
      <w:tblPr>
        <w:tblW w:w="15134" w:type="dxa"/>
        <w:tblCellMar>
          <w:left w:w="10" w:type="dxa"/>
          <w:right w:w="10" w:type="dxa"/>
        </w:tblCellMar>
        <w:tblLook w:val="04A0" w:firstRow="1" w:lastRow="0" w:firstColumn="1" w:lastColumn="0" w:noHBand="0" w:noVBand="1"/>
      </w:tblPr>
      <w:tblGrid>
        <w:gridCol w:w="15134"/>
      </w:tblGrid>
      <w:tr w:rsidR="00F4662F" w:rsidRPr="009D5352" w14:paraId="0F0F9AF2" w14:textId="77777777">
        <w:trPr>
          <w:trHeight w:val="349"/>
        </w:trPr>
        <w:tc>
          <w:tcPr>
            <w:tcW w:w="15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47A97" w14:textId="77777777" w:rsidR="00F4662F" w:rsidRPr="009D5352" w:rsidRDefault="00244911">
            <w:pPr>
              <w:suppressAutoHyphens/>
              <w:jc w:val="both"/>
            </w:pPr>
            <w:r w:rsidRPr="009D5352">
              <w:rPr>
                <w:b/>
                <w:szCs w:val="24"/>
              </w:rPr>
              <w:t>17. Projektų veiklų ir jungtinio projekto projektų įgyvendinimui taikomi supaprastintai apmokamų išlaidų dydžiai</w:t>
            </w:r>
          </w:p>
        </w:tc>
      </w:tr>
      <w:tr w:rsidR="00F4662F" w:rsidRPr="009D5352" w14:paraId="72A82D6A" w14:textId="77777777">
        <w:tc>
          <w:tcPr>
            <w:tcW w:w="15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7F035" w14:textId="77777777" w:rsidR="00F4662F" w:rsidRPr="009D5352" w:rsidRDefault="00F4662F">
            <w:pPr>
              <w:suppressAutoHyphens/>
              <w:jc w:val="both"/>
              <w:rPr>
                <w:i/>
                <w:iCs/>
                <w:sz w:val="22"/>
                <w:szCs w:val="22"/>
              </w:rPr>
            </w:pPr>
          </w:p>
          <w:tbl>
            <w:tblPr>
              <w:tblW w:w="14874" w:type="dxa"/>
              <w:jc w:val="center"/>
              <w:tblCellMar>
                <w:left w:w="10" w:type="dxa"/>
                <w:right w:w="10" w:type="dxa"/>
              </w:tblCellMar>
              <w:tblLook w:val="04A0" w:firstRow="1" w:lastRow="0" w:firstColumn="1" w:lastColumn="0" w:noHBand="0" w:noVBand="1"/>
            </w:tblPr>
            <w:tblGrid>
              <w:gridCol w:w="2974"/>
              <w:gridCol w:w="2975"/>
              <w:gridCol w:w="2975"/>
              <w:gridCol w:w="2975"/>
              <w:gridCol w:w="2975"/>
            </w:tblGrid>
            <w:tr w:rsidR="00F4662F" w:rsidRPr="009D5352" w14:paraId="35A76D02" w14:textId="77777777" w:rsidTr="00496B85">
              <w:trPr>
                <w:jc w:val="center"/>
              </w:trPr>
              <w:tc>
                <w:tcPr>
                  <w:tcW w:w="148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7073A" w14:textId="77777777" w:rsidR="00F4662F" w:rsidRPr="009D5352" w:rsidRDefault="00244911">
                  <w:pPr>
                    <w:suppressAutoHyphens/>
                    <w:jc w:val="both"/>
                  </w:pPr>
                  <w:r w:rsidRPr="009D5352">
                    <w:rPr>
                      <w:rFonts w:ascii="MS Gothic" w:eastAsia="MS Gothic" w:hAnsi="MS Gothic" w:cs="MS Gothic"/>
                      <w:b/>
                      <w:bCs/>
                      <w:sz w:val="22"/>
                      <w:szCs w:val="22"/>
                    </w:rPr>
                    <w:t>☐</w:t>
                  </w:r>
                  <w:r w:rsidRPr="009D5352">
                    <w:rPr>
                      <w:b/>
                      <w:bCs/>
                      <w:sz w:val="22"/>
                      <w:szCs w:val="22"/>
                    </w:rPr>
                    <w:t xml:space="preserve"> Indeksuojama</w:t>
                  </w:r>
                </w:p>
                <w:p w14:paraId="7A2D4470" w14:textId="77777777" w:rsidR="00F4662F" w:rsidRPr="009D5352" w:rsidRDefault="00244911">
                  <w:pPr>
                    <w:suppressAutoHyphens/>
                    <w:jc w:val="both"/>
                  </w:pPr>
                  <w:r w:rsidRPr="009D5352">
                    <w:rPr>
                      <w:rFonts w:ascii="MS Gothic" w:eastAsia="MS Gothic" w:hAnsi="MS Gothic"/>
                      <w:b/>
                      <w:bCs/>
                      <w:sz w:val="22"/>
                      <w:szCs w:val="22"/>
                    </w:rPr>
                    <w:t>☒</w:t>
                  </w:r>
                  <w:r w:rsidRPr="009D5352">
                    <w:rPr>
                      <w:b/>
                      <w:bCs/>
                      <w:sz w:val="22"/>
                      <w:szCs w:val="22"/>
                    </w:rPr>
                    <w:t xml:space="preserve"> Neindeksuojama</w:t>
                  </w:r>
                </w:p>
              </w:tc>
            </w:tr>
            <w:tr w:rsidR="00F4662F" w:rsidRPr="009D5352" w14:paraId="6131A6F8" w14:textId="77777777" w:rsidTr="00496B85">
              <w:trPr>
                <w:jc w:val="center"/>
              </w:trPr>
              <w:tc>
                <w:tcPr>
                  <w:tcW w:w="2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DA3FD" w14:textId="77777777" w:rsidR="00F4662F" w:rsidRPr="009D5352" w:rsidRDefault="00244911">
                  <w:pPr>
                    <w:suppressAutoHyphens/>
                    <w:jc w:val="center"/>
                    <w:rPr>
                      <w:b/>
                      <w:bCs/>
                      <w:sz w:val="22"/>
                      <w:szCs w:val="22"/>
                    </w:rPr>
                  </w:pPr>
                  <w:r w:rsidRPr="009D5352">
                    <w:rPr>
                      <w:b/>
                      <w:bCs/>
                      <w:sz w:val="22"/>
                      <w:szCs w:val="22"/>
                    </w:rPr>
                    <w:t>Veiklos ir (ar) išlaidos, kurioms taikomi supaprastintai apmokamų išlaidų dydžiai</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91EF0" w14:textId="77777777" w:rsidR="00F4662F" w:rsidRPr="009D5352" w:rsidRDefault="00244911">
                  <w:pPr>
                    <w:suppressAutoHyphens/>
                    <w:jc w:val="center"/>
                    <w:rPr>
                      <w:b/>
                      <w:bCs/>
                      <w:sz w:val="22"/>
                      <w:szCs w:val="22"/>
                    </w:rPr>
                  </w:pPr>
                  <w:r w:rsidRPr="009D5352">
                    <w:rPr>
                      <w:b/>
                      <w:bCs/>
                      <w:sz w:val="22"/>
                      <w:szCs w:val="22"/>
                    </w:rPr>
                    <w:t>Supaprastintai apmokamų išlaidų dydžio kodas</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4CB1C" w14:textId="77777777" w:rsidR="00F4662F" w:rsidRPr="009D5352" w:rsidRDefault="00244911">
                  <w:pPr>
                    <w:suppressAutoHyphens/>
                    <w:jc w:val="center"/>
                  </w:pPr>
                  <w:r w:rsidRPr="009D5352">
                    <w:rPr>
                      <w:b/>
                      <w:bCs/>
                      <w:sz w:val="22"/>
                      <w:szCs w:val="22"/>
                    </w:rPr>
                    <w:t>Supaprastintai apmokamų išlaidų dydžio versija</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0B6A1" w14:textId="77777777" w:rsidR="00F4662F" w:rsidRPr="009D5352" w:rsidRDefault="00244911">
                  <w:pPr>
                    <w:suppressAutoHyphens/>
                    <w:jc w:val="center"/>
                    <w:rPr>
                      <w:b/>
                      <w:bCs/>
                      <w:sz w:val="22"/>
                      <w:szCs w:val="22"/>
                    </w:rPr>
                  </w:pPr>
                  <w:r w:rsidRPr="009D5352">
                    <w:rPr>
                      <w:b/>
                      <w:bCs/>
                      <w:sz w:val="22"/>
                      <w:szCs w:val="22"/>
                    </w:rPr>
                    <w:t>Supaprastintai apmokamų išlaidų dydžio pavadinimas</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B26F0" w14:textId="77777777" w:rsidR="00F4662F" w:rsidRPr="009D5352" w:rsidRDefault="00244911">
                  <w:pPr>
                    <w:suppressAutoHyphens/>
                    <w:jc w:val="center"/>
                    <w:rPr>
                      <w:b/>
                      <w:bCs/>
                      <w:sz w:val="22"/>
                      <w:szCs w:val="22"/>
                    </w:rPr>
                  </w:pPr>
                  <w:r w:rsidRPr="009D5352">
                    <w:rPr>
                      <w:b/>
                      <w:bCs/>
                      <w:sz w:val="22"/>
                      <w:szCs w:val="22"/>
                    </w:rPr>
                    <w:t>Papildoma informacija</w:t>
                  </w:r>
                </w:p>
              </w:tc>
            </w:tr>
            <w:tr w:rsidR="00F4662F" w:rsidRPr="009D5352" w14:paraId="241BD04E" w14:textId="77777777" w:rsidTr="005A4683">
              <w:trPr>
                <w:jc w:val="center"/>
              </w:trPr>
              <w:tc>
                <w:tcPr>
                  <w:tcW w:w="2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F5382" w14:textId="05EE7226" w:rsidR="00F4662F" w:rsidRPr="009D5352" w:rsidRDefault="00684BF1" w:rsidP="002356DC">
                  <w:pPr>
                    <w:suppressAutoHyphens/>
                    <w:jc w:val="center"/>
                  </w:pPr>
                  <w:r w:rsidRPr="009D5352">
                    <w:rPr>
                      <w:iCs/>
                      <w:sz w:val="22"/>
                      <w:szCs w:val="22"/>
                    </w:rPr>
                    <w:t>17.1</w:t>
                  </w:r>
                  <w:r w:rsidR="002356DC" w:rsidRPr="009D5352">
                    <w:rPr>
                      <w:iCs/>
                      <w:sz w:val="22"/>
                      <w:szCs w:val="22"/>
                    </w:rPr>
                    <w:t>.</w:t>
                  </w:r>
                  <w:r w:rsidRPr="009D5352">
                    <w:rPr>
                      <w:iCs/>
                      <w:sz w:val="22"/>
                      <w:szCs w:val="22"/>
                    </w:rPr>
                    <w:t xml:space="preserve"> </w:t>
                  </w:r>
                  <w:r w:rsidR="003B41AF" w:rsidRPr="009D5352">
                    <w:rPr>
                      <w:iCs/>
                      <w:sz w:val="22"/>
                      <w:szCs w:val="22"/>
                    </w:rPr>
                    <w:t>Privalomos projekto matomumo ir informavimo apie projektus priemonės</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36CC8" w14:textId="4ECF6752" w:rsidR="00F4662F" w:rsidRPr="009D5352" w:rsidRDefault="005B4BFE" w:rsidP="002356DC">
                  <w:pPr>
                    <w:suppressAutoHyphens/>
                    <w:jc w:val="center"/>
                  </w:pPr>
                  <w:r w:rsidRPr="009D5352">
                    <w:rPr>
                      <w:iCs/>
                      <w:sz w:val="22"/>
                      <w:szCs w:val="22"/>
                    </w:rPr>
                    <w:t>FS-01-01</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1043B" w14:textId="77777777" w:rsidR="00F4662F" w:rsidRPr="009D5352" w:rsidRDefault="00244911" w:rsidP="002356DC">
                  <w:pPr>
                    <w:suppressAutoHyphens/>
                    <w:jc w:val="center"/>
                  </w:pPr>
                  <w:r w:rsidRPr="009D5352">
                    <w:rPr>
                      <w:bCs/>
                      <w:iCs/>
                      <w:sz w:val="22"/>
                      <w:szCs w:val="22"/>
                      <w:lang w:eastAsia="lt-LT"/>
                    </w:rPr>
                    <w:t>01</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C2187" w14:textId="4917526E" w:rsidR="00F4662F" w:rsidRPr="009D5352" w:rsidRDefault="00330288" w:rsidP="002356DC">
                  <w:pPr>
                    <w:suppressAutoHyphens/>
                    <w:jc w:val="center"/>
                  </w:pPr>
                  <w:r w:rsidRPr="009D5352">
                    <w:rPr>
                      <w:bCs/>
                      <w:iCs/>
                      <w:sz w:val="22"/>
                      <w:szCs w:val="22"/>
                    </w:rPr>
                    <w:t>Įgyvendintų privalomų matomumo ir informavimo priemonių apie ES fondų investicijų veiklas fiksuotoji suma, pirmojo rinkinio FS be PVM</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F0692" w14:textId="7BAEB98C" w:rsidR="00F4662F" w:rsidRPr="009D5352" w:rsidRDefault="0060416D" w:rsidP="002356DC">
                  <w:pPr>
                    <w:suppressAutoHyphens/>
                    <w:jc w:val="center"/>
                    <w:rPr>
                      <w:sz w:val="22"/>
                      <w:szCs w:val="22"/>
                    </w:rPr>
                  </w:pPr>
                  <w:r w:rsidRPr="009D5352">
                    <w:rPr>
                      <w:sz w:val="22"/>
                      <w:szCs w:val="22"/>
                    </w:rPr>
                    <w:t>Išlaidų suma – 15,45 Eur</w:t>
                  </w:r>
                </w:p>
              </w:tc>
            </w:tr>
            <w:tr w:rsidR="00F4662F" w:rsidRPr="009D5352" w14:paraId="3A87E7E7" w14:textId="77777777" w:rsidTr="005A4683">
              <w:trPr>
                <w:jc w:val="center"/>
              </w:trPr>
              <w:tc>
                <w:tcPr>
                  <w:tcW w:w="2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2FBD4" w14:textId="3063589C" w:rsidR="00F4662F" w:rsidRPr="009D5352" w:rsidRDefault="002356DC" w:rsidP="002356DC">
                  <w:pPr>
                    <w:suppressAutoHyphens/>
                    <w:jc w:val="center"/>
                    <w:rPr>
                      <w:sz w:val="22"/>
                      <w:szCs w:val="22"/>
                    </w:rPr>
                  </w:pPr>
                  <w:r w:rsidRPr="009D5352">
                    <w:rPr>
                      <w:sz w:val="22"/>
                      <w:szCs w:val="22"/>
                    </w:rPr>
                    <w:t xml:space="preserve">17.2. </w:t>
                  </w:r>
                  <w:r w:rsidR="00244911" w:rsidRPr="009D5352">
                    <w:rPr>
                      <w:sz w:val="22"/>
                      <w:szCs w:val="22"/>
                    </w:rPr>
                    <w:t>Privalomos projekt</w:t>
                  </w:r>
                  <w:r w:rsidR="00CB287D" w:rsidRPr="009D5352">
                    <w:rPr>
                      <w:sz w:val="22"/>
                      <w:szCs w:val="22"/>
                    </w:rPr>
                    <w:t>o</w:t>
                  </w:r>
                  <w:r w:rsidR="00244911" w:rsidRPr="009D5352">
                    <w:rPr>
                      <w:sz w:val="22"/>
                      <w:szCs w:val="22"/>
                    </w:rPr>
                    <w:t xml:space="preserve"> matomumo ir informavimo apie projektus priemonės</w:t>
                  </w:r>
                </w:p>
                <w:p w14:paraId="2553D666" w14:textId="77777777" w:rsidR="00F4662F" w:rsidRPr="009D5352" w:rsidRDefault="00F4662F" w:rsidP="002356DC">
                  <w:pPr>
                    <w:suppressAutoHyphens/>
                    <w:jc w:val="center"/>
                    <w:rPr>
                      <w:i/>
                      <w:iCs/>
                      <w:sz w:val="22"/>
                      <w:szCs w:val="22"/>
                    </w:rPr>
                  </w:pP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4CD7D" w14:textId="461E6E4F" w:rsidR="00F4662F" w:rsidRPr="009D5352" w:rsidRDefault="00244911" w:rsidP="002356DC">
                  <w:pPr>
                    <w:suppressAutoHyphens/>
                    <w:jc w:val="center"/>
                  </w:pPr>
                  <w:r w:rsidRPr="009D5352">
                    <w:rPr>
                      <w:sz w:val="22"/>
                      <w:szCs w:val="22"/>
                    </w:rPr>
                    <w:t>FS-01-0</w:t>
                  </w:r>
                  <w:r w:rsidR="00013367" w:rsidRPr="009D5352">
                    <w:rPr>
                      <w:sz w:val="22"/>
                      <w:szCs w:val="22"/>
                    </w:rPr>
                    <w:t>2</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C045B" w14:textId="262BF1DF" w:rsidR="00F4662F" w:rsidRPr="009D5352" w:rsidRDefault="00244911" w:rsidP="002356DC">
                  <w:pPr>
                    <w:suppressAutoHyphens/>
                    <w:jc w:val="center"/>
                  </w:pPr>
                  <w:r w:rsidRPr="009D5352">
                    <w:rPr>
                      <w:sz w:val="22"/>
                      <w:szCs w:val="22"/>
                    </w:rPr>
                    <w:t>0</w:t>
                  </w:r>
                  <w:r w:rsidR="00013367" w:rsidRPr="009D5352">
                    <w:rPr>
                      <w:sz w:val="22"/>
                      <w:szCs w:val="22"/>
                    </w:rPr>
                    <w:t>1</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00FFD" w14:textId="6602AC7D" w:rsidR="00F4662F" w:rsidRPr="009D5352" w:rsidRDefault="00244911" w:rsidP="002356DC">
                  <w:pPr>
                    <w:suppressAutoHyphens/>
                    <w:jc w:val="center"/>
                  </w:pPr>
                  <w:r w:rsidRPr="009D5352">
                    <w:rPr>
                      <w:sz w:val="22"/>
                      <w:szCs w:val="22"/>
                    </w:rPr>
                    <w:t xml:space="preserve">Įgyvendintų privalomų matomumo ir informavimo priemonių apie ES fondų investicijų veiklas fiksuotoji suma, pirmojo rinkinio FS </w:t>
                  </w:r>
                  <w:r w:rsidR="00971576" w:rsidRPr="009D5352">
                    <w:rPr>
                      <w:sz w:val="22"/>
                      <w:szCs w:val="22"/>
                    </w:rPr>
                    <w:t>su</w:t>
                  </w:r>
                  <w:r w:rsidRPr="009D5352">
                    <w:rPr>
                      <w:sz w:val="22"/>
                      <w:szCs w:val="22"/>
                    </w:rPr>
                    <w:t xml:space="preserve"> PVM</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263B4" w14:textId="63280650" w:rsidR="00F4662F" w:rsidRPr="009D5352" w:rsidRDefault="002D2836" w:rsidP="002356DC">
                  <w:pPr>
                    <w:suppressAutoHyphens/>
                    <w:jc w:val="center"/>
                  </w:pPr>
                  <w:r w:rsidRPr="009D5352">
                    <w:rPr>
                      <w:bCs/>
                      <w:sz w:val="22"/>
                      <w:szCs w:val="22"/>
                    </w:rPr>
                    <w:t>Išlaidų suma – 18,69 Eur</w:t>
                  </w:r>
                </w:p>
              </w:tc>
            </w:tr>
            <w:tr w:rsidR="002A0D33" w:rsidRPr="009D5352" w14:paraId="77CD925B" w14:textId="77777777" w:rsidTr="005A4683">
              <w:trPr>
                <w:jc w:val="center"/>
              </w:trPr>
              <w:tc>
                <w:tcPr>
                  <w:tcW w:w="2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86812" w14:textId="0BAEC7D4" w:rsidR="002A0D33" w:rsidRPr="009D5352" w:rsidRDefault="00874724" w:rsidP="002356DC">
                  <w:pPr>
                    <w:suppressAutoHyphens/>
                    <w:jc w:val="center"/>
                    <w:rPr>
                      <w:sz w:val="22"/>
                      <w:szCs w:val="22"/>
                    </w:rPr>
                  </w:pPr>
                  <w:r w:rsidRPr="009D5352">
                    <w:rPr>
                      <w:iCs/>
                      <w:sz w:val="22"/>
                      <w:szCs w:val="22"/>
                    </w:rPr>
                    <w:t xml:space="preserve">17.3. </w:t>
                  </w:r>
                  <w:r w:rsidR="00E8025A" w:rsidRPr="009D5352">
                    <w:rPr>
                      <w:iCs/>
                      <w:sz w:val="22"/>
                      <w:szCs w:val="22"/>
                    </w:rPr>
                    <w:t>Netiesioginės išlaidos</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49F6" w14:textId="07241554" w:rsidR="002A0D33" w:rsidRPr="009D5352" w:rsidRDefault="007F65B5" w:rsidP="002356DC">
                  <w:pPr>
                    <w:suppressAutoHyphens/>
                    <w:jc w:val="center"/>
                    <w:rPr>
                      <w:sz w:val="22"/>
                      <w:szCs w:val="22"/>
                    </w:rPr>
                  </w:pPr>
                  <w:r w:rsidRPr="009D5352">
                    <w:rPr>
                      <w:iCs/>
                      <w:sz w:val="22"/>
                      <w:szCs w:val="22"/>
                    </w:rPr>
                    <w:t>FN-01</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B50E2" w14:textId="1CB24B13" w:rsidR="002A0D33" w:rsidRPr="009D5352" w:rsidRDefault="007F65B5" w:rsidP="002356DC">
                  <w:pPr>
                    <w:suppressAutoHyphens/>
                    <w:jc w:val="center"/>
                    <w:rPr>
                      <w:sz w:val="22"/>
                      <w:szCs w:val="22"/>
                    </w:rPr>
                  </w:pPr>
                  <w:r w:rsidRPr="009D5352">
                    <w:rPr>
                      <w:sz w:val="22"/>
                      <w:szCs w:val="22"/>
                    </w:rPr>
                    <w:t>01</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AEB4F" w14:textId="292B805F" w:rsidR="002A0D33" w:rsidRPr="009D5352" w:rsidRDefault="00944214" w:rsidP="002356DC">
                  <w:pPr>
                    <w:suppressAutoHyphens/>
                    <w:jc w:val="center"/>
                    <w:rPr>
                      <w:sz w:val="22"/>
                      <w:szCs w:val="22"/>
                    </w:rPr>
                  </w:pPr>
                  <w:r w:rsidRPr="009D5352">
                    <w:rPr>
                      <w:iCs/>
                      <w:sz w:val="22"/>
                      <w:szCs w:val="22"/>
                    </w:rPr>
                    <w:t>7 proc. netiesioginių išlaidų fiksuotoji norma</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1FD41" w14:textId="58043515" w:rsidR="002A0D33" w:rsidRPr="009D5352" w:rsidRDefault="00A234DA" w:rsidP="002356DC">
                  <w:pPr>
                    <w:suppressAutoHyphens/>
                    <w:jc w:val="center"/>
                    <w:rPr>
                      <w:bCs/>
                      <w:sz w:val="22"/>
                      <w:szCs w:val="22"/>
                    </w:rPr>
                  </w:pPr>
                  <w:r w:rsidRPr="009D5352">
                    <w:rPr>
                      <w:bCs/>
                      <w:sz w:val="22"/>
                      <w:szCs w:val="22"/>
                    </w:rPr>
                    <w:t>-</w:t>
                  </w:r>
                </w:p>
              </w:tc>
            </w:tr>
            <w:tr w:rsidR="001C7103" w:rsidRPr="009D5352" w14:paraId="365036F3" w14:textId="77777777" w:rsidTr="000B242D">
              <w:trPr>
                <w:jc w:val="center"/>
              </w:trPr>
              <w:tc>
                <w:tcPr>
                  <w:tcW w:w="297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8B390C6" w14:textId="61E19674" w:rsidR="001C7103" w:rsidRPr="009D5352" w:rsidRDefault="001C7103" w:rsidP="004C6685">
                  <w:pPr>
                    <w:suppressAutoHyphens/>
                    <w:jc w:val="center"/>
                    <w:rPr>
                      <w:i/>
                      <w:iCs/>
                      <w:sz w:val="22"/>
                      <w:szCs w:val="22"/>
                    </w:rPr>
                  </w:pPr>
                  <w:r w:rsidRPr="009D5352">
                    <w:rPr>
                      <w:sz w:val="22"/>
                      <w:szCs w:val="22"/>
                    </w:rPr>
                    <w:lastRenderedPageBreak/>
                    <w:t xml:space="preserve">17.4. </w:t>
                  </w:r>
                  <w:r w:rsidRPr="009D5352">
                    <w:rPr>
                      <w:iCs/>
                      <w:sz w:val="22"/>
                      <w:szCs w:val="22"/>
                    </w:rPr>
                    <w:t>Projektą vykdančio personalo darbo užmokesčio išlaidų dalis per mėnesį, skirta kasmetinėms atostogoms, kuri apskaičiuojama nuo tinkamų finansuoti faktiškai patirtų darbo užmokesčio išlaidų už faktiškai dirbtą laiką</w:t>
                  </w:r>
                </w:p>
              </w:tc>
              <w:tc>
                <w:tcPr>
                  <w:tcW w:w="29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A48CD4F" w14:textId="5E1CFC05" w:rsidR="001C7103" w:rsidRPr="009D5352" w:rsidRDefault="001C7103" w:rsidP="002367C7">
                  <w:pPr>
                    <w:suppressAutoHyphens/>
                    <w:jc w:val="center"/>
                    <w:rPr>
                      <w:sz w:val="22"/>
                      <w:szCs w:val="22"/>
                    </w:rPr>
                  </w:pPr>
                  <w:r w:rsidRPr="009D5352">
                    <w:rPr>
                      <w:sz w:val="22"/>
                      <w:szCs w:val="22"/>
                    </w:rPr>
                    <w:t>1) FN-05-01;</w:t>
                  </w:r>
                </w:p>
                <w:p w14:paraId="05F9475D" w14:textId="5B9E72D0" w:rsidR="001C7103" w:rsidRPr="009D5352" w:rsidRDefault="001C7103" w:rsidP="002367C7">
                  <w:pPr>
                    <w:suppressAutoHyphens/>
                    <w:jc w:val="center"/>
                    <w:rPr>
                      <w:sz w:val="22"/>
                      <w:szCs w:val="22"/>
                    </w:rPr>
                  </w:pPr>
                  <w:r w:rsidRPr="009D5352">
                    <w:rPr>
                      <w:sz w:val="22"/>
                      <w:szCs w:val="22"/>
                    </w:rPr>
                    <w:t>2) FN-05-02;</w:t>
                  </w:r>
                </w:p>
                <w:p w14:paraId="47337155" w14:textId="64F901E8" w:rsidR="001C7103" w:rsidRPr="009D5352" w:rsidRDefault="001C7103" w:rsidP="002367C7">
                  <w:pPr>
                    <w:suppressAutoHyphens/>
                    <w:jc w:val="center"/>
                    <w:rPr>
                      <w:sz w:val="22"/>
                      <w:szCs w:val="22"/>
                    </w:rPr>
                  </w:pPr>
                  <w:r w:rsidRPr="009D5352">
                    <w:rPr>
                      <w:sz w:val="22"/>
                      <w:szCs w:val="22"/>
                    </w:rPr>
                    <w:t>3) FN-05-03;</w:t>
                  </w:r>
                </w:p>
                <w:p w14:paraId="1B8FACB6" w14:textId="744E630C" w:rsidR="001C7103" w:rsidRPr="009D5352" w:rsidRDefault="001C7103" w:rsidP="002367C7">
                  <w:pPr>
                    <w:suppressAutoHyphens/>
                    <w:jc w:val="center"/>
                    <w:rPr>
                      <w:sz w:val="22"/>
                      <w:szCs w:val="22"/>
                    </w:rPr>
                  </w:pPr>
                  <w:r w:rsidRPr="009D5352">
                    <w:rPr>
                      <w:sz w:val="22"/>
                      <w:szCs w:val="22"/>
                    </w:rPr>
                    <w:t>4) FN-05-04;</w:t>
                  </w:r>
                </w:p>
                <w:p w14:paraId="71E18BFE" w14:textId="15BBAF8A" w:rsidR="001C7103" w:rsidRPr="009D5352" w:rsidRDefault="001C7103" w:rsidP="002367C7">
                  <w:pPr>
                    <w:suppressAutoHyphens/>
                    <w:jc w:val="center"/>
                    <w:rPr>
                      <w:sz w:val="22"/>
                      <w:szCs w:val="22"/>
                    </w:rPr>
                  </w:pPr>
                  <w:r w:rsidRPr="009D5352">
                    <w:rPr>
                      <w:sz w:val="22"/>
                      <w:szCs w:val="22"/>
                    </w:rPr>
                    <w:t>5) FN-05-05;</w:t>
                  </w:r>
                </w:p>
                <w:p w14:paraId="74C49338" w14:textId="08BA76B3" w:rsidR="001C7103" w:rsidRPr="009D5352" w:rsidRDefault="001C7103" w:rsidP="002367C7">
                  <w:pPr>
                    <w:suppressAutoHyphens/>
                    <w:jc w:val="center"/>
                    <w:rPr>
                      <w:sz w:val="22"/>
                      <w:szCs w:val="22"/>
                    </w:rPr>
                  </w:pPr>
                  <w:r w:rsidRPr="009D5352">
                    <w:rPr>
                      <w:sz w:val="22"/>
                      <w:szCs w:val="22"/>
                    </w:rPr>
                    <w:t>6) FN-05-06;</w:t>
                  </w:r>
                </w:p>
                <w:p w14:paraId="0BC5C0F1" w14:textId="7182DD06" w:rsidR="001C7103" w:rsidRPr="009D5352" w:rsidRDefault="001C7103" w:rsidP="002367C7">
                  <w:pPr>
                    <w:suppressAutoHyphens/>
                    <w:jc w:val="center"/>
                  </w:pPr>
                  <w:r w:rsidRPr="009D5352">
                    <w:rPr>
                      <w:iCs/>
                      <w:sz w:val="22"/>
                      <w:szCs w:val="22"/>
                    </w:rPr>
                    <w:t xml:space="preserve">7) </w:t>
                  </w:r>
                  <w:r w:rsidRPr="009D5352">
                    <w:rPr>
                      <w:sz w:val="22"/>
                      <w:szCs w:val="22"/>
                    </w:rPr>
                    <w:t>FN-05-07.</w:t>
                  </w:r>
                </w:p>
              </w:tc>
              <w:tc>
                <w:tcPr>
                  <w:tcW w:w="29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C879C31" w14:textId="5A1F4830" w:rsidR="001C7103" w:rsidRPr="009D5352" w:rsidRDefault="001C7103" w:rsidP="002356DC">
                  <w:pPr>
                    <w:suppressAutoHyphens/>
                    <w:jc w:val="center"/>
                  </w:pPr>
                  <w:r w:rsidRPr="009D5352">
                    <w:rPr>
                      <w:sz w:val="22"/>
                      <w:szCs w:val="22"/>
                    </w:rPr>
                    <w:t>01</w:t>
                  </w:r>
                </w:p>
              </w:tc>
              <w:tc>
                <w:tcPr>
                  <w:tcW w:w="29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9090F2C" w14:textId="77777777" w:rsidR="001C7103" w:rsidRPr="009D5352" w:rsidRDefault="001C7103" w:rsidP="00802A6B">
                  <w:pPr>
                    <w:suppressAutoHyphens/>
                    <w:jc w:val="center"/>
                    <w:rPr>
                      <w:sz w:val="22"/>
                      <w:szCs w:val="22"/>
                    </w:rPr>
                  </w:pPr>
                  <w:r w:rsidRPr="009D5352">
                    <w:rPr>
                      <w:sz w:val="22"/>
                      <w:szCs w:val="22"/>
                    </w:rPr>
                    <w:t>1) Fiksuotoji norma, taikoma, kai priklauso 20 d. d. (jeigu dirbama 5 d. d. per savaitę) arba 24 d. d. (jeigu dirbama 6 d. d. per savaitę) kasmetinių atostogų;</w:t>
                  </w:r>
                </w:p>
                <w:p w14:paraId="0B97B852" w14:textId="77777777" w:rsidR="001C7103" w:rsidRPr="009D5352" w:rsidRDefault="001C7103" w:rsidP="00802A6B">
                  <w:pPr>
                    <w:suppressAutoHyphens/>
                    <w:jc w:val="center"/>
                    <w:rPr>
                      <w:sz w:val="22"/>
                      <w:szCs w:val="22"/>
                    </w:rPr>
                  </w:pPr>
                  <w:r w:rsidRPr="009D5352">
                    <w:rPr>
                      <w:sz w:val="22"/>
                      <w:szCs w:val="22"/>
                    </w:rPr>
                    <w:t>2) Fiksuotoji norma, taikoma, kai priklauso nuo 21 iki 25 d. d. (jeigu dirbama 5 d. d. per savaitę) arba nuo 25 iki 30 d. d. (jeigu dirbama 6 d. d. per savaitę) kasmetinių atostogų;</w:t>
                  </w:r>
                </w:p>
                <w:p w14:paraId="5686D125" w14:textId="77777777" w:rsidR="001C7103" w:rsidRPr="009D5352" w:rsidRDefault="001C7103" w:rsidP="00802A6B">
                  <w:pPr>
                    <w:suppressAutoHyphens/>
                    <w:jc w:val="center"/>
                    <w:rPr>
                      <w:sz w:val="22"/>
                      <w:szCs w:val="22"/>
                    </w:rPr>
                  </w:pPr>
                  <w:r w:rsidRPr="009D5352">
                    <w:rPr>
                      <w:sz w:val="22"/>
                      <w:szCs w:val="22"/>
                    </w:rPr>
                    <w:t>3) Fiksuotoji norma, taikoma, kai priklauso nuo 26 iki 30 d. d. (jeigu dirbama 5 d. d. per savaitę) arba nuo 31 iki 36 d. d. (jeigu dirbama 6 d. d. per savaitę) kasmetinių atostogų;</w:t>
                  </w:r>
                </w:p>
                <w:p w14:paraId="0D124A7E" w14:textId="77777777" w:rsidR="001C7103" w:rsidRPr="009D5352" w:rsidRDefault="001C7103" w:rsidP="00802A6B">
                  <w:pPr>
                    <w:suppressAutoHyphens/>
                    <w:jc w:val="center"/>
                    <w:rPr>
                      <w:sz w:val="22"/>
                      <w:szCs w:val="22"/>
                    </w:rPr>
                  </w:pPr>
                  <w:r w:rsidRPr="009D5352">
                    <w:rPr>
                      <w:sz w:val="22"/>
                      <w:szCs w:val="22"/>
                    </w:rPr>
                    <w:t>4) Fiksuotoji norma, taikoma, kai priklauso nuo 31 iki 36 d. d. (jeigu dirbama 5 d. d. per savaitę) arba nuo 37 iki 42 d. d. (jeigu dirbama 6 d. d. per savaitę) kasmetinių atostogų;</w:t>
                  </w:r>
                </w:p>
                <w:p w14:paraId="11C07348" w14:textId="77777777" w:rsidR="001C7103" w:rsidRPr="009D5352" w:rsidRDefault="001C7103" w:rsidP="00802A6B">
                  <w:pPr>
                    <w:suppressAutoHyphens/>
                    <w:jc w:val="center"/>
                    <w:rPr>
                      <w:sz w:val="22"/>
                      <w:szCs w:val="22"/>
                    </w:rPr>
                  </w:pPr>
                  <w:r w:rsidRPr="009D5352">
                    <w:rPr>
                      <w:sz w:val="22"/>
                      <w:szCs w:val="22"/>
                    </w:rPr>
                    <w:t>5) Fiksuotoji norma, taikoma, kai priklauso nuo 37 iki 39 d. d. (jeigu dirbama 5 d. d. per savaitę) arba nuo 43 iki 47 d. d. (jeigu dirbama 6 d. d. per savaitę) kasmetinių atostogų;</w:t>
                  </w:r>
                </w:p>
                <w:p w14:paraId="1F134AC7" w14:textId="77777777" w:rsidR="001C7103" w:rsidRPr="009D5352" w:rsidRDefault="001C7103" w:rsidP="00802A6B">
                  <w:pPr>
                    <w:suppressAutoHyphens/>
                    <w:jc w:val="center"/>
                    <w:rPr>
                      <w:sz w:val="22"/>
                      <w:szCs w:val="22"/>
                    </w:rPr>
                  </w:pPr>
                  <w:r w:rsidRPr="009D5352">
                    <w:rPr>
                      <w:sz w:val="22"/>
                      <w:szCs w:val="22"/>
                    </w:rPr>
                    <w:t>6) Fiksuotoji norma, taikoma, kai priklauso 40 d. d. (jeigu dirbama 5 d. d. per savaitę) arba 48 d. d. (jeigu dirbama 6 d. d. per savaitę) kasmetinių atostogų;</w:t>
                  </w:r>
                </w:p>
                <w:p w14:paraId="422881EB" w14:textId="77777777" w:rsidR="001C7103" w:rsidRPr="009D5352" w:rsidRDefault="001C7103" w:rsidP="00802A6B">
                  <w:pPr>
                    <w:suppressAutoHyphens/>
                    <w:jc w:val="center"/>
                    <w:rPr>
                      <w:sz w:val="22"/>
                      <w:szCs w:val="22"/>
                    </w:rPr>
                  </w:pPr>
                  <w:r w:rsidRPr="009D5352">
                    <w:rPr>
                      <w:sz w:val="22"/>
                      <w:szCs w:val="22"/>
                    </w:rPr>
                    <w:lastRenderedPageBreak/>
                    <w:t>7) Fiksuotoji norma, taikoma, kai priklauso nuo 41 d. d. (jeigu dirbama 5 d. d. per savaitę) arba nuo 49 d. d. (jeigu dirbama 6 d. d. per savaitę) kasmetinių atostogų.</w:t>
                  </w:r>
                </w:p>
                <w:p w14:paraId="397FD7F2" w14:textId="6D6291C4" w:rsidR="001C7103" w:rsidRPr="009D5352" w:rsidRDefault="001C7103" w:rsidP="002356DC">
                  <w:pPr>
                    <w:suppressAutoHyphens/>
                    <w:jc w:val="center"/>
                  </w:pPr>
                </w:p>
              </w:tc>
              <w:tc>
                <w:tcPr>
                  <w:tcW w:w="2975" w:type="dxa"/>
                  <w:tcBorders>
                    <w:left w:val="single" w:sz="4" w:space="0" w:color="000000"/>
                    <w:right w:val="single" w:sz="4" w:space="0" w:color="000000"/>
                  </w:tcBorders>
                  <w:tcMar>
                    <w:top w:w="0" w:type="dxa"/>
                    <w:left w:w="108" w:type="dxa"/>
                    <w:bottom w:w="0" w:type="dxa"/>
                    <w:right w:w="108" w:type="dxa"/>
                  </w:tcMar>
                </w:tcPr>
                <w:p w14:paraId="375537AE" w14:textId="77777777" w:rsidR="001C7103" w:rsidRPr="009D5352" w:rsidRDefault="001C7103" w:rsidP="001C57C8">
                  <w:pPr>
                    <w:suppressAutoHyphens/>
                    <w:jc w:val="center"/>
                    <w:rPr>
                      <w:bCs/>
                      <w:sz w:val="22"/>
                      <w:szCs w:val="22"/>
                    </w:rPr>
                  </w:pPr>
                  <w:r w:rsidRPr="009D5352">
                    <w:rPr>
                      <w:bCs/>
                      <w:sz w:val="22"/>
                      <w:szCs w:val="22"/>
                    </w:rPr>
                    <w:lastRenderedPageBreak/>
                    <w:t>1) 8,63 proc.;</w:t>
                  </w:r>
                </w:p>
                <w:p w14:paraId="3A92A4E6" w14:textId="61D15921" w:rsidR="001C7103" w:rsidRPr="009D5352" w:rsidRDefault="001C7103" w:rsidP="001C57C8">
                  <w:pPr>
                    <w:suppressAutoHyphens/>
                    <w:jc w:val="center"/>
                    <w:rPr>
                      <w:bCs/>
                      <w:sz w:val="22"/>
                      <w:szCs w:val="22"/>
                    </w:rPr>
                  </w:pPr>
                  <w:r w:rsidRPr="009D5352">
                    <w:rPr>
                      <w:bCs/>
                      <w:sz w:val="22"/>
                      <w:szCs w:val="22"/>
                    </w:rPr>
                    <w:t>2) 10,44 proc.;</w:t>
                  </w:r>
                </w:p>
                <w:p w14:paraId="26CCCD6B" w14:textId="245026E7" w:rsidR="001C7103" w:rsidRPr="009D5352" w:rsidRDefault="001C7103" w:rsidP="001C57C8">
                  <w:pPr>
                    <w:suppressAutoHyphens/>
                    <w:jc w:val="center"/>
                    <w:rPr>
                      <w:bCs/>
                      <w:sz w:val="22"/>
                      <w:szCs w:val="22"/>
                    </w:rPr>
                  </w:pPr>
                  <w:r w:rsidRPr="009D5352">
                    <w:rPr>
                      <w:bCs/>
                      <w:sz w:val="22"/>
                      <w:szCs w:val="22"/>
                    </w:rPr>
                    <w:t>3) 12,35 proc.;</w:t>
                  </w:r>
                </w:p>
                <w:p w14:paraId="19F14EC0" w14:textId="2A886EA8" w:rsidR="001C7103" w:rsidRPr="009D5352" w:rsidRDefault="001C7103" w:rsidP="001C57C8">
                  <w:pPr>
                    <w:suppressAutoHyphens/>
                    <w:jc w:val="center"/>
                    <w:rPr>
                      <w:bCs/>
                      <w:sz w:val="22"/>
                      <w:szCs w:val="22"/>
                    </w:rPr>
                  </w:pPr>
                  <w:r w:rsidRPr="009D5352">
                    <w:rPr>
                      <w:bCs/>
                      <w:sz w:val="22"/>
                      <w:szCs w:val="22"/>
                    </w:rPr>
                    <w:t>4) 14,99 proc.;</w:t>
                  </w:r>
                </w:p>
                <w:p w14:paraId="5966DD29" w14:textId="27A37726" w:rsidR="001C7103" w:rsidRPr="009D5352" w:rsidRDefault="001C7103" w:rsidP="001C57C8">
                  <w:pPr>
                    <w:suppressAutoHyphens/>
                    <w:jc w:val="center"/>
                    <w:rPr>
                      <w:bCs/>
                      <w:sz w:val="22"/>
                      <w:szCs w:val="22"/>
                    </w:rPr>
                  </w:pPr>
                  <w:r w:rsidRPr="009D5352">
                    <w:rPr>
                      <w:bCs/>
                      <w:sz w:val="22"/>
                      <w:szCs w:val="22"/>
                    </w:rPr>
                    <w:t>5) 17,25 proc.;</w:t>
                  </w:r>
                </w:p>
                <w:p w14:paraId="5A3F5DB0" w14:textId="678D7C8E" w:rsidR="001C7103" w:rsidRPr="009D5352" w:rsidRDefault="001C7103" w:rsidP="001C57C8">
                  <w:pPr>
                    <w:suppressAutoHyphens/>
                    <w:jc w:val="center"/>
                    <w:rPr>
                      <w:bCs/>
                      <w:sz w:val="22"/>
                      <w:szCs w:val="22"/>
                    </w:rPr>
                  </w:pPr>
                  <w:r w:rsidRPr="009D5352">
                    <w:rPr>
                      <w:bCs/>
                      <w:sz w:val="22"/>
                      <w:szCs w:val="22"/>
                    </w:rPr>
                    <w:t>6) 18,89 proc.;</w:t>
                  </w:r>
                </w:p>
                <w:p w14:paraId="4BFA0313" w14:textId="26C4CE53" w:rsidR="001C7103" w:rsidRPr="009D5352" w:rsidRDefault="001C7103" w:rsidP="001C57C8">
                  <w:pPr>
                    <w:suppressAutoHyphens/>
                    <w:jc w:val="center"/>
                    <w:rPr>
                      <w:bCs/>
                      <w:sz w:val="22"/>
                      <w:szCs w:val="22"/>
                    </w:rPr>
                  </w:pPr>
                  <w:r w:rsidRPr="009D5352">
                    <w:rPr>
                      <w:bCs/>
                      <w:sz w:val="22"/>
                      <w:szCs w:val="22"/>
                    </w:rPr>
                    <w:t>7) 20,02 proc.</w:t>
                  </w:r>
                </w:p>
                <w:p w14:paraId="788C3813" w14:textId="27568D1F" w:rsidR="001C7103" w:rsidRPr="009D5352" w:rsidRDefault="001C7103" w:rsidP="002356DC">
                  <w:pPr>
                    <w:suppressAutoHyphens/>
                    <w:jc w:val="center"/>
                  </w:pPr>
                </w:p>
              </w:tc>
            </w:tr>
            <w:tr w:rsidR="001C7103" w:rsidRPr="009D5352" w14:paraId="54FF109F" w14:textId="77777777" w:rsidTr="000B242D">
              <w:trPr>
                <w:jc w:val="center"/>
              </w:trPr>
              <w:tc>
                <w:tcPr>
                  <w:tcW w:w="29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1D8D8" w14:textId="77777777" w:rsidR="001C7103" w:rsidRPr="009D5352" w:rsidRDefault="001C7103" w:rsidP="004C6685">
                  <w:pPr>
                    <w:suppressAutoHyphens/>
                    <w:jc w:val="center"/>
                    <w:rPr>
                      <w:sz w:val="22"/>
                      <w:szCs w:val="22"/>
                    </w:rPr>
                  </w:pPr>
                </w:p>
              </w:tc>
              <w:tc>
                <w:tcPr>
                  <w:tcW w:w="297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8B16E" w14:textId="77777777" w:rsidR="001C7103" w:rsidRPr="009D5352" w:rsidRDefault="001C7103" w:rsidP="002367C7">
                  <w:pPr>
                    <w:suppressAutoHyphens/>
                    <w:jc w:val="center"/>
                    <w:rPr>
                      <w:sz w:val="22"/>
                      <w:szCs w:val="22"/>
                    </w:rPr>
                  </w:pPr>
                </w:p>
              </w:tc>
              <w:tc>
                <w:tcPr>
                  <w:tcW w:w="297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BB66E" w14:textId="77777777" w:rsidR="001C7103" w:rsidRPr="009D5352" w:rsidRDefault="001C7103" w:rsidP="002356DC">
                  <w:pPr>
                    <w:suppressAutoHyphens/>
                    <w:jc w:val="center"/>
                    <w:rPr>
                      <w:sz w:val="22"/>
                      <w:szCs w:val="22"/>
                    </w:rPr>
                  </w:pPr>
                </w:p>
              </w:tc>
              <w:tc>
                <w:tcPr>
                  <w:tcW w:w="297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28257" w14:textId="77777777" w:rsidR="001C7103" w:rsidRPr="009D5352" w:rsidRDefault="001C7103" w:rsidP="00802A6B">
                  <w:pPr>
                    <w:suppressAutoHyphens/>
                    <w:jc w:val="center"/>
                    <w:rPr>
                      <w:sz w:val="22"/>
                      <w:szCs w:val="22"/>
                    </w:rPr>
                  </w:pPr>
                </w:p>
              </w:tc>
              <w:tc>
                <w:tcPr>
                  <w:tcW w:w="297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EF80E" w14:textId="77777777" w:rsidR="001C7103" w:rsidRPr="009D5352" w:rsidRDefault="001C7103" w:rsidP="00B82065">
                  <w:pPr>
                    <w:suppressAutoHyphens/>
                    <w:rPr>
                      <w:bCs/>
                      <w:sz w:val="22"/>
                      <w:szCs w:val="22"/>
                    </w:rPr>
                  </w:pPr>
                </w:p>
              </w:tc>
            </w:tr>
          </w:tbl>
          <w:p w14:paraId="3E58E078" w14:textId="77777777" w:rsidR="00F4662F" w:rsidRPr="009D5352" w:rsidRDefault="00F4662F">
            <w:pPr>
              <w:suppressAutoHyphens/>
              <w:jc w:val="both"/>
              <w:rPr>
                <w:i/>
                <w:iCs/>
                <w:sz w:val="22"/>
                <w:szCs w:val="22"/>
              </w:rPr>
            </w:pPr>
          </w:p>
        </w:tc>
      </w:tr>
    </w:tbl>
    <w:p w14:paraId="38E322D6" w14:textId="77777777" w:rsidR="00F4662F" w:rsidRPr="009D5352" w:rsidRDefault="00F4662F"/>
    <w:p w14:paraId="7CBC31CC" w14:textId="77777777" w:rsidR="00F4662F" w:rsidRPr="009D5352" w:rsidRDefault="00244911">
      <w:pPr>
        <w:suppressAutoHyphens/>
        <w:spacing w:line="276" w:lineRule="auto"/>
        <w:jc w:val="center"/>
        <w:rPr>
          <w:rFonts w:eastAsia="Calibri"/>
          <w:szCs w:val="24"/>
        </w:rPr>
        <w:sectPr w:rsidR="00F4662F" w:rsidRPr="009D5352" w:rsidSect="00F07212">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567" w:bottom="1134" w:left="1134" w:header="567" w:footer="567" w:gutter="0"/>
          <w:cols w:space="1296"/>
          <w:titlePg/>
        </w:sectPr>
      </w:pPr>
      <w:r w:rsidRPr="009D5352">
        <w:rPr>
          <w:rFonts w:eastAsia="Calibri"/>
          <w:szCs w:val="24"/>
        </w:rPr>
        <w:t>________________</w:t>
      </w:r>
    </w:p>
    <w:p w14:paraId="4B5909B9" w14:textId="7917826F" w:rsidR="00F4662F" w:rsidRPr="009D5352" w:rsidRDefault="00300F72">
      <w:pPr>
        <w:suppressAutoHyphens/>
        <w:ind w:left="9639"/>
        <w:jc w:val="both"/>
        <w:rPr>
          <w:szCs w:val="24"/>
        </w:rPr>
      </w:pPr>
      <w:r w:rsidRPr="009D5352">
        <w:rPr>
          <w:szCs w:val="24"/>
        </w:rPr>
        <w:lastRenderedPageBreak/>
        <w:t>2</w:t>
      </w:r>
      <w:r w:rsidR="00244911" w:rsidRPr="009D5352">
        <w:rPr>
          <w:szCs w:val="24"/>
        </w:rPr>
        <w:t xml:space="preserve"> priedo „202</w:t>
      </w:r>
      <w:r w:rsidR="00CD24A0" w:rsidRPr="009D5352">
        <w:rPr>
          <w:szCs w:val="24"/>
        </w:rPr>
        <w:t>2</w:t>
      </w:r>
      <w:r w:rsidR="00244911" w:rsidRPr="009D5352">
        <w:rPr>
          <w:szCs w:val="24"/>
        </w:rPr>
        <w:t xml:space="preserve">–2030 m. plėtros programos valdytojos Lietuvos Respublikos švietimo, mokslo ir sporto ministerijos mokslo plėtros programos pažangos priemonės Nr. 12-001-01-02-01 „Stiprinti inovacijų ekosistemas mokslo centruose“ projektų finansavimo sąlygų aprašo Nr. </w:t>
      </w:r>
      <w:r w:rsidR="00967A67" w:rsidRPr="009D5352">
        <w:rPr>
          <w:szCs w:val="24"/>
        </w:rPr>
        <w:t>2</w:t>
      </w:r>
      <w:r w:rsidR="00244911" w:rsidRPr="009D5352">
        <w:rPr>
          <w:szCs w:val="24"/>
        </w:rPr>
        <w:t>“</w:t>
      </w:r>
    </w:p>
    <w:p w14:paraId="31D6CAB6" w14:textId="79208BD5" w:rsidR="00F4662F" w:rsidRPr="009D5352" w:rsidRDefault="0058783D">
      <w:pPr>
        <w:suppressAutoHyphens/>
        <w:ind w:left="9639"/>
      </w:pPr>
      <w:r w:rsidRPr="009D5352">
        <w:rPr>
          <w:szCs w:val="24"/>
        </w:rPr>
        <w:t xml:space="preserve">1 </w:t>
      </w:r>
      <w:r w:rsidR="00244911" w:rsidRPr="009D5352">
        <w:rPr>
          <w:szCs w:val="24"/>
        </w:rPr>
        <w:t>priedas</w:t>
      </w:r>
    </w:p>
    <w:p w14:paraId="182B6D0E" w14:textId="77777777" w:rsidR="00F4662F" w:rsidRPr="009D5352" w:rsidRDefault="00F4662F">
      <w:pPr>
        <w:suppressAutoHyphens/>
        <w:jc w:val="center"/>
        <w:rPr>
          <w:rFonts w:eastAsia="Calibri"/>
          <w:b/>
          <w:bCs/>
          <w:szCs w:val="24"/>
        </w:rPr>
      </w:pPr>
    </w:p>
    <w:p w14:paraId="550369C2" w14:textId="77777777" w:rsidR="00F4662F" w:rsidRPr="009D5352" w:rsidRDefault="00244911">
      <w:pPr>
        <w:suppressAutoHyphens/>
        <w:jc w:val="center"/>
        <w:rPr>
          <w:rFonts w:eastAsia="Calibri"/>
          <w:b/>
          <w:bCs/>
          <w:szCs w:val="24"/>
        </w:rPr>
      </w:pPr>
      <w:r w:rsidRPr="009D5352">
        <w:rPr>
          <w:rFonts w:eastAsia="Calibri"/>
          <w:b/>
          <w:bCs/>
          <w:szCs w:val="24"/>
        </w:rPr>
        <w:t>PROJEKTO (ĮSKAITANT JUNGTINĮ PROJEKTĄ) ATITIKTIES REIKŠMINGOS ŽALOS NEDARYMO HORIZONTALIAJAM PRINCIPUI VERTINIMO REIKALAVIMŲ APRAŠAS</w:t>
      </w:r>
    </w:p>
    <w:p w14:paraId="7EFD0FBD" w14:textId="77777777" w:rsidR="00F4662F" w:rsidRPr="009D5352" w:rsidRDefault="00F4662F">
      <w:pPr>
        <w:suppressAutoHyphens/>
        <w:jc w:val="center"/>
        <w:rPr>
          <w:rFonts w:eastAsia="Calibri"/>
          <w:b/>
          <w:bCs/>
          <w:szCs w:val="24"/>
        </w:rPr>
      </w:pPr>
    </w:p>
    <w:p w14:paraId="4D51C4D0" w14:textId="77777777" w:rsidR="00F4662F" w:rsidRPr="009D5352" w:rsidRDefault="00244911">
      <w:pPr>
        <w:suppressAutoHyphens/>
        <w:spacing w:line="276" w:lineRule="auto"/>
        <w:jc w:val="both"/>
        <w:rPr>
          <w:rFonts w:eastAsia="Calibri"/>
          <w:bCs/>
          <w:szCs w:val="24"/>
        </w:rPr>
      </w:pPr>
      <w:r w:rsidRPr="009D5352">
        <w:rPr>
          <w:rFonts w:eastAsia="Calibri"/>
          <w:bCs/>
          <w:szCs w:val="24"/>
        </w:rPr>
        <w:t xml:space="preserve">Finansavimo šaltinis, pagal kurį finansuojamas projektas: </w:t>
      </w:r>
    </w:p>
    <w:p w14:paraId="54F842D7" w14:textId="77777777" w:rsidR="00F4662F" w:rsidRPr="009D5352" w:rsidRDefault="00244911">
      <w:pPr>
        <w:suppressAutoHyphens/>
        <w:spacing w:line="276" w:lineRule="auto"/>
        <w:jc w:val="both"/>
      </w:pPr>
      <w:r w:rsidRPr="009D5352">
        <w:rPr>
          <w:rFonts w:ascii="MS Gothic" w:eastAsia="MS Gothic" w:hAnsi="MS Gothic"/>
          <w:b/>
          <w:bCs/>
          <w:sz w:val="22"/>
          <w:szCs w:val="22"/>
        </w:rPr>
        <w:t>☒</w:t>
      </w:r>
      <w:r w:rsidRPr="009D5352">
        <w:t xml:space="preserve"> </w:t>
      </w:r>
      <w:r w:rsidRPr="009D5352">
        <w:rPr>
          <w:rFonts w:eastAsia="Calibri"/>
          <w:bCs/>
          <w:szCs w:val="24"/>
        </w:rPr>
        <w:t>Ekonomikos gaivinimo ir atsparumo didinimo priemonė (toliau – EGADP);</w:t>
      </w:r>
    </w:p>
    <w:p w14:paraId="532925CB" w14:textId="77777777" w:rsidR="00F4662F" w:rsidRPr="009D5352" w:rsidRDefault="00244911">
      <w:pPr>
        <w:suppressAutoHyphens/>
        <w:spacing w:line="276" w:lineRule="auto"/>
        <w:jc w:val="both"/>
      </w:pPr>
      <w:r w:rsidRPr="009D5352">
        <w:rPr>
          <w:rFonts w:ascii="Wingdings 2" w:eastAsia="Wingdings 2" w:hAnsi="Wingdings 2" w:cs="Wingdings 2"/>
        </w:rPr>
        <w:t></w:t>
      </w:r>
      <w:r w:rsidRPr="009D5352">
        <w:t xml:space="preserve"> Europos Sąjungos fondų i</w:t>
      </w:r>
      <w:r w:rsidRPr="009D5352">
        <w:rPr>
          <w:rFonts w:eastAsia="Calibri"/>
          <w:bCs/>
          <w:szCs w:val="24"/>
        </w:rPr>
        <w:t>nvesticijų programa (toliau – ESIP).</w:t>
      </w:r>
    </w:p>
    <w:p w14:paraId="6C9BC7F7" w14:textId="77777777" w:rsidR="00F4662F" w:rsidRPr="009D5352" w:rsidRDefault="00F4662F">
      <w:pPr>
        <w:suppressAutoHyphens/>
        <w:spacing w:line="276" w:lineRule="auto"/>
        <w:jc w:val="both"/>
        <w:rPr>
          <w:rFonts w:eastAsia="Calibri"/>
          <w:bCs/>
          <w:szCs w:val="24"/>
        </w:rPr>
      </w:pPr>
    </w:p>
    <w:tbl>
      <w:tblPr>
        <w:tblW w:w="14998" w:type="dxa"/>
        <w:tblInd w:w="-289" w:type="dxa"/>
        <w:tblCellMar>
          <w:left w:w="10" w:type="dxa"/>
          <w:right w:w="10" w:type="dxa"/>
        </w:tblCellMar>
        <w:tblLook w:val="04A0" w:firstRow="1" w:lastRow="0" w:firstColumn="1" w:lastColumn="0" w:noHBand="0" w:noVBand="1"/>
      </w:tblPr>
      <w:tblGrid>
        <w:gridCol w:w="4933"/>
        <w:gridCol w:w="4678"/>
        <w:gridCol w:w="5387"/>
      </w:tblGrid>
      <w:tr w:rsidR="00F4662F" w:rsidRPr="009D5352" w14:paraId="4C86EA2A" w14:textId="77777777">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4C29" w14:textId="77777777" w:rsidR="00F4662F" w:rsidRPr="009D5352" w:rsidRDefault="00244911">
            <w:pPr>
              <w:suppressAutoHyphens/>
              <w:jc w:val="center"/>
              <w:rPr>
                <w:rFonts w:eastAsia="Calibri"/>
                <w:b/>
                <w:szCs w:val="24"/>
              </w:rPr>
            </w:pPr>
            <w:r w:rsidRPr="009D5352">
              <w:rPr>
                <w:rFonts w:eastAsia="Calibri"/>
                <w:b/>
                <w:szCs w:val="24"/>
              </w:rPr>
              <w:t>Aplinkos tikslai</w:t>
            </w:r>
          </w:p>
          <w:p w14:paraId="299D9D6F" w14:textId="04CEED18" w:rsidR="00F4662F" w:rsidRPr="009D5352" w:rsidRDefault="0011212D">
            <w:pPr>
              <w:suppressAutoHyphens/>
              <w:jc w:val="both"/>
            </w:pPr>
            <w:r w:rsidRPr="009D5352">
              <w:t>(</w:t>
            </w:r>
            <w:r w:rsidRPr="009D5352">
              <w:rPr>
                <w:i/>
              </w:rPr>
              <w:t xml:space="preserve">pagal 2020 m. birželio 18 d. Europos Parlamento ir Tarybos reglamentą </w:t>
            </w:r>
            <w:hyperlink r:id="rId19" w:tgtFrame="_blank" w:history="1">
              <w:r w:rsidRPr="009D5352">
                <w:rPr>
                  <w:rStyle w:val="Hipersaitas"/>
                  <w:i/>
                </w:rPr>
                <w:t>(ES) 2020/852</w:t>
              </w:r>
            </w:hyperlink>
            <w:r w:rsidRPr="009D5352">
              <w:rPr>
                <w:i/>
              </w:rPr>
              <w:t xml:space="preserve"> dėl sistemos tvariam investavimui palengvinti sukūrimo, kuriuo iš dalies keičiamas Reglamentas </w:t>
            </w:r>
            <w:hyperlink r:id="rId20" w:tgtFrame="_blank" w:history="1">
              <w:r w:rsidRPr="009D5352">
                <w:rPr>
                  <w:rStyle w:val="Hipersaitas"/>
                  <w:i/>
                </w:rPr>
                <w:t>(ES) Nr. 2019/2088</w:t>
              </w:r>
            </w:hyperlink>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D6B51" w14:textId="77777777" w:rsidR="00F4662F" w:rsidRPr="009D5352" w:rsidRDefault="00244911">
            <w:pPr>
              <w:suppressAutoHyphens/>
              <w:jc w:val="center"/>
              <w:rPr>
                <w:rFonts w:eastAsia="Calibri"/>
                <w:b/>
                <w:szCs w:val="24"/>
              </w:rPr>
            </w:pPr>
            <w:r w:rsidRPr="009D5352">
              <w:rPr>
                <w:rFonts w:eastAsia="Calibri"/>
                <w:b/>
                <w:szCs w:val="24"/>
              </w:rPr>
              <w:t>Pagrindimas</w:t>
            </w:r>
          </w:p>
          <w:p w14:paraId="4D9C77F4" w14:textId="77777777" w:rsidR="0011212D" w:rsidRPr="009D5352" w:rsidRDefault="0011212D" w:rsidP="0011212D">
            <w:pPr>
              <w:suppressAutoHyphens/>
              <w:jc w:val="both"/>
            </w:pPr>
            <w:r w:rsidRPr="009D5352">
              <w:rPr>
                <w:bCs/>
                <w:i/>
              </w:rPr>
              <w:t>(remiantis priemonių (kai finansavimo šaltinis EGADP) arba veiksmų (veiklų) (kai finansavimo šaltinis ESFIP) vertinimo anketomis, nurodoma tik ta vertinimo anketos dalis, kuri aktuali finansuotinai veiklai)</w:t>
            </w:r>
          </w:p>
          <w:p w14:paraId="16D36893" w14:textId="06B29D77" w:rsidR="00F4662F" w:rsidRPr="009D5352" w:rsidRDefault="0011212D" w:rsidP="0011212D">
            <w:pPr>
              <w:suppressAutoHyphens/>
              <w:jc w:val="both"/>
            </w:pPr>
            <w:r w:rsidRPr="009D5352">
              <w:rPr>
                <w:bCs/>
                <w:i/>
              </w:rPr>
              <w:t>(papildomai gali būti nurodomi nacionaliniai teisės aktai, kuriais įgyvendinami vertinimo anketose minimi Europos Sąjungos teisės aktai)</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F8F77" w14:textId="77777777" w:rsidR="00F4662F" w:rsidRPr="009D5352" w:rsidRDefault="00244911">
            <w:pPr>
              <w:suppressAutoHyphens/>
              <w:jc w:val="center"/>
            </w:pPr>
            <w:r w:rsidRPr="009D5352">
              <w:rPr>
                <w:rFonts w:eastAsia="Calibri"/>
                <w:b/>
                <w:szCs w:val="24"/>
              </w:rPr>
              <w:t>Pagrindimo dokumentai</w:t>
            </w:r>
          </w:p>
          <w:p w14:paraId="380FADAF" w14:textId="46B27D80" w:rsidR="00F4662F" w:rsidRPr="009D5352" w:rsidRDefault="0011212D">
            <w:pPr>
              <w:suppressAutoHyphens/>
              <w:jc w:val="both"/>
              <w:rPr>
                <w:rFonts w:eastAsia="Calibri"/>
                <w:i/>
                <w:sz w:val="22"/>
                <w:szCs w:val="22"/>
              </w:rPr>
            </w:pPr>
            <w:r w:rsidRPr="009D5352">
              <w:rPr>
                <w:rFonts w:eastAsia="Calibri"/>
                <w:i/>
                <w:sz w:val="22"/>
                <w:szCs w:val="22"/>
              </w:rPr>
              <w:t>(nurodomas dokumentas, kuris bus vertinamas siekiant įvertinti projekto atitiktį aplinkos tikslams, arba pateikiama šią atitiktį pagrindžianti informacija)</w:t>
            </w:r>
          </w:p>
        </w:tc>
      </w:tr>
      <w:tr w:rsidR="00F4662F" w:rsidRPr="009D5352" w14:paraId="4F039A09" w14:textId="77777777">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2340F" w14:textId="77777777" w:rsidR="00F4662F" w:rsidRPr="009D5352" w:rsidRDefault="00244911">
            <w:pPr>
              <w:tabs>
                <w:tab w:val="left" w:pos="289"/>
              </w:tabs>
              <w:suppressAutoHyphens/>
              <w:ind w:firstLine="5"/>
              <w:jc w:val="both"/>
              <w:rPr>
                <w:rFonts w:eastAsia="Calibri"/>
                <w:szCs w:val="24"/>
              </w:rPr>
            </w:pPr>
            <w:r w:rsidRPr="009D5352">
              <w:rPr>
                <w:rFonts w:eastAsia="Calibri"/>
                <w:szCs w:val="24"/>
              </w:rPr>
              <w:t>1.</w:t>
            </w:r>
            <w:r w:rsidRPr="009D5352">
              <w:rPr>
                <w:rFonts w:eastAsia="Calibri"/>
                <w:szCs w:val="24"/>
              </w:rPr>
              <w:tab/>
              <w:t>Klimato kaitos švelninimas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40562" w14:textId="5E9E8CB6" w:rsidR="00F4662F" w:rsidRPr="009D5352" w:rsidRDefault="00244911">
            <w:pPr>
              <w:suppressAutoHyphens/>
              <w:jc w:val="both"/>
              <w:rPr>
                <w:rFonts w:eastAsia="Calibri"/>
                <w:bCs/>
                <w:szCs w:val="24"/>
              </w:rPr>
            </w:pPr>
            <w:r w:rsidRPr="009D5352">
              <w:rPr>
                <w:rFonts w:eastAsia="Calibri"/>
                <w:bCs/>
                <w:szCs w:val="24"/>
              </w:rPr>
              <w:t xml:space="preserve">Remiantis vertinimo klausimyne atliktu EGADP komponento „Aukštasis mokslas, nuosekli mokslo ir inovacijų skatinimo sistema ir aukštos pridėtinės vertės verslas“ principo „Nedaroma reikšminga žala“ vertinimu, pagal Aprašą finansuojama veikla dėl savo pobūdžio neturės jokio neigiamo tiesioginio ar </w:t>
            </w:r>
            <w:r w:rsidRPr="009D5352">
              <w:rPr>
                <w:rFonts w:eastAsia="Calibri"/>
                <w:bCs/>
                <w:szCs w:val="24"/>
              </w:rPr>
              <w:lastRenderedPageBreak/>
              <w:t>netiesioginio poveikio klimato kaitos švelninimo tikslui</w:t>
            </w:r>
            <w:r w:rsidR="00F773A5" w:rsidRPr="009D5352">
              <w:rPr>
                <w:rFonts w:eastAsia="Calibri"/>
                <w:bCs/>
                <w:szCs w:val="24"/>
              </w:rPr>
              <w:t>, todėl reikalavimai dėl pagrindimo dokumentų nenustatomi.</w:t>
            </w:r>
            <w:r w:rsidRPr="009D5352">
              <w:rPr>
                <w:rFonts w:eastAsia="Calibri"/>
                <w:bCs/>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F43AA" w14:textId="7BB460AE" w:rsidR="00F4662F" w:rsidRPr="009D5352" w:rsidRDefault="006B3A37">
            <w:pPr>
              <w:tabs>
                <w:tab w:val="left" w:pos="589"/>
              </w:tabs>
              <w:suppressAutoHyphens/>
              <w:jc w:val="both"/>
              <w:rPr>
                <w:rFonts w:eastAsia="Calibri"/>
                <w:szCs w:val="24"/>
              </w:rPr>
            </w:pPr>
            <w:r w:rsidRPr="009D5352">
              <w:rPr>
                <w:rFonts w:eastAsia="Calibri"/>
                <w:szCs w:val="24"/>
              </w:rPr>
              <w:lastRenderedPageBreak/>
              <w:t>Netaikoma.</w:t>
            </w:r>
          </w:p>
        </w:tc>
      </w:tr>
      <w:tr w:rsidR="00F4662F" w:rsidRPr="009D5352" w14:paraId="5ABC380F" w14:textId="77777777">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93DD5" w14:textId="77777777" w:rsidR="00F4662F" w:rsidRPr="009D5352" w:rsidRDefault="00244911">
            <w:pPr>
              <w:tabs>
                <w:tab w:val="left" w:pos="289"/>
              </w:tabs>
              <w:suppressAutoHyphens/>
              <w:ind w:firstLine="5"/>
              <w:jc w:val="both"/>
              <w:rPr>
                <w:rFonts w:eastAsia="Calibri"/>
                <w:szCs w:val="24"/>
              </w:rPr>
            </w:pPr>
            <w:r w:rsidRPr="009D5352">
              <w:rPr>
                <w:rFonts w:eastAsia="Calibri"/>
                <w:szCs w:val="24"/>
              </w:rPr>
              <w:t>2.</w:t>
            </w:r>
            <w:r w:rsidRPr="009D5352">
              <w:rPr>
                <w:rFonts w:eastAsia="Calibri"/>
                <w:szCs w:val="24"/>
              </w:rPr>
              <w:tab/>
              <w:t>Prisitaikymas prie klimato kaitos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60A2B" w14:textId="4347331A" w:rsidR="00F4662F" w:rsidRPr="009D5352" w:rsidRDefault="00244911">
            <w:pPr>
              <w:suppressAutoHyphens/>
              <w:jc w:val="both"/>
            </w:pPr>
            <w:r w:rsidRPr="009D5352">
              <w:rPr>
                <w:rFonts w:eastAsia="Calibri"/>
                <w:bCs/>
                <w:szCs w:val="24"/>
              </w:rPr>
              <w:t>Remiantis vertinimo klausimyne atliktu EGADP komponento „Aukštasis mokslas, nuosekli mokslo ir inovacijų skatinimo sistema ir aukštos pridėtinės vertės verslas“ principo „Nedaroma reikšminga žala“ vertinimu, pagal Aprašą finansuojama veikla dėl savo pobūdžio neturės jokio neigiamo tiesioginio ar netiesioginio poveikio</w:t>
            </w:r>
            <w:r w:rsidRPr="009D5352">
              <w:t xml:space="preserve"> </w:t>
            </w:r>
            <w:r w:rsidRPr="009D5352">
              <w:rPr>
                <w:rFonts w:eastAsia="Calibri"/>
                <w:bCs/>
                <w:szCs w:val="24"/>
              </w:rPr>
              <w:t>prisitaikymo prie klimato kaitos tikslui</w:t>
            </w:r>
            <w:r w:rsidR="00AF1B77" w:rsidRPr="009D5352">
              <w:rPr>
                <w:rFonts w:eastAsia="Calibri"/>
                <w:bCs/>
                <w:szCs w:val="24"/>
              </w:rPr>
              <w:t>, todėl reikalavimai dėl pagrindimo dokumentų nenustatomi.</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0DBC7" w14:textId="3FB45D59" w:rsidR="00F4662F" w:rsidRPr="009D5352" w:rsidRDefault="00AF1B77">
            <w:pPr>
              <w:suppressAutoHyphens/>
              <w:jc w:val="both"/>
              <w:rPr>
                <w:rFonts w:eastAsia="Calibri"/>
                <w:szCs w:val="24"/>
              </w:rPr>
            </w:pPr>
            <w:r w:rsidRPr="009D5352">
              <w:rPr>
                <w:rFonts w:eastAsia="Calibri"/>
                <w:szCs w:val="24"/>
              </w:rPr>
              <w:t>Netaikoma</w:t>
            </w:r>
            <w:r w:rsidR="00244911" w:rsidRPr="009D5352">
              <w:rPr>
                <w:rFonts w:eastAsia="Calibri"/>
                <w:szCs w:val="24"/>
              </w:rPr>
              <w:t>.</w:t>
            </w:r>
          </w:p>
        </w:tc>
      </w:tr>
      <w:tr w:rsidR="00F4662F" w:rsidRPr="009D5352" w14:paraId="0548DC55" w14:textId="77777777">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F7E54" w14:textId="77777777" w:rsidR="00F4662F" w:rsidRPr="009D5352" w:rsidRDefault="00244911">
            <w:pPr>
              <w:tabs>
                <w:tab w:val="left" w:pos="289"/>
              </w:tabs>
              <w:suppressAutoHyphens/>
              <w:ind w:firstLine="5"/>
              <w:jc w:val="both"/>
              <w:rPr>
                <w:rFonts w:eastAsia="Calibri"/>
                <w:szCs w:val="24"/>
              </w:rPr>
            </w:pPr>
            <w:r w:rsidRPr="009D5352">
              <w:rPr>
                <w:rFonts w:eastAsia="Calibri"/>
                <w:szCs w:val="24"/>
              </w:rPr>
              <w:t>3.</w:t>
            </w:r>
            <w:r w:rsidRPr="009D5352">
              <w:rPr>
                <w:rFonts w:eastAsia="Calibri"/>
                <w:szCs w:val="24"/>
              </w:rPr>
              <w:tab/>
              <w:t>Tausus vandens ir jūrų išteklių naudojimas ir apsauga</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E1F0E" w14:textId="1A161EA2" w:rsidR="00F4662F" w:rsidRPr="009D5352" w:rsidRDefault="00244911">
            <w:pPr>
              <w:suppressAutoHyphens/>
              <w:jc w:val="both"/>
              <w:rPr>
                <w:rFonts w:eastAsia="Calibri"/>
                <w:szCs w:val="24"/>
              </w:rPr>
            </w:pPr>
            <w:r w:rsidRPr="009D5352">
              <w:rPr>
                <w:rFonts w:eastAsia="Calibri"/>
                <w:szCs w:val="24"/>
              </w:rPr>
              <w:t>Remiantis vertinimo klausimyne atliktu EGADP komponento „Aukštasis mokslas, nuosekli mokslo ir inovacijų skatinimo sistema ir aukštos pridėtinės vertės verslas“ principo „Nedaroma reikšminga žala“ vertinimu, pagal Aprašą finansuojama veikla dėl savo pobūdžio neturės jokio neigiamo tiesioginio ar netiesioginio poveikio tausaus vandens ir jūrų išteklių naudojimo ir apsaugos tikslui</w:t>
            </w:r>
            <w:r w:rsidR="000F3169" w:rsidRPr="009D5352">
              <w:rPr>
                <w:rFonts w:eastAsia="Calibri"/>
                <w:szCs w:val="24"/>
              </w:rPr>
              <w:t>, todėl reikalavimai dėl pagrindimo dokumentų nenustatomi.</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A1AF3" w14:textId="5DBF489E" w:rsidR="00F4662F" w:rsidRPr="009D5352" w:rsidRDefault="000F3169">
            <w:pPr>
              <w:suppressAutoHyphens/>
              <w:jc w:val="both"/>
              <w:rPr>
                <w:rFonts w:eastAsia="Calibri"/>
                <w:bCs/>
                <w:szCs w:val="24"/>
              </w:rPr>
            </w:pPr>
            <w:r w:rsidRPr="009D5352">
              <w:rPr>
                <w:rFonts w:eastAsia="Calibri"/>
                <w:bCs/>
                <w:szCs w:val="24"/>
              </w:rPr>
              <w:t>Netaikoma</w:t>
            </w:r>
            <w:r w:rsidR="00244911" w:rsidRPr="009D5352">
              <w:rPr>
                <w:rFonts w:eastAsia="Calibri"/>
                <w:bCs/>
                <w:szCs w:val="24"/>
              </w:rPr>
              <w:t>.</w:t>
            </w:r>
          </w:p>
        </w:tc>
      </w:tr>
      <w:tr w:rsidR="00F4662F" w:rsidRPr="009D5352" w14:paraId="0C706D96" w14:textId="77777777">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96CB0" w14:textId="77777777" w:rsidR="00F4662F" w:rsidRPr="009D5352" w:rsidRDefault="00244911">
            <w:pPr>
              <w:tabs>
                <w:tab w:val="left" w:pos="289"/>
              </w:tabs>
              <w:suppressAutoHyphens/>
              <w:ind w:firstLine="5"/>
              <w:jc w:val="both"/>
              <w:rPr>
                <w:rFonts w:eastAsia="Calibri"/>
                <w:szCs w:val="24"/>
              </w:rPr>
            </w:pPr>
            <w:r w:rsidRPr="009D5352">
              <w:rPr>
                <w:rFonts w:eastAsia="Calibri"/>
                <w:szCs w:val="24"/>
              </w:rPr>
              <w:t>4.</w:t>
            </w:r>
            <w:r w:rsidRPr="009D5352">
              <w:rPr>
                <w:rFonts w:eastAsia="Calibri"/>
                <w:szCs w:val="24"/>
              </w:rPr>
              <w:tab/>
              <w:t>Perėjimas prie žiedinės ekonomikos, įskaitant atliekų prevenciją ir perdirbimą</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8489" w14:textId="0929851B" w:rsidR="00F4662F" w:rsidRPr="009D5352" w:rsidRDefault="00244911">
            <w:pPr>
              <w:suppressAutoHyphens/>
              <w:jc w:val="both"/>
            </w:pPr>
            <w:r w:rsidRPr="009D5352">
              <w:rPr>
                <w:rFonts w:eastAsia="Calibri"/>
                <w:bCs/>
                <w:szCs w:val="24"/>
              </w:rPr>
              <w:t>Remiantis vertinimo klausimyne atliktu EGADP komponento „Aukštasis mokslas, nuosekli mokslo ir inovacijų skatinimo sistema ir aukštos pridėtinės vertės verslas“ principo „Nedaroma reikšminga žala“ vertinimu, pagal Aprašą finansuojama veikla dėl savo pobūdžio neturės jokio neigiamo tiesioginio ar netiesioginio poveikio</w:t>
            </w:r>
            <w:r w:rsidRPr="009D5352">
              <w:t xml:space="preserve"> </w:t>
            </w:r>
            <w:r w:rsidRPr="009D5352">
              <w:rPr>
                <w:rFonts w:eastAsia="Calibri"/>
                <w:bCs/>
                <w:szCs w:val="24"/>
              </w:rPr>
              <w:t xml:space="preserve">perėjimo prie žiedinės </w:t>
            </w:r>
            <w:r w:rsidRPr="009D5352">
              <w:rPr>
                <w:rFonts w:eastAsia="Calibri"/>
                <w:bCs/>
                <w:szCs w:val="24"/>
              </w:rPr>
              <w:lastRenderedPageBreak/>
              <w:t>ekonomikos, įskaitant atliekų prevenciją ir perdirbimą, tikslui</w:t>
            </w:r>
            <w:r w:rsidR="008119CC" w:rsidRPr="009D5352">
              <w:rPr>
                <w:rFonts w:eastAsia="Calibri"/>
                <w:bCs/>
                <w:szCs w:val="24"/>
              </w:rPr>
              <w:t>, todėl reikalavimai dėl pagrindimo dokumentų nenustatomi.</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86B7D" w14:textId="72EEF07F" w:rsidR="00F4662F" w:rsidRPr="009D5352" w:rsidRDefault="00CD4CDF">
            <w:pPr>
              <w:suppressAutoHyphens/>
              <w:jc w:val="both"/>
              <w:rPr>
                <w:rFonts w:eastAsia="Calibri"/>
                <w:szCs w:val="24"/>
              </w:rPr>
            </w:pPr>
            <w:r w:rsidRPr="009D5352">
              <w:rPr>
                <w:rFonts w:eastAsia="Calibri"/>
                <w:szCs w:val="24"/>
              </w:rPr>
              <w:lastRenderedPageBreak/>
              <w:t>Netaikoma</w:t>
            </w:r>
            <w:r w:rsidR="00244911" w:rsidRPr="009D5352">
              <w:rPr>
                <w:rFonts w:eastAsia="Calibri"/>
                <w:szCs w:val="24"/>
              </w:rPr>
              <w:t>.</w:t>
            </w:r>
          </w:p>
        </w:tc>
      </w:tr>
      <w:tr w:rsidR="00F4662F" w:rsidRPr="009D5352" w14:paraId="60FE171B" w14:textId="77777777">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8B86E" w14:textId="77777777" w:rsidR="00F4662F" w:rsidRPr="009D5352" w:rsidRDefault="00244911">
            <w:pPr>
              <w:tabs>
                <w:tab w:val="left" w:pos="289"/>
              </w:tabs>
              <w:suppressAutoHyphens/>
              <w:ind w:firstLine="5"/>
              <w:jc w:val="both"/>
            </w:pPr>
            <w:r w:rsidRPr="009D5352">
              <w:rPr>
                <w:rFonts w:eastAsia="Calibri"/>
                <w:szCs w:val="24"/>
              </w:rPr>
              <w:t>5.</w:t>
            </w:r>
            <w:r w:rsidRPr="009D5352">
              <w:rPr>
                <w:rFonts w:eastAsia="Calibri"/>
                <w:szCs w:val="24"/>
              </w:rPr>
              <w:tab/>
            </w:r>
            <w:r w:rsidRPr="009D5352">
              <w:rPr>
                <w:rFonts w:eastAsia="Calibri"/>
                <w:bCs/>
                <w:szCs w:val="24"/>
              </w:rPr>
              <w:t>Oro, vandens ar žemės taršos prevencija ir kontrolė</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842DB" w14:textId="3A745FA4" w:rsidR="00F4662F" w:rsidRPr="009D5352" w:rsidRDefault="00244911">
            <w:pPr>
              <w:suppressAutoHyphens/>
              <w:jc w:val="both"/>
              <w:rPr>
                <w:rFonts w:eastAsia="Calibri"/>
                <w:szCs w:val="24"/>
              </w:rPr>
            </w:pPr>
            <w:r w:rsidRPr="009D5352">
              <w:rPr>
                <w:rFonts w:eastAsia="Calibri"/>
                <w:szCs w:val="24"/>
              </w:rPr>
              <w:t>Remiantis vertinimo klausimyne atliktu EGADP komponento „Aukštasis mokslas, nuosekli mokslo ir inovacijų skatinimo sistema ir aukštos pridėtinės vertės verslas“ principo „Nedaroma reikšminga žala“ vertinimu, pagal Aprašą finansuojama veikla dėl savo pobūdžio neturės jokio neigiamo tiesioginio ar netiesioginio poveikio oro, vandens ar žemės taršos prevencijos ir kontrolės tikslui</w:t>
            </w:r>
            <w:r w:rsidR="004968C0" w:rsidRPr="009D5352">
              <w:rPr>
                <w:rFonts w:eastAsia="Calibri"/>
                <w:szCs w:val="24"/>
              </w:rPr>
              <w:t>, todėl reikalavimai dėl pagrindimo dokumentų nenustatomi.</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99ECE" w14:textId="6C5D0781" w:rsidR="00F4662F" w:rsidRPr="009D5352" w:rsidRDefault="004968C0">
            <w:pPr>
              <w:suppressAutoHyphens/>
              <w:jc w:val="both"/>
              <w:rPr>
                <w:rFonts w:eastAsia="Calibri"/>
                <w:szCs w:val="24"/>
              </w:rPr>
            </w:pPr>
            <w:r w:rsidRPr="009D5352">
              <w:rPr>
                <w:rFonts w:eastAsia="Calibri"/>
                <w:szCs w:val="24"/>
              </w:rPr>
              <w:t>Netaikoma</w:t>
            </w:r>
            <w:r w:rsidR="00244911" w:rsidRPr="009D5352">
              <w:rPr>
                <w:rFonts w:eastAsia="Calibri"/>
                <w:szCs w:val="24"/>
              </w:rPr>
              <w:t>.</w:t>
            </w:r>
          </w:p>
        </w:tc>
      </w:tr>
      <w:tr w:rsidR="00F4662F" w:rsidRPr="009D5352" w14:paraId="54CDFCAB" w14:textId="77777777">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95196" w14:textId="77777777" w:rsidR="00F4662F" w:rsidRPr="009D5352" w:rsidRDefault="00244911">
            <w:pPr>
              <w:tabs>
                <w:tab w:val="left" w:pos="289"/>
              </w:tabs>
              <w:suppressAutoHyphens/>
              <w:ind w:left="5" w:firstLine="5"/>
              <w:jc w:val="both"/>
              <w:rPr>
                <w:rFonts w:eastAsia="Calibri"/>
                <w:szCs w:val="24"/>
              </w:rPr>
            </w:pPr>
            <w:r w:rsidRPr="009D5352">
              <w:rPr>
                <w:rFonts w:eastAsia="Calibri"/>
                <w:szCs w:val="24"/>
              </w:rPr>
              <w:t>6.</w:t>
            </w:r>
            <w:r w:rsidRPr="009D5352">
              <w:rPr>
                <w:rFonts w:eastAsia="Calibri"/>
                <w:szCs w:val="24"/>
              </w:rPr>
              <w:tab/>
              <w:t>Biologinės įvairovės ir ekosistemų apsauga ir atkūrimas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B94BF" w14:textId="15F3E765" w:rsidR="00F4662F" w:rsidRPr="009D5352" w:rsidRDefault="00244911">
            <w:pPr>
              <w:suppressAutoHyphens/>
              <w:jc w:val="both"/>
              <w:rPr>
                <w:rFonts w:eastAsia="Calibri"/>
                <w:szCs w:val="24"/>
              </w:rPr>
            </w:pPr>
            <w:r w:rsidRPr="009D5352">
              <w:rPr>
                <w:rFonts w:eastAsia="Calibri"/>
                <w:szCs w:val="24"/>
              </w:rPr>
              <w:t>Remiantis vertinimo klausimyne atliktu EGADP komponento „Aukštasis mokslas, nuosekli mokslo ir inovacijų skatinimo sistema ir aukštos pridėtinės vertės verslas“ principo „Nedaroma reikšminga žala“ vertinimu, pagal Aprašą finansuojama veikla dėl savo pobūdžio neturės jokio neigiamo tiesioginio ar netiesioginio poveikio biologinės įvairovės ir ekosistemų apsaug</w:t>
            </w:r>
            <w:r w:rsidR="00BD1AE1" w:rsidRPr="009D5352">
              <w:rPr>
                <w:rFonts w:eastAsia="Calibri"/>
                <w:szCs w:val="24"/>
              </w:rPr>
              <w:t>os</w:t>
            </w:r>
            <w:r w:rsidRPr="009D5352">
              <w:rPr>
                <w:rFonts w:eastAsia="Calibri"/>
                <w:szCs w:val="24"/>
              </w:rPr>
              <w:t xml:space="preserve"> ir atkūrimo tikslui</w:t>
            </w:r>
            <w:r w:rsidR="00AF4F20" w:rsidRPr="009D5352">
              <w:rPr>
                <w:rFonts w:eastAsia="Calibri"/>
                <w:szCs w:val="24"/>
              </w:rPr>
              <w:t>, todėl reikalavimai dėl pagrindimo dokumentų nenustatomi.</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65880" w14:textId="3F5C1B20" w:rsidR="00F4662F" w:rsidRPr="009D5352" w:rsidRDefault="00AF4F20">
            <w:pPr>
              <w:suppressAutoHyphens/>
              <w:jc w:val="both"/>
              <w:rPr>
                <w:rFonts w:eastAsia="Calibri"/>
                <w:szCs w:val="24"/>
              </w:rPr>
            </w:pPr>
            <w:r w:rsidRPr="009D5352">
              <w:rPr>
                <w:rFonts w:eastAsia="Calibri"/>
                <w:szCs w:val="24"/>
              </w:rPr>
              <w:t>Netaikoma</w:t>
            </w:r>
            <w:r w:rsidR="00244911" w:rsidRPr="009D5352">
              <w:rPr>
                <w:rFonts w:eastAsia="Calibri"/>
                <w:szCs w:val="24"/>
              </w:rPr>
              <w:t>.</w:t>
            </w:r>
          </w:p>
        </w:tc>
      </w:tr>
    </w:tbl>
    <w:p w14:paraId="7D63019C" w14:textId="77777777" w:rsidR="00F4662F" w:rsidRPr="009D5352" w:rsidRDefault="00F4662F">
      <w:pPr>
        <w:suppressAutoHyphens/>
        <w:rPr>
          <w:sz w:val="18"/>
          <w:szCs w:val="18"/>
        </w:rPr>
      </w:pPr>
    </w:p>
    <w:p w14:paraId="5A41C78A" w14:textId="77777777" w:rsidR="00F4662F" w:rsidRPr="009D5352" w:rsidRDefault="00244911">
      <w:pPr>
        <w:suppressAutoHyphens/>
        <w:spacing w:line="276" w:lineRule="auto"/>
        <w:jc w:val="center"/>
      </w:pPr>
      <w:r w:rsidRPr="009D5352">
        <w:rPr>
          <w:rFonts w:ascii="Calibri" w:eastAsia="Calibri" w:hAnsi="Calibri"/>
          <w:sz w:val="22"/>
          <w:szCs w:val="22"/>
        </w:rPr>
        <w:t>________________</w:t>
      </w:r>
    </w:p>
    <w:p w14:paraId="2890DB5E" w14:textId="77777777" w:rsidR="00F4662F" w:rsidRPr="009D5352" w:rsidRDefault="00F4662F">
      <w:pPr>
        <w:suppressAutoHyphens/>
        <w:spacing w:line="276" w:lineRule="auto"/>
        <w:jc w:val="center"/>
        <w:rPr>
          <w:szCs w:val="24"/>
        </w:rPr>
      </w:pPr>
    </w:p>
    <w:p w14:paraId="1C4F74D7" w14:textId="77777777" w:rsidR="000D3A87" w:rsidRPr="009D5352" w:rsidRDefault="000D3A87">
      <w:pPr>
        <w:suppressAutoHyphens/>
        <w:spacing w:line="276" w:lineRule="auto"/>
        <w:jc w:val="center"/>
        <w:rPr>
          <w:szCs w:val="24"/>
        </w:rPr>
      </w:pPr>
    </w:p>
    <w:p w14:paraId="69C4B179" w14:textId="77777777" w:rsidR="000D3A87" w:rsidRPr="009D5352" w:rsidRDefault="000D3A87">
      <w:pPr>
        <w:suppressAutoHyphens/>
        <w:spacing w:line="276" w:lineRule="auto"/>
        <w:jc w:val="center"/>
        <w:rPr>
          <w:szCs w:val="24"/>
        </w:rPr>
      </w:pPr>
    </w:p>
    <w:p w14:paraId="4C958B9A" w14:textId="77777777" w:rsidR="00E8426B" w:rsidRPr="009D5352" w:rsidRDefault="00E8426B" w:rsidP="00E82E4F">
      <w:pPr>
        <w:ind w:left="10206"/>
        <w:jc w:val="both"/>
        <w:textAlignment w:val="baseline"/>
        <w:rPr>
          <w:color w:val="000000"/>
          <w:sz w:val="22"/>
          <w:szCs w:val="22"/>
          <w:lang w:eastAsia="lt-LT"/>
        </w:rPr>
        <w:sectPr w:rsidR="00E8426B" w:rsidRPr="009D5352">
          <w:headerReference w:type="default" r:id="rId21"/>
          <w:footerReference w:type="default" r:id="rId22"/>
          <w:headerReference w:type="first" r:id="rId23"/>
          <w:footerReference w:type="first" r:id="rId24"/>
          <w:pgSz w:w="16838" w:h="11906" w:orient="landscape"/>
          <w:pgMar w:top="1701" w:right="567" w:bottom="1134" w:left="1134" w:header="567" w:footer="567" w:gutter="0"/>
          <w:pgNumType w:start="1"/>
          <w:cols w:space="1296"/>
          <w:titlePg/>
        </w:sectPr>
      </w:pPr>
    </w:p>
    <w:p w14:paraId="402B19FF" w14:textId="4F12F8AD" w:rsidR="004A0361" w:rsidRPr="009D5352" w:rsidRDefault="00610BC8" w:rsidP="00E82E4F">
      <w:pPr>
        <w:ind w:left="10206"/>
        <w:jc w:val="both"/>
        <w:textAlignment w:val="baseline"/>
        <w:rPr>
          <w:color w:val="000000"/>
          <w:sz w:val="22"/>
          <w:szCs w:val="22"/>
          <w:lang w:eastAsia="lt-LT"/>
        </w:rPr>
      </w:pPr>
      <w:r w:rsidRPr="009D5352">
        <w:rPr>
          <w:color w:val="000000"/>
          <w:sz w:val="22"/>
          <w:szCs w:val="22"/>
          <w:lang w:eastAsia="lt-LT"/>
        </w:rPr>
        <w:lastRenderedPageBreak/>
        <w:t>2</w:t>
      </w:r>
      <w:r w:rsidR="004A0361" w:rsidRPr="009D5352">
        <w:rPr>
          <w:color w:val="000000"/>
          <w:sz w:val="22"/>
          <w:szCs w:val="22"/>
          <w:lang w:eastAsia="lt-LT"/>
        </w:rPr>
        <w:t xml:space="preserve"> priedo „2022–2030 m. plėtros programos valdytojos Lietuvos</w:t>
      </w:r>
      <w:r w:rsidR="003009B3" w:rsidRPr="009D5352">
        <w:rPr>
          <w:color w:val="000000"/>
          <w:sz w:val="22"/>
          <w:szCs w:val="22"/>
          <w:lang w:eastAsia="lt-LT"/>
        </w:rPr>
        <w:t xml:space="preserve"> </w:t>
      </w:r>
      <w:r w:rsidR="004A0361" w:rsidRPr="009D5352">
        <w:rPr>
          <w:color w:val="000000"/>
          <w:sz w:val="22"/>
          <w:szCs w:val="22"/>
          <w:lang w:eastAsia="lt-LT"/>
        </w:rPr>
        <w:t>Respublikos švietimo, mokslo ir sporto ministerijos mokslo plėtros</w:t>
      </w:r>
      <w:r w:rsidR="003009B3" w:rsidRPr="009D5352">
        <w:rPr>
          <w:color w:val="000000"/>
          <w:sz w:val="22"/>
          <w:szCs w:val="22"/>
          <w:lang w:eastAsia="lt-LT"/>
        </w:rPr>
        <w:t xml:space="preserve"> </w:t>
      </w:r>
      <w:r w:rsidR="004A0361" w:rsidRPr="009D5352">
        <w:rPr>
          <w:color w:val="000000"/>
          <w:sz w:val="22"/>
          <w:szCs w:val="22"/>
          <w:lang w:eastAsia="lt-LT"/>
        </w:rPr>
        <w:t>programos pažangos priemonės Nr. 12-001-01-02-01 „Stiprinti</w:t>
      </w:r>
      <w:r w:rsidR="003009B3" w:rsidRPr="009D5352">
        <w:rPr>
          <w:color w:val="000000"/>
          <w:sz w:val="22"/>
          <w:szCs w:val="22"/>
          <w:lang w:eastAsia="lt-LT"/>
        </w:rPr>
        <w:t xml:space="preserve"> </w:t>
      </w:r>
      <w:r w:rsidR="004A0361" w:rsidRPr="009D5352">
        <w:rPr>
          <w:color w:val="000000"/>
          <w:sz w:val="22"/>
          <w:szCs w:val="22"/>
          <w:lang w:eastAsia="lt-LT"/>
        </w:rPr>
        <w:t>inovacijų ekosistemas mokslo centruose“ projektų finansavimo</w:t>
      </w:r>
      <w:r w:rsidR="00E82E4F" w:rsidRPr="009D5352">
        <w:rPr>
          <w:color w:val="000000"/>
          <w:sz w:val="22"/>
          <w:szCs w:val="22"/>
          <w:lang w:eastAsia="lt-LT"/>
        </w:rPr>
        <w:t xml:space="preserve"> </w:t>
      </w:r>
      <w:r w:rsidR="004A0361" w:rsidRPr="009D5352">
        <w:rPr>
          <w:color w:val="000000"/>
          <w:sz w:val="22"/>
          <w:szCs w:val="22"/>
          <w:lang w:eastAsia="lt-LT"/>
        </w:rPr>
        <w:t xml:space="preserve">sąlygų aprašo Nr. </w:t>
      </w:r>
      <w:r w:rsidRPr="009D5352">
        <w:rPr>
          <w:color w:val="000000"/>
          <w:sz w:val="22"/>
          <w:szCs w:val="22"/>
          <w:lang w:eastAsia="lt-LT"/>
        </w:rPr>
        <w:t>2</w:t>
      </w:r>
      <w:r w:rsidR="004A0361" w:rsidRPr="009D5352">
        <w:rPr>
          <w:color w:val="000000"/>
          <w:sz w:val="22"/>
          <w:szCs w:val="22"/>
          <w:lang w:eastAsia="lt-LT"/>
        </w:rPr>
        <w:t>“</w:t>
      </w:r>
    </w:p>
    <w:p w14:paraId="50911AAF" w14:textId="77777777" w:rsidR="004A0361" w:rsidRPr="009D5352" w:rsidRDefault="004A0361" w:rsidP="00E82E4F">
      <w:pPr>
        <w:ind w:left="10206"/>
        <w:jc w:val="both"/>
        <w:textAlignment w:val="baseline"/>
        <w:rPr>
          <w:rFonts w:ascii="Segoe UI" w:hAnsi="Segoe UI" w:cs="Segoe UI"/>
          <w:sz w:val="18"/>
          <w:szCs w:val="18"/>
          <w:lang w:eastAsia="lt-LT"/>
        </w:rPr>
      </w:pPr>
      <w:r w:rsidRPr="009D5352">
        <w:rPr>
          <w:color w:val="000000"/>
          <w:sz w:val="22"/>
          <w:szCs w:val="22"/>
          <w:lang w:eastAsia="lt-LT"/>
        </w:rPr>
        <w:t>2 priedas</w:t>
      </w:r>
    </w:p>
    <w:p w14:paraId="69B99D9D" w14:textId="77777777" w:rsidR="004A0361" w:rsidRPr="009D5352" w:rsidRDefault="004A0361" w:rsidP="00610BC8">
      <w:pPr>
        <w:spacing w:line="276" w:lineRule="auto"/>
        <w:jc w:val="right"/>
        <w:rPr>
          <w:rFonts w:eastAsia="Calibri"/>
          <w:szCs w:val="24"/>
        </w:rPr>
      </w:pPr>
    </w:p>
    <w:p w14:paraId="7E51F66B" w14:textId="61A49CFF" w:rsidR="00171329" w:rsidRPr="009D5352" w:rsidRDefault="00171329" w:rsidP="00E82E4F">
      <w:pPr>
        <w:spacing w:line="276" w:lineRule="auto"/>
        <w:jc w:val="center"/>
        <w:rPr>
          <w:rFonts w:eastAsia="Calibri"/>
          <w:szCs w:val="24"/>
        </w:rPr>
      </w:pPr>
      <w:r w:rsidRPr="009D5352">
        <w:rPr>
          <w:rFonts w:eastAsia="Calibri"/>
          <w:bCs/>
          <w:szCs w:val="24"/>
        </w:rPr>
        <w:t xml:space="preserve">(Patikros lapo dėl valstybės pagalbos ir </w:t>
      </w:r>
      <w:r w:rsidRPr="009D5352">
        <w:rPr>
          <w:rFonts w:eastAsia="Calibri"/>
          <w:bCs/>
          <w:i/>
          <w:szCs w:val="24"/>
        </w:rPr>
        <w:t xml:space="preserve">de </w:t>
      </w:r>
      <w:proofErr w:type="spellStart"/>
      <w:r w:rsidRPr="009D5352">
        <w:rPr>
          <w:rFonts w:eastAsia="Calibri"/>
          <w:bCs/>
          <w:i/>
          <w:szCs w:val="24"/>
        </w:rPr>
        <w:t>minimis</w:t>
      </w:r>
      <w:proofErr w:type="spellEnd"/>
      <w:r w:rsidRPr="009D5352">
        <w:rPr>
          <w:rFonts w:eastAsia="Calibri"/>
          <w:bCs/>
          <w:szCs w:val="24"/>
        </w:rPr>
        <w:t xml:space="preserve"> pagalbos buvimo ar nebuvimo forma)</w:t>
      </w:r>
    </w:p>
    <w:p w14:paraId="10E07B69" w14:textId="77777777" w:rsidR="004A0361" w:rsidRPr="009D5352" w:rsidRDefault="004A0361" w:rsidP="004A0361">
      <w:pPr>
        <w:rPr>
          <w:sz w:val="18"/>
          <w:szCs w:val="18"/>
        </w:rPr>
      </w:pPr>
    </w:p>
    <w:p w14:paraId="0EEB29CA" w14:textId="77777777" w:rsidR="004A0361" w:rsidRPr="009D5352" w:rsidRDefault="004A0361" w:rsidP="004A0361">
      <w:pPr>
        <w:spacing w:line="276" w:lineRule="auto"/>
        <w:jc w:val="center"/>
        <w:rPr>
          <w:rFonts w:eastAsia="Calibri"/>
          <w:b/>
          <w:szCs w:val="24"/>
        </w:rPr>
      </w:pPr>
      <w:r w:rsidRPr="009D5352">
        <w:rPr>
          <w:rFonts w:eastAsia="Calibri"/>
          <w:b/>
          <w:szCs w:val="24"/>
        </w:rPr>
        <w:t xml:space="preserve">PATIKROS LAPAS DĖL VALSTYBĖS PAGALBOS IR </w:t>
      </w:r>
      <w:r w:rsidRPr="009D5352">
        <w:rPr>
          <w:rFonts w:eastAsia="Calibri"/>
          <w:b/>
          <w:i/>
          <w:szCs w:val="24"/>
        </w:rPr>
        <w:t>DE MINIMIS</w:t>
      </w:r>
      <w:r w:rsidRPr="009D5352">
        <w:rPr>
          <w:rFonts w:eastAsia="Calibri"/>
          <w:b/>
          <w:szCs w:val="24"/>
        </w:rPr>
        <w:t xml:space="preserve"> PAGALBOS BUVIMO AR NEBUVIMO</w:t>
      </w:r>
    </w:p>
    <w:p w14:paraId="6EAED829" w14:textId="77777777" w:rsidR="004A0361" w:rsidRPr="009D5352" w:rsidRDefault="004A0361" w:rsidP="004A0361">
      <w:pPr>
        <w:rPr>
          <w:sz w:val="18"/>
          <w:szCs w:val="18"/>
        </w:rPr>
      </w:pPr>
    </w:p>
    <w:p w14:paraId="44A79C6C" w14:textId="77777777" w:rsidR="004A0361" w:rsidRPr="009D5352" w:rsidRDefault="004A0361" w:rsidP="004A0361">
      <w:pPr>
        <w:jc w:val="center"/>
        <w:rPr>
          <w:rFonts w:eastAsia="Calibri"/>
          <w:szCs w:val="24"/>
        </w:rPr>
      </w:pPr>
      <w:r w:rsidRPr="009D5352">
        <w:rPr>
          <w:rFonts w:eastAsia="Calibri"/>
          <w:szCs w:val="24"/>
        </w:rPr>
        <w:t>____________________</w:t>
      </w:r>
    </w:p>
    <w:p w14:paraId="6D28BB11" w14:textId="77777777" w:rsidR="004A0361" w:rsidRPr="009D5352" w:rsidRDefault="004A0361" w:rsidP="004A0361">
      <w:pPr>
        <w:jc w:val="center"/>
        <w:rPr>
          <w:rFonts w:eastAsia="Calibri"/>
          <w:sz w:val="20"/>
        </w:rPr>
      </w:pPr>
      <w:r w:rsidRPr="009D5352">
        <w:rPr>
          <w:rFonts w:eastAsia="Calibri"/>
          <w:sz w:val="20"/>
        </w:rPr>
        <w:t>(Data)</w:t>
      </w:r>
    </w:p>
    <w:p w14:paraId="4E9D613A" w14:textId="77777777" w:rsidR="004A0361" w:rsidRPr="009D5352" w:rsidRDefault="004A0361" w:rsidP="004A0361">
      <w:pPr>
        <w:jc w:val="right"/>
        <w:rPr>
          <w:rFonts w:eastAsia="Calibr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4824"/>
      </w:tblGrid>
      <w:tr w:rsidR="004A0361" w:rsidRPr="009D5352" w14:paraId="021AE984" w14:textId="77777777">
        <w:tc>
          <w:tcPr>
            <w:tcW w:w="5094" w:type="dxa"/>
            <w:tcBorders>
              <w:top w:val="single" w:sz="4" w:space="0" w:color="auto"/>
              <w:left w:val="single" w:sz="4" w:space="0" w:color="auto"/>
              <w:bottom w:val="single" w:sz="4" w:space="0" w:color="auto"/>
              <w:right w:val="single" w:sz="4" w:space="0" w:color="auto"/>
            </w:tcBorders>
            <w:hideMark/>
          </w:tcPr>
          <w:p w14:paraId="06A7D733" w14:textId="77777777" w:rsidR="004A0361" w:rsidRPr="009D5352" w:rsidRDefault="004A0361">
            <w:pPr>
              <w:rPr>
                <w:rFonts w:eastAsia="Calibri"/>
                <w:b/>
                <w:sz w:val="22"/>
                <w:szCs w:val="22"/>
              </w:rPr>
            </w:pPr>
            <w:r w:rsidRPr="009D5352">
              <w:rPr>
                <w:rFonts w:eastAsia="Calibri"/>
                <w:b/>
                <w:sz w:val="22"/>
                <w:szCs w:val="22"/>
              </w:rPr>
              <w:t>Projekto numeris</w:t>
            </w:r>
          </w:p>
        </w:tc>
        <w:tc>
          <w:tcPr>
            <w:tcW w:w="4824" w:type="dxa"/>
            <w:tcBorders>
              <w:top w:val="single" w:sz="4" w:space="0" w:color="auto"/>
              <w:left w:val="single" w:sz="4" w:space="0" w:color="auto"/>
              <w:bottom w:val="single" w:sz="4" w:space="0" w:color="auto"/>
              <w:right w:val="single" w:sz="4" w:space="0" w:color="auto"/>
            </w:tcBorders>
          </w:tcPr>
          <w:p w14:paraId="6FF76CEE" w14:textId="77777777" w:rsidR="004A0361" w:rsidRPr="009D5352" w:rsidRDefault="004A0361">
            <w:pPr>
              <w:rPr>
                <w:rFonts w:eastAsia="Calibri"/>
                <w:szCs w:val="24"/>
              </w:rPr>
            </w:pPr>
          </w:p>
        </w:tc>
      </w:tr>
      <w:tr w:rsidR="004A0361" w:rsidRPr="009D5352" w14:paraId="66A0F584" w14:textId="77777777">
        <w:tc>
          <w:tcPr>
            <w:tcW w:w="5094" w:type="dxa"/>
            <w:tcBorders>
              <w:top w:val="single" w:sz="4" w:space="0" w:color="auto"/>
              <w:left w:val="single" w:sz="4" w:space="0" w:color="auto"/>
              <w:bottom w:val="single" w:sz="4" w:space="0" w:color="auto"/>
              <w:right w:val="single" w:sz="4" w:space="0" w:color="auto"/>
            </w:tcBorders>
            <w:hideMark/>
          </w:tcPr>
          <w:p w14:paraId="5D7D1497" w14:textId="77777777" w:rsidR="004A0361" w:rsidRPr="009D5352" w:rsidRDefault="004A0361">
            <w:pPr>
              <w:rPr>
                <w:rFonts w:eastAsia="Calibri"/>
                <w:b/>
                <w:sz w:val="22"/>
                <w:szCs w:val="22"/>
              </w:rPr>
            </w:pPr>
            <w:r w:rsidRPr="009D5352">
              <w:rPr>
                <w:rFonts w:eastAsia="Calibri"/>
                <w:b/>
                <w:sz w:val="22"/>
                <w:szCs w:val="22"/>
              </w:rPr>
              <w:t>Projekto pavadinimas</w:t>
            </w:r>
          </w:p>
        </w:tc>
        <w:tc>
          <w:tcPr>
            <w:tcW w:w="4824" w:type="dxa"/>
            <w:tcBorders>
              <w:top w:val="single" w:sz="4" w:space="0" w:color="auto"/>
              <w:left w:val="single" w:sz="4" w:space="0" w:color="auto"/>
              <w:bottom w:val="single" w:sz="4" w:space="0" w:color="auto"/>
              <w:right w:val="single" w:sz="4" w:space="0" w:color="auto"/>
            </w:tcBorders>
          </w:tcPr>
          <w:p w14:paraId="228BC212" w14:textId="77777777" w:rsidR="004A0361" w:rsidRPr="009D5352" w:rsidRDefault="004A0361">
            <w:pPr>
              <w:rPr>
                <w:rFonts w:eastAsia="Calibri"/>
                <w:szCs w:val="24"/>
              </w:rPr>
            </w:pPr>
          </w:p>
        </w:tc>
      </w:tr>
      <w:tr w:rsidR="004A0361" w:rsidRPr="009D5352" w14:paraId="0C2EA5E0" w14:textId="77777777">
        <w:tc>
          <w:tcPr>
            <w:tcW w:w="5094" w:type="dxa"/>
            <w:tcBorders>
              <w:top w:val="single" w:sz="4" w:space="0" w:color="auto"/>
              <w:left w:val="single" w:sz="4" w:space="0" w:color="auto"/>
              <w:bottom w:val="single" w:sz="4" w:space="0" w:color="auto"/>
              <w:right w:val="single" w:sz="4" w:space="0" w:color="auto"/>
            </w:tcBorders>
            <w:hideMark/>
          </w:tcPr>
          <w:p w14:paraId="47F7C602" w14:textId="77777777" w:rsidR="004A0361" w:rsidRPr="009D5352" w:rsidRDefault="004A0361">
            <w:pPr>
              <w:rPr>
                <w:rFonts w:eastAsia="Calibri"/>
                <w:b/>
                <w:sz w:val="22"/>
                <w:szCs w:val="22"/>
              </w:rPr>
            </w:pPr>
            <w:r w:rsidRPr="009D5352">
              <w:rPr>
                <w:rFonts w:eastAsia="Calibri"/>
                <w:b/>
                <w:sz w:val="22"/>
                <w:szCs w:val="22"/>
              </w:rPr>
              <w:t>Projekto vykdytojo / galutinio naudos gavėjo pavadinimas</w:t>
            </w:r>
          </w:p>
        </w:tc>
        <w:tc>
          <w:tcPr>
            <w:tcW w:w="4824" w:type="dxa"/>
            <w:tcBorders>
              <w:top w:val="single" w:sz="4" w:space="0" w:color="auto"/>
              <w:left w:val="single" w:sz="4" w:space="0" w:color="auto"/>
              <w:bottom w:val="single" w:sz="4" w:space="0" w:color="auto"/>
              <w:right w:val="single" w:sz="4" w:space="0" w:color="auto"/>
            </w:tcBorders>
          </w:tcPr>
          <w:p w14:paraId="07741AA3" w14:textId="77777777" w:rsidR="004A0361" w:rsidRPr="009D5352" w:rsidRDefault="004A0361">
            <w:pPr>
              <w:rPr>
                <w:rFonts w:eastAsia="Calibri"/>
                <w:i/>
                <w:sz w:val="22"/>
                <w:szCs w:val="22"/>
              </w:rPr>
            </w:pPr>
          </w:p>
        </w:tc>
      </w:tr>
      <w:tr w:rsidR="004A0361" w:rsidRPr="009D5352" w14:paraId="75E3950A" w14:textId="77777777">
        <w:tc>
          <w:tcPr>
            <w:tcW w:w="5094" w:type="dxa"/>
            <w:tcBorders>
              <w:top w:val="single" w:sz="4" w:space="0" w:color="auto"/>
              <w:left w:val="single" w:sz="4" w:space="0" w:color="auto"/>
              <w:bottom w:val="single" w:sz="4" w:space="0" w:color="auto"/>
              <w:right w:val="single" w:sz="4" w:space="0" w:color="auto"/>
            </w:tcBorders>
            <w:hideMark/>
          </w:tcPr>
          <w:p w14:paraId="749E40DD" w14:textId="77777777" w:rsidR="004A0361" w:rsidRPr="009D5352" w:rsidRDefault="004A0361">
            <w:pPr>
              <w:rPr>
                <w:rFonts w:eastAsia="Calibri"/>
                <w:b/>
                <w:sz w:val="22"/>
                <w:szCs w:val="22"/>
              </w:rPr>
            </w:pPr>
            <w:r w:rsidRPr="009D5352">
              <w:rPr>
                <w:rFonts w:eastAsia="Calibri"/>
                <w:b/>
                <w:sz w:val="22"/>
                <w:szCs w:val="22"/>
              </w:rPr>
              <w:t>Projekto partnerio (-</w:t>
            </w:r>
            <w:proofErr w:type="spellStart"/>
            <w:r w:rsidRPr="009D5352">
              <w:rPr>
                <w:rFonts w:eastAsia="Calibri"/>
                <w:b/>
                <w:sz w:val="22"/>
                <w:szCs w:val="22"/>
              </w:rPr>
              <w:t>ių</w:t>
            </w:r>
            <w:proofErr w:type="spellEnd"/>
            <w:r w:rsidRPr="009D5352">
              <w:rPr>
                <w:rFonts w:eastAsia="Calibri"/>
                <w:b/>
                <w:sz w:val="22"/>
                <w:szCs w:val="22"/>
              </w:rPr>
              <w:t>) pavadinimas</w:t>
            </w:r>
          </w:p>
        </w:tc>
        <w:tc>
          <w:tcPr>
            <w:tcW w:w="4824" w:type="dxa"/>
            <w:tcBorders>
              <w:top w:val="single" w:sz="4" w:space="0" w:color="auto"/>
              <w:left w:val="single" w:sz="4" w:space="0" w:color="auto"/>
              <w:bottom w:val="single" w:sz="4" w:space="0" w:color="auto"/>
              <w:right w:val="single" w:sz="4" w:space="0" w:color="auto"/>
            </w:tcBorders>
          </w:tcPr>
          <w:p w14:paraId="762B4ADA" w14:textId="77777777" w:rsidR="004A0361" w:rsidRPr="009D5352" w:rsidRDefault="004A0361">
            <w:pPr>
              <w:rPr>
                <w:rFonts w:eastAsia="Calibri"/>
                <w:i/>
                <w:sz w:val="22"/>
                <w:szCs w:val="22"/>
              </w:rPr>
            </w:pPr>
          </w:p>
        </w:tc>
      </w:tr>
    </w:tbl>
    <w:p w14:paraId="36D9869C" w14:textId="77777777" w:rsidR="004A0361" w:rsidRPr="009D5352" w:rsidRDefault="004A0361" w:rsidP="004A0361">
      <w:pPr>
        <w:spacing w:line="276" w:lineRule="auto"/>
        <w:rPr>
          <w:rFonts w:eastAsia="Calibri"/>
          <w:szCs w:val="24"/>
        </w:rPr>
      </w:pPr>
    </w:p>
    <w:p w14:paraId="520DF0C1" w14:textId="77777777" w:rsidR="004A0361" w:rsidRPr="009D5352" w:rsidRDefault="004A0361" w:rsidP="004A0361">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967"/>
        <w:gridCol w:w="1912"/>
        <w:gridCol w:w="1894"/>
        <w:gridCol w:w="3388"/>
      </w:tblGrid>
      <w:tr w:rsidR="004A0361" w:rsidRPr="009D5352" w14:paraId="726752B3" w14:textId="77777777">
        <w:tc>
          <w:tcPr>
            <w:tcW w:w="5000" w:type="pct"/>
            <w:gridSpan w:val="5"/>
            <w:tcBorders>
              <w:top w:val="single" w:sz="4" w:space="0" w:color="auto"/>
              <w:left w:val="single" w:sz="4" w:space="0" w:color="auto"/>
              <w:bottom w:val="single" w:sz="4" w:space="0" w:color="auto"/>
              <w:right w:val="single" w:sz="4" w:space="0" w:color="auto"/>
            </w:tcBorders>
            <w:shd w:val="pct20" w:color="auto" w:fill="auto"/>
            <w:hideMark/>
          </w:tcPr>
          <w:p w14:paraId="7BD9ED08" w14:textId="77777777" w:rsidR="004A0361" w:rsidRPr="009D5352" w:rsidRDefault="004A0361">
            <w:pPr>
              <w:spacing w:line="276" w:lineRule="auto"/>
              <w:ind w:left="567" w:hanging="360"/>
              <w:rPr>
                <w:rFonts w:eastAsia="Calibri"/>
                <w:b/>
                <w:sz w:val="22"/>
                <w:szCs w:val="22"/>
              </w:rPr>
            </w:pPr>
            <w:r w:rsidRPr="009D5352">
              <w:rPr>
                <w:rFonts w:eastAsia="Calibri"/>
                <w:b/>
                <w:sz w:val="22"/>
                <w:szCs w:val="22"/>
              </w:rPr>
              <w:t>I.</w:t>
            </w:r>
            <w:r w:rsidRPr="009D5352">
              <w:rPr>
                <w:rFonts w:eastAsia="Calibri"/>
                <w:b/>
                <w:sz w:val="22"/>
                <w:szCs w:val="22"/>
              </w:rPr>
              <w:tab/>
              <w:t xml:space="preserve">Valstybės pagalbos požymių identifikavimas pagal priemonės veiklą ar </w:t>
            </w:r>
            <w:proofErr w:type="spellStart"/>
            <w:r w:rsidRPr="009D5352">
              <w:rPr>
                <w:rFonts w:eastAsia="Calibri"/>
                <w:b/>
                <w:sz w:val="22"/>
                <w:szCs w:val="22"/>
              </w:rPr>
              <w:t>poveiklę</w:t>
            </w:r>
            <w:proofErr w:type="spellEnd"/>
            <w:r w:rsidRPr="009D5352">
              <w:rPr>
                <w:rFonts w:eastAsia="Calibri"/>
                <w:b/>
                <w:sz w:val="22"/>
                <w:szCs w:val="22"/>
              </w:rPr>
              <w:t xml:space="preserve"> / projektą remtinose veiklose</w:t>
            </w:r>
            <w:r w:rsidRPr="009D5352">
              <w:rPr>
                <w:rFonts w:eastAsia="Calibri"/>
                <w:b/>
                <w:sz w:val="22"/>
                <w:szCs w:val="22"/>
                <w:vertAlign w:val="superscript"/>
              </w:rPr>
              <w:footnoteReference w:id="2"/>
            </w:r>
          </w:p>
        </w:tc>
      </w:tr>
      <w:tr w:rsidR="004A0361" w:rsidRPr="009D5352" w14:paraId="636266B2" w14:textId="77777777">
        <w:tc>
          <w:tcPr>
            <w:tcW w:w="319" w:type="pct"/>
            <w:tcBorders>
              <w:top w:val="single" w:sz="4" w:space="0" w:color="auto"/>
              <w:left w:val="single" w:sz="4" w:space="0" w:color="auto"/>
              <w:bottom w:val="single" w:sz="4" w:space="0" w:color="auto"/>
              <w:right w:val="single" w:sz="4" w:space="0" w:color="auto"/>
            </w:tcBorders>
            <w:hideMark/>
          </w:tcPr>
          <w:p w14:paraId="00DC948B" w14:textId="77777777" w:rsidR="004A0361" w:rsidRPr="009D5352" w:rsidRDefault="004A0361">
            <w:pPr>
              <w:spacing w:line="276" w:lineRule="auto"/>
              <w:ind w:left="360" w:hanging="360"/>
              <w:rPr>
                <w:rFonts w:eastAsia="Calibri"/>
                <w:b/>
                <w:sz w:val="22"/>
                <w:szCs w:val="22"/>
              </w:rPr>
            </w:pPr>
            <w:r w:rsidRPr="009D5352">
              <w:rPr>
                <w:rFonts w:eastAsia="Calibri"/>
                <w:b/>
                <w:sz w:val="22"/>
                <w:szCs w:val="22"/>
              </w:rPr>
              <w:t>1.</w:t>
            </w:r>
            <w:r w:rsidRPr="009D5352">
              <w:rPr>
                <w:rFonts w:eastAsia="Calibri"/>
                <w:b/>
                <w:sz w:val="22"/>
                <w:szCs w:val="22"/>
              </w:rPr>
              <w:tab/>
            </w:r>
          </w:p>
        </w:tc>
        <w:tc>
          <w:tcPr>
            <w:tcW w:w="2303" w:type="pct"/>
            <w:tcBorders>
              <w:top w:val="single" w:sz="4" w:space="0" w:color="auto"/>
              <w:left w:val="single" w:sz="4" w:space="0" w:color="auto"/>
              <w:bottom w:val="single" w:sz="4" w:space="0" w:color="auto"/>
              <w:right w:val="single" w:sz="4" w:space="0" w:color="auto"/>
            </w:tcBorders>
          </w:tcPr>
          <w:p w14:paraId="293B412F" w14:textId="77777777" w:rsidR="004A0361" w:rsidRPr="009D5352" w:rsidRDefault="004A0361">
            <w:pPr>
              <w:rPr>
                <w:sz w:val="10"/>
                <w:szCs w:val="10"/>
              </w:rPr>
            </w:pPr>
          </w:p>
          <w:p w14:paraId="614073C0" w14:textId="77777777" w:rsidR="004A0361" w:rsidRPr="009D5352" w:rsidRDefault="004A0361">
            <w:pPr>
              <w:jc w:val="both"/>
              <w:rPr>
                <w:rFonts w:eastAsia="Calibri"/>
                <w:b/>
                <w:sz w:val="22"/>
                <w:szCs w:val="22"/>
              </w:rPr>
            </w:pPr>
            <w:r w:rsidRPr="009D5352">
              <w:rPr>
                <w:rFonts w:eastAsia="Calibri"/>
                <w:b/>
                <w:sz w:val="22"/>
                <w:szCs w:val="22"/>
              </w:rPr>
              <w:t>Ar finansavimą tiesiogiai ar netiesiogiai numatoma teikti ūkio subjektams (-ui) ūkinei veiklai vykdyti?</w:t>
            </w:r>
          </w:p>
          <w:p w14:paraId="00A583A1" w14:textId="77777777" w:rsidR="004A0361" w:rsidRPr="009D5352" w:rsidRDefault="004A0361">
            <w:pPr>
              <w:rPr>
                <w:sz w:val="10"/>
                <w:szCs w:val="10"/>
              </w:rPr>
            </w:pPr>
          </w:p>
          <w:p w14:paraId="68B75E73" w14:textId="77777777" w:rsidR="004A0361" w:rsidRPr="009D5352" w:rsidRDefault="004A0361">
            <w:pPr>
              <w:rPr>
                <w:rFonts w:eastAsia="Calibri"/>
                <w:sz w:val="22"/>
                <w:szCs w:val="22"/>
              </w:rPr>
            </w:pPr>
          </w:p>
        </w:tc>
        <w:tc>
          <w:tcPr>
            <w:tcW w:w="632" w:type="pct"/>
            <w:tcBorders>
              <w:top w:val="single" w:sz="4" w:space="0" w:color="auto"/>
              <w:left w:val="single" w:sz="4" w:space="0" w:color="auto"/>
              <w:bottom w:val="single" w:sz="4" w:space="0" w:color="auto"/>
              <w:right w:val="single" w:sz="4" w:space="0" w:color="auto"/>
            </w:tcBorders>
          </w:tcPr>
          <w:p w14:paraId="5DAF4D00" w14:textId="77777777" w:rsidR="004A0361" w:rsidRPr="009D5352" w:rsidRDefault="004A0361">
            <w:pPr>
              <w:rPr>
                <w:sz w:val="10"/>
                <w:szCs w:val="10"/>
              </w:rPr>
            </w:pPr>
          </w:p>
          <w:p w14:paraId="2929DB88" w14:textId="77777777" w:rsidR="004A0361" w:rsidRPr="009D5352" w:rsidRDefault="004A0361">
            <w:pPr>
              <w:rPr>
                <w:rFonts w:eastAsia="Calibri"/>
                <w:sz w:val="22"/>
                <w:szCs w:val="22"/>
              </w:rPr>
            </w:pPr>
            <w:r w:rsidRPr="009D5352">
              <w:rPr>
                <w:rFonts w:eastAsia="Calibri"/>
                <w:sz w:val="22"/>
                <w:szCs w:val="22"/>
              </w:rPr>
              <w:fldChar w:fldCharType="begin" w:fldLock="1">
                <w:ffData>
                  <w:name w:val="Check1"/>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Taip</w:t>
            </w:r>
          </w:p>
        </w:tc>
        <w:tc>
          <w:tcPr>
            <w:tcW w:w="1746" w:type="pct"/>
            <w:gridSpan w:val="2"/>
            <w:tcBorders>
              <w:top w:val="single" w:sz="4" w:space="0" w:color="auto"/>
              <w:left w:val="single" w:sz="4" w:space="0" w:color="auto"/>
              <w:bottom w:val="single" w:sz="4" w:space="0" w:color="auto"/>
              <w:right w:val="single" w:sz="4" w:space="0" w:color="auto"/>
            </w:tcBorders>
          </w:tcPr>
          <w:p w14:paraId="45D7C4C7" w14:textId="77777777" w:rsidR="004A0361" w:rsidRPr="009D5352" w:rsidRDefault="004A0361">
            <w:pPr>
              <w:rPr>
                <w:sz w:val="10"/>
                <w:szCs w:val="10"/>
              </w:rPr>
            </w:pPr>
          </w:p>
          <w:p w14:paraId="01A4CE01" w14:textId="77777777" w:rsidR="004A0361" w:rsidRPr="009D5352" w:rsidRDefault="004A0361">
            <w:pPr>
              <w:rPr>
                <w:rFonts w:eastAsia="Calibri"/>
                <w:sz w:val="22"/>
                <w:szCs w:val="22"/>
              </w:rPr>
            </w:pPr>
            <w:r w:rsidRPr="009D5352">
              <w:rPr>
                <w:rFonts w:eastAsia="Calibri"/>
                <w:sz w:val="22"/>
                <w:szCs w:val="22"/>
              </w:rPr>
              <w:fldChar w:fldCharType="begin" w:fldLock="1">
                <w:ffData>
                  <w:name w:val="Check2"/>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Ne</w:t>
            </w:r>
          </w:p>
          <w:p w14:paraId="2A7FA952" w14:textId="77777777" w:rsidR="004A0361" w:rsidRPr="009D5352" w:rsidRDefault="004A0361">
            <w:pPr>
              <w:rPr>
                <w:sz w:val="10"/>
                <w:szCs w:val="10"/>
              </w:rPr>
            </w:pPr>
          </w:p>
          <w:p w14:paraId="7E8F8807" w14:textId="77777777" w:rsidR="004A0361" w:rsidRPr="009D5352" w:rsidRDefault="004A0361">
            <w:pPr>
              <w:rPr>
                <w:rFonts w:eastAsia="Calibri"/>
                <w:sz w:val="22"/>
                <w:szCs w:val="22"/>
              </w:rPr>
            </w:pPr>
            <w:r w:rsidRPr="009D5352">
              <w:rPr>
                <w:rFonts w:eastAsia="Calibri"/>
                <w:i/>
                <w:sz w:val="22"/>
                <w:szCs w:val="22"/>
              </w:rPr>
              <w:t>(Patikros lapą pildant projektui,   neigiamai atsakius, kiti  patikros lapo klausimų atsakymai žymimi „nevertinama“)</w:t>
            </w:r>
          </w:p>
        </w:tc>
      </w:tr>
      <w:tr w:rsidR="004A0361" w:rsidRPr="009D5352" w14:paraId="3CA71EAF" w14:textId="77777777">
        <w:tc>
          <w:tcPr>
            <w:tcW w:w="5000" w:type="pct"/>
            <w:gridSpan w:val="5"/>
            <w:tcBorders>
              <w:top w:val="single" w:sz="4" w:space="0" w:color="auto"/>
              <w:left w:val="single" w:sz="4" w:space="0" w:color="auto"/>
              <w:bottom w:val="single" w:sz="4" w:space="0" w:color="auto"/>
              <w:right w:val="single" w:sz="4" w:space="0" w:color="auto"/>
            </w:tcBorders>
          </w:tcPr>
          <w:p w14:paraId="510A9D58" w14:textId="77777777" w:rsidR="004A0361" w:rsidRPr="009D5352" w:rsidRDefault="004A0361">
            <w:pPr>
              <w:jc w:val="both"/>
              <w:rPr>
                <w:rFonts w:eastAsia="Calibri"/>
                <w:sz w:val="22"/>
                <w:szCs w:val="22"/>
              </w:rPr>
            </w:pPr>
            <w:r w:rsidRPr="009D5352">
              <w:rPr>
                <w:rFonts w:eastAsia="Calibri"/>
                <w:b/>
                <w:sz w:val="22"/>
                <w:szCs w:val="22"/>
              </w:rPr>
              <w:lastRenderedPageBreak/>
              <w:t>Ūkio subjektai</w:t>
            </w:r>
            <w:r w:rsidRPr="009D5352">
              <w:rPr>
                <w:rFonts w:eastAsia="Calibri"/>
                <w:sz w:val="22"/>
                <w:szCs w:val="22"/>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1F431B47" w14:textId="77777777" w:rsidR="004A0361" w:rsidRPr="009D5352" w:rsidRDefault="004A0361">
            <w:pPr>
              <w:jc w:val="both"/>
              <w:rPr>
                <w:rFonts w:eastAsia="Calibri"/>
                <w:sz w:val="22"/>
                <w:szCs w:val="22"/>
              </w:rPr>
            </w:pPr>
            <w:r w:rsidRPr="009D5352">
              <w:rPr>
                <w:rFonts w:eastAsia="Calibri"/>
                <w:sz w:val="22"/>
                <w:szCs w:val="22"/>
              </w:rPr>
              <w:t>Vertinant, ar subjektas yra priskiriamas ūkio subjektui, jo statusas neturi lemiamos reikšmės, taip pat ir ar subjektas yra įsteigtas pelnui siekti, esminis kriterijus ar vykdoma / numatoma vykdyti veikla yra priskiriama ūkinei veiklai. Subjektas, vykdantis tiek ekonominę, tiek neekonominę veiklą, turi būti laikomas ūkio subjektu tik ekonominės veiklos atžvilgiu.</w:t>
            </w:r>
          </w:p>
          <w:p w14:paraId="6C7A3241" w14:textId="77777777" w:rsidR="004A0361" w:rsidRPr="009D5352" w:rsidRDefault="004A0361">
            <w:pPr>
              <w:jc w:val="both"/>
              <w:rPr>
                <w:rFonts w:eastAsia="Calibri"/>
                <w:b/>
                <w:sz w:val="22"/>
                <w:szCs w:val="22"/>
              </w:rPr>
            </w:pPr>
          </w:p>
          <w:p w14:paraId="26E6E20C" w14:textId="77777777" w:rsidR="004A0361" w:rsidRPr="009D5352" w:rsidRDefault="004A0361">
            <w:pPr>
              <w:jc w:val="both"/>
              <w:rPr>
                <w:rFonts w:eastAsia="Calibri"/>
                <w:sz w:val="22"/>
                <w:szCs w:val="22"/>
              </w:rPr>
            </w:pPr>
            <w:r w:rsidRPr="009D5352">
              <w:rPr>
                <w:rFonts w:eastAsia="Calibri"/>
                <w:b/>
                <w:sz w:val="22"/>
                <w:szCs w:val="22"/>
              </w:rPr>
              <w:t>Ūkinė veikla</w:t>
            </w:r>
            <w:r w:rsidRPr="009D5352">
              <w:rPr>
                <w:rFonts w:eastAsia="Calibri"/>
                <w:sz w:val="22"/>
                <w:szCs w:val="22"/>
              </w:rPr>
              <w:t xml:space="preserve"> – visokia gamybinė, komercinė, finansinė ar profesinė veikla, susijusi su prekių (paslaugų) pirkimu ar pardavimu, išskyrus, kai fiziniai asmenys prekę (paslaugą) įsigyja asmeniniams ir namų ūkio poreikiams tenkinti.</w:t>
            </w:r>
          </w:p>
          <w:p w14:paraId="027AB8B6" w14:textId="77777777" w:rsidR="004A0361" w:rsidRPr="009D5352" w:rsidRDefault="004A0361">
            <w:pPr>
              <w:jc w:val="both"/>
              <w:rPr>
                <w:rFonts w:eastAsia="Calibri"/>
                <w:sz w:val="22"/>
                <w:szCs w:val="22"/>
              </w:rPr>
            </w:pPr>
          </w:p>
          <w:p w14:paraId="390CC322" w14:textId="77777777" w:rsidR="004A0361" w:rsidRPr="009D5352" w:rsidRDefault="004A0361">
            <w:pPr>
              <w:jc w:val="both"/>
              <w:rPr>
                <w:rFonts w:eastAsia="Calibri"/>
                <w:sz w:val="22"/>
                <w:szCs w:val="22"/>
              </w:rPr>
            </w:pPr>
            <w:r w:rsidRPr="009D5352">
              <w:rPr>
                <w:rFonts w:eastAsia="Calibri"/>
                <w:sz w:val="22"/>
                <w:szCs w:val="22"/>
              </w:rPr>
              <w:t>Teikiant finansavimą infrastruktūros objektams/įrangai (ilgalaikiam turtui) įsigyti, ūkinė veikla turi būti vertinama 3 lygmenimis:</w:t>
            </w:r>
          </w:p>
          <w:p w14:paraId="39A6BEDB" w14:textId="77777777" w:rsidR="004A0361" w:rsidRPr="009D5352" w:rsidRDefault="004A0361">
            <w:pPr>
              <w:spacing w:line="276" w:lineRule="auto"/>
              <w:ind w:left="720" w:hanging="360"/>
              <w:jc w:val="both"/>
              <w:rPr>
                <w:sz w:val="18"/>
                <w:szCs w:val="18"/>
              </w:rPr>
            </w:pPr>
            <w:r w:rsidRPr="009D5352">
              <w:rPr>
                <w:rFonts w:ascii="Symbol" w:eastAsia="Calibri" w:hAnsi="Symbol"/>
                <w:sz w:val="22"/>
                <w:szCs w:val="22"/>
              </w:rPr>
              <w:t>·</w:t>
            </w:r>
            <w:r w:rsidRPr="009D5352">
              <w:rPr>
                <w:rFonts w:ascii="Symbol" w:eastAsia="Calibri" w:hAnsi="Symbol"/>
                <w:sz w:val="22"/>
                <w:szCs w:val="22"/>
              </w:rPr>
              <w:tab/>
            </w:r>
            <w:r w:rsidRPr="009D5352">
              <w:rPr>
                <w:rFonts w:eastAsia="Calibri"/>
                <w:sz w:val="22"/>
                <w:szCs w:val="22"/>
              </w:rPr>
              <w:t>Statytojo / savininko</w:t>
            </w:r>
          </w:p>
          <w:p w14:paraId="4CF49752" w14:textId="77777777" w:rsidR="004A0361" w:rsidRPr="009D5352" w:rsidRDefault="004A0361">
            <w:pPr>
              <w:spacing w:line="276" w:lineRule="auto"/>
              <w:ind w:left="720" w:hanging="360"/>
              <w:jc w:val="both"/>
              <w:rPr>
                <w:sz w:val="18"/>
                <w:szCs w:val="18"/>
              </w:rPr>
            </w:pPr>
            <w:r w:rsidRPr="009D5352">
              <w:rPr>
                <w:rFonts w:ascii="Symbol" w:eastAsia="Calibri" w:hAnsi="Symbol"/>
                <w:sz w:val="22"/>
                <w:szCs w:val="22"/>
              </w:rPr>
              <w:t>·</w:t>
            </w:r>
            <w:r w:rsidRPr="009D5352">
              <w:rPr>
                <w:rFonts w:ascii="Symbol" w:eastAsia="Calibri" w:hAnsi="Symbol"/>
                <w:sz w:val="22"/>
                <w:szCs w:val="22"/>
              </w:rPr>
              <w:tab/>
            </w:r>
            <w:r w:rsidRPr="009D5352">
              <w:rPr>
                <w:rFonts w:eastAsia="Calibri"/>
                <w:sz w:val="22"/>
                <w:szCs w:val="22"/>
              </w:rPr>
              <w:t>Valdytojo</w:t>
            </w:r>
          </w:p>
          <w:p w14:paraId="5E5E14BB" w14:textId="77777777" w:rsidR="004A0361" w:rsidRPr="009D5352" w:rsidRDefault="004A0361">
            <w:pPr>
              <w:spacing w:line="276" w:lineRule="auto"/>
              <w:ind w:left="720" w:hanging="360"/>
              <w:jc w:val="both"/>
              <w:rPr>
                <w:sz w:val="18"/>
                <w:szCs w:val="18"/>
              </w:rPr>
            </w:pPr>
            <w:r w:rsidRPr="009D5352">
              <w:rPr>
                <w:rFonts w:ascii="Symbol" w:eastAsia="Calibri" w:hAnsi="Symbol"/>
                <w:sz w:val="22"/>
                <w:szCs w:val="22"/>
              </w:rPr>
              <w:t>·</w:t>
            </w:r>
            <w:r w:rsidRPr="009D5352">
              <w:rPr>
                <w:rFonts w:ascii="Symbol" w:eastAsia="Calibri" w:hAnsi="Symbol"/>
                <w:sz w:val="22"/>
                <w:szCs w:val="22"/>
              </w:rPr>
              <w:tab/>
            </w:r>
            <w:r w:rsidRPr="009D5352">
              <w:rPr>
                <w:rFonts w:eastAsia="Calibri"/>
                <w:sz w:val="22"/>
                <w:szCs w:val="22"/>
              </w:rPr>
              <w:t>Galutinio naudotojo (galutinio naudos gavėjo – GNG)</w:t>
            </w:r>
          </w:p>
          <w:p w14:paraId="5A4E3202" w14:textId="77777777" w:rsidR="004A0361" w:rsidRPr="009D5352" w:rsidRDefault="004A0361">
            <w:pPr>
              <w:jc w:val="both"/>
              <w:rPr>
                <w:rFonts w:eastAsia="Calibri"/>
                <w:sz w:val="22"/>
                <w:szCs w:val="22"/>
              </w:rPr>
            </w:pPr>
          </w:p>
          <w:p w14:paraId="04E15C09" w14:textId="77777777" w:rsidR="004A0361" w:rsidRPr="009D5352" w:rsidRDefault="004A0361">
            <w:pPr>
              <w:jc w:val="both"/>
              <w:rPr>
                <w:rFonts w:eastAsia="Calibri"/>
                <w:sz w:val="22"/>
                <w:szCs w:val="22"/>
              </w:rPr>
            </w:pPr>
            <w:r w:rsidRPr="009D5352">
              <w:rPr>
                <w:rFonts w:eastAsia="Calibri"/>
                <w:sz w:val="22"/>
                <w:szCs w:val="22"/>
              </w:rPr>
              <w:t>Ūkine veikla nėra laikoma, kai valstybė veikia „vykdydama valdžios įgaliojimus“</w:t>
            </w:r>
            <w:r w:rsidRPr="009D5352">
              <w:rPr>
                <w:rFonts w:eastAsia="Calibri"/>
                <w:sz w:val="22"/>
                <w:szCs w:val="22"/>
                <w:vertAlign w:val="superscript"/>
              </w:rPr>
              <w:footnoteReference w:id="3"/>
            </w:r>
            <w:r w:rsidRPr="009D5352">
              <w:rPr>
                <w:rFonts w:eastAsia="Calibri"/>
                <w:sz w:val="22"/>
                <w:szCs w:val="22"/>
              </w:rPr>
              <w:t xml:space="preserve"> arba kai valstybės sektoriaus subjektai veikia „kaip valdžios institucijos“</w:t>
            </w:r>
            <w:r w:rsidRPr="009D5352">
              <w:rPr>
                <w:rFonts w:eastAsia="Calibri"/>
                <w:sz w:val="22"/>
                <w:szCs w:val="22"/>
                <w:vertAlign w:val="superscript"/>
              </w:rPr>
              <w:footnoteReference w:id="4"/>
            </w:r>
            <w:r w:rsidRPr="009D5352">
              <w:rPr>
                <w:rFonts w:eastAsia="Calibri"/>
                <w:sz w:val="22"/>
                <w:szCs w:val="22"/>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5494688F" w14:textId="77777777" w:rsidR="004A0361" w:rsidRPr="009D5352" w:rsidRDefault="004A0361">
            <w:pPr>
              <w:jc w:val="both"/>
              <w:rPr>
                <w:rFonts w:eastAsia="Calibri"/>
                <w:sz w:val="22"/>
                <w:szCs w:val="22"/>
              </w:rPr>
            </w:pPr>
            <w:r w:rsidRPr="009D5352">
              <w:rPr>
                <w:rFonts w:eastAsia="Calibri"/>
                <w:sz w:val="22"/>
                <w:szCs w:val="22"/>
              </w:rPr>
              <w:t>a) kariuomenė arba policija;</w:t>
            </w:r>
          </w:p>
          <w:p w14:paraId="5C7C24FE" w14:textId="77777777" w:rsidR="004A0361" w:rsidRPr="009D5352" w:rsidRDefault="004A0361">
            <w:pPr>
              <w:jc w:val="both"/>
              <w:rPr>
                <w:rFonts w:eastAsia="Calibri"/>
                <w:sz w:val="22"/>
                <w:szCs w:val="22"/>
              </w:rPr>
            </w:pPr>
            <w:r w:rsidRPr="009D5352">
              <w:rPr>
                <w:rFonts w:eastAsia="Calibri"/>
                <w:sz w:val="22"/>
                <w:szCs w:val="22"/>
              </w:rPr>
              <w:t>b) oro navigacijos sauga ir kontrolė;</w:t>
            </w:r>
          </w:p>
          <w:p w14:paraId="21A40575" w14:textId="77777777" w:rsidR="004A0361" w:rsidRPr="009D5352" w:rsidRDefault="004A0361">
            <w:pPr>
              <w:jc w:val="both"/>
              <w:rPr>
                <w:rFonts w:eastAsia="Calibri"/>
                <w:sz w:val="22"/>
                <w:szCs w:val="22"/>
              </w:rPr>
            </w:pPr>
            <w:r w:rsidRPr="009D5352">
              <w:rPr>
                <w:rFonts w:eastAsia="Calibri"/>
                <w:sz w:val="22"/>
                <w:szCs w:val="22"/>
              </w:rPr>
              <w:t>c) jūrų eismo kontrolė ir sauga;</w:t>
            </w:r>
          </w:p>
          <w:p w14:paraId="2C722389" w14:textId="77777777" w:rsidR="004A0361" w:rsidRPr="009D5352" w:rsidRDefault="004A0361">
            <w:pPr>
              <w:jc w:val="both"/>
              <w:rPr>
                <w:rFonts w:eastAsia="Calibri"/>
                <w:sz w:val="22"/>
                <w:szCs w:val="22"/>
              </w:rPr>
            </w:pPr>
            <w:r w:rsidRPr="009D5352">
              <w:rPr>
                <w:rFonts w:eastAsia="Calibri"/>
                <w:sz w:val="22"/>
                <w:szCs w:val="22"/>
              </w:rPr>
              <w:t>d) kovos su tarša priežiūra;</w:t>
            </w:r>
          </w:p>
          <w:p w14:paraId="31CA03EE" w14:textId="77777777" w:rsidR="004A0361" w:rsidRPr="009D5352" w:rsidRDefault="004A0361">
            <w:pPr>
              <w:jc w:val="both"/>
              <w:rPr>
                <w:rFonts w:eastAsia="Calibri"/>
                <w:sz w:val="22"/>
                <w:szCs w:val="22"/>
              </w:rPr>
            </w:pPr>
            <w:r w:rsidRPr="009D5352">
              <w:rPr>
                <w:rFonts w:eastAsia="Calibri"/>
                <w:sz w:val="22"/>
                <w:szCs w:val="22"/>
              </w:rPr>
              <w:t>e) laisvės atėmimo nuosprendžių organizavimas, finansavimas ir vykdymas;</w:t>
            </w:r>
          </w:p>
          <w:p w14:paraId="2E058E0A" w14:textId="77777777" w:rsidR="004A0361" w:rsidRPr="009D5352" w:rsidRDefault="004A0361">
            <w:pPr>
              <w:jc w:val="both"/>
              <w:rPr>
                <w:rFonts w:eastAsia="Calibri"/>
                <w:sz w:val="22"/>
                <w:szCs w:val="22"/>
              </w:rPr>
            </w:pPr>
            <w:r w:rsidRPr="009D5352">
              <w:rPr>
                <w:rFonts w:eastAsia="Calibri"/>
                <w:sz w:val="22"/>
                <w:szCs w:val="22"/>
              </w:rPr>
              <w:t>f) viešiesiems tikslams naudoti skirtų duomenų rinkimas remiantis teisės aktuose atitinkamiems ūkio subjektams nustatytu įpareigojimu atskleisti tokius duomenis.</w:t>
            </w:r>
          </w:p>
          <w:p w14:paraId="2626E189" w14:textId="77777777" w:rsidR="004A0361" w:rsidRPr="009D5352" w:rsidRDefault="004A0361">
            <w:pPr>
              <w:jc w:val="both"/>
              <w:rPr>
                <w:rFonts w:eastAsia="Calibri"/>
                <w:sz w:val="22"/>
                <w:szCs w:val="22"/>
              </w:rPr>
            </w:pPr>
            <w:r w:rsidRPr="009D5352">
              <w:rPr>
                <w:rFonts w:eastAsia="Calibri"/>
                <w:sz w:val="22"/>
                <w:szCs w:val="22"/>
              </w:rPr>
              <w:t xml:space="preserve">Ūkine veikla gali būti nelaikoma dalis veiklų socialinės apsaugos, sveikatos priežiūros, kultūros, švietimo ir mokslinių tyrimų sektoriuose, kaip apibūdinta Komisijos pranešime dėl Sutarties dėl Europos Sąjungos veikimo 107 straipsnio 1 dalyje vartojamos valstybės pagalbos sąvokos (2016/C 262/01). Taip pat ūkine veikla nėra laikoma viešos infrastruktūros objektų, neskirtų ūkinei veiklai vykdyti, statyba. </w:t>
            </w:r>
          </w:p>
        </w:tc>
      </w:tr>
      <w:tr w:rsidR="004A0361" w:rsidRPr="009D5352" w14:paraId="274F2B40"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7250F836" w14:textId="77777777" w:rsidR="004A0361" w:rsidRPr="009D5352" w:rsidRDefault="004A0361">
            <w:pPr>
              <w:jc w:val="center"/>
              <w:rPr>
                <w:rFonts w:eastAsia="Calibri"/>
                <w:b/>
                <w:sz w:val="22"/>
                <w:szCs w:val="22"/>
              </w:rPr>
            </w:pPr>
            <w:r w:rsidRPr="009D5352">
              <w:rPr>
                <w:rFonts w:eastAsia="Calibri"/>
                <w:b/>
                <w:sz w:val="22"/>
                <w:szCs w:val="22"/>
              </w:rPr>
              <w:t>Pasirinkimo pagrindimas</w:t>
            </w:r>
          </w:p>
        </w:tc>
      </w:tr>
      <w:tr w:rsidR="004A0361" w:rsidRPr="009D5352" w14:paraId="19BD260B" w14:textId="77777777">
        <w:tc>
          <w:tcPr>
            <w:tcW w:w="5000" w:type="pct"/>
            <w:gridSpan w:val="5"/>
            <w:tcBorders>
              <w:top w:val="single" w:sz="4" w:space="0" w:color="auto"/>
              <w:left w:val="single" w:sz="4" w:space="0" w:color="auto"/>
              <w:bottom w:val="single" w:sz="4" w:space="0" w:color="auto"/>
              <w:right w:val="single" w:sz="4" w:space="0" w:color="auto"/>
            </w:tcBorders>
          </w:tcPr>
          <w:p w14:paraId="233B0500" w14:textId="77777777" w:rsidR="004A0361" w:rsidRPr="009D5352" w:rsidRDefault="004A0361">
            <w:pPr>
              <w:jc w:val="both"/>
              <w:rPr>
                <w:rFonts w:eastAsia="Calibri"/>
                <w:i/>
                <w:sz w:val="22"/>
                <w:szCs w:val="22"/>
              </w:rPr>
            </w:pPr>
            <w:r w:rsidRPr="009D5352">
              <w:rPr>
                <w:rFonts w:eastAsia="Calibri"/>
                <w:i/>
                <w:sz w:val="22"/>
                <w:szCs w:val="22"/>
              </w:rPr>
              <w:lastRenderedPageBreak/>
              <w:t>(Pagrįskite savo pasirinkimą)</w:t>
            </w:r>
          </w:p>
          <w:p w14:paraId="2A3BA72B" w14:textId="77777777" w:rsidR="004A0361" w:rsidRPr="009D5352" w:rsidRDefault="004A0361">
            <w:pPr>
              <w:jc w:val="both"/>
              <w:rPr>
                <w:rFonts w:eastAsia="Calibri"/>
                <w:i/>
                <w:sz w:val="22"/>
                <w:szCs w:val="22"/>
              </w:rPr>
            </w:pPr>
          </w:p>
          <w:p w14:paraId="4D88F21D" w14:textId="77777777" w:rsidR="004A0361" w:rsidRPr="009D5352" w:rsidRDefault="004A0361">
            <w:pPr>
              <w:jc w:val="both"/>
              <w:rPr>
                <w:rFonts w:eastAsia="Calibri"/>
                <w:i/>
                <w:iCs/>
                <w:sz w:val="22"/>
                <w:szCs w:val="22"/>
                <w:u w:val="single"/>
              </w:rPr>
            </w:pPr>
            <w:r w:rsidRPr="009D5352">
              <w:rPr>
                <w:rFonts w:eastAsia="Calibri"/>
                <w:i/>
                <w:iCs/>
                <w:sz w:val="22"/>
                <w:szCs w:val="22"/>
              </w:rPr>
              <w:t>Teikiant pagrindimą rekomenduojama remtis Komisijos pranešime dėl Sutarties dėl Europos Sąjungos veikimo 107 straipsnio 1 dalyje vartojamos valstybės pagalbos sąvokos (2016/C 262/01) išdėstytomis nuostatomis bei teismų praktika pateikiant nuorodas įminėto pranešimo punktus ir / ar teismų sprendimus.</w:t>
            </w:r>
          </w:p>
        </w:tc>
      </w:tr>
      <w:tr w:rsidR="004A0361" w:rsidRPr="009D5352" w14:paraId="2702E815" w14:textId="77777777">
        <w:tc>
          <w:tcPr>
            <w:tcW w:w="319" w:type="pct"/>
            <w:tcBorders>
              <w:top w:val="single" w:sz="4" w:space="0" w:color="auto"/>
              <w:left w:val="single" w:sz="4" w:space="0" w:color="auto"/>
              <w:bottom w:val="single" w:sz="4" w:space="0" w:color="auto"/>
              <w:right w:val="single" w:sz="4" w:space="0" w:color="auto"/>
            </w:tcBorders>
            <w:hideMark/>
          </w:tcPr>
          <w:p w14:paraId="08692FDE" w14:textId="77777777" w:rsidR="004A0361" w:rsidRPr="009D5352" w:rsidRDefault="004A0361">
            <w:pPr>
              <w:spacing w:line="276" w:lineRule="auto"/>
              <w:ind w:left="360" w:hanging="360"/>
              <w:rPr>
                <w:rFonts w:eastAsia="Calibri"/>
                <w:b/>
                <w:sz w:val="22"/>
                <w:szCs w:val="22"/>
              </w:rPr>
            </w:pPr>
            <w:r w:rsidRPr="009D5352">
              <w:rPr>
                <w:rFonts w:eastAsia="Calibri"/>
                <w:b/>
                <w:sz w:val="22"/>
                <w:szCs w:val="22"/>
              </w:rPr>
              <w:t>2.</w:t>
            </w:r>
            <w:r w:rsidRPr="009D5352">
              <w:rPr>
                <w:rFonts w:eastAsia="Calibri"/>
                <w:b/>
                <w:sz w:val="22"/>
                <w:szCs w:val="22"/>
              </w:rPr>
              <w:tab/>
            </w:r>
          </w:p>
        </w:tc>
        <w:tc>
          <w:tcPr>
            <w:tcW w:w="2303" w:type="pct"/>
            <w:tcBorders>
              <w:top w:val="single" w:sz="4" w:space="0" w:color="auto"/>
              <w:left w:val="single" w:sz="4" w:space="0" w:color="auto"/>
              <w:bottom w:val="single" w:sz="4" w:space="0" w:color="auto"/>
              <w:right w:val="single" w:sz="4" w:space="0" w:color="auto"/>
            </w:tcBorders>
          </w:tcPr>
          <w:p w14:paraId="465E1025" w14:textId="77777777" w:rsidR="004A0361" w:rsidRPr="009D5352" w:rsidRDefault="004A0361">
            <w:pPr>
              <w:rPr>
                <w:sz w:val="10"/>
                <w:szCs w:val="10"/>
              </w:rPr>
            </w:pPr>
          </w:p>
          <w:p w14:paraId="219E33A2" w14:textId="77777777" w:rsidR="004A0361" w:rsidRPr="009D5352" w:rsidRDefault="004A0361">
            <w:pPr>
              <w:jc w:val="both"/>
              <w:rPr>
                <w:rFonts w:eastAsia="Calibri"/>
                <w:b/>
                <w:sz w:val="22"/>
                <w:szCs w:val="22"/>
              </w:rPr>
            </w:pPr>
            <w:r w:rsidRPr="009D5352">
              <w:rPr>
                <w:rFonts w:eastAsia="Calibri"/>
                <w:b/>
                <w:sz w:val="22"/>
                <w:szCs w:val="22"/>
              </w:rPr>
              <w:t>Ar finansavimas iš valstybės išteklių ūkio subjektams (-ui) suteiktų / suteikia išskirtinę ekonominę naudą, kurios jie / jis negautų rinkos sąlygomis?</w:t>
            </w:r>
          </w:p>
        </w:tc>
        <w:tc>
          <w:tcPr>
            <w:tcW w:w="632" w:type="pct"/>
            <w:tcBorders>
              <w:top w:val="single" w:sz="4" w:space="0" w:color="auto"/>
              <w:left w:val="single" w:sz="4" w:space="0" w:color="auto"/>
              <w:bottom w:val="single" w:sz="4" w:space="0" w:color="auto"/>
              <w:right w:val="single" w:sz="4" w:space="0" w:color="auto"/>
            </w:tcBorders>
          </w:tcPr>
          <w:p w14:paraId="4D2F9FAC" w14:textId="77777777" w:rsidR="004A0361" w:rsidRPr="009D5352" w:rsidRDefault="004A0361">
            <w:pPr>
              <w:rPr>
                <w:sz w:val="10"/>
                <w:szCs w:val="10"/>
              </w:rPr>
            </w:pPr>
          </w:p>
          <w:p w14:paraId="370D70D0" w14:textId="77777777" w:rsidR="004A0361" w:rsidRPr="009D5352" w:rsidRDefault="004A0361">
            <w:pPr>
              <w:rPr>
                <w:rFonts w:eastAsia="Calibri"/>
                <w:sz w:val="22"/>
                <w:szCs w:val="22"/>
              </w:rPr>
            </w:pPr>
            <w:r w:rsidRPr="009D5352">
              <w:rPr>
                <w:rFonts w:eastAsia="Calibri"/>
                <w:sz w:val="22"/>
                <w:szCs w:val="22"/>
              </w:rPr>
              <w:fldChar w:fldCharType="begin" w:fldLock="1">
                <w:ffData>
                  <w:name w:val="Check1"/>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Taip</w:t>
            </w:r>
          </w:p>
        </w:tc>
        <w:tc>
          <w:tcPr>
            <w:tcW w:w="626" w:type="pct"/>
            <w:tcBorders>
              <w:top w:val="single" w:sz="4" w:space="0" w:color="auto"/>
              <w:left w:val="single" w:sz="4" w:space="0" w:color="auto"/>
              <w:bottom w:val="single" w:sz="4" w:space="0" w:color="auto"/>
              <w:right w:val="single" w:sz="4" w:space="0" w:color="auto"/>
            </w:tcBorders>
          </w:tcPr>
          <w:p w14:paraId="19ADA18C" w14:textId="77777777" w:rsidR="004A0361" w:rsidRPr="009D5352" w:rsidRDefault="004A0361">
            <w:pPr>
              <w:rPr>
                <w:sz w:val="10"/>
                <w:szCs w:val="10"/>
              </w:rPr>
            </w:pPr>
          </w:p>
          <w:p w14:paraId="351B445D" w14:textId="77777777" w:rsidR="004A0361" w:rsidRPr="009D5352" w:rsidRDefault="004A0361">
            <w:pPr>
              <w:rPr>
                <w:rFonts w:eastAsia="Calibri"/>
                <w:sz w:val="22"/>
                <w:szCs w:val="22"/>
              </w:rPr>
            </w:pPr>
            <w:r w:rsidRPr="009D5352">
              <w:rPr>
                <w:rFonts w:eastAsia="Calibri"/>
                <w:sz w:val="22"/>
                <w:szCs w:val="22"/>
              </w:rPr>
              <w:fldChar w:fldCharType="begin" w:fldLock="1">
                <w:ffData>
                  <w:name w:val="Check2"/>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Ne</w:t>
            </w:r>
          </w:p>
        </w:tc>
        <w:tc>
          <w:tcPr>
            <w:tcW w:w="1120" w:type="pct"/>
            <w:tcBorders>
              <w:top w:val="single" w:sz="4" w:space="0" w:color="auto"/>
              <w:left w:val="single" w:sz="4" w:space="0" w:color="auto"/>
              <w:bottom w:val="single" w:sz="4" w:space="0" w:color="auto"/>
              <w:right w:val="single" w:sz="4" w:space="0" w:color="auto"/>
            </w:tcBorders>
          </w:tcPr>
          <w:p w14:paraId="721A68B7" w14:textId="77777777" w:rsidR="004A0361" w:rsidRPr="009D5352" w:rsidRDefault="004A0361">
            <w:pPr>
              <w:rPr>
                <w:sz w:val="10"/>
                <w:szCs w:val="10"/>
              </w:rPr>
            </w:pPr>
          </w:p>
          <w:p w14:paraId="7A3038E0" w14:textId="77777777" w:rsidR="004A0361" w:rsidRPr="009D5352" w:rsidRDefault="004A0361">
            <w:pPr>
              <w:ind w:firstLine="57"/>
              <w:rPr>
                <w:rFonts w:eastAsia="Calibri"/>
                <w:sz w:val="22"/>
                <w:szCs w:val="22"/>
              </w:rPr>
            </w:pPr>
            <w:r w:rsidRPr="009D5352">
              <w:rPr>
                <w:rFonts w:eastAsia="Calibri"/>
                <w:sz w:val="22"/>
                <w:szCs w:val="22"/>
              </w:rPr>
              <w:fldChar w:fldCharType="begin" w:fldLock="1">
                <w:ffData>
                  <w:name w:val="Check2"/>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Nevertinama</w:t>
            </w:r>
          </w:p>
        </w:tc>
      </w:tr>
      <w:tr w:rsidR="004A0361" w:rsidRPr="009D5352" w14:paraId="1FBB7DDF" w14:textId="77777777">
        <w:tc>
          <w:tcPr>
            <w:tcW w:w="5000" w:type="pct"/>
            <w:gridSpan w:val="5"/>
            <w:tcBorders>
              <w:top w:val="single" w:sz="4" w:space="0" w:color="auto"/>
              <w:left w:val="single" w:sz="4" w:space="0" w:color="auto"/>
              <w:bottom w:val="single" w:sz="4" w:space="0" w:color="auto"/>
              <w:right w:val="single" w:sz="4" w:space="0" w:color="auto"/>
            </w:tcBorders>
          </w:tcPr>
          <w:p w14:paraId="358E271A" w14:textId="77777777" w:rsidR="004A0361" w:rsidRPr="009D5352" w:rsidRDefault="004A0361">
            <w:pPr>
              <w:jc w:val="both"/>
              <w:rPr>
                <w:rFonts w:eastAsia="Calibri"/>
                <w:sz w:val="22"/>
                <w:szCs w:val="22"/>
              </w:rPr>
            </w:pPr>
            <w:r w:rsidRPr="009D5352">
              <w:rPr>
                <w:rFonts w:eastAsia="Calibri"/>
                <w:b/>
                <w:sz w:val="22"/>
                <w:szCs w:val="22"/>
              </w:rPr>
              <w:t>Išskirtinė ekonominė nauda</w:t>
            </w:r>
            <w:r w:rsidRPr="009D5352">
              <w:rPr>
                <w:rFonts w:eastAsia="Calibri"/>
                <w:sz w:val="22"/>
                <w:szCs w:val="22"/>
              </w:rPr>
              <w:t>.</w:t>
            </w:r>
            <w:r w:rsidRPr="009D5352">
              <w:rPr>
                <w:rFonts w:ascii="Calibri" w:eastAsia="Calibri" w:hAnsi="Calibri"/>
                <w:sz w:val="22"/>
                <w:szCs w:val="22"/>
              </w:rPr>
              <w:t xml:space="preserve"> </w:t>
            </w:r>
            <w:r w:rsidRPr="009D5352">
              <w:rPr>
                <w:rFonts w:eastAsia="Calibri"/>
                <w:sz w:val="22"/>
                <w:szCs w:val="22"/>
              </w:rPr>
              <w:t xml:space="preserve">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 / 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297ED023" w14:textId="77777777" w:rsidR="004A0361" w:rsidRPr="009D5352" w:rsidRDefault="004A0361">
            <w:pPr>
              <w:jc w:val="both"/>
              <w:rPr>
                <w:rFonts w:eastAsia="Calibri"/>
                <w:sz w:val="22"/>
                <w:szCs w:val="22"/>
              </w:rPr>
            </w:pPr>
            <w:r w:rsidRPr="009D5352">
              <w:rPr>
                <w:rFonts w:eastAsia="Calibri"/>
                <w:sz w:val="22"/>
                <w:szCs w:val="22"/>
              </w:rPr>
              <w:t>Siekiant nustatyti, ar finansavimas suteikią išskirtinę ekonominę naudą,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01039155" w14:textId="77777777" w:rsidR="004A0361" w:rsidRPr="009D5352" w:rsidRDefault="004A0361">
            <w:pPr>
              <w:jc w:val="both"/>
              <w:rPr>
                <w:rFonts w:eastAsia="Calibri"/>
                <w:sz w:val="22"/>
                <w:szCs w:val="22"/>
              </w:rPr>
            </w:pPr>
          </w:p>
          <w:p w14:paraId="00EB095A" w14:textId="77777777" w:rsidR="004A0361" w:rsidRPr="009D5352" w:rsidRDefault="004A0361">
            <w:pPr>
              <w:jc w:val="both"/>
              <w:rPr>
                <w:rFonts w:eastAsia="Calibri"/>
                <w:sz w:val="22"/>
                <w:szCs w:val="22"/>
              </w:rPr>
            </w:pPr>
            <w:r w:rsidRPr="009D5352">
              <w:rPr>
                <w:rFonts w:eastAsia="Calibri"/>
                <w:sz w:val="22"/>
                <w:szCs w:val="22"/>
              </w:rPr>
              <w:t>Jei numatoma, kad finansavimas bus skiriamas ūkio subjekto sąnaudoms, atsiradusioms dėl viešųjų, arba visuotinės ekonominės svarbos, paslaugų įsipareigojimų</w:t>
            </w:r>
            <w:r w:rsidRPr="009D5352">
              <w:rPr>
                <w:rFonts w:eastAsia="Calibri"/>
                <w:sz w:val="22"/>
                <w:szCs w:val="22"/>
                <w:vertAlign w:val="superscript"/>
              </w:rPr>
              <w:footnoteReference w:id="5"/>
            </w:r>
            <w:r w:rsidRPr="009D5352">
              <w:rPr>
                <w:rFonts w:eastAsia="Calibri"/>
                <w:sz w:val="22"/>
                <w:szCs w:val="22"/>
              </w:rPr>
              <w:t xml:space="preserve"> valstybei (savivaldybei), padengti, išskirtinės ekonominės naudos buvimas vertinamas pagal </w:t>
            </w:r>
            <w:proofErr w:type="spellStart"/>
            <w:r w:rsidRPr="009D5352">
              <w:rPr>
                <w:rFonts w:eastAsia="Calibri"/>
                <w:i/>
                <w:sz w:val="22"/>
                <w:szCs w:val="22"/>
              </w:rPr>
              <w:t>Altmark</w:t>
            </w:r>
            <w:proofErr w:type="spellEnd"/>
            <w:r w:rsidRPr="009D5352">
              <w:rPr>
                <w:rFonts w:eastAsia="Calibri"/>
                <w:i/>
                <w:sz w:val="22"/>
                <w:szCs w:val="22"/>
                <w:vertAlign w:val="superscript"/>
              </w:rPr>
              <w:footnoteReference w:id="6"/>
            </w:r>
            <w:r w:rsidRPr="009D5352">
              <w:rPr>
                <w:rFonts w:eastAsia="Calibri"/>
                <w:i/>
                <w:sz w:val="22"/>
                <w:szCs w:val="22"/>
              </w:rPr>
              <w:t xml:space="preserve"> </w:t>
            </w:r>
            <w:r w:rsidRPr="009D5352">
              <w:rPr>
                <w:rFonts w:eastAsia="Calibri"/>
                <w:sz w:val="22"/>
                <w:szCs w:val="22"/>
              </w:rPr>
              <w:t>kriterijus. Ūkio subjektui nėra suteikiama išskirtinė ekonominė nauda, jeigu:</w:t>
            </w:r>
          </w:p>
          <w:p w14:paraId="53D28043" w14:textId="77777777" w:rsidR="004A0361" w:rsidRPr="009D5352" w:rsidRDefault="004A0361">
            <w:pPr>
              <w:spacing w:line="276" w:lineRule="auto"/>
              <w:ind w:left="644" w:hanging="360"/>
              <w:jc w:val="both"/>
              <w:rPr>
                <w:rFonts w:eastAsia="Calibri"/>
                <w:sz w:val="22"/>
                <w:szCs w:val="22"/>
              </w:rPr>
            </w:pPr>
            <w:r w:rsidRPr="009D5352">
              <w:rPr>
                <w:b/>
                <w:sz w:val="28"/>
                <w:szCs w:val="22"/>
              </w:rPr>
              <w:t>-</w:t>
            </w:r>
            <w:r w:rsidRPr="009D5352">
              <w:rPr>
                <w:b/>
                <w:sz w:val="28"/>
                <w:szCs w:val="22"/>
              </w:rPr>
              <w:tab/>
            </w:r>
            <w:r w:rsidRPr="009D5352">
              <w:rPr>
                <w:rFonts w:eastAsia="Calibri"/>
                <w:sz w:val="22"/>
                <w:szCs w:val="22"/>
              </w:rPr>
              <w:t>veikla atitinka visuotinės ekonominės svarbos paslaugų požymius</w:t>
            </w:r>
            <w:r w:rsidRPr="009D5352">
              <w:rPr>
                <w:rFonts w:eastAsia="Calibri"/>
                <w:sz w:val="22"/>
                <w:szCs w:val="22"/>
                <w:vertAlign w:val="superscript"/>
              </w:rPr>
              <w:footnoteReference w:id="7"/>
            </w:r>
            <w:r w:rsidRPr="009D5352">
              <w:rPr>
                <w:rFonts w:eastAsia="Calibri"/>
                <w:sz w:val="22"/>
                <w:szCs w:val="22"/>
              </w:rPr>
              <w:t>, jos užduotys ir įpareigojimai aiškiai apibrėžti;</w:t>
            </w:r>
          </w:p>
          <w:p w14:paraId="4D8F6304" w14:textId="77777777" w:rsidR="004A0361" w:rsidRPr="009D5352" w:rsidRDefault="004A0361">
            <w:pPr>
              <w:spacing w:line="276" w:lineRule="auto"/>
              <w:ind w:left="644" w:hanging="360"/>
              <w:jc w:val="both"/>
              <w:rPr>
                <w:rFonts w:eastAsia="Calibri"/>
                <w:sz w:val="22"/>
                <w:szCs w:val="22"/>
              </w:rPr>
            </w:pPr>
            <w:r w:rsidRPr="009D5352">
              <w:rPr>
                <w:b/>
                <w:sz w:val="28"/>
                <w:szCs w:val="22"/>
              </w:rPr>
              <w:t>-</w:t>
            </w:r>
            <w:r w:rsidRPr="009D5352">
              <w:rPr>
                <w:b/>
                <w:sz w:val="28"/>
                <w:szCs w:val="22"/>
              </w:rPr>
              <w:tab/>
            </w:r>
            <w:r w:rsidRPr="009D5352">
              <w:rPr>
                <w:rFonts w:eastAsia="Calibri"/>
                <w:sz w:val="22"/>
                <w:szCs w:val="22"/>
              </w:rPr>
              <w:t>viešųjų paslaugos išlaidų kompensavimo kriterijai objektyvūs, skaidrūs ir nustatyti iš anksto;</w:t>
            </w:r>
          </w:p>
          <w:p w14:paraId="10D6656D" w14:textId="77777777" w:rsidR="004A0361" w:rsidRPr="009D5352" w:rsidRDefault="004A0361">
            <w:pPr>
              <w:spacing w:line="276" w:lineRule="auto"/>
              <w:ind w:left="644" w:hanging="360"/>
              <w:jc w:val="both"/>
              <w:rPr>
                <w:rFonts w:eastAsia="Calibri"/>
                <w:sz w:val="22"/>
                <w:szCs w:val="22"/>
              </w:rPr>
            </w:pPr>
            <w:r w:rsidRPr="009D5352">
              <w:rPr>
                <w:b/>
                <w:sz w:val="28"/>
                <w:szCs w:val="22"/>
              </w:rPr>
              <w:t>-</w:t>
            </w:r>
            <w:r w:rsidRPr="009D5352">
              <w:rPr>
                <w:b/>
                <w:sz w:val="28"/>
                <w:szCs w:val="22"/>
              </w:rPr>
              <w:tab/>
            </w:r>
            <w:r w:rsidRPr="009D5352">
              <w:rPr>
                <w:rFonts w:eastAsia="Calibri"/>
                <w:sz w:val="22"/>
                <w:szCs w:val="22"/>
              </w:rPr>
              <w:t xml:space="preserve">kompensacija neviršija grynųjų paslaugos teikimo sąnaudų, įskaitant pagrįstą pelną (t. y. kompensuojama nepermokant); ir </w:t>
            </w:r>
          </w:p>
          <w:p w14:paraId="0BFDB954" w14:textId="77777777" w:rsidR="004A0361" w:rsidRPr="009D5352" w:rsidRDefault="004A0361">
            <w:pPr>
              <w:spacing w:line="276" w:lineRule="auto"/>
              <w:ind w:left="644" w:hanging="360"/>
              <w:jc w:val="both"/>
              <w:rPr>
                <w:rFonts w:eastAsia="Calibri"/>
                <w:sz w:val="22"/>
                <w:szCs w:val="22"/>
              </w:rPr>
            </w:pPr>
            <w:r w:rsidRPr="009D5352">
              <w:rPr>
                <w:b/>
                <w:sz w:val="28"/>
                <w:szCs w:val="22"/>
              </w:rPr>
              <w:t>-</w:t>
            </w:r>
            <w:r w:rsidRPr="009D5352">
              <w:rPr>
                <w:b/>
                <w:sz w:val="28"/>
                <w:szCs w:val="22"/>
              </w:rPr>
              <w:tab/>
            </w:r>
            <w:r w:rsidRPr="009D5352">
              <w:rPr>
                <w:rFonts w:eastAsia="Calibri"/>
                <w:sz w:val="22"/>
                <w:szCs w:val="22"/>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4A0361" w:rsidRPr="009D5352" w14:paraId="6C2E93F1"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76D889E2" w14:textId="77777777" w:rsidR="004A0361" w:rsidRPr="009D5352" w:rsidRDefault="004A0361">
            <w:pPr>
              <w:jc w:val="center"/>
              <w:rPr>
                <w:rFonts w:eastAsia="Calibri"/>
                <w:b/>
                <w:sz w:val="22"/>
                <w:szCs w:val="22"/>
              </w:rPr>
            </w:pPr>
            <w:r w:rsidRPr="009D5352">
              <w:rPr>
                <w:rFonts w:eastAsia="Calibri"/>
                <w:b/>
                <w:sz w:val="22"/>
                <w:szCs w:val="22"/>
              </w:rPr>
              <w:t>Pasirinkimo pagrindimas</w:t>
            </w:r>
          </w:p>
        </w:tc>
      </w:tr>
      <w:tr w:rsidR="004A0361" w:rsidRPr="009D5352" w14:paraId="43D84F59"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51EE73AB" w14:textId="77777777" w:rsidR="004A0361" w:rsidRPr="009D5352" w:rsidRDefault="004A0361">
            <w:pPr>
              <w:jc w:val="both"/>
              <w:rPr>
                <w:rFonts w:eastAsia="Calibri"/>
                <w:i/>
                <w:sz w:val="22"/>
                <w:szCs w:val="22"/>
              </w:rPr>
            </w:pPr>
            <w:r w:rsidRPr="009D5352">
              <w:rPr>
                <w:rFonts w:eastAsia="Calibri"/>
                <w:i/>
                <w:sz w:val="22"/>
                <w:szCs w:val="22"/>
              </w:rPr>
              <w:t>(Pagrįskite savo pasirinkimą)</w:t>
            </w:r>
          </w:p>
        </w:tc>
      </w:tr>
      <w:tr w:rsidR="004A0361" w:rsidRPr="009D5352" w14:paraId="489232EA" w14:textId="77777777">
        <w:tc>
          <w:tcPr>
            <w:tcW w:w="319" w:type="pct"/>
            <w:tcBorders>
              <w:top w:val="single" w:sz="4" w:space="0" w:color="auto"/>
              <w:left w:val="single" w:sz="4" w:space="0" w:color="auto"/>
              <w:bottom w:val="single" w:sz="4" w:space="0" w:color="auto"/>
              <w:right w:val="single" w:sz="4" w:space="0" w:color="auto"/>
            </w:tcBorders>
            <w:hideMark/>
          </w:tcPr>
          <w:p w14:paraId="5C68D635" w14:textId="77777777" w:rsidR="004A0361" w:rsidRPr="009D5352" w:rsidRDefault="004A0361">
            <w:pPr>
              <w:spacing w:line="276" w:lineRule="auto"/>
              <w:ind w:left="360" w:hanging="360"/>
              <w:rPr>
                <w:rFonts w:eastAsia="Calibri"/>
                <w:b/>
                <w:sz w:val="22"/>
                <w:szCs w:val="22"/>
              </w:rPr>
            </w:pPr>
            <w:r w:rsidRPr="009D5352">
              <w:rPr>
                <w:rFonts w:eastAsia="Calibri"/>
                <w:b/>
                <w:sz w:val="22"/>
                <w:szCs w:val="22"/>
              </w:rPr>
              <w:lastRenderedPageBreak/>
              <w:t>3.</w:t>
            </w:r>
            <w:r w:rsidRPr="009D5352">
              <w:rPr>
                <w:rFonts w:eastAsia="Calibri"/>
                <w:b/>
                <w:sz w:val="22"/>
                <w:szCs w:val="22"/>
              </w:rPr>
              <w:tab/>
            </w:r>
          </w:p>
        </w:tc>
        <w:tc>
          <w:tcPr>
            <w:tcW w:w="2303" w:type="pct"/>
            <w:tcBorders>
              <w:top w:val="single" w:sz="4" w:space="0" w:color="auto"/>
              <w:left w:val="single" w:sz="4" w:space="0" w:color="auto"/>
              <w:bottom w:val="single" w:sz="4" w:space="0" w:color="auto"/>
              <w:right w:val="single" w:sz="4" w:space="0" w:color="auto"/>
            </w:tcBorders>
          </w:tcPr>
          <w:p w14:paraId="3CEE9708" w14:textId="77777777" w:rsidR="004A0361" w:rsidRPr="009D5352" w:rsidRDefault="004A0361">
            <w:pPr>
              <w:rPr>
                <w:sz w:val="10"/>
                <w:szCs w:val="10"/>
              </w:rPr>
            </w:pPr>
          </w:p>
          <w:p w14:paraId="2824D756" w14:textId="77777777" w:rsidR="004A0361" w:rsidRPr="009D5352" w:rsidRDefault="004A0361">
            <w:pPr>
              <w:jc w:val="both"/>
              <w:rPr>
                <w:rFonts w:eastAsia="Calibri"/>
                <w:b/>
                <w:sz w:val="22"/>
                <w:szCs w:val="22"/>
              </w:rPr>
            </w:pPr>
            <w:r w:rsidRPr="009D5352">
              <w:rPr>
                <w:rFonts w:eastAsia="Calibri"/>
                <w:b/>
                <w:sz w:val="22"/>
                <w:szCs w:val="22"/>
              </w:rPr>
              <w:t>Ar finansavimą numatoma teikti / teikiamas tam tikroms pasirinktoms prekėms gaminti ar paslaugoms teikti, arba tam tikriems pasirinktiems ūkio subjektams (-ui), t. y. ar finansavimo priemonė yra selektyvaus pobūdžio?</w:t>
            </w:r>
          </w:p>
        </w:tc>
        <w:tc>
          <w:tcPr>
            <w:tcW w:w="632" w:type="pct"/>
            <w:tcBorders>
              <w:top w:val="single" w:sz="4" w:space="0" w:color="auto"/>
              <w:left w:val="single" w:sz="4" w:space="0" w:color="auto"/>
              <w:bottom w:val="single" w:sz="4" w:space="0" w:color="auto"/>
              <w:right w:val="single" w:sz="4" w:space="0" w:color="auto"/>
            </w:tcBorders>
          </w:tcPr>
          <w:p w14:paraId="2865D862" w14:textId="77777777" w:rsidR="004A0361" w:rsidRPr="009D5352" w:rsidRDefault="004A0361">
            <w:pPr>
              <w:rPr>
                <w:sz w:val="10"/>
                <w:szCs w:val="10"/>
              </w:rPr>
            </w:pPr>
          </w:p>
          <w:p w14:paraId="662AEEC8" w14:textId="77777777" w:rsidR="004A0361" w:rsidRPr="009D5352" w:rsidRDefault="004A0361">
            <w:pPr>
              <w:rPr>
                <w:rFonts w:eastAsia="Calibri"/>
                <w:sz w:val="22"/>
                <w:szCs w:val="22"/>
              </w:rPr>
            </w:pPr>
            <w:r w:rsidRPr="009D5352">
              <w:rPr>
                <w:rFonts w:eastAsia="Calibri"/>
                <w:sz w:val="22"/>
                <w:szCs w:val="22"/>
              </w:rPr>
              <w:fldChar w:fldCharType="begin" w:fldLock="1">
                <w:ffData>
                  <w:name w:val="Check1"/>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Taip</w:t>
            </w:r>
          </w:p>
        </w:tc>
        <w:tc>
          <w:tcPr>
            <w:tcW w:w="626" w:type="pct"/>
            <w:tcBorders>
              <w:top w:val="single" w:sz="4" w:space="0" w:color="auto"/>
              <w:left w:val="single" w:sz="4" w:space="0" w:color="auto"/>
              <w:bottom w:val="single" w:sz="4" w:space="0" w:color="auto"/>
              <w:right w:val="single" w:sz="4" w:space="0" w:color="auto"/>
            </w:tcBorders>
          </w:tcPr>
          <w:p w14:paraId="18175DED" w14:textId="77777777" w:rsidR="004A0361" w:rsidRPr="009D5352" w:rsidRDefault="004A0361">
            <w:pPr>
              <w:rPr>
                <w:sz w:val="10"/>
                <w:szCs w:val="10"/>
              </w:rPr>
            </w:pPr>
          </w:p>
          <w:p w14:paraId="537B1CD2" w14:textId="77777777" w:rsidR="004A0361" w:rsidRPr="009D5352" w:rsidRDefault="004A0361">
            <w:pPr>
              <w:rPr>
                <w:rFonts w:eastAsia="Calibri"/>
                <w:sz w:val="22"/>
                <w:szCs w:val="22"/>
              </w:rPr>
            </w:pPr>
            <w:r w:rsidRPr="009D5352">
              <w:rPr>
                <w:rFonts w:eastAsia="Calibri"/>
                <w:sz w:val="22"/>
                <w:szCs w:val="22"/>
              </w:rPr>
              <w:fldChar w:fldCharType="begin" w:fldLock="1">
                <w:ffData>
                  <w:name w:val="Check2"/>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Ne</w:t>
            </w:r>
          </w:p>
        </w:tc>
        <w:tc>
          <w:tcPr>
            <w:tcW w:w="1120" w:type="pct"/>
            <w:tcBorders>
              <w:top w:val="single" w:sz="4" w:space="0" w:color="auto"/>
              <w:left w:val="single" w:sz="4" w:space="0" w:color="auto"/>
              <w:bottom w:val="single" w:sz="4" w:space="0" w:color="auto"/>
              <w:right w:val="single" w:sz="4" w:space="0" w:color="auto"/>
            </w:tcBorders>
          </w:tcPr>
          <w:p w14:paraId="350D8852" w14:textId="77777777" w:rsidR="004A0361" w:rsidRPr="009D5352" w:rsidRDefault="004A0361">
            <w:pPr>
              <w:rPr>
                <w:sz w:val="10"/>
                <w:szCs w:val="10"/>
              </w:rPr>
            </w:pPr>
          </w:p>
          <w:p w14:paraId="63337812" w14:textId="77777777" w:rsidR="004A0361" w:rsidRPr="009D5352" w:rsidRDefault="004A0361">
            <w:pPr>
              <w:ind w:firstLine="57"/>
              <w:rPr>
                <w:rFonts w:eastAsia="Calibri"/>
                <w:sz w:val="22"/>
                <w:szCs w:val="22"/>
              </w:rPr>
            </w:pPr>
            <w:r w:rsidRPr="009D5352">
              <w:rPr>
                <w:rFonts w:eastAsia="Calibri"/>
                <w:sz w:val="22"/>
                <w:szCs w:val="22"/>
              </w:rPr>
              <w:fldChar w:fldCharType="begin" w:fldLock="1">
                <w:ffData>
                  <w:name w:val="Check2"/>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Nevertinama</w:t>
            </w:r>
          </w:p>
        </w:tc>
      </w:tr>
      <w:tr w:rsidR="004A0361" w:rsidRPr="009D5352" w14:paraId="5029F8D2"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2BB815D3" w14:textId="77777777" w:rsidR="004A0361" w:rsidRPr="009D5352" w:rsidRDefault="004A0361">
            <w:pPr>
              <w:jc w:val="both"/>
              <w:rPr>
                <w:rFonts w:eastAsia="Calibri"/>
                <w:sz w:val="22"/>
                <w:szCs w:val="22"/>
              </w:rPr>
            </w:pPr>
            <w:r w:rsidRPr="009D5352">
              <w:rPr>
                <w:rFonts w:eastAsia="Calibri"/>
                <w:b/>
                <w:sz w:val="22"/>
                <w:szCs w:val="22"/>
              </w:rPr>
              <w:t>Pasirinktinis finansavimo priemonės taikymas (selektyvumas).</w:t>
            </w:r>
            <w:r w:rsidRPr="009D5352">
              <w:rPr>
                <w:rFonts w:eastAsia="Calibri"/>
                <w:sz w:val="22"/>
                <w:szCs w:val="22"/>
              </w:rPr>
              <w:t xml:space="preserve"> Pasirinktinai taikomos finansavimo priemonės – tai priemonės, kurios yra skirtos atskiro regiono plėtrai (tame regione esantiems ūkio subjektams), atskiroms veiklos rūšims paremti (finansavimo /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sidRPr="009D5352">
              <w:rPr>
                <w:rFonts w:eastAsia="Calibri"/>
                <w:sz w:val="22"/>
                <w:szCs w:val="22"/>
              </w:rPr>
              <w:t>diskrecijos</w:t>
            </w:r>
            <w:proofErr w:type="spellEnd"/>
            <w:r w:rsidRPr="009D5352">
              <w:rPr>
                <w:rFonts w:eastAsia="Calibri"/>
                <w:sz w:val="22"/>
                <w:szCs w:val="22"/>
              </w:rPr>
              <w:t xml:space="preserve"> teise. </w:t>
            </w:r>
          </w:p>
        </w:tc>
      </w:tr>
      <w:tr w:rsidR="004A0361" w:rsidRPr="009D5352" w14:paraId="06CA3E7A"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753B80D4" w14:textId="77777777" w:rsidR="004A0361" w:rsidRPr="009D5352" w:rsidRDefault="004A0361">
            <w:pPr>
              <w:jc w:val="center"/>
              <w:rPr>
                <w:rFonts w:eastAsia="Calibri"/>
                <w:b/>
                <w:sz w:val="22"/>
                <w:szCs w:val="22"/>
              </w:rPr>
            </w:pPr>
            <w:r w:rsidRPr="009D5352">
              <w:rPr>
                <w:rFonts w:eastAsia="Calibri"/>
                <w:b/>
                <w:sz w:val="22"/>
                <w:szCs w:val="22"/>
              </w:rPr>
              <w:t>Pasirinkimo pagrindimas</w:t>
            </w:r>
          </w:p>
        </w:tc>
      </w:tr>
      <w:tr w:rsidR="004A0361" w:rsidRPr="009D5352" w14:paraId="77C8E38D"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17CB92BC" w14:textId="77777777" w:rsidR="004A0361" w:rsidRPr="009D5352" w:rsidRDefault="004A0361">
            <w:pPr>
              <w:jc w:val="both"/>
              <w:rPr>
                <w:rFonts w:eastAsia="Calibri"/>
                <w:i/>
                <w:sz w:val="22"/>
                <w:szCs w:val="22"/>
              </w:rPr>
            </w:pPr>
            <w:r w:rsidRPr="009D5352">
              <w:rPr>
                <w:rFonts w:eastAsia="Calibri"/>
                <w:i/>
                <w:sz w:val="22"/>
                <w:szCs w:val="22"/>
              </w:rPr>
              <w:t>(Pagrįskite savo pasirinkimą)</w:t>
            </w:r>
          </w:p>
        </w:tc>
      </w:tr>
      <w:tr w:rsidR="004A0361" w:rsidRPr="009D5352" w14:paraId="278F4027" w14:textId="77777777">
        <w:tc>
          <w:tcPr>
            <w:tcW w:w="319" w:type="pct"/>
            <w:tcBorders>
              <w:top w:val="single" w:sz="4" w:space="0" w:color="auto"/>
              <w:left w:val="single" w:sz="4" w:space="0" w:color="auto"/>
              <w:bottom w:val="single" w:sz="4" w:space="0" w:color="auto"/>
              <w:right w:val="single" w:sz="4" w:space="0" w:color="auto"/>
            </w:tcBorders>
            <w:hideMark/>
          </w:tcPr>
          <w:p w14:paraId="70CE8D55" w14:textId="77777777" w:rsidR="004A0361" w:rsidRPr="009D5352" w:rsidRDefault="004A0361">
            <w:pPr>
              <w:spacing w:line="276" w:lineRule="auto"/>
              <w:ind w:left="360" w:hanging="360"/>
              <w:rPr>
                <w:rFonts w:eastAsia="Calibri"/>
                <w:b/>
                <w:sz w:val="22"/>
                <w:szCs w:val="22"/>
              </w:rPr>
            </w:pPr>
            <w:r w:rsidRPr="009D5352">
              <w:rPr>
                <w:rFonts w:eastAsia="Calibri"/>
                <w:b/>
                <w:sz w:val="22"/>
                <w:szCs w:val="22"/>
              </w:rPr>
              <w:t>4.</w:t>
            </w:r>
            <w:r w:rsidRPr="009D5352">
              <w:rPr>
                <w:rFonts w:eastAsia="Calibri"/>
                <w:b/>
                <w:sz w:val="22"/>
                <w:szCs w:val="22"/>
              </w:rPr>
              <w:tab/>
            </w:r>
          </w:p>
        </w:tc>
        <w:tc>
          <w:tcPr>
            <w:tcW w:w="2303" w:type="pct"/>
            <w:tcBorders>
              <w:top w:val="single" w:sz="4" w:space="0" w:color="auto"/>
              <w:left w:val="single" w:sz="4" w:space="0" w:color="auto"/>
              <w:bottom w:val="single" w:sz="4" w:space="0" w:color="auto"/>
              <w:right w:val="single" w:sz="4" w:space="0" w:color="auto"/>
            </w:tcBorders>
          </w:tcPr>
          <w:p w14:paraId="3F10F27C" w14:textId="77777777" w:rsidR="004A0361" w:rsidRPr="009D5352" w:rsidRDefault="004A0361">
            <w:pPr>
              <w:rPr>
                <w:sz w:val="10"/>
                <w:szCs w:val="10"/>
              </w:rPr>
            </w:pPr>
          </w:p>
          <w:p w14:paraId="08335B96" w14:textId="77777777" w:rsidR="004A0361" w:rsidRPr="009D5352" w:rsidRDefault="004A0361">
            <w:pPr>
              <w:rPr>
                <w:rFonts w:eastAsia="Calibri"/>
                <w:b/>
                <w:sz w:val="22"/>
                <w:szCs w:val="22"/>
              </w:rPr>
            </w:pPr>
            <w:r w:rsidRPr="009D5352">
              <w:rPr>
                <w:rFonts w:eastAsia="Calibri"/>
                <w:b/>
                <w:sz w:val="22"/>
                <w:szCs w:val="22"/>
              </w:rPr>
              <w:t>Ar finansavimas gali iškraipyti konkurenciją ir veikti prekybą tarp ES šalių?</w:t>
            </w:r>
          </w:p>
        </w:tc>
        <w:tc>
          <w:tcPr>
            <w:tcW w:w="632" w:type="pct"/>
            <w:tcBorders>
              <w:top w:val="single" w:sz="4" w:space="0" w:color="auto"/>
              <w:left w:val="single" w:sz="4" w:space="0" w:color="auto"/>
              <w:bottom w:val="single" w:sz="4" w:space="0" w:color="auto"/>
              <w:right w:val="single" w:sz="4" w:space="0" w:color="auto"/>
            </w:tcBorders>
          </w:tcPr>
          <w:p w14:paraId="354D497B" w14:textId="77777777" w:rsidR="004A0361" w:rsidRPr="009D5352" w:rsidRDefault="004A0361">
            <w:pPr>
              <w:rPr>
                <w:sz w:val="10"/>
                <w:szCs w:val="10"/>
              </w:rPr>
            </w:pPr>
          </w:p>
          <w:p w14:paraId="7108D22A" w14:textId="77777777" w:rsidR="004A0361" w:rsidRPr="009D5352" w:rsidRDefault="004A0361">
            <w:pPr>
              <w:rPr>
                <w:rFonts w:eastAsia="Calibri"/>
                <w:sz w:val="22"/>
                <w:szCs w:val="22"/>
              </w:rPr>
            </w:pPr>
            <w:r w:rsidRPr="009D5352">
              <w:rPr>
                <w:rFonts w:eastAsia="Calibri"/>
                <w:sz w:val="22"/>
                <w:szCs w:val="22"/>
              </w:rPr>
              <w:fldChar w:fldCharType="begin" w:fldLock="1">
                <w:ffData>
                  <w:name w:val="Check1"/>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Taip</w:t>
            </w:r>
          </w:p>
        </w:tc>
        <w:tc>
          <w:tcPr>
            <w:tcW w:w="626" w:type="pct"/>
            <w:tcBorders>
              <w:top w:val="single" w:sz="4" w:space="0" w:color="auto"/>
              <w:left w:val="single" w:sz="4" w:space="0" w:color="auto"/>
              <w:bottom w:val="single" w:sz="4" w:space="0" w:color="auto"/>
              <w:right w:val="single" w:sz="4" w:space="0" w:color="auto"/>
            </w:tcBorders>
          </w:tcPr>
          <w:p w14:paraId="7A739755" w14:textId="77777777" w:rsidR="004A0361" w:rsidRPr="009D5352" w:rsidRDefault="004A0361">
            <w:pPr>
              <w:rPr>
                <w:sz w:val="10"/>
                <w:szCs w:val="10"/>
              </w:rPr>
            </w:pPr>
          </w:p>
          <w:p w14:paraId="3F817E4E" w14:textId="77777777" w:rsidR="004A0361" w:rsidRPr="009D5352" w:rsidRDefault="004A0361">
            <w:pPr>
              <w:rPr>
                <w:rFonts w:eastAsia="Calibri"/>
                <w:sz w:val="22"/>
                <w:szCs w:val="22"/>
              </w:rPr>
            </w:pPr>
            <w:r w:rsidRPr="009D5352">
              <w:rPr>
                <w:rFonts w:eastAsia="Calibri"/>
                <w:sz w:val="22"/>
                <w:szCs w:val="22"/>
              </w:rPr>
              <w:fldChar w:fldCharType="begin" w:fldLock="1">
                <w:ffData>
                  <w:name w:val="Check2"/>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Ne</w:t>
            </w:r>
          </w:p>
        </w:tc>
        <w:tc>
          <w:tcPr>
            <w:tcW w:w="1120" w:type="pct"/>
            <w:tcBorders>
              <w:top w:val="single" w:sz="4" w:space="0" w:color="auto"/>
              <w:left w:val="single" w:sz="4" w:space="0" w:color="auto"/>
              <w:bottom w:val="single" w:sz="4" w:space="0" w:color="auto"/>
              <w:right w:val="single" w:sz="4" w:space="0" w:color="auto"/>
            </w:tcBorders>
          </w:tcPr>
          <w:p w14:paraId="65D75BDD" w14:textId="77777777" w:rsidR="004A0361" w:rsidRPr="009D5352" w:rsidRDefault="004A0361">
            <w:pPr>
              <w:rPr>
                <w:sz w:val="10"/>
                <w:szCs w:val="10"/>
              </w:rPr>
            </w:pPr>
          </w:p>
          <w:p w14:paraId="11EC0BD9" w14:textId="77777777" w:rsidR="004A0361" w:rsidRPr="009D5352" w:rsidRDefault="004A0361">
            <w:pPr>
              <w:ind w:firstLine="57"/>
              <w:rPr>
                <w:rFonts w:eastAsia="Calibri"/>
                <w:sz w:val="22"/>
                <w:szCs w:val="22"/>
              </w:rPr>
            </w:pPr>
            <w:r w:rsidRPr="009D5352">
              <w:rPr>
                <w:rFonts w:eastAsia="Calibri"/>
                <w:sz w:val="22"/>
                <w:szCs w:val="22"/>
              </w:rPr>
              <w:fldChar w:fldCharType="begin" w:fldLock="1">
                <w:ffData>
                  <w:name w:val="Check2"/>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Nevertinama</w:t>
            </w:r>
          </w:p>
        </w:tc>
      </w:tr>
      <w:tr w:rsidR="004A0361" w:rsidRPr="009D5352" w14:paraId="44821C00"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3D9CD41C" w14:textId="77777777" w:rsidR="004A0361" w:rsidRPr="009D5352" w:rsidRDefault="004A0361">
            <w:pPr>
              <w:jc w:val="both"/>
              <w:rPr>
                <w:rFonts w:eastAsia="Calibri"/>
                <w:sz w:val="22"/>
                <w:szCs w:val="22"/>
              </w:rPr>
            </w:pPr>
            <w:r w:rsidRPr="009D5352">
              <w:rPr>
                <w:rFonts w:eastAsia="Calibri"/>
                <w:b/>
                <w:sz w:val="22"/>
                <w:szCs w:val="22"/>
              </w:rPr>
              <w:t>Poveikis konkurencijai ir prekybai tarp ES šalių.</w:t>
            </w:r>
            <w:r w:rsidRPr="009D5352">
              <w:rPr>
                <w:rFonts w:eastAsia="Calibri"/>
                <w:sz w:val="22"/>
                <w:szCs w:val="22"/>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4A0361" w:rsidRPr="009D5352" w14:paraId="130484BD"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4E790012" w14:textId="77777777" w:rsidR="004A0361" w:rsidRPr="009D5352" w:rsidRDefault="004A0361">
            <w:pPr>
              <w:jc w:val="center"/>
              <w:rPr>
                <w:rFonts w:eastAsia="Calibri"/>
                <w:b/>
                <w:sz w:val="22"/>
                <w:szCs w:val="22"/>
              </w:rPr>
            </w:pPr>
            <w:r w:rsidRPr="009D5352">
              <w:rPr>
                <w:rFonts w:eastAsia="Calibri"/>
                <w:b/>
                <w:sz w:val="22"/>
                <w:szCs w:val="22"/>
              </w:rPr>
              <w:t>Pasirinkimo pagrindimas</w:t>
            </w:r>
          </w:p>
        </w:tc>
      </w:tr>
      <w:tr w:rsidR="004A0361" w:rsidRPr="009D5352" w14:paraId="515B3130"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2F65041A" w14:textId="77777777" w:rsidR="004A0361" w:rsidRPr="009D5352" w:rsidRDefault="004A0361">
            <w:pPr>
              <w:jc w:val="both"/>
              <w:rPr>
                <w:rFonts w:eastAsia="Calibri"/>
                <w:i/>
                <w:sz w:val="22"/>
                <w:szCs w:val="22"/>
              </w:rPr>
            </w:pPr>
            <w:r w:rsidRPr="009D5352">
              <w:rPr>
                <w:rFonts w:eastAsia="Calibri"/>
                <w:i/>
                <w:sz w:val="22"/>
                <w:szCs w:val="22"/>
              </w:rPr>
              <w:t>(Pagrįskite savo pasirinkimą)</w:t>
            </w:r>
          </w:p>
        </w:tc>
      </w:tr>
      <w:tr w:rsidR="004A0361" w:rsidRPr="009D5352" w14:paraId="01D87E5A" w14:textId="77777777">
        <w:tc>
          <w:tcPr>
            <w:tcW w:w="5000" w:type="pct"/>
            <w:gridSpan w:val="5"/>
            <w:tcBorders>
              <w:top w:val="single" w:sz="4" w:space="0" w:color="auto"/>
              <w:left w:val="single" w:sz="4" w:space="0" w:color="auto"/>
              <w:bottom w:val="single" w:sz="4" w:space="0" w:color="auto"/>
              <w:right w:val="single" w:sz="4" w:space="0" w:color="auto"/>
            </w:tcBorders>
            <w:shd w:val="pct20" w:color="auto" w:fill="auto"/>
            <w:hideMark/>
          </w:tcPr>
          <w:p w14:paraId="327ACCD0" w14:textId="77777777" w:rsidR="004A0361" w:rsidRPr="009D5352" w:rsidRDefault="004A0361">
            <w:pPr>
              <w:spacing w:line="276" w:lineRule="auto"/>
              <w:ind w:left="720" w:hanging="360"/>
              <w:jc w:val="both"/>
              <w:rPr>
                <w:rFonts w:eastAsia="Calibri"/>
                <w:b/>
                <w:sz w:val="22"/>
                <w:szCs w:val="22"/>
              </w:rPr>
            </w:pPr>
            <w:r w:rsidRPr="009D5352">
              <w:rPr>
                <w:rFonts w:eastAsia="Calibri"/>
                <w:b/>
                <w:sz w:val="22"/>
                <w:szCs w:val="22"/>
              </w:rPr>
              <w:t>II.</w:t>
            </w:r>
            <w:r w:rsidRPr="009D5352">
              <w:rPr>
                <w:rFonts w:eastAsia="Calibri"/>
                <w:b/>
                <w:sz w:val="22"/>
                <w:szCs w:val="22"/>
              </w:rPr>
              <w:tab/>
              <w:t>Išvados dėl valstybės pagalbos (ne)buvimo</w:t>
            </w:r>
          </w:p>
          <w:p w14:paraId="2C102141" w14:textId="77777777" w:rsidR="004A0361" w:rsidRPr="009D5352" w:rsidRDefault="004A0361">
            <w:pPr>
              <w:jc w:val="both"/>
              <w:rPr>
                <w:rFonts w:eastAsia="Calibri"/>
                <w:i/>
                <w:sz w:val="22"/>
                <w:szCs w:val="22"/>
              </w:rPr>
            </w:pPr>
            <w:r w:rsidRPr="009D5352">
              <w:rPr>
                <w:rFonts w:eastAsia="Calibri"/>
                <w:i/>
                <w:sz w:val="22"/>
                <w:szCs w:val="22"/>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4A0361" w:rsidRPr="009D5352" w14:paraId="185628E4" w14:textId="77777777">
        <w:tc>
          <w:tcPr>
            <w:tcW w:w="5000" w:type="pct"/>
            <w:gridSpan w:val="5"/>
            <w:tcBorders>
              <w:top w:val="single" w:sz="4" w:space="0" w:color="auto"/>
              <w:left w:val="single" w:sz="4" w:space="0" w:color="auto"/>
              <w:bottom w:val="single" w:sz="4" w:space="0" w:color="auto"/>
              <w:right w:val="single" w:sz="4" w:space="0" w:color="auto"/>
            </w:tcBorders>
          </w:tcPr>
          <w:p w14:paraId="6973FDF6" w14:textId="77777777" w:rsidR="004A0361" w:rsidRPr="009D5352" w:rsidRDefault="004A0361">
            <w:pPr>
              <w:rPr>
                <w:sz w:val="20"/>
              </w:rPr>
            </w:pPr>
          </w:p>
          <w:p w14:paraId="4208CC36" w14:textId="77777777" w:rsidR="00673BFB" w:rsidRPr="009D5352" w:rsidRDefault="00673BFB">
            <w:pPr>
              <w:rPr>
                <w:sz w:val="20"/>
              </w:rPr>
            </w:pPr>
          </w:p>
          <w:p w14:paraId="21E2BA36" w14:textId="77777777" w:rsidR="004A0361" w:rsidRPr="009D5352" w:rsidRDefault="004A0361">
            <w:pPr>
              <w:spacing w:line="276" w:lineRule="auto"/>
              <w:ind w:firstLine="57"/>
              <w:jc w:val="both"/>
              <w:rPr>
                <w:rFonts w:eastAsia="Calibri"/>
                <w:sz w:val="22"/>
                <w:szCs w:val="22"/>
              </w:rPr>
            </w:pPr>
            <w:r w:rsidRPr="009D5352">
              <w:rPr>
                <w:rFonts w:eastAsia="Calibri"/>
                <w:sz w:val="22"/>
                <w:szCs w:val="22"/>
              </w:rPr>
              <w:fldChar w:fldCharType="begin" w:fldLock="1">
                <w:ffData>
                  <w:name w:val="Check1"/>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 xml:space="preserve">Pagal priemonės veiklą ar </w:t>
            </w:r>
            <w:proofErr w:type="spellStart"/>
            <w:r w:rsidRPr="009D5352">
              <w:rPr>
                <w:rFonts w:eastAsia="Calibri"/>
                <w:sz w:val="22"/>
                <w:szCs w:val="22"/>
              </w:rPr>
              <w:t>poveiklę</w:t>
            </w:r>
            <w:proofErr w:type="spellEnd"/>
            <w:r w:rsidRPr="009D5352">
              <w:rPr>
                <w:rFonts w:eastAsia="Calibri"/>
                <w:sz w:val="22"/>
                <w:szCs w:val="22"/>
              </w:rPr>
              <w:t xml:space="preserve"> / projektui nebus / nėra teikiama valstybės pagalba (žymima, jei į nors vieną I dalies klausimą atsakyta neigiamai). </w:t>
            </w:r>
          </w:p>
          <w:p w14:paraId="120E6D0E" w14:textId="77777777" w:rsidR="004A0361" w:rsidRPr="009D5352" w:rsidRDefault="004A0361">
            <w:pPr>
              <w:rPr>
                <w:sz w:val="20"/>
              </w:rPr>
            </w:pPr>
          </w:p>
          <w:p w14:paraId="5AE45113" w14:textId="77777777" w:rsidR="008A1B0D" w:rsidRPr="009D5352" w:rsidRDefault="008A1B0D">
            <w:pPr>
              <w:rPr>
                <w:sz w:val="20"/>
              </w:rPr>
            </w:pPr>
          </w:p>
          <w:p w14:paraId="4E7A77D8" w14:textId="77777777" w:rsidR="004A0361" w:rsidRPr="009D5352" w:rsidRDefault="004A0361">
            <w:pPr>
              <w:spacing w:line="276" w:lineRule="auto"/>
              <w:ind w:firstLine="57"/>
              <w:jc w:val="both"/>
              <w:rPr>
                <w:rFonts w:eastAsia="Calibri"/>
                <w:sz w:val="22"/>
                <w:szCs w:val="22"/>
              </w:rPr>
            </w:pPr>
            <w:r w:rsidRPr="009D5352">
              <w:rPr>
                <w:rFonts w:eastAsia="Calibri"/>
                <w:sz w:val="22"/>
                <w:szCs w:val="22"/>
              </w:rPr>
              <w:fldChar w:fldCharType="begin" w:fldLock="1">
                <w:ffData>
                  <w:name w:val="Check1"/>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 xml:space="preserve">Pagal priemonės veiklą ar </w:t>
            </w:r>
            <w:proofErr w:type="spellStart"/>
            <w:r w:rsidRPr="009D5352">
              <w:rPr>
                <w:rFonts w:eastAsia="Calibri"/>
                <w:sz w:val="22"/>
                <w:szCs w:val="22"/>
              </w:rPr>
              <w:t>poveiklę</w:t>
            </w:r>
            <w:proofErr w:type="spellEnd"/>
            <w:r w:rsidRPr="009D5352">
              <w:rPr>
                <w:rFonts w:eastAsia="Calibri"/>
                <w:sz w:val="22"/>
                <w:szCs w:val="22"/>
              </w:rPr>
              <w:t xml:space="preserve"> / projektui bus/yra teikiama valstybės pagalba (žymima, jei į visus I dalies klausimus atsakyta teigiamai).</w:t>
            </w:r>
          </w:p>
          <w:p w14:paraId="4B54776E" w14:textId="77777777" w:rsidR="004A0361" w:rsidRPr="009D5352" w:rsidRDefault="004A0361">
            <w:pPr>
              <w:rPr>
                <w:sz w:val="20"/>
              </w:rPr>
            </w:pPr>
          </w:p>
          <w:p w14:paraId="02768843" w14:textId="77777777" w:rsidR="004A0361" w:rsidRPr="009D5352" w:rsidRDefault="004A0361">
            <w:pPr>
              <w:spacing w:line="276" w:lineRule="auto"/>
              <w:ind w:firstLine="57"/>
              <w:jc w:val="both"/>
              <w:rPr>
                <w:rFonts w:eastAsia="Calibri"/>
                <w:sz w:val="22"/>
                <w:szCs w:val="22"/>
              </w:rPr>
            </w:pPr>
            <w:r w:rsidRPr="009D5352">
              <w:rPr>
                <w:rFonts w:eastAsia="Calibri"/>
                <w:sz w:val="22"/>
                <w:szCs w:val="22"/>
              </w:rPr>
              <w:lastRenderedPageBreak/>
              <w:fldChar w:fldCharType="begin" w:fldLock="1">
                <w:ffData>
                  <w:name w:val="Check1"/>
                  <w:enabled/>
                  <w:calcOnExit w:val="0"/>
                  <w:checkBox>
                    <w:sizeAuto/>
                    <w:default w:val="0"/>
                  </w:checkBox>
                </w:ffData>
              </w:fldChar>
            </w:r>
            <w:r w:rsidRPr="009D5352">
              <w:rPr>
                <w:rFonts w:eastAsia="Calibri"/>
                <w:sz w:val="22"/>
                <w:szCs w:val="22"/>
              </w:rPr>
              <w:instrText xml:space="preserve"> FORMCHECKBOX </w:instrText>
            </w:r>
            <w:r w:rsidRPr="009D5352">
              <w:rPr>
                <w:rFonts w:eastAsia="Calibri"/>
                <w:sz w:val="22"/>
                <w:szCs w:val="22"/>
              </w:rPr>
            </w:r>
            <w:r w:rsidRPr="009D5352">
              <w:rPr>
                <w:rFonts w:eastAsia="Calibri"/>
                <w:sz w:val="22"/>
                <w:szCs w:val="22"/>
              </w:rPr>
              <w:fldChar w:fldCharType="separate"/>
            </w:r>
            <w:r w:rsidRPr="009D5352">
              <w:rPr>
                <w:rFonts w:eastAsia="Calibri"/>
                <w:sz w:val="22"/>
                <w:szCs w:val="22"/>
              </w:rPr>
              <w:fldChar w:fldCharType="end"/>
            </w:r>
            <w:r w:rsidRPr="009D5352">
              <w:rPr>
                <w:rFonts w:eastAsia="Calibri"/>
                <w:sz w:val="22"/>
                <w:szCs w:val="22"/>
              </w:rPr>
              <w:t xml:space="preserve">Pagal priemonės veiklą ar </w:t>
            </w:r>
            <w:proofErr w:type="spellStart"/>
            <w:r w:rsidRPr="009D5352">
              <w:rPr>
                <w:rFonts w:eastAsia="Calibri"/>
                <w:sz w:val="22"/>
                <w:szCs w:val="22"/>
              </w:rPr>
              <w:t>poveiklę</w:t>
            </w:r>
            <w:proofErr w:type="spellEnd"/>
            <w:r w:rsidRPr="009D5352">
              <w:rPr>
                <w:rFonts w:eastAsia="Calibri"/>
                <w:sz w:val="22"/>
                <w:szCs w:val="22"/>
              </w:rPr>
              <w:t xml:space="preserve"> / projektą remtinos veiklos nebus laikomos valstybės pagalba, tačiau ja gali tapti (žymima, jei į nors vieną I dalies klausimą atsakyta neigiamai, tačiau pastabose nurodyta, kad tam tikrus aspektus reikia nuolat stebėti dėl rizikos finansavimui tapti valstybės / </w:t>
            </w:r>
            <w:r w:rsidRPr="009D5352">
              <w:rPr>
                <w:rFonts w:eastAsia="Calibri"/>
                <w:i/>
                <w:sz w:val="22"/>
                <w:szCs w:val="22"/>
              </w:rPr>
              <w:t xml:space="preserve">de </w:t>
            </w:r>
            <w:proofErr w:type="spellStart"/>
            <w:r w:rsidRPr="009D5352">
              <w:rPr>
                <w:rFonts w:eastAsia="Calibri"/>
                <w:i/>
                <w:sz w:val="22"/>
                <w:szCs w:val="22"/>
              </w:rPr>
              <w:t>minimis</w:t>
            </w:r>
            <w:proofErr w:type="spellEnd"/>
            <w:r w:rsidRPr="009D5352">
              <w:rPr>
                <w:rFonts w:eastAsia="Calibri"/>
                <w:sz w:val="22"/>
                <w:szCs w:val="22"/>
              </w:rPr>
              <w:t xml:space="preserve"> pagalba). Pagrindžiant pasirinkimą nurodomi tolimesni veiksmai ir numatomos rizikos valdymo priemonės. </w:t>
            </w:r>
          </w:p>
        </w:tc>
      </w:tr>
      <w:tr w:rsidR="004A0361" w:rsidRPr="009D5352" w14:paraId="0099977F"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3C6B6F4C" w14:textId="77777777" w:rsidR="004A0361" w:rsidRPr="009D5352" w:rsidRDefault="004A0361">
            <w:pPr>
              <w:jc w:val="center"/>
              <w:rPr>
                <w:rFonts w:eastAsia="Calibri"/>
                <w:b/>
                <w:sz w:val="22"/>
                <w:szCs w:val="22"/>
              </w:rPr>
            </w:pPr>
            <w:r w:rsidRPr="009D5352">
              <w:rPr>
                <w:rFonts w:eastAsia="Calibri"/>
                <w:b/>
                <w:sz w:val="22"/>
                <w:szCs w:val="22"/>
              </w:rPr>
              <w:lastRenderedPageBreak/>
              <w:t>Pasirinkimo pagrindimas</w:t>
            </w:r>
          </w:p>
        </w:tc>
      </w:tr>
      <w:tr w:rsidR="004A0361" w:rsidRPr="009D5352" w14:paraId="30B3BFE4"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1F55914B" w14:textId="77777777" w:rsidR="004A0361" w:rsidRPr="009D5352" w:rsidRDefault="004A0361">
            <w:pPr>
              <w:jc w:val="both"/>
              <w:rPr>
                <w:rFonts w:eastAsia="Calibri"/>
                <w:i/>
                <w:sz w:val="22"/>
                <w:szCs w:val="22"/>
              </w:rPr>
            </w:pPr>
            <w:r w:rsidRPr="009D5352">
              <w:rPr>
                <w:rFonts w:eastAsia="Calibri"/>
                <w:i/>
                <w:sz w:val="22"/>
                <w:szCs w:val="22"/>
              </w:rPr>
              <w:t>(Pagrįskite savo pasirinkimą)</w:t>
            </w:r>
          </w:p>
        </w:tc>
      </w:tr>
    </w:tbl>
    <w:p w14:paraId="7AD56468" w14:textId="77777777" w:rsidR="004A0361" w:rsidRPr="009D5352" w:rsidRDefault="004A0361" w:rsidP="004A0361">
      <w:pPr>
        <w:tabs>
          <w:tab w:val="left" w:pos="6946"/>
        </w:tabs>
        <w:rPr>
          <w:rFonts w:eastAsia="Calibri"/>
          <w:szCs w:val="24"/>
        </w:rPr>
      </w:pPr>
    </w:p>
    <w:p w14:paraId="6779D26B" w14:textId="77777777" w:rsidR="004A0361" w:rsidRPr="009D5352" w:rsidRDefault="004A0361" w:rsidP="004A0361">
      <w:pPr>
        <w:tabs>
          <w:tab w:val="left" w:pos="6946"/>
        </w:tabs>
        <w:rPr>
          <w:rFonts w:eastAsia="Calibri"/>
          <w:szCs w:val="24"/>
        </w:rPr>
      </w:pPr>
    </w:p>
    <w:p w14:paraId="478A3301" w14:textId="77777777" w:rsidR="004A0361" w:rsidRPr="009D5352" w:rsidRDefault="004A0361" w:rsidP="004A0361">
      <w:pPr>
        <w:tabs>
          <w:tab w:val="left" w:pos="6946"/>
        </w:tabs>
        <w:rPr>
          <w:rFonts w:eastAsia="Calibri"/>
          <w:szCs w:val="24"/>
        </w:rPr>
      </w:pPr>
    </w:p>
    <w:p w14:paraId="1BD388EE" w14:textId="77777777" w:rsidR="004A0361" w:rsidRPr="009D5352" w:rsidRDefault="004A0361" w:rsidP="004A0361">
      <w:pPr>
        <w:tabs>
          <w:tab w:val="left" w:pos="6946"/>
        </w:tabs>
        <w:rPr>
          <w:rFonts w:eastAsia="Calibri"/>
          <w:szCs w:val="24"/>
        </w:rPr>
      </w:pPr>
    </w:p>
    <w:p w14:paraId="1D38C497" w14:textId="77777777" w:rsidR="004A0361" w:rsidRPr="009D5352" w:rsidRDefault="004A0361" w:rsidP="004A0361">
      <w:pPr>
        <w:tabs>
          <w:tab w:val="left" w:pos="6946"/>
        </w:tabs>
        <w:rPr>
          <w:rFonts w:eastAsia="Calibri"/>
          <w:szCs w:val="24"/>
        </w:rPr>
      </w:pPr>
      <w:r w:rsidRPr="009D5352">
        <w:rPr>
          <w:rFonts w:eastAsia="Calibri"/>
          <w:szCs w:val="24"/>
        </w:rPr>
        <w:t xml:space="preserve">_____________________________________ </w:t>
      </w:r>
      <w:r w:rsidRPr="009D5352">
        <w:rPr>
          <w:rFonts w:eastAsia="Calibri"/>
          <w:szCs w:val="24"/>
        </w:rPr>
        <w:tab/>
        <w:t>____________________</w:t>
      </w:r>
      <w:r w:rsidRPr="009D5352">
        <w:rPr>
          <w:rFonts w:eastAsia="Calibri"/>
          <w:szCs w:val="24"/>
        </w:rPr>
        <w:tab/>
      </w:r>
    </w:p>
    <w:p w14:paraId="6C5EF5A3" w14:textId="6CED8152" w:rsidR="004A0361" w:rsidRPr="00B92849" w:rsidRDefault="004A0361" w:rsidP="00B92849">
      <w:pPr>
        <w:tabs>
          <w:tab w:val="left" w:pos="426"/>
          <w:tab w:val="left" w:pos="7797"/>
        </w:tabs>
        <w:spacing w:line="276" w:lineRule="auto"/>
        <w:ind w:firstLine="426"/>
        <w:rPr>
          <w:rFonts w:eastAsia="Calibri"/>
          <w:szCs w:val="24"/>
        </w:rPr>
      </w:pPr>
      <w:r w:rsidRPr="009D5352">
        <w:rPr>
          <w:rFonts w:eastAsia="Calibri"/>
          <w:szCs w:val="24"/>
        </w:rPr>
        <w:t xml:space="preserve">(vertintojo pareigos, vardas, pavardė) </w:t>
      </w:r>
      <w:r w:rsidRPr="009D5352">
        <w:rPr>
          <w:rFonts w:eastAsia="Calibri"/>
          <w:szCs w:val="24"/>
        </w:rPr>
        <w:tab/>
        <w:t xml:space="preserve">(parašas) </w:t>
      </w:r>
      <w:r w:rsidRPr="009D5352">
        <w:rPr>
          <w:rFonts w:eastAsia="Calibri"/>
          <w:szCs w:val="24"/>
        </w:rPr>
        <w:tab/>
      </w:r>
    </w:p>
    <w:p w14:paraId="120252FF" w14:textId="77777777" w:rsidR="004A0361" w:rsidRPr="009D5352" w:rsidRDefault="004A0361" w:rsidP="004A0361">
      <w:pPr>
        <w:spacing w:line="276" w:lineRule="auto"/>
        <w:jc w:val="center"/>
        <w:rPr>
          <w:szCs w:val="24"/>
        </w:rPr>
      </w:pPr>
      <w:r w:rsidRPr="009D5352">
        <w:rPr>
          <w:szCs w:val="24"/>
        </w:rPr>
        <w:t>_______________</w:t>
      </w:r>
    </w:p>
    <w:p w14:paraId="6C4A84C7" w14:textId="77777777" w:rsidR="000D3A87" w:rsidRPr="009D5352" w:rsidRDefault="000D3A87">
      <w:pPr>
        <w:suppressAutoHyphens/>
        <w:spacing w:line="276" w:lineRule="auto"/>
        <w:jc w:val="center"/>
        <w:rPr>
          <w:szCs w:val="24"/>
        </w:rPr>
      </w:pPr>
    </w:p>
    <w:sectPr w:rsidR="000D3A87" w:rsidRPr="009D5352">
      <w:headerReference w:type="first" r:id="rId25"/>
      <w:pgSz w:w="16838" w:h="11906" w:orient="landscape"/>
      <w:pgMar w:top="1701" w:right="567"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4C09" w14:textId="77777777" w:rsidR="00725ABD" w:rsidRDefault="00725ABD">
      <w:pPr>
        <w:suppressAutoHyphens/>
      </w:pPr>
      <w:r>
        <w:separator/>
      </w:r>
    </w:p>
    <w:p w14:paraId="73EDC06B" w14:textId="77777777" w:rsidR="00725ABD" w:rsidRDefault="00725ABD"/>
  </w:endnote>
  <w:endnote w:type="continuationSeparator" w:id="0">
    <w:p w14:paraId="116EC371" w14:textId="77777777" w:rsidR="00725ABD" w:rsidRDefault="00725ABD">
      <w:pPr>
        <w:suppressAutoHyphens/>
      </w:pPr>
      <w:r>
        <w:continuationSeparator/>
      </w:r>
    </w:p>
    <w:p w14:paraId="614C7F26" w14:textId="77777777" w:rsidR="00725ABD" w:rsidRDefault="00725ABD"/>
  </w:endnote>
  <w:endnote w:type="continuationNotice" w:id="1">
    <w:p w14:paraId="516520F7" w14:textId="77777777" w:rsidR="00725ABD" w:rsidRDefault="00725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C2DF" w14:textId="77777777" w:rsidR="00F4662F" w:rsidRDefault="00F4662F">
    <w:pPr>
      <w:tabs>
        <w:tab w:val="center" w:pos="4819"/>
        <w:tab w:val="right" w:pos="9638"/>
      </w:tabs>
      <w:suppressAutoHyphen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C42A" w14:textId="77777777" w:rsidR="00F4662F" w:rsidRDefault="00F4662F">
    <w:pPr>
      <w:tabs>
        <w:tab w:val="center" w:pos="4819"/>
        <w:tab w:val="right" w:pos="9638"/>
      </w:tabs>
      <w:suppressAutoHyphen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1FD6" w14:textId="77777777" w:rsidR="00F4662F" w:rsidRDefault="00F4662F">
    <w:pPr>
      <w:tabs>
        <w:tab w:val="center" w:pos="4819"/>
        <w:tab w:val="right" w:pos="9638"/>
      </w:tabs>
      <w:suppressAutoHyphen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09D7" w14:textId="77777777" w:rsidR="00F4662F" w:rsidRDefault="00F4662F">
    <w:pPr>
      <w:tabs>
        <w:tab w:val="center" w:pos="4819"/>
        <w:tab w:val="right" w:pos="9638"/>
      </w:tabs>
      <w:suppressAutoHyphen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397A" w14:textId="77777777" w:rsidR="00F4662F" w:rsidRDefault="00F4662F">
    <w:pPr>
      <w:tabs>
        <w:tab w:val="center" w:pos="4819"/>
        <w:tab w:val="right" w:pos="9638"/>
      </w:tabs>
      <w:suppressAutoHyphen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18922" w14:textId="77777777" w:rsidR="00725ABD" w:rsidRDefault="00725ABD">
      <w:pPr>
        <w:suppressAutoHyphens/>
      </w:pPr>
      <w:r>
        <w:rPr>
          <w:color w:val="000000"/>
        </w:rPr>
        <w:separator/>
      </w:r>
    </w:p>
    <w:p w14:paraId="2756A31D" w14:textId="77777777" w:rsidR="00725ABD" w:rsidRDefault="00725ABD"/>
  </w:footnote>
  <w:footnote w:type="continuationSeparator" w:id="0">
    <w:p w14:paraId="6F01B4A5" w14:textId="77777777" w:rsidR="00725ABD" w:rsidRDefault="00725ABD">
      <w:pPr>
        <w:suppressAutoHyphens/>
      </w:pPr>
      <w:r>
        <w:continuationSeparator/>
      </w:r>
    </w:p>
    <w:p w14:paraId="2F7C2138" w14:textId="77777777" w:rsidR="00725ABD" w:rsidRDefault="00725ABD"/>
  </w:footnote>
  <w:footnote w:type="continuationNotice" w:id="1">
    <w:p w14:paraId="206B7E72" w14:textId="77777777" w:rsidR="00725ABD" w:rsidRDefault="00725ABD"/>
  </w:footnote>
  <w:footnote w:id="2">
    <w:p w14:paraId="7E36BFF3" w14:textId="77777777" w:rsidR="004A0361" w:rsidRDefault="004A0361" w:rsidP="004A0361">
      <w:pPr>
        <w:rPr>
          <w:rFonts w:ascii="Calibri" w:eastAsia="Calibri" w:hAnsi="Calibri"/>
          <w:sz w:val="20"/>
        </w:rPr>
      </w:pPr>
      <w:r>
        <w:rPr>
          <w:rFonts w:ascii="Calibri" w:eastAsia="Calibri" w:hAnsi="Calibri"/>
          <w:sz w:val="20"/>
          <w:vertAlign w:val="superscript"/>
          <w:lang w:val="en-US"/>
        </w:rPr>
        <w:footnoteRef/>
      </w:r>
      <w:r>
        <w:rPr>
          <w:rFonts w:ascii="Calibri" w:eastAsia="Calibri" w:hAnsi="Calibri"/>
          <w:sz w:val="20"/>
          <w:lang w:val="en-US"/>
        </w:rPr>
        <w:t xml:space="preserve"> </w:t>
      </w:r>
      <w:r>
        <w:rPr>
          <w:rFonts w:eastAsia="Calibri"/>
          <w:sz w:val="20"/>
        </w:rPr>
        <w:t xml:space="preserve">Vertinant valstybės pagalbos kriterijus vadovaujamasi Europos Komisijos pranešimu dėl valstybės pagalbos sąvokos ir teismų praktika (angl. </w:t>
      </w:r>
      <w:r>
        <w:rPr>
          <w:rFonts w:eastAsia="Calibri"/>
          <w:i/>
          <w:iCs/>
          <w:sz w:val="20"/>
        </w:rPr>
        <w:t>Commission Notice on the notion of State aid pursuant to Article 107(1) TFEU</w:t>
      </w:r>
      <w:r>
        <w:rPr>
          <w:rFonts w:eastAsia="Calibri"/>
          <w:sz w:val="20"/>
        </w:rPr>
        <w:t>, jei taikoma.</w:t>
      </w:r>
    </w:p>
  </w:footnote>
  <w:footnote w:id="3">
    <w:p w14:paraId="156EB9C7" w14:textId="77777777" w:rsidR="004A0361" w:rsidRDefault="004A0361" w:rsidP="004A0361">
      <w:pPr>
        <w:jc w:val="both"/>
        <w:rPr>
          <w:rFonts w:eastAsia="Calibri"/>
          <w:sz w:val="20"/>
        </w:rPr>
      </w:pPr>
      <w:r>
        <w:rPr>
          <w:rFonts w:ascii="Calibri" w:eastAsia="Calibri" w:hAnsi="Calibri"/>
          <w:sz w:val="20"/>
          <w:vertAlign w:val="superscript"/>
          <w:lang w:val="en-US"/>
        </w:rPr>
        <w:footnoteRef/>
      </w:r>
      <w:r>
        <w:rPr>
          <w:rFonts w:eastAsia="Calibri"/>
          <w:sz w:val="20"/>
        </w:rPr>
        <w:t xml:space="preserve"> Plačiau su šia sąvoka galima susipažinti 1987 m. birželio 16 d. Teisingumo Teismo sprendimo Komisija prieš Italiją, 118/85, ECLI:EU:C:1987:283, 7 ir 8 punktuose, kuriuose nurodyta, kad įgyvendindamos joms priskirtus įgaliojimus valstybės institucijos gali įgyvendinti tiek valstybinės valdžios funkcijas, tiek užsiimti ūkine-komercine veikla įgyvendindamos ūkio subjekto funkcijas.</w:t>
      </w:r>
    </w:p>
  </w:footnote>
  <w:footnote w:id="4">
    <w:p w14:paraId="53D9BB5E" w14:textId="77777777" w:rsidR="004A0361" w:rsidRDefault="004A0361" w:rsidP="004A0361">
      <w:pPr>
        <w:jc w:val="both"/>
        <w:rPr>
          <w:rFonts w:ascii="Calibri" w:eastAsia="Calibri" w:hAnsi="Calibri"/>
          <w:sz w:val="20"/>
        </w:rPr>
      </w:pPr>
      <w:r>
        <w:rPr>
          <w:rFonts w:eastAsia="Calibri"/>
          <w:sz w:val="20"/>
          <w:vertAlign w:val="superscript"/>
          <w:lang w:val="en-US"/>
        </w:rPr>
        <w:footnoteRef/>
      </w:r>
      <w:r>
        <w:rPr>
          <w:rFonts w:eastAsia="Calibri"/>
          <w:sz w:val="20"/>
        </w:rPr>
        <w:t xml:space="preserve"> Plačiau su šia sąvoka galima susipažinti 1988 m. gegužės 4 d. Teisingumo Teismo sprendimo Bodson, 30/87, ECLI:EU:C:1988:225, 18 punkte.</w:t>
      </w:r>
    </w:p>
  </w:footnote>
  <w:footnote w:id="5">
    <w:p w14:paraId="62F5E834" w14:textId="77777777" w:rsidR="004A0361" w:rsidRDefault="004A0361" w:rsidP="004A0361">
      <w:pPr>
        <w:jc w:val="both"/>
        <w:rPr>
          <w:rFonts w:eastAsia="Calibri"/>
          <w:sz w:val="20"/>
        </w:rPr>
      </w:pPr>
      <w:r>
        <w:rPr>
          <w:rFonts w:eastAsia="Calibri"/>
          <w:sz w:val="20"/>
          <w:vertAlign w:val="superscript"/>
          <w:lang w:val="en-US"/>
        </w:rPr>
        <w:footnoteRef/>
      </w:r>
      <w:r>
        <w:rPr>
          <w:rFonts w:eastAsia="Calibri"/>
          <w:sz w:val="20"/>
        </w:rPr>
        <w:t xml:space="preserve"> Plačiau žiūrėti čia: http://ec.europa.eu/competition/state_aid/overview/public_services_en.html. </w:t>
      </w:r>
    </w:p>
  </w:footnote>
  <w:footnote w:id="6">
    <w:p w14:paraId="0ED9F1AE" w14:textId="77777777" w:rsidR="004A0361" w:rsidRDefault="004A0361" w:rsidP="004A0361">
      <w:pPr>
        <w:jc w:val="both"/>
        <w:rPr>
          <w:rFonts w:eastAsia="Calibri"/>
          <w:sz w:val="20"/>
        </w:rPr>
      </w:pPr>
      <w:r>
        <w:rPr>
          <w:rFonts w:eastAsia="Calibri"/>
          <w:sz w:val="20"/>
          <w:vertAlign w:val="superscript"/>
          <w:lang w:val="en-US"/>
        </w:rPr>
        <w:footnoteRef/>
      </w:r>
      <w:r>
        <w:rPr>
          <w:rFonts w:eastAsia="Calibri"/>
          <w:sz w:val="20"/>
          <w:lang w:val="fr-FR"/>
        </w:rPr>
        <w:t xml:space="preserve"> Plačiau galima susipažinti Europos S</w:t>
      </w:r>
      <w:r>
        <w:rPr>
          <w:rFonts w:eastAsia="Calibri"/>
          <w:sz w:val="20"/>
        </w:rPr>
        <w:t>ą</w:t>
      </w:r>
      <w:r>
        <w:rPr>
          <w:rFonts w:eastAsia="Calibri"/>
          <w:sz w:val="20"/>
          <w:lang w:val="fr-FR"/>
        </w:rPr>
        <w:t xml:space="preserve">jungos Teisingumo Teismo 2003 m. liepos 24 d. sprendime </w:t>
      </w:r>
      <w:r>
        <w:rPr>
          <w:rFonts w:eastAsia="Calibri"/>
          <w:i/>
          <w:iCs/>
          <w:sz w:val="20"/>
          <w:lang w:val="fr-FR"/>
        </w:rPr>
        <w:t>Altmark</w:t>
      </w:r>
      <w:r>
        <w:rPr>
          <w:rFonts w:eastAsia="Calibri"/>
          <w:sz w:val="20"/>
          <w:lang w:val="fr-FR"/>
        </w:rPr>
        <w:t>, C</w:t>
      </w:r>
      <w:r>
        <w:rPr>
          <w:rFonts w:eastAsia="Calibri"/>
          <w:sz w:val="20"/>
          <w:lang w:val="fr-FR"/>
        </w:rPr>
        <w:noBreakHyphen/>
        <w:t xml:space="preserve">280/00, EU:C:2003:415. </w:t>
      </w:r>
    </w:p>
  </w:footnote>
  <w:footnote w:id="7">
    <w:p w14:paraId="5A194B12" w14:textId="77777777" w:rsidR="004A0361" w:rsidRDefault="004A0361" w:rsidP="004A0361">
      <w:pPr>
        <w:jc w:val="both"/>
        <w:rPr>
          <w:rFonts w:eastAsia="Calibri"/>
          <w:sz w:val="20"/>
        </w:rPr>
      </w:pPr>
      <w:r>
        <w:rPr>
          <w:rFonts w:eastAsia="Calibri"/>
          <w:sz w:val="20"/>
          <w:vertAlign w:val="superscript"/>
          <w:lang w:val="en-US"/>
        </w:rPr>
        <w:footnoteRef/>
      </w:r>
      <w:r w:rsidRPr="00F07212">
        <w:rPr>
          <w:rFonts w:eastAsia="Calibri"/>
          <w:sz w:val="20"/>
        </w:rPr>
        <w:t xml:space="preserve"> </w:t>
      </w:r>
      <w:r>
        <w:rPr>
          <w:rFonts w:eastAsia="Calibri"/>
          <w:sz w:val="20"/>
        </w:rPr>
        <w:t>Komisijos komunikatas dėl Europos Sąjungos valstybės pagalbos taisyklių taikymo kompensacijai už visuotinės ekonominės svarbos paslaugų teikimą (2012/C 8/02).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E368" w14:textId="77777777" w:rsidR="00F4662F" w:rsidRDefault="00F4662F">
    <w:pPr>
      <w:tabs>
        <w:tab w:val="center" w:pos="4513"/>
        <w:tab w:val="right" w:pos="9026"/>
      </w:tabs>
      <w:suppressAutoHyphen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03AB" w14:textId="77777777" w:rsidR="00F4662F" w:rsidRDefault="00244911">
    <w:pPr>
      <w:tabs>
        <w:tab w:val="center" w:pos="4819"/>
        <w:tab w:val="right" w:pos="9638"/>
      </w:tabs>
      <w:suppressAutoHyphens/>
      <w:jc w:val="center"/>
    </w:pPr>
    <w:r>
      <w:rPr>
        <w:szCs w:val="22"/>
      </w:rPr>
      <w:fldChar w:fldCharType="begin"/>
    </w:r>
    <w:r>
      <w:rPr>
        <w:szCs w:val="22"/>
      </w:rPr>
      <w:instrText xml:space="preserve"> PAGE </w:instrText>
    </w:r>
    <w:r>
      <w:rPr>
        <w:szCs w:val="22"/>
      </w:rPr>
      <w:fldChar w:fldCharType="separate"/>
    </w:r>
    <w:r>
      <w:rPr>
        <w:szCs w:val="22"/>
      </w:rPr>
      <w:t>9</w:t>
    </w:r>
    <w:r>
      <w:rPr>
        <w:szCs w:val="22"/>
      </w:rPr>
      <w:fldChar w:fldCharType="end"/>
    </w:r>
  </w:p>
  <w:p w14:paraId="253CB980" w14:textId="77777777" w:rsidR="00F4662F" w:rsidRDefault="00F4662F">
    <w:pPr>
      <w:tabs>
        <w:tab w:val="center" w:pos="4819"/>
        <w:tab w:val="right" w:pos="9638"/>
      </w:tabs>
      <w:suppressAutoHyphen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23D4" w14:textId="5BF56E06" w:rsidR="00F4662F" w:rsidRPr="00F07212" w:rsidRDefault="00E838DB" w:rsidP="00F07212">
    <w:pPr>
      <w:tabs>
        <w:tab w:val="center" w:pos="4680"/>
        <w:tab w:val="right" w:pos="9360"/>
      </w:tabs>
      <w:jc w:val="right"/>
      <w:rPr>
        <w:b/>
        <w:bCs/>
      </w:rPr>
    </w:pPr>
    <w:r>
      <w:rPr>
        <w:b/>
        <w:bCs/>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C3F3" w14:textId="2A4534CD" w:rsidR="00F4662F" w:rsidRDefault="00244911">
    <w:pPr>
      <w:tabs>
        <w:tab w:val="center" w:pos="4819"/>
        <w:tab w:val="right" w:pos="9638"/>
      </w:tabs>
      <w:suppressAutoHyphens/>
      <w:jc w:val="center"/>
    </w:pPr>
    <w:r>
      <w:rPr>
        <w:szCs w:val="22"/>
      </w:rPr>
      <w:fldChar w:fldCharType="begin"/>
    </w:r>
    <w:r>
      <w:rPr>
        <w:szCs w:val="22"/>
      </w:rPr>
      <w:instrText xml:space="preserve"> PAGE </w:instrText>
    </w:r>
    <w:r>
      <w:rPr>
        <w:szCs w:val="22"/>
      </w:rPr>
      <w:fldChar w:fldCharType="separate"/>
    </w:r>
    <w:r>
      <w:rPr>
        <w:szCs w:val="22"/>
      </w:rPr>
      <w:t>4</w:t>
    </w:r>
    <w:r>
      <w:rPr>
        <w:szCs w:val="22"/>
      </w:rPr>
      <w:fldChar w:fldCharType="end"/>
    </w:r>
  </w:p>
  <w:p w14:paraId="298311C1" w14:textId="77777777" w:rsidR="00F4662F" w:rsidRDefault="00F4662F">
    <w:pPr>
      <w:tabs>
        <w:tab w:val="center" w:pos="4819"/>
        <w:tab w:val="right" w:pos="9638"/>
      </w:tabs>
      <w:suppressAutoHyphens/>
      <w:jc w:val="right"/>
      <w:rPr>
        <w:sz w:val="22"/>
        <w:szCs w:val="22"/>
      </w:rPr>
    </w:pPr>
  </w:p>
  <w:p w14:paraId="244CCFBD" w14:textId="77777777" w:rsidR="00F4662F" w:rsidRDefault="00F4662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6C79" w14:textId="77777777" w:rsidR="00F4662F" w:rsidRDefault="00F4662F">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6BA5" w14:textId="77777777" w:rsidR="00D34516" w:rsidRDefault="00D3451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501"/>
    <w:rsid w:val="00013367"/>
    <w:rsid w:val="00014B1B"/>
    <w:rsid w:val="000168E6"/>
    <w:rsid w:val="00023A29"/>
    <w:rsid w:val="00071E65"/>
    <w:rsid w:val="000B5EF0"/>
    <w:rsid w:val="000D3A87"/>
    <w:rsid w:val="000E45E2"/>
    <w:rsid w:val="000F3169"/>
    <w:rsid w:val="0011212D"/>
    <w:rsid w:val="00113CFC"/>
    <w:rsid w:val="001273A5"/>
    <w:rsid w:val="00134758"/>
    <w:rsid w:val="00154A61"/>
    <w:rsid w:val="00171329"/>
    <w:rsid w:val="00177E84"/>
    <w:rsid w:val="00194419"/>
    <w:rsid w:val="001A4233"/>
    <w:rsid w:val="001B61C2"/>
    <w:rsid w:val="001C57C8"/>
    <w:rsid w:val="001C7103"/>
    <w:rsid w:val="001E1798"/>
    <w:rsid w:val="001E783D"/>
    <w:rsid w:val="00206446"/>
    <w:rsid w:val="00211AF3"/>
    <w:rsid w:val="002161BD"/>
    <w:rsid w:val="002236EF"/>
    <w:rsid w:val="00231CD9"/>
    <w:rsid w:val="002356DC"/>
    <w:rsid w:val="002367C7"/>
    <w:rsid w:val="0024398A"/>
    <w:rsid w:val="00244911"/>
    <w:rsid w:val="00245B79"/>
    <w:rsid w:val="00245EC2"/>
    <w:rsid w:val="002465CA"/>
    <w:rsid w:val="00255EB9"/>
    <w:rsid w:val="0027025E"/>
    <w:rsid w:val="0027799E"/>
    <w:rsid w:val="002A0D33"/>
    <w:rsid w:val="002A2D90"/>
    <w:rsid w:val="002B482C"/>
    <w:rsid w:val="002B6D04"/>
    <w:rsid w:val="002D2836"/>
    <w:rsid w:val="002D7E5C"/>
    <w:rsid w:val="002E628B"/>
    <w:rsid w:val="002F1091"/>
    <w:rsid w:val="002F6132"/>
    <w:rsid w:val="003009B3"/>
    <w:rsid w:val="00300F72"/>
    <w:rsid w:val="00315588"/>
    <w:rsid w:val="00315F7D"/>
    <w:rsid w:val="00320117"/>
    <w:rsid w:val="003261FB"/>
    <w:rsid w:val="00330288"/>
    <w:rsid w:val="00330DAE"/>
    <w:rsid w:val="00360F40"/>
    <w:rsid w:val="00376955"/>
    <w:rsid w:val="003936B8"/>
    <w:rsid w:val="003A24B3"/>
    <w:rsid w:val="003A2F4F"/>
    <w:rsid w:val="003B2501"/>
    <w:rsid w:val="003B41AF"/>
    <w:rsid w:val="003D7A6B"/>
    <w:rsid w:val="00403F76"/>
    <w:rsid w:val="004164DD"/>
    <w:rsid w:val="0044330D"/>
    <w:rsid w:val="0049084B"/>
    <w:rsid w:val="0049504F"/>
    <w:rsid w:val="004968C0"/>
    <w:rsid w:val="00496B85"/>
    <w:rsid w:val="004A01AF"/>
    <w:rsid w:val="004A0361"/>
    <w:rsid w:val="004A09F0"/>
    <w:rsid w:val="004A4F99"/>
    <w:rsid w:val="004A5318"/>
    <w:rsid w:val="004C057E"/>
    <w:rsid w:val="004C6685"/>
    <w:rsid w:val="004D7F01"/>
    <w:rsid w:val="00520F4B"/>
    <w:rsid w:val="00543AEF"/>
    <w:rsid w:val="00544CCC"/>
    <w:rsid w:val="005535B9"/>
    <w:rsid w:val="005675AB"/>
    <w:rsid w:val="0058783D"/>
    <w:rsid w:val="0059089D"/>
    <w:rsid w:val="005A4683"/>
    <w:rsid w:val="005B4BFE"/>
    <w:rsid w:val="005C4CDF"/>
    <w:rsid w:val="005D4C71"/>
    <w:rsid w:val="005D51C9"/>
    <w:rsid w:val="005F250F"/>
    <w:rsid w:val="0060416D"/>
    <w:rsid w:val="00610BC8"/>
    <w:rsid w:val="00626817"/>
    <w:rsid w:val="00632B75"/>
    <w:rsid w:val="00633EEF"/>
    <w:rsid w:val="00645566"/>
    <w:rsid w:val="006606F2"/>
    <w:rsid w:val="00673BFB"/>
    <w:rsid w:val="00684BF1"/>
    <w:rsid w:val="00687943"/>
    <w:rsid w:val="006B3A37"/>
    <w:rsid w:val="006E30C4"/>
    <w:rsid w:val="006E3124"/>
    <w:rsid w:val="00701F1A"/>
    <w:rsid w:val="00703B46"/>
    <w:rsid w:val="007177A5"/>
    <w:rsid w:val="00722096"/>
    <w:rsid w:val="00725ABD"/>
    <w:rsid w:val="007341DA"/>
    <w:rsid w:val="007442BD"/>
    <w:rsid w:val="00750FA5"/>
    <w:rsid w:val="0076270B"/>
    <w:rsid w:val="00783987"/>
    <w:rsid w:val="00792B17"/>
    <w:rsid w:val="0079780B"/>
    <w:rsid w:val="007A39F0"/>
    <w:rsid w:val="007A3FA0"/>
    <w:rsid w:val="007B4674"/>
    <w:rsid w:val="007B747D"/>
    <w:rsid w:val="007C052B"/>
    <w:rsid w:val="007C331F"/>
    <w:rsid w:val="007E4368"/>
    <w:rsid w:val="007F65B5"/>
    <w:rsid w:val="00802A6B"/>
    <w:rsid w:val="008119CC"/>
    <w:rsid w:val="00816CF3"/>
    <w:rsid w:val="00827525"/>
    <w:rsid w:val="0085669B"/>
    <w:rsid w:val="0087316B"/>
    <w:rsid w:val="00874724"/>
    <w:rsid w:val="00875889"/>
    <w:rsid w:val="008819B4"/>
    <w:rsid w:val="00887740"/>
    <w:rsid w:val="008A0037"/>
    <w:rsid w:val="008A1B0D"/>
    <w:rsid w:val="008B51CD"/>
    <w:rsid w:val="008B72B8"/>
    <w:rsid w:val="008C7D16"/>
    <w:rsid w:val="008E3971"/>
    <w:rsid w:val="008F357C"/>
    <w:rsid w:val="008F690E"/>
    <w:rsid w:val="00921BD3"/>
    <w:rsid w:val="009330CE"/>
    <w:rsid w:val="00941CB4"/>
    <w:rsid w:val="00944214"/>
    <w:rsid w:val="00960CE7"/>
    <w:rsid w:val="009614DE"/>
    <w:rsid w:val="009619F2"/>
    <w:rsid w:val="00964ABF"/>
    <w:rsid w:val="00967A67"/>
    <w:rsid w:val="00971576"/>
    <w:rsid w:val="009740A9"/>
    <w:rsid w:val="00977B31"/>
    <w:rsid w:val="0098625A"/>
    <w:rsid w:val="00997D3F"/>
    <w:rsid w:val="009A1CB2"/>
    <w:rsid w:val="009A77FE"/>
    <w:rsid w:val="009D5352"/>
    <w:rsid w:val="009D79AD"/>
    <w:rsid w:val="00A22E68"/>
    <w:rsid w:val="00A234DA"/>
    <w:rsid w:val="00A30150"/>
    <w:rsid w:val="00A3176D"/>
    <w:rsid w:val="00A331BC"/>
    <w:rsid w:val="00A33CFF"/>
    <w:rsid w:val="00A431A5"/>
    <w:rsid w:val="00A64525"/>
    <w:rsid w:val="00A80A53"/>
    <w:rsid w:val="00A80F4B"/>
    <w:rsid w:val="00AA6920"/>
    <w:rsid w:val="00AB5313"/>
    <w:rsid w:val="00AC70F5"/>
    <w:rsid w:val="00AD0006"/>
    <w:rsid w:val="00AD03F8"/>
    <w:rsid w:val="00AF1B77"/>
    <w:rsid w:val="00AF4F20"/>
    <w:rsid w:val="00AF6E74"/>
    <w:rsid w:val="00B0396D"/>
    <w:rsid w:val="00B373DB"/>
    <w:rsid w:val="00B53248"/>
    <w:rsid w:val="00B5702C"/>
    <w:rsid w:val="00B64AC7"/>
    <w:rsid w:val="00B65C77"/>
    <w:rsid w:val="00B82065"/>
    <w:rsid w:val="00B857FA"/>
    <w:rsid w:val="00B92849"/>
    <w:rsid w:val="00B92B78"/>
    <w:rsid w:val="00B97200"/>
    <w:rsid w:val="00B97305"/>
    <w:rsid w:val="00BA4208"/>
    <w:rsid w:val="00BA4D2F"/>
    <w:rsid w:val="00BB60D5"/>
    <w:rsid w:val="00BC0B77"/>
    <w:rsid w:val="00BC3815"/>
    <w:rsid w:val="00BC4124"/>
    <w:rsid w:val="00BD1AE1"/>
    <w:rsid w:val="00BF1DA2"/>
    <w:rsid w:val="00C12EB0"/>
    <w:rsid w:val="00C24E90"/>
    <w:rsid w:val="00C36C36"/>
    <w:rsid w:val="00C561AC"/>
    <w:rsid w:val="00C62CA9"/>
    <w:rsid w:val="00C65B18"/>
    <w:rsid w:val="00C80FA9"/>
    <w:rsid w:val="00CA03B7"/>
    <w:rsid w:val="00CB287D"/>
    <w:rsid w:val="00CD05D2"/>
    <w:rsid w:val="00CD24A0"/>
    <w:rsid w:val="00CD4CDF"/>
    <w:rsid w:val="00CE49B7"/>
    <w:rsid w:val="00CE5128"/>
    <w:rsid w:val="00CF39C4"/>
    <w:rsid w:val="00CF4D05"/>
    <w:rsid w:val="00CF75DA"/>
    <w:rsid w:val="00D03946"/>
    <w:rsid w:val="00D24E99"/>
    <w:rsid w:val="00D333AA"/>
    <w:rsid w:val="00D34516"/>
    <w:rsid w:val="00D46CE3"/>
    <w:rsid w:val="00D54DAB"/>
    <w:rsid w:val="00D65F07"/>
    <w:rsid w:val="00D852F7"/>
    <w:rsid w:val="00D8668C"/>
    <w:rsid w:val="00DB19EA"/>
    <w:rsid w:val="00DB516E"/>
    <w:rsid w:val="00DD11A0"/>
    <w:rsid w:val="00DD18E8"/>
    <w:rsid w:val="00DD2A2F"/>
    <w:rsid w:val="00E02952"/>
    <w:rsid w:val="00E041D1"/>
    <w:rsid w:val="00E05A92"/>
    <w:rsid w:val="00E1738E"/>
    <w:rsid w:val="00E331FB"/>
    <w:rsid w:val="00E54571"/>
    <w:rsid w:val="00E568A2"/>
    <w:rsid w:val="00E8025A"/>
    <w:rsid w:val="00E8031D"/>
    <w:rsid w:val="00E828C5"/>
    <w:rsid w:val="00E82E4F"/>
    <w:rsid w:val="00E838DB"/>
    <w:rsid w:val="00E8426B"/>
    <w:rsid w:val="00E9749D"/>
    <w:rsid w:val="00EB3535"/>
    <w:rsid w:val="00EF4A01"/>
    <w:rsid w:val="00F004F8"/>
    <w:rsid w:val="00F07212"/>
    <w:rsid w:val="00F1133F"/>
    <w:rsid w:val="00F351FC"/>
    <w:rsid w:val="00F4662F"/>
    <w:rsid w:val="00F72D8E"/>
    <w:rsid w:val="00F773A5"/>
    <w:rsid w:val="00F850B6"/>
    <w:rsid w:val="00FB3944"/>
    <w:rsid w:val="00FC3406"/>
    <w:rsid w:val="00FF03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F7F5"/>
  <w15:docId w15:val="{A65FD12B-4347-4AB5-A3CC-B1E380F3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255EB9"/>
  </w:style>
  <w:style w:type="character" w:styleId="Komentaronuoroda">
    <w:name w:val="annotation reference"/>
    <w:basedOn w:val="Numatytasispastraiposriftas"/>
    <w:semiHidden/>
    <w:unhideWhenUsed/>
    <w:rsid w:val="008F690E"/>
    <w:rPr>
      <w:sz w:val="16"/>
      <w:szCs w:val="16"/>
    </w:rPr>
  </w:style>
  <w:style w:type="paragraph" w:styleId="Komentarotekstas">
    <w:name w:val="annotation text"/>
    <w:basedOn w:val="prastasis"/>
    <w:link w:val="KomentarotekstasDiagrama"/>
    <w:unhideWhenUsed/>
    <w:rsid w:val="008F690E"/>
    <w:rPr>
      <w:sz w:val="20"/>
    </w:rPr>
  </w:style>
  <w:style w:type="character" w:customStyle="1" w:styleId="KomentarotekstasDiagrama">
    <w:name w:val="Komentaro tekstas Diagrama"/>
    <w:basedOn w:val="Numatytasispastraiposriftas"/>
    <w:link w:val="Komentarotekstas"/>
    <w:rsid w:val="008F690E"/>
    <w:rPr>
      <w:sz w:val="20"/>
    </w:rPr>
  </w:style>
  <w:style w:type="paragraph" w:styleId="Komentarotema">
    <w:name w:val="annotation subject"/>
    <w:basedOn w:val="Komentarotekstas"/>
    <w:next w:val="Komentarotekstas"/>
    <w:link w:val="KomentarotemaDiagrama"/>
    <w:semiHidden/>
    <w:unhideWhenUsed/>
    <w:rsid w:val="008F690E"/>
    <w:rPr>
      <w:b/>
      <w:bCs/>
    </w:rPr>
  </w:style>
  <w:style w:type="character" w:customStyle="1" w:styleId="KomentarotemaDiagrama">
    <w:name w:val="Komentaro tema Diagrama"/>
    <w:basedOn w:val="KomentarotekstasDiagrama"/>
    <w:link w:val="Komentarotema"/>
    <w:semiHidden/>
    <w:rsid w:val="008F690E"/>
    <w:rPr>
      <w:b/>
      <w:bCs/>
      <w:sz w:val="20"/>
    </w:rPr>
  </w:style>
  <w:style w:type="character" w:styleId="Hipersaitas">
    <w:name w:val="Hyperlink"/>
    <w:basedOn w:val="Numatytasispastraiposriftas"/>
    <w:unhideWhenUsed/>
    <w:rsid w:val="0011212D"/>
    <w:rPr>
      <w:color w:val="467886" w:themeColor="hyperlink"/>
      <w:u w:val="single"/>
    </w:rPr>
  </w:style>
  <w:style w:type="character" w:styleId="Neapdorotaspaminjimas">
    <w:name w:val="Unresolved Mention"/>
    <w:basedOn w:val="Numatytasispastraiposriftas"/>
    <w:uiPriority w:val="99"/>
    <w:semiHidden/>
    <w:unhideWhenUsed/>
    <w:rsid w:val="0011212D"/>
    <w:rPr>
      <w:color w:val="605E5C"/>
      <w:shd w:val="clear" w:color="auto" w:fill="E1DFDD"/>
    </w:rPr>
  </w:style>
  <w:style w:type="paragraph" w:styleId="Antrats">
    <w:name w:val="header"/>
    <w:basedOn w:val="prastasis"/>
    <w:link w:val="AntratsDiagrama"/>
    <w:unhideWhenUsed/>
    <w:rsid w:val="00D34516"/>
    <w:pPr>
      <w:tabs>
        <w:tab w:val="center" w:pos="4819"/>
        <w:tab w:val="right" w:pos="9638"/>
      </w:tabs>
    </w:pPr>
  </w:style>
  <w:style w:type="character" w:customStyle="1" w:styleId="AntratsDiagrama">
    <w:name w:val="Antraštės Diagrama"/>
    <w:basedOn w:val="Numatytasispastraiposriftas"/>
    <w:link w:val="Antrats"/>
    <w:rsid w:val="00D34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00989">
      <w:bodyDiv w:val="1"/>
      <w:marLeft w:val="0"/>
      <w:marRight w:val="0"/>
      <w:marTop w:val="0"/>
      <w:marBottom w:val="0"/>
      <w:divBdr>
        <w:top w:val="none" w:sz="0" w:space="0" w:color="auto"/>
        <w:left w:val="none" w:sz="0" w:space="0" w:color="auto"/>
        <w:bottom w:val="none" w:sz="0" w:space="0" w:color="auto"/>
        <w:right w:val="none" w:sz="0" w:space="0" w:color="auto"/>
      </w:divBdr>
    </w:div>
    <w:div w:id="894241941">
      <w:bodyDiv w:val="1"/>
      <w:marLeft w:val="0"/>
      <w:marRight w:val="0"/>
      <w:marTop w:val="0"/>
      <w:marBottom w:val="0"/>
      <w:divBdr>
        <w:top w:val="none" w:sz="0" w:space="0" w:color="auto"/>
        <w:left w:val="none" w:sz="0" w:space="0" w:color="auto"/>
        <w:bottom w:val="none" w:sz="0" w:space="0" w:color="auto"/>
        <w:right w:val="none" w:sz="0" w:space="0" w:color="auto"/>
      </w:divBdr>
    </w:div>
    <w:div w:id="1283073568">
      <w:bodyDiv w:val="1"/>
      <w:marLeft w:val="0"/>
      <w:marRight w:val="0"/>
      <w:marTop w:val="0"/>
      <w:marBottom w:val="0"/>
      <w:divBdr>
        <w:top w:val="none" w:sz="0" w:space="0" w:color="auto"/>
        <w:left w:val="none" w:sz="0" w:space="0" w:color="auto"/>
        <w:bottom w:val="none" w:sz="0" w:space="0" w:color="auto"/>
        <w:right w:val="none" w:sz="0" w:space="0" w:color="auto"/>
      </w:divBdr>
    </w:div>
    <w:div w:id="1335256686">
      <w:bodyDiv w:val="1"/>
      <w:marLeft w:val="0"/>
      <w:marRight w:val="0"/>
      <w:marTop w:val="0"/>
      <w:marBottom w:val="0"/>
      <w:divBdr>
        <w:top w:val="none" w:sz="0" w:space="0" w:color="auto"/>
        <w:left w:val="none" w:sz="0" w:space="0" w:color="auto"/>
        <w:bottom w:val="none" w:sz="0" w:space="0" w:color="auto"/>
        <w:right w:val="none" w:sz="0" w:space="0" w:color="auto"/>
      </w:divBdr>
    </w:div>
    <w:div w:id="1534076509">
      <w:bodyDiv w:val="1"/>
      <w:marLeft w:val="0"/>
      <w:marRight w:val="0"/>
      <w:marTop w:val="0"/>
      <w:marBottom w:val="0"/>
      <w:divBdr>
        <w:top w:val="none" w:sz="0" w:space="0" w:color="auto"/>
        <w:left w:val="none" w:sz="0" w:space="0" w:color="auto"/>
        <w:bottom w:val="none" w:sz="0" w:space="0" w:color="auto"/>
        <w:right w:val="none" w:sz="0" w:space="0" w:color="auto"/>
      </w:divBdr>
    </w:div>
    <w:div w:id="1695840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eur-lex.europa.eu/legal-content/LIT/TXT/?uri=CELEX:32021R0241&amp;locale=lt"
                 TargetMode="External"
                 Type="http://schemas.openxmlformats.org/officeDocument/2006/relationships/hyperlink"/>
   <Relationship Id="rId11"
                 Target="http://eur-lex.europa.eu/legal-content/LIT/TXT/?uri=CELEX:32852R2020&amp;locale=lt"
                 TargetMode="External"
                 Type="http://schemas.openxmlformats.org/officeDocument/2006/relationships/hyperlink"/>
   <Relationship Id="rId12"
                 Target="http://eur-lex.europa.eu/legal-content/LIT/TXT/?uri=CELEX:32019R2088&amp;locale=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http://eur-lex.europa.eu/legal-content/LIT/TXT/?uri=CELEX:32020R0852&amp;locale=lt"
                 TargetMode="External"
                 Type="http://schemas.openxmlformats.org/officeDocument/2006/relationships/hyperlink"/>
   <Relationship Id="rId2" Target="../customXml/item2.xml"
                 Type="http://schemas.openxmlformats.org/officeDocument/2006/relationships/customXml"/>
   <Relationship Id="rId20"
                 Target="http://eur-lex.europa.eu/legal-content/LIT/TXT/?uri=CELEX:32088R2019&amp;locale=lt"
                 TargetMode="External"
                 Type="http://schemas.openxmlformats.org/officeDocument/2006/relationships/hyperlink"/>
   <Relationship Id="rId21" Target="header4.xml"
                 Type="http://schemas.openxmlformats.org/officeDocument/2006/relationships/header"/>
   <Relationship Id="rId22" Target="footer4.xml"
                 Type="http://schemas.openxmlformats.org/officeDocument/2006/relationships/footer"/>
   <Relationship Id="rId23" Target="header5.xml"
                 Type="http://schemas.openxmlformats.org/officeDocument/2006/relationships/header"/>
   <Relationship Id="rId24" Target="footer5.xml"
                 Type="http://schemas.openxmlformats.org/officeDocument/2006/relationships/footer"/>
   <Relationship Id="rId25" Target="header6.xml"
                 Type="http://schemas.openxmlformats.org/officeDocument/2006/relationships/header"/>
   <Relationship Id="rId26" Target="fontTable.xml"
                 Type="http://schemas.openxmlformats.org/officeDocument/2006/relationships/fontTable"/>
   <Relationship Id="rId27"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24dcbb32b671188018ef004a0343a59e">
  <xsd:schema xmlns:xsd="http://www.w3.org/2001/XMLSchema" xmlns:xs="http://www.w3.org/2001/XMLSchema" xmlns:p="http://schemas.microsoft.com/office/2006/metadata/properties" xmlns:ns3="552e2852-0092-456a-a905-fe2fcd342002" xmlns:ns4="1616500d-65c0-475f-b068-d647a5eaaffd" targetNamespace="http://schemas.microsoft.com/office/2006/metadata/properties" ma:root="true" ma:fieldsID="baa211c028c1c293f4186760fbfc99fb" ns3:_="" ns4:_="">
    <xsd:import namespace="552e2852-0092-456a-a905-fe2fcd342002"/>
    <xsd:import namespace="1616500d-65c0-475f-b068-d647a5eaaf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28629-5480-404B-8261-8104094F4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e2852-0092-456a-a905-fe2fcd342002"/>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D20F8-A0A2-46A9-ABA2-BB97821374DA}">
  <ds:schemaRefs>
    <ds:schemaRef ds:uri="http://schemas.microsoft.com/office/2006/metadata/properties"/>
    <ds:schemaRef ds:uri="http://schemas.microsoft.com/office/infopath/2007/PartnerControls"/>
    <ds:schemaRef ds:uri="1616500d-65c0-475f-b068-d647a5eaaffd"/>
  </ds:schemaRefs>
</ds:datastoreItem>
</file>

<file path=customXml/itemProps3.xml><?xml version="1.0" encoding="utf-8"?>
<ds:datastoreItem xmlns:ds="http://schemas.openxmlformats.org/officeDocument/2006/customXml" ds:itemID="{CFB522E1-4998-41D3-A813-7347A837BCB1}">
  <ds:schemaRefs>
    <ds:schemaRef ds:uri="http://schemas.microsoft.com/sharepoint/v3/contenttype/forms"/>
  </ds:schemaRefs>
</ds:datastoreItem>
</file>

<file path=customXml/itemProps4.xml><?xml version="1.0" encoding="utf-8"?>
<ds:datastoreItem xmlns:ds="http://schemas.openxmlformats.org/officeDocument/2006/customXml" ds:itemID="{B4993E19-0462-4122-ACFE-C95E1B7B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21890</Words>
  <Characters>12478</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DĖL  TEISĖS AKTO PROJEKTAS NR. 24-18895 PATEIKTAS SUDERINIMUI SU JŪSŲ INSTITUCIJA</vt:lpstr>
    </vt:vector>
  </TitlesOfParts>
  <Company/>
  <LinksUpToDate>false</LinksUpToDate>
  <CharactersWithSpaces>34300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2025-09-03T12:09:00Z</dcterms:created>
  <dc:creator>Virginija Levinskienė</dc:creator>
  <cp:lastModifiedBy>Meidutė-Birulienė Dalia | ŠMSM</cp:lastModifiedBy>
  <dcterms:modified xsi:type="dcterms:W3CDTF">2025-09-08T13:55:00Z</dcterms:modified>
  <cp:revision>12</cp:revision>
  <dc:title>DĖL TEISĖS AKTO PROJEKTAS NR. 24-18895 PATEIKTAS SUDERINIMUI SU JŪSŲ INSTITUCIJA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0x010100FA3B8481CE7C834E84A2A11937AD9022</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827;#Marija Samavičiūtė</vt:lpwstr>
  </property>
  <property fmtid="{D5CDD505-2E9C-101B-9397-08002B2CF9AE}" pid="6" name="TaxCatchAll">
    <vt:lpwstr/>
  </property>
  <property fmtid="{D5CDD505-2E9C-101B-9397-08002B2CF9AE}" pid="7" name="DmsPermissionsConfid">
    <vt:bool>false</vt:bool>
  </property>
</Properties>
</file>