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E0800" w14:textId="1773C4B8" w:rsidR="002C6667" w:rsidRPr="003E79B9" w:rsidRDefault="002C6667" w:rsidP="003A6DA2">
      <w:pPr>
        <w:ind w:left="6480"/>
        <w:jc w:val="right"/>
        <w:rPr>
          <w:rFonts w:ascii="Times New Roman" w:hAnsi="Times New Roman" w:cs="Times New Roman"/>
          <w:b/>
          <w:szCs w:val="24"/>
          <w:lang w:eastAsia="lt-LT"/>
        </w:rPr>
      </w:pPr>
      <w:bookmarkStart w:id="0" w:name="_Hlk184207500"/>
      <w:r w:rsidRPr="003E79B9">
        <w:rPr>
          <w:rFonts w:ascii="Times New Roman" w:hAnsi="Times New Roman" w:cs="Times New Roman"/>
          <w:szCs w:val="24"/>
        </w:rPr>
        <w:t>Projektų administravimo ir finansavimo taisyklių 2 pried</w:t>
      </w:r>
      <w:r w:rsidR="00CC5D54" w:rsidRPr="003E79B9">
        <w:rPr>
          <w:rFonts w:ascii="Times New Roman" w:hAnsi="Times New Roman" w:cs="Times New Roman"/>
          <w:szCs w:val="24"/>
        </w:rPr>
        <w:t xml:space="preserve">o </w:t>
      </w:r>
      <w:r w:rsidR="005D1861" w:rsidRPr="003E79B9">
        <w:rPr>
          <w:rFonts w:ascii="Times New Roman" w:hAnsi="Times New Roman" w:cs="Times New Roman"/>
          <w:szCs w:val="24"/>
        </w:rPr>
        <w:t>keičiam</w:t>
      </w:r>
      <w:r w:rsidR="00BC71FD">
        <w:rPr>
          <w:rFonts w:ascii="Times New Roman" w:hAnsi="Times New Roman" w:cs="Times New Roman"/>
          <w:szCs w:val="24"/>
        </w:rPr>
        <w:t>ų</w:t>
      </w:r>
      <w:r w:rsidR="00CC5D54" w:rsidRPr="003E79B9">
        <w:rPr>
          <w:rFonts w:ascii="Times New Roman" w:hAnsi="Times New Roman" w:cs="Times New Roman"/>
          <w:szCs w:val="24"/>
        </w:rPr>
        <w:t xml:space="preserve"> dali</w:t>
      </w:r>
      <w:r w:rsidR="00BC71FD">
        <w:rPr>
          <w:rFonts w:ascii="Times New Roman" w:hAnsi="Times New Roman" w:cs="Times New Roman"/>
          <w:szCs w:val="24"/>
        </w:rPr>
        <w:t>ų</w:t>
      </w:r>
      <w:r w:rsidR="00CC5D54" w:rsidRPr="003E79B9">
        <w:rPr>
          <w:rFonts w:ascii="Times New Roman" w:hAnsi="Times New Roman" w:cs="Times New Roman"/>
          <w:szCs w:val="24"/>
        </w:rPr>
        <w:t xml:space="preserve"> lyginamasis variantas</w:t>
      </w:r>
    </w:p>
    <w:bookmarkEnd w:id="0"/>
    <w:p w14:paraId="5CA1478B" w14:textId="40B82C5E" w:rsidR="002C6667" w:rsidRPr="000C5F92" w:rsidRDefault="002C6667" w:rsidP="000C5F92">
      <w:pPr>
        <w:ind w:firstLine="680"/>
        <w:jc w:val="center"/>
        <w:rPr>
          <w:rFonts w:ascii="Times New Roman" w:hAnsi="Times New Roman" w:cs="Times New Roman"/>
          <w:b/>
          <w:szCs w:val="24"/>
        </w:rPr>
      </w:pPr>
      <w:r w:rsidRPr="003E79B9">
        <w:rPr>
          <w:rFonts w:ascii="Times New Roman" w:hAnsi="Times New Roman" w:cs="Times New Roman"/>
          <w:b/>
          <w:szCs w:val="24"/>
          <w:lang w:eastAsia="lt-LT"/>
        </w:rPr>
        <w:t xml:space="preserve">PROJEKTŲ </w:t>
      </w:r>
      <w:r w:rsidRPr="003E79B9">
        <w:rPr>
          <w:rFonts w:ascii="Times New Roman" w:hAnsi="Times New Roman" w:cs="Times New Roman"/>
          <w:b/>
          <w:szCs w:val="24"/>
        </w:rPr>
        <w:t>BENDRŲJŲ ATRANKOS KRITERIJŲ SĄRAŠAS IR JŲ VERTINIMO METODIK</w:t>
      </w:r>
      <w:r w:rsidR="000C5F92">
        <w:rPr>
          <w:rFonts w:ascii="Times New Roman" w:hAnsi="Times New Roman" w:cs="Times New Roman"/>
          <w:b/>
          <w:szCs w:val="24"/>
        </w:rPr>
        <w:t>A</w:t>
      </w:r>
    </w:p>
    <w:tbl>
      <w:tblPr>
        <w:tblW w:w="10332"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236"/>
        <w:gridCol w:w="3732"/>
        <w:gridCol w:w="1524"/>
      </w:tblGrid>
      <w:tr w:rsidR="00342455" w:rsidRPr="00561073" w14:paraId="73787F15" w14:textId="77777777" w:rsidTr="006F0E92">
        <w:tc>
          <w:tcPr>
            <w:tcW w:w="5387" w:type="dxa"/>
            <w:gridSpan w:val="2"/>
            <w:vMerge w:val="restart"/>
            <w:shd w:val="clear" w:color="auto" w:fill="C1E4F5" w:themeFill="accent1" w:themeFillTint="33"/>
            <w:vAlign w:val="center"/>
          </w:tcPr>
          <w:p w14:paraId="0DDFFA7F" w14:textId="77777777" w:rsidR="00342455" w:rsidRPr="00561073" w:rsidRDefault="00342455" w:rsidP="003B7A0A">
            <w:pPr>
              <w:jc w:val="center"/>
              <w:rPr>
                <w:rFonts w:ascii="Times New Roman" w:hAnsi="Times New Roman" w:cs="Times New Roman"/>
                <w:highlight w:val="yellow"/>
              </w:rPr>
            </w:pPr>
            <w:r w:rsidRPr="00561073">
              <w:rPr>
                <w:rFonts w:ascii="Times New Roman" w:hAnsi="Times New Roman" w:cs="Times New Roman"/>
              </w:rPr>
              <w:t>Bendrasis atrankos kriterijus, jo vertinimo aspektas (-ai)</w:t>
            </w:r>
          </w:p>
        </w:tc>
        <w:tc>
          <w:tcPr>
            <w:tcW w:w="4945" w:type="dxa"/>
            <w:gridSpan w:val="2"/>
            <w:shd w:val="clear" w:color="auto" w:fill="C1E4F5" w:themeFill="accent1" w:themeFillTint="33"/>
            <w:vAlign w:val="center"/>
          </w:tcPr>
          <w:p w14:paraId="64999866" w14:textId="77777777" w:rsidR="00342455" w:rsidRPr="00561073" w:rsidRDefault="00342455" w:rsidP="003B7A0A">
            <w:pPr>
              <w:jc w:val="center"/>
              <w:rPr>
                <w:rFonts w:ascii="Times New Roman" w:hAnsi="Times New Roman" w:cs="Times New Roman"/>
                <w:highlight w:val="yellow"/>
              </w:rPr>
            </w:pPr>
            <w:r w:rsidRPr="00561073">
              <w:rPr>
                <w:rFonts w:ascii="Times New Roman" w:hAnsi="Times New Roman" w:cs="Times New Roman"/>
                <w:lang w:eastAsia="lt-LT"/>
              </w:rPr>
              <w:t>Bendrojo atrankos kriterijaus vertinimo aspekto vertinimas</w:t>
            </w:r>
          </w:p>
        </w:tc>
      </w:tr>
      <w:tr w:rsidR="006F0E92" w:rsidRPr="00561073" w14:paraId="1DB13CEA" w14:textId="77777777" w:rsidTr="006F0E92">
        <w:tc>
          <w:tcPr>
            <w:tcW w:w="5387" w:type="dxa"/>
            <w:gridSpan w:val="2"/>
            <w:vMerge/>
            <w:shd w:val="clear" w:color="auto" w:fill="C1E4F5" w:themeFill="accent1" w:themeFillTint="33"/>
          </w:tcPr>
          <w:p w14:paraId="70B03665" w14:textId="77777777" w:rsidR="00342455" w:rsidRPr="00561073" w:rsidRDefault="00342455" w:rsidP="003B7A0A">
            <w:pPr>
              <w:jc w:val="center"/>
              <w:rPr>
                <w:rFonts w:ascii="Times New Roman" w:hAnsi="Times New Roman" w:cs="Times New Roman"/>
                <w:highlight w:val="yellow"/>
              </w:rPr>
            </w:pPr>
          </w:p>
        </w:tc>
        <w:tc>
          <w:tcPr>
            <w:tcW w:w="4002" w:type="dxa"/>
            <w:shd w:val="clear" w:color="auto" w:fill="C1E4F5" w:themeFill="accent1" w:themeFillTint="33"/>
            <w:vAlign w:val="center"/>
          </w:tcPr>
          <w:p w14:paraId="3323C4F1" w14:textId="77777777" w:rsidR="00342455" w:rsidRPr="00561073" w:rsidRDefault="00342455" w:rsidP="003B7A0A">
            <w:pPr>
              <w:jc w:val="center"/>
              <w:rPr>
                <w:rFonts w:ascii="Times New Roman" w:hAnsi="Times New Roman" w:cs="Times New Roman"/>
                <w:highlight w:val="yellow"/>
                <w:lang w:eastAsia="lt-LT"/>
              </w:rPr>
            </w:pPr>
            <w:r w:rsidRPr="00561073">
              <w:rPr>
                <w:rFonts w:ascii="Times New Roman" w:hAnsi="Times New Roman" w:cs="Times New Roman"/>
                <w:lang w:eastAsia="lt-LT"/>
              </w:rPr>
              <w:t>Taip / Ne / Netaikoma / Taip su išlyga</w:t>
            </w:r>
          </w:p>
        </w:tc>
        <w:tc>
          <w:tcPr>
            <w:tcW w:w="943" w:type="dxa"/>
            <w:shd w:val="clear" w:color="auto" w:fill="C1E4F5" w:themeFill="accent1" w:themeFillTint="33"/>
            <w:vAlign w:val="center"/>
          </w:tcPr>
          <w:p w14:paraId="7E471BF3" w14:textId="57F888AC" w:rsidR="00342455" w:rsidRPr="00561073" w:rsidRDefault="00342455" w:rsidP="003B7A0A">
            <w:pPr>
              <w:jc w:val="center"/>
              <w:rPr>
                <w:rFonts w:ascii="Times New Roman" w:hAnsi="Times New Roman" w:cs="Times New Roman"/>
                <w:bCs/>
                <w:lang w:eastAsia="lt-LT"/>
              </w:rPr>
            </w:pPr>
            <w:r w:rsidRPr="00561073">
              <w:rPr>
                <w:rFonts w:ascii="Times New Roman" w:hAnsi="Times New Roman" w:cs="Times New Roman"/>
                <w:bCs/>
                <w:lang w:eastAsia="lt-LT"/>
              </w:rPr>
              <w:t>Komentarai</w:t>
            </w:r>
            <w:r w:rsidR="00561073" w:rsidRPr="00561073">
              <w:rPr>
                <w:rFonts w:ascii="Times New Roman" w:hAnsi="Times New Roman" w:cs="Times New Roman"/>
                <w:bCs/>
                <w:lang w:eastAsia="lt-LT"/>
              </w:rPr>
              <w:t xml:space="preserve"> </w:t>
            </w:r>
            <w:r w:rsidR="00561073" w:rsidRPr="00561073">
              <w:rPr>
                <w:rFonts w:ascii="Times New Roman" w:hAnsi="Times New Roman" w:cs="Times New Roman"/>
                <w:bCs/>
                <w:i/>
                <w:iCs/>
                <w:lang w:eastAsia="lt-LT"/>
              </w:rPr>
              <w:t>(šiame stulpelyje pagrindžiamas kiekvieno bendrojo atrankos kriterijaus vertinimo aspekto įvertinimas)</w:t>
            </w:r>
          </w:p>
          <w:p w14:paraId="090847A5" w14:textId="32A8A4C5" w:rsidR="00342455" w:rsidRPr="00561073" w:rsidRDefault="00342455" w:rsidP="003B7A0A">
            <w:pPr>
              <w:jc w:val="center"/>
              <w:rPr>
                <w:rFonts w:ascii="Times New Roman" w:hAnsi="Times New Roman" w:cs="Times New Roman"/>
                <w:b/>
                <w:bCs/>
                <w:highlight w:val="yellow"/>
                <w:lang w:eastAsia="lt-LT"/>
              </w:rPr>
            </w:pPr>
          </w:p>
        </w:tc>
      </w:tr>
      <w:tr w:rsidR="00342455" w:rsidRPr="00561073" w14:paraId="76A415E0" w14:textId="359D2F96" w:rsidTr="006F0E92">
        <w:trPr>
          <w:trHeight w:val="561"/>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0B3D4F" w14:textId="097B8784" w:rsidR="00342455" w:rsidRPr="00561073" w:rsidRDefault="00342455" w:rsidP="00500D4B">
            <w:pPr>
              <w:rPr>
                <w:rFonts w:ascii="Times New Roman" w:hAnsi="Times New Roman" w:cs="Times New Roman"/>
              </w:rPr>
            </w:pPr>
            <w:r w:rsidRPr="00561073">
              <w:rPr>
                <w:rFonts w:ascii="Times New Roman" w:hAnsi="Times New Roman" w:cs="Times New Roman"/>
              </w:rPr>
              <w:t>„</w:t>
            </w:r>
            <w:r w:rsidR="00950453" w:rsidRPr="00561073">
              <w:rPr>
                <w:rFonts w:ascii="Times New Roman" w:hAnsi="Times New Roman" w:cs="Times New Roman"/>
              </w:rPr>
              <w:t>4.2.1</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3BE947" w14:textId="7C21B096" w:rsidR="00342455" w:rsidRPr="00561073" w:rsidRDefault="00561073" w:rsidP="00950453">
            <w:pPr>
              <w:jc w:val="both"/>
              <w:rPr>
                <w:rFonts w:ascii="Times New Roman" w:hAnsi="Times New Roman" w:cs="Times New Roman"/>
              </w:rPr>
            </w:pPr>
            <w:r w:rsidRPr="00561073">
              <w:rPr>
                <w:rFonts w:ascii="Times New Roman" w:eastAsia="Times New Roman" w:hAnsi="Times New Roman" w:cs="Times New Roman"/>
                <w14:ligatures w14:val="none"/>
              </w:rPr>
              <w:t>pareiškėjui ir partneriui (-iams), kurie yra juridiniai asmenys, nėra iškelta byla dėl bankroto arba jis (jie) nėra likviduojamas (-i), nėra priimtas kreditorių susirinkimo nutarimas bankroto procedūras vykdyti ne teismo tvarka (</w:t>
            </w:r>
            <w:r w:rsidRPr="00561073">
              <w:rPr>
                <w:rFonts w:ascii="Times New Roman" w:eastAsia="Times New Roman" w:hAnsi="Times New Roman" w:cs="Times New Roman"/>
                <w:i/>
                <w:iCs/>
                <w14:ligatures w14:val="none"/>
              </w:rPr>
              <w:t>ši nuostata netaikoma biudžetinėms įstaigoms</w:t>
            </w:r>
            <w:r w:rsidRPr="00561073">
              <w:rPr>
                <w:rFonts w:ascii="Times New Roman" w:eastAsia="Times New Roman" w:hAnsi="Times New Roman" w:cs="Times New Roman"/>
                <w14:ligatures w14:val="none"/>
              </w:rPr>
              <w:t xml:space="preserve">). Pareiškėjui ir partneriui (-iams), kurie yra juridiniai asmenys, t. y. vadovui, naudos gavėjui, kaip jis apibrėžtas Lietuvos Respublikos pinigų plovimo ir teroristų finansavimo prevencijos įstatymo 2 straipsnio 14 dalyje, (toliau – naudos gavėjas) ar savininkui, ūkinės bendrijos tikrajam nariui (-iams) ar mažosios bendrijos atstovui (-ams), turinčiam (-tiems) teisę juridinio asmens vardu sudaryti sandorį, ar finansinę apskaitą (toliau – apskaita) tvarkančiam asmeniui (asmenims), ar kitam (kitiems) asmeniui (asmenims), turinčiam (-tiems) teisę surašyti ir pasirašyti pareiškėjo ir partnerio (-ių) apskaitos dokumentus, arba jungtinio projekto projekto pareiškėjui, kuris yra fizinis asmuo, nėra pradėtas ikiteisminis tyrimas dėl </w:t>
            </w:r>
            <w:r w:rsidRPr="00561073">
              <w:rPr>
                <w:rFonts w:ascii="Times New Roman" w:eastAsia="Times New Roman" w:hAnsi="Times New Roman" w:cs="Times New Roman"/>
                <w:strike/>
                <w14:ligatures w14:val="none"/>
              </w:rPr>
              <w:t>ūkinės ir (arba) ekonominės veiklos</w:t>
            </w:r>
            <w:r w:rsidRPr="00561073">
              <w:rPr>
                <w:rFonts w:ascii="Times New Roman" w:eastAsia="Times New Roman" w:hAnsi="Times New Roman" w:cs="Times New Roman"/>
                <w14:ligatures w14:val="none"/>
              </w:rPr>
              <w:t xml:space="preserve"> </w:t>
            </w:r>
            <w:r w:rsidRPr="00561073">
              <w:rPr>
                <w:rFonts w:ascii="Times New Roman" w:eastAsia="Times New Roman" w:hAnsi="Times New Roman" w:cs="Times New Roman"/>
                <w:b/>
                <w:bCs/>
                <w:color w:val="EE0000"/>
                <w14:ligatures w14:val="none"/>
              </w:rPr>
              <w:t xml:space="preserve">sukčiavimo, turto pasisavinimo, turto iššvaistymo, nusikalstamu būdu gauto turto įgijimo arba realizavimo, neteisėto praturtėjimo, neteisėto vertimosi </w:t>
            </w:r>
            <w:r w:rsidRPr="00561073">
              <w:rPr>
                <w:rFonts w:ascii="Times New Roman" w:eastAsia="Times New Roman" w:hAnsi="Times New Roman" w:cs="Times New Roman"/>
                <w:b/>
                <w:bCs/>
                <w:color w:val="EE0000"/>
                <w14:ligatures w14:val="none"/>
              </w:rPr>
              <w:lastRenderedPageBreak/>
              <w:t>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w:t>
            </w:r>
            <w:r w:rsidRPr="00561073">
              <w:rPr>
                <w:rFonts w:ascii="Times New Roman" w:eastAsia="Times New Roman" w:hAnsi="Times New Roman" w:cs="Times New Roman"/>
                <w:b/>
                <w:bCs/>
                <w:color w:val="EE0000"/>
                <w:kern w:val="0"/>
                <w14:ligatures w14:val="none"/>
              </w:rPr>
              <w:t xml:space="preserve"> a</w:t>
            </w:r>
            <w:r w:rsidRPr="00561073">
              <w:rPr>
                <w:rFonts w:ascii="Times New Roman" w:eastAsia="Times New Roman" w:hAnsi="Times New Roman" w:cs="Times New Roman"/>
                <w:b/>
                <w:bCs/>
                <w:color w:val="EE0000"/>
                <w14:ligatures w14:val="none"/>
              </w:rPr>
              <w:t>pgaulingo ar aplaidaus apskaitos tvarkymo ir (arba) organizavimo, kyšininkavimo, prekybos poveikiu, papirkimo, piktnaudžiavimo, tarnybos pareigų neatlikimo</w:t>
            </w:r>
            <w:r w:rsidRPr="00561073">
              <w:rPr>
                <w:rFonts w:ascii="Times New Roman" w:eastAsia="Times New Roman" w:hAnsi="Times New Roman" w:cs="Times New Roman"/>
                <w:color w:val="EE0000"/>
                <w14:ligatures w14:val="none"/>
              </w:rPr>
              <w:t>.</w:t>
            </w:r>
            <w:r w:rsidRPr="00561073">
              <w:rPr>
                <w:rFonts w:ascii="Times New Roman" w:eastAsia="Times New Roman" w:hAnsi="Times New Roman" w:cs="Times New Roman"/>
                <w14:ligatures w14:val="none"/>
              </w:rPr>
              <w:t xml:space="preserve"> Jungtinio projekto projekto pareiškėjui, kuris yra fizinis asmuo, nėra iškelta byla dėl bankroto;</w:t>
            </w: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261943" w14:textId="41ECD761" w:rsidR="00342455" w:rsidRPr="00561073" w:rsidRDefault="00561073" w:rsidP="00500D4B">
            <w:pPr>
              <w:rPr>
                <w:rFonts w:ascii="Times New Roman" w:hAnsi="Times New Roman" w:cs="Times New Roman"/>
                <w:iCs/>
              </w:rPr>
            </w:pPr>
            <w:r w:rsidRPr="00561073">
              <w:rPr>
                <w:rFonts w:ascii="Times New Roman" w:eastAsia="Times New Roman" w:hAnsi="Times New Roman" w:cs="Times New Roman"/>
                <w:i/>
                <w:color w:val="808080"/>
                <w:lang w:eastAsia="lt-LT"/>
                <w14:ligatures w14:val="none"/>
              </w:rPr>
              <w:lastRenderedPageBreak/>
              <w:t>(Vertinama projekto įgyvendinimo plano vertinimo metu nuo projekto įgyvendinimo plano pateikimo dienos nepažeidžiant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PAFT) 48 punkto nuostatų. Pakartotinai nevertinama, jei kriterijus buvo įvertintas projektui suteikiant pažangumo ženklą arba projektas atrinktas, bet nefinansuotas arba bendrai finansuojamas pagal programą „Europos horizontas“, įskaitant Europos atominės energijos bendrijos mokslinių tyrimų ir mokymo programą, papildančią programą „Europos horizontas“, nepažeidžiant PAFT 48 punkto nuostatų)</w:t>
            </w:r>
            <w:r w:rsidR="00950453" w:rsidRPr="00561073">
              <w:rPr>
                <w:iCs/>
                <w:lang w:eastAsia="lt-LT"/>
              </w:rPr>
              <w:t>“.</w:t>
            </w:r>
          </w:p>
        </w:tc>
        <w:tc>
          <w:tcPr>
            <w:tcW w:w="943" w:type="dxa"/>
            <w:tcBorders>
              <w:top w:val="single" w:sz="4" w:space="0" w:color="auto"/>
              <w:left w:val="single" w:sz="4" w:space="0" w:color="auto"/>
              <w:bottom w:val="single" w:sz="4" w:space="0" w:color="auto"/>
              <w:right w:val="single" w:sz="4" w:space="0" w:color="auto"/>
            </w:tcBorders>
            <w:shd w:val="clear" w:color="auto" w:fill="FFFFFF" w:themeFill="background1"/>
          </w:tcPr>
          <w:p w14:paraId="6A376F6C" w14:textId="77777777" w:rsidR="00342455" w:rsidRPr="00561073" w:rsidRDefault="00342455" w:rsidP="00500D4B">
            <w:pPr>
              <w:rPr>
                <w:rFonts w:ascii="Times New Roman" w:hAnsi="Times New Roman" w:cs="Times New Roman"/>
                <w:i/>
              </w:rPr>
            </w:pPr>
          </w:p>
        </w:tc>
      </w:tr>
    </w:tbl>
    <w:p w14:paraId="701603A1" w14:textId="77777777" w:rsidR="000601D4" w:rsidRDefault="000601D4">
      <w:pPr>
        <w:rPr>
          <w:rFonts w:ascii="Times New Roman" w:hAnsi="Times New Roman" w:cs="Times New Roman"/>
          <w:bCs/>
          <w:szCs w:val="24"/>
        </w:rPr>
      </w:pPr>
    </w:p>
    <w:p w14:paraId="7A5F50C0" w14:textId="62BFB880" w:rsidR="00272431" w:rsidRDefault="002C6667">
      <w:pPr>
        <w:rPr>
          <w:rFonts w:ascii="Times New Roman" w:hAnsi="Times New Roman" w:cs="Times New Roman"/>
          <w:bCs/>
          <w:szCs w:val="24"/>
        </w:rPr>
      </w:pPr>
      <w:r w:rsidRPr="003E79B9">
        <w:rPr>
          <w:rFonts w:ascii="Times New Roman" w:hAnsi="Times New Roman" w:cs="Times New Roman"/>
          <w:bCs/>
          <w:szCs w:val="24"/>
        </w:rPr>
        <w:t>&lt;...&gt;</w:t>
      </w:r>
    </w:p>
    <w:tbl>
      <w:tblPr>
        <w:tblStyle w:val="TableGrid"/>
        <w:tblW w:w="0" w:type="auto"/>
        <w:tblInd w:w="-714" w:type="dxa"/>
        <w:tblLook w:val="04A0" w:firstRow="1" w:lastRow="0" w:firstColumn="1" w:lastColumn="0" w:noHBand="0" w:noVBand="1"/>
      </w:tblPr>
      <w:tblGrid>
        <w:gridCol w:w="851"/>
        <w:gridCol w:w="4536"/>
        <w:gridCol w:w="4111"/>
        <w:gridCol w:w="844"/>
      </w:tblGrid>
      <w:tr w:rsidR="0068185D" w:rsidRPr="00D30B5B" w14:paraId="27EA7964" w14:textId="77777777" w:rsidTr="0068185D">
        <w:tc>
          <w:tcPr>
            <w:tcW w:w="851" w:type="dxa"/>
          </w:tcPr>
          <w:p w14:paraId="0C234E27" w14:textId="436A1042" w:rsidR="0068185D" w:rsidRPr="00D30B5B" w:rsidRDefault="00D32D22">
            <w:pPr>
              <w:rPr>
                <w:rFonts w:ascii="Times New Roman" w:hAnsi="Times New Roman" w:cs="Times New Roman"/>
                <w:bCs/>
              </w:rPr>
            </w:pPr>
            <w:r>
              <w:rPr>
                <w:rFonts w:ascii="Times New Roman" w:hAnsi="Times New Roman" w:cs="Times New Roman"/>
                <w:bCs/>
              </w:rPr>
              <w:t>„</w:t>
            </w:r>
            <w:r w:rsidR="0068185D" w:rsidRPr="00D30B5B">
              <w:rPr>
                <w:rFonts w:ascii="Times New Roman" w:hAnsi="Times New Roman" w:cs="Times New Roman"/>
                <w:bCs/>
              </w:rPr>
              <w:t>4.2</w:t>
            </w:r>
            <w:r w:rsidR="00950453">
              <w:rPr>
                <w:rFonts w:ascii="Times New Roman" w:hAnsi="Times New Roman" w:cs="Times New Roman"/>
                <w:bCs/>
              </w:rPr>
              <w:t>.3</w:t>
            </w:r>
          </w:p>
        </w:tc>
        <w:tc>
          <w:tcPr>
            <w:tcW w:w="4536" w:type="dxa"/>
          </w:tcPr>
          <w:p w14:paraId="4179E01A" w14:textId="5DD43711" w:rsidR="0068185D" w:rsidRPr="00561073" w:rsidRDefault="00561073" w:rsidP="00950453">
            <w:pPr>
              <w:jc w:val="both"/>
              <w:rPr>
                <w:rFonts w:ascii="Times New Roman" w:hAnsi="Times New Roman" w:cs="Times New Roman"/>
                <w:bCs/>
                <w:szCs w:val="18"/>
              </w:rPr>
            </w:pPr>
            <w:r w:rsidRPr="00561073">
              <w:rPr>
                <w:rFonts w:ascii="Times New Roman" w:eastAsia="Times New Roman" w:hAnsi="Times New Roman" w:cs="Times New Roman"/>
                <w:kern w:val="0"/>
                <w:szCs w:val="18"/>
                <w:shd w:val="clear" w:color="auto" w:fill="FFFFFF"/>
                <w14:ligatures w14:val="none"/>
              </w:rPr>
              <w:t xml:space="preserve">pareiškėjas ir partneris (-iai) neturi neišnykusio arba nepanaikinto teistumo arba dėl pareiškėjo ir partnerio (-ių) per pastaruosius 5 metus nebuvo priimtas ir įsiteisėjęs apkaltinamasis teismo nuosprendis dėl neteisėtos veiklos, kenkiančios Lietuvos Respublikos ir (arba) Europos Sąjungos finansiniams interesams, t. y. pareiškėjas ir partneris (-iai), kurie yra fiziniai asmenys, arba pareiškėjo ir partnerio (-ių), kurie yra juridiniai asmenys, vadovas, naudos gavėjas ar savininkas, ūkinės bendrijos tikrasis narys (-iai) ar mažosios bendrijos atstovas (-ai), turintis (-ys) teisę juridinio asmens vardu sudaryti sandorį, ar apskaitą tvarkantis asmuo (asmenys), ar kitas (kiti) asmuo (asmenys), turintis (-ys) teisę surašyti ir pasirašyti pareiškėjo ir partnerio (-ių) apskaitos dokumentus, neturi neišnykusio arba nepanaikinto teistumo arba dėl pareiškėjo ir partnerio (-ių) per pastaruosius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w:t>
            </w:r>
            <w:r w:rsidRPr="00561073">
              <w:rPr>
                <w:rFonts w:ascii="Times New Roman" w:eastAsia="Times New Roman" w:hAnsi="Times New Roman" w:cs="Times New Roman"/>
                <w:kern w:val="0"/>
                <w:szCs w:val="18"/>
                <w:shd w:val="clear" w:color="auto" w:fill="FFFFFF"/>
                <w14:ligatures w14:val="none"/>
              </w:rPr>
              <w:lastRenderedPageBreak/>
              <w:t xml:space="preserve">pasisavinimą, turto iššvaistymą, </w:t>
            </w:r>
            <w:r w:rsidRPr="00561073">
              <w:rPr>
                <w:rFonts w:ascii="Times New Roman" w:eastAsia="Times New Roman" w:hAnsi="Times New Roman" w:cs="Times New Roman"/>
                <w:strike/>
                <w:kern w:val="0"/>
                <w:szCs w:val="18"/>
                <w:shd w:val="clear" w:color="auto" w:fill="FFFFFF"/>
                <w14:ligatures w14:val="none"/>
              </w:rPr>
              <w:t>turtinės žalos padarymą apgaule,</w:t>
            </w:r>
            <w:r w:rsidRPr="00561073">
              <w:rPr>
                <w:rFonts w:ascii="Times New Roman" w:eastAsia="Times New Roman" w:hAnsi="Times New Roman" w:cs="Times New Roman"/>
                <w:kern w:val="0"/>
                <w:szCs w:val="18"/>
                <w:shd w:val="clear" w:color="auto" w:fill="FFFFFF"/>
                <w14:ligatures w14:val="none"/>
              </w:rPr>
              <w:t xml:space="preserv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w:t>
            </w:r>
            <w:r w:rsidRPr="00561073">
              <w:rPr>
                <w:rFonts w:ascii="Times New Roman" w:eastAsia="Times New Roman" w:hAnsi="Times New Roman" w:cs="Times New Roman"/>
                <w:b/>
                <w:bCs/>
                <w:color w:val="EE0000"/>
                <w:kern w:val="0"/>
                <w:szCs w:val="18"/>
                <w:shd w:val="clear" w:color="auto" w:fill="FFFFFF"/>
                <w14:ligatures w14:val="none"/>
              </w:rPr>
              <w:t>,</w:t>
            </w:r>
            <w:r w:rsidRPr="00561073">
              <w:rPr>
                <w:rFonts w:ascii="Times New Roman" w:eastAsia="Times New Roman" w:hAnsi="Times New Roman" w:cs="Times New Roman"/>
                <w:strike/>
                <w:kern w:val="0"/>
                <w:szCs w:val="18"/>
                <w:shd w:val="clear" w:color="auto" w:fill="FFFFFF"/>
                <w14:ligatures w14:val="none"/>
              </w:rPr>
              <w:t xml:space="preserve"> ar</w:t>
            </w:r>
            <w:r w:rsidRPr="00561073">
              <w:rPr>
                <w:rFonts w:ascii="Times New Roman" w:eastAsia="Times New Roman" w:hAnsi="Times New Roman" w:cs="Times New Roman"/>
                <w:kern w:val="0"/>
                <w:szCs w:val="18"/>
                <w:shd w:val="clear" w:color="auto" w:fill="FFFFFF"/>
                <w14:ligatures w14:val="none"/>
              </w:rPr>
              <w:t xml:space="preserve"> tikslinės paramos</w:t>
            </w:r>
            <w:r w:rsidRPr="00561073">
              <w:rPr>
                <w:rFonts w:ascii="Times New Roman" w:eastAsia="Times New Roman" w:hAnsi="Times New Roman" w:cs="Times New Roman"/>
                <w:b/>
                <w:bCs/>
                <w:color w:val="EE0000"/>
                <w:kern w:val="0"/>
                <w:szCs w:val="18"/>
                <w:shd w:val="clear" w:color="auto" w:fill="FFFFFF"/>
                <w14:ligatures w14:val="none"/>
              </w:rPr>
              <w:t xml:space="preserve">, </w:t>
            </w:r>
            <w:r w:rsidRPr="00561073">
              <w:rPr>
                <w:rFonts w:ascii="Times New Roman" w:eastAsia="Times New Roman" w:hAnsi="Times New Roman" w:cs="Times New Roman"/>
                <w:b/>
                <w:bCs/>
                <w:color w:val="EE0000"/>
                <w:kern w:val="0"/>
                <w:szCs w:val="18"/>
                <w14:ligatures w14:val="none"/>
              </w:rPr>
              <w:t>subsidijos ar dotacijos</w:t>
            </w:r>
            <w:r w:rsidRPr="00561073">
              <w:rPr>
                <w:rFonts w:ascii="Times New Roman" w:eastAsia="Times New Roman" w:hAnsi="Times New Roman" w:cs="Times New Roman"/>
                <w:kern w:val="0"/>
                <w:szCs w:val="18"/>
                <w:shd w:val="clear" w:color="auto" w:fill="FFFFFF"/>
                <w14:ligatures w14:val="none"/>
              </w:rPr>
              <w:t xml:space="preserve">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w:t>
            </w:r>
            <w:r w:rsidRPr="00561073">
              <w:rPr>
                <w:rFonts w:ascii="Times New Roman" w:eastAsia="Times New Roman" w:hAnsi="Times New Roman" w:cs="Times New Roman"/>
                <w:kern w:val="0"/>
                <w:szCs w:val="18"/>
                <w14:ligatures w14:val="none"/>
              </w:rPr>
              <w:t xml:space="preserve"> </w:t>
            </w:r>
            <w:r w:rsidRPr="00561073">
              <w:rPr>
                <w:rFonts w:ascii="Times New Roman" w:eastAsia="Times New Roman" w:hAnsi="Times New Roman" w:cs="Times New Roman"/>
                <w:b/>
                <w:bCs/>
                <w:color w:val="EE0000"/>
                <w:kern w:val="0"/>
                <w:szCs w:val="18"/>
                <w:shd w:val="clear" w:color="auto" w:fill="FFFFFF"/>
                <w14:ligatures w14:val="none"/>
              </w:rPr>
              <w:t>ir (arba) organizavimą</w:t>
            </w:r>
            <w:r w:rsidRPr="00561073">
              <w:rPr>
                <w:rFonts w:ascii="Times New Roman" w:eastAsia="Times New Roman" w:hAnsi="Times New Roman" w:cs="Times New Roman"/>
                <w:kern w:val="0"/>
                <w:szCs w:val="18"/>
                <w:shd w:val="clear" w:color="auto" w:fill="FFFFFF"/>
                <w14:ligatures w14:val="none"/>
              </w:rPr>
              <w:t>, nusikalstamu būdu gauto turto įgijimą ar realizavimą, nusikalstamu būdu</w:t>
            </w:r>
            <w:r w:rsidRPr="00561073">
              <w:rPr>
                <w:rFonts w:ascii="Times New Roman" w:eastAsia="Times New Roman" w:hAnsi="Times New Roman" w:cs="Times New Roman"/>
                <w:strike/>
                <w:kern w:val="0"/>
                <w:szCs w:val="18"/>
                <w:shd w:val="clear" w:color="auto" w:fill="FFFFFF"/>
                <w14:ligatures w14:val="none"/>
              </w:rPr>
              <w:t xml:space="preserve"> įgytų pinigų ar</w:t>
            </w:r>
            <w:r w:rsidRPr="00561073">
              <w:rPr>
                <w:rFonts w:ascii="Times New Roman" w:eastAsia="Times New Roman" w:hAnsi="Times New Roman" w:cs="Times New Roman"/>
                <w:kern w:val="0"/>
                <w:szCs w:val="18"/>
                <w:shd w:val="clear" w:color="auto" w:fill="FFFFFF"/>
                <w14:ligatures w14:val="none"/>
              </w:rPr>
              <w:t xml:space="preserve"> </w:t>
            </w:r>
            <w:r w:rsidRPr="00561073">
              <w:rPr>
                <w:rFonts w:ascii="Times New Roman" w:eastAsia="Times New Roman" w:hAnsi="Times New Roman" w:cs="Times New Roman"/>
                <w:b/>
                <w:bCs/>
                <w:color w:val="EE0000"/>
                <w:kern w:val="0"/>
                <w:szCs w:val="18"/>
                <w:shd w:val="clear" w:color="auto" w:fill="FFFFFF"/>
                <w14:ligatures w14:val="none"/>
              </w:rPr>
              <w:t>gauto</w:t>
            </w:r>
            <w:r w:rsidRPr="00561073">
              <w:rPr>
                <w:rFonts w:ascii="Times New Roman" w:eastAsia="Times New Roman" w:hAnsi="Times New Roman" w:cs="Times New Roman"/>
                <w:kern w:val="0"/>
                <w:szCs w:val="18"/>
                <w:shd w:val="clear" w:color="auto" w:fill="FFFFFF"/>
                <w14:ligatures w14:val="none"/>
              </w:rPr>
              <w:t xml:space="preserve"> turto legalizavimą,</w:t>
            </w:r>
            <w:r w:rsidRPr="00561073">
              <w:rPr>
                <w:rFonts w:ascii="Times New Roman" w:eastAsia="Times New Roman" w:hAnsi="Times New Roman" w:cs="Times New Roman"/>
                <w:kern w:val="0"/>
                <w:szCs w:val="18"/>
                <w14:ligatures w14:val="none"/>
              </w:rPr>
              <w:t xml:space="preserve"> </w:t>
            </w:r>
            <w:r w:rsidRPr="00561073">
              <w:rPr>
                <w:rFonts w:ascii="Times New Roman" w:eastAsia="Times New Roman" w:hAnsi="Times New Roman" w:cs="Times New Roman"/>
                <w:b/>
                <w:bCs/>
                <w:color w:val="EE0000"/>
                <w:kern w:val="0"/>
                <w:szCs w:val="18"/>
                <w:shd w:val="clear" w:color="auto" w:fill="FFFFFF"/>
                <w14:ligatures w14:val="none"/>
              </w:rPr>
              <w:t>prekybą finansinėmis priemonėmis pasinaudojant viešai neatskleista informacija, manipuliavimą finansinių priemonių rinka,</w:t>
            </w:r>
            <w:r w:rsidRPr="00561073">
              <w:rPr>
                <w:rFonts w:ascii="Times New Roman" w:eastAsia="Times New Roman" w:hAnsi="Times New Roman" w:cs="Times New Roman"/>
                <w:kern w:val="0"/>
                <w:szCs w:val="18"/>
                <w:shd w:val="clear" w:color="auto" w:fill="FFFFFF"/>
                <w14:ligatures w14:val="none"/>
              </w:rPr>
              <w:t xml:space="preserve"> netikrų pinigų ar vertybinių popierių pagaminimą, laikymą ar realizavimą, dokumento suklastojimą ar disponavimą suklastotu dokumentu, antspaudo, spaudo ar blanko suklastojimą, </w:t>
            </w:r>
            <w:r w:rsidRPr="00561073">
              <w:rPr>
                <w:rFonts w:ascii="Times New Roman" w:eastAsia="Times New Roman" w:hAnsi="Times New Roman" w:cs="Times New Roman"/>
                <w:b/>
                <w:bCs/>
                <w:color w:val="EE0000"/>
                <w:kern w:val="0"/>
                <w:szCs w:val="18"/>
                <w:shd w:val="clear" w:color="auto" w:fill="FFFFFF"/>
                <w14:ligatures w14:val="none"/>
              </w:rPr>
              <w:t>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w:t>
            </w:r>
            <w:r w:rsidRPr="00561073">
              <w:rPr>
                <w:rFonts w:ascii="Times New Roman" w:eastAsia="Times New Roman" w:hAnsi="Times New Roman" w:cs="Times New Roman"/>
                <w:kern w:val="0"/>
                <w:szCs w:val="18"/>
                <w:shd w:val="clear" w:color="auto" w:fill="FFFFFF"/>
                <w14:ligatures w14:val="none"/>
              </w:rPr>
              <w:t xml:space="preserve"> dalyvavimą kokioje nors kitoje neteisėtoje veikloje, kenkiančioje Lietuvos Respublikos ir (arba) Europos Sąjungos finansiniams interesams, arba nėra subjektas, kuriam taikomos sankcijos, kaip jis apibrėžtas Lietuvos Respublikos tarptautinių sankcijų įstatymo 2 straipsnio </w:t>
            </w:r>
            <w:r w:rsidRPr="00561073">
              <w:rPr>
                <w:rFonts w:ascii="Times New Roman" w:eastAsia="Times New Roman" w:hAnsi="Times New Roman" w:cs="Times New Roman"/>
                <w:strike/>
                <w:kern w:val="0"/>
                <w:szCs w:val="18"/>
                <w:shd w:val="clear" w:color="auto" w:fill="FFFFFF"/>
                <w14:ligatures w14:val="none"/>
              </w:rPr>
              <w:t>2</w:t>
            </w:r>
            <w:r w:rsidRPr="00561073">
              <w:rPr>
                <w:rFonts w:ascii="Times New Roman" w:eastAsia="Times New Roman" w:hAnsi="Times New Roman" w:cs="Times New Roman"/>
                <w:kern w:val="0"/>
                <w:szCs w:val="18"/>
                <w:shd w:val="clear" w:color="auto" w:fill="FFFFFF"/>
                <w14:ligatures w14:val="none"/>
              </w:rPr>
              <w:t xml:space="preserve"> </w:t>
            </w:r>
            <w:r w:rsidRPr="00561073">
              <w:rPr>
                <w:rFonts w:ascii="Times New Roman" w:eastAsia="Times New Roman" w:hAnsi="Times New Roman" w:cs="Times New Roman"/>
                <w:b/>
                <w:bCs/>
                <w:color w:val="EE0000"/>
                <w:kern w:val="0"/>
                <w:szCs w:val="18"/>
                <w:shd w:val="clear" w:color="auto" w:fill="FFFFFF"/>
                <w14:ligatures w14:val="none"/>
              </w:rPr>
              <w:t>4</w:t>
            </w:r>
            <w:r w:rsidRPr="00561073">
              <w:rPr>
                <w:rFonts w:ascii="Times New Roman" w:eastAsia="Times New Roman" w:hAnsi="Times New Roman" w:cs="Times New Roman"/>
                <w:kern w:val="0"/>
                <w:szCs w:val="18"/>
                <w:shd w:val="clear" w:color="auto" w:fill="FFFFFF"/>
                <w14:ligatures w14:val="none"/>
              </w:rPr>
              <w:t xml:space="preserve"> dalyje;</w:t>
            </w:r>
          </w:p>
        </w:tc>
        <w:tc>
          <w:tcPr>
            <w:tcW w:w="4111" w:type="dxa"/>
          </w:tcPr>
          <w:p w14:paraId="29783EC2" w14:textId="77777777" w:rsidR="00561073" w:rsidRPr="00561073" w:rsidRDefault="00561073" w:rsidP="00561073">
            <w:pPr>
              <w:rPr>
                <w:rFonts w:ascii="Times New Roman" w:hAnsi="Times New Roman" w:cs="Times New Roman"/>
                <w:i/>
                <w:iCs/>
                <w:color w:val="808080" w:themeColor="background1" w:themeShade="80"/>
                <w:szCs w:val="24"/>
                <w:lang w:eastAsia="ko-KR"/>
              </w:rPr>
            </w:pPr>
            <w:r w:rsidRPr="00561073">
              <w:rPr>
                <w:rFonts w:ascii="Times New Roman" w:hAnsi="Times New Roman" w:cs="Times New Roman"/>
                <w:i/>
                <w:iCs/>
                <w:color w:val="808080" w:themeColor="background1" w:themeShade="80"/>
                <w:szCs w:val="24"/>
                <w:lang w:eastAsia="ko-KR"/>
              </w:rPr>
              <w:lastRenderedPageBreak/>
              <w:t>(Netaikoma biudžetinėms įstaigoms ir asmenims, kuriems Lietuvos Respublikos, Europos Sąjungos arba kitos valstybės, išskyrus Rusijos Federaciją ir Baltarusijos Respubliką, teisės aktų nustatyta tvarka taikomas nepriekaištingos reputacijos reikalavimas.</w:t>
            </w:r>
          </w:p>
          <w:p w14:paraId="7B972D46" w14:textId="050C5C37" w:rsidR="0068185D" w:rsidRPr="00D30B5B" w:rsidRDefault="00561073" w:rsidP="00561073">
            <w:pPr>
              <w:rPr>
                <w:rFonts w:ascii="Times New Roman" w:hAnsi="Times New Roman" w:cs="Times New Roman"/>
                <w:bCs/>
              </w:rPr>
            </w:pPr>
            <w:r w:rsidRPr="00561073">
              <w:rPr>
                <w:rFonts w:ascii="Times New Roman" w:hAnsi="Times New Roman" w:cs="Times New Roman"/>
                <w:i/>
                <w:iCs/>
                <w:color w:val="808080" w:themeColor="background1" w:themeShade="80"/>
                <w:szCs w:val="24"/>
                <w:lang w:eastAsia="ko-KR"/>
              </w:rPr>
              <w:t>Vertinama projekto įgyvendinimo plano vertinimo metu nuo projekto įgyvendinimo plano pateikimo dienos, nepažeidžiant PAFT 48 punkto nuostatų. Pakartotinai nevertinama, jei kriterijus buvo įvertintas projektui suteikiant pažangumo ženklą arba projektas atrinktas, bet nefinansuotas</w:t>
            </w:r>
            <w:r w:rsidRPr="00561073">
              <w:rPr>
                <w:rFonts w:ascii="Times New Roman" w:hAnsi="Times New Roman" w:cs="Times New Roman"/>
                <w:b/>
                <w:bCs/>
                <w:i/>
                <w:iCs/>
                <w:color w:val="808080" w:themeColor="background1" w:themeShade="80"/>
                <w:szCs w:val="24"/>
                <w:lang w:eastAsia="ko-KR"/>
              </w:rPr>
              <w:t xml:space="preserve"> </w:t>
            </w:r>
            <w:r w:rsidRPr="00561073">
              <w:rPr>
                <w:rFonts w:ascii="Times New Roman" w:hAnsi="Times New Roman" w:cs="Times New Roman"/>
                <w:i/>
                <w:iCs/>
                <w:color w:val="808080" w:themeColor="background1" w:themeShade="80"/>
                <w:szCs w:val="24"/>
                <w:lang w:eastAsia="ko-KR"/>
              </w:rPr>
              <w:t>arba bendrai finansuojamas pagal programą „Europos horizontas“, įskaitant Europos atominės energijos bendrijos mokslinių tyrimų ir mokymo programą, papildančią programą „Europos horizontas“, nepažeidžiant PAFT 48 punkto nuostatų)</w:t>
            </w:r>
            <w:r w:rsidR="00950453" w:rsidRPr="00950453">
              <w:rPr>
                <w:rFonts w:ascii="Times New Roman" w:hAnsi="Times New Roman" w:cs="Times New Roman"/>
                <w:szCs w:val="24"/>
                <w:lang w:eastAsia="ko-KR"/>
              </w:rPr>
              <w:t>“.</w:t>
            </w:r>
          </w:p>
        </w:tc>
        <w:tc>
          <w:tcPr>
            <w:tcW w:w="844" w:type="dxa"/>
          </w:tcPr>
          <w:p w14:paraId="71B0D50E" w14:textId="77777777" w:rsidR="0068185D" w:rsidRPr="00D30B5B" w:rsidRDefault="0068185D">
            <w:pPr>
              <w:rPr>
                <w:rFonts w:ascii="Times New Roman" w:hAnsi="Times New Roman" w:cs="Times New Roman"/>
                <w:bCs/>
              </w:rPr>
            </w:pPr>
          </w:p>
        </w:tc>
      </w:tr>
    </w:tbl>
    <w:p w14:paraId="362A91CB" w14:textId="77777777" w:rsidR="0068185D" w:rsidRDefault="0068185D">
      <w:pPr>
        <w:rPr>
          <w:rFonts w:ascii="Times New Roman" w:hAnsi="Times New Roman" w:cs="Times New Roman"/>
          <w:bCs/>
          <w:szCs w:val="24"/>
        </w:rPr>
      </w:pPr>
    </w:p>
    <w:p w14:paraId="0E350C50" w14:textId="01D96C09" w:rsidR="000601D4" w:rsidRDefault="000601D4">
      <w:pPr>
        <w:rPr>
          <w:rFonts w:ascii="Times New Roman" w:hAnsi="Times New Roman" w:cs="Times New Roman"/>
          <w:bCs/>
          <w:szCs w:val="24"/>
        </w:rPr>
      </w:pPr>
      <w:r>
        <w:rPr>
          <w:rFonts w:ascii="Times New Roman" w:hAnsi="Times New Roman" w:cs="Times New Roman"/>
          <w:bCs/>
          <w:szCs w:val="24"/>
        </w:rPr>
        <w:lastRenderedPageBreak/>
        <w:t>&lt;...&gt;</w:t>
      </w:r>
    </w:p>
    <w:tbl>
      <w:tblPr>
        <w:tblStyle w:val="TableGrid"/>
        <w:tblW w:w="0" w:type="auto"/>
        <w:tblInd w:w="-714" w:type="dxa"/>
        <w:tblLook w:val="04A0" w:firstRow="1" w:lastRow="0" w:firstColumn="1" w:lastColumn="0" w:noHBand="0" w:noVBand="1"/>
      </w:tblPr>
      <w:tblGrid>
        <w:gridCol w:w="779"/>
        <w:gridCol w:w="4608"/>
        <w:gridCol w:w="4111"/>
        <w:gridCol w:w="844"/>
      </w:tblGrid>
      <w:tr w:rsidR="000601D4" w:rsidRPr="00D30B5B" w14:paraId="7F1AA057" w14:textId="6F395BF4" w:rsidTr="000601D4">
        <w:tc>
          <w:tcPr>
            <w:tcW w:w="779" w:type="dxa"/>
          </w:tcPr>
          <w:p w14:paraId="1D251195" w14:textId="769CA101" w:rsidR="000601D4" w:rsidRPr="00D30B5B" w:rsidRDefault="000601D4" w:rsidP="0033738F">
            <w:pPr>
              <w:rPr>
                <w:rFonts w:ascii="Times New Roman" w:hAnsi="Times New Roman" w:cs="Times New Roman"/>
                <w:bCs/>
              </w:rPr>
            </w:pPr>
            <w:r>
              <w:rPr>
                <w:rFonts w:ascii="Times New Roman" w:hAnsi="Times New Roman" w:cs="Times New Roman"/>
                <w:bCs/>
              </w:rPr>
              <w:t>„4</w:t>
            </w:r>
            <w:r w:rsidRPr="00D30B5B">
              <w:rPr>
                <w:rFonts w:ascii="Times New Roman" w:hAnsi="Times New Roman" w:cs="Times New Roman"/>
                <w:bCs/>
              </w:rPr>
              <w:t>.</w:t>
            </w:r>
            <w:r w:rsidR="00950453">
              <w:rPr>
                <w:rFonts w:ascii="Times New Roman" w:hAnsi="Times New Roman" w:cs="Times New Roman"/>
                <w:bCs/>
              </w:rPr>
              <w:t>6</w:t>
            </w:r>
          </w:p>
        </w:tc>
        <w:tc>
          <w:tcPr>
            <w:tcW w:w="4608" w:type="dxa"/>
          </w:tcPr>
          <w:p w14:paraId="1CB98AEC" w14:textId="77777777" w:rsidR="00561073" w:rsidRPr="00561073" w:rsidRDefault="00561073" w:rsidP="00561073">
            <w:pPr>
              <w:rPr>
                <w:rFonts w:ascii="Times New Roman" w:eastAsia="MS Mincho" w:hAnsi="Times New Roman" w:cs="Times New Roman"/>
                <w:szCs w:val="24"/>
                <w:lang w:eastAsia="lt-LT"/>
              </w:rPr>
            </w:pPr>
            <w:r w:rsidRPr="00561073">
              <w:rPr>
                <w:rFonts w:ascii="Times New Roman" w:eastAsia="MS Mincho" w:hAnsi="Times New Roman" w:cs="Times New Roman"/>
                <w:szCs w:val="24"/>
                <w:lang w:eastAsia="lt-LT"/>
              </w:rPr>
              <w:t xml:space="preserve">Nuosavas įnašas atitinka PFSA, o kai įgyvendinami RPPl projektai, – Gairėse nustatytus reikalavimus ir yra užtikrintas įnašo finansavimas. </w:t>
            </w:r>
          </w:p>
          <w:p w14:paraId="3220428B" w14:textId="1126E8B1" w:rsidR="000601D4" w:rsidRPr="00950453" w:rsidRDefault="000601D4" w:rsidP="0033738F">
            <w:pPr>
              <w:rPr>
                <w:rFonts w:ascii="Times New Roman" w:hAnsi="Times New Roman" w:cs="Times New Roman"/>
              </w:rPr>
            </w:pPr>
          </w:p>
        </w:tc>
        <w:tc>
          <w:tcPr>
            <w:tcW w:w="4111" w:type="dxa"/>
          </w:tcPr>
          <w:p w14:paraId="5DC2393C" w14:textId="1747A3BA" w:rsidR="000601D4" w:rsidRPr="00950453" w:rsidRDefault="007C7F1D" w:rsidP="0033738F">
            <w:pPr>
              <w:rPr>
                <w:rFonts w:ascii="Times New Roman" w:hAnsi="Times New Roman" w:cs="Times New Roman"/>
                <w:bCs/>
              </w:rPr>
            </w:pPr>
            <w:r w:rsidRPr="007C7F1D">
              <w:rPr>
                <w:rFonts w:ascii="Times New Roman" w:eastAsia="Calibri" w:hAnsi="Times New Roman" w:cs="Times New Roman"/>
                <w:i/>
                <w:color w:val="808080"/>
                <w:szCs w:val="24"/>
              </w:rPr>
              <w:t xml:space="preserve">(Taikoma, jei projekto įgyvendinimo plane numatytas nuosavas įnašas ir (arba) nuosavas įnašas privalomas pagal PFSA ar Gairių reikalavimus. </w:t>
            </w:r>
            <w:r w:rsidRPr="007C7F1D">
              <w:rPr>
                <w:rFonts w:ascii="Times New Roman" w:eastAsia="Calibri" w:hAnsi="Times New Roman" w:cs="Times New Roman"/>
                <w:b/>
                <w:bCs/>
                <w:i/>
                <w:color w:val="EE0000"/>
                <w:szCs w:val="24"/>
              </w:rPr>
              <w:t>Nevertinama, kai kartu su paraiška finansuoti jungtinio projekto projektą pateikiami ir jungtinio projekto projekto veiklos įgyvendinimo pagrindimo dokumentai.</w:t>
            </w:r>
            <w:r w:rsidRPr="007C7F1D">
              <w:rPr>
                <w:rFonts w:ascii="Times New Roman" w:eastAsia="Calibri" w:hAnsi="Times New Roman" w:cs="Times New Roman"/>
                <w:i/>
                <w:color w:val="808080"/>
                <w:szCs w:val="24"/>
              </w:rPr>
              <w:t xml:space="preserve"> Jei projektui įgyvendinti numatyto </w:t>
            </w:r>
            <w:r w:rsidRPr="007C7F1D">
              <w:rPr>
                <w:rFonts w:ascii="Times New Roman" w:eastAsia="Calibri" w:hAnsi="Times New Roman" w:cs="Times New Roman"/>
                <w:b/>
                <w:bCs/>
                <w:i/>
                <w:color w:val="EE0000"/>
                <w:szCs w:val="24"/>
              </w:rPr>
              <w:t>pareiškėjo ar partnerio</w:t>
            </w:r>
            <w:r w:rsidRPr="007C7F1D">
              <w:rPr>
                <w:rFonts w:ascii="Times New Roman" w:eastAsia="Calibri" w:hAnsi="Times New Roman" w:cs="Times New Roman"/>
                <w:i/>
                <w:color w:val="EE0000"/>
                <w:szCs w:val="24"/>
              </w:rPr>
              <w:t xml:space="preserve"> </w:t>
            </w:r>
            <w:r w:rsidRPr="007C7F1D">
              <w:rPr>
                <w:rFonts w:ascii="Times New Roman" w:eastAsia="Calibri" w:hAnsi="Times New Roman" w:cs="Times New Roman"/>
                <w:i/>
                <w:color w:val="808080"/>
                <w:szCs w:val="24"/>
              </w:rPr>
              <w:t>nuosavo įnašo dydis yra lygus ar mažesnis nei 10 000 (dešimt tūkstančių) eurų, laikoma, kad pateikta pareiškėjo ar partnerio deklaracija yra pakankamas dokumentas nuosavo įnašo finansavimo užtikrinimui įrodyti. Nuosavam įnašui, skirtam netiesioginėms projekto išlaidoms padengti, reikalavimas dėl nuosavo įnašo finansavimo užtikrinimo netaikomas)</w:t>
            </w:r>
            <w:r w:rsidR="00950453" w:rsidRPr="00950453">
              <w:rPr>
                <w:rFonts w:ascii="Times New Roman" w:eastAsia="Calibri" w:hAnsi="Times New Roman" w:cs="Times New Roman"/>
                <w:iCs/>
                <w:szCs w:val="24"/>
              </w:rPr>
              <w:t>“.</w:t>
            </w:r>
          </w:p>
        </w:tc>
        <w:tc>
          <w:tcPr>
            <w:tcW w:w="844" w:type="dxa"/>
          </w:tcPr>
          <w:p w14:paraId="068988C5" w14:textId="77777777" w:rsidR="000601D4" w:rsidRPr="00D30B5B" w:rsidRDefault="000601D4" w:rsidP="0033738F">
            <w:pPr>
              <w:rPr>
                <w:rFonts w:ascii="Times New Roman" w:hAnsi="Times New Roman" w:cs="Times New Roman"/>
                <w:i/>
                <w:iCs/>
                <w:color w:val="808080"/>
                <w:lang w:eastAsia="ko-KR"/>
              </w:rPr>
            </w:pPr>
          </w:p>
        </w:tc>
      </w:tr>
    </w:tbl>
    <w:p w14:paraId="10A8E2A2" w14:textId="77777777" w:rsidR="000601D4" w:rsidRDefault="000601D4">
      <w:pPr>
        <w:rPr>
          <w:rFonts w:ascii="Times New Roman" w:hAnsi="Times New Roman" w:cs="Times New Roman"/>
          <w:bCs/>
          <w:szCs w:val="24"/>
        </w:rPr>
      </w:pPr>
    </w:p>
    <w:p w14:paraId="1430AB01" w14:textId="68AE91ED" w:rsidR="000601D4" w:rsidRDefault="000601D4">
      <w:pPr>
        <w:rPr>
          <w:rFonts w:ascii="Times New Roman" w:hAnsi="Times New Roman" w:cs="Times New Roman"/>
          <w:bCs/>
          <w:szCs w:val="24"/>
        </w:rPr>
      </w:pPr>
      <w:r>
        <w:rPr>
          <w:rFonts w:ascii="Times New Roman" w:hAnsi="Times New Roman" w:cs="Times New Roman"/>
          <w:bCs/>
          <w:szCs w:val="24"/>
        </w:rPr>
        <w:t>&lt;...&gt;</w:t>
      </w:r>
    </w:p>
    <w:tbl>
      <w:tblPr>
        <w:tblStyle w:val="TableGrid"/>
        <w:tblW w:w="0" w:type="auto"/>
        <w:tblInd w:w="-714" w:type="dxa"/>
        <w:tblLook w:val="04A0" w:firstRow="1" w:lastRow="0" w:firstColumn="1" w:lastColumn="0" w:noHBand="0" w:noVBand="1"/>
      </w:tblPr>
      <w:tblGrid>
        <w:gridCol w:w="884"/>
        <w:gridCol w:w="4530"/>
        <w:gridCol w:w="4089"/>
        <w:gridCol w:w="839"/>
      </w:tblGrid>
      <w:tr w:rsidR="00950453" w14:paraId="2800F09A" w14:textId="77777777" w:rsidTr="00950453">
        <w:trPr>
          <w:trHeight w:val="561"/>
        </w:trPr>
        <w:tc>
          <w:tcPr>
            <w:tcW w:w="884" w:type="dxa"/>
            <w:shd w:val="clear" w:color="auto" w:fill="C1E4F5" w:themeFill="accent1" w:themeFillTint="33"/>
            <w:hideMark/>
          </w:tcPr>
          <w:p w14:paraId="5368368B" w14:textId="77777777" w:rsidR="00950453" w:rsidRPr="00950453" w:rsidRDefault="00950453">
            <w:pPr>
              <w:spacing w:line="276" w:lineRule="auto"/>
              <w:rPr>
                <w:rFonts w:ascii="Times New Roman" w:hAnsi="Times New Roman" w:cs="Times New Roman"/>
                <w:b/>
                <w:color w:val="EE0000"/>
                <w:szCs w:val="24"/>
              </w:rPr>
            </w:pPr>
            <w:r w:rsidRPr="000D6A22">
              <w:rPr>
                <w:rFonts w:ascii="Times New Roman" w:hAnsi="Times New Roman" w:cs="Times New Roman"/>
                <w:bCs/>
                <w:color w:val="0E2841" w:themeColor="text2"/>
                <w:szCs w:val="24"/>
              </w:rPr>
              <w:t>„</w:t>
            </w:r>
            <w:r w:rsidRPr="00950453">
              <w:rPr>
                <w:rFonts w:ascii="Times New Roman" w:hAnsi="Times New Roman" w:cs="Times New Roman"/>
                <w:b/>
                <w:color w:val="EE0000"/>
                <w:szCs w:val="24"/>
              </w:rPr>
              <w:t xml:space="preserve">11. </w:t>
            </w:r>
          </w:p>
        </w:tc>
        <w:tc>
          <w:tcPr>
            <w:tcW w:w="4530" w:type="dxa"/>
            <w:shd w:val="clear" w:color="auto" w:fill="C1E4F5" w:themeFill="accent1" w:themeFillTint="33"/>
            <w:hideMark/>
          </w:tcPr>
          <w:p w14:paraId="600154F3" w14:textId="77777777" w:rsidR="00950453" w:rsidRPr="00950453" w:rsidRDefault="00950453">
            <w:pPr>
              <w:spacing w:line="276" w:lineRule="auto"/>
              <w:jc w:val="both"/>
              <w:rPr>
                <w:rFonts w:ascii="Times New Roman" w:hAnsi="Times New Roman" w:cs="Times New Roman"/>
                <w:b/>
                <w:color w:val="EE0000"/>
                <w:szCs w:val="24"/>
                <w:lang w:eastAsia="lt-LT"/>
              </w:rPr>
            </w:pPr>
            <w:r w:rsidRPr="00950453">
              <w:rPr>
                <w:rFonts w:ascii="Times New Roman" w:hAnsi="Times New Roman" w:cs="Times New Roman"/>
                <w:b/>
                <w:color w:val="EE0000"/>
                <w:szCs w:val="24"/>
              </w:rPr>
              <w:t>Projektas atitinka išankstinio vertinimo rezultatus.</w:t>
            </w:r>
          </w:p>
        </w:tc>
        <w:tc>
          <w:tcPr>
            <w:tcW w:w="4089" w:type="dxa"/>
            <w:shd w:val="clear" w:color="auto" w:fill="C1E4F5" w:themeFill="accent1" w:themeFillTint="33"/>
            <w:hideMark/>
          </w:tcPr>
          <w:p w14:paraId="2E24E20B" w14:textId="77777777" w:rsidR="00950453" w:rsidRPr="00950453" w:rsidRDefault="00950453">
            <w:pPr>
              <w:spacing w:line="276" w:lineRule="auto"/>
              <w:rPr>
                <w:rFonts w:ascii="Times New Roman" w:hAnsi="Times New Roman" w:cs="Times New Roman"/>
                <w:b/>
                <w:i/>
                <w:color w:val="EE0000"/>
                <w:szCs w:val="24"/>
              </w:rPr>
            </w:pPr>
            <w:r w:rsidRPr="00950453">
              <w:rPr>
                <w:rFonts w:ascii="Times New Roman" w:hAnsi="Times New Roman" w:cs="Times New Roman"/>
                <w:b/>
                <w:i/>
                <w:color w:val="EE0000"/>
                <w:szCs w:val="24"/>
              </w:rPr>
              <w:t xml:space="preserve">(Taikoma vertinant projektus, apimančius finansines priemones) </w:t>
            </w:r>
          </w:p>
        </w:tc>
        <w:tc>
          <w:tcPr>
            <w:tcW w:w="839" w:type="dxa"/>
            <w:shd w:val="clear" w:color="auto" w:fill="C1E4F5" w:themeFill="accent1" w:themeFillTint="33"/>
          </w:tcPr>
          <w:p w14:paraId="58008BD3" w14:textId="77777777" w:rsidR="00950453" w:rsidRPr="00950453" w:rsidRDefault="00950453">
            <w:pPr>
              <w:spacing w:line="276" w:lineRule="auto"/>
              <w:rPr>
                <w:rFonts w:ascii="Times New Roman" w:hAnsi="Times New Roman" w:cs="Times New Roman"/>
                <w:b/>
                <w:color w:val="EE0000"/>
                <w:szCs w:val="24"/>
              </w:rPr>
            </w:pPr>
          </w:p>
        </w:tc>
      </w:tr>
      <w:tr w:rsidR="00950453" w14:paraId="4CE59143" w14:textId="77777777" w:rsidTr="00950453">
        <w:trPr>
          <w:trHeight w:val="416"/>
        </w:trPr>
        <w:tc>
          <w:tcPr>
            <w:tcW w:w="884" w:type="dxa"/>
            <w:hideMark/>
          </w:tcPr>
          <w:p w14:paraId="471AFA58" w14:textId="77777777" w:rsidR="00950453" w:rsidRPr="00950453" w:rsidRDefault="00950453">
            <w:pPr>
              <w:spacing w:line="276" w:lineRule="auto"/>
              <w:rPr>
                <w:rFonts w:ascii="Times New Roman" w:hAnsi="Times New Roman" w:cs="Times New Roman"/>
                <w:b/>
                <w:color w:val="EE0000"/>
                <w:szCs w:val="24"/>
              </w:rPr>
            </w:pPr>
            <w:r w:rsidRPr="00950453">
              <w:rPr>
                <w:rFonts w:ascii="Times New Roman" w:hAnsi="Times New Roman" w:cs="Times New Roman"/>
                <w:b/>
                <w:color w:val="EE0000"/>
                <w:szCs w:val="24"/>
              </w:rPr>
              <w:t xml:space="preserve">11.1. </w:t>
            </w:r>
          </w:p>
        </w:tc>
        <w:tc>
          <w:tcPr>
            <w:tcW w:w="4530" w:type="dxa"/>
            <w:hideMark/>
          </w:tcPr>
          <w:p w14:paraId="7102D6DC" w14:textId="77777777" w:rsidR="00950453" w:rsidRPr="00950453" w:rsidRDefault="00950453">
            <w:pPr>
              <w:spacing w:line="276" w:lineRule="auto"/>
              <w:jc w:val="both"/>
              <w:rPr>
                <w:rFonts w:ascii="Times New Roman" w:hAnsi="Times New Roman" w:cs="Times New Roman"/>
                <w:b/>
                <w:color w:val="EE0000"/>
                <w:szCs w:val="24"/>
              </w:rPr>
            </w:pPr>
            <w:r w:rsidRPr="00950453">
              <w:rPr>
                <w:rFonts w:ascii="Times New Roman" w:hAnsi="Times New Roman" w:cs="Times New Roman"/>
                <w:b/>
                <w:color w:val="EE0000"/>
                <w:szCs w:val="24"/>
              </w:rPr>
              <w:t>Investavimo strategijoje nurodyta, kad fondų fondo valdytojas įgyvendins projektą pagal finansinių priemonių išankstinį vertinimą (toliau – išankstinis vertinimas):</w:t>
            </w:r>
          </w:p>
        </w:tc>
        <w:tc>
          <w:tcPr>
            <w:tcW w:w="4089" w:type="dxa"/>
          </w:tcPr>
          <w:p w14:paraId="14F9AE69" w14:textId="77777777" w:rsidR="00950453" w:rsidRPr="00950453" w:rsidRDefault="00950453">
            <w:pPr>
              <w:spacing w:line="276" w:lineRule="auto"/>
              <w:rPr>
                <w:rFonts w:ascii="Times New Roman" w:hAnsi="Times New Roman" w:cs="Times New Roman"/>
                <w:b/>
                <w:i/>
                <w:color w:val="EE0000"/>
                <w:szCs w:val="24"/>
              </w:rPr>
            </w:pPr>
          </w:p>
        </w:tc>
        <w:tc>
          <w:tcPr>
            <w:tcW w:w="839" w:type="dxa"/>
          </w:tcPr>
          <w:p w14:paraId="49A4A89E" w14:textId="77777777" w:rsidR="00950453" w:rsidRPr="00950453" w:rsidRDefault="00950453">
            <w:pPr>
              <w:spacing w:line="276" w:lineRule="auto"/>
              <w:rPr>
                <w:rFonts w:ascii="Times New Roman" w:hAnsi="Times New Roman" w:cs="Times New Roman"/>
                <w:b/>
                <w:color w:val="EE0000"/>
                <w:szCs w:val="24"/>
              </w:rPr>
            </w:pPr>
          </w:p>
        </w:tc>
      </w:tr>
      <w:tr w:rsidR="00950453" w14:paraId="1E516B1A" w14:textId="77777777" w:rsidTr="00950453">
        <w:trPr>
          <w:trHeight w:val="561"/>
        </w:trPr>
        <w:tc>
          <w:tcPr>
            <w:tcW w:w="884" w:type="dxa"/>
            <w:hideMark/>
          </w:tcPr>
          <w:p w14:paraId="1E028558" w14:textId="77777777" w:rsidR="00950453" w:rsidRPr="00950453" w:rsidRDefault="00950453">
            <w:pPr>
              <w:spacing w:line="276" w:lineRule="auto"/>
              <w:rPr>
                <w:rFonts w:ascii="Times New Roman" w:hAnsi="Times New Roman" w:cs="Times New Roman"/>
                <w:b/>
                <w:color w:val="EE0000"/>
                <w:szCs w:val="24"/>
              </w:rPr>
            </w:pPr>
            <w:r w:rsidRPr="00950453">
              <w:rPr>
                <w:rFonts w:ascii="Times New Roman" w:hAnsi="Times New Roman" w:cs="Times New Roman"/>
                <w:b/>
                <w:color w:val="EE0000"/>
                <w:szCs w:val="24"/>
              </w:rPr>
              <w:t>11.1.1.</w:t>
            </w:r>
          </w:p>
        </w:tc>
        <w:tc>
          <w:tcPr>
            <w:tcW w:w="4530" w:type="dxa"/>
            <w:hideMark/>
          </w:tcPr>
          <w:p w14:paraId="61C237D1" w14:textId="77777777" w:rsidR="00950453" w:rsidRPr="00950453" w:rsidRDefault="00950453">
            <w:pPr>
              <w:spacing w:line="276" w:lineRule="auto"/>
              <w:jc w:val="both"/>
              <w:rPr>
                <w:rFonts w:ascii="Times New Roman" w:hAnsi="Times New Roman" w:cs="Times New Roman"/>
                <w:b/>
                <w:color w:val="EE0000"/>
                <w:szCs w:val="24"/>
              </w:rPr>
            </w:pPr>
            <w:r w:rsidRPr="00950453">
              <w:rPr>
                <w:rFonts w:ascii="Times New Roman" w:hAnsi="Times New Roman" w:cs="Times New Roman"/>
                <w:b/>
                <w:color w:val="EE0000"/>
                <w:szCs w:val="24"/>
              </w:rPr>
              <w:t>Finansinė priemonė bus įgyvendinama tiksliai pagal atlikus išankstinį vertinimą nustatytą rinkos trūkumą ar investavimo poreikį.</w:t>
            </w:r>
          </w:p>
        </w:tc>
        <w:tc>
          <w:tcPr>
            <w:tcW w:w="4089" w:type="dxa"/>
          </w:tcPr>
          <w:p w14:paraId="72E42543" w14:textId="77777777" w:rsidR="00950453" w:rsidRPr="00950453" w:rsidRDefault="00950453">
            <w:pPr>
              <w:spacing w:line="276" w:lineRule="auto"/>
              <w:rPr>
                <w:rFonts w:ascii="Times New Roman" w:hAnsi="Times New Roman" w:cs="Times New Roman"/>
                <w:b/>
                <w:i/>
                <w:color w:val="EE0000"/>
                <w:szCs w:val="24"/>
              </w:rPr>
            </w:pPr>
          </w:p>
        </w:tc>
        <w:tc>
          <w:tcPr>
            <w:tcW w:w="839" w:type="dxa"/>
          </w:tcPr>
          <w:p w14:paraId="35768176" w14:textId="77777777" w:rsidR="00950453" w:rsidRPr="00950453" w:rsidRDefault="00950453">
            <w:pPr>
              <w:spacing w:line="276" w:lineRule="auto"/>
              <w:rPr>
                <w:rFonts w:ascii="Times New Roman" w:hAnsi="Times New Roman" w:cs="Times New Roman"/>
                <w:b/>
                <w:color w:val="EE0000"/>
                <w:szCs w:val="24"/>
              </w:rPr>
            </w:pPr>
          </w:p>
        </w:tc>
      </w:tr>
      <w:tr w:rsidR="00950453" w14:paraId="2830DAD6" w14:textId="77777777" w:rsidTr="00950453">
        <w:trPr>
          <w:trHeight w:val="561"/>
        </w:trPr>
        <w:tc>
          <w:tcPr>
            <w:tcW w:w="884" w:type="dxa"/>
            <w:hideMark/>
          </w:tcPr>
          <w:p w14:paraId="3486991E" w14:textId="77777777" w:rsidR="00950453" w:rsidRPr="00950453" w:rsidRDefault="00950453">
            <w:pPr>
              <w:spacing w:line="276" w:lineRule="auto"/>
              <w:rPr>
                <w:rFonts w:ascii="Times New Roman" w:hAnsi="Times New Roman" w:cs="Times New Roman"/>
                <w:b/>
                <w:color w:val="EE0000"/>
                <w:szCs w:val="24"/>
              </w:rPr>
            </w:pPr>
            <w:r w:rsidRPr="00950453">
              <w:rPr>
                <w:rFonts w:ascii="Times New Roman" w:hAnsi="Times New Roman" w:cs="Times New Roman"/>
                <w:b/>
                <w:color w:val="EE0000"/>
                <w:szCs w:val="24"/>
              </w:rPr>
              <w:t>11.1.2.</w:t>
            </w:r>
          </w:p>
        </w:tc>
        <w:tc>
          <w:tcPr>
            <w:tcW w:w="4530" w:type="dxa"/>
            <w:hideMark/>
          </w:tcPr>
          <w:p w14:paraId="2AACD11E" w14:textId="77777777" w:rsidR="00950453" w:rsidRPr="00950453" w:rsidRDefault="00950453">
            <w:pPr>
              <w:spacing w:line="276" w:lineRule="auto"/>
              <w:jc w:val="both"/>
              <w:rPr>
                <w:rFonts w:ascii="Times New Roman" w:hAnsi="Times New Roman" w:cs="Times New Roman"/>
                <w:b/>
                <w:color w:val="EE0000"/>
                <w:szCs w:val="24"/>
              </w:rPr>
            </w:pPr>
            <w:r w:rsidRPr="00950453">
              <w:rPr>
                <w:rFonts w:ascii="Times New Roman" w:hAnsi="Times New Roman" w:cs="Times New Roman"/>
                <w:b/>
                <w:color w:val="EE0000"/>
                <w:szCs w:val="24"/>
              </w:rPr>
              <w:t>Finansinei priemonei skiriamos finansavimo lėšos neviršija išankstinio vertinimo metu nustatytų dydžių.</w:t>
            </w:r>
          </w:p>
        </w:tc>
        <w:tc>
          <w:tcPr>
            <w:tcW w:w="4089" w:type="dxa"/>
          </w:tcPr>
          <w:p w14:paraId="42DF2EBC" w14:textId="77777777" w:rsidR="00950453" w:rsidRPr="00950453" w:rsidRDefault="00950453">
            <w:pPr>
              <w:spacing w:line="276" w:lineRule="auto"/>
              <w:rPr>
                <w:rFonts w:ascii="Times New Roman" w:hAnsi="Times New Roman" w:cs="Times New Roman"/>
                <w:b/>
                <w:i/>
                <w:color w:val="EE0000"/>
                <w:szCs w:val="24"/>
              </w:rPr>
            </w:pPr>
          </w:p>
        </w:tc>
        <w:tc>
          <w:tcPr>
            <w:tcW w:w="839" w:type="dxa"/>
          </w:tcPr>
          <w:p w14:paraId="0710BD0A" w14:textId="77777777" w:rsidR="00950453" w:rsidRPr="00950453" w:rsidRDefault="00950453">
            <w:pPr>
              <w:spacing w:line="276" w:lineRule="auto"/>
              <w:rPr>
                <w:rFonts w:ascii="Times New Roman" w:hAnsi="Times New Roman" w:cs="Times New Roman"/>
                <w:b/>
                <w:color w:val="EE0000"/>
                <w:szCs w:val="24"/>
              </w:rPr>
            </w:pPr>
          </w:p>
        </w:tc>
      </w:tr>
      <w:tr w:rsidR="00950453" w14:paraId="5C79D984" w14:textId="77777777" w:rsidTr="00950453">
        <w:trPr>
          <w:trHeight w:val="561"/>
        </w:trPr>
        <w:tc>
          <w:tcPr>
            <w:tcW w:w="884" w:type="dxa"/>
            <w:hideMark/>
          </w:tcPr>
          <w:p w14:paraId="7548120A" w14:textId="77777777" w:rsidR="00950453" w:rsidRPr="00950453" w:rsidRDefault="00950453">
            <w:pPr>
              <w:spacing w:line="276" w:lineRule="auto"/>
              <w:rPr>
                <w:rFonts w:ascii="Times New Roman" w:hAnsi="Times New Roman" w:cs="Times New Roman"/>
                <w:b/>
                <w:color w:val="EE0000"/>
                <w:szCs w:val="24"/>
              </w:rPr>
            </w:pPr>
            <w:r w:rsidRPr="00950453">
              <w:rPr>
                <w:rFonts w:ascii="Times New Roman" w:hAnsi="Times New Roman" w:cs="Times New Roman"/>
                <w:b/>
                <w:color w:val="EE0000"/>
                <w:szCs w:val="24"/>
              </w:rPr>
              <w:t>11.1.3.</w:t>
            </w:r>
          </w:p>
        </w:tc>
        <w:tc>
          <w:tcPr>
            <w:tcW w:w="4530" w:type="dxa"/>
            <w:hideMark/>
          </w:tcPr>
          <w:p w14:paraId="68E902B7" w14:textId="77777777" w:rsidR="00950453" w:rsidRPr="00950453" w:rsidRDefault="00950453">
            <w:pPr>
              <w:spacing w:line="276" w:lineRule="auto"/>
              <w:jc w:val="both"/>
              <w:rPr>
                <w:rFonts w:ascii="Times New Roman" w:hAnsi="Times New Roman" w:cs="Times New Roman"/>
                <w:b/>
                <w:color w:val="EE0000"/>
                <w:szCs w:val="24"/>
              </w:rPr>
            </w:pPr>
            <w:r w:rsidRPr="00950453">
              <w:rPr>
                <w:rFonts w:ascii="Times New Roman" w:hAnsi="Times New Roman" w:cs="Times New Roman"/>
                <w:b/>
                <w:color w:val="EE0000"/>
                <w:szCs w:val="24"/>
              </w:rPr>
              <w:t>Finansinės priemonės tipas (finansinis produktas) atitinka išankstinio vertinimo metu nustatytą tipą.</w:t>
            </w:r>
          </w:p>
        </w:tc>
        <w:tc>
          <w:tcPr>
            <w:tcW w:w="4089" w:type="dxa"/>
          </w:tcPr>
          <w:p w14:paraId="4E1A14B3" w14:textId="77777777" w:rsidR="00950453" w:rsidRPr="00950453" w:rsidRDefault="00950453">
            <w:pPr>
              <w:spacing w:line="276" w:lineRule="auto"/>
              <w:rPr>
                <w:rFonts w:ascii="Times New Roman" w:hAnsi="Times New Roman" w:cs="Times New Roman"/>
                <w:b/>
                <w:i/>
                <w:color w:val="EE0000"/>
                <w:szCs w:val="24"/>
              </w:rPr>
            </w:pPr>
          </w:p>
        </w:tc>
        <w:tc>
          <w:tcPr>
            <w:tcW w:w="839" w:type="dxa"/>
          </w:tcPr>
          <w:p w14:paraId="5998F848" w14:textId="77777777" w:rsidR="00950453" w:rsidRPr="00950453" w:rsidRDefault="00950453">
            <w:pPr>
              <w:spacing w:line="276" w:lineRule="auto"/>
              <w:rPr>
                <w:rFonts w:ascii="Times New Roman" w:hAnsi="Times New Roman" w:cs="Times New Roman"/>
                <w:b/>
                <w:color w:val="EE0000"/>
                <w:szCs w:val="24"/>
              </w:rPr>
            </w:pPr>
          </w:p>
        </w:tc>
      </w:tr>
      <w:tr w:rsidR="00950453" w14:paraId="53D33D37" w14:textId="77777777" w:rsidTr="00950453">
        <w:trPr>
          <w:trHeight w:val="561"/>
        </w:trPr>
        <w:tc>
          <w:tcPr>
            <w:tcW w:w="884" w:type="dxa"/>
            <w:hideMark/>
          </w:tcPr>
          <w:p w14:paraId="499A845B" w14:textId="77777777" w:rsidR="00950453" w:rsidRPr="00950453" w:rsidRDefault="00950453">
            <w:pPr>
              <w:spacing w:line="276" w:lineRule="auto"/>
              <w:rPr>
                <w:rFonts w:ascii="Times New Roman" w:hAnsi="Times New Roman" w:cs="Times New Roman"/>
                <w:b/>
                <w:color w:val="EE0000"/>
                <w:szCs w:val="24"/>
              </w:rPr>
            </w:pPr>
            <w:r w:rsidRPr="00950453">
              <w:rPr>
                <w:rFonts w:ascii="Times New Roman" w:hAnsi="Times New Roman" w:cs="Times New Roman"/>
                <w:b/>
                <w:color w:val="EE0000"/>
                <w:szCs w:val="24"/>
              </w:rPr>
              <w:t>11.1.4.</w:t>
            </w:r>
          </w:p>
        </w:tc>
        <w:tc>
          <w:tcPr>
            <w:tcW w:w="4530" w:type="dxa"/>
            <w:hideMark/>
          </w:tcPr>
          <w:p w14:paraId="47D46403" w14:textId="3A078459" w:rsidR="00950453" w:rsidRPr="00950453" w:rsidRDefault="00950453">
            <w:pPr>
              <w:spacing w:line="276" w:lineRule="auto"/>
              <w:jc w:val="both"/>
              <w:rPr>
                <w:rFonts w:ascii="Times New Roman" w:hAnsi="Times New Roman" w:cs="Times New Roman"/>
                <w:b/>
                <w:color w:val="EE0000"/>
                <w:szCs w:val="24"/>
              </w:rPr>
            </w:pPr>
            <w:r w:rsidRPr="00950453">
              <w:rPr>
                <w:rFonts w:ascii="Times New Roman" w:hAnsi="Times New Roman" w:cs="Times New Roman"/>
                <w:b/>
                <w:color w:val="EE0000"/>
                <w:szCs w:val="24"/>
              </w:rPr>
              <w:t>Numatoma finansavimą skirti išankstinio vertinimo ataskaitoje nurodytiems galutiniams gavėjams.</w:t>
            </w:r>
            <w:r w:rsidRPr="000D6A22">
              <w:rPr>
                <w:rFonts w:ascii="Times New Roman" w:hAnsi="Times New Roman" w:cs="Times New Roman"/>
                <w:bCs/>
                <w:color w:val="0E2841" w:themeColor="text2"/>
                <w:szCs w:val="24"/>
              </w:rPr>
              <w:t>“</w:t>
            </w:r>
            <w:r w:rsidR="007C7F1D">
              <w:rPr>
                <w:rFonts w:ascii="Times New Roman" w:hAnsi="Times New Roman" w:cs="Times New Roman"/>
                <w:bCs/>
                <w:color w:val="0E2841" w:themeColor="text2"/>
                <w:szCs w:val="24"/>
              </w:rPr>
              <w:t>.</w:t>
            </w:r>
          </w:p>
        </w:tc>
        <w:tc>
          <w:tcPr>
            <w:tcW w:w="4089" w:type="dxa"/>
          </w:tcPr>
          <w:p w14:paraId="3A0D8F79" w14:textId="77777777" w:rsidR="00950453" w:rsidRPr="00950453" w:rsidRDefault="00950453">
            <w:pPr>
              <w:spacing w:line="276" w:lineRule="auto"/>
              <w:rPr>
                <w:rFonts w:ascii="Times New Roman" w:hAnsi="Times New Roman" w:cs="Times New Roman"/>
                <w:b/>
                <w:i/>
                <w:color w:val="EE0000"/>
                <w:szCs w:val="24"/>
              </w:rPr>
            </w:pPr>
          </w:p>
        </w:tc>
        <w:tc>
          <w:tcPr>
            <w:tcW w:w="839" w:type="dxa"/>
          </w:tcPr>
          <w:p w14:paraId="3545DA44" w14:textId="77777777" w:rsidR="00950453" w:rsidRPr="00950453" w:rsidRDefault="00950453">
            <w:pPr>
              <w:spacing w:line="276" w:lineRule="auto"/>
              <w:rPr>
                <w:rFonts w:ascii="Times New Roman" w:hAnsi="Times New Roman" w:cs="Times New Roman"/>
                <w:b/>
                <w:color w:val="EE0000"/>
                <w:szCs w:val="24"/>
              </w:rPr>
            </w:pPr>
          </w:p>
        </w:tc>
      </w:tr>
    </w:tbl>
    <w:p w14:paraId="5B18FC3C" w14:textId="77777777" w:rsidR="000D6A22" w:rsidRPr="003E79B9" w:rsidRDefault="000D6A22">
      <w:pPr>
        <w:rPr>
          <w:rFonts w:ascii="Times New Roman" w:hAnsi="Times New Roman" w:cs="Times New Roman"/>
          <w:bCs/>
          <w:szCs w:val="24"/>
        </w:rPr>
      </w:pPr>
    </w:p>
    <w:sectPr w:rsidR="000D6A22" w:rsidRPr="003E79B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9775A" w14:textId="77777777" w:rsidR="00F51354" w:rsidRDefault="00F51354" w:rsidP="00FF34A3">
      <w:pPr>
        <w:spacing w:after="0" w:line="240" w:lineRule="auto"/>
      </w:pPr>
      <w:r>
        <w:separator/>
      </w:r>
    </w:p>
  </w:endnote>
  <w:endnote w:type="continuationSeparator" w:id="0">
    <w:p w14:paraId="52156AE9" w14:textId="77777777" w:rsidR="00F51354" w:rsidRDefault="00F51354" w:rsidP="00FF3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7E16" w14:textId="77777777" w:rsidR="00F51354" w:rsidRDefault="00F51354" w:rsidP="00FF34A3">
      <w:pPr>
        <w:spacing w:after="0" w:line="240" w:lineRule="auto"/>
      </w:pPr>
      <w:r>
        <w:separator/>
      </w:r>
    </w:p>
  </w:footnote>
  <w:footnote w:type="continuationSeparator" w:id="0">
    <w:p w14:paraId="1BAC1E02" w14:textId="77777777" w:rsidR="00F51354" w:rsidRDefault="00F51354" w:rsidP="00FF3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563"/>
    <w:multiLevelType w:val="hybridMultilevel"/>
    <w:tmpl w:val="DC622610"/>
    <w:lvl w:ilvl="0" w:tplc="230CE6EE">
      <w:start w:val="1"/>
      <w:numFmt w:val="bullet"/>
      <w:lvlText w:val="-"/>
      <w:lvlJc w:val="left"/>
      <w:pPr>
        <w:ind w:left="3413" w:hanging="360"/>
      </w:pPr>
      <w:rPr>
        <w:rFonts w:ascii="Times New Roman" w:eastAsiaTheme="minorHAnsi" w:hAnsi="Times New Roman" w:cs="Times New Roman" w:hint="default"/>
      </w:rPr>
    </w:lvl>
    <w:lvl w:ilvl="1" w:tplc="04270003" w:tentative="1">
      <w:start w:val="1"/>
      <w:numFmt w:val="bullet"/>
      <w:lvlText w:val="o"/>
      <w:lvlJc w:val="left"/>
      <w:pPr>
        <w:ind w:left="4133" w:hanging="360"/>
      </w:pPr>
      <w:rPr>
        <w:rFonts w:ascii="Courier New" w:hAnsi="Courier New" w:cs="Courier New" w:hint="default"/>
      </w:rPr>
    </w:lvl>
    <w:lvl w:ilvl="2" w:tplc="04270005" w:tentative="1">
      <w:start w:val="1"/>
      <w:numFmt w:val="bullet"/>
      <w:lvlText w:val=""/>
      <w:lvlJc w:val="left"/>
      <w:pPr>
        <w:ind w:left="4853" w:hanging="360"/>
      </w:pPr>
      <w:rPr>
        <w:rFonts w:ascii="Wingdings" w:hAnsi="Wingdings" w:hint="default"/>
      </w:rPr>
    </w:lvl>
    <w:lvl w:ilvl="3" w:tplc="04270001" w:tentative="1">
      <w:start w:val="1"/>
      <w:numFmt w:val="bullet"/>
      <w:lvlText w:val=""/>
      <w:lvlJc w:val="left"/>
      <w:pPr>
        <w:ind w:left="5573" w:hanging="360"/>
      </w:pPr>
      <w:rPr>
        <w:rFonts w:ascii="Symbol" w:hAnsi="Symbol" w:hint="default"/>
      </w:rPr>
    </w:lvl>
    <w:lvl w:ilvl="4" w:tplc="04270003" w:tentative="1">
      <w:start w:val="1"/>
      <w:numFmt w:val="bullet"/>
      <w:lvlText w:val="o"/>
      <w:lvlJc w:val="left"/>
      <w:pPr>
        <w:ind w:left="6293" w:hanging="360"/>
      </w:pPr>
      <w:rPr>
        <w:rFonts w:ascii="Courier New" w:hAnsi="Courier New" w:cs="Courier New" w:hint="default"/>
      </w:rPr>
    </w:lvl>
    <w:lvl w:ilvl="5" w:tplc="04270005" w:tentative="1">
      <w:start w:val="1"/>
      <w:numFmt w:val="bullet"/>
      <w:lvlText w:val=""/>
      <w:lvlJc w:val="left"/>
      <w:pPr>
        <w:ind w:left="7013" w:hanging="360"/>
      </w:pPr>
      <w:rPr>
        <w:rFonts w:ascii="Wingdings" w:hAnsi="Wingdings" w:hint="default"/>
      </w:rPr>
    </w:lvl>
    <w:lvl w:ilvl="6" w:tplc="04270001" w:tentative="1">
      <w:start w:val="1"/>
      <w:numFmt w:val="bullet"/>
      <w:lvlText w:val=""/>
      <w:lvlJc w:val="left"/>
      <w:pPr>
        <w:ind w:left="7733" w:hanging="360"/>
      </w:pPr>
      <w:rPr>
        <w:rFonts w:ascii="Symbol" w:hAnsi="Symbol" w:hint="default"/>
      </w:rPr>
    </w:lvl>
    <w:lvl w:ilvl="7" w:tplc="04270003" w:tentative="1">
      <w:start w:val="1"/>
      <w:numFmt w:val="bullet"/>
      <w:lvlText w:val="o"/>
      <w:lvlJc w:val="left"/>
      <w:pPr>
        <w:ind w:left="8453" w:hanging="360"/>
      </w:pPr>
      <w:rPr>
        <w:rFonts w:ascii="Courier New" w:hAnsi="Courier New" w:cs="Courier New" w:hint="default"/>
      </w:rPr>
    </w:lvl>
    <w:lvl w:ilvl="8" w:tplc="04270005" w:tentative="1">
      <w:start w:val="1"/>
      <w:numFmt w:val="bullet"/>
      <w:lvlText w:val=""/>
      <w:lvlJc w:val="left"/>
      <w:pPr>
        <w:ind w:left="9173" w:hanging="360"/>
      </w:pPr>
      <w:rPr>
        <w:rFonts w:ascii="Wingdings" w:hAnsi="Wingdings" w:hint="default"/>
      </w:rPr>
    </w:lvl>
  </w:abstractNum>
  <w:abstractNum w:abstractNumId="1" w15:restartNumberingAfterBreak="0">
    <w:nsid w:val="3F6C58C0"/>
    <w:multiLevelType w:val="hybridMultilevel"/>
    <w:tmpl w:val="892CD2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5B6325"/>
    <w:multiLevelType w:val="hybridMultilevel"/>
    <w:tmpl w:val="C6507C92"/>
    <w:lvl w:ilvl="0" w:tplc="4F9CA726">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9C444DA"/>
    <w:multiLevelType w:val="hybridMultilevel"/>
    <w:tmpl w:val="719E4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4960398">
    <w:abstractNumId w:val="0"/>
  </w:num>
  <w:num w:numId="2" w16cid:durableId="1482963039">
    <w:abstractNumId w:val="1"/>
  </w:num>
  <w:num w:numId="3" w16cid:durableId="1472137352">
    <w:abstractNumId w:val="3"/>
  </w:num>
  <w:num w:numId="4" w16cid:durableId="384185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4B"/>
    <w:rsid w:val="00011856"/>
    <w:rsid w:val="000169CD"/>
    <w:rsid w:val="00016E61"/>
    <w:rsid w:val="000325AB"/>
    <w:rsid w:val="00035536"/>
    <w:rsid w:val="00042723"/>
    <w:rsid w:val="00055C86"/>
    <w:rsid w:val="000601D4"/>
    <w:rsid w:val="00060F02"/>
    <w:rsid w:val="00071EAE"/>
    <w:rsid w:val="0007622E"/>
    <w:rsid w:val="0008104C"/>
    <w:rsid w:val="000829E4"/>
    <w:rsid w:val="00093A73"/>
    <w:rsid w:val="000A3079"/>
    <w:rsid w:val="000B2DBD"/>
    <w:rsid w:val="000B40CB"/>
    <w:rsid w:val="000C5F92"/>
    <w:rsid w:val="000D2273"/>
    <w:rsid w:val="000D6A22"/>
    <w:rsid w:val="000E0C79"/>
    <w:rsid w:val="000E1C5A"/>
    <w:rsid w:val="00107E40"/>
    <w:rsid w:val="00150948"/>
    <w:rsid w:val="00177445"/>
    <w:rsid w:val="00177B4C"/>
    <w:rsid w:val="00183A2D"/>
    <w:rsid w:val="00185937"/>
    <w:rsid w:val="001A3573"/>
    <w:rsid w:val="001B1D82"/>
    <w:rsid w:val="001E3A7A"/>
    <w:rsid w:val="001F4675"/>
    <w:rsid w:val="001F529F"/>
    <w:rsid w:val="00210520"/>
    <w:rsid w:val="002142F1"/>
    <w:rsid w:val="00232314"/>
    <w:rsid w:val="00232C1B"/>
    <w:rsid w:val="002348D3"/>
    <w:rsid w:val="00236AE7"/>
    <w:rsid w:val="0026425D"/>
    <w:rsid w:val="00272431"/>
    <w:rsid w:val="00282D9F"/>
    <w:rsid w:val="002909EE"/>
    <w:rsid w:val="002A203F"/>
    <w:rsid w:val="002C1E86"/>
    <w:rsid w:val="002C6667"/>
    <w:rsid w:val="002E4FCF"/>
    <w:rsid w:val="00313EB0"/>
    <w:rsid w:val="00342455"/>
    <w:rsid w:val="00344886"/>
    <w:rsid w:val="003451BD"/>
    <w:rsid w:val="00350998"/>
    <w:rsid w:val="00364C48"/>
    <w:rsid w:val="003761A7"/>
    <w:rsid w:val="003800AD"/>
    <w:rsid w:val="00396661"/>
    <w:rsid w:val="003A6DA2"/>
    <w:rsid w:val="003B003F"/>
    <w:rsid w:val="003C70EA"/>
    <w:rsid w:val="003D3FB6"/>
    <w:rsid w:val="003E2E10"/>
    <w:rsid w:val="003E79B9"/>
    <w:rsid w:val="003F14FD"/>
    <w:rsid w:val="003F407F"/>
    <w:rsid w:val="00431B38"/>
    <w:rsid w:val="00472839"/>
    <w:rsid w:val="004A6E22"/>
    <w:rsid w:val="004B3A0B"/>
    <w:rsid w:val="004C6D2E"/>
    <w:rsid w:val="004D1761"/>
    <w:rsid w:val="004D1814"/>
    <w:rsid w:val="004D5107"/>
    <w:rsid w:val="004E0A30"/>
    <w:rsid w:val="00500D4B"/>
    <w:rsid w:val="0050330A"/>
    <w:rsid w:val="0051442C"/>
    <w:rsid w:val="00540ADA"/>
    <w:rsid w:val="00542E8F"/>
    <w:rsid w:val="0055052C"/>
    <w:rsid w:val="00555D05"/>
    <w:rsid w:val="00557D89"/>
    <w:rsid w:val="00557D98"/>
    <w:rsid w:val="00561073"/>
    <w:rsid w:val="00580A6F"/>
    <w:rsid w:val="00593E09"/>
    <w:rsid w:val="005A0915"/>
    <w:rsid w:val="005A7DE9"/>
    <w:rsid w:val="005D1861"/>
    <w:rsid w:val="005D4C27"/>
    <w:rsid w:val="005E3190"/>
    <w:rsid w:val="005F3F07"/>
    <w:rsid w:val="0060526A"/>
    <w:rsid w:val="00610242"/>
    <w:rsid w:val="00610621"/>
    <w:rsid w:val="00634836"/>
    <w:rsid w:val="00646C38"/>
    <w:rsid w:val="0067198D"/>
    <w:rsid w:val="00673949"/>
    <w:rsid w:val="0068185D"/>
    <w:rsid w:val="0069404D"/>
    <w:rsid w:val="006978E0"/>
    <w:rsid w:val="006B16A5"/>
    <w:rsid w:val="006B284F"/>
    <w:rsid w:val="006C1737"/>
    <w:rsid w:val="006F0E92"/>
    <w:rsid w:val="00720C10"/>
    <w:rsid w:val="00724467"/>
    <w:rsid w:val="00727AAD"/>
    <w:rsid w:val="00730AD0"/>
    <w:rsid w:val="00751A88"/>
    <w:rsid w:val="00752E79"/>
    <w:rsid w:val="00755009"/>
    <w:rsid w:val="00762CCA"/>
    <w:rsid w:val="00767468"/>
    <w:rsid w:val="00797C6F"/>
    <w:rsid w:val="007A5F07"/>
    <w:rsid w:val="007B75BC"/>
    <w:rsid w:val="007B7CF4"/>
    <w:rsid w:val="007C7F1D"/>
    <w:rsid w:val="007E53A1"/>
    <w:rsid w:val="008062FD"/>
    <w:rsid w:val="00806791"/>
    <w:rsid w:val="00835055"/>
    <w:rsid w:val="008369B2"/>
    <w:rsid w:val="0083787C"/>
    <w:rsid w:val="00845BED"/>
    <w:rsid w:val="00847710"/>
    <w:rsid w:val="00865213"/>
    <w:rsid w:val="00876EA7"/>
    <w:rsid w:val="00892C8B"/>
    <w:rsid w:val="008A3B15"/>
    <w:rsid w:val="008A75E0"/>
    <w:rsid w:val="008C506D"/>
    <w:rsid w:val="008E2CC1"/>
    <w:rsid w:val="008E6250"/>
    <w:rsid w:val="00904257"/>
    <w:rsid w:val="009061DB"/>
    <w:rsid w:val="009067FE"/>
    <w:rsid w:val="00912840"/>
    <w:rsid w:val="00950453"/>
    <w:rsid w:val="00957517"/>
    <w:rsid w:val="00983737"/>
    <w:rsid w:val="00994BB4"/>
    <w:rsid w:val="00997158"/>
    <w:rsid w:val="009B17A6"/>
    <w:rsid w:val="009D59C0"/>
    <w:rsid w:val="009E4DCB"/>
    <w:rsid w:val="009F54B0"/>
    <w:rsid w:val="009F5505"/>
    <w:rsid w:val="00A239AC"/>
    <w:rsid w:val="00A31718"/>
    <w:rsid w:val="00A3686A"/>
    <w:rsid w:val="00A569E0"/>
    <w:rsid w:val="00A717D9"/>
    <w:rsid w:val="00A835B2"/>
    <w:rsid w:val="00A95ABB"/>
    <w:rsid w:val="00AA5816"/>
    <w:rsid w:val="00AC45FB"/>
    <w:rsid w:val="00AE69B2"/>
    <w:rsid w:val="00B05B51"/>
    <w:rsid w:val="00B07B1B"/>
    <w:rsid w:val="00B17AD0"/>
    <w:rsid w:val="00B53645"/>
    <w:rsid w:val="00B571AF"/>
    <w:rsid w:val="00B644F4"/>
    <w:rsid w:val="00B771C2"/>
    <w:rsid w:val="00B77B5A"/>
    <w:rsid w:val="00BB6052"/>
    <w:rsid w:val="00BB7FF9"/>
    <w:rsid w:val="00BC2CC5"/>
    <w:rsid w:val="00BC4814"/>
    <w:rsid w:val="00BC71FD"/>
    <w:rsid w:val="00BD41AC"/>
    <w:rsid w:val="00BE0CE9"/>
    <w:rsid w:val="00BE1BFF"/>
    <w:rsid w:val="00BE2ABF"/>
    <w:rsid w:val="00BE5970"/>
    <w:rsid w:val="00C009A1"/>
    <w:rsid w:val="00C02260"/>
    <w:rsid w:val="00C13FBB"/>
    <w:rsid w:val="00C2487E"/>
    <w:rsid w:val="00C24E16"/>
    <w:rsid w:val="00C35576"/>
    <w:rsid w:val="00C44754"/>
    <w:rsid w:val="00C515EB"/>
    <w:rsid w:val="00C624AE"/>
    <w:rsid w:val="00C66F9D"/>
    <w:rsid w:val="00C7039E"/>
    <w:rsid w:val="00C77E63"/>
    <w:rsid w:val="00CB2B9D"/>
    <w:rsid w:val="00CB2BE0"/>
    <w:rsid w:val="00CC5D54"/>
    <w:rsid w:val="00CC6090"/>
    <w:rsid w:val="00CD5965"/>
    <w:rsid w:val="00CD6160"/>
    <w:rsid w:val="00CE059C"/>
    <w:rsid w:val="00D01F0A"/>
    <w:rsid w:val="00D047B9"/>
    <w:rsid w:val="00D073EA"/>
    <w:rsid w:val="00D07D3E"/>
    <w:rsid w:val="00D2705A"/>
    <w:rsid w:val="00D30B5B"/>
    <w:rsid w:val="00D32D22"/>
    <w:rsid w:val="00D52095"/>
    <w:rsid w:val="00D67264"/>
    <w:rsid w:val="00D8271B"/>
    <w:rsid w:val="00D84FD9"/>
    <w:rsid w:val="00D8644B"/>
    <w:rsid w:val="00DA6C87"/>
    <w:rsid w:val="00DA77B6"/>
    <w:rsid w:val="00DC2928"/>
    <w:rsid w:val="00E02327"/>
    <w:rsid w:val="00E064E4"/>
    <w:rsid w:val="00E06A9A"/>
    <w:rsid w:val="00E17B56"/>
    <w:rsid w:val="00E32242"/>
    <w:rsid w:val="00E33033"/>
    <w:rsid w:val="00E405C1"/>
    <w:rsid w:val="00E424D2"/>
    <w:rsid w:val="00E43206"/>
    <w:rsid w:val="00E46224"/>
    <w:rsid w:val="00E57241"/>
    <w:rsid w:val="00E80824"/>
    <w:rsid w:val="00E9056F"/>
    <w:rsid w:val="00E943E9"/>
    <w:rsid w:val="00E965A1"/>
    <w:rsid w:val="00EB0AFF"/>
    <w:rsid w:val="00EB2671"/>
    <w:rsid w:val="00EB456D"/>
    <w:rsid w:val="00EB7D8C"/>
    <w:rsid w:val="00ED2663"/>
    <w:rsid w:val="00EE259B"/>
    <w:rsid w:val="00EF42A9"/>
    <w:rsid w:val="00F00722"/>
    <w:rsid w:val="00F04739"/>
    <w:rsid w:val="00F06DFF"/>
    <w:rsid w:val="00F14232"/>
    <w:rsid w:val="00F24B3E"/>
    <w:rsid w:val="00F24E39"/>
    <w:rsid w:val="00F32EF7"/>
    <w:rsid w:val="00F337F6"/>
    <w:rsid w:val="00F447BC"/>
    <w:rsid w:val="00F51354"/>
    <w:rsid w:val="00F554E8"/>
    <w:rsid w:val="00F8020C"/>
    <w:rsid w:val="00F84556"/>
    <w:rsid w:val="00F85C98"/>
    <w:rsid w:val="00FA01E4"/>
    <w:rsid w:val="00FC309D"/>
    <w:rsid w:val="00FD5741"/>
    <w:rsid w:val="00FE526E"/>
    <w:rsid w:val="00FE5E28"/>
    <w:rsid w:val="00FE68D6"/>
    <w:rsid w:val="00FF34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BBD5"/>
  <w15:chartTrackingRefBased/>
  <w15:docId w15:val="{15DF2F23-A53E-43F9-B202-CFC44F97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D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D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D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D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D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D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D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D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D4B"/>
    <w:rPr>
      <w:rFonts w:eastAsiaTheme="majorEastAsia" w:cstheme="majorBidi"/>
      <w:color w:val="272727" w:themeColor="text1" w:themeTint="D8"/>
    </w:rPr>
  </w:style>
  <w:style w:type="paragraph" w:styleId="Title">
    <w:name w:val="Title"/>
    <w:basedOn w:val="Normal"/>
    <w:next w:val="Normal"/>
    <w:link w:val="TitleChar"/>
    <w:uiPriority w:val="10"/>
    <w:qFormat/>
    <w:rsid w:val="00500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D4B"/>
    <w:pPr>
      <w:spacing w:before="160"/>
      <w:jc w:val="center"/>
    </w:pPr>
    <w:rPr>
      <w:i/>
      <w:iCs/>
      <w:color w:val="404040" w:themeColor="text1" w:themeTint="BF"/>
    </w:rPr>
  </w:style>
  <w:style w:type="character" w:customStyle="1" w:styleId="QuoteChar">
    <w:name w:val="Quote Char"/>
    <w:basedOn w:val="DefaultParagraphFont"/>
    <w:link w:val="Quote"/>
    <w:uiPriority w:val="29"/>
    <w:rsid w:val="00500D4B"/>
    <w:rPr>
      <w:i/>
      <w:iCs/>
      <w:color w:val="404040" w:themeColor="text1" w:themeTint="BF"/>
    </w:rPr>
  </w:style>
  <w:style w:type="paragraph" w:styleId="ListParagraph">
    <w:name w:val="List Paragraph"/>
    <w:basedOn w:val="Normal"/>
    <w:uiPriority w:val="34"/>
    <w:qFormat/>
    <w:rsid w:val="00500D4B"/>
    <w:pPr>
      <w:ind w:left="720"/>
      <w:contextualSpacing/>
    </w:pPr>
  </w:style>
  <w:style w:type="character" w:styleId="IntenseEmphasis">
    <w:name w:val="Intense Emphasis"/>
    <w:basedOn w:val="DefaultParagraphFont"/>
    <w:uiPriority w:val="21"/>
    <w:qFormat/>
    <w:rsid w:val="00500D4B"/>
    <w:rPr>
      <w:i/>
      <w:iCs/>
      <w:color w:val="0F4761" w:themeColor="accent1" w:themeShade="BF"/>
    </w:rPr>
  </w:style>
  <w:style w:type="paragraph" w:styleId="IntenseQuote">
    <w:name w:val="Intense Quote"/>
    <w:basedOn w:val="Normal"/>
    <w:next w:val="Normal"/>
    <w:link w:val="IntenseQuoteChar"/>
    <w:uiPriority w:val="30"/>
    <w:qFormat/>
    <w:rsid w:val="00500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D4B"/>
    <w:rPr>
      <w:i/>
      <w:iCs/>
      <w:color w:val="0F4761" w:themeColor="accent1" w:themeShade="BF"/>
    </w:rPr>
  </w:style>
  <w:style w:type="character" w:styleId="IntenseReference">
    <w:name w:val="Intense Reference"/>
    <w:basedOn w:val="DefaultParagraphFont"/>
    <w:uiPriority w:val="32"/>
    <w:qFormat/>
    <w:rsid w:val="00500D4B"/>
    <w:rPr>
      <w:b/>
      <w:bCs/>
      <w:smallCaps/>
      <w:color w:val="0F4761" w:themeColor="accent1" w:themeShade="BF"/>
      <w:spacing w:val="5"/>
    </w:rPr>
  </w:style>
  <w:style w:type="character" w:styleId="CommentReference">
    <w:name w:val="annotation reference"/>
    <w:basedOn w:val="DefaultParagraphFont"/>
    <w:uiPriority w:val="99"/>
    <w:semiHidden/>
    <w:unhideWhenUsed/>
    <w:rsid w:val="00FE5E28"/>
    <w:rPr>
      <w:sz w:val="16"/>
      <w:szCs w:val="16"/>
    </w:rPr>
  </w:style>
  <w:style w:type="paragraph" w:styleId="CommentText">
    <w:name w:val="annotation text"/>
    <w:basedOn w:val="Normal"/>
    <w:link w:val="CommentTextChar"/>
    <w:uiPriority w:val="99"/>
    <w:unhideWhenUsed/>
    <w:rsid w:val="00FE5E28"/>
    <w:pPr>
      <w:spacing w:line="240" w:lineRule="auto"/>
    </w:pPr>
    <w:rPr>
      <w:sz w:val="20"/>
      <w:szCs w:val="20"/>
    </w:rPr>
  </w:style>
  <w:style w:type="character" w:customStyle="1" w:styleId="CommentTextChar">
    <w:name w:val="Comment Text Char"/>
    <w:basedOn w:val="DefaultParagraphFont"/>
    <w:link w:val="CommentText"/>
    <w:uiPriority w:val="99"/>
    <w:rsid w:val="00FE5E28"/>
    <w:rPr>
      <w:sz w:val="20"/>
      <w:szCs w:val="20"/>
    </w:rPr>
  </w:style>
  <w:style w:type="paragraph" w:styleId="CommentSubject">
    <w:name w:val="annotation subject"/>
    <w:basedOn w:val="CommentText"/>
    <w:next w:val="CommentText"/>
    <w:link w:val="CommentSubjectChar"/>
    <w:uiPriority w:val="99"/>
    <w:semiHidden/>
    <w:unhideWhenUsed/>
    <w:rsid w:val="00FE5E28"/>
    <w:rPr>
      <w:b/>
      <w:bCs/>
    </w:rPr>
  </w:style>
  <w:style w:type="character" w:customStyle="1" w:styleId="CommentSubjectChar">
    <w:name w:val="Comment Subject Char"/>
    <w:basedOn w:val="CommentTextChar"/>
    <w:link w:val="CommentSubject"/>
    <w:uiPriority w:val="99"/>
    <w:semiHidden/>
    <w:rsid w:val="00FE5E28"/>
    <w:rPr>
      <w:b/>
      <w:bCs/>
      <w:sz w:val="20"/>
      <w:szCs w:val="20"/>
    </w:rPr>
  </w:style>
  <w:style w:type="paragraph" w:styleId="Revision">
    <w:name w:val="Revision"/>
    <w:hidden/>
    <w:uiPriority w:val="99"/>
    <w:semiHidden/>
    <w:rsid w:val="00D07D3E"/>
    <w:pPr>
      <w:spacing w:after="0" w:line="240" w:lineRule="auto"/>
    </w:pPr>
  </w:style>
  <w:style w:type="paragraph" w:styleId="FootnoteText">
    <w:name w:val="footnote text"/>
    <w:basedOn w:val="Normal"/>
    <w:link w:val="FootnoteTextChar"/>
    <w:uiPriority w:val="99"/>
    <w:semiHidden/>
    <w:unhideWhenUsed/>
    <w:rsid w:val="00FF34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4A3"/>
    <w:rPr>
      <w:sz w:val="20"/>
      <w:szCs w:val="20"/>
    </w:rPr>
  </w:style>
  <w:style w:type="character" w:styleId="FootnoteReference">
    <w:name w:val="footnote reference"/>
    <w:basedOn w:val="DefaultParagraphFont"/>
    <w:uiPriority w:val="99"/>
    <w:semiHidden/>
    <w:unhideWhenUsed/>
    <w:rsid w:val="00FF34A3"/>
    <w:rPr>
      <w:vertAlign w:val="superscript"/>
    </w:rPr>
  </w:style>
  <w:style w:type="table" w:styleId="TableGrid">
    <w:name w:val="Table Grid"/>
    <w:basedOn w:val="TableNormal"/>
    <w:uiPriority w:val="39"/>
    <w:rsid w:val="0068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16304">
      <w:bodyDiv w:val="1"/>
      <w:marLeft w:val="0"/>
      <w:marRight w:val="0"/>
      <w:marTop w:val="0"/>
      <w:marBottom w:val="0"/>
      <w:divBdr>
        <w:top w:val="none" w:sz="0" w:space="0" w:color="auto"/>
        <w:left w:val="none" w:sz="0" w:space="0" w:color="auto"/>
        <w:bottom w:val="none" w:sz="0" w:space="0" w:color="auto"/>
        <w:right w:val="none" w:sz="0" w:space="0" w:color="auto"/>
      </w:divBdr>
    </w:div>
    <w:div w:id="249002706">
      <w:bodyDiv w:val="1"/>
      <w:marLeft w:val="0"/>
      <w:marRight w:val="0"/>
      <w:marTop w:val="0"/>
      <w:marBottom w:val="0"/>
      <w:divBdr>
        <w:top w:val="none" w:sz="0" w:space="0" w:color="auto"/>
        <w:left w:val="none" w:sz="0" w:space="0" w:color="auto"/>
        <w:bottom w:val="none" w:sz="0" w:space="0" w:color="auto"/>
        <w:right w:val="none" w:sz="0" w:space="0" w:color="auto"/>
      </w:divBdr>
    </w:div>
    <w:div w:id="313150001">
      <w:bodyDiv w:val="1"/>
      <w:marLeft w:val="0"/>
      <w:marRight w:val="0"/>
      <w:marTop w:val="0"/>
      <w:marBottom w:val="0"/>
      <w:divBdr>
        <w:top w:val="none" w:sz="0" w:space="0" w:color="auto"/>
        <w:left w:val="none" w:sz="0" w:space="0" w:color="auto"/>
        <w:bottom w:val="none" w:sz="0" w:space="0" w:color="auto"/>
        <w:right w:val="none" w:sz="0" w:space="0" w:color="auto"/>
      </w:divBdr>
    </w:div>
    <w:div w:id="337344588">
      <w:bodyDiv w:val="1"/>
      <w:marLeft w:val="0"/>
      <w:marRight w:val="0"/>
      <w:marTop w:val="0"/>
      <w:marBottom w:val="0"/>
      <w:divBdr>
        <w:top w:val="none" w:sz="0" w:space="0" w:color="auto"/>
        <w:left w:val="none" w:sz="0" w:space="0" w:color="auto"/>
        <w:bottom w:val="none" w:sz="0" w:space="0" w:color="auto"/>
        <w:right w:val="none" w:sz="0" w:space="0" w:color="auto"/>
      </w:divBdr>
    </w:div>
    <w:div w:id="474638833">
      <w:bodyDiv w:val="1"/>
      <w:marLeft w:val="0"/>
      <w:marRight w:val="0"/>
      <w:marTop w:val="0"/>
      <w:marBottom w:val="0"/>
      <w:divBdr>
        <w:top w:val="none" w:sz="0" w:space="0" w:color="auto"/>
        <w:left w:val="none" w:sz="0" w:space="0" w:color="auto"/>
        <w:bottom w:val="none" w:sz="0" w:space="0" w:color="auto"/>
        <w:right w:val="none" w:sz="0" w:space="0" w:color="auto"/>
      </w:divBdr>
    </w:div>
    <w:div w:id="510949652">
      <w:bodyDiv w:val="1"/>
      <w:marLeft w:val="0"/>
      <w:marRight w:val="0"/>
      <w:marTop w:val="0"/>
      <w:marBottom w:val="0"/>
      <w:divBdr>
        <w:top w:val="none" w:sz="0" w:space="0" w:color="auto"/>
        <w:left w:val="none" w:sz="0" w:space="0" w:color="auto"/>
        <w:bottom w:val="none" w:sz="0" w:space="0" w:color="auto"/>
        <w:right w:val="none" w:sz="0" w:space="0" w:color="auto"/>
      </w:divBdr>
    </w:div>
    <w:div w:id="559638851">
      <w:bodyDiv w:val="1"/>
      <w:marLeft w:val="0"/>
      <w:marRight w:val="0"/>
      <w:marTop w:val="0"/>
      <w:marBottom w:val="0"/>
      <w:divBdr>
        <w:top w:val="none" w:sz="0" w:space="0" w:color="auto"/>
        <w:left w:val="none" w:sz="0" w:space="0" w:color="auto"/>
        <w:bottom w:val="none" w:sz="0" w:space="0" w:color="auto"/>
        <w:right w:val="none" w:sz="0" w:space="0" w:color="auto"/>
      </w:divBdr>
    </w:div>
    <w:div w:id="641889509">
      <w:bodyDiv w:val="1"/>
      <w:marLeft w:val="0"/>
      <w:marRight w:val="0"/>
      <w:marTop w:val="0"/>
      <w:marBottom w:val="0"/>
      <w:divBdr>
        <w:top w:val="none" w:sz="0" w:space="0" w:color="auto"/>
        <w:left w:val="none" w:sz="0" w:space="0" w:color="auto"/>
        <w:bottom w:val="none" w:sz="0" w:space="0" w:color="auto"/>
        <w:right w:val="none" w:sz="0" w:space="0" w:color="auto"/>
      </w:divBdr>
    </w:div>
    <w:div w:id="878779590">
      <w:bodyDiv w:val="1"/>
      <w:marLeft w:val="0"/>
      <w:marRight w:val="0"/>
      <w:marTop w:val="0"/>
      <w:marBottom w:val="0"/>
      <w:divBdr>
        <w:top w:val="none" w:sz="0" w:space="0" w:color="auto"/>
        <w:left w:val="none" w:sz="0" w:space="0" w:color="auto"/>
        <w:bottom w:val="none" w:sz="0" w:space="0" w:color="auto"/>
        <w:right w:val="none" w:sz="0" w:space="0" w:color="auto"/>
      </w:divBdr>
    </w:div>
    <w:div w:id="1326011477">
      <w:bodyDiv w:val="1"/>
      <w:marLeft w:val="0"/>
      <w:marRight w:val="0"/>
      <w:marTop w:val="0"/>
      <w:marBottom w:val="0"/>
      <w:divBdr>
        <w:top w:val="none" w:sz="0" w:space="0" w:color="auto"/>
        <w:left w:val="none" w:sz="0" w:space="0" w:color="auto"/>
        <w:bottom w:val="none" w:sz="0" w:space="0" w:color="auto"/>
        <w:right w:val="none" w:sz="0" w:space="0" w:color="auto"/>
      </w:divBdr>
    </w:div>
    <w:div w:id="1621958706">
      <w:bodyDiv w:val="1"/>
      <w:marLeft w:val="0"/>
      <w:marRight w:val="0"/>
      <w:marTop w:val="0"/>
      <w:marBottom w:val="0"/>
      <w:divBdr>
        <w:top w:val="none" w:sz="0" w:space="0" w:color="auto"/>
        <w:left w:val="none" w:sz="0" w:space="0" w:color="auto"/>
        <w:bottom w:val="none" w:sz="0" w:space="0" w:color="auto"/>
        <w:right w:val="none" w:sz="0" w:space="0" w:color="auto"/>
      </w:divBdr>
    </w:div>
    <w:div w:id="186320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18E28-2FB8-4B5A-9A70-14BE7DD23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6029</Words>
  <Characters>3437</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Kiznevičiūtė</dc:creator>
  <cp:keywords/>
  <dc:description/>
  <cp:lastModifiedBy>Lina Mechoncevė</cp:lastModifiedBy>
  <cp:revision>4</cp:revision>
  <dcterms:created xsi:type="dcterms:W3CDTF">2025-09-19T12:04:00Z</dcterms:created>
  <dcterms:modified xsi:type="dcterms:W3CDTF">2025-09-24T14:15:00Z</dcterms:modified>
</cp:coreProperties>
</file>