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742A9" w14:textId="77777777" w:rsidR="00D04E81" w:rsidRPr="002E194B" w:rsidRDefault="00D04E81" w:rsidP="00D04E81">
      <w:pPr>
        <w:suppressAutoHyphens/>
        <w:ind w:firstLine="7088"/>
        <w:rPr>
          <w:b/>
          <w:bCs/>
          <w:szCs w:val="24"/>
          <w:lang w:val="fi-FI" w:eastAsia="zh-CN"/>
        </w:rPr>
      </w:pPr>
      <w:r w:rsidRPr="002E194B">
        <w:rPr>
          <w:b/>
          <w:bCs/>
          <w:szCs w:val="24"/>
          <w:lang w:val="fi-FI" w:eastAsia="zh-CN"/>
        </w:rPr>
        <w:t xml:space="preserve">Projekto </w:t>
      </w:r>
    </w:p>
    <w:p w14:paraId="00CEFB7B" w14:textId="4BB9D5AE" w:rsidR="00B912FE" w:rsidRPr="002E194B" w:rsidRDefault="00D04E81" w:rsidP="00D04E81">
      <w:pPr>
        <w:suppressAutoHyphens/>
        <w:ind w:firstLine="7088"/>
        <w:rPr>
          <w:b/>
          <w:bCs/>
          <w:szCs w:val="24"/>
          <w:lang w:val="fi-FI" w:eastAsia="zh-CN"/>
        </w:rPr>
      </w:pPr>
      <w:r w:rsidRPr="002E194B">
        <w:rPr>
          <w:b/>
          <w:bCs/>
          <w:szCs w:val="24"/>
          <w:lang w:val="fi-FI" w:eastAsia="zh-CN"/>
        </w:rPr>
        <w:t>lyginamasis variantas</w:t>
      </w:r>
    </w:p>
    <w:p w14:paraId="09BE9BBD" w14:textId="77777777" w:rsidR="00D04E81" w:rsidRPr="009B465B" w:rsidRDefault="00D04E81">
      <w:pPr>
        <w:suppressAutoHyphens/>
        <w:jc w:val="center"/>
        <w:rPr>
          <w:b/>
          <w:bCs/>
          <w:szCs w:val="24"/>
          <w:lang w:eastAsia="zh-CN"/>
        </w:rPr>
      </w:pPr>
    </w:p>
    <w:p w14:paraId="40548EB3" w14:textId="77777777" w:rsidR="00D04E81" w:rsidRPr="009B465B" w:rsidRDefault="00D04E81">
      <w:pPr>
        <w:suppressAutoHyphens/>
        <w:jc w:val="center"/>
        <w:rPr>
          <w:b/>
          <w:bCs/>
          <w:szCs w:val="24"/>
          <w:lang w:eastAsia="zh-CN"/>
        </w:rPr>
      </w:pPr>
    </w:p>
    <w:p w14:paraId="020E9760" w14:textId="1B7F6193" w:rsidR="004D7F34" w:rsidRPr="009B465B" w:rsidRDefault="005C5B1D">
      <w:pPr>
        <w:suppressAutoHyphens/>
        <w:jc w:val="center"/>
        <w:rPr>
          <w:b/>
          <w:bCs/>
          <w:szCs w:val="24"/>
          <w:lang w:eastAsia="zh-CN"/>
        </w:rPr>
      </w:pPr>
      <w:r w:rsidRPr="009B465B">
        <w:rPr>
          <w:b/>
          <w:bCs/>
          <w:szCs w:val="24"/>
          <w:lang w:eastAsia="zh-CN"/>
        </w:rPr>
        <w:t>LIETUVOS RESPUBLIKOS APLINKOS MINISTRAS</w:t>
      </w:r>
    </w:p>
    <w:p w14:paraId="04D1F613" w14:textId="77777777" w:rsidR="004D7F34" w:rsidRPr="009B465B" w:rsidRDefault="004D7F34">
      <w:pPr>
        <w:suppressAutoHyphens/>
        <w:jc w:val="center"/>
        <w:rPr>
          <w:b/>
          <w:bCs/>
          <w:szCs w:val="24"/>
          <w:lang w:eastAsia="zh-CN"/>
        </w:rPr>
      </w:pPr>
    </w:p>
    <w:p w14:paraId="05D9F33A" w14:textId="77777777" w:rsidR="004D7F34" w:rsidRPr="009B465B" w:rsidRDefault="005C5B1D">
      <w:pPr>
        <w:jc w:val="center"/>
        <w:textAlignment w:val="baseline"/>
        <w:rPr>
          <w:b/>
          <w:bCs/>
          <w:szCs w:val="24"/>
          <w:lang w:eastAsia="en-GB"/>
        </w:rPr>
      </w:pPr>
      <w:r w:rsidRPr="009B465B">
        <w:rPr>
          <w:b/>
          <w:bCs/>
          <w:szCs w:val="24"/>
          <w:lang w:eastAsia="en-GB"/>
        </w:rPr>
        <w:t>ĮSAKYMAS</w:t>
      </w:r>
    </w:p>
    <w:p w14:paraId="7FE3D654" w14:textId="77777777" w:rsidR="00952248" w:rsidRPr="00051D5F" w:rsidRDefault="00952248" w:rsidP="00952248">
      <w:pPr>
        <w:ind w:firstLine="62"/>
        <w:jc w:val="center"/>
        <w:textAlignment w:val="baseline"/>
        <w:rPr>
          <w:b/>
          <w:bCs/>
          <w:szCs w:val="24"/>
          <w:lang w:eastAsia="en-GB"/>
        </w:rPr>
      </w:pPr>
      <w:r w:rsidRPr="00051D5F">
        <w:rPr>
          <w:b/>
          <w:bCs/>
          <w:color w:val="000000"/>
          <w:szCs w:val="24"/>
        </w:rPr>
        <w:t>DĖL LIETUVOS RESPUBLIKOS APLINKOS MINISTRO 2023 M. BALANDŽIO 27 D. ĮSAKYMO NR. D1-124 „</w:t>
      </w:r>
      <w:r w:rsidRPr="00051D5F">
        <w:rPr>
          <w:b/>
          <w:bCs/>
          <w:color w:val="000000"/>
          <w:szCs w:val="24"/>
          <w:shd w:val="clear" w:color="auto" w:fill="FFFFFF"/>
          <w:lang w:eastAsia="en-GB"/>
        </w:rPr>
        <w:t xml:space="preserve">DĖL 2022–2030 METŲ PLĖTROS PROGRAMOS VALDYTOJOS LIETUVOS RESPUBLIKOS APLINKOS MINISTERIJOS APLINKOS APSAUGOS IR PAŽANGOS PRIEMONĖS NR. </w:t>
      </w:r>
      <w:r w:rsidRPr="00051D5F">
        <w:rPr>
          <w:b/>
          <w:bCs/>
          <w:color w:val="000000"/>
          <w:szCs w:val="24"/>
          <w:bdr w:val="none" w:sz="0" w:space="0" w:color="auto" w:frame="1"/>
          <w:lang w:eastAsia="en-GB"/>
        </w:rPr>
        <w:t>02-001-06-10-02</w:t>
      </w:r>
      <w:r w:rsidRPr="00051D5F">
        <w:rPr>
          <w:b/>
          <w:bCs/>
          <w:color w:val="000000"/>
          <w:szCs w:val="24"/>
          <w:shd w:val="clear" w:color="auto" w:fill="FFFFFF"/>
          <w:lang w:eastAsia="en-GB"/>
        </w:rPr>
        <w:t xml:space="preserve"> „SKATINTI ATLIEKŲ PERDIRBIMĄ IR ANTRINIŲ ŽALIAVŲ NAUDOJIMĄ“ ĮGYVENDINIMO“ PAKEITIMO </w:t>
      </w:r>
      <w:r w:rsidRPr="00051D5F">
        <w:rPr>
          <w:color w:val="000000"/>
          <w:szCs w:val="24"/>
          <w:shd w:val="clear" w:color="auto" w:fill="FFFFFF"/>
          <w:lang w:eastAsia="en-GB"/>
        </w:rPr>
        <w:t> </w:t>
      </w:r>
    </w:p>
    <w:p w14:paraId="2252BEA1" w14:textId="77777777" w:rsidR="004D7F34" w:rsidRPr="009B465B" w:rsidRDefault="004D7F34">
      <w:pPr>
        <w:ind w:firstLine="62"/>
        <w:jc w:val="center"/>
        <w:textAlignment w:val="baseline"/>
        <w:rPr>
          <w:szCs w:val="24"/>
          <w:lang w:eastAsia="en-GB"/>
        </w:rPr>
      </w:pPr>
    </w:p>
    <w:p w14:paraId="5B67F4A3" w14:textId="1DC71055" w:rsidR="004D7F34" w:rsidRPr="009B465B" w:rsidRDefault="00952248">
      <w:pPr>
        <w:jc w:val="center"/>
        <w:textAlignment w:val="baseline"/>
        <w:rPr>
          <w:szCs w:val="24"/>
          <w:lang w:eastAsia="en-GB"/>
        </w:rPr>
      </w:pPr>
      <w:r w:rsidRPr="009B465B">
        <w:rPr>
          <w:szCs w:val="24"/>
          <w:lang w:eastAsia="en-GB"/>
        </w:rPr>
        <w:t>202</w:t>
      </w:r>
      <w:r w:rsidRPr="00822F62">
        <w:rPr>
          <w:szCs w:val="24"/>
          <w:lang w:eastAsia="en-GB"/>
        </w:rPr>
        <w:t>5</w:t>
      </w:r>
      <w:r w:rsidRPr="009B465B">
        <w:rPr>
          <w:szCs w:val="24"/>
          <w:lang w:eastAsia="en-GB"/>
        </w:rPr>
        <w:t xml:space="preserve"> </w:t>
      </w:r>
      <w:r w:rsidR="005C5B1D" w:rsidRPr="009B465B">
        <w:rPr>
          <w:szCs w:val="24"/>
          <w:lang w:eastAsia="en-GB"/>
        </w:rPr>
        <w:t xml:space="preserve">m.                                         d. Nr. </w:t>
      </w:r>
    </w:p>
    <w:p w14:paraId="3E20FC5D" w14:textId="77777777" w:rsidR="004D7F34" w:rsidRPr="009B465B" w:rsidRDefault="005C5B1D">
      <w:pPr>
        <w:jc w:val="center"/>
        <w:textAlignment w:val="baseline"/>
        <w:rPr>
          <w:szCs w:val="24"/>
          <w:lang w:eastAsia="en-GB"/>
        </w:rPr>
      </w:pPr>
      <w:r w:rsidRPr="009B465B">
        <w:rPr>
          <w:szCs w:val="24"/>
          <w:lang w:eastAsia="en-GB"/>
        </w:rPr>
        <w:t>Vilnius</w:t>
      </w:r>
    </w:p>
    <w:p w14:paraId="1231FD9D" w14:textId="77777777" w:rsidR="004D7F34" w:rsidRPr="009B465B" w:rsidRDefault="004D7F34">
      <w:pPr>
        <w:suppressAutoHyphens/>
        <w:jc w:val="center"/>
        <w:rPr>
          <w:szCs w:val="24"/>
          <w:lang w:eastAsia="zh-CN"/>
        </w:rPr>
      </w:pPr>
    </w:p>
    <w:p w14:paraId="7CB72FFF" w14:textId="77777777" w:rsidR="009B465B" w:rsidRPr="009B465B" w:rsidRDefault="009B465B">
      <w:pPr>
        <w:suppressAutoHyphens/>
        <w:jc w:val="center"/>
        <w:rPr>
          <w:szCs w:val="24"/>
          <w:lang w:eastAsia="zh-CN"/>
        </w:rPr>
      </w:pPr>
    </w:p>
    <w:p w14:paraId="79195663" w14:textId="31146C58" w:rsidR="00F16D73" w:rsidRDefault="000054FB" w:rsidP="050E5654">
      <w:pPr>
        <w:spacing w:line="276" w:lineRule="auto"/>
        <w:ind w:firstLine="567"/>
        <w:jc w:val="both"/>
        <w:textAlignment w:val="baseline"/>
        <w:rPr>
          <w:rFonts w:ascii="Tahoma" w:hAnsi="Tahoma" w:cs="Tahoma"/>
          <w:b/>
          <w:bCs/>
          <w:color w:val="333333"/>
          <w:shd w:val="clear" w:color="auto" w:fill="FFFFFF"/>
        </w:rPr>
      </w:pPr>
      <w:r w:rsidRPr="050E5654">
        <w:rPr>
          <w:color w:val="000000"/>
          <w:spacing w:val="60"/>
        </w:rPr>
        <w:t>Pakeičiu</w:t>
      </w:r>
      <w:r w:rsidRPr="050E5654">
        <w:rPr>
          <w:color w:val="000000"/>
        </w:rPr>
        <w:t xml:space="preserve"> </w:t>
      </w:r>
      <w:r w:rsidRPr="050E5654">
        <w:rPr>
          <w:lang w:eastAsia="lt-LT"/>
        </w:rPr>
        <w:t>Pažangos priemonės Nr. 02-001-06-10-02 „Skatinti atliekų perdirbimą ir antrinių žaliavų naudojimą“ veiklos „Maisto ir virtuvės atliekų perdirbimo pajėgumų plėtra“ projektų finansavimo sąlygų aprašą, patvirtintą</w:t>
      </w:r>
      <w:r w:rsidRPr="050E5654">
        <w:rPr>
          <w:color w:val="000000" w:themeColor="text1"/>
        </w:rPr>
        <w:t xml:space="preserve"> </w:t>
      </w:r>
      <w:r w:rsidR="00952248" w:rsidRPr="050E5654">
        <w:rPr>
          <w:color w:val="000000"/>
        </w:rPr>
        <w:t>Lietuvos Respublikos aplinkos ministro 2023 m. balandžio 27 d. įsakym</w:t>
      </w:r>
      <w:r w:rsidR="432FD28F" w:rsidRPr="050E5654">
        <w:rPr>
          <w:color w:val="000000"/>
        </w:rPr>
        <w:t>ą</w:t>
      </w:r>
      <w:r w:rsidR="00952248" w:rsidRPr="050E5654">
        <w:rPr>
          <w:color w:val="000000"/>
        </w:rPr>
        <w:t xml:space="preserve"> Nr. D1-124 „Dėl 2022–2030 metų plėtros programos valdytojos Lietuvos Respublikos aplinkos ministerijos aplinkos apsaugos ir pažangos priemonės Nr. 02-001-06-10-02 „Skatinti atliekų perdirbimą ir antrinių žaliavų naudojimą“ įgyvendinimo“:</w:t>
      </w:r>
      <w:r w:rsidR="00952248" w:rsidRPr="050E5654">
        <w:rPr>
          <w:rFonts w:ascii="Tahoma" w:hAnsi="Tahoma" w:cs="Tahoma"/>
          <w:b/>
          <w:bCs/>
          <w:color w:val="333333"/>
          <w:shd w:val="clear" w:color="auto" w:fill="FFFFFF"/>
        </w:rPr>
        <w:t xml:space="preserve"> </w:t>
      </w:r>
    </w:p>
    <w:p w14:paraId="17AFE4C5" w14:textId="7B742D5F" w:rsidR="00796433" w:rsidRPr="006B460C" w:rsidRDefault="001B186D" w:rsidP="006B460C">
      <w:pPr>
        <w:pStyle w:val="Sraopastraipa"/>
        <w:numPr>
          <w:ilvl w:val="0"/>
          <w:numId w:val="10"/>
        </w:numPr>
        <w:spacing w:line="276" w:lineRule="auto"/>
        <w:jc w:val="both"/>
        <w:rPr>
          <w:color w:val="000000" w:themeColor="text1"/>
          <w:lang w:eastAsia="lt-LT"/>
        </w:rPr>
      </w:pPr>
      <w:r w:rsidRPr="006B460C">
        <w:rPr>
          <w:color w:val="000000" w:themeColor="text1"/>
          <w:lang w:eastAsia="lt-LT"/>
        </w:rPr>
        <w:t xml:space="preserve">Papildau </w:t>
      </w:r>
      <w:r w:rsidR="00572E35">
        <w:rPr>
          <w:color w:val="000000" w:themeColor="text1"/>
          <w:lang w:val="en-US" w:eastAsia="lt-LT"/>
        </w:rPr>
        <w:t>2.1</w:t>
      </w:r>
      <w:r w:rsidR="00572E35" w:rsidRPr="006B460C">
        <w:rPr>
          <w:color w:val="000000" w:themeColor="text1"/>
          <w:vertAlign w:val="superscript"/>
          <w:lang w:val="en-US" w:eastAsia="lt-LT"/>
        </w:rPr>
        <w:t>1</w:t>
      </w:r>
      <w:r w:rsidR="00572E35">
        <w:rPr>
          <w:color w:val="000000" w:themeColor="text1"/>
          <w:lang w:val="en-US" w:eastAsia="lt-LT"/>
        </w:rPr>
        <w:t xml:space="preserve"> </w:t>
      </w:r>
      <w:r w:rsidRPr="006B460C">
        <w:rPr>
          <w:color w:val="000000" w:themeColor="text1"/>
          <w:lang w:eastAsia="lt-LT"/>
        </w:rPr>
        <w:t>papunkčiu:</w:t>
      </w:r>
    </w:p>
    <w:p w14:paraId="032EA1B1" w14:textId="242A449F" w:rsidR="0000240F" w:rsidRPr="0075428D" w:rsidRDefault="00637AAA" w:rsidP="0000240F">
      <w:pPr>
        <w:ind w:firstLine="597"/>
        <w:jc w:val="both"/>
        <w:rPr>
          <w:szCs w:val="24"/>
          <w:lang w:eastAsia="lt-LT"/>
        </w:rPr>
      </w:pPr>
      <w:r w:rsidRPr="0075428D">
        <w:rPr>
          <w:lang w:eastAsia="lt-LT"/>
        </w:rPr>
        <w:t>„</w:t>
      </w:r>
      <w:r w:rsidR="0000240F" w:rsidRPr="0075428D">
        <w:rPr>
          <w:b/>
          <w:bCs/>
          <w:szCs w:val="24"/>
          <w:lang w:eastAsia="lt-LT"/>
        </w:rPr>
        <w:t>2.1</w:t>
      </w:r>
      <w:r w:rsidR="0000240F" w:rsidRPr="0075428D">
        <w:rPr>
          <w:b/>
          <w:bCs/>
          <w:szCs w:val="24"/>
          <w:vertAlign w:val="superscript"/>
          <w:lang w:eastAsia="lt-LT"/>
        </w:rPr>
        <w:t xml:space="preserve">1 </w:t>
      </w:r>
      <w:r w:rsidR="0000240F" w:rsidRPr="0075428D">
        <w:rPr>
          <w:b/>
          <w:bCs/>
          <w:szCs w:val="24"/>
          <w:lang w:eastAsia="lt-LT"/>
        </w:rPr>
        <w:t>Projekto veiklai skirta maisto ir virtuvės atliekų apdorojimo infrastruktūra turi būti aiškiai atskirta nuo kitos regioninių atliekų tvarkymo centrų valdomos infrastruktūros, užtikrinant šios infrastruktūros apskaitos ir operacinio valdymo atskyrimą.</w:t>
      </w:r>
      <w:r w:rsidR="0000240F" w:rsidRPr="0075428D">
        <w:rPr>
          <w:szCs w:val="24"/>
          <w:lang w:eastAsia="lt-LT"/>
        </w:rPr>
        <w:t>“</w:t>
      </w:r>
    </w:p>
    <w:p w14:paraId="28A47BF5" w14:textId="75A9FF45" w:rsidR="001B186D" w:rsidRPr="0075428D" w:rsidRDefault="007E0A08" w:rsidP="006B460C">
      <w:pPr>
        <w:pStyle w:val="Sraopastraipa"/>
        <w:numPr>
          <w:ilvl w:val="0"/>
          <w:numId w:val="10"/>
        </w:numPr>
        <w:spacing w:line="276" w:lineRule="auto"/>
        <w:jc w:val="both"/>
        <w:rPr>
          <w:lang w:eastAsia="lt-LT"/>
        </w:rPr>
      </w:pPr>
      <w:r w:rsidRPr="0075428D">
        <w:rPr>
          <w:lang w:eastAsia="lt-LT"/>
        </w:rPr>
        <w:t xml:space="preserve">Papildau </w:t>
      </w:r>
      <w:r w:rsidRPr="0075428D">
        <w:rPr>
          <w:lang w:val="en-US" w:eastAsia="lt-LT"/>
        </w:rPr>
        <w:t>2.11</w:t>
      </w:r>
      <w:r w:rsidRPr="0075428D">
        <w:rPr>
          <w:vertAlign w:val="superscript"/>
          <w:lang w:val="en-US" w:eastAsia="lt-LT"/>
        </w:rPr>
        <w:t>1</w:t>
      </w:r>
      <w:r w:rsidRPr="0075428D">
        <w:rPr>
          <w:lang w:val="en-US" w:eastAsia="lt-LT"/>
        </w:rPr>
        <w:t xml:space="preserve"> </w:t>
      </w:r>
      <w:r w:rsidRPr="0075428D">
        <w:rPr>
          <w:lang w:eastAsia="lt-LT"/>
        </w:rPr>
        <w:t>papunkčiu:</w:t>
      </w:r>
    </w:p>
    <w:p w14:paraId="0B8178D3" w14:textId="1529C6EA" w:rsidR="006B460C" w:rsidRPr="007406DF" w:rsidRDefault="006B460C" w:rsidP="006B460C">
      <w:pPr>
        <w:jc w:val="both"/>
        <w:rPr>
          <w:lang w:eastAsia="lt-LT"/>
        </w:rPr>
      </w:pPr>
      <w:r w:rsidRPr="0075428D">
        <w:t xml:space="preserve">           „</w:t>
      </w:r>
      <w:r w:rsidRPr="0075428D">
        <w:rPr>
          <w:b/>
          <w:bCs/>
        </w:rPr>
        <w:t>2.11</w:t>
      </w:r>
      <w:r w:rsidRPr="0075428D">
        <w:rPr>
          <w:b/>
          <w:bCs/>
          <w:vertAlign w:val="superscript"/>
        </w:rPr>
        <w:t xml:space="preserve">1 </w:t>
      </w:r>
      <w:r w:rsidRPr="0075428D">
        <w:rPr>
          <w:b/>
          <w:bCs/>
        </w:rPr>
        <w:t>R</w:t>
      </w:r>
      <w:r w:rsidRPr="0075428D">
        <w:rPr>
          <w:b/>
          <w:bCs/>
          <w:lang w:eastAsia="lt-LT"/>
        </w:rPr>
        <w:t xml:space="preserve">ūšiuojamuoju būdu iš gyventojų surenkamų maisto ir virtuvės atliekų apdorojimo infrastruktūros operatorius turi būti parenkamas nepažeidžiant Europos Sąjungos valstybės pagalbos taisyklių skaidrios ir nediskriminacinės konkurencingos procedūros būdu, kurios sąlygos derinamos su administruojančia institucija. Operatorių parenka ir sutartį su juo sudaro atitinkamas </w:t>
      </w:r>
      <w:r w:rsidRPr="0075428D">
        <w:rPr>
          <w:b/>
          <w:bCs/>
        </w:rPr>
        <w:t xml:space="preserve">regioninis atliekų tvarkymo centras. </w:t>
      </w:r>
      <w:r w:rsidRPr="0075428D">
        <w:rPr>
          <w:b/>
          <w:bCs/>
          <w:lang w:eastAsia="lt-LT"/>
        </w:rPr>
        <w:t>Parenkant operatorių konkurencingos procedūros sąlygose turi būti nustatoma maksimali pasiūlymo kaina, kurios negali viršyti dalyvis (-</w:t>
      </w:r>
      <w:proofErr w:type="spellStart"/>
      <w:r w:rsidRPr="0075428D">
        <w:rPr>
          <w:b/>
          <w:bCs/>
          <w:lang w:eastAsia="lt-LT"/>
        </w:rPr>
        <w:t>iai</w:t>
      </w:r>
      <w:proofErr w:type="spellEnd"/>
      <w:r w:rsidRPr="0075428D">
        <w:rPr>
          <w:b/>
          <w:bCs/>
          <w:lang w:eastAsia="lt-LT"/>
        </w:rPr>
        <w:t>) pasiūlymuose</w:t>
      </w:r>
      <w:r w:rsidRPr="0075428D">
        <w:rPr>
          <w:b/>
          <w:bCs/>
        </w:rPr>
        <w:t xml:space="preserve"> Tuo atveju jeigu neatsiranda rinkos dalyvių, norinčių operuoti </w:t>
      </w:r>
      <w:r w:rsidRPr="0075428D">
        <w:rPr>
          <w:b/>
          <w:bCs/>
          <w:lang w:eastAsia="lt-LT"/>
        </w:rPr>
        <w:t xml:space="preserve">maisto ir virtuvės atliekų apdorojimo </w:t>
      </w:r>
      <w:r w:rsidRPr="0075428D">
        <w:rPr>
          <w:b/>
          <w:bCs/>
        </w:rPr>
        <w:t xml:space="preserve">infrastruktūrą, infrastruktūros operavimas pavedamas laikantis Aprašo 8.3 punkto reikalavimų. </w:t>
      </w:r>
      <w:r w:rsidRPr="0075428D">
        <w:rPr>
          <w:b/>
          <w:bCs/>
          <w:lang w:eastAsia="lt-LT"/>
        </w:rPr>
        <w:t xml:space="preserve">Iš gyventojų surenkamų maisto ir virtuvės atliekų apdorojimo infrastruktūrą operuoti gali tik šiame </w:t>
      </w:r>
      <w:r w:rsidRPr="007406DF">
        <w:rPr>
          <w:b/>
          <w:bCs/>
          <w:lang w:eastAsia="lt-LT"/>
        </w:rPr>
        <w:t xml:space="preserve">punkte numatytu būdu parinktas operatorius arba </w:t>
      </w:r>
      <w:r w:rsidRPr="007406DF">
        <w:rPr>
          <w:b/>
          <w:bCs/>
        </w:rPr>
        <w:t>Aprašo 8.3 punktu numatytu atveju ir sąlygomis pavedimą vykdantis regioninis atliekų tvarkymo centras.</w:t>
      </w:r>
      <w:r w:rsidRPr="007406DF">
        <w:t>“</w:t>
      </w:r>
    </w:p>
    <w:p w14:paraId="263D2DF6" w14:textId="567389C3" w:rsidR="004036E1" w:rsidRPr="00F50F56" w:rsidRDefault="001B186D" w:rsidP="007406DF">
      <w:pPr>
        <w:pStyle w:val="Sraopastraipa"/>
        <w:numPr>
          <w:ilvl w:val="0"/>
          <w:numId w:val="10"/>
        </w:numPr>
        <w:spacing w:line="276" w:lineRule="auto"/>
        <w:jc w:val="both"/>
        <w:rPr>
          <w:color w:val="000000"/>
          <w:lang w:eastAsia="lt-LT"/>
        </w:rPr>
      </w:pPr>
      <w:r w:rsidRPr="007406DF">
        <w:rPr>
          <w:color w:val="000000" w:themeColor="text1"/>
          <w:lang w:eastAsia="lt-LT"/>
        </w:rPr>
        <w:t xml:space="preserve"> </w:t>
      </w:r>
      <w:r w:rsidR="004036E1" w:rsidRPr="007406DF">
        <w:rPr>
          <w:color w:val="000000" w:themeColor="text1"/>
          <w:lang w:eastAsia="lt-LT"/>
        </w:rPr>
        <w:t xml:space="preserve">Pakeičiu 2.13 papunktį ir jį išdėstau taip: </w:t>
      </w:r>
    </w:p>
    <w:p w14:paraId="4B8366BD" w14:textId="4B922DCB" w:rsidR="004231EC" w:rsidRPr="001D4D62" w:rsidRDefault="004231EC" w:rsidP="1D7962E6">
      <w:pPr>
        <w:ind w:firstLine="597"/>
        <w:jc w:val="both"/>
        <w:rPr>
          <w:color w:val="000000"/>
        </w:rPr>
      </w:pPr>
      <w:r w:rsidRPr="1D7962E6">
        <w:rPr>
          <w:color w:val="000000" w:themeColor="text1"/>
        </w:rPr>
        <w:t>„2.13. </w:t>
      </w:r>
      <w:r w:rsidRPr="1D7962E6">
        <w:rPr>
          <w:b/>
          <w:bCs/>
        </w:rPr>
        <w:t xml:space="preserve">Ne vėliau kaip per 2 mėnesius nuo projekto sutarties pasirašymo dienos, </w:t>
      </w:r>
      <w:proofErr w:type="spellStart"/>
      <w:r w:rsidRPr="1D7962E6">
        <w:rPr>
          <w:b/>
          <w:bCs/>
        </w:rPr>
        <w:t>v</w:t>
      </w:r>
      <w:r w:rsidRPr="1D7962E6">
        <w:rPr>
          <w:strike/>
        </w:rPr>
        <w:t>V</w:t>
      </w:r>
      <w:r w:rsidRPr="1D7962E6">
        <w:rPr>
          <w:color w:val="000000" w:themeColor="text1"/>
        </w:rPr>
        <w:t>adovaujantis</w:t>
      </w:r>
      <w:proofErr w:type="spellEnd"/>
      <w:r w:rsidRPr="1D7962E6">
        <w:rPr>
          <w:color w:val="000000" w:themeColor="text1"/>
        </w:rPr>
        <w:t xml:space="preserve"> Lietuvos Respublikos planuojamos ūkinės veiklos poveikio aplinkai vertinimo įstatymu, pareiškėjas turi atlikti ir </w:t>
      </w:r>
      <w:r w:rsidRPr="1D7962E6">
        <w:rPr>
          <w:strike/>
          <w:color w:val="000000" w:themeColor="text1"/>
        </w:rPr>
        <w:t xml:space="preserve">su projekto įgyvendinimo planu (toliau – PĮP) </w:t>
      </w:r>
      <w:r w:rsidRPr="1D7962E6">
        <w:rPr>
          <w:color w:val="000000" w:themeColor="text1"/>
        </w:rPr>
        <w:t xml:space="preserve">pateikti administruojančiajai institucijai poveikio aplinkai vertinimą ir atrankos procedūrą, pateikti už šių dokumentų išdavimą atsakingos institucijos dokumentus, patvirtinančius nurodytų procedūrų atlikimą (jeigu taikoma) arba pagrindimą, kodėl nurodytos procedūros netaikomos.“ </w:t>
      </w:r>
    </w:p>
    <w:p w14:paraId="2FB873C7" w14:textId="346E71F8" w:rsidR="004036E1" w:rsidRPr="001D4D62" w:rsidRDefault="001D4D62" w:rsidP="001D4D62">
      <w:pPr>
        <w:spacing w:line="276" w:lineRule="auto"/>
        <w:jc w:val="both"/>
        <w:rPr>
          <w:color w:val="000000"/>
          <w:lang w:eastAsia="lt-LT"/>
        </w:rPr>
      </w:pPr>
      <w:r>
        <w:rPr>
          <w:color w:val="000000" w:themeColor="text1"/>
          <w:lang w:eastAsia="lt-LT"/>
        </w:rPr>
        <w:t xml:space="preserve">           </w:t>
      </w:r>
      <w:r w:rsidR="00040D85">
        <w:rPr>
          <w:color w:val="000000" w:themeColor="text1"/>
          <w:lang w:eastAsia="lt-LT"/>
        </w:rPr>
        <w:t>4</w:t>
      </w:r>
      <w:r w:rsidR="00827F5F">
        <w:rPr>
          <w:color w:val="000000" w:themeColor="text1"/>
          <w:lang w:eastAsia="lt-LT"/>
        </w:rPr>
        <w:t>.</w:t>
      </w:r>
      <w:r>
        <w:rPr>
          <w:color w:val="000000" w:themeColor="text1"/>
          <w:lang w:eastAsia="lt-LT"/>
        </w:rPr>
        <w:t xml:space="preserve"> </w:t>
      </w:r>
      <w:r w:rsidR="656CA6DE" w:rsidRPr="001D4D62">
        <w:rPr>
          <w:color w:val="000000" w:themeColor="text1"/>
          <w:lang w:eastAsia="lt-LT"/>
        </w:rPr>
        <w:t xml:space="preserve"> </w:t>
      </w:r>
      <w:r w:rsidR="00904C17">
        <w:rPr>
          <w:color w:val="000000" w:themeColor="text1"/>
          <w:lang w:eastAsia="lt-LT"/>
        </w:rPr>
        <w:t xml:space="preserve">  </w:t>
      </w:r>
      <w:r w:rsidR="004036E1" w:rsidRPr="001D4D62">
        <w:rPr>
          <w:color w:val="000000" w:themeColor="text1"/>
          <w:lang w:eastAsia="lt-LT"/>
        </w:rPr>
        <w:t xml:space="preserve">Pakeičiu 2.14 papunktį ir jį išdėstau taip: </w:t>
      </w:r>
    </w:p>
    <w:p w14:paraId="038BD0BD" w14:textId="21CF17FB" w:rsidR="004036E1" w:rsidRDefault="004036E1" w:rsidP="1D7962E6">
      <w:pPr>
        <w:ind w:firstLine="597"/>
        <w:jc w:val="both"/>
        <w:rPr>
          <w:color w:val="000000" w:themeColor="text1"/>
        </w:rPr>
      </w:pPr>
      <w:r w:rsidRPr="1D7962E6">
        <w:rPr>
          <w:color w:val="000000" w:themeColor="text1"/>
        </w:rPr>
        <w:lastRenderedPageBreak/>
        <w:t xml:space="preserve">„2.14. Vienas pareiškėjas gali pateikti tik vieną </w:t>
      </w:r>
      <w:r w:rsidRPr="1D7962E6">
        <w:rPr>
          <w:b/>
          <w:bCs/>
        </w:rPr>
        <w:t xml:space="preserve">projekto įgyvendinimo planą (toliau – </w:t>
      </w:r>
      <w:r w:rsidRPr="1D7962E6">
        <w:rPr>
          <w:color w:val="000000" w:themeColor="text1"/>
        </w:rPr>
        <w:t>PĮP</w:t>
      </w:r>
      <w:r w:rsidRPr="1D7962E6">
        <w:rPr>
          <w:b/>
          <w:bCs/>
          <w:color w:val="000000" w:themeColor="text1"/>
        </w:rPr>
        <w:t>)</w:t>
      </w:r>
      <w:r w:rsidRPr="1D7962E6">
        <w:rPr>
          <w:color w:val="000000" w:themeColor="text1"/>
        </w:rPr>
        <w:t>, parengtą pagal Projektų administravimo ir finansavimo taisyklių 1 priedą</w:t>
      </w:r>
      <w:r w:rsidRPr="00040D85">
        <w:rPr>
          <w:b/>
          <w:bCs/>
          <w:color w:val="000000" w:themeColor="text1"/>
        </w:rPr>
        <w:t>.</w:t>
      </w:r>
      <w:r w:rsidR="00A14B35" w:rsidRPr="00040D85">
        <w:rPr>
          <w:b/>
          <w:bCs/>
          <w:color w:val="000000" w:themeColor="text1"/>
        </w:rPr>
        <w:t xml:space="preserve"> </w:t>
      </w:r>
      <w:r w:rsidR="00A14B35" w:rsidRPr="00040D85">
        <w:rPr>
          <w:b/>
          <w:bCs/>
        </w:rPr>
        <w:t xml:space="preserve">PĮP </w:t>
      </w:r>
      <w:r w:rsidR="00A14B35" w:rsidRPr="00040D85">
        <w:rPr>
          <w:b/>
          <w:bCs/>
          <w:lang w:val="lt"/>
        </w:rPr>
        <w:t>rengiami ir teikiami per</w:t>
      </w:r>
      <w:r w:rsidR="00346304" w:rsidRPr="00040D85">
        <w:rPr>
          <w:b/>
          <w:bCs/>
          <w:lang w:val="lt"/>
        </w:rPr>
        <w:t xml:space="preserve"> </w:t>
      </w:r>
      <w:r w:rsidR="00346304" w:rsidRPr="00040D85">
        <w:rPr>
          <w:b/>
          <w:bCs/>
        </w:rPr>
        <w:t>2021– 2027 m.</w:t>
      </w:r>
      <w:r w:rsidR="00A14B35" w:rsidRPr="00040D85">
        <w:rPr>
          <w:b/>
          <w:bCs/>
          <w:lang w:val="lt"/>
        </w:rPr>
        <w:t xml:space="preserve"> </w:t>
      </w:r>
      <w:r w:rsidR="00A14B35" w:rsidRPr="00040D85">
        <w:rPr>
          <w:b/>
          <w:bCs/>
        </w:rPr>
        <w:t>Duomenų mainų svetainę (DMS).</w:t>
      </w:r>
      <w:r w:rsidRPr="1D7962E6">
        <w:rPr>
          <w:color w:val="000000" w:themeColor="text1"/>
        </w:rPr>
        <w:t>“</w:t>
      </w:r>
    </w:p>
    <w:p w14:paraId="76707902" w14:textId="61A8713D" w:rsidR="00B87258" w:rsidRPr="001D4D62" w:rsidRDefault="00827F5F" w:rsidP="00B87258">
      <w:pPr>
        <w:spacing w:line="276" w:lineRule="auto"/>
        <w:jc w:val="both"/>
        <w:rPr>
          <w:color w:val="000000"/>
          <w:lang w:eastAsia="lt-LT"/>
        </w:rPr>
      </w:pPr>
      <w:r>
        <w:rPr>
          <w:color w:val="000000"/>
        </w:rPr>
        <w:t xml:space="preserve"> </w:t>
      </w:r>
      <w:r w:rsidR="00B87258">
        <w:rPr>
          <w:color w:val="000000"/>
        </w:rPr>
        <w:t xml:space="preserve">          </w:t>
      </w:r>
      <w:r>
        <w:rPr>
          <w:color w:val="000000"/>
        </w:rPr>
        <w:t xml:space="preserve">5. </w:t>
      </w:r>
      <w:r w:rsidR="00904C17">
        <w:rPr>
          <w:color w:val="000000"/>
        </w:rPr>
        <w:t xml:space="preserve">  </w:t>
      </w:r>
      <w:r w:rsidR="00C72B68">
        <w:rPr>
          <w:color w:val="000000"/>
        </w:rPr>
        <w:t xml:space="preserve"> </w:t>
      </w:r>
      <w:r w:rsidR="00B87258" w:rsidRPr="001D4D62">
        <w:rPr>
          <w:color w:val="000000" w:themeColor="text1"/>
          <w:lang w:eastAsia="lt-LT"/>
        </w:rPr>
        <w:t>Pakeičiu 2.15.</w:t>
      </w:r>
      <w:r w:rsidR="00B87258">
        <w:rPr>
          <w:color w:val="000000" w:themeColor="text1"/>
          <w:lang w:eastAsia="lt-LT"/>
        </w:rPr>
        <w:t>1</w:t>
      </w:r>
      <w:r w:rsidR="00B87258" w:rsidRPr="001D4D62">
        <w:rPr>
          <w:color w:val="000000" w:themeColor="text1"/>
          <w:lang w:eastAsia="lt-LT"/>
        </w:rPr>
        <w:t xml:space="preserve"> papunktį ir jį išdėstau taip: </w:t>
      </w:r>
    </w:p>
    <w:p w14:paraId="1EFF7BBE" w14:textId="06D702A3" w:rsidR="00827F5F" w:rsidRPr="00720C92" w:rsidRDefault="00C324E7" w:rsidP="00C324E7">
      <w:pPr>
        <w:ind w:firstLine="597"/>
        <w:jc w:val="both"/>
        <w:rPr>
          <w:szCs w:val="24"/>
        </w:rPr>
      </w:pPr>
      <w:r>
        <w:rPr>
          <w:color w:val="000000"/>
        </w:rPr>
        <w:t>„</w:t>
      </w:r>
      <w:r>
        <w:rPr>
          <w:szCs w:val="24"/>
        </w:rPr>
        <w:t xml:space="preserve">2.15.1. investicijų projektas su investicijų skaičiuokle (jei taikoma pagal Strateginio valdymo metodikos 140.5 papunktį), parengtas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t>
      </w:r>
      <w:r>
        <w:rPr>
          <w:i/>
          <w:iCs/>
          <w:szCs w:val="24"/>
        </w:rPr>
        <w:t xml:space="preserve">www.cpva.lt </w:t>
      </w:r>
      <w:r>
        <w:rPr>
          <w:szCs w:val="24"/>
        </w:rPr>
        <w:t>skiltyje „</w:t>
      </w:r>
      <w:r w:rsidR="008A62C9" w:rsidRPr="00890820">
        <w:rPr>
          <w:strike/>
          <w:szCs w:val="24"/>
        </w:rPr>
        <w:t>Plėtros programų</w:t>
      </w:r>
      <w:r w:rsidR="00720C92" w:rsidRPr="00890820">
        <w:rPr>
          <w:strike/>
          <w:szCs w:val="24"/>
        </w:rPr>
        <w:t xml:space="preserve"> portfelio metodinės pagalbos centras / Dokumentai /</w:t>
      </w:r>
      <w:r w:rsidRPr="00890820">
        <w:rPr>
          <w:b/>
          <w:bCs/>
          <w:color w:val="000000" w:themeColor="text1"/>
          <w:szCs w:val="24"/>
        </w:rPr>
        <w:t>Metodinė pagalba / Konsultavimas rengiant strateginio valdymo sistemos dokumentus / Investicijų projektas</w:t>
      </w:r>
      <w:r w:rsidRPr="619C74C9">
        <w:rPr>
          <w:color w:val="000000" w:themeColor="text1"/>
          <w:szCs w:val="24"/>
        </w:rPr>
        <w:t xml:space="preserve"> / </w:t>
      </w:r>
      <w:r>
        <w:rPr>
          <w:szCs w:val="24"/>
        </w:rPr>
        <w:t>Investicijų projektų rengimo metodika“ (jei taikoma);</w:t>
      </w:r>
      <w:r>
        <w:rPr>
          <w:color w:val="000000"/>
        </w:rPr>
        <w:t>“</w:t>
      </w:r>
    </w:p>
    <w:p w14:paraId="5FC40D6B" w14:textId="484BF682" w:rsidR="00D612E6" w:rsidRPr="001D4D62" w:rsidRDefault="001D4D62" w:rsidP="001D4D62">
      <w:pPr>
        <w:spacing w:line="276" w:lineRule="auto"/>
        <w:jc w:val="both"/>
        <w:rPr>
          <w:color w:val="000000"/>
          <w:lang w:eastAsia="lt-LT"/>
        </w:rPr>
      </w:pPr>
      <w:r>
        <w:rPr>
          <w:color w:val="000000" w:themeColor="text1"/>
          <w:lang w:eastAsia="lt-LT"/>
        </w:rPr>
        <w:t xml:space="preserve">           </w:t>
      </w:r>
      <w:r w:rsidR="008E7207" w:rsidRPr="001F2D78">
        <w:rPr>
          <w:color w:val="000000" w:themeColor="text1"/>
          <w:lang w:eastAsia="lt-LT"/>
        </w:rPr>
        <w:t>6</w:t>
      </w:r>
      <w:r>
        <w:rPr>
          <w:color w:val="000000" w:themeColor="text1"/>
          <w:lang w:eastAsia="lt-LT"/>
        </w:rPr>
        <w:t xml:space="preserve">. </w:t>
      </w:r>
      <w:r w:rsidR="15D5D4EB" w:rsidRPr="001D4D62">
        <w:rPr>
          <w:color w:val="000000" w:themeColor="text1"/>
          <w:lang w:eastAsia="lt-LT"/>
        </w:rPr>
        <w:t xml:space="preserve"> </w:t>
      </w:r>
      <w:r w:rsidR="00C72B68">
        <w:rPr>
          <w:color w:val="000000" w:themeColor="text1"/>
          <w:lang w:eastAsia="lt-LT"/>
        </w:rPr>
        <w:t xml:space="preserve">  </w:t>
      </w:r>
      <w:r w:rsidR="00D612E6" w:rsidRPr="001D4D62">
        <w:rPr>
          <w:color w:val="000000" w:themeColor="text1"/>
          <w:lang w:eastAsia="lt-LT"/>
        </w:rPr>
        <w:t xml:space="preserve">Pakeičiu 2.15.6 papunktį ir jį išdėstau taip: </w:t>
      </w:r>
    </w:p>
    <w:p w14:paraId="182BD40A" w14:textId="387BD0B5" w:rsidR="00D612E6" w:rsidRDefault="00BA16A0" w:rsidP="1D7962E6">
      <w:pPr>
        <w:ind w:firstLine="597"/>
        <w:jc w:val="both"/>
      </w:pPr>
      <w:r w:rsidRPr="1D7962E6">
        <w:t>„</w:t>
      </w:r>
      <w:r w:rsidR="00D612E6" w:rsidRPr="1D7962E6">
        <w:t>2.15.6.</w:t>
      </w:r>
      <w:r w:rsidR="0009559F" w:rsidRPr="1D7962E6">
        <w:t xml:space="preserve"> </w:t>
      </w:r>
      <w:r w:rsidR="00D612E6" w:rsidRPr="1D7962E6">
        <w:rPr>
          <w:strike/>
        </w:rPr>
        <w:t>atsakingos institucijos išduoti dokumentai, patvirtinantys poveikio aplinkai vertinimo ir atrankos procedūros atlikimą (jeigu taikoma) arba pagrindimas, kodėl nurodytos procedūros netaikomos.</w:t>
      </w:r>
      <w:r w:rsidR="00D612E6" w:rsidRPr="1D7962E6">
        <w:t xml:space="preserve"> </w:t>
      </w:r>
      <w:r w:rsidR="00D612E6" w:rsidRPr="1D7962E6">
        <w:rPr>
          <w:b/>
          <w:bCs/>
        </w:rPr>
        <w:t>jei pagal Planuojamos ūkinės veiklos poveikio aplinkai vertinimo įstatymą turi būti atliekamas poveikio aplinkai vertinimas ar atranka dėl poveikio aplinkai vertinimo, pateikiama pradėtą poveikio aplinkai vertinimo procedūrą pagrindžianti informacija (elektroninio laiško, kuriuo išsiųsta informacija atrankai dėl poveikio aplinkai vertinimo atlikti, kopija ar nuoroda į Aplinkos apsaugos agentūros interneto svetainę, kurioje paskelbta informacija) arba pagrindimas, kodėl minėtos procedūros netaikomos;</w:t>
      </w:r>
      <w:r w:rsidRPr="1D7962E6">
        <w:t>“.</w:t>
      </w:r>
      <w:r w:rsidR="00D612E6" w:rsidRPr="1D7962E6">
        <w:t xml:space="preserve"> </w:t>
      </w:r>
    </w:p>
    <w:p w14:paraId="132B36B3" w14:textId="2C3FB2F7" w:rsidR="00610601" w:rsidRPr="00890820" w:rsidRDefault="001D4D62" w:rsidP="00890820">
      <w:pPr>
        <w:spacing w:line="276" w:lineRule="auto"/>
        <w:jc w:val="both"/>
        <w:rPr>
          <w:color w:val="000000" w:themeColor="text1"/>
          <w:lang w:eastAsia="lt-LT"/>
        </w:rPr>
      </w:pPr>
      <w:r w:rsidRPr="00890820">
        <w:rPr>
          <w:color w:val="000000" w:themeColor="text1"/>
          <w:lang w:eastAsia="lt-LT"/>
        </w:rPr>
        <w:t xml:space="preserve">       </w:t>
      </w:r>
      <w:r w:rsidR="00890820">
        <w:rPr>
          <w:color w:val="000000" w:themeColor="text1"/>
          <w:lang w:eastAsia="lt-LT"/>
        </w:rPr>
        <w:t xml:space="preserve">     </w:t>
      </w:r>
      <w:r w:rsidR="00104059" w:rsidRPr="00890820">
        <w:rPr>
          <w:color w:val="000000" w:themeColor="text1"/>
          <w:lang w:eastAsia="lt-LT"/>
        </w:rPr>
        <w:t>7</w:t>
      </w:r>
      <w:r w:rsidRPr="00890820">
        <w:rPr>
          <w:color w:val="000000" w:themeColor="text1"/>
          <w:lang w:eastAsia="lt-LT"/>
        </w:rPr>
        <w:t xml:space="preserve">. </w:t>
      </w:r>
      <w:r w:rsidR="4D507F7E" w:rsidRPr="00890820">
        <w:rPr>
          <w:color w:val="000000" w:themeColor="text1"/>
          <w:lang w:eastAsia="lt-LT"/>
        </w:rPr>
        <w:t xml:space="preserve"> </w:t>
      </w:r>
      <w:r w:rsidR="00C72B68">
        <w:rPr>
          <w:color w:val="000000" w:themeColor="text1"/>
          <w:lang w:eastAsia="lt-LT"/>
        </w:rPr>
        <w:t xml:space="preserve"> </w:t>
      </w:r>
      <w:r w:rsidR="00610601" w:rsidRPr="00890820">
        <w:rPr>
          <w:color w:val="000000" w:themeColor="text1"/>
          <w:lang w:eastAsia="lt-LT"/>
        </w:rPr>
        <w:t>Papildau 2.15.7 papunkčiu:</w:t>
      </w:r>
    </w:p>
    <w:p w14:paraId="7608D229" w14:textId="22C187DF" w:rsidR="00304A9D" w:rsidRDefault="00304A9D" w:rsidP="00304A9D">
      <w:pPr>
        <w:ind w:firstLine="434"/>
        <w:jc w:val="both"/>
        <w:rPr>
          <w:szCs w:val="24"/>
        </w:rPr>
      </w:pPr>
      <w:r>
        <w:rPr>
          <w:szCs w:val="24"/>
        </w:rPr>
        <w:t xml:space="preserve">    </w:t>
      </w:r>
      <w:r w:rsidR="009C5069">
        <w:rPr>
          <w:szCs w:val="24"/>
        </w:rPr>
        <w:t>„</w:t>
      </w:r>
      <w:r w:rsidRPr="00890820">
        <w:rPr>
          <w:b/>
          <w:bCs/>
          <w:szCs w:val="24"/>
        </w:rPr>
        <w:t>2.15.7</w:t>
      </w:r>
      <w:r w:rsidRPr="00890820">
        <w:rPr>
          <w:b/>
          <w:bCs/>
          <w:szCs w:val="24"/>
          <w:lang w:val="lt"/>
        </w:rPr>
        <w:t xml:space="preserve">. </w:t>
      </w:r>
      <w:proofErr w:type="spellStart"/>
      <w:r w:rsidRPr="00890820">
        <w:rPr>
          <w:b/>
          <w:bCs/>
          <w:szCs w:val="24"/>
          <w:lang w:val="lt"/>
        </w:rPr>
        <w:t>informacij</w:t>
      </w:r>
      <w:proofErr w:type="spellEnd"/>
      <w:r w:rsidRPr="00890820">
        <w:rPr>
          <w:b/>
          <w:bCs/>
          <w:szCs w:val="24"/>
        </w:rPr>
        <w:t>ą</w:t>
      </w:r>
      <w:r w:rsidRPr="00890820">
        <w:rPr>
          <w:b/>
          <w:bCs/>
          <w:szCs w:val="24"/>
          <w:lang w:val="lt"/>
        </w:rPr>
        <w:t xml:space="preserve"> apie projekto veiklų įgyvendinimo vietą, nurodant žemės sklypo ir (arba) pastato adresą, unikalų Nr. ir teisėto valdymo pagrindą (nuosavybė, nuoma, panauda). Administruojančioji institucija įvertina, ar valdymo pagrindas yra įformintas iki PĮP pateikimo, įregistruotas</w:t>
      </w:r>
      <w:r w:rsidRPr="00890820">
        <w:rPr>
          <w:b/>
          <w:bCs/>
          <w:sz w:val="16"/>
          <w:szCs w:val="16"/>
        </w:rPr>
        <w:t xml:space="preserve"> </w:t>
      </w:r>
      <w:r w:rsidRPr="00890820">
        <w:rPr>
          <w:b/>
          <w:bCs/>
          <w:szCs w:val="24"/>
        </w:rPr>
        <w:t xml:space="preserve">Lietuvos Respublikos nekilnojamojo turto registre </w:t>
      </w:r>
      <w:r w:rsidRPr="00890820">
        <w:rPr>
          <w:b/>
          <w:bCs/>
          <w:szCs w:val="24"/>
          <w:lang w:val="lt"/>
        </w:rPr>
        <w:t xml:space="preserve">ir galioja ne trumpiau kaip penkerius metus pasibaigus projekto finansavimui. Jeigu pareiškėjas nevaldo žemės sklypo ir (arba) pastato nuosavybės teise, pateikti žemės sklypo ir (arba) pastato savininko laisvos formos sutikimą raštu vykdyti projekto veiklas, kuris galioja ne trumpiau kaip 5 metus pasibaigus projekto finansavimui, </w:t>
      </w:r>
      <w:r w:rsidRPr="00890820">
        <w:rPr>
          <w:b/>
          <w:bCs/>
          <w:szCs w:val="24"/>
        </w:rPr>
        <w:t>jei pastatas ir (arba) žemės sklypas naudojamas pagal panaudos ar nuomos sutartį ir jei toks sutikimas nesuteiktas nuomos ar panaudos sutartyje;</w:t>
      </w:r>
      <w:r w:rsidR="009C5069">
        <w:rPr>
          <w:szCs w:val="24"/>
        </w:rPr>
        <w:t>“</w:t>
      </w:r>
    </w:p>
    <w:p w14:paraId="20646849" w14:textId="17EF9166" w:rsidR="009C5069" w:rsidRDefault="00890820" w:rsidP="00304A9D">
      <w:pPr>
        <w:ind w:firstLine="434"/>
        <w:jc w:val="both"/>
        <w:rPr>
          <w:szCs w:val="24"/>
        </w:rPr>
      </w:pPr>
      <w:r>
        <w:rPr>
          <w:szCs w:val="24"/>
        </w:rPr>
        <w:t xml:space="preserve">    </w:t>
      </w:r>
      <w:r w:rsidR="0015728C">
        <w:rPr>
          <w:szCs w:val="24"/>
        </w:rPr>
        <w:t xml:space="preserve"> </w:t>
      </w:r>
      <w:r w:rsidR="009C5069">
        <w:rPr>
          <w:szCs w:val="24"/>
        </w:rPr>
        <w:t xml:space="preserve">8. </w:t>
      </w:r>
      <w:r w:rsidR="00C72B68">
        <w:rPr>
          <w:szCs w:val="24"/>
        </w:rPr>
        <w:t xml:space="preserve">  </w:t>
      </w:r>
      <w:r w:rsidR="009C5069" w:rsidRPr="00927D01">
        <w:rPr>
          <w:color w:val="000000" w:themeColor="text1"/>
          <w:lang w:eastAsia="lt-LT"/>
        </w:rPr>
        <w:t>Papildau 2.15.</w:t>
      </w:r>
      <w:r w:rsidR="009C5069">
        <w:rPr>
          <w:color w:val="000000" w:themeColor="text1"/>
          <w:lang w:eastAsia="lt-LT"/>
        </w:rPr>
        <w:t>8</w:t>
      </w:r>
      <w:r w:rsidR="009C5069" w:rsidRPr="00927D01">
        <w:rPr>
          <w:color w:val="000000" w:themeColor="text1"/>
          <w:lang w:eastAsia="lt-LT"/>
        </w:rPr>
        <w:t xml:space="preserve"> papunkčiu:</w:t>
      </w:r>
    </w:p>
    <w:p w14:paraId="4B736CA0" w14:textId="56FFFD04" w:rsidR="00304A9D" w:rsidRDefault="00890820" w:rsidP="00304A9D">
      <w:pPr>
        <w:ind w:firstLine="394"/>
        <w:jc w:val="both"/>
        <w:rPr>
          <w:szCs w:val="24"/>
        </w:rPr>
      </w:pPr>
      <w:r>
        <w:rPr>
          <w:szCs w:val="24"/>
        </w:rPr>
        <w:t xml:space="preserve">     „</w:t>
      </w:r>
      <w:r w:rsidR="00304A9D" w:rsidRPr="00862015">
        <w:rPr>
          <w:b/>
          <w:bCs/>
          <w:szCs w:val="24"/>
        </w:rPr>
        <w:t>2.15.8. laisvos formos deklaraciją su paaiškinimu, kaip projekto metu sukurti pajėgumai prisidės prie Aprašo 1 priede nurodytų 1–4 aplinkos tikslų, jei planuojamos ūkinės veiklos poveikio aplinkai vertinimas neatliekamas;</w:t>
      </w:r>
      <w:r>
        <w:rPr>
          <w:szCs w:val="24"/>
        </w:rPr>
        <w:t>“</w:t>
      </w:r>
    </w:p>
    <w:p w14:paraId="7510044B" w14:textId="4A015DBE" w:rsidR="009C5069" w:rsidRDefault="00890820" w:rsidP="00304A9D">
      <w:pPr>
        <w:ind w:firstLine="394"/>
        <w:jc w:val="both"/>
        <w:rPr>
          <w:szCs w:val="24"/>
        </w:rPr>
      </w:pPr>
      <w:r>
        <w:rPr>
          <w:color w:val="000000" w:themeColor="text1"/>
          <w:lang w:eastAsia="lt-LT"/>
        </w:rPr>
        <w:t xml:space="preserve">     </w:t>
      </w:r>
      <w:r w:rsidR="009C5069">
        <w:rPr>
          <w:color w:val="000000" w:themeColor="text1"/>
          <w:lang w:eastAsia="lt-LT"/>
        </w:rPr>
        <w:t>9.</w:t>
      </w:r>
      <w:r w:rsidR="00C72B68">
        <w:rPr>
          <w:color w:val="000000" w:themeColor="text1"/>
          <w:lang w:eastAsia="lt-LT"/>
        </w:rPr>
        <w:t xml:space="preserve">  </w:t>
      </w:r>
      <w:r w:rsidR="009C5069">
        <w:rPr>
          <w:color w:val="000000" w:themeColor="text1"/>
          <w:lang w:eastAsia="lt-LT"/>
        </w:rPr>
        <w:t xml:space="preserve"> </w:t>
      </w:r>
      <w:r w:rsidR="009C5069" w:rsidRPr="00927D01">
        <w:rPr>
          <w:color w:val="000000" w:themeColor="text1"/>
          <w:lang w:eastAsia="lt-LT"/>
        </w:rPr>
        <w:t>Papildau 2.15.</w:t>
      </w:r>
      <w:r w:rsidR="009C5069">
        <w:rPr>
          <w:color w:val="000000" w:themeColor="text1"/>
          <w:lang w:eastAsia="lt-LT"/>
        </w:rPr>
        <w:t>9</w:t>
      </w:r>
      <w:r w:rsidR="009C5069" w:rsidRPr="00927D01">
        <w:rPr>
          <w:color w:val="000000" w:themeColor="text1"/>
          <w:lang w:eastAsia="lt-LT"/>
        </w:rPr>
        <w:t xml:space="preserve"> papunkčiu:</w:t>
      </w:r>
    </w:p>
    <w:p w14:paraId="07E3BBBD" w14:textId="45FE2DA8" w:rsidR="00492A20" w:rsidRDefault="00890820" w:rsidP="00304A9D">
      <w:pPr>
        <w:ind w:firstLine="372"/>
        <w:jc w:val="both"/>
      </w:pPr>
      <w:r>
        <w:t xml:space="preserve">     „</w:t>
      </w:r>
      <w:r w:rsidR="00304A9D" w:rsidRPr="00862015">
        <w:rPr>
          <w:b/>
          <w:bCs/>
        </w:rPr>
        <w:t>2.15.9. Ne vėliau kaip per 2 mėnesius nuo projekto sutarties pasirašymo dienos, vadovaudamasis Planuojamos ūkinės veiklos poveikio aplinkai vertinimo įstatymu, pareiškėjas turi atlikti poveikio aplinkai vertinimą ir atrankos procedūrą, pateikti administruojančiajai institucijai atsakingos institucijos dokumentus, patvirtinančius nurodytų procedūrų atlikimą (jeigu taikoma). Poveikio aplinkai vertinimo arba atrankos procedūras, jei jos privalomos,  Pareiškėjas turi būti pradėjęs iki PĮP pateikimo</w:t>
      </w:r>
      <w:r w:rsidR="00492A20" w:rsidRPr="00862015">
        <w:rPr>
          <w:b/>
          <w:bCs/>
        </w:rPr>
        <w:t>;</w:t>
      </w:r>
      <w:r>
        <w:t>“</w:t>
      </w:r>
    </w:p>
    <w:p w14:paraId="261B082C" w14:textId="57CA25B9" w:rsidR="00304A9D" w:rsidRDefault="00890820" w:rsidP="00304A9D">
      <w:pPr>
        <w:ind w:firstLine="372"/>
        <w:jc w:val="both"/>
        <w:rPr>
          <w:color w:val="333333"/>
        </w:rPr>
      </w:pPr>
      <w:r>
        <w:rPr>
          <w:color w:val="000000" w:themeColor="text1"/>
          <w:lang w:eastAsia="lt-LT"/>
        </w:rPr>
        <w:t xml:space="preserve">    </w:t>
      </w:r>
      <w:r w:rsidR="00492A20">
        <w:rPr>
          <w:color w:val="000000" w:themeColor="text1"/>
          <w:lang w:eastAsia="lt-LT"/>
        </w:rPr>
        <w:t xml:space="preserve">10. </w:t>
      </w:r>
      <w:r w:rsidR="00C72B68">
        <w:rPr>
          <w:color w:val="000000" w:themeColor="text1"/>
          <w:lang w:eastAsia="lt-LT"/>
        </w:rPr>
        <w:t xml:space="preserve">  </w:t>
      </w:r>
      <w:r w:rsidR="00492A20" w:rsidRPr="00927D01">
        <w:rPr>
          <w:color w:val="000000" w:themeColor="text1"/>
          <w:lang w:eastAsia="lt-LT"/>
        </w:rPr>
        <w:t>Papildau 2.15.</w:t>
      </w:r>
      <w:r w:rsidR="00492A20">
        <w:rPr>
          <w:color w:val="000000" w:themeColor="text1"/>
          <w:lang w:eastAsia="lt-LT"/>
        </w:rPr>
        <w:t>10</w:t>
      </w:r>
      <w:r w:rsidR="00492A20" w:rsidRPr="00927D01">
        <w:rPr>
          <w:color w:val="000000" w:themeColor="text1"/>
          <w:lang w:eastAsia="lt-LT"/>
        </w:rPr>
        <w:t xml:space="preserve"> papunkčiu:</w:t>
      </w:r>
    </w:p>
    <w:p w14:paraId="761555D9" w14:textId="42EDE1BE" w:rsidR="00304A9D" w:rsidRPr="00862015" w:rsidRDefault="00890820" w:rsidP="00304A9D">
      <w:pPr>
        <w:ind w:firstLine="372"/>
        <w:jc w:val="both"/>
      </w:pPr>
      <w:r w:rsidRPr="00862015">
        <w:t xml:space="preserve">    „</w:t>
      </w:r>
      <w:r w:rsidR="00304A9D" w:rsidRPr="00862015">
        <w:rPr>
          <w:b/>
          <w:bCs/>
        </w:rPr>
        <w:t xml:space="preserve">2.15.10. Pareiškėjas iki projekto veiklų įgyvendinimo pabaigos turi pateikti administruojančiajai </w:t>
      </w:r>
      <w:r w:rsidR="00304A9D" w:rsidRPr="00885031">
        <w:rPr>
          <w:b/>
          <w:bCs/>
        </w:rPr>
        <w:t xml:space="preserve">institucijai taršos integruotos prevencijos ir kontrolės ar taršos leidimą projekto metu </w:t>
      </w:r>
      <w:r w:rsidR="7D341ADE" w:rsidRPr="00885031">
        <w:rPr>
          <w:b/>
          <w:bCs/>
        </w:rPr>
        <w:t>pagal Aprašo 2.1 papunktį suk</w:t>
      </w:r>
      <w:r w:rsidR="52D747A9" w:rsidRPr="00885031">
        <w:rPr>
          <w:b/>
          <w:bCs/>
        </w:rPr>
        <w:t>u</w:t>
      </w:r>
      <w:r w:rsidR="7D341ADE" w:rsidRPr="00885031">
        <w:rPr>
          <w:b/>
          <w:bCs/>
        </w:rPr>
        <w:t>rtos (pritaikytos</w:t>
      </w:r>
      <w:r w:rsidR="2A4C7662" w:rsidRPr="00885031">
        <w:rPr>
          <w:b/>
          <w:bCs/>
        </w:rPr>
        <w:t xml:space="preserve">) </w:t>
      </w:r>
      <w:r w:rsidR="00304A9D" w:rsidRPr="00885031">
        <w:rPr>
          <w:b/>
          <w:bCs/>
        </w:rPr>
        <w:t xml:space="preserve">infrastruktūros, eksploatavimui. Pareiškėjui nepateikus minėto leidimo kopijos, administruojančioji institucija turi teisę inicijuoti </w:t>
      </w:r>
      <w:r w:rsidR="00F32EB1" w:rsidRPr="00885031">
        <w:rPr>
          <w:b/>
          <w:bCs/>
        </w:rPr>
        <w:t xml:space="preserve">projekto sutarties nutraukimą </w:t>
      </w:r>
      <w:r w:rsidR="00304A9D" w:rsidRPr="00885031">
        <w:rPr>
          <w:b/>
          <w:bCs/>
        </w:rPr>
        <w:t>Projektų administravimo ir finansavimo taisykl</w:t>
      </w:r>
      <w:r w:rsidR="00391857" w:rsidRPr="00885031">
        <w:rPr>
          <w:b/>
          <w:bCs/>
        </w:rPr>
        <w:t xml:space="preserve">ių VIII </w:t>
      </w:r>
      <w:r w:rsidR="004E6F06" w:rsidRPr="00885031">
        <w:rPr>
          <w:b/>
          <w:bCs/>
        </w:rPr>
        <w:t>skyriau</w:t>
      </w:r>
      <w:r w:rsidR="000456F8" w:rsidRPr="00885031">
        <w:rPr>
          <w:b/>
          <w:bCs/>
        </w:rPr>
        <w:t xml:space="preserve">s antro skirsnio </w:t>
      </w:r>
      <w:r w:rsidR="00304A9D" w:rsidRPr="00885031">
        <w:rPr>
          <w:b/>
          <w:bCs/>
        </w:rPr>
        <w:t xml:space="preserve"> nustatyta tvarka.</w:t>
      </w:r>
      <w:r w:rsidRPr="00885031">
        <w:t>“</w:t>
      </w:r>
      <w:r w:rsidR="00304A9D" w:rsidRPr="00862015">
        <w:t xml:space="preserve"> </w:t>
      </w:r>
    </w:p>
    <w:p w14:paraId="0FC0D644" w14:textId="7BDE27F2" w:rsidR="00104059" w:rsidRDefault="00104059" w:rsidP="001D4D62">
      <w:pPr>
        <w:spacing w:line="276" w:lineRule="auto"/>
        <w:jc w:val="both"/>
        <w:rPr>
          <w:color w:val="000000" w:themeColor="text1"/>
          <w:lang w:eastAsia="lt-LT"/>
        </w:rPr>
      </w:pPr>
    </w:p>
    <w:p w14:paraId="4971AEEF" w14:textId="77777777" w:rsidR="00104059" w:rsidRPr="00862015" w:rsidRDefault="00104059" w:rsidP="001D4D62">
      <w:pPr>
        <w:spacing w:line="276" w:lineRule="auto"/>
        <w:jc w:val="both"/>
        <w:rPr>
          <w:lang w:eastAsia="lt-LT"/>
        </w:rPr>
      </w:pPr>
    </w:p>
    <w:p w14:paraId="7D2F0857" w14:textId="0C44DBEE" w:rsidR="00104059" w:rsidRPr="00862015" w:rsidRDefault="00974225" w:rsidP="001D4D62">
      <w:pPr>
        <w:spacing w:line="276" w:lineRule="auto"/>
        <w:jc w:val="both"/>
        <w:rPr>
          <w:lang w:eastAsia="lt-LT"/>
        </w:rPr>
      </w:pPr>
      <w:r w:rsidRPr="00862015">
        <w:rPr>
          <w:lang w:eastAsia="lt-LT"/>
        </w:rPr>
        <w:t xml:space="preserve">            11. </w:t>
      </w:r>
      <w:r w:rsidR="00C72B68">
        <w:rPr>
          <w:lang w:eastAsia="lt-LT"/>
        </w:rPr>
        <w:t xml:space="preserve">  </w:t>
      </w:r>
      <w:r w:rsidRPr="00862015">
        <w:rPr>
          <w:lang w:eastAsia="lt-LT"/>
        </w:rPr>
        <w:t>Pakeičiu 8 p</w:t>
      </w:r>
      <w:r w:rsidR="007836F4" w:rsidRPr="00862015">
        <w:rPr>
          <w:lang w:eastAsia="lt-LT"/>
        </w:rPr>
        <w:t>unktą</w:t>
      </w:r>
      <w:r w:rsidRPr="00862015">
        <w:rPr>
          <w:lang w:eastAsia="lt-LT"/>
        </w:rPr>
        <w:t xml:space="preserve"> ir jį išdėstau taip:</w:t>
      </w:r>
    </w:p>
    <w:p w14:paraId="3B8F2705" w14:textId="07FBB6B1" w:rsidR="00222F48" w:rsidRPr="00862015" w:rsidRDefault="00222F48" w:rsidP="00222F48">
      <w:pPr>
        <w:ind w:firstLine="597"/>
        <w:jc w:val="both"/>
        <w:rPr>
          <w:szCs w:val="24"/>
        </w:rPr>
      </w:pPr>
      <w:r w:rsidRPr="00862015">
        <w:rPr>
          <w:lang w:eastAsia="lt-LT"/>
        </w:rPr>
        <w:t xml:space="preserve">  „</w:t>
      </w:r>
      <w:r w:rsidRPr="00862015">
        <w:rPr>
          <w:szCs w:val="24"/>
          <w:lang w:eastAsia="lt-LT"/>
        </w:rPr>
        <w:t xml:space="preserve">8.1. Pagal Aprašą valstybės pagalba, kaip ji apibrėžta Sutarties dėl Europos Sąjungos veikimo 107 straipsnyje, ir </w:t>
      </w:r>
      <w:r w:rsidRPr="00862015">
        <w:rPr>
          <w:i/>
          <w:iCs/>
          <w:szCs w:val="24"/>
          <w:lang w:eastAsia="lt-LT"/>
        </w:rPr>
        <w:t xml:space="preserve">de </w:t>
      </w:r>
      <w:proofErr w:type="spellStart"/>
      <w:r w:rsidRPr="00862015">
        <w:rPr>
          <w:i/>
          <w:iCs/>
          <w:szCs w:val="24"/>
          <w:lang w:eastAsia="lt-LT"/>
        </w:rPr>
        <w:t>minimis</w:t>
      </w:r>
      <w:proofErr w:type="spellEnd"/>
      <w:r w:rsidRPr="00862015">
        <w:rPr>
          <w:szCs w:val="24"/>
          <w:lang w:eastAsia="lt-LT"/>
        </w:rPr>
        <w:t xml:space="preserve"> pagalba, kuri atitinka 2013 m. gruodžio 18 d. Komisijos reglamento (ES) Nr. 1407/2013 dėl Sutarties dėl Europos Sąjungos veikimo 107 ir 108 straipsnių taikymo </w:t>
      </w:r>
      <w:r w:rsidRPr="00862015">
        <w:rPr>
          <w:i/>
          <w:iCs/>
          <w:szCs w:val="24"/>
          <w:lang w:eastAsia="lt-LT"/>
        </w:rPr>
        <w:t xml:space="preserve">de </w:t>
      </w:r>
      <w:proofErr w:type="spellStart"/>
      <w:r w:rsidRPr="00862015">
        <w:rPr>
          <w:i/>
          <w:iCs/>
          <w:szCs w:val="24"/>
          <w:lang w:eastAsia="lt-LT"/>
        </w:rPr>
        <w:t>minimis</w:t>
      </w:r>
      <w:proofErr w:type="spellEnd"/>
      <w:r w:rsidRPr="00862015">
        <w:rPr>
          <w:szCs w:val="24"/>
          <w:lang w:eastAsia="lt-LT"/>
        </w:rPr>
        <w:t xml:space="preserve"> pagalbai su visais pakeitimais nuostatas, neteikiama, </w:t>
      </w:r>
      <w:r w:rsidRPr="00862015">
        <w:rPr>
          <w:b/>
          <w:bCs/>
          <w:szCs w:val="24"/>
          <w:lang w:eastAsia="lt-LT"/>
        </w:rPr>
        <w:t xml:space="preserve">su sąlyga, kad yra įvykdomos Aprašo </w:t>
      </w:r>
      <w:r w:rsidRPr="00862015">
        <w:rPr>
          <w:b/>
          <w:bCs/>
          <w:szCs w:val="24"/>
        </w:rPr>
        <w:t>2.11</w:t>
      </w:r>
      <w:r w:rsidRPr="00862015">
        <w:rPr>
          <w:b/>
          <w:bCs/>
          <w:szCs w:val="24"/>
          <w:vertAlign w:val="superscript"/>
        </w:rPr>
        <w:t xml:space="preserve">1 </w:t>
      </w:r>
      <w:r w:rsidRPr="00862015">
        <w:rPr>
          <w:b/>
          <w:bCs/>
          <w:szCs w:val="24"/>
        </w:rPr>
        <w:t>punkte numatytos sąlygos dėl operatoriaus parinkimo.</w:t>
      </w:r>
      <w:r w:rsidRPr="00862015">
        <w:rPr>
          <w:szCs w:val="24"/>
        </w:rPr>
        <w:t xml:space="preserve"> </w:t>
      </w:r>
    </w:p>
    <w:p w14:paraId="7DD8C567" w14:textId="24C50BB3" w:rsidR="00222F48" w:rsidRPr="00862015" w:rsidRDefault="00862015" w:rsidP="00222F48">
      <w:pPr>
        <w:ind w:firstLine="597"/>
        <w:jc w:val="both"/>
        <w:rPr>
          <w:szCs w:val="24"/>
        </w:rPr>
      </w:pPr>
      <w:r>
        <w:rPr>
          <w:szCs w:val="24"/>
          <w:lang w:eastAsia="lt-LT"/>
        </w:rPr>
        <w:t xml:space="preserve">  </w:t>
      </w:r>
      <w:r w:rsidR="00222F48" w:rsidRPr="00862015">
        <w:rPr>
          <w:szCs w:val="24"/>
          <w:lang w:eastAsia="lt-LT"/>
        </w:rPr>
        <w:t>8.2. Pagal Aprašą valstybės pagalba, kuri atitinka 2014 m. birželio 17 d. Komisijos reglamentą (ES) Nr. 651/2014, kuriuo tam tikrų kategorijų pagalba skelbiama suderinama su vidaus rinka, taikant Sutarties 107 ir 108 straipsnius su visais pakeitimais, neteikiama.</w:t>
      </w:r>
      <w:r w:rsidR="00222F48" w:rsidRPr="00862015">
        <w:rPr>
          <w:szCs w:val="24"/>
        </w:rPr>
        <w:t xml:space="preserve"> </w:t>
      </w:r>
    </w:p>
    <w:p w14:paraId="0019F16A" w14:textId="232063C6" w:rsidR="00222F48" w:rsidRPr="00862015" w:rsidRDefault="00862015" w:rsidP="00222F48">
      <w:pPr>
        <w:ind w:firstLine="597"/>
        <w:jc w:val="both"/>
        <w:rPr>
          <w:b/>
          <w:bCs/>
        </w:rPr>
      </w:pPr>
      <w:r>
        <w:rPr>
          <w:b/>
          <w:bCs/>
        </w:rPr>
        <w:t xml:space="preserve">  </w:t>
      </w:r>
      <w:r w:rsidR="00222F48" w:rsidRPr="00862015">
        <w:rPr>
          <w:b/>
          <w:bCs/>
        </w:rPr>
        <w:t xml:space="preserve">8.3. Tuo atveju, jeigu įgyvendinus konkurencingą procedūrą operatoriui parinkti neatsiranda rinkos dalyvių, norinčių operuoti </w:t>
      </w:r>
      <w:r w:rsidR="00222F48" w:rsidRPr="00862015">
        <w:rPr>
          <w:b/>
          <w:bCs/>
          <w:lang w:eastAsia="lt-LT"/>
        </w:rPr>
        <w:t xml:space="preserve">maisto ir virtuvės atliekų apdorojimo </w:t>
      </w:r>
      <w:r w:rsidR="00222F48" w:rsidRPr="00862015">
        <w:rPr>
          <w:b/>
          <w:bCs/>
        </w:rPr>
        <w:t>infrastruktūrą, infrastruktūros operavimas pavedamas projekto vykdytojui - regioniniam atliekų tvarkymo centrui, jį įsteigusių savivaldybių pavedimu, suderinus jį su administruojančiąja institucija. Tokiu atveju pagal Aprašą projekto veiklų finansavimas yra valstybės pagalba, kaip ji apibrėžta Sutarties dėl Europos Sąjungos veikimo (OL 2012 C 326, p. 47) 107 straipsnyje, kuri teikiama laikantis toliau nurodytų sąlygų:</w:t>
      </w:r>
    </w:p>
    <w:p w14:paraId="7E4F1FAF" w14:textId="5723A64F" w:rsidR="00222F48" w:rsidRPr="00862015" w:rsidRDefault="00862015" w:rsidP="00222F48">
      <w:pPr>
        <w:ind w:firstLine="597"/>
        <w:jc w:val="both"/>
        <w:rPr>
          <w:b/>
          <w:bCs/>
          <w:szCs w:val="24"/>
        </w:rPr>
      </w:pPr>
      <w:r>
        <w:rPr>
          <w:b/>
          <w:bCs/>
          <w:szCs w:val="24"/>
        </w:rPr>
        <w:t xml:space="preserve">  </w:t>
      </w:r>
      <w:r w:rsidR="00222F48" w:rsidRPr="00862015">
        <w:rPr>
          <w:b/>
          <w:bCs/>
          <w:szCs w:val="24"/>
        </w:rPr>
        <w:t>8.3.1. pavedimas turi būti sudaromas tokiomis sąlygomis, kurios ekonominiu požiūriu nėra palankesnės už organizuotos konkurencingos procedūros operatoriui parinkti taikytas sąlygas, ir laikantis (i) 2023 m. gruodžio 13 d. Komisijos reglamento </w:t>
      </w:r>
      <w:hyperlink r:id="rId11" w:history="1">
        <w:r w:rsidR="00222F48" w:rsidRPr="00862015">
          <w:rPr>
            <w:b/>
            <w:bCs/>
            <w:szCs w:val="24"/>
          </w:rPr>
          <w:t>(ES) Nr. 2023/2832</w:t>
        </w:r>
      </w:hyperlink>
      <w:r w:rsidR="00222F48" w:rsidRPr="00862015">
        <w:rPr>
          <w:b/>
          <w:bCs/>
          <w:szCs w:val="24"/>
        </w:rPr>
        <w:t xml:space="preserve"> dėl Sutarties dėl Europos Sąjungos veikimo 107 ir 108 straipsnių taikymo de </w:t>
      </w:r>
      <w:proofErr w:type="spellStart"/>
      <w:r w:rsidR="00222F48" w:rsidRPr="00862015">
        <w:rPr>
          <w:b/>
          <w:bCs/>
          <w:szCs w:val="24"/>
        </w:rPr>
        <w:t>minimis</w:t>
      </w:r>
      <w:proofErr w:type="spellEnd"/>
      <w:r w:rsidR="00222F48" w:rsidRPr="00862015">
        <w:rPr>
          <w:b/>
          <w:bCs/>
          <w:szCs w:val="24"/>
        </w:rPr>
        <w:t xml:space="preserve"> pagalbai, skiriamai visuotinės ekonominės svarbos paslaugas teikiančioms įmonėms (toliau - De </w:t>
      </w:r>
      <w:proofErr w:type="spellStart"/>
      <w:r w:rsidR="00222F48" w:rsidRPr="00862015">
        <w:rPr>
          <w:b/>
          <w:bCs/>
          <w:szCs w:val="24"/>
        </w:rPr>
        <w:t>minimis</w:t>
      </w:r>
      <w:proofErr w:type="spellEnd"/>
      <w:r w:rsidR="00222F48" w:rsidRPr="00862015">
        <w:rPr>
          <w:b/>
          <w:bCs/>
          <w:szCs w:val="24"/>
        </w:rPr>
        <w:t xml:space="preserve"> pagalbos VESP kompensavimui reglamentas)  arba (ii)  2011 m. gruodžio 20 d. Komisijos sprendimo dėl Sutarties dėl Europos Sąjungos veikimo 106 straipsnio 2 dalies taikymo valstybės pagalbai, kompensacijos už viešąją paslaugą forma skiriamai tam tikroms įmonėms, kurioms pavesta teikti visuotinės ekonominės svarbos paslaugas (toliau – Sprendimas), kuriame apibrėžiama, atvejai ir sąlygos, kurioms esant kompensacija už šias paslaugas gali būti teikiama neatliekant notifikacijos proceso su Europos Komisija. Bet kuriuo atveju, pavedimo kaina neturi viršyti konkurencingos procedūros sąlygose nustatytos maksimalios pasiūlymo kainos;</w:t>
      </w:r>
    </w:p>
    <w:p w14:paraId="3C7F74E9" w14:textId="3B64610B" w:rsidR="00222F48" w:rsidRPr="00862015" w:rsidRDefault="00862015" w:rsidP="00222F48">
      <w:pPr>
        <w:ind w:firstLine="597"/>
        <w:jc w:val="both"/>
        <w:rPr>
          <w:b/>
          <w:bCs/>
          <w:szCs w:val="24"/>
        </w:rPr>
      </w:pPr>
      <w:r>
        <w:rPr>
          <w:b/>
          <w:bCs/>
          <w:szCs w:val="24"/>
        </w:rPr>
        <w:t xml:space="preserve">  </w:t>
      </w:r>
      <w:r w:rsidR="00222F48" w:rsidRPr="00862015">
        <w:rPr>
          <w:b/>
          <w:bCs/>
          <w:szCs w:val="24"/>
        </w:rPr>
        <w:t xml:space="preserve">8.3.2. Administruojančioji institucija patikrina pavedimo sąlygas ir, jeigu jos atitinka De </w:t>
      </w:r>
      <w:proofErr w:type="spellStart"/>
      <w:r w:rsidR="00222F48" w:rsidRPr="00862015">
        <w:rPr>
          <w:b/>
          <w:bCs/>
          <w:szCs w:val="24"/>
        </w:rPr>
        <w:t>minimis</w:t>
      </w:r>
      <w:proofErr w:type="spellEnd"/>
      <w:r w:rsidR="00222F48" w:rsidRPr="00862015">
        <w:rPr>
          <w:b/>
          <w:bCs/>
          <w:szCs w:val="24"/>
        </w:rPr>
        <w:t xml:space="preserve"> pagalbos VESP kompensavimui reglamentą arba Sprendimą, informuoja Lietuvos Respublikos aplinkos ministeriją (toliau – Ministerija) apie sudarytą pavedimą, o Ministerija per 20 darbo dienų registruoja suteiktos valstybės pagalbos sumą Suteiktos valstybės pagalbos ir nereikšmingos (de</w:t>
      </w:r>
      <w:r w:rsidR="00222F48" w:rsidRPr="00862015">
        <w:rPr>
          <w:b/>
          <w:bCs/>
          <w:i/>
          <w:iCs/>
          <w:szCs w:val="24"/>
        </w:rPr>
        <w:t xml:space="preserve"> </w:t>
      </w:r>
      <w:proofErr w:type="spellStart"/>
      <w:r w:rsidR="00222F48" w:rsidRPr="00862015">
        <w:rPr>
          <w:b/>
          <w:bCs/>
          <w:i/>
          <w:iCs/>
          <w:szCs w:val="24"/>
        </w:rPr>
        <w:t>minimis</w:t>
      </w:r>
      <w:proofErr w:type="spellEnd"/>
      <w:r w:rsidR="00222F48" w:rsidRPr="00862015">
        <w:rPr>
          <w:b/>
          <w:bCs/>
          <w:szCs w:val="24"/>
        </w:rPr>
        <w:t>) pagalbos registre, kurio nuostatai patvirtinti Lietuvos Respublikos Vyriausybės 2005 m. sausio 19 d. nutarimu Nr. 35 „Dėl Suteiktos valstybės pagalbos ir nereikšmingos (</w:t>
      </w:r>
      <w:r w:rsidR="00222F48" w:rsidRPr="00862015">
        <w:rPr>
          <w:b/>
          <w:bCs/>
          <w:i/>
          <w:iCs/>
          <w:szCs w:val="24"/>
        </w:rPr>
        <w:t xml:space="preserve">de </w:t>
      </w:r>
      <w:proofErr w:type="spellStart"/>
      <w:r w:rsidR="00222F48" w:rsidRPr="00862015">
        <w:rPr>
          <w:b/>
          <w:bCs/>
          <w:i/>
          <w:iCs/>
          <w:szCs w:val="24"/>
        </w:rPr>
        <w:t>minimis</w:t>
      </w:r>
      <w:proofErr w:type="spellEnd"/>
      <w:r w:rsidR="00222F48" w:rsidRPr="00862015">
        <w:rPr>
          <w:b/>
          <w:bCs/>
          <w:szCs w:val="24"/>
        </w:rPr>
        <w:t>) pagalbos registro nuostatų patvirtinimo“;</w:t>
      </w:r>
    </w:p>
    <w:p w14:paraId="00B4EB56" w14:textId="55F8AF41" w:rsidR="00222F48" w:rsidRPr="00862015" w:rsidRDefault="00862015" w:rsidP="00222F48">
      <w:pPr>
        <w:ind w:firstLine="597"/>
        <w:jc w:val="both"/>
        <w:rPr>
          <w:b/>
          <w:bCs/>
          <w:szCs w:val="24"/>
        </w:rPr>
      </w:pPr>
      <w:r>
        <w:rPr>
          <w:b/>
          <w:bCs/>
          <w:szCs w:val="24"/>
        </w:rPr>
        <w:t xml:space="preserve">  </w:t>
      </w:r>
      <w:r w:rsidR="00222F48" w:rsidRPr="00862015">
        <w:rPr>
          <w:b/>
          <w:bCs/>
          <w:szCs w:val="24"/>
        </w:rPr>
        <w:t xml:space="preserve">8.3.3. Dokumentų saugojimas užtikrinamas 10 finansinių metų nuo pavedimo pabaigos datos, kaip nustatyta De </w:t>
      </w:r>
      <w:proofErr w:type="spellStart"/>
      <w:r w:rsidR="00222F48" w:rsidRPr="00862015">
        <w:rPr>
          <w:b/>
          <w:bCs/>
          <w:szCs w:val="24"/>
        </w:rPr>
        <w:t>minimis</w:t>
      </w:r>
      <w:proofErr w:type="spellEnd"/>
      <w:r w:rsidR="00222F48" w:rsidRPr="00862015">
        <w:rPr>
          <w:b/>
          <w:bCs/>
          <w:szCs w:val="24"/>
        </w:rPr>
        <w:t xml:space="preserve"> pagalbos VESP kompensavimui reglamento 6 straipsnio 3 punkte arba Sprendimo 8 straipsnio 1 punkte;</w:t>
      </w:r>
    </w:p>
    <w:p w14:paraId="1C69894B" w14:textId="712AE130" w:rsidR="007836F4" w:rsidRPr="00862015" w:rsidRDefault="00222F48" w:rsidP="00222F48">
      <w:pPr>
        <w:spacing w:line="276" w:lineRule="auto"/>
        <w:jc w:val="both"/>
        <w:rPr>
          <w:lang w:eastAsia="lt-LT"/>
        </w:rPr>
      </w:pPr>
      <w:r w:rsidRPr="00862015">
        <w:rPr>
          <w:b/>
          <w:bCs/>
          <w:szCs w:val="24"/>
        </w:rPr>
        <w:t xml:space="preserve">          </w:t>
      </w:r>
      <w:r w:rsidR="00862015">
        <w:rPr>
          <w:b/>
          <w:bCs/>
          <w:szCs w:val="24"/>
        </w:rPr>
        <w:t xml:space="preserve">  </w:t>
      </w:r>
      <w:r w:rsidRPr="00862015">
        <w:rPr>
          <w:b/>
          <w:bCs/>
          <w:szCs w:val="24"/>
        </w:rPr>
        <w:t xml:space="preserve">8.3.4. Pasibaigus pavedimo laikotarpiui turi būti kartojama skaidri, nediskriminacinė konkurencinga operatoriaus parinkimo procedūra ir tik neatsiradus rinkos dalyvių, norinčių operuoti </w:t>
      </w:r>
      <w:r w:rsidRPr="00862015">
        <w:rPr>
          <w:b/>
          <w:bCs/>
          <w:szCs w:val="24"/>
          <w:lang w:eastAsia="lt-LT"/>
        </w:rPr>
        <w:t xml:space="preserve">maisto ir virtuvės atliekų apdorojimo </w:t>
      </w:r>
      <w:r w:rsidRPr="00862015">
        <w:rPr>
          <w:b/>
          <w:bCs/>
          <w:szCs w:val="24"/>
        </w:rPr>
        <w:t>infrastruktūrą, infrastruktūros operavimas pavedamas regioniniam atliekų tvarkymo centrui naujam laikotarpiui laikantis Aprašo 8.3 punkto sąlygų.</w:t>
      </w:r>
      <w:r w:rsidRPr="00862015">
        <w:rPr>
          <w:szCs w:val="24"/>
        </w:rPr>
        <w:t>“</w:t>
      </w:r>
    </w:p>
    <w:p w14:paraId="4048EB8A" w14:textId="1DE625D1" w:rsidR="00A469E5" w:rsidRPr="001D4D62" w:rsidRDefault="00423DF9" w:rsidP="001D4D62">
      <w:pPr>
        <w:spacing w:line="276" w:lineRule="auto"/>
        <w:jc w:val="both"/>
        <w:rPr>
          <w:color w:val="000000"/>
          <w:lang w:eastAsia="lt-LT"/>
        </w:rPr>
      </w:pPr>
      <w:r>
        <w:rPr>
          <w:color w:val="000000" w:themeColor="text1"/>
          <w:lang w:eastAsia="lt-LT"/>
        </w:rPr>
        <w:t xml:space="preserve">           </w:t>
      </w:r>
      <w:r w:rsidR="002250CB">
        <w:rPr>
          <w:color w:val="000000" w:themeColor="text1"/>
          <w:lang w:eastAsia="lt-LT"/>
        </w:rPr>
        <w:t xml:space="preserve"> 12. </w:t>
      </w:r>
      <w:r w:rsidR="00C72B68">
        <w:rPr>
          <w:color w:val="000000" w:themeColor="text1"/>
          <w:lang w:eastAsia="lt-LT"/>
        </w:rPr>
        <w:t xml:space="preserve">  </w:t>
      </w:r>
      <w:r w:rsidR="005B45D7" w:rsidRPr="001D4D62">
        <w:rPr>
          <w:color w:val="000000" w:themeColor="text1"/>
          <w:lang w:eastAsia="lt-LT"/>
        </w:rPr>
        <w:t>Pakeičiu 14 punktą ir jį išdėstau taip:</w:t>
      </w:r>
    </w:p>
    <w:p w14:paraId="31AB4CE6" w14:textId="54DABDF8" w:rsidR="00EE74D4" w:rsidRDefault="001D4D62" w:rsidP="1D7962E6">
      <w:pPr>
        <w:spacing w:line="276" w:lineRule="auto"/>
        <w:jc w:val="both"/>
        <w:rPr>
          <w:b/>
          <w:bCs/>
        </w:rPr>
      </w:pPr>
      <w:r>
        <w:rPr>
          <w:b/>
          <w:bCs/>
        </w:rPr>
        <w:t xml:space="preserve">           </w:t>
      </w:r>
      <w:r w:rsidR="00E157EA" w:rsidRPr="1D7962E6">
        <w:rPr>
          <w:b/>
          <w:bCs/>
        </w:rPr>
        <w:t>„</w:t>
      </w:r>
      <w:r w:rsidR="00EE74D4" w:rsidRPr="1D7962E6">
        <w:t>14. Projektų veiklų ir jungtinio projekto projektų įgyvendinimui taikomi supaprastintai apmokamų išlaidų dydžiai</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709"/>
        <w:gridCol w:w="708"/>
        <w:gridCol w:w="2127"/>
        <w:gridCol w:w="3118"/>
      </w:tblGrid>
      <w:tr w:rsidR="00EE74D4" w14:paraId="409A6534" w14:textId="77777777" w:rsidTr="00822F62">
        <w:tc>
          <w:tcPr>
            <w:tcW w:w="9771" w:type="dxa"/>
            <w:gridSpan w:val="5"/>
            <w:tcBorders>
              <w:top w:val="single" w:sz="8" w:space="0" w:color="auto"/>
              <w:left w:val="single" w:sz="8" w:space="0" w:color="auto"/>
              <w:bottom w:val="single" w:sz="8" w:space="0" w:color="auto"/>
              <w:right w:val="single" w:sz="8" w:space="0" w:color="auto"/>
            </w:tcBorders>
          </w:tcPr>
          <w:p w14:paraId="62951B65" w14:textId="77777777" w:rsidR="00EE74D4" w:rsidRPr="00A737E5" w:rsidRDefault="00EE74D4" w:rsidP="00427966">
            <w:pPr>
              <w:jc w:val="both"/>
              <w:rPr>
                <w:szCs w:val="24"/>
              </w:rPr>
            </w:pPr>
            <w:r w:rsidRPr="00A737E5">
              <w:rPr>
                <w:rFonts w:ascii="Segoe UI Symbol" w:eastAsia="MS Gothic" w:hAnsi="Segoe UI Symbol" w:cs="Segoe UI Symbol"/>
                <w:szCs w:val="24"/>
              </w:rPr>
              <w:t>☐</w:t>
            </w:r>
            <w:r w:rsidRPr="00A737E5">
              <w:rPr>
                <w:szCs w:val="24"/>
              </w:rPr>
              <w:t xml:space="preserve"> Indeksuojama</w:t>
            </w:r>
          </w:p>
          <w:p w14:paraId="0D48E589" w14:textId="77777777" w:rsidR="00EE74D4" w:rsidRPr="005274AC" w:rsidRDefault="00EE74D4" w:rsidP="00427966">
            <w:pPr>
              <w:jc w:val="both"/>
              <w:rPr>
                <w:szCs w:val="24"/>
              </w:rPr>
            </w:pPr>
            <w:r w:rsidRPr="00A737E5">
              <w:rPr>
                <w:rFonts w:eastAsia="MS Gothic"/>
                <w:szCs w:val="24"/>
              </w:rPr>
              <w:t>x</w:t>
            </w:r>
            <w:r w:rsidRPr="00A737E5">
              <w:rPr>
                <w:szCs w:val="24"/>
              </w:rPr>
              <w:t xml:space="preserve"> Neindeksuojama</w:t>
            </w:r>
          </w:p>
        </w:tc>
      </w:tr>
      <w:tr w:rsidR="00CD07A5" w14:paraId="1FB6E96B" w14:textId="77777777" w:rsidTr="00822F62">
        <w:tc>
          <w:tcPr>
            <w:tcW w:w="3109" w:type="dxa"/>
            <w:tcBorders>
              <w:top w:val="single" w:sz="8" w:space="0" w:color="auto"/>
              <w:left w:val="single" w:sz="8" w:space="0" w:color="auto"/>
              <w:bottom w:val="single" w:sz="8" w:space="0" w:color="auto"/>
              <w:right w:val="single" w:sz="8" w:space="0" w:color="auto"/>
            </w:tcBorders>
            <w:vAlign w:val="center"/>
          </w:tcPr>
          <w:p w14:paraId="7E294AB6" w14:textId="77777777" w:rsidR="00EE74D4" w:rsidRPr="00A737E5" w:rsidRDefault="00EE74D4" w:rsidP="00427966">
            <w:pPr>
              <w:jc w:val="center"/>
              <w:rPr>
                <w:szCs w:val="24"/>
              </w:rPr>
            </w:pPr>
            <w:r w:rsidRPr="00A737E5">
              <w:rPr>
                <w:szCs w:val="24"/>
              </w:rPr>
              <w:lastRenderedPageBreak/>
              <w:t>Veiklos ir (ar) išlaidos, kurioms taikomi supaprastintai apmokamų išlaidų dydžiai</w:t>
            </w:r>
          </w:p>
        </w:tc>
        <w:tc>
          <w:tcPr>
            <w:tcW w:w="709" w:type="dxa"/>
            <w:tcBorders>
              <w:top w:val="single" w:sz="8" w:space="0" w:color="auto"/>
              <w:left w:val="single" w:sz="8" w:space="0" w:color="auto"/>
              <w:bottom w:val="single" w:sz="8" w:space="0" w:color="auto"/>
              <w:right w:val="single" w:sz="8" w:space="0" w:color="auto"/>
            </w:tcBorders>
            <w:vAlign w:val="center"/>
          </w:tcPr>
          <w:p w14:paraId="11242B9F" w14:textId="77777777" w:rsidR="00EE74D4" w:rsidRPr="00A737E5" w:rsidRDefault="00EE74D4" w:rsidP="00427966">
            <w:pPr>
              <w:jc w:val="center"/>
              <w:rPr>
                <w:szCs w:val="24"/>
              </w:rPr>
            </w:pPr>
            <w:r w:rsidRPr="00A737E5">
              <w:rPr>
                <w:szCs w:val="24"/>
              </w:rPr>
              <w:t>Supaprastintai apmokamų išlaidų dydžio kodas</w:t>
            </w:r>
          </w:p>
        </w:tc>
        <w:tc>
          <w:tcPr>
            <w:tcW w:w="708" w:type="dxa"/>
            <w:tcBorders>
              <w:top w:val="single" w:sz="8" w:space="0" w:color="auto"/>
              <w:left w:val="single" w:sz="8" w:space="0" w:color="auto"/>
              <w:bottom w:val="single" w:sz="8" w:space="0" w:color="auto"/>
              <w:right w:val="single" w:sz="8" w:space="0" w:color="auto"/>
            </w:tcBorders>
            <w:vAlign w:val="center"/>
          </w:tcPr>
          <w:p w14:paraId="33AA1DD9" w14:textId="77777777" w:rsidR="00EE74D4" w:rsidRPr="00A737E5" w:rsidRDefault="00EE74D4" w:rsidP="00427966">
            <w:pPr>
              <w:jc w:val="center"/>
              <w:rPr>
                <w:i/>
                <w:iCs/>
                <w:color w:val="808080"/>
                <w:szCs w:val="24"/>
              </w:rPr>
            </w:pPr>
            <w:r w:rsidRPr="00A737E5">
              <w:rPr>
                <w:szCs w:val="24"/>
              </w:rPr>
              <w:t>Supaprastintai apmokamų išlaidų dydžio versija</w:t>
            </w:r>
          </w:p>
        </w:tc>
        <w:tc>
          <w:tcPr>
            <w:tcW w:w="2127" w:type="dxa"/>
            <w:tcBorders>
              <w:top w:val="single" w:sz="8" w:space="0" w:color="auto"/>
              <w:left w:val="single" w:sz="8" w:space="0" w:color="auto"/>
              <w:bottom w:val="single" w:sz="8" w:space="0" w:color="auto"/>
              <w:right w:val="single" w:sz="8" w:space="0" w:color="auto"/>
            </w:tcBorders>
            <w:vAlign w:val="center"/>
          </w:tcPr>
          <w:p w14:paraId="2047D252" w14:textId="77777777" w:rsidR="00EE74D4" w:rsidRPr="00A737E5" w:rsidRDefault="00EE74D4" w:rsidP="00427966">
            <w:pPr>
              <w:jc w:val="center"/>
              <w:rPr>
                <w:szCs w:val="24"/>
              </w:rPr>
            </w:pPr>
            <w:r w:rsidRPr="00A737E5">
              <w:rPr>
                <w:szCs w:val="24"/>
              </w:rPr>
              <w:t>Supaprastintai apmokamų išlaidų dydžio pavadinimas</w:t>
            </w:r>
          </w:p>
        </w:tc>
        <w:tc>
          <w:tcPr>
            <w:tcW w:w="3118" w:type="dxa"/>
            <w:tcBorders>
              <w:top w:val="single" w:sz="8" w:space="0" w:color="auto"/>
              <w:left w:val="single" w:sz="8" w:space="0" w:color="auto"/>
              <w:bottom w:val="single" w:sz="8" w:space="0" w:color="auto"/>
              <w:right w:val="single" w:sz="8" w:space="0" w:color="auto"/>
            </w:tcBorders>
            <w:vAlign w:val="center"/>
          </w:tcPr>
          <w:p w14:paraId="7E5C4803" w14:textId="77777777" w:rsidR="00EE74D4" w:rsidRPr="00A737E5" w:rsidRDefault="00EE74D4" w:rsidP="00427966">
            <w:pPr>
              <w:jc w:val="center"/>
              <w:rPr>
                <w:szCs w:val="24"/>
              </w:rPr>
            </w:pPr>
            <w:r w:rsidRPr="00A737E5">
              <w:rPr>
                <w:szCs w:val="24"/>
              </w:rPr>
              <w:t>Papildoma informacija</w:t>
            </w:r>
          </w:p>
        </w:tc>
      </w:tr>
      <w:tr w:rsidR="00CD07A5" w14:paraId="07C6C3EF" w14:textId="77777777" w:rsidTr="00822F62">
        <w:tc>
          <w:tcPr>
            <w:tcW w:w="3109" w:type="dxa"/>
            <w:tcBorders>
              <w:top w:val="single" w:sz="8" w:space="0" w:color="auto"/>
              <w:left w:val="single" w:sz="8" w:space="0" w:color="auto"/>
              <w:bottom w:val="single" w:sz="8" w:space="0" w:color="auto"/>
              <w:right w:val="single" w:sz="8" w:space="0" w:color="auto"/>
            </w:tcBorders>
          </w:tcPr>
          <w:p w14:paraId="7B61D82B" w14:textId="77777777" w:rsidR="00EE74D4" w:rsidRDefault="00EE74D4" w:rsidP="00427966">
            <w:pPr>
              <w:rPr>
                <w:i/>
                <w:iCs/>
                <w:szCs w:val="24"/>
              </w:rPr>
            </w:pPr>
            <w:r>
              <w:rPr>
                <w:szCs w:val="24"/>
              </w:rPr>
              <w:t>14.1. Netiesioginės projekto veiklos ir išlaidos joms apmokėti.</w:t>
            </w:r>
          </w:p>
        </w:tc>
        <w:tc>
          <w:tcPr>
            <w:tcW w:w="709" w:type="dxa"/>
            <w:tcBorders>
              <w:top w:val="single" w:sz="8" w:space="0" w:color="auto"/>
              <w:left w:val="single" w:sz="8" w:space="0" w:color="auto"/>
              <w:bottom w:val="single" w:sz="8" w:space="0" w:color="auto"/>
              <w:right w:val="single" w:sz="8" w:space="0" w:color="auto"/>
            </w:tcBorders>
          </w:tcPr>
          <w:p w14:paraId="73AEE1F4" w14:textId="77777777" w:rsidR="00EE74D4" w:rsidRDefault="00EE74D4" w:rsidP="00427966">
            <w:pPr>
              <w:jc w:val="center"/>
              <w:rPr>
                <w:i/>
                <w:iCs/>
                <w:szCs w:val="24"/>
              </w:rPr>
            </w:pPr>
            <w:r>
              <w:rPr>
                <w:szCs w:val="24"/>
              </w:rPr>
              <w:t>FN-01</w:t>
            </w:r>
          </w:p>
        </w:tc>
        <w:tc>
          <w:tcPr>
            <w:tcW w:w="708" w:type="dxa"/>
            <w:tcBorders>
              <w:top w:val="single" w:sz="8" w:space="0" w:color="auto"/>
              <w:left w:val="single" w:sz="8" w:space="0" w:color="auto"/>
              <w:bottom w:val="single" w:sz="8" w:space="0" w:color="auto"/>
              <w:right w:val="single" w:sz="8" w:space="0" w:color="auto"/>
            </w:tcBorders>
          </w:tcPr>
          <w:p w14:paraId="171F430E" w14:textId="77777777" w:rsidR="00EE74D4" w:rsidRDefault="00EE74D4" w:rsidP="00427966">
            <w:pPr>
              <w:jc w:val="center"/>
              <w:rPr>
                <w:szCs w:val="24"/>
              </w:rPr>
            </w:pPr>
            <w:r>
              <w:rPr>
                <w:szCs w:val="24"/>
              </w:rPr>
              <w:t>01</w:t>
            </w:r>
          </w:p>
        </w:tc>
        <w:tc>
          <w:tcPr>
            <w:tcW w:w="2127" w:type="dxa"/>
            <w:tcBorders>
              <w:top w:val="single" w:sz="8" w:space="0" w:color="auto"/>
              <w:left w:val="single" w:sz="8" w:space="0" w:color="auto"/>
              <w:bottom w:val="single" w:sz="8" w:space="0" w:color="auto"/>
              <w:right w:val="single" w:sz="8" w:space="0" w:color="auto"/>
            </w:tcBorders>
          </w:tcPr>
          <w:p w14:paraId="255C3BD7" w14:textId="77777777" w:rsidR="00EE74D4" w:rsidRDefault="00EE74D4" w:rsidP="00427966">
            <w:pPr>
              <w:ind w:firstLine="142"/>
              <w:jc w:val="both"/>
              <w:rPr>
                <w:i/>
                <w:iCs/>
                <w:szCs w:val="24"/>
              </w:rPr>
            </w:pPr>
            <w:r>
              <w:rPr>
                <w:szCs w:val="24"/>
              </w:rPr>
              <w:t>Iki 7 proc. netiesioginių išlaidų fiksuotoji norma.</w:t>
            </w:r>
          </w:p>
        </w:tc>
        <w:tc>
          <w:tcPr>
            <w:tcW w:w="3118" w:type="dxa"/>
            <w:tcBorders>
              <w:top w:val="single" w:sz="8" w:space="0" w:color="auto"/>
              <w:left w:val="single" w:sz="8" w:space="0" w:color="auto"/>
              <w:bottom w:val="single" w:sz="8" w:space="0" w:color="auto"/>
              <w:right w:val="single" w:sz="8" w:space="0" w:color="auto"/>
            </w:tcBorders>
          </w:tcPr>
          <w:p w14:paraId="5E707315" w14:textId="77777777" w:rsidR="00EE74D4" w:rsidRDefault="00EE74D4" w:rsidP="00427966">
            <w:pPr>
              <w:ind w:firstLine="142"/>
              <w:jc w:val="both"/>
              <w:rPr>
                <w:i/>
                <w:color w:val="000000"/>
                <w:szCs w:val="24"/>
              </w:rPr>
            </w:pPr>
            <w:r>
              <w:rPr>
                <w:szCs w:val="24"/>
              </w:rPr>
              <w:t>Netiesioginės projekto išlaidos skaičiuojamos nuo tinkamų finansuoti tiesioginių projekto išlaidų.</w:t>
            </w:r>
          </w:p>
        </w:tc>
      </w:tr>
      <w:tr w:rsidR="00CD07A5" w14:paraId="405EA157" w14:textId="77777777" w:rsidTr="00822F62">
        <w:tc>
          <w:tcPr>
            <w:tcW w:w="3109" w:type="dxa"/>
            <w:tcBorders>
              <w:top w:val="single" w:sz="8" w:space="0" w:color="auto"/>
              <w:left w:val="single" w:sz="8" w:space="0" w:color="auto"/>
              <w:bottom w:val="single" w:sz="8" w:space="0" w:color="auto"/>
              <w:right w:val="single" w:sz="8" w:space="0" w:color="auto"/>
            </w:tcBorders>
          </w:tcPr>
          <w:p w14:paraId="4907EF1C" w14:textId="77777777" w:rsidR="00EE74D4" w:rsidRDefault="00EE74D4" w:rsidP="00427966">
            <w:pPr>
              <w:rPr>
                <w:szCs w:val="24"/>
              </w:rPr>
            </w:pPr>
            <w:r>
              <w:rPr>
                <w:szCs w:val="24"/>
              </w:rPr>
              <w:t>14.2. Privalomos projektų matomumo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506CDAD0" w14:textId="77777777" w:rsidR="00EE74D4" w:rsidRDefault="00EE74D4" w:rsidP="00427966">
            <w:pPr>
              <w:jc w:val="center"/>
              <w:rPr>
                <w:szCs w:val="24"/>
              </w:rPr>
            </w:pPr>
            <w:r>
              <w:rPr>
                <w:szCs w:val="24"/>
              </w:rPr>
              <w:t>FS-01-02</w:t>
            </w:r>
          </w:p>
        </w:tc>
        <w:tc>
          <w:tcPr>
            <w:tcW w:w="708" w:type="dxa"/>
            <w:tcBorders>
              <w:top w:val="single" w:sz="8" w:space="0" w:color="auto"/>
              <w:left w:val="single" w:sz="8" w:space="0" w:color="auto"/>
              <w:bottom w:val="single" w:sz="8" w:space="0" w:color="auto"/>
              <w:right w:val="single" w:sz="8" w:space="0" w:color="auto"/>
            </w:tcBorders>
          </w:tcPr>
          <w:p w14:paraId="7B134F00" w14:textId="1F5D901F" w:rsidR="00EE74D4" w:rsidRDefault="00EE74D4" w:rsidP="00427966">
            <w:pPr>
              <w:jc w:val="center"/>
              <w:rPr>
                <w:szCs w:val="24"/>
              </w:rPr>
            </w:pPr>
            <w:r>
              <w:rPr>
                <w:szCs w:val="24"/>
              </w:rPr>
              <w:t>0</w:t>
            </w:r>
            <w:r w:rsidRPr="00A737E5">
              <w:rPr>
                <w:strike/>
                <w:szCs w:val="24"/>
              </w:rPr>
              <w:t>2</w:t>
            </w:r>
            <w:r w:rsidR="00A737E5" w:rsidRPr="00A737E5">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2ECAB35B" w14:textId="77777777" w:rsidR="00EE74D4" w:rsidRDefault="00EE74D4" w:rsidP="00427966">
            <w:pPr>
              <w:ind w:firstLine="142"/>
              <w:jc w:val="both"/>
              <w:rPr>
                <w:szCs w:val="24"/>
              </w:rPr>
            </w:pPr>
            <w:r>
              <w:rPr>
                <w:color w:val="000000"/>
                <w:szCs w:val="24"/>
                <w:lang w:eastAsia="lt-LT"/>
              </w:rPr>
              <w:t>Įgyvendintų privalomų matomumo ir informavimo priemonių apie ES (toliau – Europos Sąjungos)</w:t>
            </w:r>
            <w:r>
              <w:rPr>
                <w:szCs w:val="24"/>
              </w:rPr>
              <w:t xml:space="preserve"> </w:t>
            </w:r>
            <w:r>
              <w:rPr>
                <w:color w:val="000000"/>
                <w:szCs w:val="24"/>
                <w:lang w:eastAsia="lt-LT"/>
              </w:rPr>
              <w:t xml:space="preserve">fondų </w:t>
            </w:r>
            <w:r>
              <w:rPr>
                <w:szCs w:val="24"/>
              </w:rPr>
              <w:t>investicijų</w:t>
            </w:r>
            <w:r>
              <w:rPr>
                <w:color w:val="000000"/>
                <w:szCs w:val="24"/>
                <w:lang w:eastAsia="lt-LT"/>
              </w:rPr>
              <w:t xml:space="preserve"> veiklas fiksuotoji suma</w:t>
            </w:r>
            <w:r>
              <w:rPr>
                <w:iCs/>
                <w:color w:val="000000"/>
                <w:szCs w:val="24"/>
              </w:rPr>
              <w:t xml:space="preserve"> (toliau – FS)</w:t>
            </w:r>
            <w:r>
              <w:rPr>
                <w:color w:val="000000"/>
                <w:szCs w:val="24"/>
                <w:lang w:eastAsia="lt-LT"/>
              </w:rPr>
              <w:t>, pirmojo rinkinio FS su PVM.</w:t>
            </w:r>
          </w:p>
        </w:tc>
        <w:tc>
          <w:tcPr>
            <w:tcW w:w="3118" w:type="dxa"/>
            <w:tcBorders>
              <w:top w:val="single" w:sz="8" w:space="0" w:color="auto"/>
              <w:left w:val="single" w:sz="8" w:space="0" w:color="auto"/>
              <w:bottom w:val="single" w:sz="8" w:space="0" w:color="auto"/>
              <w:right w:val="single" w:sz="8" w:space="0" w:color="auto"/>
            </w:tcBorders>
          </w:tcPr>
          <w:p w14:paraId="314F6361" w14:textId="77777777" w:rsidR="00EE74D4" w:rsidRDefault="00EE74D4" w:rsidP="00427966">
            <w:pPr>
              <w:jc w:val="center"/>
              <w:rPr>
                <w:color w:val="000000"/>
                <w:szCs w:val="24"/>
              </w:rPr>
            </w:pPr>
            <w:r>
              <w:rPr>
                <w:color w:val="000000"/>
                <w:szCs w:val="24"/>
                <w:u w:val="single"/>
              </w:rPr>
              <w:t>FS-01-01 – FS-01-04. Įgyvendinamų privalomų matomumo ir informavimo priemonių apie ESFI veiklas išlaidų FS nustatymo tyrimas</w:t>
            </w:r>
          </w:p>
          <w:p w14:paraId="4DA4585A" w14:textId="77777777" w:rsidR="00EE74D4" w:rsidRDefault="00EE74D4" w:rsidP="00427966">
            <w:pPr>
              <w:jc w:val="both"/>
              <w:rPr>
                <w:szCs w:val="24"/>
              </w:rPr>
            </w:pPr>
          </w:p>
          <w:p w14:paraId="34DE65EA" w14:textId="77777777" w:rsidR="00EE74D4" w:rsidRDefault="00EE74D4" w:rsidP="00427966">
            <w:pPr>
              <w:ind w:firstLine="142"/>
              <w:jc w:val="both"/>
              <w:rPr>
                <w:iCs/>
                <w:szCs w:val="24"/>
              </w:rPr>
            </w:pPr>
            <w:r>
              <w:rPr>
                <w:iCs/>
                <w:szCs w:val="24"/>
              </w:rPr>
              <w:t xml:space="preserve">Fiksuotąją sumą sudaro visų pirmojo privalomų matomumo ir informavimo priemonių </w:t>
            </w:r>
            <w:r>
              <w:rPr>
                <w:szCs w:val="24"/>
              </w:rPr>
              <w:t>rinkinio</w:t>
            </w:r>
            <w:r>
              <w:rPr>
                <w:iCs/>
                <w:szCs w:val="24"/>
              </w:rPr>
              <w:t xml:space="preserve"> išlaidos:</w:t>
            </w:r>
          </w:p>
          <w:p w14:paraId="52F88717" w14:textId="77777777" w:rsidR="00EE74D4" w:rsidRDefault="00EE74D4" w:rsidP="00427966">
            <w:pPr>
              <w:ind w:firstLine="142"/>
              <w:jc w:val="both"/>
              <w:rPr>
                <w:iCs/>
                <w:szCs w:val="24"/>
              </w:rPr>
            </w:pPr>
            <w:r>
              <w:rPr>
                <w:iCs/>
                <w:szCs w:val="24"/>
              </w:rPr>
              <w:t xml:space="preserve">a) projekto vykdytojo oficialioje interneto </w:t>
            </w:r>
            <w:r>
              <w:rPr>
                <w:szCs w:val="24"/>
              </w:rPr>
              <w:t>svetainėje</w:t>
            </w:r>
            <w:r>
              <w:rPr>
                <w:iCs/>
                <w:szCs w:val="24"/>
              </w:rPr>
              <w:t xml:space="preserve">, jei tokia yra, ir socialinės žiniasklaidos interneto svetainėse paskelbta informacija; </w:t>
            </w:r>
          </w:p>
          <w:p w14:paraId="23636954" w14:textId="77777777" w:rsidR="00EE74D4" w:rsidRDefault="00EE74D4" w:rsidP="00427966">
            <w:pPr>
              <w:ind w:firstLine="142"/>
              <w:jc w:val="both"/>
              <w:rPr>
                <w:iCs/>
                <w:szCs w:val="24"/>
              </w:rPr>
            </w:pPr>
            <w:r>
              <w:rPr>
                <w:iCs/>
                <w:szCs w:val="24"/>
              </w:rPr>
              <w:t xml:space="preserve">b) pakabintas bent vienas ne mažesnio kaip A3 </w:t>
            </w:r>
            <w:r>
              <w:rPr>
                <w:szCs w:val="24"/>
              </w:rPr>
              <w:t>formato</w:t>
            </w:r>
            <w:r>
              <w:rPr>
                <w:iCs/>
                <w:szCs w:val="24"/>
              </w:rPr>
              <w:t xml:space="preserve"> spausdintas skelbimas (plakatas) arba elektroniniame ekrane paskelbtas lygiavertis pranešimas;</w:t>
            </w:r>
          </w:p>
          <w:p w14:paraId="37CC8B8A" w14:textId="77777777" w:rsidR="00EE74D4" w:rsidRDefault="00EE74D4" w:rsidP="00427966">
            <w:pPr>
              <w:ind w:firstLine="142"/>
              <w:jc w:val="both"/>
              <w:rPr>
                <w:i/>
                <w:color w:val="000000"/>
                <w:szCs w:val="24"/>
              </w:rPr>
            </w:pPr>
            <w:r>
              <w:rPr>
                <w:iCs/>
                <w:szCs w:val="24"/>
              </w:rPr>
              <w:t xml:space="preserve">c) visuomenei arba dalyviams skirtuose </w:t>
            </w:r>
            <w:r>
              <w:rPr>
                <w:szCs w:val="24"/>
              </w:rPr>
              <w:t>dokumentuose</w:t>
            </w:r>
            <w:r>
              <w:rPr>
                <w:iCs/>
                <w:szCs w:val="24"/>
              </w:rPr>
              <w:t xml:space="preserve"> ir komunikacijos medžiagoje paskelbtas pareiškimas, kuriame akcentuojama gaunama Europos Sąjungos parama.</w:t>
            </w:r>
          </w:p>
        </w:tc>
      </w:tr>
      <w:tr w:rsidR="00CD07A5" w14:paraId="09D42FB3" w14:textId="77777777" w:rsidTr="00822F62">
        <w:tc>
          <w:tcPr>
            <w:tcW w:w="3109" w:type="dxa"/>
            <w:tcBorders>
              <w:top w:val="single" w:sz="8" w:space="0" w:color="auto"/>
              <w:left w:val="single" w:sz="8" w:space="0" w:color="auto"/>
              <w:bottom w:val="single" w:sz="8" w:space="0" w:color="auto"/>
              <w:right w:val="single" w:sz="8" w:space="0" w:color="auto"/>
            </w:tcBorders>
          </w:tcPr>
          <w:p w14:paraId="7796D0A5" w14:textId="77777777" w:rsidR="00EE74D4" w:rsidRDefault="00EE74D4" w:rsidP="00427966">
            <w:pPr>
              <w:rPr>
                <w:szCs w:val="24"/>
              </w:rPr>
            </w:pPr>
            <w:r>
              <w:rPr>
                <w:szCs w:val="24"/>
              </w:rPr>
              <w:t>14.3. Privalomos projektų matomumo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6FCF33D0" w14:textId="77777777" w:rsidR="00EE74D4" w:rsidRDefault="00EE74D4" w:rsidP="00427966">
            <w:pPr>
              <w:jc w:val="center"/>
              <w:rPr>
                <w:szCs w:val="24"/>
              </w:rPr>
            </w:pPr>
            <w:r>
              <w:rPr>
                <w:szCs w:val="24"/>
              </w:rPr>
              <w:t>FS-01-01</w:t>
            </w:r>
          </w:p>
        </w:tc>
        <w:tc>
          <w:tcPr>
            <w:tcW w:w="708" w:type="dxa"/>
            <w:tcBorders>
              <w:top w:val="single" w:sz="8" w:space="0" w:color="auto"/>
              <w:left w:val="single" w:sz="8" w:space="0" w:color="auto"/>
              <w:bottom w:val="single" w:sz="8" w:space="0" w:color="auto"/>
              <w:right w:val="single" w:sz="8" w:space="0" w:color="auto"/>
            </w:tcBorders>
          </w:tcPr>
          <w:p w14:paraId="7B03A5B9" w14:textId="2FBEE3AE" w:rsidR="00EE74D4" w:rsidRDefault="00A737E5" w:rsidP="00427966">
            <w:pPr>
              <w:jc w:val="center"/>
              <w:rPr>
                <w:color w:val="000000"/>
                <w:szCs w:val="24"/>
                <w:lang w:eastAsia="lt-LT"/>
              </w:rPr>
            </w:pPr>
            <w:r>
              <w:rPr>
                <w:szCs w:val="24"/>
              </w:rPr>
              <w:t>0</w:t>
            </w:r>
            <w:r w:rsidRPr="00140989">
              <w:rPr>
                <w:strike/>
                <w:szCs w:val="24"/>
              </w:rPr>
              <w:t>2</w:t>
            </w:r>
            <w:r w:rsidRPr="00140989">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55F9B174" w14:textId="77777777" w:rsidR="00EE74D4" w:rsidRDefault="00EE74D4" w:rsidP="00427966">
            <w:pPr>
              <w:ind w:firstLine="142"/>
              <w:jc w:val="both"/>
              <w:rPr>
                <w:iCs/>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ES </w:t>
            </w:r>
            <w:r>
              <w:rPr>
                <w:color w:val="000000"/>
                <w:szCs w:val="24"/>
                <w:lang w:eastAsia="lt-LT"/>
              </w:rPr>
              <w:lastRenderedPageBreak/>
              <w:t>fondų investicijų veiklas FS, pirmojo rinkinio FS be PVM.</w:t>
            </w:r>
          </w:p>
        </w:tc>
        <w:tc>
          <w:tcPr>
            <w:tcW w:w="3118" w:type="dxa"/>
            <w:tcBorders>
              <w:top w:val="single" w:sz="8" w:space="0" w:color="auto"/>
              <w:left w:val="single" w:sz="8" w:space="0" w:color="auto"/>
              <w:bottom w:val="single" w:sz="8" w:space="0" w:color="auto"/>
              <w:right w:val="single" w:sz="8" w:space="0" w:color="auto"/>
            </w:tcBorders>
          </w:tcPr>
          <w:p w14:paraId="671983BC" w14:textId="77777777" w:rsidR="00EE74D4" w:rsidRDefault="00EE74D4" w:rsidP="00427966">
            <w:pPr>
              <w:jc w:val="center"/>
              <w:rPr>
                <w:color w:val="000000"/>
                <w:szCs w:val="24"/>
              </w:rPr>
            </w:pPr>
            <w:r>
              <w:rPr>
                <w:color w:val="000000"/>
                <w:szCs w:val="24"/>
                <w:u w:val="single"/>
              </w:rPr>
              <w:lastRenderedPageBreak/>
              <w:t>FS-01-01 – FS-01-04. Įgyvendinamų privalomų matomumo ir informavimo priemonių apie ESFI veiklas išlaidų FS nustatymo tyrimas</w:t>
            </w:r>
          </w:p>
          <w:p w14:paraId="58DF9FE8" w14:textId="77777777" w:rsidR="00EE74D4" w:rsidRDefault="00EE74D4" w:rsidP="00427966">
            <w:pPr>
              <w:ind w:firstLine="142"/>
              <w:jc w:val="both"/>
              <w:rPr>
                <w:iCs/>
                <w:szCs w:val="24"/>
              </w:rPr>
            </w:pPr>
            <w:r>
              <w:rPr>
                <w:iCs/>
                <w:szCs w:val="24"/>
              </w:rPr>
              <w:lastRenderedPageBreak/>
              <w:t xml:space="preserve">Fiksuotąją sumą sudaro visų pirmojo </w:t>
            </w:r>
            <w:r>
              <w:rPr>
                <w:szCs w:val="24"/>
              </w:rPr>
              <w:t>privalomų</w:t>
            </w:r>
            <w:r>
              <w:rPr>
                <w:iCs/>
                <w:szCs w:val="24"/>
              </w:rPr>
              <w:t xml:space="preserve"> matomumo ir informavimo priemonių rinkinio išlaidos:</w:t>
            </w:r>
          </w:p>
          <w:p w14:paraId="1606749B" w14:textId="77777777" w:rsidR="00EE74D4" w:rsidRDefault="00EE74D4" w:rsidP="00427966">
            <w:pPr>
              <w:ind w:firstLine="142"/>
              <w:jc w:val="both"/>
              <w:rPr>
                <w:iCs/>
                <w:szCs w:val="24"/>
              </w:rPr>
            </w:pPr>
            <w:r>
              <w:rPr>
                <w:iCs/>
                <w:szCs w:val="24"/>
              </w:rPr>
              <w:t xml:space="preserve">a) </w:t>
            </w:r>
            <w:r>
              <w:rPr>
                <w:szCs w:val="24"/>
              </w:rPr>
              <w:t>projekto</w:t>
            </w:r>
            <w:r>
              <w:rPr>
                <w:iCs/>
                <w:szCs w:val="24"/>
              </w:rPr>
              <w:t xml:space="preserve"> vykdytojo oficialioje interneto svetainėje, jei tokia yra, ir socialinės žiniasklaidos interneto svetainėse paskelbta informacija; </w:t>
            </w:r>
          </w:p>
          <w:p w14:paraId="10B41250" w14:textId="77777777" w:rsidR="00EE74D4" w:rsidRDefault="00EE74D4" w:rsidP="00427966">
            <w:pPr>
              <w:ind w:firstLine="142"/>
              <w:jc w:val="both"/>
              <w:rPr>
                <w:iCs/>
                <w:szCs w:val="24"/>
              </w:rPr>
            </w:pPr>
            <w:r>
              <w:rPr>
                <w:iCs/>
                <w:szCs w:val="24"/>
              </w:rPr>
              <w:t xml:space="preserve">b) pakabintas bent vienas ne mažesnio kaip A3 formato spausdintas skelbimas (plakatas) arba </w:t>
            </w:r>
            <w:r>
              <w:rPr>
                <w:szCs w:val="24"/>
              </w:rPr>
              <w:t>elektroniniame</w:t>
            </w:r>
            <w:r>
              <w:rPr>
                <w:iCs/>
                <w:szCs w:val="24"/>
              </w:rPr>
              <w:t xml:space="preserve"> ekrane paskelbtas lygiavertis pranešimas;</w:t>
            </w:r>
          </w:p>
          <w:p w14:paraId="672F3CC9" w14:textId="77777777" w:rsidR="00EE74D4" w:rsidRDefault="00EE74D4" w:rsidP="00427966">
            <w:pPr>
              <w:ind w:firstLine="142"/>
              <w:jc w:val="both"/>
              <w:rPr>
                <w:i/>
                <w:color w:val="000000"/>
                <w:szCs w:val="24"/>
              </w:rPr>
            </w:pPr>
            <w:r>
              <w:rPr>
                <w:iCs/>
                <w:szCs w:val="24"/>
              </w:rPr>
              <w:t xml:space="preserve">c) visuomenei arba dalyviams skirtuose dokumentuose ir komunikacijos medžiagoje paskelbtas </w:t>
            </w:r>
            <w:r>
              <w:rPr>
                <w:szCs w:val="24"/>
              </w:rPr>
              <w:t>pareiškimas</w:t>
            </w:r>
            <w:r>
              <w:rPr>
                <w:iCs/>
                <w:szCs w:val="24"/>
              </w:rPr>
              <w:t xml:space="preserve"> apie gautą Europos Sąjungos parama.</w:t>
            </w:r>
          </w:p>
        </w:tc>
      </w:tr>
      <w:tr w:rsidR="00CD07A5" w14:paraId="28ED857D" w14:textId="77777777" w:rsidTr="00822F62">
        <w:tc>
          <w:tcPr>
            <w:tcW w:w="3109" w:type="dxa"/>
            <w:tcBorders>
              <w:top w:val="single" w:sz="8" w:space="0" w:color="auto"/>
              <w:left w:val="single" w:sz="8" w:space="0" w:color="auto"/>
              <w:bottom w:val="single" w:sz="8" w:space="0" w:color="auto"/>
              <w:right w:val="single" w:sz="8" w:space="0" w:color="auto"/>
            </w:tcBorders>
          </w:tcPr>
          <w:p w14:paraId="0357CDF3" w14:textId="77777777" w:rsidR="00EE74D4" w:rsidRDefault="00EE74D4" w:rsidP="00427966">
            <w:pPr>
              <w:rPr>
                <w:szCs w:val="24"/>
              </w:rPr>
            </w:pPr>
            <w:r>
              <w:rPr>
                <w:color w:val="000000"/>
                <w:szCs w:val="24"/>
              </w:rPr>
              <w:lastRenderedPageBreak/>
              <w:t xml:space="preserve">14.4. Privalomos projektų </w:t>
            </w:r>
            <w:r>
              <w:rPr>
                <w:szCs w:val="24"/>
              </w:rPr>
              <w:t>matomumo</w:t>
            </w:r>
            <w:r>
              <w:rPr>
                <w:color w:val="000000"/>
                <w:szCs w:val="24"/>
              </w:rPr>
              <w:t xml:space="preserve">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5A849661" w14:textId="77777777" w:rsidR="00EE74D4" w:rsidRDefault="00EE74D4" w:rsidP="00427966">
            <w:pPr>
              <w:jc w:val="center"/>
              <w:rPr>
                <w:szCs w:val="24"/>
              </w:rPr>
            </w:pPr>
            <w:r>
              <w:rPr>
                <w:color w:val="000000"/>
                <w:szCs w:val="24"/>
              </w:rPr>
              <w:t>FS-01-04</w:t>
            </w:r>
          </w:p>
        </w:tc>
        <w:tc>
          <w:tcPr>
            <w:tcW w:w="708" w:type="dxa"/>
            <w:tcBorders>
              <w:top w:val="single" w:sz="8" w:space="0" w:color="auto"/>
              <w:left w:val="single" w:sz="8" w:space="0" w:color="auto"/>
              <w:bottom w:val="single" w:sz="8" w:space="0" w:color="auto"/>
              <w:right w:val="single" w:sz="8" w:space="0" w:color="auto"/>
            </w:tcBorders>
          </w:tcPr>
          <w:p w14:paraId="2B89DC6F" w14:textId="49314CE6" w:rsidR="00EE74D4" w:rsidRDefault="00A737E5" w:rsidP="00427966">
            <w:pPr>
              <w:jc w:val="center"/>
              <w:rPr>
                <w:color w:val="000000"/>
                <w:szCs w:val="24"/>
                <w:lang w:eastAsia="lt-LT"/>
              </w:rPr>
            </w:pPr>
            <w:r>
              <w:rPr>
                <w:szCs w:val="24"/>
              </w:rPr>
              <w:t>0</w:t>
            </w:r>
            <w:r w:rsidRPr="00140989">
              <w:rPr>
                <w:strike/>
                <w:szCs w:val="24"/>
              </w:rPr>
              <w:t>2</w:t>
            </w:r>
            <w:r w:rsidRPr="00140989">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62DA55F4" w14:textId="77777777" w:rsidR="00EE74D4" w:rsidRDefault="00EE74D4" w:rsidP="00427966">
            <w:pPr>
              <w:ind w:firstLine="142"/>
              <w:jc w:val="both"/>
              <w:rPr>
                <w:iCs/>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ES fondų investicijų veiklas FS, antrojo rinkinio FS su PVM</w:t>
            </w:r>
          </w:p>
        </w:tc>
        <w:tc>
          <w:tcPr>
            <w:tcW w:w="3118" w:type="dxa"/>
            <w:tcBorders>
              <w:top w:val="single" w:sz="8" w:space="0" w:color="auto"/>
              <w:left w:val="single" w:sz="8" w:space="0" w:color="auto"/>
              <w:bottom w:val="single" w:sz="8" w:space="0" w:color="auto"/>
              <w:right w:val="single" w:sz="8" w:space="0" w:color="auto"/>
            </w:tcBorders>
          </w:tcPr>
          <w:p w14:paraId="6D20645A" w14:textId="77777777" w:rsidR="00EE74D4" w:rsidRDefault="00EE74D4" w:rsidP="00427966">
            <w:pPr>
              <w:jc w:val="center"/>
              <w:rPr>
                <w:color w:val="000000"/>
                <w:szCs w:val="24"/>
              </w:rPr>
            </w:pPr>
            <w:r>
              <w:rPr>
                <w:color w:val="000000"/>
                <w:szCs w:val="24"/>
                <w:u w:val="single"/>
              </w:rPr>
              <w:t>FS-01-01 – FS-01-04. Įgyvendinamų privalomų matomumo ir informavimo priemonių apie ESFI veiklas išlaidų FS nustatymo tyrimas</w:t>
            </w:r>
          </w:p>
          <w:p w14:paraId="0EB6D46C" w14:textId="77777777" w:rsidR="00EE74D4" w:rsidRDefault="00EE74D4" w:rsidP="00427966">
            <w:pPr>
              <w:ind w:firstLine="142"/>
              <w:jc w:val="both"/>
              <w:rPr>
                <w:iCs/>
                <w:color w:val="000000"/>
                <w:szCs w:val="24"/>
              </w:rPr>
            </w:pPr>
            <w:r>
              <w:rPr>
                <w:iCs/>
                <w:color w:val="000000"/>
                <w:szCs w:val="24"/>
              </w:rPr>
              <w:t>Fiksuotąją sumą sudaro visų antrojo privalomų matomumo ir informavimo priemonių rinkinio išlaidos, kai:</w:t>
            </w:r>
          </w:p>
          <w:p w14:paraId="16FFF34D" w14:textId="77777777" w:rsidR="00EE74D4" w:rsidRDefault="00EE74D4" w:rsidP="00427966">
            <w:pPr>
              <w:ind w:firstLine="142"/>
              <w:jc w:val="both"/>
              <w:rPr>
                <w:iCs/>
                <w:color w:val="000000"/>
                <w:szCs w:val="24"/>
              </w:rPr>
            </w:pPr>
            <w:r>
              <w:rPr>
                <w:iCs/>
                <w:color w:val="000000"/>
                <w:szCs w:val="24"/>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7425900F" w14:textId="77777777" w:rsidR="00EE74D4" w:rsidRDefault="00EE74D4" w:rsidP="00427966">
            <w:pPr>
              <w:ind w:firstLine="142"/>
              <w:jc w:val="both"/>
              <w:rPr>
                <w:iCs/>
                <w:color w:val="000000"/>
                <w:szCs w:val="24"/>
              </w:rPr>
            </w:pPr>
            <w:r>
              <w:rPr>
                <w:iCs/>
                <w:color w:val="000000"/>
                <w:szCs w:val="24"/>
              </w:rPr>
              <w:t xml:space="preserve">b) visuomenei arba dalyviams skirtuose dokumentuose ir komunikacijos medžiagoje, susijusioje </w:t>
            </w:r>
            <w:r>
              <w:rPr>
                <w:szCs w:val="24"/>
              </w:rPr>
              <w:t>su</w:t>
            </w:r>
            <w:r>
              <w:rPr>
                <w:iCs/>
                <w:color w:val="000000"/>
                <w:szCs w:val="24"/>
              </w:rPr>
              <w:t xml:space="preserve"> veiksmo įgyvendinimu, gerai matomas pareiškimas, apie gautą ES paramą;</w:t>
            </w:r>
          </w:p>
          <w:p w14:paraId="60148D67" w14:textId="77777777" w:rsidR="00EE74D4" w:rsidRDefault="00EE74D4" w:rsidP="00427966">
            <w:pPr>
              <w:ind w:firstLine="142"/>
              <w:jc w:val="both"/>
              <w:rPr>
                <w:i/>
                <w:color w:val="000000"/>
                <w:szCs w:val="24"/>
              </w:rPr>
            </w:pPr>
            <w:r>
              <w:rPr>
                <w:iCs/>
                <w:color w:val="000000"/>
                <w:szCs w:val="24"/>
              </w:rPr>
              <w:lastRenderedPageBreak/>
              <w:t xml:space="preserve">c) kai tik pradedami fiziškai vykdyti veiksmai, susiję su fizinėmis investicijomis, arba sumontuojama nupirkta įranga, visuomenei gerai </w:t>
            </w:r>
            <w:r>
              <w:rPr>
                <w:szCs w:val="24"/>
              </w:rPr>
              <w:t>matomoje</w:t>
            </w:r>
            <w:r>
              <w:rPr>
                <w:iCs/>
                <w:color w:val="000000"/>
                <w:szCs w:val="24"/>
              </w:rPr>
              <w:t xml:space="preserve"> vietoje iškabinamos ilgalaikės lentelės ar informacinės lentos su ES emblema.</w:t>
            </w:r>
          </w:p>
        </w:tc>
      </w:tr>
      <w:tr w:rsidR="00CD07A5" w14:paraId="603380E1" w14:textId="77777777" w:rsidTr="00822F62">
        <w:tc>
          <w:tcPr>
            <w:tcW w:w="3109" w:type="dxa"/>
            <w:tcBorders>
              <w:top w:val="single" w:sz="8" w:space="0" w:color="auto"/>
              <w:left w:val="single" w:sz="8" w:space="0" w:color="auto"/>
              <w:bottom w:val="single" w:sz="8" w:space="0" w:color="auto"/>
              <w:right w:val="single" w:sz="8" w:space="0" w:color="auto"/>
            </w:tcBorders>
          </w:tcPr>
          <w:p w14:paraId="78631925" w14:textId="77777777" w:rsidR="00EE74D4" w:rsidRDefault="00EE74D4" w:rsidP="00427966">
            <w:pPr>
              <w:rPr>
                <w:color w:val="000000"/>
                <w:szCs w:val="24"/>
              </w:rPr>
            </w:pPr>
            <w:r>
              <w:rPr>
                <w:color w:val="000000"/>
                <w:szCs w:val="24"/>
              </w:rPr>
              <w:lastRenderedPageBreak/>
              <w:t>14.5. Privalomos projektų matomumo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0CC885AC" w14:textId="77777777" w:rsidR="00EE74D4" w:rsidRDefault="00EE74D4" w:rsidP="00427966">
            <w:pPr>
              <w:jc w:val="center"/>
              <w:rPr>
                <w:color w:val="000000"/>
                <w:szCs w:val="24"/>
              </w:rPr>
            </w:pPr>
            <w:r>
              <w:rPr>
                <w:color w:val="000000"/>
                <w:szCs w:val="24"/>
              </w:rPr>
              <w:t>FS-01-03</w:t>
            </w:r>
          </w:p>
        </w:tc>
        <w:tc>
          <w:tcPr>
            <w:tcW w:w="708" w:type="dxa"/>
            <w:tcBorders>
              <w:top w:val="single" w:sz="8" w:space="0" w:color="auto"/>
              <w:left w:val="single" w:sz="8" w:space="0" w:color="auto"/>
              <w:bottom w:val="single" w:sz="8" w:space="0" w:color="auto"/>
              <w:right w:val="single" w:sz="8" w:space="0" w:color="auto"/>
            </w:tcBorders>
          </w:tcPr>
          <w:p w14:paraId="03BCDA40" w14:textId="035FE05C" w:rsidR="00EE74D4" w:rsidRDefault="00A737E5" w:rsidP="00427966">
            <w:pPr>
              <w:jc w:val="center"/>
              <w:rPr>
                <w:color w:val="000000"/>
                <w:szCs w:val="24"/>
                <w:lang w:eastAsia="lt-LT"/>
              </w:rPr>
            </w:pPr>
            <w:r>
              <w:rPr>
                <w:szCs w:val="24"/>
              </w:rPr>
              <w:t>0</w:t>
            </w:r>
            <w:r w:rsidRPr="00140989">
              <w:rPr>
                <w:strike/>
                <w:szCs w:val="24"/>
              </w:rPr>
              <w:t>2</w:t>
            </w:r>
            <w:r w:rsidRPr="00140989">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7F0D76A7" w14:textId="77777777" w:rsidR="00EE74D4" w:rsidRDefault="00EE74D4" w:rsidP="00427966">
            <w:pPr>
              <w:ind w:firstLine="142"/>
              <w:jc w:val="both"/>
              <w:rPr>
                <w:iCs/>
                <w:color w:val="000000"/>
                <w:szCs w:val="24"/>
              </w:rPr>
            </w:pPr>
            <w:r>
              <w:rPr>
                <w:szCs w:val="24"/>
              </w:rPr>
              <w:t>Įgyvendintų</w:t>
            </w:r>
            <w:r>
              <w:rPr>
                <w:color w:val="000000"/>
                <w:szCs w:val="24"/>
                <w:lang w:eastAsia="lt-LT"/>
              </w:rPr>
              <w:t xml:space="preserve"> privalomų matomumo ir informavimo priemonių apie ES fondų investicijų veiklas FS, antrojo rinkinio FS be PVM.</w:t>
            </w:r>
          </w:p>
        </w:tc>
        <w:tc>
          <w:tcPr>
            <w:tcW w:w="3118" w:type="dxa"/>
            <w:tcBorders>
              <w:top w:val="single" w:sz="8" w:space="0" w:color="auto"/>
              <w:left w:val="single" w:sz="8" w:space="0" w:color="auto"/>
              <w:bottom w:val="single" w:sz="8" w:space="0" w:color="auto"/>
              <w:right w:val="single" w:sz="8" w:space="0" w:color="auto"/>
            </w:tcBorders>
          </w:tcPr>
          <w:p w14:paraId="428DE7B8" w14:textId="77777777" w:rsidR="00EE74D4" w:rsidRDefault="00EE74D4" w:rsidP="00427966">
            <w:pPr>
              <w:jc w:val="center"/>
              <w:rPr>
                <w:color w:val="000000"/>
                <w:szCs w:val="24"/>
              </w:rPr>
            </w:pPr>
            <w:r>
              <w:rPr>
                <w:color w:val="000000"/>
                <w:szCs w:val="24"/>
                <w:u w:val="single"/>
              </w:rPr>
              <w:t>FS-01-01 – FS-01-04. Įgyvendinamų privalomų matomumo ir informavimo priemonių apie ESFI veiklas išlaidų FS nustatymo tyrimas</w:t>
            </w:r>
          </w:p>
          <w:p w14:paraId="58FF4BD8" w14:textId="77777777" w:rsidR="00EE74D4" w:rsidRDefault="00EE74D4" w:rsidP="00427966">
            <w:pPr>
              <w:ind w:firstLine="142"/>
              <w:jc w:val="both"/>
              <w:rPr>
                <w:iCs/>
                <w:color w:val="000000"/>
                <w:szCs w:val="24"/>
              </w:rPr>
            </w:pPr>
            <w:r>
              <w:rPr>
                <w:iCs/>
                <w:color w:val="000000"/>
                <w:szCs w:val="24"/>
              </w:rPr>
              <w:t xml:space="preserve">Fiksuotąją sumą sudaro visų antrojo privalomų matomumo ir informavimo </w:t>
            </w:r>
            <w:r>
              <w:rPr>
                <w:szCs w:val="24"/>
              </w:rPr>
              <w:t>priemonių</w:t>
            </w:r>
            <w:r>
              <w:rPr>
                <w:iCs/>
                <w:color w:val="000000"/>
                <w:szCs w:val="24"/>
              </w:rPr>
              <w:t xml:space="preserve"> rinkinio išlaidos, kai:</w:t>
            </w:r>
          </w:p>
          <w:p w14:paraId="550D7AAE" w14:textId="77777777" w:rsidR="00EE74D4" w:rsidRDefault="00EE74D4" w:rsidP="00427966">
            <w:pPr>
              <w:ind w:firstLine="142"/>
              <w:jc w:val="both"/>
              <w:rPr>
                <w:iCs/>
                <w:color w:val="000000"/>
                <w:szCs w:val="24"/>
              </w:rPr>
            </w:pPr>
            <w:r>
              <w:rPr>
                <w:iCs/>
                <w:color w:val="000000"/>
                <w:szCs w:val="24"/>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01283D8E" w14:textId="77777777" w:rsidR="00EE74D4" w:rsidRDefault="00EE74D4" w:rsidP="00427966">
            <w:pPr>
              <w:ind w:firstLine="142"/>
              <w:jc w:val="both"/>
              <w:rPr>
                <w:iCs/>
                <w:color w:val="000000"/>
                <w:szCs w:val="24"/>
              </w:rPr>
            </w:pPr>
            <w:r>
              <w:rPr>
                <w:iCs/>
                <w:color w:val="000000"/>
                <w:szCs w:val="24"/>
              </w:rPr>
              <w:t xml:space="preserve">b) visuomenei arba dalyviams skirtuose </w:t>
            </w:r>
            <w:r>
              <w:rPr>
                <w:szCs w:val="24"/>
              </w:rPr>
              <w:t>dokumentuose</w:t>
            </w:r>
            <w:r>
              <w:rPr>
                <w:iCs/>
                <w:color w:val="000000"/>
                <w:szCs w:val="24"/>
              </w:rPr>
              <w:t xml:space="preserve"> ir komunikacijos medžiagoje apie veiklos įgyvendinimą, gerai matomas pareiškimas apie gautą ES paramą;</w:t>
            </w:r>
          </w:p>
          <w:p w14:paraId="7FCE29FA" w14:textId="77777777" w:rsidR="00EE74D4" w:rsidRDefault="00EE74D4" w:rsidP="00427966">
            <w:pPr>
              <w:ind w:firstLine="142"/>
              <w:jc w:val="both"/>
              <w:rPr>
                <w:i/>
                <w:color w:val="000000"/>
                <w:szCs w:val="24"/>
              </w:rPr>
            </w:pPr>
            <w:r>
              <w:rPr>
                <w:iCs/>
                <w:color w:val="000000"/>
                <w:szCs w:val="24"/>
              </w:rPr>
              <w:t xml:space="preserve">c) pradėjus veiklą, susijusią su </w:t>
            </w:r>
            <w:r>
              <w:rPr>
                <w:szCs w:val="24"/>
              </w:rPr>
              <w:t>fizinėmis</w:t>
            </w:r>
            <w:r>
              <w:rPr>
                <w:iCs/>
                <w:color w:val="000000"/>
                <w:szCs w:val="24"/>
              </w:rPr>
              <w:t xml:space="preserve"> investicijomis, arba sumontavus nupirktą įrangą, visuomenei gerai matomoje vietoje pakabinamos ilgalaikės lentelės ar informacinės lentos su ES emblema.</w:t>
            </w:r>
          </w:p>
        </w:tc>
      </w:tr>
      <w:tr w:rsidR="00CD07A5" w14:paraId="46AA207A" w14:textId="77777777" w:rsidTr="00822F62">
        <w:tc>
          <w:tcPr>
            <w:tcW w:w="3109" w:type="dxa"/>
            <w:tcBorders>
              <w:top w:val="single" w:sz="8" w:space="0" w:color="auto"/>
              <w:left w:val="single" w:sz="8" w:space="0" w:color="auto"/>
              <w:bottom w:val="single" w:sz="8" w:space="0" w:color="auto"/>
              <w:right w:val="single" w:sz="8" w:space="0" w:color="auto"/>
            </w:tcBorders>
          </w:tcPr>
          <w:p w14:paraId="1EF9666A" w14:textId="77777777" w:rsidR="00EE74D4" w:rsidRPr="00822F62" w:rsidRDefault="00EE74D4" w:rsidP="00427966">
            <w:pPr>
              <w:rPr>
                <w:strike/>
                <w:szCs w:val="24"/>
              </w:rPr>
            </w:pPr>
            <w:r w:rsidRPr="00822F62">
              <w:rPr>
                <w:strike/>
                <w:szCs w:val="24"/>
              </w:rPr>
              <w:t xml:space="preserve">14.6. Projektą vykdančio personalo išlaidos už kasmetines atostogas, kurios apskaičiuojamos nuo tinkamų finansuoti faktiškai patirtų vykdančiojo personalo darbo užmokesčio išlaidų arba tiesiog projektą vykdančio </w:t>
            </w:r>
            <w:r w:rsidRPr="00822F62">
              <w:rPr>
                <w:strike/>
                <w:szCs w:val="24"/>
              </w:rPr>
              <w:lastRenderedPageBreak/>
              <w:t>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60DABBE2" w14:textId="77777777" w:rsidR="00EE74D4" w:rsidRPr="00822F62" w:rsidRDefault="00EE74D4" w:rsidP="00427966">
            <w:pPr>
              <w:ind w:firstLine="142"/>
              <w:jc w:val="center"/>
              <w:rPr>
                <w:strike/>
                <w:szCs w:val="24"/>
              </w:rPr>
            </w:pPr>
            <w:r w:rsidRPr="00822F62">
              <w:rPr>
                <w:strike/>
                <w:szCs w:val="24"/>
              </w:rPr>
              <w:lastRenderedPageBreak/>
              <w:t>FN-05-01</w:t>
            </w:r>
          </w:p>
        </w:tc>
        <w:tc>
          <w:tcPr>
            <w:tcW w:w="708" w:type="dxa"/>
            <w:tcBorders>
              <w:top w:val="single" w:sz="8" w:space="0" w:color="auto"/>
              <w:left w:val="single" w:sz="8" w:space="0" w:color="auto"/>
              <w:bottom w:val="single" w:sz="8" w:space="0" w:color="auto"/>
              <w:right w:val="single" w:sz="8" w:space="0" w:color="auto"/>
            </w:tcBorders>
          </w:tcPr>
          <w:p w14:paraId="4266C2F7"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7B524CDA" w14:textId="77777777" w:rsidR="00EE74D4" w:rsidRPr="00822F62" w:rsidRDefault="00EE74D4" w:rsidP="00427966">
            <w:pPr>
              <w:ind w:firstLine="142"/>
              <w:jc w:val="both"/>
              <w:rPr>
                <w:strike/>
                <w:szCs w:val="24"/>
              </w:rPr>
            </w:pPr>
            <w:r w:rsidRPr="00822F62">
              <w:rPr>
                <w:strike/>
                <w:szCs w:val="24"/>
              </w:rPr>
              <w:t xml:space="preserve">Fiksuotoji norma, taikoma, kai priklauso 20 d. d. (jeigu dirbama 5 d. d. per savaitę) arba 24 d. d. (jeigu dirbama 6 d. d. per </w:t>
            </w:r>
            <w:r w:rsidRPr="00822F62">
              <w:rPr>
                <w:strike/>
                <w:szCs w:val="24"/>
              </w:rPr>
              <w:lastRenderedPageBreak/>
              <w:t>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1F5B4035" w14:textId="77777777" w:rsidR="00EE74D4" w:rsidRPr="00822F62" w:rsidRDefault="00EE74D4" w:rsidP="00427966">
            <w:pPr>
              <w:ind w:firstLine="142"/>
              <w:jc w:val="center"/>
              <w:rPr>
                <w:i/>
                <w:iCs/>
                <w:strike/>
                <w:szCs w:val="24"/>
              </w:rPr>
            </w:pPr>
            <w:r w:rsidRPr="00822F62">
              <w:rPr>
                <w:strike/>
                <w:color w:val="000000"/>
                <w:szCs w:val="24"/>
                <w:u w:val="single"/>
              </w:rPr>
              <w:lastRenderedPageBreak/>
              <w:t>FN-05-01 – FN-05-07. Kasmetinių atostogų išmokų FN nustatymo tyrimas</w:t>
            </w:r>
          </w:p>
        </w:tc>
      </w:tr>
      <w:tr w:rsidR="00CD07A5" w14:paraId="06D204C6" w14:textId="77777777" w:rsidTr="00822F62">
        <w:tc>
          <w:tcPr>
            <w:tcW w:w="3109" w:type="dxa"/>
            <w:tcBorders>
              <w:top w:val="single" w:sz="8" w:space="0" w:color="auto"/>
              <w:left w:val="single" w:sz="8" w:space="0" w:color="auto"/>
              <w:bottom w:val="single" w:sz="8" w:space="0" w:color="auto"/>
              <w:right w:val="single" w:sz="8" w:space="0" w:color="auto"/>
            </w:tcBorders>
          </w:tcPr>
          <w:p w14:paraId="40EB1454" w14:textId="77777777" w:rsidR="00EE74D4" w:rsidRPr="00822F62" w:rsidRDefault="00EE74D4" w:rsidP="00427966">
            <w:pPr>
              <w:rPr>
                <w:strike/>
                <w:szCs w:val="24"/>
              </w:rPr>
            </w:pPr>
            <w:r w:rsidRPr="00822F62">
              <w:rPr>
                <w:strike/>
                <w:szCs w:val="24"/>
              </w:rPr>
              <w:t>14.7.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1577A705" w14:textId="77777777" w:rsidR="00EE74D4" w:rsidRPr="00822F62" w:rsidRDefault="00EE74D4" w:rsidP="00427966">
            <w:pPr>
              <w:ind w:firstLine="142"/>
              <w:jc w:val="center"/>
              <w:rPr>
                <w:strike/>
                <w:szCs w:val="24"/>
              </w:rPr>
            </w:pPr>
            <w:r w:rsidRPr="00822F62">
              <w:rPr>
                <w:strike/>
                <w:szCs w:val="24"/>
              </w:rPr>
              <w:t>FN-05-02</w:t>
            </w:r>
          </w:p>
        </w:tc>
        <w:tc>
          <w:tcPr>
            <w:tcW w:w="708" w:type="dxa"/>
            <w:tcBorders>
              <w:top w:val="single" w:sz="8" w:space="0" w:color="auto"/>
              <w:left w:val="single" w:sz="8" w:space="0" w:color="auto"/>
              <w:bottom w:val="single" w:sz="8" w:space="0" w:color="auto"/>
              <w:right w:val="single" w:sz="8" w:space="0" w:color="auto"/>
            </w:tcBorders>
          </w:tcPr>
          <w:p w14:paraId="2A4F2FC1"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3AE7B6C9" w14:textId="77777777" w:rsidR="00EE74D4" w:rsidRPr="00822F62" w:rsidRDefault="00EE74D4" w:rsidP="00427966">
            <w:pPr>
              <w:ind w:firstLine="142"/>
              <w:jc w:val="both"/>
              <w:rPr>
                <w:strike/>
                <w:szCs w:val="24"/>
              </w:rPr>
            </w:pPr>
            <w:r w:rsidRPr="00822F62">
              <w:rPr>
                <w:strike/>
                <w:szCs w:val="24"/>
              </w:rPr>
              <w:t>Fiksuotoji norma, taikoma, kai priklauso nuo 21 iki 25 d. d. (jeigu dirbama 5 d. d. per savaitę) arba nuo 25 iki 30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665C1548" w14:textId="77777777" w:rsidR="00EE74D4" w:rsidRPr="00822F62" w:rsidRDefault="00EE74D4" w:rsidP="00427966">
            <w:pPr>
              <w:ind w:firstLine="142"/>
              <w:jc w:val="center"/>
              <w:rPr>
                <w:i/>
                <w:iCs/>
                <w:strike/>
                <w:szCs w:val="24"/>
              </w:rPr>
            </w:pPr>
            <w:r w:rsidRPr="00822F62">
              <w:rPr>
                <w:strike/>
                <w:color w:val="000000"/>
                <w:szCs w:val="24"/>
                <w:u w:val="single"/>
              </w:rPr>
              <w:t>FN-05-01 – FN-05-07. Kasmetinių atostogų išmokų FN nustatymo tyrimas</w:t>
            </w:r>
          </w:p>
        </w:tc>
      </w:tr>
      <w:tr w:rsidR="00CD07A5" w14:paraId="494D37F1" w14:textId="77777777" w:rsidTr="00822F62">
        <w:tc>
          <w:tcPr>
            <w:tcW w:w="3109" w:type="dxa"/>
            <w:tcBorders>
              <w:top w:val="single" w:sz="8" w:space="0" w:color="auto"/>
              <w:left w:val="single" w:sz="8" w:space="0" w:color="auto"/>
              <w:bottom w:val="single" w:sz="8" w:space="0" w:color="auto"/>
              <w:right w:val="single" w:sz="8" w:space="0" w:color="auto"/>
            </w:tcBorders>
          </w:tcPr>
          <w:p w14:paraId="7F603BE7" w14:textId="77777777" w:rsidR="00EE74D4" w:rsidRPr="00822F62" w:rsidRDefault="00EE74D4" w:rsidP="00427966">
            <w:pPr>
              <w:rPr>
                <w:strike/>
                <w:szCs w:val="24"/>
              </w:rPr>
            </w:pPr>
            <w:r w:rsidRPr="00822F62">
              <w:rPr>
                <w:strike/>
                <w:szCs w:val="24"/>
              </w:rPr>
              <w:t>14.8.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29E6F9A4" w14:textId="77777777" w:rsidR="00EE74D4" w:rsidRPr="00822F62" w:rsidRDefault="00EE74D4" w:rsidP="00427966">
            <w:pPr>
              <w:ind w:firstLine="142"/>
              <w:jc w:val="center"/>
              <w:rPr>
                <w:strike/>
                <w:szCs w:val="24"/>
              </w:rPr>
            </w:pPr>
            <w:r w:rsidRPr="00822F62">
              <w:rPr>
                <w:strike/>
                <w:szCs w:val="24"/>
              </w:rPr>
              <w:t>FN-05-03</w:t>
            </w:r>
          </w:p>
        </w:tc>
        <w:tc>
          <w:tcPr>
            <w:tcW w:w="708" w:type="dxa"/>
            <w:tcBorders>
              <w:top w:val="single" w:sz="8" w:space="0" w:color="auto"/>
              <w:left w:val="single" w:sz="8" w:space="0" w:color="auto"/>
              <w:bottom w:val="single" w:sz="8" w:space="0" w:color="auto"/>
              <w:right w:val="single" w:sz="8" w:space="0" w:color="auto"/>
            </w:tcBorders>
          </w:tcPr>
          <w:p w14:paraId="1D03D1A3"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368E1183" w14:textId="77777777" w:rsidR="00EE74D4" w:rsidRPr="00822F62" w:rsidRDefault="00EE74D4" w:rsidP="00427966">
            <w:pPr>
              <w:ind w:firstLine="142"/>
              <w:jc w:val="both"/>
              <w:rPr>
                <w:strike/>
                <w:szCs w:val="24"/>
              </w:rPr>
            </w:pPr>
            <w:r w:rsidRPr="00822F62">
              <w:rPr>
                <w:strike/>
                <w:szCs w:val="24"/>
              </w:rPr>
              <w:t>Fiksuotoji norma, taikoma, kai priklauso nuo 26 iki 30 d. d. (jeigu dirbama 5 d. d. per savaitę) arba nuo 31 iki 36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0342AA62" w14:textId="77777777" w:rsidR="00EE74D4" w:rsidRPr="00822F62" w:rsidRDefault="00EE74D4" w:rsidP="00427966">
            <w:pPr>
              <w:ind w:firstLine="142"/>
              <w:jc w:val="center"/>
              <w:rPr>
                <w:strike/>
                <w:szCs w:val="24"/>
              </w:rPr>
            </w:pPr>
            <w:r w:rsidRPr="00822F62">
              <w:rPr>
                <w:strike/>
                <w:color w:val="000000"/>
                <w:szCs w:val="24"/>
                <w:u w:val="single"/>
              </w:rPr>
              <w:t>FN-05-01 – FN-05-07. Kasmetinių atostogų išmokų FN nustatymo tyrimas</w:t>
            </w:r>
          </w:p>
        </w:tc>
      </w:tr>
      <w:tr w:rsidR="00CD07A5" w14:paraId="1935A050" w14:textId="77777777" w:rsidTr="00822F62">
        <w:tc>
          <w:tcPr>
            <w:tcW w:w="3109" w:type="dxa"/>
            <w:tcBorders>
              <w:top w:val="single" w:sz="8" w:space="0" w:color="auto"/>
              <w:left w:val="single" w:sz="8" w:space="0" w:color="auto"/>
              <w:bottom w:val="single" w:sz="8" w:space="0" w:color="auto"/>
              <w:right w:val="single" w:sz="8" w:space="0" w:color="auto"/>
            </w:tcBorders>
          </w:tcPr>
          <w:p w14:paraId="1EBCC267" w14:textId="77777777" w:rsidR="00EE74D4" w:rsidRPr="00822F62" w:rsidRDefault="00EE74D4" w:rsidP="00427966">
            <w:pPr>
              <w:rPr>
                <w:strike/>
                <w:szCs w:val="24"/>
              </w:rPr>
            </w:pPr>
            <w:r w:rsidRPr="00822F62">
              <w:rPr>
                <w:strike/>
                <w:szCs w:val="24"/>
              </w:rPr>
              <w:t>14.9.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4A7AB206" w14:textId="77777777" w:rsidR="00EE74D4" w:rsidRPr="00822F62" w:rsidRDefault="00EE74D4" w:rsidP="00427966">
            <w:pPr>
              <w:ind w:firstLine="142"/>
              <w:jc w:val="center"/>
              <w:rPr>
                <w:strike/>
                <w:szCs w:val="24"/>
              </w:rPr>
            </w:pPr>
            <w:r w:rsidRPr="00822F62">
              <w:rPr>
                <w:strike/>
                <w:szCs w:val="24"/>
              </w:rPr>
              <w:t>FN-05-04</w:t>
            </w:r>
          </w:p>
        </w:tc>
        <w:tc>
          <w:tcPr>
            <w:tcW w:w="708" w:type="dxa"/>
            <w:tcBorders>
              <w:top w:val="single" w:sz="8" w:space="0" w:color="auto"/>
              <w:left w:val="single" w:sz="8" w:space="0" w:color="auto"/>
              <w:bottom w:val="single" w:sz="8" w:space="0" w:color="auto"/>
              <w:right w:val="single" w:sz="8" w:space="0" w:color="auto"/>
            </w:tcBorders>
          </w:tcPr>
          <w:p w14:paraId="600C6A64"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575A72D7" w14:textId="77777777" w:rsidR="00EE74D4" w:rsidRPr="00822F62" w:rsidRDefault="00EE74D4" w:rsidP="00427966">
            <w:pPr>
              <w:ind w:firstLine="142"/>
              <w:jc w:val="both"/>
              <w:rPr>
                <w:strike/>
                <w:szCs w:val="24"/>
              </w:rPr>
            </w:pPr>
            <w:r w:rsidRPr="00822F62">
              <w:rPr>
                <w:strike/>
                <w:szCs w:val="24"/>
              </w:rPr>
              <w:t>Fiksuotoji norma, taikoma, kai priklauso nuo 31 iki 36 d. d. (jeigu dirbama 5 d. d. per savaitę) arba nuo 37 iki 42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43F48D41" w14:textId="77777777" w:rsidR="00EE74D4" w:rsidRPr="00822F62" w:rsidRDefault="00EE74D4" w:rsidP="00427966">
            <w:pPr>
              <w:ind w:firstLine="142"/>
              <w:jc w:val="center"/>
              <w:rPr>
                <w:strike/>
                <w:szCs w:val="24"/>
              </w:rPr>
            </w:pPr>
            <w:r w:rsidRPr="00822F62">
              <w:rPr>
                <w:strike/>
                <w:color w:val="000000"/>
                <w:szCs w:val="24"/>
                <w:u w:val="single"/>
              </w:rPr>
              <w:t>FN-05-01 – FN-05-07. Kasmetinių atostogų išmokų FN nustatymo tyrimas</w:t>
            </w:r>
          </w:p>
        </w:tc>
      </w:tr>
      <w:tr w:rsidR="00CD07A5" w14:paraId="75EE8D69" w14:textId="77777777" w:rsidTr="00822F62">
        <w:tc>
          <w:tcPr>
            <w:tcW w:w="3109" w:type="dxa"/>
            <w:tcBorders>
              <w:top w:val="single" w:sz="8" w:space="0" w:color="auto"/>
              <w:left w:val="single" w:sz="8" w:space="0" w:color="auto"/>
              <w:bottom w:val="single" w:sz="8" w:space="0" w:color="auto"/>
              <w:right w:val="single" w:sz="8" w:space="0" w:color="auto"/>
            </w:tcBorders>
          </w:tcPr>
          <w:p w14:paraId="6563149F" w14:textId="77777777" w:rsidR="00EE74D4" w:rsidRPr="00822F62" w:rsidRDefault="00EE74D4" w:rsidP="00427966">
            <w:pPr>
              <w:rPr>
                <w:strike/>
                <w:szCs w:val="24"/>
              </w:rPr>
            </w:pPr>
            <w:r w:rsidRPr="00822F62">
              <w:rPr>
                <w:strike/>
                <w:szCs w:val="24"/>
              </w:rPr>
              <w:t>14.10.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251B162B" w14:textId="77777777" w:rsidR="00EE74D4" w:rsidRPr="00822F62" w:rsidRDefault="00EE74D4" w:rsidP="00427966">
            <w:pPr>
              <w:ind w:firstLine="142"/>
              <w:jc w:val="center"/>
              <w:rPr>
                <w:strike/>
                <w:szCs w:val="24"/>
              </w:rPr>
            </w:pPr>
            <w:r w:rsidRPr="00822F62">
              <w:rPr>
                <w:strike/>
                <w:szCs w:val="24"/>
              </w:rPr>
              <w:t>FN-05-05</w:t>
            </w:r>
          </w:p>
        </w:tc>
        <w:tc>
          <w:tcPr>
            <w:tcW w:w="708" w:type="dxa"/>
            <w:tcBorders>
              <w:top w:val="single" w:sz="8" w:space="0" w:color="auto"/>
              <w:left w:val="single" w:sz="8" w:space="0" w:color="auto"/>
              <w:bottom w:val="single" w:sz="8" w:space="0" w:color="auto"/>
              <w:right w:val="single" w:sz="8" w:space="0" w:color="auto"/>
            </w:tcBorders>
          </w:tcPr>
          <w:p w14:paraId="1B2E3382"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567ACB6E" w14:textId="77777777" w:rsidR="00EE74D4" w:rsidRPr="00822F62" w:rsidRDefault="00EE74D4" w:rsidP="00427966">
            <w:pPr>
              <w:ind w:firstLine="142"/>
              <w:jc w:val="both"/>
              <w:rPr>
                <w:strike/>
                <w:szCs w:val="24"/>
              </w:rPr>
            </w:pPr>
            <w:r w:rsidRPr="00822F62">
              <w:rPr>
                <w:strike/>
                <w:szCs w:val="24"/>
              </w:rPr>
              <w:t>Fiksuotoji norma, taikoma, kai priklauso nuo 37 iki 39 d. d. (jeigu dirbama 5 d. d. per savaitę) arba nuo 43 iki 47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3FDB268F" w14:textId="77777777" w:rsidR="00EE74D4" w:rsidRPr="00822F62" w:rsidRDefault="00EE74D4" w:rsidP="00427966">
            <w:pPr>
              <w:ind w:firstLine="142"/>
              <w:jc w:val="center"/>
              <w:rPr>
                <w:strike/>
                <w:color w:val="000000"/>
                <w:szCs w:val="24"/>
              </w:rPr>
            </w:pPr>
            <w:r w:rsidRPr="00822F62">
              <w:rPr>
                <w:strike/>
                <w:color w:val="000000"/>
                <w:szCs w:val="24"/>
                <w:u w:val="single"/>
              </w:rPr>
              <w:t>FN-05-01 – FN-05-07. Kasmetinių atostogų išmokų FN nustatymo tyrimas</w:t>
            </w:r>
          </w:p>
        </w:tc>
      </w:tr>
      <w:tr w:rsidR="00CD07A5" w14:paraId="2A3C946E" w14:textId="77777777" w:rsidTr="00822F62">
        <w:tc>
          <w:tcPr>
            <w:tcW w:w="3109" w:type="dxa"/>
            <w:tcBorders>
              <w:top w:val="single" w:sz="8" w:space="0" w:color="auto"/>
              <w:left w:val="single" w:sz="8" w:space="0" w:color="auto"/>
              <w:bottom w:val="single" w:sz="8" w:space="0" w:color="auto"/>
              <w:right w:val="single" w:sz="8" w:space="0" w:color="auto"/>
            </w:tcBorders>
          </w:tcPr>
          <w:p w14:paraId="545642EB" w14:textId="77777777" w:rsidR="00EE74D4" w:rsidRPr="00822F62" w:rsidRDefault="00EE74D4" w:rsidP="00427966">
            <w:pPr>
              <w:rPr>
                <w:strike/>
                <w:szCs w:val="24"/>
              </w:rPr>
            </w:pPr>
            <w:r w:rsidRPr="00822F62">
              <w:rPr>
                <w:strike/>
                <w:szCs w:val="24"/>
              </w:rPr>
              <w:t xml:space="preserve">14.11. Projektą vykdančio personalo išlaidos už kasmetines atostogas, kurios apskaičiuojamos nuo tinkamų finansuoti faktiškai patirtų vykdančiojo personalo darbo užmokesčio išlaidų arba tiesiog projektą vykdančio </w:t>
            </w:r>
            <w:r w:rsidRPr="00822F62">
              <w:rPr>
                <w:strike/>
                <w:szCs w:val="24"/>
              </w:rPr>
              <w:lastRenderedPageBreak/>
              <w:t>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0C520BAA" w14:textId="77777777" w:rsidR="00EE74D4" w:rsidRPr="00822F62" w:rsidRDefault="00EE74D4" w:rsidP="00427966">
            <w:pPr>
              <w:ind w:firstLine="142"/>
              <w:jc w:val="center"/>
              <w:rPr>
                <w:strike/>
                <w:szCs w:val="24"/>
              </w:rPr>
            </w:pPr>
            <w:r w:rsidRPr="00822F62">
              <w:rPr>
                <w:strike/>
                <w:szCs w:val="24"/>
              </w:rPr>
              <w:lastRenderedPageBreak/>
              <w:t>FN-05-06</w:t>
            </w:r>
          </w:p>
        </w:tc>
        <w:tc>
          <w:tcPr>
            <w:tcW w:w="708" w:type="dxa"/>
            <w:tcBorders>
              <w:top w:val="single" w:sz="8" w:space="0" w:color="auto"/>
              <w:left w:val="single" w:sz="8" w:space="0" w:color="auto"/>
              <w:bottom w:val="single" w:sz="8" w:space="0" w:color="auto"/>
              <w:right w:val="single" w:sz="8" w:space="0" w:color="auto"/>
            </w:tcBorders>
          </w:tcPr>
          <w:p w14:paraId="42962783"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1576B39F" w14:textId="77777777" w:rsidR="00EE74D4" w:rsidRPr="00822F62" w:rsidRDefault="00EE74D4" w:rsidP="00427966">
            <w:pPr>
              <w:ind w:firstLine="142"/>
              <w:jc w:val="both"/>
              <w:rPr>
                <w:strike/>
                <w:szCs w:val="24"/>
              </w:rPr>
            </w:pPr>
            <w:r w:rsidRPr="00822F62">
              <w:rPr>
                <w:strike/>
                <w:szCs w:val="24"/>
              </w:rPr>
              <w:t>Fiksuotoji norma, taikoma, kai priklauso 40 d. d. (jeigu dirbama 5 d. d. per savaitę) arba 48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05D584E0" w14:textId="77777777" w:rsidR="00EE74D4" w:rsidRPr="00822F62" w:rsidRDefault="00EE74D4" w:rsidP="00427966">
            <w:pPr>
              <w:ind w:firstLine="142"/>
              <w:jc w:val="center"/>
              <w:rPr>
                <w:strike/>
                <w:color w:val="000000"/>
                <w:szCs w:val="24"/>
              </w:rPr>
            </w:pPr>
            <w:r w:rsidRPr="00822F62">
              <w:rPr>
                <w:strike/>
                <w:color w:val="000000"/>
                <w:szCs w:val="24"/>
                <w:u w:val="single"/>
              </w:rPr>
              <w:t>FN-05-01 – FN-05-07. Kasmetinių atostogų išmokų FN nustatymo tyrimas</w:t>
            </w:r>
          </w:p>
        </w:tc>
      </w:tr>
      <w:tr w:rsidR="00CD07A5" w14:paraId="700665ED" w14:textId="77777777" w:rsidTr="00822F62">
        <w:tc>
          <w:tcPr>
            <w:tcW w:w="3109" w:type="dxa"/>
            <w:tcBorders>
              <w:top w:val="single" w:sz="8" w:space="0" w:color="auto"/>
              <w:left w:val="single" w:sz="8" w:space="0" w:color="auto"/>
              <w:bottom w:val="single" w:sz="8" w:space="0" w:color="auto"/>
              <w:right w:val="single" w:sz="8" w:space="0" w:color="auto"/>
            </w:tcBorders>
          </w:tcPr>
          <w:p w14:paraId="0CA58F70" w14:textId="77777777" w:rsidR="00EE74D4" w:rsidRPr="00822F62" w:rsidRDefault="00EE74D4" w:rsidP="00427966">
            <w:pPr>
              <w:rPr>
                <w:strike/>
                <w:szCs w:val="24"/>
              </w:rPr>
            </w:pPr>
            <w:r w:rsidRPr="00822F62">
              <w:rPr>
                <w:strike/>
                <w:szCs w:val="24"/>
              </w:rPr>
              <w:t>14.12.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467C8172" w14:textId="77777777" w:rsidR="00EE74D4" w:rsidRPr="00822F62" w:rsidRDefault="00EE74D4" w:rsidP="00427966">
            <w:pPr>
              <w:ind w:firstLine="142"/>
              <w:jc w:val="center"/>
              <w:rPr>
                <w:strike/>
                <w:szCs w:val="24"/>
              </w:rPr>
            </w:pPr>
            <w:r w:rsidRPr="00822F62">
              <w:rPr>
                <w:strike/>
                <w:szCs w:val="24"/>
              </w:rPr>
              <w:t>FN-05-07</w:t>
            </w:r>
          </w:p>
        </w:tc>
        <w:tc>
          <w:tcPr>
            <w:tcW w:w="708" w:type="dxa"/>
            <w:tcBorders>
              <w:top w:val="single" w:sz="8" w:space="0" w:color="auto"/>
              <w:left w:val="single" w:sz="8" w:space="0" w:color="auto"/>
              <w:bottom w:val="single" w:sz="8" w:space="0" w:color="auto"/>
              <w:right w:val="single" w:sz="8" w:space="0" w:color="auto"/>
            </w:tcBorders>
          </w:tcPr>
          <w:p w14:paraId="317ED060" w14:textId="77777777" w:rsidR="00EE74D4" w:rsidRPr="00822F62" w:rsidRDefault="00EE74D4" w:rsidP="0042796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690CC42C" w14:textId="77777777" w:rsidR="00EE74D4" w:rsidRPr="00822F62" w:rsidRDefault="00EE74D4" w:rsidP="00427966">
            <w:pPr>
              <w:ind w:firstLine="142"/>
              <w:jc w:val="both"/>
              <w:rPr>
                <w:strike/>
                <w:szCs w:val="24"/>
              </w:rPr>
            </w:pPr>
            <w:r w:rsidRPr="00822F62">
              <w:rPr>
                <w:strike/>
                <w:szCs w:val="24"/>
              </w:rPr>
              <w:t>Fiksuotoji norma, taikoma, kai priklauso nuo 41 d. d. (jeigu dirbama 5 d. d. per savaitę) arba nuo 49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29CEA8E6" w14:textId="477D5056" w:rsidR="00EE74D4" w:rsidRPr="00822F62" w:rsidRDefault="00EE74D4" w:rsidP="00427966">
            <w:pPr>
              <w:ind w:firstLine="142"/>
              <w:jc w:val="center"/>
              <w:rPr>
                <w:strike/>
                <w:color w:val="000000"/>
                <w:szCs w:val="24"/>
              </w:rPr>
            </w:pPr>
            <w:r w:rsidRPr="00822F62">
              <w:rPr>
                <w:strike/>
                <w:color w:val="000000"/>
                <w:szCs w:val="24"/>
                <w:u w:val="single"/>
              </w:rPr>
              <w:t>FN-05-01 – FN-05-07. Kasmetinių atostogų išmokų FN nustatymo tyrimas</w:t>
            </w:r>
            <w:r w:rsidR="005274AC" w:rsidRPr="00A737E5">
              <w:rPr>
                <w:color w:val="000000"/>
                <w:szCs w:val="24"/>
              </w:rPr>
              <w:t>“</w:t>
            </w:r>
          </w:p>
        </w:tc>
      </w:tr>
    </w:tbl>
    <w:p w14:paraId="41D00775" w14:textId="33D6257A" w:rsidR="005106DF" w:rsidRDefault="004A16ED" w:rsidP="00EE74D4">
      <w:pPr>
        <w:spacing w:line="276" w:lineRule="auto"/>
        <w:jc w:val="both"/>
        <w:rPr>
          <w:color w:val="000000"/>
          <w:szCs w:val="24"/>
          <w:lang w:eastAsia="lt-LT"/>
        </w:rPr>
      </w:pPr>
      <w:r>
        <w:rPr>
          <w:color w:val="000000"/>
          <w:szCs w:val="24"/>
          <w:lang w:eastAsia="lt-LT"/>
        </w:rPr>
        <w:t xml:space="preserve">           </w:t>
      </w:r>
      <w:r w:rsidR="00437D8C" w:rsidRPr="00833AA0">
        <w:rPr>
          <w:color w:val="000000"/>
          <w:szCs w:val="24"/>
          <w:lang w:eastAsia="lt-LT"/>
        </w:rPr>
        <w:t>13</w:t>
      </w:r>
      <w:r w:rsidR="002250CB" w:rsidRPr="002250CB">
        <w:rPr>
          <w:color w:val="000000"/>
          <w:szCs w:val="24"/>
          <w:lang w:eastAsia="lt-LT"/>
        </w:rPr>
        <w:t>.</w:t>
      </w:r>
      <w:r w:rsidR="001F2D78">
        <w:rPr>
          <w:color w:val="000000"/>
          <w:szCs w:val="24"/>
          <w:lang w:eastAsia="lt-LT"/>
        </w:rPr>
        <w:t xml:space="preserve">  </w:t>
      </w:r>
      <w:r w:rsidR="002250CB" w:rsidRPr="002250CB">
        <w:rPr>
          <w:color w:val="000000"/>
          <w:szCs w:val="24"/>
          <w:lang w:eastAsia="lt-LT"/>
        </w:rPr>
        <w:t xml:space="preserve"> Pakeičiu 1 priedo lentelę ir ją išdėstau taip:</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536"/>
        <w:gridCol w:w="4252"/>
      </w:tblGrid>
      <w:tr w:rsidR="00833AA0" w14:paraId="2D523DDF" w14:textId="77777777" w:rsidTr="00313290">
        <w:trPr>
          <w:trHeight w:val="576"/>
        </w:trPr>
        <w:tc>
          <w:tcPr>
            <w:tcW w:w="1277" w:type="dxa"/>
          </w:tcPr>
          <w:p w14:paraId="0F400D47" w14:textId="58663256" w:rsidR="005106DF" w:rsidRPr="00F53A7F" w:rsidRDefault="00A54528" w:rsidP="00685162">
            <w:pPr>
              <w:jc w:val="center"/>
              <w:rPr>
                <w:bCs/>
                <w:sz w:val="22"/>
                <w:szCs w:val="22"/>
              </w:rPr>
            </w:pPr>
            <w:r w:rsidRPr="00F53A7F">
              <w:rPr>
                <w:bCs/>
                <w:sz w:val="22"/>
                <w:szCs w:val="22"/>
              </w:rPr>
              <w:t>„</w:t>
            </w:r>
            <w:r w:rsidR="005106DF" w:rsidRPr="00F53A7F">
              <w:rPr>
                <w:bCs/>
                <w:sz w:val="22"/>
                <w:szCs w:val="22"/>
              </w:rPr>
              <w:t>Aplinkos tikslai</w:t>
            </w:r>
          </w:p>
        </w:tc>
        <w:tc>
          <w:tcPr>
            <w:tcW w:w="4536" w:type="dxa"/>
          </w:tcPr>
          <w:p w14:paraId="274A1391" w14:textId="77777777" w:rsidR="005106DF" w:rsidRPr="00F53A7F" w:rsidRDefault="005106DF" w:rsidP="00685162">
            <w:pPr>
              <w:jc w:val="center"/>
              <w:rPr>
                <w:bCs/>
                <w:sz w:val="22"/>
                <w:szCs w:val="22"/>
              </w:rPr>
            </w:pPr>
            <w:r w:rsidRPr="00F53A7F">
              <w:rPr>
                <w:bCs/>
                <w:sz w:val="22"/>
                <w:szCs w:val="22"/>
              </w:rPr>
              <w:t>Su Europos Komisija suderintas pagrindimas</w:t>
            </w:r>
          </w:p>
        </w:tc>
        <w:tc>
          <w:tcPr>
            <w:tcW w:w="4252" w:type="dxa"/>
          </w:tcPr>
          <w:p w14:paraId="4D93773D" w14:textId="05593654" w:rsidR="005106DF" w:rsidRPr="00A54528" w:rsidRDefault="005106DF" w:rsidP="00685162">
            <w:pPr>
              <w:ind w:firstLine="208"/>
              <w:jc w:val="center"/>
              <w:rPr>
                <w:bCs/>
                <w:i/>
                <w:sz w:val="22"/>
                <w:szCs w:val="22"/>
              </w:rPr>
            </w:pPr>
            <w:r w:rsidRPr="00F53A7F">
              <w:rPr>
                <w:bCs/>
                <w:sz w:val="22"/>
                <w:szCs w:val="22"/>
              </w:rPr>
              <w:t>Pagrindimo dokumentai</w:t>
            </w:r>
          </w:p>
        </w:tc>
      </w:tr>
      <w:tr w:rsidR="00833AA0" w14:paraId="54FC7F1E" w14:textId="77777777" w:rsidTr="00313290">
        <w:tc>
          <w:tcPr>
            <w:tcW w:w="1277" w:type="dxa"/>
          </w:tcPr>
          <w:p w14:paraId="471C5E44" w14:textId="5F99A296" w:rsidR="005106DF" w:rsidRDefault="005106DF" w:rsidP="00685162">
            <w:pPr>
              <w:tabs>
                <w:tab w:val="left" w:pos="343"/>
                <w:tab w:val="left" w:pos="1558"/>
              </w:tabs>
              <w:jc w:val="both"/>
              <w:rPr>
                <w:sz w:val="22"/>
                <w:szCs w:val="22"/>
              </w:rPr>
            </w:pPr>
            <w:r>
              <w:rPr>
                <w:sz w:val="22"/>
                <w:szCs w:val="22"/>
              </w:rPr>
              <w:t>1.</w:t>
            </w:r>
            <w:r w:rsidR="00313290">
              <w:rPr>
                <w:sz w:val="22"/>
                <w:szCs w:val="22"/>
              </w:rPr>
              <w:t xml:space="preserve"> </w:t>
            </w:r>
            <w:r>
              <w:rPr>
                <w:sz w:val="22"/>
                <w:szCs w:val="22"/>
              </w:rPr>
              <w:t>Klimato kaitos švelninimas</w:t>
            </w:r>
          </w:p>
        </w:tc>
        <w:tc>
          <w:tcPr>
            <w:tcW w:w="4536" w:type="dxa"/>
          </w:tcPr>
          <w:p w14:paraId="265930C5" w14:textId="304F66D0" w:rsidR="005106DF" w:rsidRDefault="00AC5F81" w:rsidP="004A12F3">
            <w:pPr>
              <w:jc w:val="both"/>
              <w:rPr>
                <w:sz w:val="22"/>
                <w:szCs w:val="22"/>
              </w:rPr>
            </w:pPr>
            <w:r w:rsidRPr="004A12F3">
              <w:rPr>
                <w:strike/>
                <w:sz w:val="22"/>
                <w:szCs w:val="22"/>
              </w:rPr>
              <w:t xml:space="preserve">Planuojama skirti prioritetą maisto ir virtuvės atliekų </w:t>
            </w:r>
            <w:r w:rsidR="00F53A7F" w:rsidRPr="004A12F3">
              <w:rPr>
                <w:strike/>
                <w:sz w:val="22"/>
                <w:szCs w:val="22"/>
              </w:rPr>
              <w:t>paruošimui perdirbti ir perdirbimui.</w:t>
            </w:r>
            <w:r w:rsidR="00F53A7F">
              <w:rPr>
                <w:sz w:val="22"/>
                <w:szCs w:val="22"/>
              </w:rPr>
              <w:t xml:space="preserve"> </w:t>
            </w:r>
            <w:r w:rsidR="005106DF" w:rsidRPr="091E7072">
              <w:rPr>
                <w:sz w:val="22"/>
                <w:szCs w:val="22"/>
              </w:rPr>
              <w:t>Siekiant įgyvendinti žiedinės ekonomikos direktyvose numatytus uždavinius, planuojama modernizuoti ir perorientuoti naudojamus mechaninių biologinių atliekų tvarkymo įrenginių pajėgumus, kad juose būtų galima efektyviau išrūšiuoti antrines žaliavas iš mišraus komunalinių atliekų srauto ir paruošti, kad jas būtų galima perdirbti į antrines žaliavas, kad kuo mažiau atliekų būtų šalinama sąvartynuose ir panaudojama energijai gauti.</w:t>
            </w:r>
          </w:p>
          <w:p w14:paraId="46B0B5C8" w14:textId="77777777" w:rsidR="005106DF" w:rsidRDefault="005106DF" w:rsidP="00685162">
            <w:pPr>
              <w:ind w:firstLine="317"/>
              <w:jc w:val="both"/>
              <w:rPr>
                <w:sz w:val="22"/>
                <w:szCs w:val="22"/>
              </w:rPr>
            </w:pPr>
            <w:r>
              <w:rPr>
                <w:sz w:val="22"/>
                <w:szCs w:val="22"/>
              </w:rPr>
              <w:t>Kuriami ir rekonstruojami atliekų paruošimo perdirbti ir perdirbimo pajėgumai turės atitikti:</w:t>
            </w:r>
          </w:p>
          <w:p w14:paraId="043A86B0" w14:textId="77777777" w:rsidR="005106DF" w:rsidRDefault="005106DF" w:rsidP="00685162">
            <w:pPr>
              <w:tabs>
                <w:tab w:val="left" w:pos="602"/>
              </w:tabs>
              <w:ind w:firstLine="317"/>
              <w:jc w:val="both"/>
              <w:rPr>
                <w:sz w:val="22"/>
                <w:szCs w:val="22"/>
              </w:rPr>
            </w:pPr>
            <w:r>
              <w:rPr>
                <w:sz w:val="22"/>
                <w:szCs w:val="22"/>
              </w:rPr>
              <w:t>1.</w:t>
            </w:r>
            <w:r>
              <w:rPr>
                <w:sz w:val="22"/>
                <w:szCs w:val="22"/>
              </w:rPr>
              <w:tab/>
              <w:t>2008 m. lapkričio 19 d. Europos Parlamento ir Tarybos direktyvą 2008/98/EB dėl atliekų ir panaikinančią kai kurias direktyvas su paskutiniais pakeitimais, padarytais 2018 m. gegužės 30 d. Europos Parlamento ir Tarybos direktyva (ES) 2018/851.</w:t>
            </w:r>
          </w:p>
          <w:p w14:paraId="544DB6EC" w14:textId="77777777" w:rsidR="005106DF" w:rsidRDefault="005106DF" w:rsidP="00685162">
            <w:pPr>
              <w:tabs>
                <w:tab w:val="left" w:pos="602"/>
                <w:tab w:val="left" w:pos="655"/>
              </w:tabs>
              <w:ind w:firstLine="317"/>
              <w:jc w:val="both"/>
              <w:rPr>
                <w:sz w:val="22"/>
                <w:szCs w:val="22"/>
              </w:rPr>
            </w:pPr>
            <w:r>
              <w:rPr>
                <w:sz w:val="22"/>
                <w:szCs w:val="22"/>
              </w:rPr>
              <w:t>2.</w:t>
            </w:r>
            <w:r>
              <w:rPr>
                <w:sz w:val="22"/>
                <w:szCs w:val="22"/>
              </w:rPr>
              <w:tab/>
              <w:t>1996 m. rugsėjo 24 d. Tarybos direktyvą 96/61/EB dėl taršos integruotos prevencijos ir kontrolės su paskutiniais pakeitimais, padarytais 2006 m. sausio 18 d. Europos Parlamento ir Tarybos reglamentu (EB) Nr. 166/2006.</w:t>
            </w:r>
          </w:p>
          <w:p w14:paraId="446F6349" w14:textId="77777777" w:rsidR="005106DF" w:rsidRDefault="005106DF" w:rsidP="00685162">
            <w:pPr>
              <w:ind w:firstLine="317"/>
              <w:jc w:val="both"/>
              <w:rPr>
                <w:sz w:val="22"/>
                <w:szCs w:val="22"/>
              </w:rPr>
            </w:pPr>
            <w:r>
              <w:rPr>
                <w:sz w:val="22"/>
                <w:szCs w:val="22"/>
              </w:rPr>
              <w:t xml:space="preserve">Kuriama infrastruktūra turi atitikti Statybos techninio reglamento ir Europos Parlamento ir Tarybos 2010 m. gegužės 19 d. direktyvos 2010/31/ES dėl pastatų energinio naudingumo reikalavimus, susijusius su šiltnamio efektą sukeliančių dujų (toliau – ŠESD) emisija, ir beveik energijos nenaudojančių pastatų projektavimo, statybos ir eksploatacijos (angl. </w:t>
            </w:r>
            <w:proofErr w:type="spellStart"/>
            <w:r>
              <w:rPr>
                <w:i/>
                <w:iCs/>
                <w:sz w:val="22"/>
                <w:szCs w:val="22"/>
              </w:rPr>
              <w:t>Nearly</w:t>
            </w:r>
            <w:proofErr w:type="spellEnd"/>
            <w:r>
              <w:rPr>
                <w:i/>
                <w:iCs/>
                <w:sz w:val="22"/>
                <w:szCs w:val="22"/>
              </w:rPr>
              <w:t xml:space="preserve"> </w:t>
            </w:r>
            <w:proofErr w:type="spellStart"/>
            <w:r>
              <w:rPr>
                <w:i/>
                <w:iCs/>
                <w:sz w:val="22"/>
                <w:szCs w:val="22"/>
              </w:rPr>
              <w:t>Zero</w:t>
            </w:r>
            <w:proofErr w:type="spellEnd"/>
            <w:r>
              <w:rPr>
                <w:i/>
                <w:iCs/>
                <w:sz w:val="22"/>
                <w:szCs w:val="22"/>
              </w:rPr>
              <w:t xml:space="preserve"> </w:t>
            </w:r>
            <w:proofErr w:type="spellStart"/>
            <w:r>
              <w:rPr>
                <w:i/>
                <w:iCs/>
                <w:sz w:val="22"/>
                <w:szCs w:val="22"/>
              </w:rPr>
              <w:t>Energy</w:t>
            </w:r>
            <w:proofErr w:type="spellEnd"/>
            <w:r>
              <w:rPr>
                <w:i/>
                <w:iCs/>
                <w:sz w:val="22"/>
                <w:szCs w:val="22"/>
              </w:rPr>
              <w:t xml:space="preserve"> </w:t>
            </w:r>
            <w:proofErr w:type="spellStart"/>
            <w:r>
              <w:rPr>
                <w:i/>
                <w:iCs/>
                <w:sz w:val="22"/>
                <w:szCs w:val="22"/>
              </w:rPr>
              <w:t>Building</w:t>
            </w:r>
            <w:proofErr w:type="spellEnd"/>
            <w:r>
              <w:rPr>
                <w:sz w:val="22"/>
                <w:szCs w:val="22"/>
              </w:rPr>
              <w:t>, NZEB) standartą.</w:t>
            </w:r>
          </w:p>
          <w:p w14:paraId="0040C269" w14:textId="77777777" w:rsidR="005106DF" w:rsidRDefault="005106DF" w:rsidP="00685162">
            <w:pPr>
              <w:ind w:firstLine="317"/>
              <w:jc w:val="both"/>
              <w:rPr>
                <w:sz w:val="22"/>
                <w:szCs w:val="22"/>
              </w:rPr>
            </w:pPr>
            <w:r>
              <w:rPr>
                <w:sz w:val="22"/>
                <w:szCs w:val="22"/>
              </w:rPr>
              <w:t>Numatoma atlikti planuojamos ūkinės veiklos poveikio aplinkai vertinimą (toliau – PAV), kaip tai numatyta Lietuvos Respublikos planuojamos ūkinės veiklos poveikio aplinkai vertinimo įstatyme (toliau – PAV įstatymas).</w:t>
            </w:r>
          </w:p>
          <w:p w14:paraId="4F6EF648" w14:textId="77777777" w:rsidR="005106DF" w:rsidRDefault="005106DF" w:rsidP="00685162">
            <w:pPr>
              <w:ind w:firstLine="317"/>
              <w:jc w:val="both"/>
              <w:rPr>
                <w:sz w:val="22"/>
                <w:szCs w:val="22"/>
              </w:rPr>
            </w:pPr>
            <w:r>
              <w:rPr>
                <w:sz w:val="22"/>
                <w:szCs w:val="22"/>
              </w:rPr>
              <w:lastRenderedPageBreak/>
              <w:t>Būtina vadovautis Lietuvos Respublikos aplinkos ministro 2012 m. spalio 23 d. įsakymu Nr. D1-857 „Dėl Minimalių komunalinių atliekų tvarkymo paslaugos kokybės reikalavimų patvirtinimo“.</w:t>
            </w:r>
          </w:p>
          <w:p w14:paraId="6EEB1494" w14:textId="77777777" w:rsidR="005106DF" w:rsidRDefault="005106DF" w:rsidP="00685162">
            <w:pPr>
              <w:ind w:firstLine="317"/>
              <w:jc w:val="both"/>
              <w:rPr>
                <w:sz w:val="22"/>
                <w:szCs w:val="22"/>
              </w:rPr>
            </w:pPr>
            <w:r>
              <w:rPr>
                <w:sz w:val="22"/>
                <w:szCs w:val="22"/>
              </w:rPr>
              <w:t>PAV procedūros turi būti atliktos prieš statybos darbus vadovaujantis 2011 m. gruodžio 13 d. Europos Parlamento ir Tarybos direktyva 2011/92/ES dėl tam tikrų valstybės ir privačių projektų poveikio aplinkai vertinimo (toliau – Direktyva 2011/92) nuostatomis ir numatyta, kaip bus įgyvendintos PAV ataskaitoje pateiktos švelninimo ir kompensacinės priemonės.</w:t>
            </w:r>
          </w:p>
          <w:p w14:paraId="4B81539F" w14:textId="77777777" w:rsidR="005106DF" w:rsidRDefault="005106DF" w:rsidP="00685162">
            <w:pPr>
              <w:ind w:firstLine="317"/>
              <w:jc w:val="both"/>
              <w:rPr>
                <w:sz w:val="22"/>
                <w:szCs w:val="22"/>
              </w:rPr>
            </w:pPr>
            <w:r>
              <w:rPr>
                <w:sz w:val="22"/>
                <w:szCs w:val="22"/>
              </w:rPr>
              <w:t>Įgyvendinamos veiklos leis išvengti:</w:t>
            </w:r>
          </w:p>
          <w:p w14:paraId="3B71DD4B" w14:textId="77777777" w:rsidR="005106DF" w:rsidRDefault="005106DF" w:rsidP="00685162">
            <w:pPr>
              <w:tabs>
                <w:tab w:val="left" w:pos="602"/>
                <w:tab w:val="left" w:pos="1167"/>
              </w:tabs>
              <w:ind w:firstLine="317"/>
              <w:jc w:val="both"/>
              <w:rPr>
                <w:sz w:val="22"/>
                <w:szCs w:val="22"/>
              </w:rPr>
            </w:pPr>
            <w:r>
              <w:rPr>
                <w:sz w:val="22"/>
                <w:szCs w:val="22"/>
              </w:rPr>
              <w:t>1.</w:t>
            </w:r>
            <w:r>
              <w:rPr>
                <w:sz w:val="22"/>
                <w:szCs w:val="22"/>
              </w:rPr>
              <w:tab/>
              <w:t>ŠESD patekimo į aplinką, nes komunalinės atliekos nebus šalinamos sąvartynuose.</w:t>
            </w:r>
          </w:p>
          <w:p w14:paraId="1A435A9E" w14:textId="77777777" w:rsidR="005106DF" w:rsidRDefault="005106DF" w:rsidP="00685162">
            <w:pPr>
              <w:tabs>
                <w:tab w:val="left" w:pos="602"/>
                <w:tab w:val="left" w:pos="1167"/>
              </w:tabs>
              <w:ind w:firstLine="317"/>
              <w:jc w:val="both"/>
              <w:rPr>
                <w:sz w:val="22"/>
                <w:szCs w:val="22"/>
              </w:rPr>
            </w:pPr>
            <w:r>
              <w:rPr>
                <w:sz w:val="22"/>
                <w:szCs w:val="22"/>
              </w:rPr>
              <w:t>2.</w:t>
            </w:r>
            <w:r>
              <w:rPr>
                <w:sz w:val="22"/>
                <w:szCs w:val="22"/>
              </w:rPr>
              <w:tab/>
              <w:t>ŠESD (daugiausia CO</w:t>
            </w:r>
            <w:r>
              <w:rPr>
                <w:sz w:val="22"/>
                <w:szCs w:val="22"/>
                <w:vertAlign w:val="subscript"/>
              </w:rPr>
              <w:t>2</w:t>
            </w:r>
            <w:r>
              <w:rPr>
                <w:sz w:val="22"/>
                <w:szCs w:val="22"/>
              </w:rPr>
              <w:t>) patekimo į aplinką, nes komunalinės atliekos nebus deginamos.</w:t>
            </w:r>
          </w:p>
          <w:p w14:paraId="24F8271B" w14:textId="77777777" w:rsidR="005106DF" w:rsidRDefault="005106DF" w:rsidP="00685162">
            <w:pPr>
              <w:ind w:firstLine="317"/>
              <w:jc w:val="both"/>
              <w:rPr>
                <w:sz w:val="22"/>
                <w:szCs w:val="22"/>
              </w:rPr>
            </w:pPr>
            <w:r>
              <w:rPr>
                <w:sz w:val="22"/>
                <w:szCs w:val="22"/>
              </w:rPr>
              <w:t>Perdirbant išrūšiuotas atliekas taupoma energija, gaminant produktus iš antrinių žaliavų perdirbus atliekas, netiesiogiai mažinamas CO</w:t>
            </w:r>
            <w:r>
              <w:rPr>
                <w:sz w:val="22"/>
                <w:szCs w:val="22"/>
                <w:vertAlign w:val="subscript"/>
              </w:rPr>
              <w:t>2</w:t>
            </w:r>
            <w:r>
              <w:rPr>
                <w:sz w:val="22"/>
                <w:szCs w:val="22"/>
              </w:rPr>
              <w:t xml:space="preserve"> išskyrimas, kuris skirtųsi gaminant produktus iš pirminių žaliavų. Perdirbant išrūšiuotas atliekas sutaupoma iki 4 kartų daugiau energijos ir tiek pat išskiriama mažiau CO</w:t>
            </w:r>
            <w:r>
              <w:rPr>
                <w:sz w:val="22"/>
                <w:szCs w:val="22"/>
                <w:vertAlign w:val="subscript"/>
              </w:rPr>
              <w:t>2</w:t>
            </w:r>
            <w:r>
              <w:rPr>
                <w:sz w:val="22"/>
                <w:szCs w:val="22"/>
              </w:rPr>
              <w:t>, nei deginant atliekas.</w:t>
            </w:r>
          </w:p>
          <w:p w14:paraId="5F010A21" w14:textId="77777777" w:rsidR="005106DF" w:rsidRDefault="005106DF" w:rsidP="00685162">
            <w:pPr>
              <w:ind w:firstLine="317"/>
              <w:jc w:val="both"/>
              <w:rPr>
                <w:bCs/>
                <w:i/>
                <w:sz w:val="22"/>
                <w:szCs w:val="22"/>
              </w:rPr>
            </w:pPr>
            <w:r>
              <w:rPr>
                <w:sz w:val="22"/>
                <w:szCs w:val="22"/>
              </w:rPr>
              <w:t xml:space="preserve">Apibendrinus tai, kas išdėstyta, daroma išvada, kad planuojamos įgyvendinti veiklos, labai sumažins ŠESD išsiskyrimą, reikšmingai prisidės prie klimato kaitos švelninimo. </w:t>
            </w:r>
          </w:p>
        </w:tc>
        <w:tc>
          <w:tcPr>
            <w:tcW w:w="4252" w:type="dxa"/>
          </w:tcPr>
          <w:p w14:paraId="45EE6D3A" w14:textId="4886EB3E" w:rsidR="005106DF" w:rsidRDefault="005106DF" w:rsidP="00685162">
            <w:pPr>
              <w:ind w:firstLine="208"/>
              <w:jc w:val="both"/>
              <w:rPr>
                <w:sz w:val="22"/>
                <w:szCs w:val="22"/>
              </w:rPr>
            </w:pPr>
            <w:r>
              <w:rPr>
                <w:sz w:val="22"/>
                <w:szCs w:val="22"/>
              </w:rPr>
              <w:lastRenderedPageBreak/>
              <w:t xml:space="preserve">Jeigu vadovaujantis PAV įstatymu reikia atlikti planuojamos ūkinės veiklos PAV ar atrankos dėl planuojamos ūkinės veiklos PAV procedūras, pareiškėjas </w:t>
            </w:r>
            <w:r w:rsidRPr="004A12F3">
              <w:rPr>
                <w:b/>
                <w:bCs/>
                <w:sz w:val="22"/>
                <w:szCs w:val="22"/>
              </w:rPr>
              <w:t xml:space="preserve">ne vėliau kaip per 2 mėnesius nuo projekto </w:t>
            </w:r>
            <w:r w:rsidR="0058748F">
              <w:rPr>
                <w:b/>
                <w:bCs/>
                <w:sz w:val="22"/>
                <w:szCs w:val="22"/>
              </w:rPr>
              <w:t xml:space="preserve">sutarties </w:t>
            </w:r>
            <w:r w:rsidRPr="004A12F3">
              <w:rPr>
                <w:b/>
                <w:bCs/>
                <w:sz w:val="22"/>
                <w:szCs w:val="22"/>
              </w:rPr>
              <w:t>pasirašymo dienos</w:t>
            </w:r>
            <w:r>
              <w:rPr>
                <w:sz w:val="22"/>
                <w:szCs w:val="22"/>
              </w:rPr>
              <w:t xml:space="preserve"> administruojančiajai institucijai turi pateikti atsakingosios institucijos sprendimą dėl PAV, pagal kurį planuojama ūkinė veikla atitinka teisės aktų reikalavimus ir nedarys neigiamo reikšmingo poveikio aplinkai, ar atrankos išvadą, kad PAV neprivalomas</w:t>
            </w:r>
            <w:r w:rsidR="003F1CE9" w:rsidRPr="004A12F3">
              <w:rPr>
                <w:strike/>
                <w:sz w:val="22"/>
                <w:szCs w:val="22"/>
              </w:rPr>
              <w:t xml:space="preserve">, </w:t>
            </w:r>
            <w:r w:rsidR="003C17A3" w:rsidRPr="004A12F3">
              <w:rPr>
                <w:strike/>
                <w:sz w:val="22"/>
                <w:szCs w:val="22"/>
              </w:rPr>
              <w:t>arba pareiškėjo pagrindimą, kodėl minėtos procedūros netaikomos</w:t>
            </w:r>
            <w:r>
              <w:rPr>
                <w:sz w:val="22"/>
                <w:szCs w:val="22"/>
              </w:rPr>
              <w:t xml:space="preserve">. </w:t>
            </w:r>
          </w:p>
          <w:p w14:paraId="66E130B8" w14:textId="77777777" w:rsidR="005106DF" w:rsidRPr="00F53A7F" w:rsidRDefault="005106DF" w:rsidP="00685162">
            <w:pPr>
              <w:ind w:firstLine="208"/>
              <w:jc w:val="both"/>
              <w:rPr>
                <w:b/>
                <w:bCs/>
                <w:sz w:val="22"/>
                <w:szCs w:val="22"/>
              </w:rPr>
            </w:pPr>
            <w:r w:rsidRPr="00F53A7F">
              <w:rPr>
                <w:b/>
                <w:bCs/>
                <w:sz w:val="22"/>
                <w:szCs w:val="22"/>
              </w:rPr>
              <w:t>Jeigu vadovaujantis PAV įstatymu  planuojamos ūkinės veiklos PAV neatliekamas,  pareiškėjas  su PĮP administruojančiajai institucijai turi pateikti deklaraciją su paaiškinimu, kaip projekto metu sukurti pajėgumai prisidės prie klimato kaitos švelninimo.</w:t>
            </w:r>
          </w:p>
          <w:p w14:paraId="6816FD33" w14:textId="77777777" w:rsidR="005106DF" w:rsidRDefault="005106DF" w:rsidP="00685162">
            <w:pPr>
              <w:ind w:firstLine="208"/>
              <w:jc w:val="both"/>
              <w:rPr>
                <w:sz w:val="22"/>
                <w:szCs w:val="22"/>
              </w:rPr>
            </w:pPr>
          </w:p>
        </w:tc>
      </w:tr>
      <w:tr w:rsidR="00833AA0" w14:paraId="179611CC" w14:textId="77777777" w:rsidTr="00313290">
        <w:tc>
          <w:tcPr>
            <w:tcW w:w="1277" w:type="dxa"/>
          </w:tcPr>
          <w:p w14:paraId="75A589D2" w14:textId="77777777" w:rsidR="005106DF" w:rsidRDefault="005106DF" w:rsidP="00685162">
            <w:pPr>
              <w:jc w:val="both"/>
              <w:rPr>
                <w:sz w:val="22"/>
                <w:szCs w:val="22"/>
              </w:rPr>
            </w:pPr>
            <w:r>
              <w:rPr>
                <w:sz w:val="22"/>
                <w:szCs w:val="22"/>
              </w:rPr>
              <w:t>2. Prisitaikymas prie klimato kaitos</w:t>
            </w:r>
          </w:p>
        </w:tc>
        <w:tc>
          <w:tcPr>
            <w:tcW w:w="4536" w:type="dxa"/>
          </w:tcPr>
          <w:p w14:paraId="6AA53B04" w14:textId="77777777" w:rsidR="005106DF" w:rsidRDefault="005106DF" w:rsidP="00685162">
            <w:pPr>
              <w:ind w:firstLine="317"/>
              <w:jc w:val="both"/>
              <w:rPr>
                <w:sz w:val="22"/>
                <w:szCs w:val="22"/>
              </w:rPr>
            </w:pPr>
            <w:r>
              <w:rPr>
                <w:sz w:val="22"/>
                <w:szCs w:val="22"/>
              </w:rPr>
              <w:t>Vadovaujantis Direktyva 2011/92, turi būti atliktas planuojamos ūkinės veiklos PAV arba atranka dėl poveikio aplinkai, kai tokios procedūros turi būti atliktos pagal PAV įstatymo reikalavimus.</w:t>
            </w:r>
          </w:p>
          <w:p w14:paraId="5FD600DC" w14:textId="77777777" w:rsidR="005106DF" w:rsidRDefault="005106DF" w:rsidP="00685162">
            <w:pPr>
              <w:ind w:firstLine="317"/>
              <w:jc w:val="both"/>
              <w:rPr>
                <w:bCs/>
                <w:sz w:val="22"/>
                <w:szCs w:val="22"/>
              </w:rPr>
            </w:pPr>
            <w:r>
              <w:rPr>
                <w:bCs/>
                <w:sz w:val="22"/>
                <w:szCs w:val="22"/>
              </w:rPr>
              <w:t>Ruošiant perdirbti ir perdirbant atliekas, galima naudoti vandenį, todėl turi būti vadovaujamasi 2021 m. birželio 4 d. Komisijos deleguotuoju reglamentu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2021/2139).</w:t>
            </w:r>
          </w:p>
        </w:tc>
        <w:tc>
          <w:tcPr>
            <w:tcW w:w="4252" w:type="dxa"/>
          </w:tcPr>
          <w:p w14:paraId="2FEBF427" w14:textId="603D5660" w:rsidR="005106DF" w:rsidRDefault="005106DF" w:rsidP="00685162">
            <w:pPr>
              <w:ind w:firstLine="208"/>
              <w:jc w:val="both"/>
              <w:rPr>
                <w:sz w:val="22"/>
                <w:szCs w:val="22"/>
              </w:rPr>
            </w:pPr>
            <w:r>
              <w:rPr>
                <w:sz w:val="22"/>
                <w:szCs w:val="22"/>
              </w:rPr>
              <w:t xml:space="preserve">Jeigu vadovaujantis PAV įstatymu reikia atlikti planuojamos ūkinės veiklos PAV ar atrankos dėl planuojamos ūkinės veiklos PAV procedūras, pareiškėjas </w:t>
            </w:r>
            <w:r w:rsidRPr="000C27E6">
              <w:rPr>
                <w:b/>
                <w:bCs/>
                <w:sz w:val="22"/>
                <w:szCs w:val="22"/>
              </w:rPr>
              <w:t>ne vėliau kaip per 2 mėnesius nuo projekto pasirašymo dienos</w:t>
            </w:r>
            <w:r>
              <w:rPr>
                <w:sz w:val="22"/>
                <w:szCs w:val="22"/>
              </w:rPr>
              <w:t xml:space="preserve"> administruojančiajai institucijai turi pateikti atsakingosios institucijos sprendimą dėl PAV, pagal kurį planuojama ūkinė veikla atitinka teisės aktų reikalavimus ir nedarys neigiamo reikšmingo poveikio aplinkai, ar atrankos išvadą, kad PAV neprivalomas</w:t>
            </w:r>
            <w:r w:rsidR="000C27E6" w:rsidRPr="0047155E">
              <w:rPr>
                <w:strike/>
                <w:sz w:val="22"/>
                <w:szCs w:val="22"/>
              </w:rPr>
              <w:t xml:space="preserve">, </w:t>
            </w:r>
            <w:r w:rsidR="000C27E6" w:rsidRPr="005F1BD8">
              <w:rPr>
                <w:strike/>
                <w:sz w:val="22"/>
                <w:szCs w:val="22"/>
              </w:rPr>
              <w:t xml:space="preserve"> </w:t>
            </w:r>
            <w:r w:rsidR="000C27E6" w:rsidRPr="004A12F3">
              <w:rPr>
                <w:strike/>
                <w:sz w:val="22"/>
                <w:szCs w:val="22"/>
              </w:rPr>
              <w:t>arba pareiškėjo pagrindimą, kodėl minėtos procedūros netaikomos</w:t>
            </w:r>
            <w:r w:rsidR="000C27E6">
              <w:rPr>
                <w:sz w:val="22"/>
                <w:szCs w:val="22"/>
              </w:rPr>
              <w:t>.</w:t>
            </w:r>
          </w:p>
          <w:p w14:paraId="0A025C28" w14:textId="77777777" w:rsidR="005106DF" w:rsidRPr="000C27E6" w:rsidRDefault="005106DF" w:rsidP="00685162">
            <w:pPr>
              <w:ind w:firstLine="208"/>
              <w:jc w:val="both"/>
              <w:rPr>
                <w:b/>
                <w:bCs/>
                <w:sz w:val="22"/>
                <w:szCs w:val="22"/>
              </w:rPr>
            </w:pPr>
            <w:r w:rsidRPr="000C27E6">
              <w:rPr>
                <w:b/>
                <w:bCs/>
                <w:sz w:val="22"/>
                <w:szCs w:val="22"/>
              </w:rPr>
              <w:t>Jeigu vadovaujantis PAV įstatymu  planuojamos ūkinės veiklos PAV neatliekamas,  pareiškėjas   su PĮP administruojančiajai institucijai turi pateikti deklaraciją su paaiškinimu kaip projekto metu sukurti pajėgumai prisidės prie prisitaikymo prie klimato kaitos.</w:t>
            </w:r>
          </w:p>
        </w:tc>
      </w:tr>
      <w:tr w:rsidR="00833AA0" w14:paraId="4949DDAC" w14:textId="77777777" w:rsidTr="00313290">
        <w:tc>
          <w:tcPr>
            <w:tcW w:w="1277" w:type="dxa"/>
          </w:tcPr>
          <w:p w14:paraId="7335797A" w14:textId="77777777" w:rsidR="005106DF" w:rsidRDefault="005106DF" w:rsidP="00685162">
            <w:pPr>
              <w:tabs>
                <w:tab w:val="left" w:pos="240"/>
              </w:tabs>
              <w:jc w:val="both"/>
              <w:rPr>
                <w:sz w:val="22"/>
                <w:szCs w:val="22"/>
              </w:rPr>
            </w:pPr>
            <w:r>
              <w:rPr>
                <w:sz w:val="22"/>
                <w:szCs w:val="22"/>
              </w:rPr>
              <w:t>3.</w:t>
            </w:r>
            <w:r>
              <w:rPr>
                <w:sz w:val="22"/>
                <w:szCs w:val="22"/>
              </w:rPr>
              <w:tab/>
              <w:t>Tausus vandens ir jūrų išteklių naudojimas ir apsauga</w:t>
            </w:r>
          </w:p>
        </w:tc>
        <w:tc>
          <w:tcPr>
            <w:tcW w:w="4536" w:type="dxa"/>
          </w:tcPr>
          <w:p w14:paraId="65822A44" w14:textId="77777777" w:rsidR="005106DF" w:rsidRDefault="005106DF" w:rsidP="00685162">
            <w:pPr>
              <w:ind w:firstLine="317"/>
              <w:jc w:val="both"/>
              <w:rPr>
                <w:sz w:val="22"/>
                <w:szCs w:val="22"/>
              </w:rPr>
            </w:pPr>
            <w:r>
              <w:rPr>
                <w:sz w:val="22"/>
                <w:szCs w:val="22"/>
              </w:rPr>
              <w:t>Vadovaujantis Direktyva 2011/92, turi būti atliktas planuojamos ūkinės veiklos PAV arba atranka dėl poveikio aplinkai, kai tokios procedūros turi būti atliktos pagal PAV įstatymo reikalavimus.</w:t>
            </w:r>
          </w:p>
          <w:p w14:paraId="4D9C50BD" w14:textId="77777777" w:rsidR="005106DF" w:rsidRDefault="005106DF" w:rsidP="00685162">
            <w:pPr>
              <w:ind w:firstLine="317"/>
              <w:jc w:val="both"/>
              <w:rPr>
                <w:sz w:val="22"/>
                <w:szCs w:val="22"/>
              </w:rPr>
            </w:pPr>
            <w:r>
              <w:rPr>
                <w:bCs/>
                <w:sz w:val="22"/>
                <w:szCs w:val="22"/>
              </w:rPr>
              <w:lastRenderedPageBreak/>
              <w:t>Ruošiant perdirbti ir perdirbant atliekas, galima naudoti vandenį, todėl turi būti vadovaujamasi Reglamentu 2021/2139.</w:t>
            </w:r>
          </w:p>
        </w:tc>
        <w:tc>
          <w:tcPr>
            <w:tcW w:w="4252" w:type="dxa"/>
          </w:tcPr>
          <w:p w14:paraId="00D23AEE" w14:textId="3EEB5299" w:rsidR="005106DF" w:rsidRDefault="005106DF" w:rsidP="00685162">
            <w:pPr>
              <w:ind w:firstLine="208"/>
              <w:jc w:val="both"/>
              <w:rPr>
                <w:sz w:val="22"/>
                <w:szCs w:val="22"/>
              </w:rPr>
            </w:pPr>
            <w:r>
              <w:rPr>
                <w:sz w:val="22"/>
                <w:szCs w:val="22"/>
              </w:rPr>
              <w:lastRenderedPageBreak/>
              <w:t xml:space="preserve">Jeigu vadovaujantis PAV įstatymu reikia atlikti planuojamos ūkinės veiklos PAV ar atrankos dėl planuojamos ūkinės veiklos PAV procedūras, pareiškėjas </w:t>
            </w:r>
            <w:r w:rsidRPr="005F1BD8">
              <w:rPr>
                <w:b/>
                <w:bCs/>
                <w:sz w:val="22"/>
                <w:szCs w:val="22"/>
              </w:rPr>
              <w:t xml:space="preserve">ne vėliau kaip per 2 mėnesius nuo projekto sutarties </w:t>
            </w:r>
            <w:r w:rsidRPr="005F1BD8">
              <w:rPr>
                <w:b/>
                <w:bCs/>
                <w:sz w:val="22"/>
                <w:szCs w:val="22"/>
              </w:rPr>
              <w:lastRenderedPageBreak/>
              <w:t>pasirašymo dienos</w:t>
            </w:r>
            <w:r>
              <w:rPr>
                <w:sz w:val="22"/>
                <w:szCs w:val="22"/>
              </w:rPr>
              <w:t xml:space="preserve"> administruojančiajai institucijai turi pateikti atsakingosios institucijos sprendimą dėl PAV, pagal kurį planuojama ūkinė veikla atitinka teisės aktų reikalavimus ir nedarys neigiamo reikšmingo poveikio aplinkai, ar atrankos išvadą, kad PAV neprivalomas</w:t>
            </w:r>
            <w:r w:rsidR="00331AE0" w:rsidRPr="00927D01">
              <w:rPr>
                <w:strike/>
                <w:sz w:val="22"/>
                <w:szCs w:val="22"/>
              </w:rPr>
              <w:t xml:space="preserve">, </w:t>
            </w:r>
            <w:r w:rsidR="00331AE0" w:rsidRPr="005F1BD8">
              <w:rPr>
                <w:strike/>
                <w:sz w:val="22"/>
                <w:szCs w:val="22"/>
              </w:rPr>
              <w:t xml:space="preserve"> </w:t>
            </w:r>
            <w:r w:rsidR="00331AE0" w:rsidRPr="004A12F3">
              <w:rPr>
                <w:strike/>
                <w:sz w:val="22"/>
                <w:szCs w:val="22"/>
              </w:rPr>
              <w:t>arba pareiškėjo pagrindimą, kodėl minėtos procedūros netaikomos</w:t>
            </w:r>
            <w:r w:rsidR="00331AE0" w:rsidRPr="00331AE0">
              <w:rPr>
                <w:sz w:val="22"/>
                <w:szCs w:val="22"/>
              </w:rPr>
              <w:t>.</w:t>
            </w:r>
          </w:p>
          <w:p w14:paraId="1C2B6EE4" w14:textId="77777777" w:rsidR="005106DF" w:rsidRPr="005F1BD8" w:rsidRDefault="005106DF" w:rsidP="00685162">
            <w:pPr>
              <w:ind w:firstLine="208"/>
              <w:jc w:val="both"/>
              <w:rPr>
                <w:b/>
                <w:bCs/>
                <w:sz w:val="22"/>
                <w:szCs w:val="22"/>
              </w:rPr>
            </w:pPr>
            <w:r w:rsidRPr="005F1BD8">
              <w:rPr>
                <w:b/>
                <w:bCs/>
                <w:sz w:val="22"/>
                <w:szCs w:val="22"/>
              </w:rPr>
              <w:t>Jeigu vadovaujantis PAV įstatymu  planuojamos ūkinės veiklos PAV neatliekamas,  pareiškėjas   su PĮP administruojančiajai institucijai turi pateikti deklaraciją su paaiškinimu kaip projekto metu sukurti pajėgumai prisidės prie tausaus vandens ir jūrų išteklių naudojimo ir apsaugos.</w:t>
            </w:r>
          </w:p>
        </w:tc>
      </w:tr>
      <w:tr w:rsidR="00833AA0" w14:paraId="7685DDFA" w14:textId="77777777" w:rsidTr="00313290">
        <w:tc>
          <w:tcPr>
            <w:tcW w:w="1277" w:type="dxa"/>
          </w:tcPr>
          <w:p w14:paraId="31C9E158" w14:textId="26FC3B63" w:rsidR="005106DF" w:rsidRDefault="005106DF" w:rsidP="00685162">
            <w:pPr>
              <w:tabs>
                <w:tab w:val="left" w:pos="258"/>
              </w:tabs>
              <w:jc w:val="both"/>
              <w:rPr>
                <w:sz w:val="22"/>
                <w:szCs w:val="22"/>
              </w:rPr>
            </w:pPr>
            <w:r>
              <w:rPr>
                <w:sz w:val="22"/>
                <w:szCs w:val="22"/>
              </w:rPr>
              <w:lastRenderedPageBreak/>
              <w:t>4.Perėjimas prie žiedinės ekonomikos, įskaitant atliekų prevenciją ir perdirbimą</w:t>
            </w:r>
          </w:p>
        </w:tc>
        <w:tc>
          <w:tcPr>
            <w:tcW w:w="4536" w:type="dxa"/>
          </w:tcPr>
          <w:p w14:paraId="28D6C4A3" w14:textId="77777777" w:rsidR="005106DF" w:rsidRDefault="005106DF" w:rsidP="00685162">
            <w:pPr>
              <w:ind w:firstLine="317"/>
              <w:jc w:val="both"/>
              <w:rPr>
                <w:rFonts w:eastAsia="Calibri"/>
                <w:sz w:val="22"/>
                <w:szCs w:val="22"/>
              </w:rPr>
            </w:pPr>
            <w:r>
              <w:rPr>
                <w:rFonts w:eastAsia="Calibri"/>
                <w:sz w:val="22"/>
                <w:szCs w:val="22"/>
              </w:rPr>
              <w:t>Veiksmas skirtas plėtoti atliekų paruošimo perdirbti ir perdirbimo pajėgumus, t.</w:t>
            </w:r>
            <w:r>
              <w:rPr>
                <w:sz w:val="22"/>
                <w:szCs w:val="22"/>
              </w:rPr>
              <w:t> </w:t>
            </w:r>
            <w:r>
              <w:rPr>
                <w:rFonts w:eastAsia="Calibri"/>
                <w:sz w:val="22"/>
                <w:szCs w:val="22"/>
              </w:rPr>
              <w:t>y. tiesiogiai įgyvendina šį aplinkos tikslą, todėl vertintinas tik kaip teigiamą poveikį turintis veiksmas, nedarantis žalos.</w:t>
            </w:r>
          </w:p>
          <w:p w14:paraId="5242689F" w14:textId="1994F1EE" w:rsidR="005106DF" w:rsidRDefault="005106DF" w:rsidP="00685162">
            <w:pPr>
              <w:ind w:firstLine="317"/>
              <w:jc w:val="both"/>
              <w:rPr>
                <w:rFonts w:eastAsia="Calibri"/>
                <w:sz w:val="22"/>
                <w:szCs w:val="22"/>
              </w:rPr>
            </w:pPr>
            <w:r w:rsidRPr="091E7072">
              <w:rPr>
                <w:rFonts w:eastAsia="Calibri"/>
                <w:sz w:val="22"/>
                <w:szCs w:val="22"/>
              </w:rPr>
              <w:t xml:space="preserve"> </w:t>
            </w:r>
            <w:r w:rsidR="00755B8E" w:rsidRPr="004A12F3">
              <w:rPr>
                <w:strike/>
                <w:sz w:val="22"/>
                <w:szCs w:val="22"/>
              </w:rPr>
              <w:t>Planuojama skirti prioritetą maisto ir virtuvės atliekų paruošimui perdirbti ir perdirbimui.</w:t>
            </w:r>
            <w:r w:rsidR="00755B8E">
              <w:rPr>
                <w:sz w:val="22"/>
                <w:szCs w:val="22"/>
              </w:rPr>
              <w:t xml:space="preserve"> </w:t>
            </w:r>
            <w:r w:rsidRPr="091E7072">
              <w:rPr>
                <w:rFonts w:eastAsia="Calibri"/>
                <w:sz w:val="22"/>
                <w:szCs w:val="22"/>
              </w:rPr>
              <w:t>Siekiant įgyvendinti žiedinės ekonomikos direktyvose numatytus uždavinius, planuojama modernizuoti ir perorientuoti naudojamus mechaninių biologinių atliekų tvarkymo įrenginių pajėgumus, kad juose būtų galima efektyviau išrūšiuoti antrines žaliavas iš mišraus komunalinių atliekų srauto ir paruošti, kad jas būtų galima perdirbti į antrines žaliavas, kad kuo mažiau atliekų būtų šalinama sąvartynuose ir panaudojama energijai gauti.</w:t>
            </w:r>
          </w:p>
          <w:p w14:paraId="58B47992" w14:textId="77777777" w:rsidR="005106DF" w:rsidRDefault="005106DF" w:rsidP="00685162">
            <w:pPr>
              <w:ind w:firstLine="317"/>
              <w:jc w:val="both"/>
              <w:rPr>
                <w:rFonts w:eastAsia="Calibri"/>
                <w:sz w:val="22"/>
                <w:szCs w:val="22"/>
              </w:rPr>
            </w:pPr>
            <w:r>
              <w:rPr>
                <w:rFonts w:eastAsia="Calibri"/>
                <w:sz w:val="22"/>
                <w:szCs w:val="22"/>
              </w:rPr>
              <w:t>Perdirbimo pajėgumų plėtra bus vykdoma atlikus PAV procedūras, vadovaujantis Direktyva 2011/92.</w:t>
            </w:r>
          </w:p>
          <w:p w14:paraId="1EA8BFC4" w14:textId="77777777" w:rsidR="005106DF" w:rsidRDefault="005106DF" w:rsidP="00685162">
            <w:pPr>
              <w:ind w:firstLine="317"/>
              <w:jc w:val="both"/>
              <w:rPr>
                <w:rFonts w:eastAsia="Calibri"/>
                <w:kern w:val="2"/>
                <w:sz w:val="22"/>
                <w:szCs w:val="22"/>
                <w14:ligatures w14:val="standardContextual"/>
              </w:rPr>
            </w:pPr>
            <w:r>
              <w:rPr>
                <w:rFonts w:eastAsia="Calibri"/>
                <w:sz w:val="22"/>
                <w:szCs w:val="22"/>
              </w:rPr>
              <w:t>Atliekų perdirbimo ar panaudojimo metu išsaugomi ištekliai pakeičia gamtinius išteklius, kurie turėtų būti išgaunami.</w:t>
            </w:r>
          </w:p>
        </w:tc>
        <w:tc>
          <w:tcPr>
            <w:tcW w:w="4252" w:type="dxa"/>
          </w:tcPr>
          <w:p w14:paraId="4AD180FE" w14:textId="4E1BFD3A" w:rsidR="005106DF" w:rsidRDefault="005106DF" w:rsidP="00685162">
            <w:pPr>
              <w:ind w:firstLine="208"/>
              <w:jc w:val="both"/>
              <w:rPr>
                <w:sz w:val="22"/>
                <w:szCs w:val="22"/>
              </w:rPr>
            </w:pPr>
            <w:r>
              <w:rPr>
                <w:sz w:val="22"/>
                <w:szCs w:val="22"/>
              </w:rPr>
              <w:t xml:space="preserve">Jeigu vadovaujantis PAV įstatymu reikia atlikti planuojamos ūkinės veiklos PAV ar atrankos dėl planuojamos ūkinės veiklos PAV procedūras, pareiškėjas </w:t>
            </w:r>
            <w:r w:rsidRPr="00755B8E">
              <w:rPr>
                <w:b/>
                <w:bCs/>
                <w:sz w:val="22"/>
                <w:szCs w:val="22"/>
              </w:rPr>
              <w:t xml:space="preserve">ne vėliau kaip per 2 mėnesius nuo projekto sutarties pasirašymo dienos </w:t>
            </w:r>
            <w:r>
              <w:rPr>
                <w:sz w:val="22"/>
                <w:szCs w:val="22"/>
              </w:rPr>
              <w:t>administruojančiajai institucijai turi pateikti atsakingosios institucijos sprendimą dėl PAV, pagal kurį planuojama ūkinė veikla atitinka teisės aktų reikalavimus ir nedarys neigiamo reikšmingo poveikio aplinkai, ar atrankos išvadą, kad PAV neprivalomas</w:t>
            </w:r>
            <w:r w:rsidR="00331AE0" w:rsidRPr="00927D01">
              <w:rPr>
                <w:strike/>
                <w:sz w:val="22"/>
                <w:szCs w:val="22"/>
              </w:rPr>
              <w:t xml:space="preserve">, </w:t>
            </w:r>
            <w:r w:rsidR="00331AE0" w:rsidRPr="005F1BD8">
              <w:rPr>
                <w:strike/>
                <w:sz w:val="22"/>
                <w:szCs w:val="22"/>
              </w:rPr>
              <w:t xml:space="preserve"> </w:t>
            </w:r>
            <w:r w:rsidR="00331AE0" w:rsidRPr="004A12F3">
              <w:rPr>
                <w:strike/>
                <w:sz w:val="22"/>
                <w:szCs w:val="22"/>
              </w:rPr>
              <w:t>arba pareiškėjo pagrindimą, kodėl minėtos procedūros netaikomos</w:t>
            </w:r>
            <w:r>
              <w:rPr>
                <w:sz w:val="22"/>
                <w:szCs w:val="22"/>
              </w:rPr>
              <w:t>.</w:t>
            </w:r>
          </w:p>
          <w:p w14:paraId="624E725A" w14:textId="0D278D9B" w:rsidR="005106DF" w:rsidRPr="00755B8E" w:rsidRDefault="005106DF" w:rsidP="00685162">
            <w:pPr>
              <w:ind w:firstLine="208"/>
              <w:jc w:val="both"/>
              <w:rPr>
                <w:b/>
                <w:bCs/>
                <w:sz w:val="22"/>
                <w:szCs w:val="22"/>
              </w:rPr>
            </w:pPr>
            <w:r w:rsidRPr="00755B8E">
              <w:rPr>
                <w:b/>
                <w:bCs/>
                <w:sz w:val="22"/>
                <w:szCs w:val="22"/>
              </w:rPr>
              <w:t>Jeigu vadovaujantis PAV įstatymu  planuojamos ūkinės veiklos PAV neatliekamas,  pareiškėjas   su PĮP administruojančiajai institucijai turi pateikti deklaraciją su paaiškinimu kaip projekto metu sukurti pajėgumai prisidės prie</w:t>
            </w:r>
            <w:r w:rsidR="00974599" w:rsidRPr="00755B8E">
              <w:rPr>
                <w:b/>
                <w:bCs/>
                <w:sz w:val="22"/>
                <w:szCs w:val="22"/>
              </w:rPr>
              <w:t xml:space="preserve"> žiedinės ekonomikos, įskaitant atliekų prevenciją ir perdirbimą</w:t>
            </w:r>
            <w:r w:rsidRPr="00755B8E">
              <w:rPr>
                <w:b/>
                <w:bCs/>
                <w:sz w:val="22"/>
                <w:szCs w:val="22"/>
              </w:rPr>
              <w:t>.</w:t>
            </w:r>
          </w:p>
        </w:tc>
      </w:tr>
      <w:tr w:rsidR="00833AA0" w14:paraId="7CDE4354" w14:textId="77777777" w:rsidTr="00313290">
        <w:tc>
          <w:tcPr>
            <w:tcW w:w="1277" w:type="dxa"/>
          </w:tcPr>
          <w:p w14:paraId="08A1C69F" w14:textId="77777777" w:rsidR="005106DF" w:rsidRDefault="005106DF" w:rsidP="00685162">
            <w:pPr>
              <w:tabs>
                <w:tab w:val="left" w:pos="275"/>
              </w:tabs>
              <w:jc w:val="both"/>
              <w:rPr>
                <w:sz w:val="22"/>
                <w:szCs w:val="22"/>
              </w:rPr>
            </w:pPr>
            <w:r>
              <w:rPr>
                <w:sz w:val="22"/>
                <w:szCs w:val="22"/>
              </w:rPr>
              <w:t>5.</w:t>
            </w:r>
            <w:r>
              <w:rPr>
                <w:sz w:val="22"/>
                <w:szCs w:val="22"/>
              </w:rPr>
              <w:tab/>
            </w:r>
            <w:r>
              <w:rPr>
                <w:bCs/>
                <w:sz w:val="22"/>
                <w:szCs w:val="22"/>
              </w:rPr>
              <w:t>Oro, vandens ar žemės taršos prevencija ir kontrolė</w:t>
            </w:r>
          </w:p>
        </w:tc>
        <w:tc>
          <w:tcPr>
            <w:tcW w:w="4536" w:type="dxa"/>
          </w:tcPr>
          <w:p w14:paraId="414D6C8C" w14:textId="1F5118E8" w:rsidR="005106DF" w:rsidRDefault="004B0385" w:rsidP="00685162">
            <w:pPr>
              <w:ind w:firstLine="317"/>
              <w:jc w:val="both"/>
              <w:rPr>
                <w:sz w:val="22"/>
                <w:szCs w:val="22"/>
              </w:rPr>
            </w:pPr>
            <w:r w:rsidRPr="004A12F3">
              <w:rPr>
                <w:strike/>
                <w:sz w:val="22"/>
                <w:szCs w:val="22"/>
              </w:rPr>
              <w:t>Planuojama skirti prioritetą maisto ir virtuvės atliekų paruošimui perdirbti ir perdirbimui.</w:t>
            </w:r>
            <w:r>
              <w:rPr>
                <w:sz w:val="22"/>
                <w:szCs w:val="22"/>
              </w:rPr>
              <w:t xml:space="preserve"> </w:t>
            </w:r>
            <w:r w:rsidR="005106DF" w:rsidRPr="091E7072">
              <w:rPr>
                <w:sz w:val="22"/>
                <w:szCs w:val="22"/>
              </w:rPr>
              <w:t>Siekiant įgyvendinti žiedinės ekonomikos direktyvose numatytus uždavinius, planuojama modernizuoti ir perorientuoti naudojamus mechaninių biologinių atliekų tvarkymo įrenginių pajėgumus, kad juose būtų galima efektyviau išrūšiuoti antrines žaliavas iš mišraus komunalinių atliekų srauto ir paruošti, kad jas būtų galima perdirbti į antrines žaliavas, kad kuo mažiau atliekų būtų šalinama sąvartynuose ir panaudojama energijai gauti.</w:t>
            </w:r>
          </w:p>
          <w:p w14:paraId="524A05D5" w14:textId="77777777" w:rsidR="005106DF" w:rsidRDefault="005106DF" w:rsidP="00685162">
            <w:pPr>
              <w:ind w:firstLine="317"/>
              <w:jc w:val="both"/>
              <w:rPr>
                <w:sz w:val="22"/>
                <w:szCs w:val="22"/>
              </w:rPr>
            </w:pPr>
            <w:r>
              <w:rPr>
                <w:sz w:val="22"/>
                <w:szCs w:val="22"/>
              </w:rPr>
              <w:t xml:space="preserve">Šiuolaikiniai komunalinių atliekų paruošimo perdirbti ir perdirbimo pajėgumai užtikrina, kad oras, vanduo, žemė nebūtų teršiami arba tarša minimali (oro – dėl paruošimo perdirbti ir </w:t>
            </w:r>
            <w:r>
              <w:rPr>
                <w:sz w:val="22"/>
                <w:szCs w:val="22"/>
              </w:rPr>
              <w:lastRenderedPageBreak/>
              <w:t>perdirbimo metu išsiskiriančių dujų, kurių visiškai išvengti neįmanoma), todėl neigiamo poveikio veikla nedarys arba jis bus nereikšmingas, palyginti su žala, kuri galėtų atsirasti be šios veiklos.</w:t>
            </w:r>
          </w:p>
          <w:p w14:paraId="7CCEA773" w14:textId="77777777" w:rsidR="005106DF" w:rsidRDefault="005106DF" w:rsidP="00685162">
            <w:pPr>
              <w:ind w:firstLine="317"/>
              <w:jc w:val="both"/>
              <w:rPr>
                <w:sz w:val="22"/>
                <w:szCs w:val="22"/>
              </w:rPr>
            </w:pPr>
            <w:r>
              <w:rPr>
                <w:sz w:val="22"/>
                <w:szCs w:val="22"/>
              </w:rPr>
              <w:t>Atliekų perdirbimas ir panaudojimas leidžia išvengti žalos, kuri galėtų atsirasti be šios veiklos – taršos filtratų ir juose esančių teršalų (įvairių metalų (</w:t>
            </w:r>
            <w:proofErr w:type="spellStart"/>
            <w:r>
              <w:rPr>
                <w:sz w:val="22"/>
                <w:szCs w:val="22"/>
              </w:rPr>
              <w:t>Zn</w:t>
            </w:r>
            <w:proofErr w:type="spellEnd"/>
            <w:r>
              <w:rPr>
                <w:sz w:val="22"/>
                <w:szCs w:val="22"/>
              </w:rPr>
              <w:t xml:space="preserve">, </w:t>
            </w:r>
            <w:proofErr w:type="spellStart"/>
            <w:r>
              <w:rPr>
                <w:sz w:val="22"/>
                <w:szCs w:val="22"/>
              </w:rPr>
              <w:t>Pb</w:t>
            </w:r>
            <w:proofErr w:type="spellEnd"/>
            <w:r>
              <w:rPr>
                <w:sz w:val="22"/>
                <w:szCs w:val="22"/>
              </w:rPr>
              <w:t xml:space="preserve">, </w:t>
            </w:r>
            <w:proofErr w:type="spellStart"/>
            <w:r>
              <w:rPr>
                <w:sz w:val="22"/>
                <w:szCs w:val="22"/>
              </w:rPr>
              <w:t>Cu</w:t>
            </w:r>
            <w:proofErr w:type="spellEnd"/>
            <w:r>
              <w:rPr>
                <w:sz w:val="22"/>
                <w:szCs w:val="22"/>
              </w:rPr>
              <w:t xml:space="preserve">, </w:t>
            </w:r>
            <w:proofErr w:type="spellStart"/>
            <w:r>
              <w:rPr>
                <w:sz w:val="22"/>
                <w:szCs w:val="22"/>
              </w:rPr>
              <w:t>As</w:t>
            </w:r>
            <w:proofErr w:type="spellEnd"/>
            <w:r>
              <w:rPr>
                <w:sz w:val="22"/>
                <w:szCs w:val="22"/>
              </w:rPr>
              <w:t>), druskų, organinių teršalų, įskaitant patvariuosius organinius teršalus (POT)), eutrofikacijos dėl maistinių medžiagų, degalų, tepalų ir pan. skysčių patekimo į žemę, paviršinius ir požeminius vandenis, oro tarša sąvartynų dujomis, transporto ir sąvartynuose veikiančių mechanizmų sukeliama oro tarša šalinant atliekas sąvartynuose, oro tarša saugant ir ruošiant atliekas deginti, deginimo metu galimos taršos SO</w:t>
            </w:r>
            <w:r>
              <w:rPr>
                <w:sz w:val="22"/>
                <w:szCs w:val="22"/>
                <w:vertAlign w:val="subscript"/>
              </w:rPr>
              <w:t>2</w:t>
            </w:r>
            <w:r>
              <w:rPr>
                <w:sz w:val="22"/>
                <w:szCs w:val="22"/>
              </w:rPr>
              <w:t xml:space="preserve">, </w:t>
            </w:r>
            <w:proofErr w:type="spellStart"/>
            <w:r>
              <w:rPr>
                <w:sz w:val="22"/>
                <w:szCs w:val="22"/>
              </w:rPr>
              <w:t>NOx</w:t>
            </w:r>
            <w:proofErr w:type="spellEnd"/>
            <w:r>
              <w:rPr>
                <w:sz w:val="22"/>
                <w:szCs w:val="22"/>
              </w:rPr>
              <w:t xml:space="preserve">, HF, </w:t>
            </w:r>
            <w:proofErr w:type="spellStart"/>
            <w:r>
              <w:rPr>
                <w:sz w:val="22"/>
                <w:szCs w:val="22"/>
              </w:rPr>
              <w:t>HCl</w:t>
            </w:r>
            <w:proofErr w:type="spellEnd"/>
            <w:r>
              <w:rPr>
                <w:sz w:val="22"/>
                <w:szCs w:val="22"/>
              </w:rPr>
              <w:t>, LOJ, CO, N</w:t>
            </w:r>
            <w:r>
              <w:rPr>
                <w:sz w:val="22"/>
                <w:szCs w:val="22"/>
                <w:vertAlign w:val="subscript"/>
              </w:rPr>
              <w:t>2</w:t>
            </w:r>
            <w:r>
              <w:rPr>
                <w:sz w:val="22"/>
                <w:szCs w:val="22"/>
              </w:rPr>
              <w:t xml:space="preserve">O medžiagomis, šių teršalų nusėdimo į žemę ir vandenį, vandens teršalų išsiplovimo iš šlako ir pelenų. </w:t>
            </w:r>
          </w:p>
          <w:p w14:paraId="1EFAD646" w14:textId="77777777" w:rsidR="005106DF" w:rsidRDefault="005106DF" w:rsidP="00685162">
            <w:pPr>
              <w:ind w:firstLine="317"/>
              <w:jc w:val="both"/>
              <w:rPr>
                <w:sz w:val="22"/>
                <w:szCs w:val="22"/>
              </w:rPr>
            </w:pPr>
            <w:r>
              <w:rPr>
                <w:sz w:val="22"/>
                <w:szCs w:val="22"/>
              </w:rPr>
              <w:t>Perdirbant atliekas mažiau reikia pirminių žaliavų, kurių gavyba teršia aplinką, tai irgi teigiamai paveiks oro, vandens ir žemės švarą.</w:t>
            </w:r>
          </w:p>
          <w:p w14:paraId="17FAF9B3" w14:textId="77777777" w:rsidR="005106DF" w:rsidRDefault="005106DF" w:rsidP="00685162">
            <w:pPr>
              <w:ind w:firstLine="317"/>
              <w:jc w:val="both"/>
              <w:rPr>
                <w:sz w:val="22"/>
                <w:szCs w:val="22"/>
              </w:rPr>
            </w:pPr>
            <w:r>
              <w:rPr>
                <w:sz w:val="22"/>
                <w:szCs w:val="22"/>
              </w:rPr>
              <w:t xml:space="preserve">Apibendrinus tai, kas išdėstyta, daroma išvada, kad veikla tiesiogiai gerina oro, vandens ir žemės apsaugą, galima tarša dėl atliekų perdirbimo galima tik avarijų (techninis ir žmogiškasis faktoriai) ir (arba) nesilaikant atliekų paruošimo perdirbti ir perdirbimo proceso reikalavimų (žmogiškasis faktorius). </w:t>
            </w:r>
          </w:p>
        </w:tc>
        <w:tc>
          <w:tcPr>
            <w:tcW w:w="4252" w:type="dxa"/>
          </w:tcPr>
          <w:p w14:paraId="2BEEFEAD" w14:textId="77777777" w:rsidR="005F488A" w:rsidRPr="00944366" w:rsidRDefault="005F488A" w:rsidP="005F488A">
            <w:pPr>
              <w:ind w:firstLine="208"/>
              <w:jc w:val="both"/>
              <w:rPr>
                <w:strike/>
                <w:sz w:val="22"/>
                <w:szCs w:val="22"/>
              </w:rPr>
            </w:pPr>
            <w:r w:rsidRPr="00944366">
              <w:rPr>
                <w:strike/>
                <w:sz w:val="22"/>
                <w:szCs w:val="22"/>
              </w:rPr>
              <w:lastRenderedPageBreak/>
              <w:t>Jeigu vadovaujantis PAV įstatymu reikia atlikti planuojamos ūkinės veiklos PAV ar atrankos dėl planuojamos ūkinės veiklos PAV procedūras, pareiškėjas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p w14:paraId="3AEEF949" w14:textId="3EB92CFC" w:rsidR="005106DF" w:rsidRPr="00944366" w:rsidRDefault="005106DF" w:rsidP="00833AA0">
            <w:pPr>
              <w:jc w:val="both"/>
              <w:rPr>
                <w:b/>
                <w:bCs/>
                <w:sz w:val="22"/>
                <w:szCs w:val="22"/>
              </w:rPr>
            </w:pPr>
            <w:r w:rsidRPr="00944366">
              <w:rPr>
                <w:b/>
                <w:bCs/>
                <w:sz w:val="22"/>
                <w:szCs w:val="22"/>
              </w:rPr>
              <w:t>Pagrindimo dokumentai neteikiami.</w:t>
            </w:r>
          </w:p>
        </w:tc>
      </w:tr>
      <w:tr w:rsidR="00833AA0" w14:paraId="3106E7FD" w14:textId="77777777" w:rsidTr="00313290">
        <w:tc>
          <w:tcPr>
            <w:tcW w:w="1277" w:type="dxa"/>
          </w:tcPr>
          <w:p w14:paraId="75C9D73D" w14:textId="77777777" w:rsidR="005106DF" w:rsidRDefault="005106DF" w:rsidP="00685162">
            <w:pPr>
              <w:tabs>
                <w:tab w:val="left" w:pos="309"/>
              </w:tabs>
              <w:jc w:val="both"/>
              <w:rPr>
                <w:sz w:val="22"/>
                <w:szCs w:val="22"/>
              </w:rPr>
            </w:pPr>
            <w:r>
              <w:rPr>
                <w:sz w:val="22"/>
                <w:szCs w:val="22"/>
              </w:rPr>
              <w:t>6.</w:t>
            </w:r>
            <w:r>
              <w:rPr>
                <w:sz w:val="22"/>
                <w:szCs w:val="22"/>
              </w:rPr>
              <w:tab/>
              <w:t>Biologinės įvairovės ir ekosistemų apsauga ir atkūrimas</w:t>
            </w:r>
          </w:p>
        </w:tc>
        <w:tc>
          <w:tcPr>
            <w:tcW w:w="4536" w:type="dxa"/>
          </w:tcPr>
          <w:p w14:paraId="5B532463" w14:textId="77777777" w:rsidR="005106DF" w:rsidRDefault="005106DF" w:rsidP="00685162">
            <w:pPr>
              <w:ind w:firstLine="317"/>
              <w:jc w:val="both"/>
              <w:rPr>
                <w:rFonts w:eastAsia="Calibri"/>
                <w:sz w:val="22"/>
                <w:szCs w:val="22"/>
              </w:rPr>
            </w:pPr>
            <w:r>
              <w:rPr>
                <w:rFonts w:eastAsia="Calibri"/>
                <w:sz w:val="22"/>
                <w:szCs w:val="22"/>
              </w:rPr>
              <w:t>Veikla tiesioginio neigiamo poveikio natūralioms buveinėms ir biologinei įvairovei (įskaitant pasekmes gyvūnijai ir augalijai) nekelia, nes saugomose, jautriose aplinkai teritorijose neleidžiama statyti atliekų tvarkymo įrenginių.</w:t>
            </w:r>
          </w:p>
          <w:p w14:paraId="1FA7D317" w14:textId="41EB26EC" w:rsidR="005106DF" w:rsidRDefault="00944366" w:rsidP="00685162">
            <w:pPr>
              <w:ind w:firstLine="317"/>
              <w:jc w:val="both"/>
              <w:rPr>
                <w:sz w:val="22"/>
                <w:szCs w:val="22"/>
              </w:rPr>
            </w:pPr>
            <w:r w:rsidRPr="004A12F3">
              <w:rPr>
                <w:strike/>
                <w:sz w:val="22"/>
                <w:szCs w:val="22"/>
              </w:rPr>
              <w:t>Planuojama skirti prioritetą maisto ir virtuvės atliekų paruošimui perdirbti ir perdirbimui.</w:t>
            </w:r>
            <w:r>
              <w:rPr>
                <w:sz w:val="22"/>
                <w:szCs w:val="22"/>
              </w:rPr>
              <w:t xml:space="preserve"> </w:t>
            </w:r>
            <w:r w:rsidR="005106DF" w:rsidRPr="091E7072">
              <w:rPr>
                <w:sz w:val="22"/>
                <w:szCs w:val="22"/>
              </w:rPr>
              <w:t>Siekiant įgyvendinti žiedinės ekonomikos direktyvose numatytus uždavinius, planuojama modernizuoti ir perorientuoti naudojamus mechaninių biologinių atliekų tvarkymo įrenginių pajėgumus, kad juose būtų galima efektyviau paruošti perdirbimui ir perdirbti maisto ir virtuvės atliekas, kad kuo mažiau atliekų būtų šalinama sąvartynuose ir panaudojama energijai gauti.</w:t>
            </w:r>
          </w:p>
        </w:tc>
        <w:tc>
          <w:tcPr>
            <w:tcW w:w="4252" w:type="dxa"/>
          </w:tcPr>
          <w:p w14:paraId="49608FEF" w14:textId="77777777" w:rsidR="00944366" w:rsidRPr="00944366" w:rsidRDefault="00944366" w:rsidP="00944366">
            <w:pPr>
              <w:ind w:firstLine="208"/>
              <w:jc w:val="both"/>
              <w:rPr>
                <w:strike/>
                <w:sz w:val="22"/>
                <w:szCs w:val="22"/>
              </w:rPr>
            </w:pPr>
            <w:r w:rsidRPr="00944366">
              <w:rPr>
                <w:strike/>
                <w:sz w:val="22"/>
                <w:szCs w:val="22"/>
              </w:rPr>
              <w:t>Jeigu vadovaujantis PAV įstatymu reikia atlikti planuojamos ūkinės veiklos PAV ar atrankos dėl planuojamos ūkinės veiklos PAV procedūras, pareiškėjas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p w14:paraId="08EAC151" w14:textId="1AEBA6F9" w:rsidR="005106DF" w:rsidRPr="00944366" w:rsidRDefault="005106DF" w:rsidP="00833AA0">
            <w:pPr>
              <w:jc w:val="both"/>
              <w:rPr>
                <w:b/>
                <w:bCs/>
                <w:sz w:val="22"/>
                <w:szCs w:val="22"/>
              </w:rPr>
            </w:pPr>
            <w:r w:rsidRPr="00944366">
              <w:rPr>
                <w:b/>
                <w:bCs/>
                <w:sz w:val="22"/>
                <w:szCs w:val="22"/>
              </w:rPr>
              <w:t>Pagrindimo dokumentai neteikiami.</w:t>
            </w:r>
          </w:p>
        </w:tc>
      </w:tr>
    </w:tbl>
    <w:p w14:paraId="5FFC293B" w14:textId="77777777" w:rsidR="005106DF" w:rsidRDefault="005106DF" w:rsidP="00EE74D4">
      <w:pPr>
        <w:spacing w:line="276" w:lineRule="auto"/>
        <w:jc w:val="both"/>
        <w:rPr>
          <w:color w:val="000000"/>
          <w:szCs w:val="24"/>
          <w:lang w:eastAsia="lt-LT"/>
        </w:rPr>
      </w:pPr>
    </w:p>
    <w:p w14:paraId="0F7F5D4E" w14:textId="06AE2192" w:rsidR="00AB0338" w:rsidRPr="002F498D" w:rsidRDefault="002250CB" w:rsidP="00313290">
      <w:pPr>
        <w:spacing w:line="276" w:lineRule="auto"/>
        <w:jc w:val="both"/>
        <w:rPr>
          <w:szCs w:val="24"/>
          <w:lang w:eastAsia="lt-LT"/>
        </w:rPr>
      </w:pPr>
      <w:r w:rsidRPr="002250CB">
        <w:rPr>
          <w:color w:val="000000"/>
          <w:szCs w:val="24"/>
          <w:lang w:eastAsia="lt-LT"/>
        </w:rPr>
        <w:t> </w:t>
      </w:r>
      <w:bookmarkStart w:id="0" w:name="_Hlk169734391"/>
      <w:bookmarkStart w:id="1" w:name="_Hlk174974439"/>
      <w:bookmarkEnd w:id="0"/>
      <w:r w:rsidR="00AB0338">
        <w:rPr>
          <w:szCs w:val="24"/>
          <w:lang w:eastAsia="lt-LT"/>
        </w:rPr>
        <w:t>Aplinkos</w:t>
      </w:r>
      <w:r w:rsidR="00AB0338" w:rsidRPr="002F498D">
        <w:rPr>
          <w:szCs w:val="24"/>
          <w:lang w:eastAsia="lt-LT"/>
        </w:rPr>
        <w:t xml:space="preserve"> ministras</w:t>
      </w:r>
      <w:r w:rsidR="00AB0338">
        <w:rPr>
          <w:szCs w:val="24"/>
          <w:lang w:eastAsia="lt-LT"/>
        </w:rPr>
        <w:t xml:space="preserve">                                            </w:t>
      </w:r>
      <w:r w:rsidR="00AB0338" w:rsidRPr="002F498D">
        <w:rPr>
          <w:szCs w:val="24"/>
          <w:lang w:eastAsia="lt-LT"/>
        </w:rPr>
        <w:t xml:space="preserve">  </w:t>
      </w:r>
      <w:r w:rsidR="00AB0338">
        <w:rPr>
          <w:szCs w:val="24"/>
          <w:lang w:eastAsia="lt-LT"/>
        </w:rPr>
        <w:t xml:space="preserve">    </w:t>
      </w:r>
      <w:r w:rsidR="00AB0338" w:rsidRPr="002F498D">
        <w:rPr>
          <w:szCs w:val="24"/>
          <w:lang w:eastAsia="lt-LT"/>
        </w:rPr>
        <w:t xml:space="preserve"> </w:t>
      </w:r>
    </w:p>
    <w:bookmarkEnd w:id="1"/>
    <w:p w14:paraId="1AAF86A7" w14:textId="77777777" w:rsidR="002E2D90" w:rsidRPr="009B465B" w:rsidRDefault="002E2D90" w:rsidP="009B465B">
      <w:pPr>
        <w:spacing w:line="276" w:lineRule="auto"/>
        <w:ind w:firstLine="567"/>
        <w:jc w:val="both"/>
        <w:rPr>
          <w:color w:val="000000"/>
          <w:szCs w:val="24"/>
          <w:lang w:eastAsia="lt-LT"/>
        </w:rPr>
      </w:pPr>
    </w:p>
    <w:p w14:paraId="5E09915B" w14:textId="77777777" w:rsidR="00F778EB" w:rsidRDefault="00F778EB" w:rsidP="009B465B">
      <w:pPr>
        <w:ind w:firstLine="8505"/>
        <w:textAlignment w:val="baseline"/>
        <w:rPr>
          <w:szCs w:val="24"/>
          <w:lang w:eastAsia="lt-LT"/>
        </w:rPr>
      </w:pPr>
    </w:p>
    <w:p w14:paraId="788F39A9" w14:textId="77777777" w:rsidR="00F778EB" w:rsidRDefault="00F778EB" w:rsidP="009B465B">
      <w:pPr>
        <w:ind w:firstLine="8505"/>
        <w:textAlignment w:val="baseline"/>
        <w:rPr>
          <w:szCs w:val="24"/>
          <w:lang w:eastAsia="lt-LT"/>
        </w:rPr>
      </w:pPr>
    </w:p>
    <w:p w14:paraId="14638D56" w14:textId="77777777" w:rsidR="00F778EB" w:rsidRDefault="00F778EB" w:rsidP="009B465B">
      <w:pPr>
        <w:ind w:firstLine="8505"/>
        <w:textAlignment w:val="baseline"/>
        <w:rPr>
          <w:szCs w:val="24"/>
          <w:lang w:eastAsia="lt-LT"/>
        </w:rPr>
      </w:pPr>
    </w:p>
    <w:p w14:paraId="7431350E" w14:textId="77777777" w:rsidR="00F778EB" w:rsidRDefault="00F778EB" w:rsidP="009B465B">
      <w:pPr>
        <w:ind w:firstLine="8505"/>
        <w:textAlignment w:val="baseline"/>
        <w:rPr>
          <w:szCs w:val="24"/>
          <w:lang w:eastAsia="lt-LT"/>
        </w:rPr>
      </w:pPr>
    </w:p>
    <w:p w14:paraId="46BFFE0C" w14:textId="77777777" w:rsidR="00F778EB" w:rsidRDefault="00F778EB" w:rsidP="009B465B">
      <w:pPr>
        <w:ind w:firstLine="8505"/>
        <w:textAlignment w:val="baseline"/>
        <w:rPr>
          <w:szCs w:val="24"/>
          <w:lang w:eastAsia="lt-LT"/>
        </w:rPr>
      </w:pPr>
    </w:p>
    <w:p w14:paraId="68AB5992" w14:textId="77777777" w:rsidR="00F778EB" w:rsidRDefault="00F778EB" w:rsidP="009B465B">
      <w:pPr>
        <w:ind w:firstLine="8505"/>
        <w:textAlignment w:val="baseline"/>
        <w:rPr>
          <w:szCs w:val="24"/>
          <w:lang w:eastAsia="lt-LT"/>
        </w:rPr>
      </w:pPr>
    </w:p>
    <w:p w14:paraId="3549D50A" w14:textId="77777777" w:rsidR="00F778EB" w:rsidRDefault="00F778EB" w:rsidP="009B465B">
      <w:pPr>
        <w:ind w:firstLine="8505"/>
        <w:textAlignment w:val="baseline"/>
        <w:rPr>
          <w:szCs w:val="24"/>
          <w:lang w:eastAsia="lt-LT"/>
        </w:rPr>
      </w:pPr>
    </w:p>
    <w:p w14:paraId="5045F6B6" w14:textId="77777777" w:rsidR="00F0038B" w:rsidRPr="009B465B" w:rsidRDefault="00F0038B" w:rsidP="00C94328">
      <w:pPr>
        <w:ind w:firstLine="8505"/>
        <w:textAlignment w:val="baseline"/>
        <w:rPr>
          <w:szCs w:val="24"/>
          <w:lang w:eastAsia="lt-LT"/>
        </w:rPr>
      </w:pPr>
    </w:p>
    <w:sectPr w:rsidR="00F0038B" w:rsidRPr="009B465B" w:rsidSect="0009559F">
      <w:headerReference w:type="even" r:id="rId12"/>
      <w:headerReference w:type="default" r:id="rId13"/>
      <w:footerReference w:type="even" r:id="rId14"/>
      <w:footerReference w:type="default" r:id="rId15"/>
      <w:headerReference w:type="first" r:id="rId16"/>
      <w:footerReference w:type="first" r:id="rId17"/>
      <w:pgSz w:w="11906" w:h="16838"/>
      <w:pgMar w:top="851" w:right="70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8A43" w14:textId="77777777" w:rsidR="005A7737" w:rsidRDefault="005A7737">
      <w:pPr>
        <w:suppressAutoHyphens/>
        <w:rPr>
          <w:lang w:eastAsia="zh-CN"/>
        </w:rPr>
      </w:pPr>
      <w:r>
        <w:rPr>
          <w:lang w:eastAsia="zh-CN"/>
        </w:rPr>
        <w:separator/>
      </w:r>
    </w:p>
  </w:endnote>
  <w:endnote w:type="continuationSeparator" w:id="0">
    <w:p w14:paraId="1383A20F" w14:textId="77777777" w:rsidR="005A7737" w:rsidRDefault="005A7737">
      <w:pPr>
        <w:suppressAutoHyphens/>
        <w:rPr>
          <w:lang w:eastAsia="zh-CN"/>
        </w:rPr>
      </w:pPr>
      <w:r>
        <w:rPr>
          <w:lang w:eastAsia="zh-CN"/>
        </w:rPr>
        <w:continuationSeparator/>
      </w:r>
    </w:p>
  </w:endnote>
  <w:endnote w:type="continuationNotice" w:id="1">
    <w:p w14:paraId="06CEEE27" w14:textId="77777777" w:rsidR="005A7737" w:rsidRDefault="005A7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1E9F" w14:textId="77777777" w:rsidR="004D7F34" w:rsidRDefault="004D7F34">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4026" w14:textId="77777777" w:rsidR="004D7F34" w:rsidRDefault="004D7F34">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3BB5" w14:textId="77777777" w:rsidR="004D7F34" w:rsidRDefault="004D7F34">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FD01" w14:textId="77777777" w:rsidR="005A7737" w:rsidRDefault="005A7737">
      <w:pPr>
        <w:suppressAutoHyphens/>
        <w:rPr>
          <w:lang w:eastAsia="zh-CN"/>
        </w:rPr>
      </w:pPr>
      <w:r>
        <w:rPr>
          <w:lang w:eastAsia="zh-CN"/>
        </w:rPr>
        <w:separator/>
      </w:r>
    </w:p>
  </w:footnote>
  <w:footnote w:type="continuationSeparator" w:id="0">
    <w:p w14:paraId="04F3C742" w14:textId="77777777" w:rsidR="005A7737" w:rsidRDefault="005A7737">
      <w:pPr>
        <w:suppressAutoHyphens/>
        <w:rPr>
          <w:lang w:eastAsia="zh-CN"/>
        </w:rPr>
      </w:pPr>
      <w:r>
        <w:rPr>
          <w:lang w:eastAsia="zh-CN"/>
        </w:rPr>
        <w:continuationSeparator/>
      </w:r>
    </w:p>
  </w:footnote>
  <w:footnote w:type="continuationNotice" w:id="1">
    <w:p w14:paraId="216BA0B2" w14:textId="77777777" w:rsidR="005A7737" w:rsidRDefault="005A7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B091" w14:textId="77777777" w:rsidR="004D7F34" w:rsidRDefault="004D7F34">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535179"/>
      <w:docPartObj>
        <w:docPartGallery w:val="Page Numbers (Top of Page)"/>
        <w:docPartUnique/>
      </w:docPartObj>
    </w:sdtPr>
    <w:sdtEndPr/>
    <w:sdtContent>
      <w:p w14:paraId="3C7860C2" w14:textId="77777777" w:rsidR="00FA4B52" w:rsidRDefault="000F1F7B" w:rsidP="00D963A8">
        <w:pPr>
          <w:pStyle w:val="Antrats"/>
          <w:jc w:val="center"/>
        </w:pPr>
        <w:r>
          <w:fldChar w:fldCharType="begin"/>
        </w:r>
        <w:r>
          <w:instrText>PAGE   \* MERGEFORMAT</w:instrText>
        </w:r>
        <w:r>
          <w:fldChar w:fldCharType="separate"/>
        </w:r>
        <w:r>
          <w:t>2</w:t>
        </w:r>
        <w:r>
          <w:fldChar w:fldCharType="end"/>
        </w:r>
      </w:p>
      <w:p w14:paraId="63282D1F" w14:textId="59B62A0F" w:rsidR="004D7F34" w:rsidRPr="00D963A8" w:rsidRDefault="00E627F9" w:rsidP="00D963A8">
        <w:pPr>
          <w:pStyle w:val="Antrats"/>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D03F" w14:textId="123C9211" w:rsidR="000F1F7B" w:rsidRDefault="000F1F7B">
    <w:pPr>
      <w:pStyle w:val="Antrats"/>
      <w:jc w:val="center"/>
    </w:pPr>
  </w:p>
  <w:p w14:paraId="7F96A4A0" w14:textId="77777777" w:rsidR="000054FB" w:rsidRDefault="000054FB" w:rsidP="000054F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EC2"/>
    <w:multiLevelType w:val="hybridMultilevel"/>
    <w:tmpl w:val="8A3475E8"/>
    <w:lvl w:ilvl="0" w:tplc="6C36DE9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19C9025D"/>
    <w:multiLevelType w:val="hybridMultilevel"/>
    <w:tmpl w:val="2348C4D4"/>
    <w:lvl w:ilvl="0" w:tplc="74BE3C0C">
      <w:start w:val="1"/>
      <w:numFmt w:val="decimal"/>
      <w:lvlText w:val="%1."/>
      <w:lvlJc w:val="left"/>
      <w:pPr>
        <w:ind w:left="720" w:hanging="360"/>
      </w:pPr>
    </w:lvl>
    <w:lvl w:ilvl="1" w:tplc="02CEF0EE">
      <w:start w:val="1"/>
      <w:numFmt w:val="lowerLetter"/>
      <w:lvlText w:val="%2."/>
      <w:lvlJc w:val="left"/>
      <w:pPr>
        <w:ind w:left="1440" w:hanging="360"/>
      </w:pPr>
    </w:lvl>
    <w:lvl w:ilvl="2" w:tplc="A4945FA0">
      <w:start w:val="1"/>
      <w:numFmt w:val="lowerRoman"/>
      <w:lvlText w:val="%3."/>
      <w:lvlJc w:val="right"/>
      <w:pPr>
        <w:ind w:left="2160" w:hanging="180"/>
      </w:pPr>
    </w:lvl>
    <w:lvl w:ilvl="3" w:tplc="E28A8C84">
      <w:start w:val="1"/>
      <w:numFmt w:val="decimal"/>
      <w:lvlText w:val="%4."/>
      <w:lvlJc w:val="left"/>
      <w:pPr>
        <w:ind w:left="2880" w:hanging="360"/>
      </w:pPr>
    </w:lvl>
    <w:lvl w:ilvl="4" w:tplc="0CA6A422">
      <w:start w:val="1"/>
      <w:numFmt w:val="lowerLetter"/>
      <w:lvlText w:val="%5."/>
      <w:lvlJc w:val="left"/>
      <w:pPr>
        <w:ind w:left="3600" w:hanging="360"/>
      </w:pPr>
    </w:lvl>
    <w:lvl w:ilvl="5" w:tplc="5192E62C">
      <w:start w:val="1"/>
      <w:numFmt w:val="lowerRoman"/>
      <w:lvlText w:val="%6."/>
      <w:lvlJc w:val="right"/>
      <w:pPr>
        <w:ind w:left="4320" w:hanging="180"/>
      </w:pPr>
    </w:lvl>
    <w:lvl w:ilvl="6" w:tplc="E82C8CC8">
      <w:start w:val="1"/>
      <w:numFmt w:val="decimal"/>
      <w:lvlText w:val="%7."/>
      <w:lvlJc w:val="left"/>
      <w:pPr>
        <w:ind w:left="5040" w:hanging="360"/>
      </w:pPr>
    </w:lvl>
    <w:lvl w:ilvl="7" w:tplc="60C032AE">
      <w:start w:val="1"/>
      <w:numFmt w:val="lowerLetter"/>
      <w:lvlText w:val="%8."/>
      <w:lvlJc w:val="left"/>
      <w:pPr>
        <w:ind w:left="5760" w:hanging="360"/>
      </w:pPr>
    </w:lvl>
    <w:lvl w:ilvl="8" w:tplc="A392BCA0">
      <w:start w:val="1"/>
      <w:numFmt w:val="lowerRoman"/>
      <w:lvlText w:val="%9."/>
      <w:lvlJc w:val="right"/>
      <w:pPr>
        <w:ind w:left="6480" w:hanging="180"/>
      </w:pPr>
    </w:lvl>
  </w:abstractNum>
  <w:abstractNum w:abstractNumId="2" w15:restartNumberingAfterBreak="0">
    <w:nsid w:val="202A2BAD"/>
    <w:multiLevelType w:val="hybridMultilevel"/>
    <w:tmpl w:val="A72487E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153233A"/>
    <w:multiLevelType w:val="hybridMultilevel"/>
    <w:tmpl w:val="173E1E86"/>
    <w:lvl w:ilvl="0" w:tplc="EA008BB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4BC6931"/>
    <w:multiLevelType w:val="hybridMultilevel"/>
    <w:tmpl w:val="C8B44C8C"/>
    <w:lvl w:ilvl="0" w:tplc="3864AF9E">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4624775"/>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D0B7FB4"/>
    <w:multiLevelType w:val="hybridMultilevel"/>
    <w:tmpl w:val="3A44D2FE"/>
    <w:lvl w:ilvl="0" w:tplc="AF4479DA">
      <w:numFmt w:val="bullet"/>
      <w:lvlText w:val="-"/>
      <w:lvlJc w:val="left"/>
      <w:pPr>
        <w:ind w:left="586" w:hanging="360"/>
      </w:pPr>
      <w:rPr>
        <w:rFonts w:ascii="Times New Roman" w:eastAsia="Times New Roman" w:hAnsi="Times New Roman" w:cs="Times New Roman" w:hint="default"/>
      </w:rPr>
    </w:lvl>
    <w:lvl w:ilvl="1" w:tplc="04270003" w:tentative="1">
      <w:start w:val="1"/>
      <w:numFmt w:val="bullet"/>
      <w:lvlText w:val="o"/>
      <w:lvlJc w:val="left"/>
      <w:pPr>
        <w:ind w:left="1306" w:hanging="360"/>
      </w:pPr>
      <w:rPr>
        <w:rFonts w:ascii="Courier New" w:hAnsi="Courier New" w:cs="Courier New" w:hint="default"/>
      </w:rPr>
    </w:lvl>
    <w:lvl w:ilvl="2" w:tplc="04270005" w:tentative="1">
      <w:start w:val="1"/>
      <w:numFmt w:val="bullet"/>
      <w:lvlText w:val=""/>
      <w:lvlJc w:val="left"/>
      <w:pPr>
        <w:ind w:left="2026" w:hanging="360"/>
      </w:pPr>
      <w:rPr>
        <w:rFonts w:ascii="Wingdings" w:hAnsi="Wingdings" w:hint="default"/>
      </w:rPr>
    </w:lvl>
    <w:lvl w:ilvl="3" w:tplc="04270001" w:tentative="1">
      <w:start w:val="1"/>
      <w:numFmt w:val="bullet"/>
      <w:lvlText w:val=""/>
      <w:lvlJc w:val="left"/>
      <w:pPr>
        <w:ind w:left="2746" w:hanging="360"/>
      </w:pPr>
      <w:rPr>
        <w:rFonts w:ascii="Symbol" w:hAnsi="Symbol" w:hint="default"/>
      </w:rPr>
    </w:lvl>
    <w:lvl w:ilvl="4" w:tplc="04270003" w:tentative="1">
      <w:start w:val="1"/>
      <w:numFmt w:val="bullet"/>
      <w:lvlText w:val="o"/>
      <w:lvlJc w:val="left"/>
      <w:pPr>
        <w:ind w:left="3466" w:hanging="360"/>
      </w:pPr>
      <w:rPr>
        <w:rFonts w:ascii="Courier New" w:hAnsi="Courier New" w:cs="Courier New" w:hint="default"/>
      </w:rPr>
    </w:lvl>
    <w:lvl w:ilvl="5" w:tplc="04270005" w:tentative="1">
      <w:start w:val="1"/>
      <w:numFmt w:val="bullet"/>
      <w:lvlText w:val=""/>
      <w:lvlJc w:val="left"/>
      <w:pPr>
        <w:ind w:left="4186" w:hanging="360"/>
      </w:pPr>
      <w:rPr>
        <w:rFonts w:ascii="Wingdings" w:hAnsi="Wingdings" w:hint="default"/>
      </w:rPr>
    </w:lvl>
    <w:lvl w:ilvl="6" w:tplc="04270001" w:tentative="1">
      <w:start w:val="1"/>
      <w:numFmt w:val="bullet"/>
      <w:lvlText w:val=""/>
      <w:lvlJc w:val="left"/>
      <w:pPr>
        <w:ind w:left="4906" w:hanging="360"/>
      </w:pPr>
      <w:rPr>
        <w:rFonts w:ascii="Symbol" w:hAnsi="Symbol" w:hint="default"/>
      </w:rPr>
    </w:lvl>
    <w:lvl w:ilvl="7" w:tplc="04270003" w:tentative="1">
      <w:start w:val="1"/>
      <w:numFmt w:val="bullet"/>
      <w:lvlText w:val="o"/>
      <w:lvlJc w:val="left"/>
      <w:pPr>
        <w:ind w:left="5626" w:hanging="360"/>
      </w:pPr>
      <w:rPr>
        <w:rFonts w:ascii="Courier New" w:hAnsi="Courier New" w:cs="Courier New" w:hint="default"/>
      </w:rPr>
    </w:lvl>
    <w:lvl w:ilvl="8" w:tplc="04270005" w:tentative="1">
      <w:start w:val="1"/>
      <w:numFmt w:val="bullet"/>
      <w:lvlText w:val=""/>
      <w:lvlJc w:val="left"/>
      <w:pPr>
        <w:ind w:left="6346" w:hanging="360"/>
      </w:pPr>
      <w:rPr>
        <w:rFonts w:ascii="Wingdings" w:hAnsi="Wingdings" w:hint="default"/>
      </w:rPr>
    </w:lvl>
  </w:abstractNum>
  <w:abstractNum w:abstractNumId="7" w15:restartNumberingAfterBreak="0">
    <w:nsid w:val="45BD2403"/>
    <w:multiLevelType w:val="hybridMultilevel"/>
    <w:tmpl w:val="78327F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465C702F"/>
    <w:multiLevelType w:val="hybridMultilevel"/>
    <w:tmpl w:val="129E855C"/>
    <w:lvl w:ilvl="0" w:tplc="2FFE7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6BC229F"/>
    <w:multiLevelType w:val="hybridMultilevel"/>
    <w:tmpl w:val="EA3246FC"/>
    <w:lvl w:ilvl="0" w:tplc="0427000F">
      <w:start w:val="1"/>
      <w:numFmt w:val="decimal"/>
      <w:lvlText w:val="%1."/>
      <w:lvlJc w:val="left"/>
      <w:pPr>
        <w:ind w:left="946" w:hanging="360"/>
      </w:pPr>
    </w:lvl>
    <w:lvl w:ilvl="1" w:tplc="04270019" w:tentative="1">
      <w:start w:val="1"/>
      <w:numFmt w:val="lowerLetter"/>
      <w:lvlText w:val="%2."/>
      <w:lvlJc w:val="left"/>
      <w:pPr>
        <w:ind w:left="1666" w:hanging="360"/>
      </w:pPr>
    </w:lvl>
    <w:lvl w:ilvl="2" w:tplc="0427001B" w:tentative="1">
      <w:start w:val="1"/>
      <w:numFmt w:val="lowerRoman"/>
      <w:lvlText w:val="%3."/>
      <w:lvlJc w:val="right"/>
      <w:pPr>
        <w:ind w:left="2386" w:hanging="180"/>
      </w:pPr>
    </w:lvl>
    <w:lvl w:ilvl="3" w:tplc="0427000F" w:tentative="1">
      <w:start w:val="1"/>
      <w:numFmt w:val="decimal"/>
      <w:lvlText w:val="%4."/>
      <w:lvlJc w:val="left"/>
      <w:pPr>
        <w:ind w:left="3106" w:hanging="360"/>
      </w:pPr>
    </w:lvl>
    <w:lvl w:ilvl="4" w:tplc="04270019" w:tentative="1">
      <w:start w:val="1"/>
      <w:numFmt w:val="lowerLetter"/>
      <w:lvlText w:val="%5."/>
      <w:lvlJc w:val="left"/>
      <w:pPr>
        <w:ind w:left="3826" w:hanging="360"/>
      </w:pPr>
    </w:lvl>
    <w:lvl w:ilvl="5" w:tplc="0427001B" w:tentative="1">
      <w:start w:val="1"/>
      <w:numFmt w:val="lowerRoman"/>
      <w:lvlText w:val="%6."/>
      <w:lvlJc w:val="right"/>
      <w:pPr>
        <w:ind w:left="4546" w:hanging="180"/>
      </w:pPr>
    </w:lvl>
    <w:lvl w:ilvl="6" w:tplc="0427000F" w:tentative="1">
      <w:start w:val="1"/>
      <w:numFmt w:val="decimal"/>
      <w:lvlText w:val="%7."/>
      <w:lvlJc w:val="left"/>
      <w:pPr>
        <w:ind w:left="5266" w:hanging="360"/>
      </w:pPr>
    </w:lvl>
    <w:lvl w:ilvl="7" w:tplc="04270019" w:tentative="1">
      <w:start w:val="1"/>
      <w:numFmt w:val="lowerLetter"/>
      <w:lvlText w:val="%8."/>
      <w:lvlJc w:val="left"/>
      <w:pPr>
        <w:ind w:left="5986" w:hanging="360"/>
      </w:pPr>
    </w:lvl>
    <w:lvl w:ilvl="8" w:tplc="0427001B" w:tentative="1">
      <w:start w:val="1"/>
      <w:numFmt w:val="lowerRoman"/>
      <w:lvlText w:val="%9."/>
      <w:lvlJc w:val="right"/>
      <w:pPr>
        <w:ind w:left="6706" w:hanging="180"/>
      </w:pPr>
    </w:lvl>
  </w:abstractNum>
  <w:abstractNum w:abstractNumId="10" w15:restartNumberingAfterBreak="0">
    <w:nsid w:val="64043691"/>
    <w:multiLevelType w:val="hybridMultilevel"/>
    <w:tmpl w:val="8A3475E8"/>
    <w:lvl w:ilvl="0" w:tplc="FFFFFFFF">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num w:numId="1" w16cid:durableId="464156472">
    <w:abstractNumId w:val="1"/>
  </w:num>
  <w:num w:numId="2" w16cid:durableId="853148499">
    <w:abstractNumId w:val="3"/>
  </w:num>
  <w:num w:numId="3" w16cid:durableId="1508473084">
    <w:abstractNumId w:val="4"/>
  </w:num>
  <w:num w:numId="4" w16cid:durableId="206768036">
    <w:abstractNumId w:val="9"/>
  </w:num>
  <w:num w:numId="5" w16cid:durableId="878977431">
    <w:abstractNumId w:val="6"/>
  </w:num>
  <w:num w:numId="6" w16cid:durableId="597372881">
    <w:abstractNumId w:val="8"/>
  </w:num>
  <w:num w:numId="7" w16cid:durableId="1425422669">
    <w:abstractNumId w:val="7"/>
  </w:num>
  <w:num w:numId="8" w16cid:durableId="1798912864">
    <w:abstractNumId w:val="2"/>
  </w:num>
  <w:num w:numId="9" w16cid:durableId="516115716">
    <w:abstractNumId w:val="5"/>
  </w:num>
  <w:num w:numId="10" w16cid:durableId="1534344710">
    <w:abstractNumId w:val="0"/>
  </w:num>
  <w:num w:numId="11" w16cid:durableId="127013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85"/>
    <w:rsid w:val="000007C1"/>
    <w:rsid w:val="0000240F"/>
    <w:rsid w:val="000054FB"/>
    <w:rsid w:val="00006306"/>
    <w:rsid w:val="00022AEA"/>
    <w:rsid w:val="00027E6F"/>
    <w:rsid w:val="0004002C"/>
    <w:rsid w:val="00040D85"/>
    <w:rsid w:val="000456F8"/>
    <w:rsid w:val="00053D0A"/>
    <w:rsid w:val="000626DE"/>
    <w:rsid w:val="0009559F"/>
    <w:rsid w:val="000A4B55"/>
    <w:rsid w:val="000A7DEA"/>
    <w:rsid w:val="000B2B70"/>
    <w:rsid w:val="000B4350"/>
    <w:rsid w:val="000C27E6"/>
    <w:rsid w:val="000D4F57"/>
    <w:rsid w:val="000E4022"/>
    <w:rsid w:val="000F026E"/>
    <w:rsid w:val="000F1F7B"/>
    <w:rsid w:val="000F52AD"/>
    <w:rsid w:val="00102DE9"/>
    <w:rsid w:val="00104059"/>
    <w:rsid w:val="00120198"/>
    <w:rsid w:val="001316AD"/>
    <w:rsid w:val="00133067"/>
    <w:rsid w:val="0015719E"/>
    <w:rsid w:val="0015728C"/>
    <w:rsid w:val="001872E8"/>
    <w:rsid w:val="001911EF"/>
    <w:rsid w:val="001A2A11"/>
    <w:rsid w:val="001B186D"/>
    <w:rsid w:val="001B1D34"/>
    <w:rsid w:val="001C26C8"/>
    <w:rsid w:val="001C3C88"/>
    <w:rsid w:val="001D2376"/>
    <w:rsid w:val="001D30E4"/>
    <w:rsid w:val="001D4D62"/>
    <w:rsid w:val="001F2D78"/>
    <w:rsid w:val="0021011B"/>
    <w:rsid w:val="00222F48"/>
    <w:rsid w:val="002233C8"/>
    <w:rsid w:val="002250CB"/>
    <w:rsid w:val="00233942"/>
    <w:rsid w:val="0023452C"/>
    <w:rsid w:val="00242F74"/>
    <w:rsid w:val="00251F6A"/>
    <w:rsid w:val="00253358"/>
    <w:rsid w:val="002566B3"/>
    <w:rsid w:val="00262257"/>
    <w:rsid w:val="00273E0C"/>
    <w:rsid w:val="00277CF9"/>
    <w:rsid w:val="002860F6"/>
    <w:rsid w:val="002907A9"/>
    <w:rsid w:val="00291778"/>
    <w:rsid w:val="00294520"/>
    <w:rsid w:val="002A2274"/>
    <w:rsid w:val="002B5487"/>
    <w:rsid w:val="002D4075"/>
    <w:rsid w:val="002E194B"/>
    <w:rsid w:val="002E2D90"/>
    <w:rsid w:val="002E49E7"/>
    <w:rsid w:val="002E4B65"/>
    <w:rsid w:val="002F3015"/>
    <w:rsid w:val="002F448E"/>
    <w:rsid w:val="002F4D9B"/>
    <w:rsid w:val="00304A9D"/>
    <w:rsid w:val="00313290"/>
    <w:rsid w:val="00325BDF"/>
    <w:rsid w:val="00331AE0"/>
    <w:rsid w:val="003401CE"/>
    <w:rsid w:val="00341900"/>
    <w:rsid w:val="00341D8C"/>
    <w:rsid w:val="00346304"/>
    <w:rsid w:val="00361A63"/>
    <w:rsid w:val="003622A7"/>
    <w:rsid w:val="0036263C"/>
    <w:rsid w:val="0036410F"/>
    <w:rsid w:val="00380927"/>
    <w:rsid w:val="003843B4"/>
    <w:rsid w:val="00391857"/>
    <w:rsid w:val="00394F91"/>
    <w:rsid w:val="003A5F67"/>
    <w:rsid w:val="003A7C7C"/>
    <w:rsid w:val="003B0DB7"/>
    <w:rsid w:val="003B6FBC"/>
    <w:rsid w:val="003C17A3"/>
    <w:rsid w:val="003C3FE9"/>
    <w:rsid w:val="003E5668"/>
    <w:rsid w:val="003F1CE9"/>
    <w:rsid w:val="003F1FD0"/>
    <w:rsid w:val="004036E1"/>
    <w:rsid w:val="00413CC3"/>
    <w:rsid w:val="00422360"/>
    <w:rsid w:val="004231EC"/>
    <w:rsid w:val="0042320F"/>
    <w:rsid w:val="00423DF9"/>
    <w:rsid w:val="00427966"/>
    <w:rsid w:val="00437D8C"/>
    <w:rsid w:val="0046698C"/>
    <w:rsid w:val="0047155E"/>
    <w:rsid w:val="00474049"/>
    <w:rsid w:val="00477722"/>
    <w:rsid w:val="00492A20"/>
    <w:rsid w:val="004A12F3"/>
    <w:rsid w:val="004A16ED"/>
    <w:rsid w:val="004A2202"/>
    <w:rsid w:val="004B0385"/>
    <w:rsid w:val="004B739D"/>
    <w:rsid w:val="004C548C"/>
    <w:rsid w:val="004D14C1"/>
    <w:rsid w:val="004D7F34"/>
    <w:rsid w:val="004E3C5A"/>
    <w:rsid w:val="004E6F06"/>
    <w:rsid w:val="004F2DB2"/>
    <w:rsid w:val="004F58B0"/>
    <w:rsid w:val="004F733E"/>
    <w:rsid w:val="00502E26"/>
    <w:rsid w:val="005106DF"/>
    <w:rsid w:val="005114F4"/>
    <w:rsid w:val="00511A21"/>
    <w:rsid w:val="0051436E"/>
    <w:rsid w:val="005255D8"/>
    <w:rsid w:val="005274AC"/>
    <w:rsid w:val="005462DF"/>
    <w:rsid w:val="00560EB9"/>
    <w:rsid w:val="00562F79"/>
    <w:rsid w:val="00572E35"/>
    <w:rsid w:val="005833F6"/>
    <w:rsid w:val="0058748F"/>
    <w:rsid w:val="00592DE8"/>
    <w:rsid w:val="00593009"/>
    <w:rsid w:val="00596AD6"/>
    <w:rsid w:val="00597220"/>
    <w:rsid w:val="005A731F"/>
    <w:rsid w:val="005A7737"/>
    <w:rsid w:val="005B25E8"/>
    <w:rsid w:val="005B45D7"/>
    <w:rsid w:val="005C0043"/>
    <w:rsid w:val="005C27F8"/>
    <w:rsid w:val="005C5B1D"/>
    <w:rsid w:val="005D7B85"/>
    <w:rsid w:val="005E50EE"/>
    <w:rsid w:val="005F12DF"/>
    <w:rsid w:val="005F1BD8"/>
    <w:rsid w:val="005F488A"/>
    <w:rsid w:val="0060497F"/>
    <w:rsid w:val="00610601"/>
    <w:rsid w:val="00624F66"/>
    <w:rsid w:val="00637AAA"/>
    <w:rsid w:val="00650DED"/>
    <w:rsid w:val="00666936"/>
    <w:rsid w:val="00676A34"/>
    <w:rsid w:val="00677887"/>
    <w:rsid w:val="0068375E"/>
    <w:rsid w:val="00685162"/>
    <w:rsid w:val="0068526F"/>
    <w:rsid w:val="00686FD4"/>
    <w:rsid w:val="006909F3"/>
    <w:rsid w:val="00697B8F"/>
    <w:rsid w:val="006A7CC4"/>
    <w:rsid w:val="006B1B57"/>
    <w:rsid w:val="006B2046"/>
    <w:rsid w:val="006B460C"/>
    <w:rsid w:val="006B6C7E"/>
    <w:rsid w:val="006C37FA"/>
    <w:rsid w:val="006C4525"/>
    <w:rsid w:val="006D2F90"/>
    <w:rsid w:val="006F0EDD"/>
    <w:rsid w:val="00704149"/>
    <w:rsid w:val="007107D8"/>
    <w:rsid w:val="00713C32"/>
    <w:rsid w:val="00720C92"/>
    <w:rsid w:val="00733AC0"/>
    <w:rsid w:val="00735AF5"/>
    <w:rsid w:val="00737952"/>
    <w:rsid w:val="007406DF"/>
    <w:rsid w:val="00746E7D"/>
    <w:rsid w:val="00751E52"/>
    <w:rsid w:val="007524F2"/>
    <w:rsid w:val="007536B5"/>
    <w:rsid w:val="0075428D"/>
    <w:rsid w:val="00754C2B"/>
    <w:rsid w:val="00755B8E"/>
    <w:rsid w:val="00755C32"/>
    <w:rsid w:val="0077029E"/>
    <w:rsid w:val="00772E2F"/>
    <w:rsid w:val="007746CA"/>
    <w:rsid w:val="007836F4"/>
    <w:rsid w:val="00796433"/>
    <w:rsid w:val="007A040F"/>
    <w:rsid w:val="007A17A3"/>
    <w:rsid w:val="007C492E"/>
    <w:rsid w:val="007D064F"/>
    <w:rsid w:val="007E0A08"/>
    <w:rsid w:val="007E7195"/>
    <w:rsid w:val="008056CA"/>
    <w:rsid w:val="00806ABA"/>
    <w:rsid w:val="00807EBC"/>
    <w:rsid w:val="0081474D"/>
    <w:rsid w:val="00822F62"/>
    <w:rsid w:val="00827F5F"/>
    <w:rsid w:val="00833AA0"/>
    <w:rsid w:val="008346A2"/>
    <w:rsid w:val="00837960"/>
    <w:rsid w:val="00840CBB"/>
    <w:rsid w:val="0084442E"/>
    <w:rsid w:val="00845D2B"/>
    <w:rsid w:val="00846376"/>
    <w:rsid w:val="00846564"/>
    <w:rsid w:val="00852FF0"/>
    <w:rsid w:val="0085379A"/>
    <w:rsid w:val="00860050"/>
    <w:rsid w:val="00862015"/>
    <w:rsid w:val="00867394"/>
    <w:rsid w:val="00870E61"/>
    <w:rsid w:val="00871BD1"/>
    <w:rsid w:val="00874A9B"/>
    <w:rsid w:val="008750DF"/>
    <w:rsid w:val="00881776"/>
    <w:rsid w:val="0088185B"/>
    <w:rsid w:val="00885031"/>
    <w:rsid w:val="00890820"/>
    <w:rsid w:val="008A0A48"/>
    <w:rsid w:val="008A1CB4"/>
    <w:rsid w:val="008A62C9"/>
    <w:rsid w:val="008B388B"/>
    <w:rsid w:val="008B697E"/>
    <w:rsid w:val="008C2545"/>
    <w:rsid w:val="008C613E"/>
    <w:rsid w:val="008D2425"/>
    <w:rsid w:val="008D750D"/>
    <w:rsid w:val="008E7207"/>
    <w:rsid w:val="008F719B"/>
    <w:rsid w:val="00900CC6"/>
    <w:rsid w:val="00903195"/>
    <w:rsid w:val="00903482"/>
    <w:rsid w:val="00904C17"/>
    <w:rsid w:val="00907310"/>
    <w:rsid w:val="0091405F"/>
    <w:rsid w:val="00914FDD"/>
    <w:rsid w:val="0092013D"/>
    <w:rsid w:val="00940787"/>
    <w:rsid w:val="00944366"/>
    <w:rsid w:val="00952248"/>
    <w:rsid w:val="00956571"/>
    <w:rsid w:val="0096085E"/>
    <w:rsid w:val="009608C4"/>
    <w:rsid w:val="00961470"/>
    <w:rsid w:val="00966343"/>
    <w:rsid w:val="0096751C"/>
    <w:rsid w:val="00974225"/>
    <w:rsid w:val="00974599"/>
    <w:rsid w:val="00986FC7"/>
    <w:rsid w:val="00995C22"/>
    <w:rsid w:val="00997928"/>
    <w:rsid w:val="009A3D3D"/>
    <w:rsid w:val="009B3414"/>
    <w:rsid w:val="009B3F9E"/>
    <w:rsid w:val="009B465B"/>
    <w:rsid w:val="009C5069"/>
    <w:rsid w:val="009D5E90"/>
    <w:rsid w:val="009F0D6D"/>
    <w:rsid w:val="00A12EB2"/>
    <w:rsid w:val="00A14B35"/>
    <w:rsid w:val="00A15389"/>
    <w:rsid w:val="00A16264"/>
    <w:rsid w:val="00A21A10"/>
    <w:rsid w:val="00A336EB"/>
    <w:rsid w:val="00A36BF4"/>
    <w:rsid w:val="00A44E19"/>
    <w:rsid w:val="00A469E5"/>
    <w:rsid w:val="00A54206"/>
    <w:rsid w:val="00A54528"/>
    <w:rsid w:val="00A555F2"/>
    <w:rsid w:val="00A737E5"/>
    <w:rsid w:val="00A9185A"/>
    <w:rsid w:val="00A9534C"/>
    <w:rsid w:val="00A95F65"/>
    <w:rsid w:val="00A96B5D"/>
    <w:rsid w:val="00AA2591"/>
    <w:rsid w:val="00AA4427"/>
    <w:rsid w:val="00AB0338"/>
    <w:rsid w:val="00AB3F13"/>
    <w:rsid w:val="00AC01D0"/>
    <w:rsid w:val="00AC5F81"/>
    <w:rsid w:val="00AC7E51"/>
    <w:rsid w:val="00AD15FF"/>
    <w:rsid w:val="00AD3624"/>
    <w:rsid w:val="00AD7226"/>
    <w:rsid w:val="00AE020F"/>
    <w:rsid w:val="00AE35D9"/>
    <w:rsid w:val="00B103C8"/>
    <w:rsid w:val="00B130AC"/>
    <w:rsid w:val="00B13610"/>
    <w:rsid w:val="00B336D4"/>
    <w:rsid w:val="00B438C6"/>
    <w:rsid w:val="00B47F09"/>
    <w:rsid w:val="00B52603"/>
    <w:rsid w:val="00B55E6B"/>
    <w:rsid w:val="00B63C01"/>
    <w:rsid w:val="00B67452"/>
    <w:rsid w:val="00B70588"/>
    <w:rsid w:val="00B71650"/>
    <w:rsid w:val="00B732F1"/>
    <w:rsid w:val="00B73B4C"/>
    <w:rsid w:val="00B775E5"/>
    <w:rsid w:val="00B858BF"/>
    <w:rsid w:val="00B87258"/>
    <w:rsid w:val="00B912FE"/>
    <w:rsid w:val="00BA056F"/>
    <w:rsid w:val="00BA16A0"/>
    <w:rsid w:val="00BA24BB"/>
    <w:rsid w:val="00BC320C"/>
    <w:rsid w:val="00BD5ED2"/>
    <w:rsid w:val="00BE6D76"/>
    <w:rsid w:val="00BE7289"/>
    <w:rsid w:val="00BF2275"/>
    <w:rsid w:val="00C02A1E"/>
    <w:rsid w:val="00C03524"/>
    <w:rsid w:val="00C1426E"/>
    <w:rsid w:val="00C23F42"/>
    <w:rsid w:val="00C25997"/>
    <w:rsid w:val="00C30E81"/>
    <w:rsid w:val="00C3125B"/>
    <w:rsid w:val="00C324E7"/>
    <w:rsid w:val="00C37831"/>
    <w:rsid w:val="00C47179"/>
    <w:rsid w:val="00C520F7"/>
    <w:rsid w:val="00C541F8"/>
    <w:rsid w:val="00C72B68"/>
    <w:rsid w:val="00C7629F"/>
    <w:rsid w:val="00C83E78"/>
    <w:rsid w:val="00C94328"/>
    <w:rsid w:val="00CA4068"/>
    <w:rsid w:val="00CB259C"/>
    <w:rsid w:val="00CC35A1"/>
    <w:rsid w:val="00CC6200"/>
    <w:rsid w:val="00CC6736"/>
    <w:rsid w:val="00CD07A5"/>
    <w:rsid w:val="00CD09E8"/>
    <w:rsid w:val="00CD3A9F"/>
    <w:rsid w:val="00CE2B62"/>
    <w:rsid w:val="00CF2CB6"/>
    <w:rsid w:val="00D0244B"/>
    <w:rsid w:val="00D02ADD"/>
    <w:rsid w:val="00D04E81"/>
    <w:rsid w:val="00D058BC"/>
    <w:rsid w:val="00D17365"/>
    <w:rsid w:val="00D42313"/>
    <w:rsid w:val="00D46B6F"/>
    <w:rsid w:val="00D51BCE"/>
    <w:rsid w:val="00D54E7F"/>
    <w:rsid w:val="00D612E6"/>
    <w:rsid w:val="00D613ED"/>
    <w:rsid w:val="00D64973"/>
    <w:rsid w:val="00D73A89"/>
    <w:rsid w:val="00D81E95"/>
    <w:rsid w:val="00D91E48"/>
    <w:rsid w:val="00D963A8"/>
    <w:rsid w:val="00DB0DD9"/>
    <w:rsid w:val="00DB1F6B"/>
    <w:rsid w:val="00DC6521"/>
    <w:rsid w:val="00DC7A3E"/>
    <w:rsid w:val="00DD1DE3"/>
    <w:rsid w:val="00DD3909"/>
    <w:rsid w:val="00DD3D80"/>
    <w:rsid w:val="00DD4850"/>
    <w:rsid w:val="00DD65D1"/>
    <w:rsid w:val="00DE7114"/>
    <w:rsid w:val="00DE7A27"/>
    <w:rsid w:val="00DF2034"/>
    <w:rsid w:val="00E0195B"/>
    <w:rsid w:val="00E05C14"/>
    <w:rsid w:val="00E157EA"/>
    <w:rsid w:val="00E30B4D"/>
    <w:rsid w:val="00E31958"/>
    <w:rsid w:val="00E40A1F"/>
    <w:rsid w:val="00E4244C"/>
    <w:rsid w:val="00E515CE"/>
    <w:rsid w:val="00E62270"/>
    <w:rsid w:val="00E627F9"/>
    <w:rsid w:val="00E645D7"/>
    <w:rsid w:val="00E73B9C"/>
    <w:rsid w:val="00E84330"/>
    <w:rsid w:val="00E963B3"/>
    <w:rsid w:val="00E96538"/>
    <w:rsid w:val="00EB0787"/>
    <w:rsid w:val="00EC606C"/>
    <w:rsid w:val="00ED077C"/>
    <w:rsid w:val="00ED24A6"/>
    <w:rsid w:val="00ED3F7B"/>
    <w:rsid w:val="00ED7D57"/>
    <w:rsid w:val="00EE74D4"/>
    <w:rsid w:val="00EF50B8"/>
    <w:rsid w:val="00EF7EA5"/>
    <w:rsid w:val="00F0038B"/>
    <w:rsid w:val="00F12A89"/>
    <w:rsid w:val="00F16D73"/>
    <w:rsid w:val="00F32EB1"/>
    <w:rsid w:val="00F43500"/>
    <w:rsid w:val="00F50F56"/>
    <w:rsid w:val="00F53A7F"/>
    <w:rsid w:val="00F61B19"/>
    <w:rsid w:val="00F65606"/>
    <w:rsid w:val="00F67B7B"/>
    <w:rsid w:val="00F778EB"/>
    <w:rsid w:val="00F873E4"/>
    <w:rsid w:val="00F951E1"/>
    <w:rsid w:val="00F96014"/>
    <w:rsid w:val="00FA0F80"/>
    <w:rsid w:val="00FA4B52"/>
    <w:rsid w:val="00FA6C8F"/>
    <w:rsid w:val="00FB0717"/>
    <w:rsid w:val="00FD0180"/>
    <w:rsid w:val="00FD0CA4"/>
    <w:rsid w:val="00FD3432"/>
    <w:rsid w:val="00FD35C8"/>
    <w:rsid w:val="00FD45FA"/>
    <w:rsid w:val="00FD45FB"/>
    <w:rsid w:val="00FD7F5F"/>
    <w:rsid w:val="00FE104F"/>
    <w:rsid w:val="00FF46DD"/>
    <w:rsid w:val="029F5983"/>
    <w:rsid w:val="02CFA46D"/>
    <w:rsid w:val="0462B78E"/>
    <w:rsid w:val="050E5654"/>
    <w:rsid w:val="080C591F"/>
    <w:rsid w:val="082C8E6E"/>
    <w:rsid w:val="0BB8880E"/>
    <w:rsid w:val="0C86E371"/>
    <w:rsid w:val="0D86A2F5"/>
    <w:rsid w:val="131FFDBE"/>
    <w:rsid w:val="13C27E70"/>
    <w:rsid w:val="155C3685"/>
    <w:rsid w:val="15D5D4EB"/>
    <w:rsid w:val="1ABA8133"/>
    <w:rsid w:val="1D1D1874"/>
    <w:rsid w:val="1D7962E6"/>
    <w:rsid w:val="1FCC6343"/>
    <w:rsid w:val="20F685A5"/>
    <w:rsid w:val="21643834"/>
    <w:rsid w:val="23BD508F"/>
    <w:rsid w:val="261CDE16"/>
    <w:rsid w:val="2811B49C"/>
    <w:rsid w:val="2860D635"/>
    <w:rsid w:val="2A4C7662"/>
    <w:rsid w:val="2ADC6025"/>
    <w:rsid w:val="2F072A87"/>
    <w:rsid w:val="2F6EEBF3"/>
    <w:rsid w:val="2F8F1D3D"/>
    <w:rsid w:val="34FB3678"/>
    <w:rsid w:val="361E994C"/>
    <w:rsid w:val="373F6E31"/>
    <w:rsid w:val="37DDB082"/>
    <w:rsid w:val="3A7B8A71"/>
    <w:rsid w:val="3B2231BE"/>
    <w:rsid w:val="3BA21FA7"/>
    <w:rsid w:val="3CC1F697"/>
    <w:rsid w:val="3E816F27"/>
    <w:rsid w:val="415259B2"/>
    <w:rsid w:val="415EABDC"/>
    <w:rsid w:val="417165ED"/>
    <w:rsid w:val="432FD28F"/>
    <w:rsid w:val="450F0E43"/>
    <w:rsid w:val="45BA9330"/>
    <w:rsid w:val="4738660C"/>
    <w:rsid w:val="4A4FE853"/>
    <w:rsid w:val="4AA397B7"/>
    <w:rsid w:val="4D507F7E"/>
    <w:rsid w:val="52021CC0"/>
    <w:rsid w:val="52D747A9"/>
    <w:rsid w:val="53DFCFEE"/>
    <w:rsid w:val="579EE3A2"/>
    <w:rsid w:val="57C507ED"/>
    <w:rsid w:val="57E112CB"/>
    <w:rsid w:val="5816332C"/>
    <w:rsid w:val="5873E5D1"/>
    <w:rsid w:val="58B698BE"/>
    <w:rsid w:val="5D323BFB"/>
    <w:rsid w:val="5D4CB6A1"/>
    <w:rsid w:val="5F046764"/>
    <w:rsid w:val="610590B7"/>
    <w:rsid w:val="6178F131"/>
    <w:rsid w:val="64D5738B"/>
    <w:rsid w:val="64F7DE8C"/>
    <w:rsid w:val="656CA6DE"/>
    <w:rsid w:val="67DDCD07"/>
    <w:rsid w:val="6AED548E"/>
    <w:rsid w:val="6B6E0C6F"/>
    <w:rsid w:val="6C63134A"/>
    <w:rsid w:val="6D87188D"/>
    <w:rsid w:val="6DE3FB9A"/>
    <w:rsid w:val="6E95EEF9"/>
    <w:rsid w:val="6F0D2BCE"/>
    <w:rsid w:val="70ABE6D7"/>
    <w:rsid w:val="710793B0"/>
    <w:rsid w:val="734B64F4"/>
    <w:rsid w:val="74645501"/>
    <w:rsid w:val="754D9E9D"/>
    <w:rsid w:val="758F2CD3"/>
    <w:rsid w:val="7673EF08"/>
    <w:rsid w:val="775ADF7B"/>
    <w:rsid w:val="77C2EAE6"/>
    <w:rsid w:val="7995F721"/>
    <w:rsid w:val="7A326820"/>
    <w:rsid w:val="7B7AEB66"/>
    <w:rsid w:val="7C3B8AAC"/>
    <w:rsid w:val="7CF33D3F"/>
    <w:rsid w:val="7D066926"/>
    <w:rsid w:val="7D341ADE"/>
    <w:rsid w:val="7D4E296D"/>
    <w:rsid w:val="7D590E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593B16"/>
  <w15:docId w15:val="{515CDAF6-7934-4658-BD6C-8F38243C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EC606C"/>
    <w:pPr>
      <w:ind w:left="720"/>
      <w:contextualSpacing/>
    </w:pPr>
  </w:style>
  <w:style w:type="character" w:styleId="Komentaronuoroda">
    <w:name w:val="annotation reference"/>
    <w:basedOn w:val="Numatytasispastraiposriftas"/>
    <w:semiHidden/>
    <w:unhideWhenUsed/>
    <w:rsid w:val="008C2545"/>
    <w:rPr>
      <w:sz w:val="16"/>
      <w:szCs w:val="16"/>
    </w:rPr>
  </w:style>
  <w:style w:type="paragraph" w:styleId="Komentarotekstas">
    <w:name w:val="annotation text"/>
    <w:basedOn w:val="prastasis"/>
    <w:link w:val="KomentarotekstasDiagrama"/>
    <w:unhideWhenUsed/>
    <w:rsid w:val="008C2545"/>
    <w:rPr>
      <w:sz w:val="20"/>
    </w:rPr>
  </w:style>
  <w:style w:type="character" w:customStyle="1" w:styleId="KomentarotekstasDiagrama">
    <w:name w:val="Komentaro tekstas Diagrama"/>
    <w:basedOn w:val="Numatytasispastraiposriftas"/>
    <w:link w:val="Komentarotekstas"/>
    <w:rsid w:val="008C2545"/>
    <w:rPr>
      <w:sz w:val="20"/>
    </w:rPr>
  </w:style>
  <w:style w:type="paragraph" w:styleId="Komentarotema">
    <w:name w:val="annotation subject"/>
    <w:basedOn w:val="Komentarotekstas"/>
    <w:next w:val="Komentarotekstas"/>
    <w:link w:val="KomentarotemaDiagrama"/>
    <w:semiHidden/>
    <w:unhideWhenUsed/>
    <w:rsid w:val="008C2545"/>
    <w:rPr>
      <w:b/>
      <w:bCs/>
    </w:rPr>
  </w:style>
  <w:style w:type="character" w:customStyle="1" w:styleId="KomentarotemaDiagrama">
    <w:name w:val="Komentaro tema Diagrama"/>
    <w:basedOn w:val="KomentarotekstasDiagrama"/>
    <w:link w:val="Komentarotema"/>
    <w:semiHidden/>
    <w:rsid w:val="008C2545"/>
    <w:rPr>
      <w:b/>
      <w:bCs/>
      <w:sz w:val="20"/>
    </w:rPr>
  </w:style>
  <w:style w:type="paragraph" w:styleId="Antrats">
    <w:name w:val="header"/>
    <w:basedOn w:val="prastasis"/>
    <w:link w:val="AntratsDiagrama"/>
    <w:uiPriority w:val="99"/>
    <w:unhideWhenUsed/>
    <w:rsid w:val="00FD7F5F"/>
    <w:pPr>
      <w:tabs>
        <w:tab w:val="center" w:pos="4513"/>
        <w:tab w:val="right" w:pos="9026"/>
      </w:tabs>
    </w:pPr>
  </w:style>
  <w:style w:type="character" w:customStyle="1" w:styleId="AntratsDiagrama">
    <w:name w:val="Antraštės Diagrama"/>
    <w:basedOn w:val="Numatytasispastraiposriftas"/>
    <w:link w:val="Antrats"/>
    <w:uiPriority w:val="99"/>
    <w:rsid w:val="00FD7F5F"/>
  </w:style>
  <w:style w:type="paragraph" w:styleId="Pataisymai">
    <w:name w:val="Revision"/>
    <w:hidden/>
    <w:semiHidden/>
    <w:rsid w:val="00DC6521"/>
  </w:style>
  <w:style w:type="paragraph" w:styleId="Debesliotekstas">
    <w:name w:val="Balloon Text"/>
    <w:basedOn w:val="prastasis"/>
    <w:link w:val="DebesliotekstasDiagrama"/>
    <w:semiHidden/>
    <w:unhideWhenUsed/>
    <w:rsid w:val="0096085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6085E"/>
    <w:rPr>
      <w:rFonts w:ascii="Tahoma" w:hAnsi="Tahoma" w:cs="Tahoma"/>
      <w:sz w:val="16"/>
      <w:szCs w:val="16"/>
    </w:rPr>
  </w:style>
  <w:style w:type="paragraph" w:styleId="Porat">
    <w:name w:val="footer"/>
    <w:basedOn w:val="prastasis"/>
    <w:link w:val="PoratDiagrama"/>
    <w:semiHidden/>
    <w:unhideWhenUsed/>
    <w:rsid w:val="001316AD"/>
    <w:pPr>
      <w:tabs>
        <w:tab w:val="center" w:pos="4986"/>
        <w:tab w:val="right" w:pos="9972"/>
      </w:tabs>
    </w:pPr>
  </w:style>
  <w:style w:type="character" w:customStyle="1" w:styleId="PoratDiagrama">
    <w:name w:val="Poraštė Diagrama"/>
    <w:basedOn w:val="Numatytasispastraiposriftas"/>
    <w:link w:val="Porat"/>
    <w:semiHidden/>
    <w:rsid w:val="001316AD"/>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194005989">
      <w:bodyDiv w:val="1"/>
      <w:marLeft w:val="0"/>
      <w:marRight w:val="0"/>
      <w:marTop w:val="0"/>
      <w:marBottom w:val="0"/>
      <w:divBdr>
        <w:top w:val="none" w:sz="0" w:space="0" w:color="auto"/>
        <w:left w:val="none" w:sz="0" w:space="0" w:color="auto"/>
        <w:bottom w:val="none" w:sz="0" w:space="0" w:color="auto"/>
        <w:right w:val="none" w:sz="0" w:space="0" w:color="auto"/>
      </w:divBdr>
    </w:div>
    <w:div w:id="394087856">
      <w:bodyDiv w:val="1"/>
      <w:marLeft w:val="0"/>
      <w:marRight w:val="0"/>
      <w:marTop w:val="0"/>
      <w:marBottom w:val="0"/>
      <w:divBdr>
        <w:top w:val="none" w:sz="0" w:space="0" w:color="auto"/>
        <w:left w:val="none" w:sz="0" w:space="0" w:color="auto"/>
        <w:bottom w:val="none" w:sz="0" w:space="0" w:color="auto"/>
        <w:right w:val="none" w:sz="0" w:space="0" w:color="auto"/>
      </w:divBdr>
    </w:div>
    <w:div w:id="557202043">
      <w:bodyDiv w:val="1"/>
      <w:marLeft w:val="0"/>
      <w:marRight w:val="0"/>
      <w:marTop w:val="0"/>
      <w:marBottom w:val="0"/>
      <w:divBdr>
        <w:top w:val="none" w:sz="0" w:space="0" w:color="auto"/>
        <w:left w:val="none" w:sz="0" w:space="0" w:color="auto"/>
        <w:bottom w:val="none" w:sz="0" w:space="0" w:color="auto"/>
        <w:right w:val="none" w:sz="0" w:space="0" w:color="auto"/>
      </w:divBdr>
    </w:div>
    <w:div w:id="755439242">
      <w:bodyDiv w:val="1"/>
      <w:marLeft w:val="0"/>
      <w:marRight w:val="0"/>
      <w:marTop w:val="0"/>
      <w:marBottom w:val="0"/>
      <w:divBdr>
        <w:top w:val="none" w:sz="0" w:space="0" w:color="auto"/>
        <w:left w:val="none" w:sz="0" w:space="0" w:color="auto"/>
        <w:bottom w:val="none" w:sz="0" w:space="0" w:color="auto"/>
        <w:right w:val="none" w:sz="0" w:space="0" w:color="auto"/>
      </w:divBdr>
      <w:divsChild>
        <w:div w:id="1166439059">
          <w:marLeft w:val="0"/>
          <w:marRight w:val="0"/>
          <w:marTop w:val="0"/>
          <w:marBottom w:val="0"/>
          <w:divBdr>
            <w:top w:val="none" w:sz="0" w:space="0" w:color="auto"/>
            <w:left w:val="none" w:sz="0" w:space="0" w:color="auto"/>
            <w:bottom w:val="none" w:sz="0" w:space="0" w:color="auto"/>
            <w:right w:val="none" w:sz="0" w:space="0" w:color="auto"/>
          </w:divBdr>
          <w:divsChild>
            <w:div w:id="20470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26503357">
      <w:bodyDiv w:val="1"/>
      <w:marLeft w:val="0"/>
      <w:marRight w:val="0"/>
      <w:marTop w:val="0"/>
      <w:marBottom w:val="0"/>
      <w:divBdr>
        <w:top w:val="none" w:sz="0" w:space="0" w:color="auto"/>
        <w:left w:val="none" w:sz="0" w:space="0" w:color="auto"/>
        <w:bottom w:val="none" w:sz="0" w:space="0" w:color="auto"/>
        <w:right w:val="none" w:sz="0" w:space="0" w:color="auto"/>
      </w:divBdr>
    </w:div>
    <w:div w:id="931430054">
      <w:bodyDiv w:val="1"/>
      <w:marLeft w:val="0"/>
      <w:marRight w:val="0"/>
      <w:marTop w:val="0"/>
      <w:marBottom w:val="0"/>
      <w:divBdr>
        <w:top w:val="none" w:sz="0" w:space="0" w:color="auto"/>
        <w:left w:val="none" w:sz="0" w:space="0" w:color="auto"/>
        <w:bottom w:val="none" w:sz="0" w:space="0" w:color="auto"/>
        <w:right w:val="none" w:sz="0" w:space="0" w:color="auto"/>
      </w:divBdr>
      <w:divsChild>
        <w:div w:id="589196502">
          <w:marLeft w:val="0"/>
          <w:marRight w:val="0"/>
          <w:marTop w:val="0"/>
          <w:marBottom w:val="0"/>
          <w:divBdr>
            <w:top w:val="none" w:sz="0" w:space="0" w:color="auto"/>
            <w:left w:val="none" w:sz="0" w:space="0" w:color="auto"/>
            <w:bottom w:val="none" w:sz="0" w:space="0" w:color="auto"/>
            <w:right w:val="none" w:sz="0" w:space="0" w:color="auto"/>
          </w:divBdr>
          <w:divsChild>
            <w:div w:id="933978455">
              <w:marLeft w:val="0"/>
              <w:marRight w:val="0"/>
              <w:marTop w:val="0"/>
              <w:marBottom w:val="0"/>
              <w:divBdr>
                <w:top w:val="none" w:sz="0" w:space="0" w:color="auto"/>
                <w:left w:val="none" w:sz="0" w:space="0" w:color="auto"/>
                <w:bottom w:val="none" w:sz="0" w:space="0" w:color="auto"/>
                <w:right w:val="none" w:sz="0" w:space="0" w:color="auto"/>
              </w:divBdr>
            </w:div>
            <w:div w:id="1199270682">
              <w:marLeft w:val="0"/>
              <w:marRight w:val="0"/>
              <w:marTop w:val="0"/>
              <w:marBottom w:val="0"/>
              <w:divBdr>
                <w:top w:val="none" w:sz="0" w:space="0" w:color="auto"/>
                <w:left w:val="none" w:sz="0" w:space="0" w:color="auto"/>
                <w:bottom w:val="none" w:sz="0" w:space="0" w:color="auto"/>
                <w:right w:val="none" w:sz="0" w:space="0" w:color="auto"/>
              </w:divBdr>
            </w:div>
            <w:div w:id="1467118685">
              <w:marLeft w:val="0"/>
              <w:marRight w:val="0"/>
              <w:marTop w:val="0"/>
              <w:marBottom w:val="0"/>
              <w:divBdr>
                <w:top w:val="none" w:sz="0" w:space="0" w:color="auto"/>
                <w:left w:val="none" w:sz="0" w:space="0" w:color="auto"/>
                <w:bottom w:val="none" w:sz="0" w:space="0" w:color="auto"/>
                <w:right w:val="none" w:sz="0" w:space="0" w:color="auto"/>
              </w:divBdr>
            </w:div>
            <w:div w:id="1497961843">
              <w:marLeft w:val="0"/>
              <w:marRight w:val="0"/>
              <w:marTop w:val="0"/>
              <w:marBottom w:val="0"/>
              <w:divBdr>
                <w:top w:val="none" w:sz="0" w:space="0" w:color="auto"/>
                <w:left w:val="none" w:sz="0" w:space="0" w:color="auto"/>
                <w:bottom w:val="none" w:sz="0" w:space="0" w:color="auto"/>
                <w:right w:val="none" w:sz="0" w:space="0" w:color="auto"/>
              </w:divBdr>
            </w:div>
            <w:div w:id="1876690822">
              <w:marLeft w:val="0"/>
              <w:marRight w:val="0"/>
              <w:marTop w:val="0"/>
              <w:marBottom w:val="0"/>
              <w:divBdr>
                <w:top w:val="none" w:sz="0" w:space="0" w:color="auto"/>
                <w:left w:val="none" w:sz="0" w:space="0" w:color="auto"/>
                <w:bottom w:val="none" w:sz="0" w:space="0" w:color="auto"/>
                <w:right w:val="none" w:sz="0" w:space="0" w:color="auto"/>
              </w:divBdr>
            </w:div>
          </w:divsChild>
        </w:div>
        <w:div w:id="1472359254">
          <w:marLeft w:val="0"/>
          <w:marRight w:val="0"/>
          <w:marTop w:val="0"/>
          <w:marBottom w:val="0"/>
          <w:divBdr>
            <w:top w:val="none" w:sz="0" w:space="0" w:color="auto"/>
            <w:left w:val="none" w:sz="0" w:space="0" w:color="auto"/>
            <w:bottom w:val="none" w:sz="0" w:space="0" w:color="auto"/>
            <w:right w:val="none" w:sz="0" w:space="0" w:color="auto"/>
          </w:divBdr>
        </w:div>
        <w:div w:id="1962952981">
          <w:marLeft w:val="0"/>
          <w:marRight w:val="0"/>
          <w:marTop w:val="0"/>
          <w:marBottom w:val="0"/>
          <w:divBdr>
            <w:top w:val="none" w:sz="0" w:space="0" w:color="auto"/>
            <w:left w:val="none" w:sz="0" w:space="0" w:color="auto"/>
            <w:bottom w:val="none" w:sz="0" w:space="0" w:color="auto"/>
            <w:right w:val="none" w:sz="0" w:space="0" w:color="auto"/>
          </w:divBdr>
          <w:divsChild>
            <w:div w:id="1840004987">
              <w:marLeft w:val="0"/>
              <w:marRight w:val="0"/>
              <w:marTop w:val="30"/>
              <w:marBottom w:val="30"/>
              <w:divBdr>
                <w:top w:val="none" w:sz="0" w:space="0" w:color="auto"/>
                <w:left w:val="none" w:sz="0" w:space="0" w:color="auto"/>
                <w:bottom w:val="none" w:sz="0" w:space="0" w:color="auto"/>
                <w:right w:val="none" w:sz="0" w:space="0" w:color="auto"/>
              </w:divBdr>
              <w:divsChild>
                <w:div w:id="1033069308">
                  <w:marLeft w:val="0"/>
                  <w:marRight w:val="0"/>
                  <w:marTop w:val="0"/>
                  <w:marBottom w:val="0"/>
                  <w:divBdr>
                    <w:top w:val="none" w:sz="0" w:space="0" w:color="auto"/>
                    <w:left w:val="none" w:sz="0" w:space="0" w:color="auto"/>
                    <w:bottom w:val="none" w:sz="0" w:space="0" w:color="auto"/>
                    <w:right w:val="none" w:sz="0" w:space="0" w:color="auto"/>
                  </w:divBdr>
                  <w:divsChild>
                    <w:div w:id="1854297452">
                      <w:marLeft w:val="0"/>
                      <w:marRight w:val="0"/>
                      <w:marTop w:val="0"/>
                      <w:marBottom w:val="0"/>
                      <w:divBdr>
                        <w:top w:val="none" w:sz="0" w:space="0" w:color="auto"/>
                        <w:left w:val="none" w:sz="0" w:space="0" w:color="auto"/>
                        <w:bottom w:val="none" w:sz="0" w:space="0" w:color="auto"/>
                        <w:right w:val="none" w:sz="0" w:space="0" w:color="auto"/>
                      </w:divBdr>
                    </w:div>
                  </w:divsChild>
                </w:div>
                <w:div w:id="1699160362">
                  <w:marLeft w:val="0"/>
                  <w:marRight w:val="0"/>
                  <w:marTop w:val="0"/>
                  <w:marBottom w:val="0"/>
                  <w:divBdr>
                    <w:top w:val="none" w:sz="0" w:space="0" w:color="auto"/>
                    <w:left w:val="none" w:sz="0" w:space="0" w:color="auto"/>
                    <w:bottom w:val="none" w:sz="0" w:space="0" w:color="auto"/>
                    <w:right w:val="none" w:sz="0" w:space="0" w:color="auto"/>
                  </w:divBdr>
                  <w:divsChild>
                    <w:div w:id="161622478">
                      <w:marLeft w:val="0"/>
                      <w:marRight w:val="0"/>
                      <w:marTop w:val="0"/>
                      <w:marBottom w:val="0"/>
                      <w:divBdr>
                        <w:top w:val="none" w:sz="0" w:space="0" w:color="auto"/>
                        <w:left w:val="none" w:sz="0" w:space="0" w:color="auto"/>
                        <w:bottom w:val="none" w:sz="0" w:space="0" w:color="auto"/>
                        <w:right w:val="none" w:sz="0" w:space="0" w:color="auto"/>
                      </w:divBdr>
                    </w:div>
                  </w:divsChild>
                </w:div>
                <w:div w:id="1903982590">
                  <w:marLeft w:val="0"/>
                  <w:marRight w:val="0"/>
                  <w:marTop w:val="0"/>
                  <w:marBottom w:val="0"/>
                  <w:divBdr>
                    <w:top w:val="none" w:sz="0" w:space="0" w:color="auto"/>
                    <w:left w:val="none" w:sz="0" w:space="0" w:color="auto"/>
                    <w:bottom w:val="none" w:sz="0" w:space="0" w:color="auto"/>
                    <w:right w:val="none" w:sz="0" w:space="0" w:color="auto"/>
                  </w:divBdr>
                  <w:divsChild>
                    <w:div w:id="1410274358">
                      <w:marLeft w:val="0"/>
                      <w:marRight w:val="0"/>
                      <w:marTop w:val="0"/>
                      <w:marBottom w:val="0"/>
                      <w:divBdr>
                        <w:top w:val="none" w:sz="0" w:space="0" w:color="auto"/>
                        <w:left w:val="none" w:sz="0" w:space="0" w:color="auto"/>
                        <w:bottom w:val="none" w:sz="0" w:space="0" w:color="auto"/>
                        <w:right w:val="none" w:sz="0" w:space="0" w:color="auto"/>
                      </w:divBdr>
                    </w:div>
                  </w:divsChild>
                </w:div>
                <w:div w:id="2113164950">
                  <w:marLeft w:val="0"/>
                  <w:marRight w:val="0"/>
                  <w:marTop w:val="0"/>
                  <w:marBottom w:val="0"/>
                  <w:divBdr>
                    <w:top w:val="none" w:sz="0" w:space="0" w:color="auto"/>
                    <w:left w:val="none" w:sz="0" w:space="0" w:color="auto"/>
                    <w:bottom w:val="none" w:sz="0" w:space="0" w:color="auto"/>
                    <w:right w:val="none" w:sz="0" w:space="0" w:color="auto"/>
                  </w:divBdr>
                  <w:divsChild>
                    <w:div w:id="17726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14640">
          <w:marLeft w:val="0"/>
          <w:marRight w:val="0"/>
          <w:marTop w:val="0"/>
          <w:marBottom w:val="0"/>
          <w:divBdr>
            <w:top w:val="none" w:sz="0" w:space="0" w:color="auto"/>
            <w:left w:val="none" w:sz="0" w:space="0" w:color="auto"/>
            <w:bottom w:val="none" w:sz="0" w:space="0" w:color="auto"/>
            <w:right w:val="none" w:sz="0" w:space="0" w:color="auto"/>
          </w:divBdr>
        </w:div>
      </w:divsChild>
    </w:div>
    <w:div w:id="960382839">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217357819">
      <w:bodyDiv w:val="1"/>
      <w:marLeft w:val="0"/>
      <w:marRight w:val="0"/>
      <w:marTop w:val="0"/>
      <w:marBottom w:val="0"/>
      <w:divBdr>
        <w:top w:val="none" w:sz="0" w:space="0" w:color="auto"/>
        <w:left w:val="none" w:sz="0" w:space="0" w:color="auto"/>
        <w:bottom w:val="none" w:sz="0" w:space="0" w:color="auto"/>
        <w:right w:val="none" w:sz="0" w:space="0" w:color="auto"/>
      </w:divBdr>
    </w:div>
    <w:div w:id="1234465875">
      <w:bodyDiv w:val="1"/>
      <w:marLeft w:val="0"/>
      <w:marRight w:val="0"/>
      <w:marTop w:val="0"/>
      <w:marBottom w:val="0"/>
      <w:divBdr>
        <w:top w:val="none" w:sz="0" w:space="0" w:color="auto"/>
        <w:left w:val="none" w:sz="0" w:space="0" w:color="auto"/>
        <w:bottom w:val="none" w:sz="0" w:space="0" w:color="auto"/>
        <w:right w:val="none" w:sz="0" w:space="0" w:color="auto"/>
      </w:divBdr>
    </w:div>
    <w:div w:id="1353652524">
      <w:bodyDiv w:val="1"/>
      <w:marLeft w:val="0"/>
      <w:marRight w:val="0"/>
      <w:marTop w:val="0"/>
      <w:marBottom w:val="0"/>
      <w:divBdr>
        <w:top w:val="none" w:sz="0" w:space="0" w:color="auto"/>
        <w:left w:val="none" w:sz="0" w:space="0" w:color="auto"/>
        <w:bottom w:val="none" w:sz="0" w:space="0" w:color="auto"/>
        <w:right w:val="none" w:sz="0" w:space="0" w:color="auto"/>
      </w:divBdr>
      <w:divsChild>
        <w:div w:id="1038629839">
          <w:marLeft w:val="0"/>
          <w:marRight w:val="0"/>
          <w:marTop w:val="0"/>
          <w:marBottom w:val="0"/>
          <w:divBdr>
            <w:top w:val="none" w:sz="0" w:space="0" w:color="auto"/>
            <w:left w:val="none" w:sz="0" w:space="0" w:color="auto"/>
            <w:bottom w:val="none" w:sz="0" w:space="0" w:color="auto"/>
            <w:right w:val="none" w:sz="0" w:space="0" w:color="auto"/>
          </w:divBdr>
        </w:div>
        <w:div w:id="1212419011">
          <w:marLeft w:val="0"/>
          <w:marRight w:val="0"/>
          <w:marTop w:val="0"/>
          <w:marBottom w:val="0"/>
          <w:divBdr>
            <w:top w:val="none" w:sz="0" w:space="0" w:color="auto"/>
            <w:left w:val="none" w:sz="0" w:space="0" w:color="auto"/>
            <w:bottom w:val="none" w:sz="0" w:space="0" w:color="auto"/>
            <w:right w:val="none" w:sz="0" w:space="0" w:color="auto"/>
          </w:divBdr>
        </w:div>
        <w:div w:id="2077236915">
          <w:marLeft w:val="0"/>
          <w:marRight w:val="0"/>
          <w:marTop w:val="0"/>
          <w:marBottom w:val="0"/>
          <w:divBdr>
            <w:top w:val="none" w:sz="0" w:space="0" w:color="auto"/>
            <w:left w:val="none" w:sz="0" w:space="0" w:color="auto"/>
            <w:bottom w:val="none" w:sz="0" w:space="0" w:color="auto"/>
            <w:right w:val="none" w:sz="0" w:space="0" w:color="auto"/>
          </w:divBdr>
        </w:div>
      </w:divsChild>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546262541">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01064650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sChild>
    </w:div>
    <w:div w:id="1649821975">
      <w:bodyDiv w:val="1"/>
      <w:marLeft w:val="0"/>
      <w:marRight w:val="0"/>
      <w:marTop w:val="0"/>
      <w:marBottom w:val="0"/>
      <w:divBdr>
        <w:top w:val="none" w:sz="0" w:space="0" w:color="auto"/>
        <w:left w:val="none" w:sz="0" w:space="0" w:color="auto"/>
        <w:bottom w:val="none" w:sz="0" w:space="0" w:color="auto"/>
        <w:right w:val="none" w:sz="0" w:space="0" w:color="auto"/>
      </w:divBdr>
    </w:div>
    <w:div w:id="2002007454">
      <w:bodyDiv w:val="1"/>
      <w:marLeft w:val="0"/>
      <w:marRight w:val="0"/>
      <w:marTop w:val="0"/>
      <w:marBottom w:val="0"/>
      <w:divBdr>
        <w:top w:val="none" w:sz="0" w:space="0" w:color="auto"/>
        <w:left w:val="none" w:sz="0" w:space="0" w:color="auto"/>
        <w:bottom w:val="none" w:sz="0" w:space="0" w:color="auto"/>
        <w:right w:val="none" w:sz="0" w:space="0" w:color="auto"/>
      </w:divBdr>
      <w:divsChild>
        <w:div w:id="172770613">
          <w:marLeft w:val="0"/>
          <w:marRight w:val="0"/>
          <w:marTop w:val="0"/>
          <w:marBottom w:val="0"/>
          <w:divBdr>
            <w:top w:val="none" w:sz="0" w:space="0" w:color="auto"/>
            <w:left w:val="none" w:sz="0" w:space="0" w:color="auto"/>
            <w:bottom w:val="none" w:sz="0" w:space="0" w:color="auto"/>
            <w:right w:val="none" w:sz="0" w:space="0" w:color="auto"/>
          </w:divBdr>
        </w:div>
        <w:div w:id="378554953">
          <w:marLeft w:val="0"/>
          <w:marRight w:val="0"/>
          <w:marTop w:val="0"/>
          <w:marBottom w:val="0"/>
          <w:divBdr>
            <w:top w:val="none" w:sz="0" w:space="0" w:color="auto"/>
            <w:left w:val="none" w:sz="0" w:space="0" w:color="auto"/>
            <w:bottom w:val="none" w:sz="0" w:space="0" w:color="auto"/>
            <w:right w:val="none" w:sz="0" w:space="0" w:color="auto"/>
          </w:divBdr>
        </w:div>
        <w:div w:id="1081491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02023R2832-202312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2ad30025-d0d5-4532-b26e-26983efa1e1c">
      <UserInfo>
        <DisplayName>SharingLinks.3b0cf5d2-a53d-4c08-bcae-5f8963a68053.OrganizationEdit.7742fb6b-1c11-408f-8e38-0178e2eb8d72</DisplayName>
        <AccountId>2347</AccountId>
        <AccountType/>
      </UserInfo>
      <UserInfo>
        <DisplayName>Sigita Alčauskienė</DisplayName>
        <AccountId>97</AccountId>
        <AccountType/>
      </UserInfo>
      <UserInfo>
        <DisplayName>Eglė Tolvaišienė</DisplayName>
        <AccountId>3089</AccountId>
        <AccountType/>
      </UserInfo>
      <UserInfo>
        <DisplayName>Raimonda Juknaitė</DisplayName>
        <AccountId>26</AccountId>
        <AccountType/>
      </UserInfo>
    </SharedWithUsers>
    <lcf76f155ced4ddcb4097134ff3c332f xmlns="58c6f6df-7e1f-4a2e-8979-e3f4c92e56f2">
      <Terms xmlns="http://schemas.microsoft.com/office/infopath/2007/PartnerControls"/>
    </lcf76f155ced4ddcb4097134ff3c332f>
    <TaxCatchAll xmlns="2ad30025-d0d5-4532-b26e-26983efa1e1c" xmlns:xsi="http://www.w3.org/2001/XMLSchema-instance" xsi:nil="true"/>
    <Numeris xmlns="58c6f6df-7e1f-4a2e-8979-e3f4c92e56f2" xmlns:xsi="http://www.w3.org/2001/XMLSchema-instance" xsi:nil="true"/>
  </documentManagement>
</p:properties>
</file>

<file path=customXml/item2.xml><?xml version="1.0" encoding="utf-8"?>
<b:Sources xmlns:b="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A4210-33DF-4E32-94A9-A50B133317A3}">
  <ds:schemaRefs>
    <ds:schemaRef ds:uri="http://schemas.microsoft.com/office/2006/metadata/properties"/>
    <ds:schemaRef ds:uri="2ad30025-d0d5-4532-b26e-26983efa1e1c"/>
    <ds:schemaRef ds:uri="58c6f6df-7e1f-4a2e-8979-e3f4c92e56f2"/>
    <ds:schemaRef ds:uri="http://schemas.microsoft.com/office/infopath/2007/PartnerControls"/>
  </ds:schemaRefs>
</ds:datastoreItem>
</file>

<file path=customXml/itemProps2.xml><?xml version="1.0" encoding="utf-8"?>
<ds:datastoreItem xmlns:ds="http://schemas.openxmlformats.org/officeDocument/2006/customXml" ds:itemID="{F71B483F-950A-40E2-8B13-B6A583BCA640}">
  <ds:schemaRefs>
    <ds:schemaRef ds:uri="http://schemas.openxmlformats.org/officeDocument/2006/bibliography"/>
  </ds:schemaRefs>
</ds:datastoreItem>
</file>

<file path=customXml/itemProps3.xml><?xml version="1.0" encoding="utf-8"?>
<ds:datastoreItem xmlns:ds="http://schemas.openxmlformats.org/officeDocument/2006/customXml" ds:itemID="{13E57564-2EEC-4440-9762-678602FAEA3D}">
  <ds:schemaRefs>
    <ds:schemaRef ds:uri="http://schemas.microsoft.com/sharepoint/v3/contenttype/forms"/>
  </ds:schemaRefs>
</ds:datastoreItem>
</file>

<file path=customXml/itemProps4.xml><?xml version="1.0" encoding="utf-8"?>
<ds:datastoreItem xmlns:ds="http://schemas.openxmlformats.org/officeDocument/2006/customXml" ds:itemID="{016A33A7-74CE-4657-B8A9-F65033E4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20068</Words>
  <Characters>11440</Characters>
  <Application>Microsoft Office Word</Application>
  <DocSecurity>4</DocSecurity>
  <Lines>95</Lines>
  <Paragraphs>62</Paragraphs>
  <ScaleCrop>false</ScaleCrop>
  <Company/>
  <LinksUpToDate>false</LinksUpToDate>
  <CharactersWithSpaces>31446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subject/>
  <dc:creator>Asta Petrauskytė</dc:creator>
  <cp:keywords/>
  <cp:lastModifiedBy>Jolanta Baniulienė</cp:lastModifiedBy>
  <cp:revision>2</cp:revision>
  <cp:lastPrinted>2020-09-29T19:28:00Z</cp:lastPrinted>
  <dcterms:created xsi:type="dcterms:W3CDTF">2025-10-16T07:57:00Z</dcterms:created>
  <dcterms:modified xsi:type="dcterms:W3CDTF">2025-10-16T07:57:00Z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