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B8FC" w14:textId="77777777" w:rsidR="00C50E0F" w:rsidRPr="00B97FE6" w:rsidRDefault="00C50E0F" w:rsidP="00C50E0F">
      <w:pPr>
        <w:ind w:left="-180"/>
        <w:jc w:val="center"/>
        <w:outlineLvl w:val="0"/>
        <w:rPr>
          <w:b/>
        </w:rPr>
      </w:pPr>
      <w:r w:rsidRPr="00B97FE6">
        <w:rPr>
          <w:b/>
        </w:rPr>
        <w:t>2021–2027 METŲ EUROPOS SĄJUNGOS FONDŲ INVESTICIJŲ PROGRAMOS STEBĖSENOS KOMITETO POSĖDŽIO</w:t>
      </w:r>
    </w:p>
    <w:p w14:paraId="366878FC" w14:textId="77777777" w:rsidR="00C50E0F" w:rsidRPr="00B97FE6" w:rsidRDefault="00C50E0F" w:rsidP="00C50E0F">
      <w:pPr>
        <w:ind w:left="-180"/>
        <w:jc w:val="center"/>
        <w:outlineLvl w:val="0"/>
        <w:rPr>
          <w:b/>
        </w:rPr>
      </w:pPr>
    </w:p>
    <w:p w14:paraId="60F6226D" w14:textId="77777777" w:rsidR="00C50E0F" w:rsidRPr="00B97FE6" w:rsidRDefault="00C50E0F" w:rsidP="00C50E0F">
      <w:pPr>
        <w:ind w:left="-180"/>
        <w:jc w:val="center"/>
        <w:outlineLvl w:val="0"/>
        <w:rPr>
          <w:b/>
        </w:rPr>
      </w:pPr>
      <w:r w:rsidRPr="00B97FE6">
        <w:rPr>
          <w:b/>
        </w:rPr>
        <w:t xml:space="preserve">PROTOKOLINIS SPRENDIMAS </w:t>
      </w:r>
    </w:p>
    <w:p w14:paraId="5D93A95B" w14:textId="77777777" w:rsidR="00C50E0F" w:rsidRPr="00B97FE6" w:rsidRDefault="00C50E0F" w:rsidP="005971AD">
      <w:pPr>
        <w:ind w:left="-180"/>
        <w:jc w:val="center"/>
        <w:outlineLvl w:val="0"/>
        <w:rPr>
          <w:b/>
        </w:rPr>
      </w:pPr>
    </w:p>
    <w:p w14:paraId="04D4E845" w14:textId="2BC0F9FD" w:rsidR="00C50E0F" w:rsidRPr="00B97FE6" w:rsidRDefault="00BD481B" w:rsidP="005971AD">
      <w:pPr>
        <w:jc w:val="center"/>
        <w:rPr>
          <w:b/>
        </w:rPr>
      </w:pPr>
      <w:r w:rsidRPr="00B97FE6">
        <w:rPr>
          <w:b/>
        </w:rPr>
        <w:t>DĖL FINANSŲ MINISTERIJOS PASIŪLYMO TIKSLINTI</w:t>
      </w:r>
      <w:r w:rsidRPr="00B97FE6">
        <w:rPr>
          <w:b/>
          <w:bCs/>
        </w:rPr>
        <w:t xml:space="preserve"> PROJEKTŲ BENDRŲJŲ ATRANKOS KRITERIJŲ SĄRAŠĄ IR JŲ VERTINIMO METODIKĄ</w:t>
      </w:r>
      <w:r w:rsidR="00C50E0F" w:rsidRPr="00B97FE6">
        <w:rPr>
          <w:b/>
        </w:rPr>
        <w:t>, TAIKANT RAŠYTINĘ PROCEDŪRĄ</w:t>
      </w:r>
    </w:p>
    <w:p w14:paraId="76DF5B3B" w14:textId="77777777" w:rsidR="00C50E0F" w:rsidRPr="00B97FE6" w:rsidRDefault="00C50E0F" w:rsidP="00C50E0F">
      <w:pPr>
        <w:jc w:val="center"/>
        <w:outlineLvl w:val="0"/>
        <w:rPr>
          <w:b/>
        </w:rPr>
      </w:pPr>
    </w:p>
    <w:p w14:paraId="71BBE12A" w14:textId="75351A86" w:rsidR="00C50E0F" w:rsidRPr="00B97FE6" w:rsidRDefault="00C50E0F" w:rsidP="00C50E0F">
      <w:pPr>
        <w:jc w:val="center"/>
        <w:outlineLvl w:val="0"/>
        <w:rPr>
          <w:bCs/>
        </w:rPr>
      </w:pPr>
      <w:r w:rsidRPr="00B97FE6">
        <w:rPr>
          <w:bCs/>
        </w:rPr>
        <w:t>202</w:t>
      </w:r>
      <w:r w:rsidR="00EE4ED9" w:rsidRPr="00B97FE6">
        <w:rPr>
          <w:bCs/>
        </w:rPr>
        <w:t>5</w:t>
      </w:r>
      <w:r w:rsidR="00616F17" w:rsidRPr="00B97FE6">
        <w:rPr>
          <w:bCs/>
        </w:rPr>
        <w:t>-</w:t>
      </w:r>
      <w:r w:rsidR="00983646" w:rsidRPr="00B97FE6">
        <w:rPr>
          <w:bCs/>
        </w:rPr>
        <w:t>0</w:t>
      </w:r>
      <w:r w:rsidR="007D0A04" w:rsidRPr="00B97FE6">
        <w:rPr>
          <w:bCs/>
        </w:rPr>
        <w:t>9-</w:t>
      </w:r>
      <w:r w:rsidR="000726B1" w:rsidRPr="00B97FE6">
        <w:rPr>
          <w:bCs/>
        </w:rPr>
        <w:t>24</w:t>
      </w:r>
      <w:r w:rsidRPr="00B97FE6">
        <w:rPr>
          <w:bCs/>
        </w:rPr>
        <w:t xml:space="preserve"> Nr. </w:t>
      </w:r>
      <w:r w:rsidR="006A72A1" w:rsidRPr="00B97FE6">
        <w:rPr>
          <w:bCs/>
        </w:rPr>
        <w:t>46P-</w:t>
      </w:r>
      <w:r w:rsidR="00AD3E65" w:rsidRPr="00B97FE6">
        <w:rPr>
          <w:bCs/>
        </w:rPr>
        <w:t>5</w:t>
      </w:r>
      <w:r w:rsidR="006A72A1" w:rsidRPr="00B97FE6">
        <w:rPr>
          <w:bCs/>
        </w:rPr>
        <w:t xml:space="preserve"> (</w:t>
      </w:r>
      <w:r w:rsidR="00D50A2C" w:rsidRPr="00B97FE6">
        <w:rPr>
          <w:bCs/>
        </w:rPr>
        <w:t>30</w:t>
      </w:r>
      <w:r w:rsidR="006A72A1" w:rsidRPr="00B97FE6">
        <w:rPr>
          <w:bCs/>
        </w:rPr>
        <w:t>)</w:t>
      </w:r>
    </w:p>
    <w:p w14:paraId="17C4CF16" w14:textId="77777777" w:rsidR="00DB2240" w:rsidRPr="00B97FE6" w:rsidRDefault="00DB2240">
      <w:pPr>
        <w:rPr>
          <w:b/>
          <w:bCs/>
          <w:u w:val="single"/>
        </w:rPr>
      </w:pPr>
    </w:p>
    <w:p w14:paraId="75D82635" w14:textId="77777777" w:rsidR="009E0991" w:rsidRPr="00B97FE6" w:rsidRDefault="009E0991" w:rsidP="009E0991">
      <w:pPr>
        <w:rPr>
          <w:b/>
          <w:bCs/>
          <w:u w:val="single"/>
        </w:rPr>
      </w:pPr>
      <w:r w:rsidRPr="00B97FE6">
        <w:rPr>
          <w:b/>
          <w:bCs/>
          <w:u w:val="single"/>
        </w:rPr>
        <w:t>Finansų ministerijos pasiūlymas</w:t>
      </w:r>
    </w:p>
    <w:p w14:paraId="00AE3EF8" w14:textId="77777777" w:rsidR="00E405F6" w:rsidRPr="00B97FE6" w:rsidRDefault="00E405F6">
      <w:pPr>
        <w:rPr>
          <w:b/>
          <w:bCs/>
          <w:u w:val="single"/>
        </w:rPr>
      </w:pPr>
    </w:p>
    <w:p w14:paraId="17B58559" w14:textId="77777777" w:rsidR="007F4446" w:rsidRPr="00B97FE6" w:rsidRDefault="007F4446" w:rsidP="007F4446">
      <w:pPr>
        <w:jc w:val="both"/>
        <w:rPr>
          <w:b/>
          <w:bCs/>
        </w:rPr>
      </w:pPr>
      <w:r w:rsidRPr="00B97FE6">
        <w:rPr>
          <w:b/>
          <w:bCs/>
        </w:rPr>
        <w:t>SIŪLOMA:</w:t>
      </w:r>
    </w:p>
    <w:p w14:paraId="6213411B" w14:textId="77777777" w:rsidR="007F4446" w:rsidRPr="00B97FE6" w:rsidRDefault="007F4446">
      <w:pPr>
        <w:rPr>
          <w:b/>
          <w:bCs/>
          <w:u w:val="single"/>
        </w:rPr>
      </w:pPr>
    </w:p>
    <w:p w14:paraId="37F510AF" w14:textId="77777777" w:rsidR="00D5765F" w:rsidRDefault="007F0A70" w:rsidP="00D5765F">
      <w:pPr>
        <w:ind w:firstLine="720"/>
        <w:jc w:val="both"/>
      </w:pPr>
      <w:r w:rsidRPr="00B97FE6">
        <w:rPr>
          <w:b/>
          <w:bCs/>
        </w:rPr>
        <w:t xml:space="preserve">Svarstyti ir pritarti </w:t>
      </w:r>
      <w:r w:rsidRPr="00B97FE6">
        <w:t xml:space="preserve">planuojamam Projektų administravimo ir finansavimo taisyklių, patvirtintų 2022 m. birželio 22 d. Lietuvos Respublikos finansų ministro įsakymu Nr. 1K-237 „Dėl 2021–2027 metų Europos Sąjungos fondų investicijų programos ir Ekonomikos gaivinimo ir atsparumo didinimo plano „Naujos kartos Lietuva įgyvendinimo“, </w:t>
      </w:r>
      <w:r w:rsidRPr="00B97FE6">
        <w:rPr>
          <w:b/>
          <w:bCs/>
        </w:rPr>
        <w:t xml:space="preserve">2 priedo „Projektų bendrųjų atrankos kriterijų sąrašas ir jų vertinimo metodika“ </w:t>
      </w:r>
      <w:r w:rsidRPr="00B97FE6">
        <w:t>(toliau – BAK)</w:t>
      </w:r>
      <w:r w:rsidRPr="00B97FE6">
        <w:rPr>
          <w:b/>
          <w:bCs/>
        </w:rPr>
        <w:t xml:space="preserve"> keitimui</w:t>
      </w:r>
      <w:r w:rsidRPr="00B97FE6">
        <w:t xml:space="preserve">. </w:t>
      </w:r>
      <w:bookmarkStart w:id="0" w:name="_Hlk184218025"/>
    </w:p>
    <w:p w14:paraId="627A03AF" w14:textId="06319A31" w:rsidR="007F0A70" w:rsidRPr="00D5765F" w:rsidRDefault="007F0A70" w:rsidP="00D5765F">
      <w:pPr>
        <w:ind w:firstLine="720"/>
        <w:jc w:val="both"/>
      </w:pPr>
      <w:r w:rsidRPr="00B97FE6">
        <w:t>Šiuo keitimu:</w:t>
      </w:r>
      <w:r w:rsidRPr="00B97FE6">
        <w:rPr>
          <w:b/>
          <w:bCs/>
        </w:rPr>
        <w:t xml:space="preserve"> </w:t>
      </w:r>
    </w:p>
    <w:p w14:paraId="45D812E7" w14:textId="77777777" w:rsidR="00D5765F" w:rsidRDefault="007F0A70" w:rsidP="00D5765F">
      <w:pPr>
        <w:pStyle w:val="ListParagraph"/>
        <w:numPr>
          <w:ilvl w:val="0"/>
          <w:numId w:val="8"/>
        </w:numPr>
        <w:ind w:left="0" w:firstLine="720"/>
        <w:jc w:val="both"/>
      </w:pPr>
      <w:bookmarkStart w:id="1" w:name="_Hlk184219246"/>
      <w:bookmarkEnd w:id="0"/>
      <w:r w:rsidRPr="00B97FE6">
        <w:rPr>
          <w:b/>
          <w:bCs/>
        </w:rPr>
        <w:t>tikslinamas</w:t>
      </w:r>
      <w:r w:rsidRPr="00B97FE6">
        <w:t xml:space="preserve"> </w:t>
      </w:r>
      <w:r w:rsidRPr="00B97FE6">
        <w:rPr>
          <w:b/>
          <w:bCs/>
        </w:rPr>
        <w:t>4.2. papunktis</w:t>
      </w:r>
      <w:r w:rsidRPr="00B97FE6">
        <w:t>: 4.2.1 papunktyje nustatytas vertinimo aspektas</w:t>
      </w:r>
      <w:r w:rsidRPr="00B97FE6">
        <w:rPr>
          <w:b/>
          <w:bCs/>
        </w:rPr>
        <w:t xml:space="preserve"> </w:t>
      </w:r>
      <w:r w:rsidRPr="00B97FE6">
        <w:t>tikslinamas išvardinant nusikalstamas veikas, dėl kurių pradėtas ikiteisminis tyrimas yra laikomas apribojimu gauti finansavimą. 4.2.3 papunktyje nustatytame vertinimo aspekte tikslinamas ir papildomas nusikalstamų veikų sąrašas, dėl kurių neišnykęs arba nepanaikintas teistumas arba per pastaruosius 5 metus priimtas ir įsiteisėjęs apkaltinamasis teismo nuosprendis yra laikomas apribojimu gauti finansavimą.</w:t>
      </w:r>
    </w:p>
    <w:p w14:paraId="521174A2" w14:textId="4AFF792A" w:rsidR="007F0A70" w:rsidRPr="00B97FE6" w:rsidRDefault="007F0A70" w:rsidP="004D2E40">
      <w:pPr>
        <w:ind w:firstLine="720"/>
        <w:jc w:val="both"/>
      </w:pPr>
      <w:r w:rsidRPr="00D5765F">
        <w:rPr>
          <w:b/>
          <w:bCs/>
        </w:rPr>
        <w:t>Argumentai:</w:t>
      </w:r>
      <w:r w:rsidRPr="00B97FE6">
        <w:t xml:space="preserve"> BAK 4.2.1 papunktyje nustatyto vertinimo aspekto tikslinimas reikalingas siekiant teisinio aiškumo ir atsižvelgiant į tai, kad šiuo metu minėtame papunktyje nustatytame vertinimo aspekte vartojamas terminas "ūkinė ir (arba) ekonominė veikla" yra talpus ir gali būti skirtingai interpretuojamas, todėl reikalinga aiškiai apibrėžti, dėl kurių konkrečiai Lietuvos Respublikos baudžiamajame kodekse nustatytų nusikalstamų veikų pradėtas ikiteisminis tyrimas būtų laikomas apribojimu gauti finansavimą. BAK 4.2.3 papunktyje nustatyto vertinimo aspekto tikslinimas reikalingas atsižvelgiant į 4.2.1 papunktyje nustatyto vertinimo aspekto tikslinimą, į Lietuvos Respublikos baudžiamajame kodekse vartojamus nusikalstamų veikų apibrėžimus, </w:t>
      </w:r>
      <w:r w:rsidRPr="00D5765F">
        <w:rPr>
          <w:bCs/>
        </w:rPr>
        <w:t>taip pat į Finansinio reglamento</w:t>
      </w:r>
      <w:r w:rsidRPr="00B97FE6">
        <w:rPr>
          <w:bCs/>
          <w:vertAlign w:val="superscript"/>
        </w:rPr>
        <w:footnoteReference w:id="1"/>
      </w:r>
      <w:r w:rsidRPr="00D5765F">
        <w:rPr>
          <w:bCs/>
        </w:rPr>
        <w:t xml:space="preserve"> 138 straipsnio 1 dalies c punkto vi papunktį.</w:t>
      </w:r>
    </w:p>
    <w:p w14:paraId="6BB91027" w14:textId="77777777" w:rsidR="00D5765F" w:rsidRDefault="007F0A70" w:rsidP="00D5765F">
      <w:pPr>
        <w:pStyle w:val="ListParagraph"/>
        <w:numPr>
          <w:ilvl w:val="0"/>
          <w:numId w:val="8"/>
        </w:numPr>
        <w:ind w:left="0" w:firstLine="720"/>
        <w:jc w:val="both"/>
      </w:pPr>
      <w:r w:rsidRPr="00B97FE6">
        <w:t xml:space="preserve">BAK </w:t>
      </w:r>
      <w:r w:rsidRPr="00B97FE6">
        <w:rPr>
          <w:b/>
          <w:bCs/>
        </w:rPr>
        <w:t>4.6 papunktyje</w:t>
      </w:r>
      <w:r w:rsidRPr="00B97FE6">
        <w:t xml:space="preserve"> nustatyto </w:t>
      </w:r>
      <w:r w:rsidRPr="00B97FE6">
        <w:rPr>
          <w:b/>
          <w:bCs/>
        </w:rPr>
        <w:t>vertinimo aspekto instrukcijoje nurodoma</w:t>
      </w:r>
      <w:r w:rsidRPr="00B97FE6">
        <w:t>, kad atitiktis šiam vertinimo aspektui nevertinama, kai kartu su paraiška finansuoti jungtinio projekto projektą pateikiami ir jungtinio projekto veiklos įgyvendinimo pagrindimo dokumentai. Taip pat instrukcijoje patikslinama, kada pateikta pareiškėjo ar partnerio deklaracija yra pakankamas dokumentas nuosavo įnašo finansavimo užtikrinimui įrodyti.</w:t>
      </w:r>
    </w:p>
    <w:p w14:paraId="3B122556" w14:textId="64F4601D" w:rsidR="007F0A70" w:rsidRPr="00B97FE6" w:rsidRDefault="007F0A70" w:rsidP="004D2E40">
      <w:pPr>
        <w:ind w:firstLine="720"/>
        <w:jc w:val="both"/>
      </w:pPr>
      <w:r w:rsidRPr="00D5765F">
        <w:rPr>
          <w:b/>
          <w:bCs/>
        </w:rPr>
        <w:t>Argumentai:</w:t>
      </w:r>
      <w:r w:rsidRPr="00B97FE6">
        <w:t xml:space="preserve"> BAK 4.6 papunktyje nustatyto vertinimo aspekto instrukcija tikslinama atsižvelgiant į tai, kad tais atvejais, kai jungtinio projekto projekto paraiška pateikiama jau įgyvendinus jungtinio projekto projekto veiklas (t. y. pateikus jų įgyvendinimą įrodančius dokumentus), yra netikslinga vertinti nuosavo įnašo finansavimo užtikrinimą, taip pat siekiant </w:t>
      </w:r>
      <w:r w:rsidRPr="00B97FE6">
        <w:lastRenderedPageBreak/>
        <w:t>teisinio aiškumo bei atsižvelgiant į tai, kad nustatytas nuosavo įnašo dydis, kada laikoma, jog pateikta pareiškėjo ar partnerio deklaracija yra pakankamas dokumentas nuosavo įnašo finansavimo užtikrinimui įrodyti, yra taikomas pareiškėjui ir partneriui (-iams) atskirai.</w:t>
      </w:r>
    </w:p>
    <w:p w14:paraId="422F33B3" w14:textId="77777777" w:rsidR="007F0A70" w:rsidRPr="00B97FE6" w:rsidRDefault="007F0A70" w:rsidP="00D5765F">
      <w:pPr>
        <w:pStyle w:val="ListParagraph"/>
        <w:numPr>
          <w:ilvl w:val="0"/>
          <w:numId w:val="8"/>
        </w:numPr>
        <w:spacing w:before="240" w:line="259" w:lineRule="auto"/>
        <w:ind w:left="0" w:firstLine="720"/>
        <w:jc w:val="both"/>
      </w:pPr>
      <w:r w:rsidRPr="0075230D">
        <w:rPr>
          <w:b/>
          <w:bCs/>
        </w:rPr>
        <w:t>BAK papildomi nauju 11 punktu</w:t>
      </w:r>
      <w:r w:rsidRPr="00B97FE6">
        <w:t xml:space="preserve"> „Projektas atitinka išankstinio vertinimo rezultatus“.</w:t>
      </w:r>
    </w:p>
    <w:p w14:paraId="27DF439A" w14:textId="77777777" w:rsidR="007F0A70" w:rsidRPr="00B97FE6" w:rsidRDefault="007F0A70" w:rsidP="004D2E40">
      <w:pPr>
        <w:ind w:firstLine="720"/>
        <w:jc w:val="both"/>
      </w:pPr>
      <w:r w:rsidRPr="000D3E18">
        <w:rPr>
          <w:b/>
          <w:bCs/>
        </w:rPr>
        <w:t xml:space="preserve">Argumentai: </w:t>
      </w:r>
      <w:r w:rsidRPr="000D3E18">
        <w:rPr>
          <w:rFonts w:eastAsia="MS Mincho"/>
        </w:rPr>
        <w:t>vadovaujantis Bendrųjų nuostatų reglamento</w:t>
      </w:r>
      <w:r w:rsidRPr="00B97FE6">
        <w:rPr>
          <w:rStyle w:val="FootnoteReference"/>
          <w:rFonts w:eastAsia="MS Mincho"/>
        </w:rPr>
        <w:footnoteReference w:id="2"/>
      </w:r>
      <w:r w:rsidRPr="000D3E18">
        <w:rPr>
          <w:rFonts w:eastAsia="MS Mincho"/>
        </w:rPr>
        <w:t xml:space="preserve"> 58 straipsnio 3 dalimi („</w:t>
      </w:r>
      <w:r w:rsidRPr="000D3E18">
        <w:rPr>
          <w:rFonts w:eastAsia="MS Mincho"/>
          <w:i/>
          <w:iCs/>
        </w:rPr>
        <w:t>Ex ante</w:t>
      </w:r>
      <w:r w:rsidRPr="000D3E18">
        <w:rPr>
          <w:rFonts w:eastAsia="MS Mincho"/>
        </w:rPr>
        <w:t xml:space="preserve"> vertinimas turi būti baigtas prieš vadovaujančiajai institucijai paskiriant programos įnašus finansinėms priemonėms“) ir atsižvelgiant į Finansinių priemonių įgyvendinimo taisyklių, p</w:t>
      </w:r>
      <w:r w:rsidRPr="00B97FE6">
        <w:t xml:space="preserve">atvirtintų Lietuvos Respublikos finansų ministro 2022 m. birželio 22 d. įsakymu Nr. 1K-237 „Dėl 2021–2027 metų Europos Sąjungos fondų investicijų programos ir Ekonomikos gaivinimo ir atsparumo didinimo plano „Naujos kartos Lietuva“ įgyvendinimo“, </w:t>
      </w:r>
      <w:r w:rsidRPr="000D3E18">
        <w:rPr>
          <w:rFonts w:eastAsia="MS Mincho"/>
        </w:rPr>
        <w:t>32 punktą, kuris nurodo, kad investavimo strategija turi atitikti išankstinio vertinimo rezultatus.</w:t>
      </w:r>
      <w:bookmarkEnd w:id="1"/>
    </w:p>
    <w:p w14:paraId="37CD321B" w14:textId="77777777" w:rsidR="007F0A70" w:rsidRPr="00B97FE6" w:rsidRDefault="007F0A70">
      <w:pPr>
        <w:rPr>
          <w:b/>
          <w:bCs/>
          <w:u w:val="single"/>
        </w:rPr>
      </w:pPr>
    </w:p>
    <w:p w14:paraId="61FDDD1B" w14:textId="77777777" w:rsidR="004D2E40" w:rsidRDefault="0032317B" w:rsidP="004D2E40">
      <w:pPr>
        <w:jc w:val="both"/>
      </w:pPr>
      <w:r>
        <w:rPr>
          <w:b/>
          <w:bCs/>
        </w:rPr>
        <w:t>NUTARTA</w:t>
      </w:r>
      <w:r w:rsidR="0096069E" w:rsidRPr="00B97FE6">
        <w:rPr>
          <w:b/>
          <w:bCs/>
        </w:rPr>
        <w:t>:</w:t>
      </w:r>
      <w:r w:rsidR="0096069E" w:rsidRPr="00B97FE6">
        <w:t xml:space="preserve"> </w:t>
      </w:r>
    </w:p>
    <w:p w14:paraId="3676D1CA" w14:textId="77777777" w:rsidR="004D2E40" w:rsidRDefault="004D2E40" w:rsidP="004D2E40">
      <w:pPr>
        <w:jc w:val="both"/>
      </w:pPr>
    </w:p>
    <w:p w14:paraId="7C130F05" w14:textId="4AD119CD" w:rsidR="0096069E" w:rsidRPr="00B97FE6" w:rsidRDefault="004D2E40" w:rsidP="004D2E40">
      <w:pPr>
        <w:jc w:val="both"/>
      </w:pPr>
      <w:r>
        <w:t>P</w:t>
      </w:r>
      <w:r w:rsidR="00A738C6" w:rsidRPr="00B97FE6">
        <w:t>ritarti BAK 4.2 papunktyje nustatytų vertinimo aspektų patikslinimui, 4.6 papunktyje  nustatyto vertinimo aspekto instrukcijos patikslinimui ir BAK 11 punkto nustatymui</w:t>
      </w:r>
      <w:r w:rsidR="0096069E" w:rsidRPr="00B97FE6">
        <w:t>.</w:t>
      </w:r>
    </w:p>
    <w:p w14:paraId="72B798E6" w14:textId="77777777" w:rsidR="007F150C" w:rsidRDefault="007F150C" w:rsidP="00630CDC">
      <w:pPr>
        <w:jc w:val="both"/>
        <w:rPr>
          <w:i/>
          <w:iCs/>
        </w:rPr>
      </w:pPr>
    </w:p>
    <w:p w14:paraId="059DEB57" w14:textId="6F6A7541" w:rsidR="00CD5519" w:rsidRPr="000D1D75" w:rsidRDefault="00CD5519" w:rsidP="0032317B">
      <w:pPr>
        <w:ind w:firstLine="720"/>
        <w:jc w:val="both"/>
        <w:rPr>
          <w:b/>
          <w:bCs/>
        </w:rPr>
      </w:pPr>
      <w:r w:rsidRPr="000D1D75">
        <w:t>Iš 4</w:t>
      </w:r>
      <w:r>
        <w:t>8</w:t>
      </w:r>
      <w:r w:rsidRPr="000D1D75">
        <w:t xml:space="preserve"> Komiteto narių balsavime dalyvavo </w:t>
      </w:r>
      <w:r>
        <w:t>25</w:t>
      </w:r>
      <w:r w:rsidRPr="000D1D75">
        <w:t xml:space="preserve"> Komiteto nariai. </w:t>
      </w:r>
      <w:r w:rsidRPr="000D1D75">
        <w:rPr>
          <w:b/>
          <w:bCs/>
        </w:rPr>
        <w:t xml:space="preserve">„UŽ“ balsavo </w:t>
      </w:r>
      <w:r>
        <w:rPr>
          <w:b/>
          <w:bCs/>
        </w:rPr>
        <w:t>25</w:t>
      </w:r>
      <w:r w:rsidRPr="000D1D75">
        <w:rPr>
          <w:b/>
          <w:bCs/>
        </w:rPr>
        <w:t xml:space="preserve"> Komiteto nariai, „PRIEŠ“ balsavusių nėra.</w:t>
      </w:r>
    </w:p>
    <w:p w14:paraId="3E2752BD" w14:textId="77777777" w:rsidR="00CD5519" w:rsidRPr="00B97FE6" w:rsidRDefault="00CD5519" w:rsidP="00630CDC">
      <w:pPr>
        <w:jc w:val="both"/>
        <w:rPr>
          <w:i/>
          <w:iCs/>
        </w:rPr>
      </w:pPr>
    </w:p>
    <w:p w14:paraId="2BA7040B" w14:textId="77777777" w:rsidR="009B2652" w:rsidRPr="00B97FE6" w:rsidRDefault="009B2652" w:rsidP="005000F8">
      <w:pPr>
        <w:ind w:firstLine="720"/>
        <w:jc w:val="both"/>
      </w:pPr>
      <w:r w:rsidRPr="00B97FE6">
        <w:t>PRIDEDAMA:</w:t>
      </w:r>
    </w:p>
    <w:p w14:paraId="07FE749F" w14:textId="00000BB1" w:rsidR="00CD5519" w:rsidRDefault="00CD5519" w:rsidP="00CD5519">
      <w:pPr>
        <w:numPr>
          <w:ilvl w:val="0"/>
          <w:numId w:val="7"/>
        </w:numPr>
        <w:ind w:left="1060" w:hanging="340"/>
        <w:jc w:val="both"/>
      </w:pPr>
      <w:r>
        <w:t>Dalyvių sąrašas – 1 lapas;</w:t>
      </w:r>
    </w:p>
    <w:p w14:paraId="442E7798" w14:textId="5FEFDA56" w:rsidR="003D41D4" w:rsidRPr="00B97FE6" w:rsidRDefault="003D41D4" w:rsidP="000D3E18">
      <w:pPr>
        <w:numPr>
          <w:ilvl w:val="0"/>
          <w:numId w:val="7"/>
        </w:numPr>
        <w:ind w:left="1060" w:hanging="340"/>
        <w:jc w:val="both"/>
      </w:pPr>
      <w:r w:rsidRPr="00B97FE6">
        <w:t xml:space="preserve">Projektų administravimo ir finansavimo taisyklių 2 priedo keičiamų dalių lyginamasis variantas – 4 </w:t>
      </w:r>
      <w:r w:rsidR="004D2E40">
        <w:t>lapai;</w:t>
      </w:r>
    </w:p>
    <w:p w14:paraId="0B374318" w14:textId="688C84D7" w:rsidR="003D41D4" w:rsidRPr="00B97FE6" w:rsidRDefault="003D41D4" w:rsidP="000D3E18">
      <w:pPr>
        <w:numPr>
          <w:ilvl w:val="0"/>
          <w:numId w:val="7"/>
        </w:numPr>
        <w:ind w:left="1060" w:hanging="340"/>
        <w:jc w:val="both"/>
      </w:pPr>
      <w:r w:rsidRPr="00B97FE6">
        <w:t xml:space="preserve">Projektų administravimo ir finansavimo taisyklių 2 priedo lyginamasis variantas – 20 </w:t>
      </w:r>
      <w:r w:rsidR="004D2E40">
        <w:t>lapų.</w:t>
      </w:r>
    </w:p>
    <w:p w14:paraId="4C63BD4C" w14:textId="77777777" w:rsidR="009B2652" w:rsidRPr="00B97FE6" w:rsidRDefault="009B2652" w:rsidP="00630CDC">
      <w:pPr>
        <w:jc w:val="both"/>
      </w:pPr>
    </w:p>
    <w:p w14:paraId="74FA3078" w14:textId="77777777" w:rsidR="00E159A2" w:rsidRPr="00B97FE6" w:rsidRDefault="00E159A2" w:rsidP="001E58C0"/>
    <w:p w14:paraId="22628A8B" w14:textId="77777777" w:rsidR="001E58C0" w:rsidRPr="00B97FE6" w:rsidRDefault="001E58C0" w:rsidP="001E58C0"/>
    <w:p w14:paraId="229A2F7B" w14:textId="77777777" w:rsidR="006E1554" w:rsidRPr="00B97FE6" w:rsidRDefault="006E1554" w:rsidP="006E1554"/>
    <w:p w14:paraId="105603F9" w14:textId="515E8824" w:rsidR="006E1554" w:rsidRPr="00052B02" w:rsidRDefault="006E1554" w:rsidP="006E1554">
      <w:pPr>
        <w:pStyle w:val="NormalWeb"/>
        <w:spacing w:before="0" w:beforeAutospacing="0" w:after="0" w:afterAutospacing="0"/>
        <w:jc w:val="both"/>
      </w:pPr>
      <w:r w:rsidRPr="00B97FE6">
        <w:t>Pirmininkė</w:t>
      </w:r>
      <w:r w:rsidRPr="00B97FE6">
        <w:tab/>
      </w:r>
      <w:r w:rsidRPr="00B97FE6">
        <w:tab/>
      </w:r>
      <w:r w:rsidRPr="00B97FE6">
        <w:tab/>
      </w:r>
      <w:r w:rsidRPr="00B97FE6">
        <w:tab/>
      </w:r>
      <w:r w:rsidRPr="00B97FE6">
        <w:tab/>
      </w:r>
      <w:r w:rsidRPr="00B97FE6">
        <w:tab/>
      </w:r>
      <w:r w:rsidRPr="00B97FE6">
        <w:tab/>
      </w:r>
      <w:r w:rsidRPr="00B97FE6">
        <w:tab/>
      </w:r>
      <w:r w:rsidRPr="00B97FE6">
        <w:tab/>
      </w:r>
      <w:r w:rsidR="00990C8A" w:rsidRPr="00B97FE6">
        <w:t>Vaida Žukauskaitė</w:t>
      </w:r>
    </w:p>
    <w:p w14:paraId="270BF22A" w14:textId="771CF799" w:rsidR="006E1554" w:rsidRDefault="006E1554" w:rsidP="006E1554"/>
    <w:p w14:paraId="758FC8FF" w14:textId="77777777" w:rsidR="007D0134" w:rsidRPr="007D0134" w:rsidRDefault="007D0134" w:rsidP="007D0134"/>
    <w:p w14:paraId="3F35DF72" w14:textId="77777777" w:rsidR="007D0134" w:rsidRDefault="007D0134" w:rsidP="007D0134"/>
    <w:p w14:paraId="37A775A3" w14:textId="77777777" w:rsidR="007D0134" w:rsidRPr="00046A04" w:rsidRDefault="007D0134" w:rsidP="007D0134">
      <w:pPr>
        <w:pStyle w:val="NormalWeb"/>
        <w:jc w:val="both"/>
      </w:pPr>
      <w:r w:rsidRPr="00046A04">
        <w:t>Dokumentas pasirašytas el. parašu:</w:t>
      </w:r>
    </w:p>
    <w:p w14:paraId="2E58CFD9" w14:textId="153D27A2" w:rsidR="007D0134" w:rsidRPr="00046A04" w:rsidRDefault="007D0134" w:rsidP="007D0134">
      <w:pPr>
        <w:pStyle w:val="NormalWeb"/>
        <w:jc w:val="both"/>
      </w:pPr>
      <w:r w:rsidRPr="00046A04">
        <w:t>202</w:t>
      </w:r>
      <w:r>
        <w:t>5-10-03</w:t>
      </w:r>
    </w:p>
    <w:p w14:paraId="2CA7AD13" w14:textId="77777777" w:rsidR="007D0134" w:rsidRPr="007D0134" w:rsidRDefault="007D0134" w:rsidP="007D0134"/>
    <w:sectPr w:rsidR="007D0134" w:rsidRPr="007D0134" w:rsidSect="00002D7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0EC8" w14:textId="77777777" w:rsidR="0033169D" w:rsidRDefault="0033169D" w:rsidP="00C50E0F">
      <w:r>
        <w:separator/>
      </w:r>
    </w:p>
  </w:endnote>
  <w:endnote w:type="continuationSeparator" w:id="0">
    <w:p w14:paraId="316E3BDD" w14:textId="77777777" w:rsidR="0033169D" w:rsidRDefault="0033169D" w:rsidP="00C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4">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037B" w14:textId="77777777" w:rsidR="0033169D" w:rsidRDefault="0033169D" w:rsidP="00C50E0F">
      <w:r>
        <w:separator/>
      </w:r>
    </w:p>
  </w:footnote>
  <w:footnote w:type="continuationSeparator" w:id="0">
    <w:p w14:paraId="68836307" w14:textId="77777777" w:rsidR="0033169D" w:rsidRDefault="0033169D" w:rsidP="00C50E0F">
      <w:r>
        <w:continuationSeparator/>
      </w:r>
    </w:p>
  </w:footnote>
  <w:footnote w:id="1">
    <w:p w14:paraId="3B31422A" w14:textId="77777777" w:rsidR="007F0A70" w:rsidRPr="00C13FBB" w:rsidRDefault="007F0A70" w:rsidP="007F0A70">
      <w:pPr>
        <w:pStyle w:val="FootnoteText"/>
        <w:jc w:val="both"/>
        <w:rPr>
          <w:rFonts w:ascii="Times New Roman" w:hAnsi="Times New Roman" w:cs="Times New Roman"/>
        </w:rPr>
      </w:pPr>
      <w:r w:rsidRPr="00C13FBB">
        <w:rPr>
          <w:rStyle w:val="FootnoteReference"/>
          <w:rFonts w:ascii="Times New Roman" w:hAnsi="Times New Roman" w:cs="Times New Roman"/>
        </w:rPr>
        <w:footnoteRef/>
      </w:r>
      <w:r w:rsidRPr="00C13FBB">
        <w:rPr>
          <w:rFonts w:ascii="Times New Roman" w:hAnsi="Times New Roman" w:cs="Times New Roman"/>
        </w:rPr>
        <w:t xml:space="preserve"> </w:t>
      </w:r>
      <w:r w:rsidRPr="00C13FBB">
        <w:rPr>
          <w:rFonts w:ascii="Times New Roman" w:hAnsi="Times New Roman" w:cs="Times New Roman"/>
          <w:bCs/>
          <w:szCs w:val="24"/>
        </w:rPr>
        <w:t>2024 m. rugsėjo 23 d. Europos Parlamento ir Tarybos reglamentas (ES, Euratomas) 2024/2509 dėl Sąjungos bendrajam biudžetui taikomų finansinių taisyklių.</w:t>
      </w:r>
    </w:p>
  </w:footnote>
  <w:footnote w:id="2">
    <w:p w14:paraId="6BC40937" w14:textId="77777777" w:rsidR="007F0A70" w:rsidRDefault="007F0A70" w:rsidP="007F0A70">
      <w:pPr>
        <w:pStyle w:val="FootnoteText"/>
        <w:jc w:val="both"/>
      </w:pPr>
      <w:r w:rsidRPr="00C13FBB">
        <w:rPr>
          <w:rStyle w:val="FootnoteReference"/>
          <w:rFonts w:ascii="Times New Roman" w:hAnsi="Times New Roman" w:cs="Times New Roman"/>
        </w:rPr>
        <w:footnoteRef/>
      </w:r>
      <w:r w:rsidRPr="00C13FBB">
        <w:rPr>
          <w:rFonts w:ascii="Times New Roman" w:hAnsi="Times New Roman" w:cs="Times New Roman"/>
        </w:rPr>
        <w:t xml:space="preserve">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81A" w14:textId="1AC8F66E" w:rsidR="009F7193" w:rsidRPr="00F868DC" w:rsidRDefault="009F7193" w:rsidP="009F71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FB7"/>
    <w:multiLevelType w:val="hybridMultilevel"/>
    <w:tmpl w:val="8AA0B1DE"/>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E6C39"/>
    <w:multiLevelType w:val="hybridMultilevel"/>
    <w:tmpl w:val="11AA0FDA"/>
    <w:lvl w:ilvl="0" w:tplc="8386101E">
      <w:start w:val="1"/>
      <w:numFmt w:val="bullet"/>
      <w:lvlText w:val=""/>
      <w:lvlJc w:val="left"/>
      <w:pPr>
        <w:ind w:left="720" w:hanging="360"/>
      </w:pPr>
      <w:rPr>
        <w:rFonts w:ascii="Symbol" w:hAnsi="Symbol" w:hint="default"/>
      </w:rPr>
    </w:lvl>
    <w:lvl w:ilvl="1" w:tplc="B912659E">
      <w:start w:val="1"/>
      <w:numFmt w:val="bullet"/>
      <w:lvlText w:val="o"/>
      <w:lvlJc w:val="left"/>
      <w:pPr>
        <w:ind w:left="1440" w:hanging="360"/>
      </w:pPr>
      <w:rPr>
        <w:rFonts w:ascii="Courier New" w:hAnsi="Courier New" w:hint="default"/>
      </w:rPr>
    </w:lvl>
    <w:lvl w:ilvl="2" w:tplc="CCE02696">
      <w:start w:val="1"/>
      <w:numFmt w:val="bullet"/>
      <w:lvlText w:val=""/>
      <w:lvlJc w:val="left"/>
      <w:pPr>
        <w:ind w:left="2160" w:hanging="360"/>
      </w:pPr>
      <w:rPr>
        <w:rFonts w:ascii="Wingdings" w:hAnsi="Wingdings" w:hint="default"/>
      </w:rPr>
    </w:lvl>
    <w:lvl w:ilvl="3" w:tplc="AA6450B4">
      <w:start w:val="1"/>
      <w:numFmt w:val="bullet"/>
      <w:lvlText w:val=""/>
      <w:lvlJc w:val="left"/>
      <w:pPr>
        <w:ind w:left="2880" w:hanging="360"/>
      </w:pPr>
      <w:rPr>
        <w:rFonts w:ascii="Symbol" w:hAnsi="Symbol" w:hint="default"/>
      </w:rPr>
    </w:lvl>
    <w:lvl w:ilvl="4" w:tplc="6E169B4E">
      <w:start w:val="1"/>
      <w:numFmt w:val="bullet"/>
      <w:lvlText w:val="o"/>
      <w:lvlJc w:val="left"/>
      <w:pPr>
        <w:ind w:left="3600" w:hanging="360"/>
      </w:pPr>
      <w:rPr>
        <w:rFonts w:ascii="Courier New" w:hAnsi="Courier New" w:hint="default"/>
      </w:rPr>
    </w:lvl>
    <w:lvl w:ilvl="5" w:tplc="6DCC93C6">
      <w:start w:val="1"/>
      <w:numFmt w:val="bullet"/>
      <w:lvlText w:val=""/>
      <w:lvlJc w:val="left"/>
      <w:pPr>
        <w:ind w:left="4320" w:hanging="360"/>
      </w:pPr>
      <w:rPr>
        <w:rFonts w:ascii="Wingdings" w:hAnsi="Wingdings" w:hint="default"/>
      </w:rPr>
    </w:lvl>
    <w:lvl w:ilvl="6" w:tplc="7A86E82C">
      <w:start w:val="1"/>
      <w:numFmt w:val="bullet"/>
      <w:lvlText w:val=""/>
      <w:lvlJc w:val="left"/>
      <w:pPr>
        <w:ind w:left="5040" w:hanging="360"/>
      </w:pPr>
      <w:rPr>
        <w:rFonts w:ascii="Symbol" w:hAnsi="Symbol" w:hint="default"/>
      </w:rPr>
    </w:lvl>
    <w:lvl w:ilvl="7" w:tplc="61C419B2">
      <w:start w:val="1"/>
      <w:numFmt w:val="bullet"/>
      <w:lvlText w:val="o"/>
      <w:lvlJc w:val="left"/>
      <w:pPr>
        <w:ind w:left="5760" w:hanging="360"/>
      </w:pPr>
      <w:rPr>
        <w:rFonts w:ascii="Courier New" w:hAnsi="Courier New" w:hint="default"/>
      </w:rPr>
    </w:lvl>
    <w:lvl w:ilvl="8" w:tplc="0E0E88F4">
      <w:start w:val="1"/>
      <w:numFmt w:val="bullet"/>
      <w:lvlText w:val=""/>
      <w:lvlJc w:val="left"/>
      <w:pPr>
        <w:ind w:left="6480" w:hanging="360"/>
      </w:pPr>
      <w:rPr>
        <w:rFonts w:ascii="Wingdings" w:hAnsi="Wingdings" w:hint="default"/>
      </w:rPr>
    </w:lvl>
  </w:abstractNum>
  <w:abstractNum w:abstractNumId="2" w15:restartNumberingAfterBreak="0">
    <w:nsid w:val="3D1F1179"/>
    <w:multiLevelType w:val="hybridMultilevel"/>
    <w:tmpl w:val="24AAF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6C58C0"/>
    <w:multiLevelType w:val="hybridMultilevel"/>
    <w:tmpl w:val="892CD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8476C4"/>
    <w:multiLevelType w:val="hybridMultilevel"/>
    <w:tmpl w:val="5AFA8AEA"/>
    <w:lvl w:ilvl="0" w:tplc="AEDA87A0">
      <w:start w:val="1"/>
      <w:numFmt w:val="decimal"/>
      <w:suff w:val="space"/>
      <w:lvlText w:val="%1."/>
      <w:lvlJc w:val="left"/>
      <w:pPr>
        <w:ind w:left="0" w:firstLine="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C5B6325"/>
    <w:multiLevelType w:val="hybridMultilevel"/>
    <w:tmpl w:val="C6507C92"/>
    <w:lvl w:ilvl="0" w:tplc="4F9CA726">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BB92A8B"/>
    <w:multiLevelType w:val="hybridMultilevel"/>
    <w:tmpl w:val="5D945EB8"/>
    <w:lvl w:ilvl="0" w:tplc="8844022A">
      <w:start w:val="1"/>
      <w:numFmt w:val="decimal"/>
      <w:lvlText w:val="%1."/>
      <w:lvlJc w:val="left"/>
      <w:pPr>
        <w:ind w:left="720" w:hanging="360"/>
      </w:pPr>
      <w:rPr>
        <w:rFonts w:ascii="CIDFont+F4" w:hAnsi="CIDFont+F4" w:cs="CIDFont+F4"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16875">
    <w:abstractNumId w:val="0"/>
  </w:num>
  <w:num w:numId="2" w16cid:durableId="419064366">
    <w:abstractNumId w:val="6"/>
  </w:num>
  <w:num w:numId="3" w16cid:durableId="1027564984">
    <w:abstractNumId w:val="4"/>
  </w:num>
  <w:num w:numId="4" w16cid:durableId="1893341833">
    <w:abstractNumId w:val="2"/>
  </w:num>
  <w:num w:numId="5" w16cid:durableId="1801872935">
    <w:abstractNumId w:val="1"/>
  </w:num>
  <w:num w:numId="6" w16cid:durableId="1482963039">
    <w:abstractNumId w:val="3"/>
  </w:num>
  <w:num w:numId="7" w16cid:durableId="1986666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185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0F"/>
    <w:rsid w:val="00002A73"/>
    <w:rsid w:val="00002D7B"/>
    <w:rsid w:val="00020196"/>
    <w:rsid w:val="00020353"/>
    <w:rsid w:val="00023955"/>
    <w:rsid w:val="000241BA"/>
    <w:rsid w:val="00025E7D"/>
    <w:rsid w:val="00030CAB"/>
    <w:rsid w:val="000377E6"/>
    <w:rsid w:val="00047D50"/>
    <w:rsid w:val="00052B02"/>
    <w:rsid w:val="00062DE3"/>
    <w:rsid w:val="000662C1"/>
    <w:rsid w:val="000726B1"/>
    <w:rsid w:val="00073ED3"/>
    <w:rsid w:val="00076E69"/>
    <w:rsid w:val="000C3151"/>
    <w:rsid w:val="000C4DDB"/>
    <w:rsid w:val="000D3E18"/>
    <w:rsid w:val="000E480F"/>
    <w:rsid w:val="000F35F0"/>
    <w:rsid w:val="0010178B"/>
    <w:rsid w:val="00107721"/>
    <w:rsid w:val="00110739"/>
    <w:rsid w:val="00121227"/>
    <w:rsid w:val="00134D44"/>
    <w:rsid w:val="0014101F"/>
    <w:rsid w:val="0017349F"/>
    <w:rsid w:val="00175CD3"/>
    <w:rsid w:val="00190AF5"/>
    <w:rsid w:val="0019374A"/>
    <w:rsid w:val="001A17D5"/>
    <w:rsid w:val="001A18A5"/>
    <w:rsid w:val="001B0311"/>
    <w:rsid w:val="001D2D5F"/>
    <w:rsid w:val="001E58C0"/>
    <w:rsid w:val="001E6927"/>
    <w:rsid w:val="001F0CB6"/>
    <w:rsid w:val="001F6942"/>
    <w:rsid w:val="00207F35"/>
    <w:rsid w:val="00215890"/>
    <w:rsid w:val="00252BF2"/>
    <w:rsid w:val="00264810"/>
    <w:rsid w:val="0026523E"/>
    <w:rsid w:val="00271C65"/>
    <w:rsid w:val="002814E6"/>
    <w:rsid w:val="002A7120"/>
    <w:rsid w:val="002C6B65"/>
    <w:rsid w:val="002D70AD"/>
    <w:rsid w:val="002E6EEE"/>
    <w:rsid w:val="00303B9E"/>
    <w:rsid w:val="0031160D"/>
    <w:rsid w:val="0032317B"/>
    <w:rsid w:val="0033169D"/>
    <w:rsid w:val="003433BA"/>
    <w:rsid w:val="00343AEC"/>
    <w:rsid w:val="003616D8"/>
    <w:rsid w:val="003739A2"/>
    <w:rsid w:val="00382B60"/>
    <w:rsid w:val="003843AF"/>
    <w:rsid w:val="00390227"/>
    <w:rsid w:val="00395FD9"/>
    <w:rsid w:val="003A1A30"/>
    <w:rsid w:val="003A2431"/>
    <w:rsid w:val="003C1FB1"/>
    <w:rsid w:val="003D41D4"/>
    <w:rsid w:val="003D5E6D"/>
    <w:rsid w:val="003D61F1"/>
    <w:rsid w:val="00404081"/>
    <w:rsid w:val="00410509"/>
    <w:rsid w:val="00411190"/>
    <w:rsid w:val="00412365"/>
    <w:rsid w:val="0042252F"/>
    <w:rsid w:val="00437DF6"/>
    <w:rsid w:val="00445698"/>
    <w:rsid w:val="00446C6E"/>
    <w:rsid w:val="00454CED"/>
    <w:rsid w:val="00470D71"/>
    <w:rsid w:val="0047209C"/>
    <w:rsid w:val="00474E0B"/>
    <w:rsid w:val="00497CA3"/>
    <w:rsid w:val="004A65B8"/>
    <w:rsid w:val="004A7582"/>
    <w:rsid w:val="004D2E40"/>
    <w:rsid w:val="004F00F2"/>
    <w:rsid w:val="004F183A"/>
    <w:rsid w:val="005000F8"/>
    <w:rsid w:val="00500AE4"/>
    <w:rsid w:val="00500DCE"/>
    <w:rsid w:val="00521C12"/>
    <w:rsid w:val="00524194"/>
    <w:rsid w:val="00532D18"/>
    <w:rsid w:val="005429ED"/>
    <w:rsid w:val="005547BB"/>
    <w:rsid w:val="005621E4"/>
    <w:rsid w:val="00575FEB"/>
    <w:rsid w:val="005971AD"/>
    <w:rsid w:val="00597B40"/>
    <w:rsid w:val="005A6C5C"/>
    <w:rsid w:val="005B15D8"/>
    <w:rsid w:val="005C25E3"/>
    <w:rsid w:val="005C3C8D"/>
    <w:rsid w:val="005E2415"/>
    <w:rsid w:val="005E5498"/>
    <w:rsid w:val="005F0856"/>
    <w:rsid w:val="00615434"/>
    <w:rsid w:val="00616F17"/>
    <w:rsid w:val="00630CDC"/>
    <w:rsid w:val="006375DD"/>
    <w:rsid w:val="006567A0"/>
    <w:rsid w:val="006700EA"/>
    <w:rsid w:val="0069196F"/>
    <w:rsid w:val="006953EE"/>
    <w:rsid w:val="006A0CCB"/>
    <w:rsid w:val="006A2241"/>
    <w:rsid w:val="006A72A1"/>
    <w:rsid w:val="006C374A"/>
    <w:rsid w:val="006C6337"/>
    <w:rsid w:val="006D2646"/>
    <w:rsid w:val="006E1554"/>
    <w:rsid w:val="006E35A4"/>
    <w:rsid w:val="006F5143"/>
    <w:rsid w:val="00706EA0"/>
    <w:rsid w:val="00711D6B"/>
    <w:rsid w:val="00712BD5"/>
    <w:rsid w:val="007176D6"/>
    <w:rsid w:val="00717A15"/>
    <w:rsid w:val="00721505"/>
    <w:rsid w:val="007217FB"/>
    <w:rsid w:val="007225F0"/>
    <w:rsid w:val="007371DB"/>
    <w:rsid w:val="007467B5"/>
    <w:rsid w:val="0075230D"/>
    <w:rsid w:val="00752A6A"/>
    <w:rsid w:val="00754D5A"/>
    <w:rsid w:val="00756D35"/>
    <w:rsid w:val="007676DD"/>
    <w:rsid w:val="00784AA0"/>
    <w:rsid w:val="00786492"/>
    <w:rsid w:val="00794A52"/>
    <w:rsid w:val="007D0134"/>
    <w:rsid w:val="007D0A04"/>
    <w:rsid w:val="007D117B"/>
    <w:rsid w:val="007D6384"/>
    <w:rsid w:val="007D7520"/>
    <w:rsid w:val="007E79CA"/>
    <w:rsid w:val="007F0A70"/>
    <w:rsid w:val="007F150C"/>
    <w:rsid w:val="007F4446"/>
    <w:rsid w:val="00835533"/>
    <w:rsid w:val="00837FB0"/>
    <w:rsid w:val="00857179"/>
    <w:rsid w:val="00864CBD"/>
    <w:rsid w:val="008675A6"/>
    <w:rsid w:val="008710BF"/>
    <w:rsid w:val="00881EA8"/>
    <w:rsid w:val="00886530"/>
    <w:rsid w:val="00890E75"/>
    <w:rsid w:val="008B0E23"/>
    <w:rsid w:val="008B13A0"/>
    <w:rsid w:val="008B2551"/>
    <w:rsid w:val="00906AAF"/>
    <w:rsid w:val="009243BD"/>
    <w:rsid w:val="0093471C"/>
    <w:rsid w:val="009372C9"/>
    <w:rsid w:val="009543E0"/>
    <w:rsid w:val="0096069E"/>
    <w:rsid w:val="00965C1F"/>
    <w:rsid w:val="00973D79"/>
    <w:rsid w:val="00983646"/>
    <w:rsid w:val="00987734"/>
    <w:rsid w:val="00990C8A"/>
    <w:rsid w:val="0099115B"/>
    <w:rsid w:val="009B2652"/>
    <w:rsid w:val="009C5AFF"/>
    <w:rsid w:val="009D3164"/>
    <w:rsid w:val="009E0991"/>
    <w:rsid w:val="009E442F"/>
    <w:rsid w:val="009E5AAF"/>
    <w:rsid w:val="009F7193"/>
    <w:rsid w:val="00A13C3D"/>
    <w:rsid w:val="00A2259D"/>
    <w:rsid w:val="00A33B7B"/>
    <w:rsid w:val="00A42270"/>
    <w:rsid w:val="00A611A5"/>
    <w:rsid w:val="00A738C6"/>
    <w:rsid w:val="00A80D13"/>
    <w:rsid w:val="00A85C6C"/>
    <w:rsid w:val="00A85D47"/>
    <w:rsid w:val="00A965B4"/>
    <w:rsid w:val="00AA2189"/>
    <w:rsid w:val="00AA7B85"/>
    <w:rsid w:val="00AC0767"/>
    <w:rsid w:val="00AD31C2"/>
    <w:rsid w:val="00AD3E65"/>
    <w:rsid w:val="00AD4957"/>
    <w:rsid w:val="00AE2610"/>
    <w:rsid w:val="00AF04A7"/>
    <w:rsid w:val="00AF62A2"/>
    <w:rsid w:val="00B03486"/>
    <w:rsid w:val="00B4099B"/>
    <w:rsid w:val="00B457ED"/>
    <w:rsid w:val="00B45E38"/>
    <w:rsid w:val="00B51B03"/>
    <w:rsid w:val="00B84719"/>
    <w:rsid w:val="00B90BCE"/>
    <w:rsid w:val="00B97FE6"/>
    <w:rsid w:val="00BA4481"/>
    <w:rsid w:val="00BD481B"/>
    <w:rsid w:val="00BE1AAB"/>
    <w:rsid w:val="00BE3135"/>
    <w:rsid w:val="00BE4718"/>
    <w:rsid w:val="00BF2494"/>
    <w:rsid w:val="00C0598F"/>
    <w:rsid w:val="00C11E89"/>
    <w:rsid w:val="00C15B89"/>
    <w:rsid w:val="00C202CD"/>
    <w:rsid w:val="00C21153"/>
    <w:rsid w:val="00C21F40"/>
    <w:rsid w:val="00C2211D"/>
    <w:rsid w:val="00C32551"/>
    <w:rsid w:val="00C33CDA"/>
    <w:rsid w:val="00C42E97"/>
    <w:rsid w:val="00C50E0F"/>
    <w:rsid w:val="00C667F7"/>
    <w:rsid w:val="00C76B8A"/>
    <w:rsid w:val="00C76FEE"/>
    <w:rsid w:val="00C80560"/>
    <w:rsid w:val="00CC3289"/>
    <w:rsid w:val="00CC6827"/>
    <w:rsid w:val="00CD5519"/>
    <w:rsid w:val="00CE4CF1"/>
    <w:rsid w:val="00CF37B3"/>
    <w:rsid w:val="00D06B3D"/>
    <w:rsid w:val="00D1192B"/>
    <w:rsid w:val="00D12134"/>
    <w:rsid w:val="00D166E8"/>
    <w:rsid w:val="00D35FFF"/>
    <w:rsid w:val="00D50A2C"/>
    <w:rsid w:val="00D5765F"/>
    <w:rsid w:val="00D57C6D"/>
    <w:rsid w:val="00D633F3"/>
    <w:rsid w:val="00D66AFB"/>
    <w:rsid w:val="00D813EE"/>
    <w:rsid w:val="00D90E66"/>
    <w:rsid w:val="00D92F4B"/>
    <w:rsid w:val="00DA0315"/>
    <w:rsid w:val="00DA1228"/>
    <w:rsid w:val="00DA1E6F"/>
    <w:rsid w:val="00DB2240"/>
    <w:rsid w:val="00DC754F"/>
    <w:rsid w:val="00DE30A6"/>
    <w:rsid w:val="00DF2772"/>
    <w:rsid w:val="00DF458E"/>
    <w:rsid w:val="00E159A2"/>
    <w:rsid w:val="00E30232"/>
    <w:rsid w:val="00E32A5A"/>
    <w:rsid w:val="00E353DD"/>
    <w:rsid w:val="00E405F6"/>
    <w:rsid w:val="00E52F93"/>
    <w:rsid w:val="00E63402"/>
    <w:rsid w:val="00E639E7"/>
    <w:rsid w:val="00E84CB2"/>
    <w:rsid w:val="00EA7A5F"/>
    <w:rsid w:val="00EE2EDB"/>
    <w:rsid w:val="00EE4ED9"/>
    <w:rsid w:val="00EF208F"/>
    <w:rsid w:val="00EF669F"/>
    <w:rsid w:val="00EF671C"/>
    <w:rsid w:val="00F21128"/>
    <w:rsid w:val="00F36770"/>
    <w:rsid w:val="00F47E7E"/>
    <w:rsid w:val="00F55A85"/>
    <w:rsid w:val="00F736D6"/>
    <w:rsid w:val="00F83C84"/>
    <w:rsid w:val="00F8494E"/>
    <w:rsid w:val="00F85B36"/>
    <w:rsid w:val="00F868DC"/>
    <w:rsid w:val="00F91FB9"/>
    <w:rsid w:val="00F95ABC"/>
    <w:rsid w:val="00F97554"/>
    <w:rsid w:val="00FB30D5"/>
    <w:rsid w:val="00FB44C6"/>
    <w:rsid w:val="00FB45B5"/>
    <w:rsid w:val="00FC2EEE"/>
    <w:rsid w:val="00FD24FA"/>
    <w:rsid w:val="00FD4B97"/>
    <w:rsid w:val="00FE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F41"/>
  <w15:docId w15:val="{E6622221-ED4D-489D-ADDD-7D6F06F5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0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0F"/>
    <w:pPr>
      <w:tabs>
        <w:tab w:val="center" w:pos="4819"/>
        <w:tab w:val="right" w:pos="9638"/>
      </w:tabs>
    </w:pPr>
  </w:style>
  <w:style w:type="character" w:customStyle="1" w:styleId="HeaderChar">
    <w:name w:val="Header Char"/>
    <w:basedOn w:val="DefaultParagraphFont"/>
    <w:link w:val="Header"/>
    <w:uiPriority w:val="99"/>
    <w:rsid w:val="00C50E0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C50E0F"/>
    <w:pPr>
      <w:tabs>
        <w:tab w:val="center" w:pos="4819"/>
        <w:tab w:val="right" w:pos="9638"/>
      </w:tabs>
    </w:pPr>
  </w:style>
  <w:style w:type="character" w:customStyle="1" w:styleId="FooterChar">
    <w:name w:val="Footer Char"/>
    <w:basedOn w:val="DefaultParagraphFont"/>
    <w:link w:val="Footer"/>
    <w:uiPriority w:val="99"/>
    <w:rsid w:val="00C50E0F"/>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C50E0F"/>
    <w:pPr>
      <w:ind w:left="720"/>
      <w:contextualSpacing/>
    </w:pPr>
  </w:style>
  <w:style w:type="table" w:styleId="TableGrid">
    <w:name w:val="Table Grid"/>
    <w:basedOn w:val="TableNormal"/>
    <w:uiPriority w:val="39"/>
    <w:rsid w:val="00C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57ED"/>
    <w:pPr>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9243BD"/>
    <w:rPr>
      <w:rFonts w:ascii="Tahoma" w:hAnsi="Tahoma" w:cs="Tahoma"/>
      <w:sz w:val="16"/>
      <w:szCs w:val="16"/>
    </w:rPr>
  </w:style>
  <w:style w:type="character" w:customStyle="1" w:styleId="BalloonTextChar">
    <w:name w:val="Balloon Text Char"/>
    <w:basedOn w:val="DefaultParagraphFont"/>
    <w:link w:val="BalloonText"/>
    <w:uiPriority w:val="99"/>
    <w:semiHidden/>
    <w:rsid w:val="009243BD"/>
    <w:rPr>
      <w:rFonts w:ascii="Tahoma" w:eastAsia="Times New Roman" w:hAnsi="Tahoma" w:cs="Tahoma"/>
      <w:sz w:val="16"/>
      <w:szCs w:val="16"/>
      <w:lang w:val="lt-LT" w:eastAsia="lt-LT"/>
    </w:rPr>
  </w:style>
  <w:style w:type="paragraph" w:styleId="NormalWeb">
    <w:name w:val="Normal (Web)"/>
    <w:basedOn w:val="Normal"/>
    <w:uiPriority w:val="99"/>
    <w:unhideWhenUsed/>
    <w:rsid w:val="00CE4CF1"/>
    <w:pPr>
      <w:spacing w:before="100" w:beforeAutospacing="1" w:after="100" w:afterAutospacing="1"/>
    </w:pPr>
  </w:style>
  <w:style w:type="character" w:styleId="CommentReference">
    <w:name w:val="annotation reference"/>
    <w:basedOn w:val="DefaultParagraphFont"/>
    <w:uiPriority w:val="99"/>
    <w:semiHidden/>
    <w:unhideWhenUsed/>
    <w:rsid w:val="000C3151"/>
    <w:rPr>
      <w:sz w:val="16"/>
      <w:szCs w:val="16"/>
    </w:rPr>
  </w:style>
  <w:style w:type="paragraph" w:styleId="CommentText">
    <w:name w:val="annotation text"/>
    <w:basedOn w:val="Normal"/>
    <w:link w:val="CommentTextChar"/>
    <w:uiPriority w:val="99"/>
    <w:unhideWhenUsed/>
    <w:rsid w:val="000C3151"/>
    <w:rPr>
      <w:sz w:val="20"/>
      <w:szCs w:val="20"/>
    </w:rPr>
  </w:style>
  <w:style w:type="character" w:customStyle="1" w:styleId="CommentTextChar">
    <w:name w:val="Comment Text Char"/>
    <w:basedOn w:val="DefaultParagraphFont"/>
    <w:link w:val="CommentText"/>
    <w:uiPriority w:val="99"/>
    <w:rsid w:val="000C315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C3151"/>
    <w:rPr>
      <w:b/>
      <w:bCs/>
    </w:rPr>
  </w:style>
  <w:style w:type="character" w:customStyle="1" w:styleId="CommentSubjectChar">
    <w:name w:val="Comment Subject Char"/>
    <w:basedOn w:val="CommentTextChar"/>
    <w:link w:val="CommentSubject"/>
    <w:uiPriority w:val="99"/>
    <w:semiHidden/>
    <w:rsid w:val="000C3151"/>
    <w:rPr>
      <w:rFonts w:ascii="Times New Roman" w:eastAsia="Times New Roman" w:hAnsi="Times New Roman" w:cs="Times New Roman"/>
      <w:b/>
      <w:bCs/>
      <w:sz w:val="20"/>
      <w:szCs w:val="20"/>
      <w:lang w:val="lt-LT" w:eastAsia="lt-LT"/>
    </w:rPr>
  </w:style>
  <w:style w:type="character" w:styleId="Hyperlink">
    <w:name w:val="Hyperlink"/>
    <w:basedOn w:val="DefaultParagraphFont"/>
    <w:unhideWhenUsed/>
    <w:rsid w:val="007D7520"/>
    <w:rPr>
      <w:color w:val="0563C1" w:themeColor="hyperlink"/>
      <w:u w:val="single"/>
    </w:rPr>
  </w:style>
  <w:style w:type="character" w:styleId="UnresolvedMention">
    <w:name w:val="Unresolved Mention"/>
    <w:basedOn w:val="DefaultParagraphFont"/>
    <w:uiPriority w:val="99"/>
    <w:semiHidden/>
    <w:unhideWhenUsed/>
    <w:rsid w:val="00264810"/>
    <w:rPr>
      <w:color w:val="605E5C"/>
      <w:shd w:val="clear" w:color="auto" w:fill="E1DFDD"/>
    </w:rPr>
  </w:style>
  <w:style w:type="paragraph" w:customStyle="1" w:styleId="Default">
    <w:name w:val="Default"/>
    <w:rsid w:val="00047D5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ui-provider">
    <w:name w:val="ui-provider"/>
    <w:basedOn w:val="DefaultParagraphFont"/>
    <w:rsid w:val="00C33CDA"/>
  </w:style>
  <w:style w:type="paragraph" w:styleId="FootnoteText">
    <w:name w:val="footnote text"/>
    <w:basedOn w:val="Normal"/>
    <w:link w:val="FootnoteTextChar"/>
    <w:uiPriority w:val="99"/>
    <w:semiHidden/>
    <w:unhideWhenUsed/>
    <w:rsid w:val="007F0A70"/>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7F0A70"/>
    <w:rPr>
      <w:kern w:val="2"/>
      <w:sz w:val="20"/>
      <w:szCs w:val="20"/>
      <w:lang w:val="lt-LT"/>
      <w14:ligatures w14:val="standardContextual"/>
    </w:rPr>
  </w:style>
  <w:style w:type="character" w:styleId="FootnoteReference">
    <w:name w:val="footnote reference"/>
    <w:basedOn w:val="DefaultParagraphFont"/>
    <w:uiPriority w:val="99"/>
    <w:semiHidden/>
    <w:unhideWhenUsed/>
    <w:rsid w:val="007F0A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551">
      <w:bodyDiv w:val="1"/>
      <w:marLeft w:val="0"/>
      <w:marRight w:val="0"/>
      <w:marTop w:val="0"/>
      <w:marBottom w:val="0"/>
      <w:divBdr>
        <w:top w:val="none" w:sz="0" w:space="0" w:color="auto"/>
        <w:left w:val="none" w:sz="0" w:space="0" w:color="auto"/>
        <w:bottom w:val="none" w:sz="0" w:space="0" w:color="auto"/>
        <w:right w:val="none" w:sz="0" w:space="0" w:color="auto"/>
      </w:divBdr>
    </w:div>
    <w:div w:id="665867286">
      <w:bodyDiv w:val="1"/>
      <w:marLeft w:val="0"/>
      <w:marRight w:val="0"/>
      <w:marTop w:val="0"/>
      <w:marBottom w:val="0"/>
      <w:divBdr>
        <w:top w:val="none" w:sz="0" w:space="0" w:color="auto"/>
        <w:left w:val="none" w:sz="0" w:space="0" w:color="auto"/>
        <w:bottom w:val="none" w:sz="0" w:space="0" w:color="auto"/>
        <w:right w:val="none" w:sz="0" w:space="0" w:color="auto"/>
      </w:divBdr>
    </w:div>
    <w:div w:id="740561282">
      <w:bodyDiv w:val="1"/>
      <w:marLeft w:val="0"/>
      <w:marRight w:val="0"/>
      <w:marTop w:val="0"/>
      <w:marBottom w:val="0"/>
      <w:divBdr>
        <w:top w:val="none" w:sz="0" w:space="0" w:color="auto"/>
        <w:left w:val="none" w:sz="0" w:space="0" w:color="auto"/>
        <w:bottom w:val="none" w:sz="0" w:space="0" w:color="auto"/>
        <w:right w:val="none" w:sz="0" w:space="0" w:color="auto"/>
      </w:divBdr>
    </w:div>
    <w:div w:id="831987073">
      <w:bodyDiv w:val="1"/>
      <w:marLeft w:val="0"/>
      <w:marRight w:val="0"/>
      <w:marTop w:val="0"/>
      <w:marBottom w:val="0"/>
      <w:divBdr>
        <w:top w:val="none" w:sz="0" w:space="0" w:color="auto"/>
        <w:left w:val="none" w:sz="0" w:space="0" w:color="auto"/>
        <w:bottom w:val="none" w:sz="0" w:space="0" w:color="auto"/>
        <w:right w:val="none" w:sz="0" w:space="0" w:color="auto"/>
      </w:divBdr>
    </w:div>
    <w:div w:id="1267273527">
      <w:bodyDiv w:val="1"/>
      <w:marLeft w:val="0"/>
      <w:marRight w:val="0"/>
      <w:marTop w:val="0"/>
      <w:marBottom w:val="0"/>
      <w:divBdr>
        <w:top w:val="none" w:sz="0" w:space="0" w:color="auto"/>
        <w:left w:val="none" w:sz="0" w:space="0" w:color="auto"/>
        <w:bottom w:val="none" w:sz="0" w:space="0" w:color="auto"/>
        <w:right w:val="none" w:sz="0" w:space="0" w:color="auto"/>
      </w:divBdr>
    </w:div>
    <w:div w:id="1354766129">
      <w:bodyDiv w:val="1"/>
      <w:marLeft w:val="0"/>
      <w:marRight w:val="0"/>
      <w:marTop w:val="0"/>
      <w:marBottom w:val="0"/>
      <w:divBdr>
        <w:top w:val="none" w:sz="0" w:space="0" w:color="auto"/>
        <w:left w:val="none" w:sz="0" w:space="0" w:color="auto"/>
        <w:bottom w:val="none" w:sz="0" w:space="0" w:color="auto"/>
        <w:right w:val="none" w:sz="0" w:space="0" w:color="auto"/>
      </w:divBdr>
    </w:div>
    <w:div w:id="1638484691">
      <w:bodyDiv w:val="1"/>
      <w:marLeft w:val="0"/>
      <w:marRight w:val="0"/>
      <w:marTop w:val="0"/>
      <w:marBottom w:val="0"/>
      <w:divBdr>
        <w:top w:val="none" w:sz="0" w:space="0" w:color="auto"/>
        <w:left w:val="none" w:sz="0" w:space="0" w:color="auto"/>
        <w:bottom w:val="none" w:sz="0" w:space="0" w:color="auto"/>
        <w:right w:val="none" w:sz="0" w:space="0" w:color="auto"/>
      </w:divBdr>
    </w:div>
    <w:div w:id="1802335664">
      <w:bodyDiv w:val="1"/>
      <w:marLeft w:val="0"/>
      <w:marRight w:val="0"/>
      <w:marTop w:val="0"/>
      <w:marBottom w:val="0"/>
      <w:divBdr>
        <w:top w:val="none" w:sz="0" w:space="0" w:color="auto"/>
        <w:left w:val="none" w:sz="0" w:space="0" w:color="auto"/>
        <w:bottom w:val="none" w:sz="0" w:space="0" w:color="auto"/>
        <w:right w:val="none" w:sz="0" w:space="0" w:color="auto"/>
      </w:divBdr>
    </w:div>
    <w:div w:id="19793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610F-DD1B-4079-AA1B-E6F11B4B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2854</Words>
  <Characters>1627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Matutienė</dc:creator>
  <cp:lastModifiedBy>Lina Mechoncevė</cp:lastModifiedBy>
  <cp:revision>35</cp:revision>
  <dcterms:created xsi:type="dcterms:W3CDTF">2025-05-16T12:44:00Z</dcterms:created>
  <dcterms:modified xsi:type="dcterms:W3CDTF">2025-10-03T08:39:00Z</dcterms:modified>
</cp:coreProperties>
</file>