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09AB9F58" w14:textId="3C631BB2" w:rsidR="00E8185E" w:rsidRDefault="0036662A" w:rsidP="00DD3616">
      <w:pPr>
        <w:jc w:val="center"/>
        <w:rPr>
          <w:rFonts w:ascii="Times New Roman Bold" w:hAnsi="Times New Roman Bold"/>
          <w:b/>
          <w:bCs/>
          <w:caps/>
        </w:rPr>
      </w:pPr>
      <w:r w:rsidRPr="00017566">
        <w:rPr>
          <w:b/>
          <w:bCs/>
        </w:rPr>
        <w:t xml:space="preserve">SOCIALINIŲ IR EKONOMINIŲ PARTNERIŲ </w:t>
      </w:r>
      <w:r w:rsidRPr="00E8185E">
        <w:rPr>
          <w:rFonts w:ascii="Times New Roman Bold" w:hAnsi="Times New Roman Bold"/>
          <w:b/>
          <w:bCs/>
          <w:caps/>
        </w:rPr>
        <w:t xml:space="preserve">PATEIKTŲ PASTABŲ IR PASIŪLYMŲ DĖL </w:t>
      </w:r>
      <w:r w:rsidR="001E4110" w:rsidRPr="001E4110">
        <w:rPr>
          <w:rFonts w:ascii="Times New Roman Bold" w:hAnsi="Times New Roman Bold"/>
          <w:b/>
          <w:bCs/>
          <w:caps/>
        </w:rPr>
        <w:t>2022–2030 metų ekonomikos transformacijos ir konkurencingumo plėtros programos pažangos priemonės Nr. 05-001-01-05-07 „Sukurti nuoseklią inovacinės veiklos skatinimo sistemą“ veiklos „19. Skatinti įmonių STEP technologijų gynybos ir saugumo srityje, įskaitant specialiųjų elementų ir specialiųjų mašinų, naudojamų galutiniams produktams gaminti, kūrimą arba gamybą“ poveiklių „19.1. Skatinti įmonių STEP technologijų gynybos ir saugumo srityje, įskaitant specialiųjų elementų ir specialiųjų mašinų, naudojamų galutiniams produktams gaminti, kūrimą arba gamybą (Sostinės regionas)“ ir „19.2. Skatinti įmonių STEP technologijų gynybos ir saugumo srityje, įskaitant specialiųjų elementų ir specialiųjų mašinų, naudojamų galutiniams produktams gaminti, kūrimą arba gamybą (Vidurio ir Vakarų Lietuvos regionas)“</w:t>
      </w:r>
      <w:r w:rsidR="00E8185E" w:rsidRPr="00E8185E">
        <w:rPr>
          <w:rFonts w:ascii="Times New Roman Bold" w:hAnsi="Times New Roman Bold"/>
          <w:b/>
          <w:bCs/>
          <w:caps/>
        </w:rPr>
        <w:t xml:space="preserve"> </w:t>
      </w:r>
    </w:p>
    <w:p w14:paraId="61FE5354" w14:textId="4E145451" w:rsidR="0036662A" w:rsidRPr="001E4110" w:rsidRDefault="00A323E0" w:rsidP="00DD3616">
      <w:pPr>
        <w:jc w:val="center"/>
        <w:rPr>
          <w:rFonts w:ascii="Times New Roman Bold" w:hAnsi="Times New Roman Bold"/>
          <w:b/>
          <w:bCs/>
          <w:caps/>
        </w:rPr>
      </w:pPr>
      <w:r w:rsidRPr="00E8185E">
        <w:rPr>
          <w:rFonts w:ascii="Times New Roman Bold" w:hAnsi="Times New Roman Bold"/>
          <w:b/>
          <w:bCs/>
          <w:caps/>
        </w:rPr>
        <w:t xml:space="preserve">PROJEKTŲ </w:t>
      </w:r>
      <w:r w:rsidR="00721965">
        <w:rPr>
          <w:rFonts w:ascii="Times New Roman Bold" w:hAnsi="Times New Roman Bold"/>
          <w:b/>
          <w:bCs/>
          <w:caps/>
        </w:rPr>
        <w:t>FINANSAVIMO S</w:t>
      </w:r>
      <w:r w:rsidR="00721965" w:rsidRPr="00721965">
        <w:rPr>
          <w:rFonts w:ascii="Times New Roman Bold" w:hAnsi="Times New Roman Bold"/>
          <w:b/>
          <w:bCs/>
          <w:caps/>
        </w:rPr>
        <w:t>ĄLYGŲ APRAŠO</w:t>
      </w:r>
      <w:r w:rsidRPr="001E4110">
        <w:rPr>
          <w:rFonts w:ascii="Times New Roman Bold" w:hAnsi="Times New Roman Bold"/>
          <w:b/>
          <w:bCs/>
          <w:caps/>
        </w:rPr>
        <w:t xml:space="preserve"> DERINIMAS</w:t>
      </w:r>
    </w:p>
    <w:p w14:paraId="15324480" w14:textId="447A9587" w:rsidR="005A640D" w:rsidRDefault="005A640D" w:rsidP="00DD3616">
      <w:pPr>
        <w:jc w:val="center"/>
        <w:rPr>
          <w:b/>
          <w:bCs/>
          <w:caps/>
        </w:rPr>
      </w:pPr>
    </w:p>
    <w:p w14:paraId="33019844" w14:textId="77777777" w:rsidR="005A640D" w:rsidRPr="00B1094E" w:rsidRDefault="005A640D" w:rsidP="005A640D">
      <w:pPr>
        <w:jc w:val="both"/>
        <w:rPr>
          <w:b/>
          <w:i/>
          <w:iCs/>
          <w:szCs w:val="24"/>
        </w:rPr>
      </w:pPr>
      <w:r w:rsidRPr="00B1094E">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6C397A4D" w:rsidR="0036662A" w:rsidRPr="00E8185E" w:rsidRDefault="00F65129" w:rsidP="00335D39">
            <w:pPr>
              <w:rPr>
                <w:szCs w:val="24"/>
                <w:lang w:val="en-US"/>
              </w:rPr>
            </w:pPr>
            <w:r w:rsidRPr="00017566">
              <w:rPr>
                <w:szCs w:val="24"/>
              </w:rPr>
              <w:t>202</w:t>
            </w:r>
            <w:r w:rsidR="00E8185E">
              <w:rPr>
                <w:szCs w:val="24"/>
                <w:lang w:val="en-US"/>
              </w:rPr>
              <w:t>5-</w:t>
            </w:r>
            <w:r w:rsidR="00721965">
              <w:rPr>
                <w:szCs w:val="24"/>
                <w:lang w:val="en-US"/>
              </w:rPr>
              <w:t>09-30</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6F756260" w:rsidR="0036662A" w:rsidRPr="00017566" w:rsidRDefault="0006158F" w:rsidP="0070221E">
            <w:pPr>
              <w:rPr>
                <w:szCs w:val="24"/>
              </w:rPr>
            </w:pPr>
            <w:sdt>
              <w:sdtPr>
                <w:id w:val="-338542889"/>
              </w:sdtPr>
              <w:sdtEndPr/>
              <w:sdtContent>
                <w:r w:rsidR="00EF52E1">
                  <w:fldChar w:fldCharType="begin">
                    <w:ffData>
                      <w:name w:val=""/>
                      <w:enabled/>
                      <w:calcOnExit w:val="0"/>
                      <w:checkBox>
                        <w:sizeAuto/>
                        <w:default w:val="0"/>
                      </w:checkBox>
                    </w:ffData>
                  </w:fldChar>
                </w:r>
                <w:r w:rsidR="00EF52E1">
                  <w:instrText xml:space="preserve"> FORMCHECKBOX </w:instrText>
                </w:r>
                <w:r w:rsidR="00EF52E1">
                  <w:fldChar w:fldCharType="separate"/>
                </w:r>
                <w:r w:rsidR="00EF52E1">
                  <w:fldChar w:fldCharType="end"/>
                </w:r>
              </w:sdtContent>
            </w:sdt>
            <w:r w:rsidR="00015942" w:rsidRPr="00017566">
              <w:rPr>
                <w:szCs w:val="24"/>
              </w:rPr>
              <w:t xml:space="preserve"> </w:t>
            </w:r>
            <w:r w:rsidR="0036662A" w:rsidRPr="00017566">
              <w:rPr>
                <w:szCs w:val="24"/>
              </w:rPr>
              <w:t xml:space="preserve">Taip </w:t>
            </w:r>
            <w:sdt>
              <w:sdtPr>
                <w:id w:val="-1548671976"/>
              </w:sdtPr>
              <w:sdtEndPr/>
              <w:sdtContent>
                <w:sdt>
                  <w:sdtPr>
                    <w:id w:val="-1485691649"/>
                  </w:sdtPr>
                  <w:sdtEndPr/>
                  <w:sdtContent>
                    <w:r w:rsidR="00EF52E1">
                      <w:fldChar w:fldCharType="begin">
                        <w:ffData>
                          <w:name w:val=""/>
                          <w:enabled/>
                          <w:calcOnExit w:val="0"/>
                          <w:checkBox>
                            <w:sizeAuto/>
                            <w:default w:val="1"/>
                          </w:checkBox>
                        </w:ffData>
                      </w:fldChar>
                    </w:r>
                    <w:r w:rsidR="00EF52E1">
                      <w:instrText xml:space="preserve"> FORMCHECKBOX </w:instrText>
                    </w:r>
                    <w:r w:rsidR="00EF52E1">
                      <w:fldChar w:fldCharType="separate"/>
                    </w:r>
                    <w:r w:rsidR="00EF52E1">
                      <w:fldChar w:fldCharType="end"/>
                    </w:r>
                  </w:sdtContent>
                </w:sdt>
                <w:r w:rsidR="00EF52E1">
                  <w:t xml:space="preserve"> </w:t>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730"/>
        <w:gridCol w:w="5103"/>
        <w:gridCol w:w="7371"/>
      </w:tblGrid>
      <w:tr w:rsidR="0036662A" w:rsidRPr="00C85D29" w14:paraId="6A4E2F17" w14:textId="77777777" w:rsidTr="00BF3D8D">
        <w:tc>
          <w:tcPr>
            <w:tcW w:w="567" w:type="dxa"/>
          </w:tcPr>
          <w:p w14:paraId="025A5EA9" w14:textId="77777777" w:rsidR="0036662A" w:rsidRPr="00C85D29" w:rsidRDefault="0036662A" w:rsidP="00335D39">
            <w:pPr>
              <w:jc w:val="center"/>
              <w:rPr>
                <w:b/>
                <w:szCs w:val="24"/>
              </w:rPr>
            </w:pPr>
            <w:r w:rsidRPr="00C85D29">
              <w:rPr>
                <w:b/>
                <w:szCs w:val="24"/>
              </w:rPr>
              <w:t>Nr.</w:t>
            </w:r>
          </w:p>
        </w:tc>
        <w:tc>
          <w:tcPr>
            <w:tcW w:w="1730" w:type="dxa"/>
          </w:tcPr>
          <w:p w14:paraId="5FEE2DEB" w14:textId="77777777" w:rsidR="0036662A" w:rsidRPr="00C85D29" w:rsidRDefault="0036662A" w:rsidP="00335D39">
            <w:pPr>
              <w:jc w:val="center"/>
              <w:rPr>
                <w:b/>
                <w:szCs w:val="24"/>
              </w:rPr>
            </w:pPr>
            <w:r w:rsidRPr="00C85D29">
              <w:rPr>
                <w:b/>
                <w:szCs w:val="24"/>
              </w:rPr>
              <w:t>Institucija</w:t>
            </w:r>
          </w:p>
        </w:tc>
        <w:tc>
          <w:tcPr>
            <w:tcW w:w="5103" w:type="dxa"/>
          </w:tcPr>
          <w:p w14:paraId="4F6476E0" w14:textId="77777777" w:rsidR="0036662A" w:rsidRPr="00C85D29" w:rsidRDefault="0036662A" w:rsidP="00335D39">
            <w:pPr>
              <w:jc w:val="center"/>
              <w:rPr>
                <w:b/>
                <w:szCs w:val="24"/>
              </w:rPr>
            </w:pPr>
            <w:r w:rsidRPr="00C85D29">
              <w:rPr>
                <w:b/>
                <w:bCs/>
              </w:rPr>
              <w:t>Pastabos ir pasiūlymai</w:t>
            </w:r>
          </w:p>
        </w:tc>
        <w:tc>
          <w:tcPr>
            <w:tcW w:w="7371"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600C37" w:rsidRPr="00C85D29" w14:paraId="281D077B" w14:textId="77777777" w:rsidTr="00BF3D8D">
        <w:tc>
          <w:tcPr>
            <w:tcW w:w="567" w:type="dxa"/>
          </w:tcPr>
          <w:p w14:paraId="66C96C52" w14:textId="5A535EDC" w:rsidR="00600C37" w:rsidRPr="00C85D29" w:rsidRDefault="00600C37" w:rsidP="00335D39">
            <w:pPr>
              <w:jc w:val="center"/>
              <w:rPr>
                <w:bCs/>
                <w:szCs w:val="24"/>
              </w:rPr>
            </w:pPr>
            <w:r w:rsidRPr="00C85D29">
              <w:rPr>
                <w:bCs/>
                <w:szCs w:val="24"/>
              </w:rPr>
              <w:t>1.</w:t>
            </w:r>
          </w:p>
        </w:tc>
        <w:tc>
          <w:tcPr>
            <w:tcW w:w="1730" w:type="dxa"/>
          </w:tcPr>
          <w:p w14:paraId="56B653E5" w14:textId="77777777" w:rsidR="002367D1" w:rsidRPr="002367D1" w:rsidRDefault="002367D1" w:rsidP="002367D1">
            <w:pPr>
              <w:rPr>
                <w:b/>
                <w:bCs/>
                <w:szCs w:val="24"/>
              </w:rPr>
            </w:pPr>
            <w:r w:rsidRPr="002367D1">
              <w:rPr>
                <w:b/>
                <w:bCs/>
                <w:szCs w:val="24"/>
              </w:rPr>
              <w:t>Unmanned Defense Systems, UAB</w:t>
            </w:r>
          </w:p>
          <w:p w14:paraId="584D81CC" w14:textId="7F796279" w:rsidR="00600C37" w:rsidRPr="002367D1" w:rsidRDefault="00600C37" w:rsidP="00C738FC">
            <w:pPr>
              <w:rPr>
                <w:b/>
                <w:bCs/>
                <w:szCs w:val="24"/>
              </w:rPr>
            </w:pPr>
          </w:p>
        </w:tc>
        <w:tc>
          <w:tcPr>
            <w:tcW w:w="5103" w:type="dxa"/>
          </w:tcPr>
          <w:p w14:paraId="37F72A96" w14:textId="6B009F70" w:rsidR="002367D1" w:rsidRPr="002367D1" w:rsidRDefault="002367D1" w:rsidP="002367D1">
            <w:pPr>
              <w:jc w:val="both"/>
              <w:rPr>
                <w:szCs w:val="24"/>
              </w:rPr>
            </w:pPr>
            <w:r w:rsidRPr="002367D1">
              <w:rPr>
                <w:szCs w:val="24"/>
              </w:rPr>
              <w:t xml:space="preserve">Teikiame pastabą 2022–2030 metų ekonomikos transformacijos ir konkurencingumo plėtros programos pažangos priemonės Nr. 05-001-01-05-07 „Sukurti nuoseklią inovacinės veiklos skatinimo sistemą“ veiklos „19. Skatinti įmonių STEP technologijų gynybos ir saugumo srityje, įskaitant specialiųjų elementų ir specialiųjų mašinų, </w:t>
            </w:r>
            <w:r w:rsidRPr="002367D1">
              <w:rPr>
                <w:szCs w:val="24"/>
              </w:rPr>
              <w:lastRenderedPageBreak/>
              <w:t>naudojamų galutiniams produktams gaminti, kūrimą arba gamybą“ projektų finansavimo sąlygų aprašui</w:t>
            </w:r>
            <w:r>
              <w:rPr>
                <w:szCs w:val="24"/>
              </w:rPr>
              <w:t xml:space="preserve"> (toliau – PFSA)</w:t>
            </w:r>
            <w:r w:rsidRPr="002367D1">
              <w:rPr>
                <w:szCs w:val="24"/>
              </w:rPr>
              <w:t>:</w:t>
            </w:r>
          </w:p>
          <w:p w14:paraId="202983E7" w14:textId="77777777" w:rsidR="002367D1" w:rsidRPr="002367D1" w:rsidRDefault="002367D1" w:rsidP="002367D1">
            <w:pPr>
              <w:jc w:val="both"/>
              <w:rPr>
                <w:szCs w:val="24"/>
              </w:rPr>
            </w:pPr>
          </w:p>
          <w:p w14:paraId="73B5EC5D" w14:textId="77777777" w:rsidR="002367D1" w:rsidRPr="002367D1" w:rsidRDefault="002367D1" w:rsidP="002367D1">
            <w:pPr>
              <w:jc w:val="both"/>
              <w:rPr>
                <w:szCs w:val="24"/>
              </w:rPr>
            </w:pPr>
            <w:r w:rsidRPr="002367D1">
              <w:rPr>
                <w:szCs w:val="24"/>
              </w:rPr>
              <w:t>Priemonės projektų finansavimo sąlygų aprašo projektą 12 punkte "Projektų atrankos kriterijai" nurodytas specialusis atrankos kriterijus Nr. 3 "Pareiškėjo veiklos trukmė ir metinės pajamos." Šiuo metu priemonės atrankos kriterijai dar nėra patvirtinti Stebėsenos komiteto.</w:t>
            </w:r>
          </w:p>
          <w:p w14:paraId="25399583" w14:textId="77777777" w:rsidR="002367D1" w:rsidRPr="002367D1" w:rsidRDefault="002367D1" w:rsidP="002367D1">
            <w:pPr>
              <w:jc w:val="both"/>
              <w:rPr>
                <w:szCs w:val="24"/>
              </w:rPr>
            </w:pPr>
          </w:p>
          <w:p w14:paraId="2D298175" w14:textId="77777777" w:rsidR="002367D1" w:rsidRPr="002367D1" w:rsidRDefault="002367D1" w:rsidP="002367D1">
            <w:pPr>
              <w:jc w:val="both"/>
              <w:rPr>
                <w:szCs w:val="24"/>
              </w:rPr>
            </w:pPr>
            <w:r w:rsidRPr="002367D1">
              <w:rPr>
                <w:szCs w:val="24"/>
              </w:rPr>
              <w:t>Suprantame, jog priemonė orientuota į didesnes įmones. Tačiau aukštųjų technologijų gynybos sektorius Lietuvoje dar tik formuojasi, tokių įmonių yra labai nedaug. Griežtas apyvartos reikalavimas gali reikšmingai sumažinti potencialių pareiškėjų ratą ir apriboti tikrąją priemonės naudą. Siūlytume apsvarstyti lankstesnius kriterijus įmonėms, kurios jau turi investicijas ir vysto strategines technologijas, bet dar nespėjo pasiekti nustatytų apyvartos ribų.</w:t>
            </w:r>
          </w:p>
          <w:p w14:paraId="307945A7" w14:textId="5EEB9BF4" w:rsidR="00600C37" w:rsidRPr="002367D1" w:rsidRDefault="00600C37" w:rsidP="00545CE9">
            <w:pPr>
              <w:jc w:val="both"/>
              <w:rPr>
                <w:szCs w:val="24"/>
              </w:rPr>
            </w:pPr>
          </w:p>
        </w:tc>
        <w:tc>
          <w:tcPr>
            <w:tcW w:w="7371" w:type="dxa"/>
          </w:tcPr>
          <w:p w14:paraId="78571A21" w14:textId="77777777" w:rsidR="00600C37" w:rsidRPr="00CF2C1B" w:rsidRDefault="00600C37" w:rsidP="00AD6D50">
            <w:pPr>
              <w:pStyle w:val="Betarp"/>
              <w:tabs>
                <w:tab w:val="left" w:pos="552"/>
              </w:tabs>
              <w:jc w:val="both"/>
              <w:rPr>
                <w:rFonts w:ascii="Times New Roman" w:eastAsia="Times New Roman" w:hAnsi="Times New Roman"/>
                <w:b/>
                <w:bCs/>
                <w:sz w:val="24"/>
                <w:szCs w:val="24"/>
                <w:lang w:eastAsia="lt-LT"/>
              </w:rPr>
            </w:pPr>
            <w:r w:rsidRPr="00CF2C1B">
              <w:rPr>
                <w:rFonts w:ascii="Times New Roman" w:eastAsia="Times New Roman" w:hAnsi="Times New Roman"/>
                <w:b/>
                <w:bCs/>
                <w:sz w:val="24"/>
                <w:szCs w:val="24"/>
                <w:lang w:eastAsia="lt-LT"/>
              </w:rPr>
              <w:lastRenderedPageBreak/>
              <w:t>Neatsižvelgta.</w:t>
            </w:r>
          </w:p>
          <w:p w14:paraId="58C32999" w14:textId="34EF2835" w:rsidR="00600C37" w:rsidRPr="00BF3D8D" w:rsidRDefault="00600C37" w:rsidP="00BF3D8D">
            <w:pPr>
              <w:spacing w:after="160"/>
              <w:jc w:val="both"/>
              <w:rPr>
                <w:szCs w:val="24"/>
              </w:rPr>
            </w:pPr>
            <w:r w:rsidRPr="00BF3D8D">
              <w:rPr>
                <w:bCs/>
                <w:szCs w:val="24"/>
              </w:rPr>
              <w:t xml:space="preserve">Europos Sąjungos ypatingos svarbos (toliau – STEP) technologijų </w:t>
            </w:r>
            <w:r>
              <w:rPr>
                <w:bCs/>
                <w:szCs w:val="24"/>
              </w:rPr>
              <w:t>kūrimo ir (arba) gamybos v</w:t>
            </w:r>
            <w:r w:rsidRPr="00BF3D8D">
              <w:rPr>
                <w:bCs/>
                <w:szCs w:val="24"/>
              </w:rPr>
              <w:t xml:space="preserve">eikla </w:t>
            </w:r>
            <w:r>
              <w:rPr>
                <w:bCs/>
                <w:szCs w:val="24"/>
              </w:rPr>
              <w:t>skirta</w:t>
            </w:r>
            <w:r w:rsidRPr="00BF3D8D">
              <w:rPr>
                <w:bCs/>
                <w:szCs w:val="24"/>
              </w:rPr>
              <w:t xml:space="preserve"> veiklą vykdanči</w:t>
            </w:r>
            <w:r>
              <w:rPr>
                <w:bCs/>
                <w:szCs w:val="24"/>
              </w:rPr>
              <w:t>oms</w:t>
            </w:r>
            <w:r w:rsidRPr="00BF3D8D">
              <w:rPr>
                <w:bCs/>
                <w:szCs w:val="24"/>
              </w:rPr>
              <w:t xml:space="preserve"> ir patirt</w:t>
            </w:r>
            <w:r>
              <w:rPr>
                <w:bCs/>
                <w:szCs w:val="24"/>
              </w:rPr>
              <w:t>ies</w:t>
            </w:r>
            <w:r w:rsidRPr="00BF3D8D">
              <w:rPr>
                <w:bCs/>
                <w:szCs w:val="24"/>
              </w:rPr>
              <w:t xml:space="preserve"> turinči</w:t>
            </w:r>
            <w:r>
              <w:rPr>
                <w:bCs/>
                <w:szCs w:val="24"/>
              </w:rPr>
              <w:t>oms</w:t>
            </w:r>
            <w:r w:rsidRPr="00BF3D8D">
              <w:rPr>
                <w:bCs/>
                <w:szCs w:val="24"/>
              </w:rPr>
              <w:t xml:space="preserve"> įmon</w:t>
            </w:r>
            <w:r>
              <w:rPr>
                <w:bCs/>
                <w:szCs w:val="24"/>
              </w:rPr>
              <w:t>ėms</w:t>
            </w:r>
            <w:r w:rsidRPr="00BF3D8D">
              <w:rPr>
                <w:szCs w:val="24"/>
              </w:rPr>
              <w:t>, o ne ką tik įsikūrusi</w:t>
            </w:r>
            <w:r>
              <w:rPr>
                <w:szCs w:val="24"/>
              </w:rPr>
              <w:t>oms</w:t>
            </w:r>
            <w:r w:rsidRPr="00BF3D8D">
              <w:rPr>
                <w:szCs w:val="24"/>
              </w:rPr>
              <w:t xml:space="preserve"> įmon</w:t>
            </w:r>
            <w:r>
              <w:rPr>
                <w:szCs w:val="24"/>
              </w:rPr>
              <w:t>ėms</w:t>
            </w:r>
            <w:r w:rsidRPr="00BF3D8D">
              <w:rPr>
                <w:szCs w:val="24"/>
              </w:rPr>
              <w:t>. Taigi šis kriterijus nustatytas siekiant</w:t>
            </w:r>
            <w:r>
              <w:rPr>
                <w:szCs w:val="24"/>
              </w:rPr>
              <w:t xml:space="preserve"> </w:t>
            </w:r>
            <w:r w:rsidRPr="00BF3D8D">
              <w:rPr>
                <w:szCs w:val="24"/>
              </w:rPr>
              <w:t>įsitikinti, ar pareiškėjas yra veikiantis ir turintis veiklos patirties bei finansinius pajėgumus</w:t>
            </w:r>
            <w:r>
              <w:rPr>
                <w:szCs w:val="24"/>
              </w:rPr>
              <w:t xml:space="preserve"> efektyviai ir laiku įgyvendinti projektą</w:t>
            </w:r>
            <w:r w:rsidRPr="00BF3D8D">
              <w:rPr>
                <w:szCs w:val="24"/>
              </w:rPr>
              <w:t>.</w:t>
            </w:r>
          </w:p>
          <w:p w14:paraId="17638093" w14:textId="6CF7801B" w:rsidR="00600C37" w:rsidRPr="00BF3D8D" w:rsidRDefault="00600C37" w:rsidP="00BF3D8D">
            <w:pPr>
              <w:spacing w:after="160"/>
              <w:jc w:val="both"/>
              <w:rPr>
                <w:szCs w:val="24"/>
              </w:rPr>
            </w:pPr>
            <w:r>
              <w:rPr>
                <w:szCs w:val="24"/>
              </w:rPr>
              <w:lastRenderedPageBreak/>
              <w:t>Pažymėtina, kad į</w:t>
            </w:r>
            <w:r w:rsidRPr="00CF2C1B">
              <w:rPr>
                <w:rFonts w:eastAsia="Calibri"/>
                <w:szCs w:val="24"/>
                <w:lang w:eastAsia="en-US"/>
              </w:rPr>
              <w:t xml:space="preserve">monės, pretenduojančios gauti finansavimą, turės </w:t>
            </w:r>
            <w:r>
              <w:rPr>
                <w:szCs w:val="24"/>
              </w:rPr>
              <w:t>ne tik kurti ir (arba) gaminti</w:t>
            </w:r>
            <w:r w:rsidRPr="00CF2C1B">
              <w:rPr>
                <w:rFonts w:eastAsia="Calibri"/>
                <w:szCs w:val="24"/>
                <w:lang w:eastAsia="en-US"/>
              </w:rPr>
              <w:t xml:space="preserve"> </w:t>
            </w:r>
            <w:r>
              <w:rPr>
                <w:szCs w:val="24"/>
              </w:rPr>
              <w:t>STEP</w:t>
            </w:r>
            <w:r w:rsidRPr="00CF2C1B">
              <w:rPr>
                <w:szCs w:val="24"/>
              </w:rPr>
              <w:t xml:space="preserve"> technologijas, bet ir atitikti</w:t>
            </w:r>
            <w:r w:rsidRPr="00BF3D8D">
              <w:rPr>
                <w:szCs w:val="24"/>
              </w:rPr>
              <w:t xml:space="preserve"> bent vieną iš ypatingos svarbos technologijoms keliamų sąlygų, nurodytų </w:t>
            </w:r>
            <w:hyperlink r:id="rId11" w:history="1">
              <w:r w:rsidRPr="00272388">
                <w:rPr>
                  <w:rStyle w:val="Hipersaitas"/>
                  <w:i/>
                  <w:iCs/>
                </w:rPr>
                <w:t>Europos Komisijos 2024 m. gegužės 13 d. komunikato C/2024/3209 „Tam tikrų Reglamento (ES) 2024/795, kuriuo sukuriama Europos strateginių technologijų platforma (STEP), nuostatų gairės“</w:t>
              </w:r>
            </w:hyperlink>
            <w:r w:rsidRPr="00272388">
              <w:rPr>
                <w:rStyle w:val="Hipersaitas"/>
                <w:i/>
                <w:iCs/>
              </w:rPr>
              <w:t xml:space="preserve"> </w:t>
            </w:r>
            <w:r w:rsidRPr="00C25DC7">
              <w:rPr>
                <w:i/>
                <w:iCs/>
              </w:rPr>
              <w:t>(toliau – Gairės)</w:t>
            </w:r>
            <w:r w:rsidRPr="00BF3D8D">
              <w:rPr>
                <w:szCs w:val="24"/>
              </w:rPr>
              <w:t xml:space="preserve"> 3 punkte:</w:t>
            </w:r>
          </w:p>
          <w:p w14:paraId="5F483658" w14:textId="77777777" w:rsidR="00600C37" w:rsidRPr="00BF3D8D" w:rsidRDefault="00600C37" w:rsidP="00BF3D8D">
            <w:pPr>
              <w:pStyle w:val="Sraopastraipa"/>
              <w:numPr>
                <w:ilvl w:val="0"/>
                <w:numId w:val="17"/>
              </w:numPr>
              <w:spacing w:after="160"/>
              <w:jc w:val="both"/>
              <w:rPr>
                <w:szCs w:val="24"/>
              </w:rPr>
            </w:pPr>
            <w:r w:rsidRPr="00BF3D8D">
              <w:rPr>
                <w:szCs w:val="24"/>
              </w:rPr>
              <w:t>numatomos gaminti technologijos suteikia Europos Sąjungos vidaus rinkai inovatyvumo, besiformavimo ir pažangos aspektą su dideliu ekonominiu potencialu. Vertinant atitiktį šiai sąlygai vadovaujamasi Gairių 3.1 papunkčiu;</w:t>
            </w:r>
          </w:p>
          <w:p w14:paraId="7059B33B" w14:textId="77777777" w:rsidR="00600C37" w:rsidRPr="00BF3D8D" w:rsidRDefault="00600C37" w:rsidP="00BF3D8D">
            <w:pPr>
              <w:pStyle w:val="Sraopastraipa"/>
              <w:numPr>
                <w:ilvl w:val="0"/>
                <w:numId w:val="17"/>
              </w:numPr>
              <w:spacing w:after="160"/>
              <w:jc w:val="both"/>
              <w:rPr>
                <w:szCs w:val="24"/>
              </w:rPr>
            </w:pPr>
            <w:r w:rsidRPr="00BF3D8D">
              <w:rPr>
                <w:szCs w:val="24"/>
              </w:rPr>
              <w:t>numatomos gaminti technologijos padeda mažinti strateginę Sąjungos priklausomybę arba užkirsti jai kelią. Vertinant atitiktį šiai sąlygai vadovaujamasi Gairių 3.2 papunkčiu.</w:t>
            </w:r>
          </w:p>
          <w:p w14:paraId="6DD65AEF" w14:textId="79814C8D" w:rsidR="00600C37" w:rsidRPr="00CF2C1B" w:rsidRDefault="00600C37" w:rsidP="00CF2C1B">
            <w:pPr>
              <w:pStyle w:val="Betarp"/>
              <w:tabs>
                <w:tab w:val="left" w:pos="552"/>
              </w:tabs>
              <w:jc w:val="both"/>
              <w:rPr>
                <w:rFonts w:ascii="Times New Roman" w:hAnsi="Times New Roman"/>
                <w:sz w:val="24"/>
                <w:szCs w:val="24"/>
              </w:rPr>
            </w:pPr>
            <w:r>
              <w:rPr>
                <w:rFonts w:ascii="Times New Roman" w:hAnsi="Times New Roman"/>
                <w:sz w:val="24"/>
                <w:szCs w:val="24"/>
              </w:rPr>
              <w:t>Š</w:t>
            </w:r>
            <w:r w:rsidRPr="00CF2C1B">
              <w:rPr>
                <w:rFonts w:ascii="Times New Roman" w:hAnsi="Times New Roman"/>
                <w:sz w:val="24"/>
                <w:szCs w:val="24"/>
              </w:rPr>
              <w:t xml:space="preserve">iuos požymius, ypač didesnį ekonominį potencialą, geriau atliepia ne startuoliai (įprastai pirmuosius kelis veiklos metus išgyvena tik maždaug tik 1-2 iš 10 startuolių), bet </w:t>
            </w:r>
            <w:r>
              <w:rPr>
                <w:rFonts w:ascii="Times New Roman" w:hAnsi="Times New Roman"/>
                <w:sz w:val="24"/>
                <w:szCs w:val="24"/>
              </w:rPr>
              <w:t>turinčios veiklos patirties</w:t>
            </w:r>
            <w:r w:rsidRPr="00CF2C1B">
              <w:rPr>
                <w:rFonts w:ascii="Times New Roman" w:hAnsi="Times New Roman"/>
                <w:sz w:val="24"/>
                <w:szCs w:val="24"/>
              </w:rPr>
              <w:t xml:space="preserve">, </w:t>
            </w:r>
            <w:r>
              <w:rPr>
                <w:rFonts w:ascii="Times New Roman" w:hAnsi="Times New Roman"/>
                <w:sz w:val="24"/>
                <w:szCs w:val="24"/>
              </w:rPr>
              <w:t>pajamas</w:t>
            </w:r>
            <w:r w:rsidRPr="00CF2C1B">
              <w:rPr>
                <w:rFonts w:ascii="Times New Roman" w:hAnsi="Times New Roman"/>
                <w:sz w:val="24"/>
                <w:szCs w:val="24"/>
              </w:rPr>
              <w:t xml:space="preserve"> iš savo produktų generuojančios įmonės. </w:t>
            </w:r>
            <w:r>
              <w:rPr>
                <w:rFonts w:ascii="Times New Roman" w:hAnsi="Times New Roman"/>
                <w:sz w:val="24"/>
                <w:szCs w:val="24"/>
              </w:rPr>
              <w:t>S</w:t>
            </w:r>
            <w:r w:rsidRPr="00CF2C1B">
              <w:rPr>
                <w:rFonts w:ascii="Times New Roman" w:hAnsi="Times New Roman"/>
                <w:sz w:val="24"/>
                <w:szCs w:val="24"/>
              </w:rPr>
              <w:t>ieki</w:t>
            </w:r>
            <w:r>
              <w:rPr>
                <w:rFonts w:ascii="Times New Roman" w:hAnsi="Times New Roman"/>
                <w:sz w:val="24"/>
                <w:szCs w:val="24"/>
              </w:rPr>
              <w:t>ant</w:t>
            </w:r>
            <w:r w:rsidRPr="00600C37">
              <w:rPr>
                <w:rFonts w:ascii="Times New Roman" w:hAnsi="Times New Roman"/>
                <w:sz w:val="24"/>
                <w:szCs w:val="24"/>
              </w:rPr>
              <w:t xml:space="preserve"> Europos Sąjungos investicijų fondų lėš</w:t>
            </w:r>
            <w:r>
              <w:rPr>
                <w:rFonts w:ascii="Times New Roman" w:hAnsi="Times New Roman"/>
                <w:sz w:val="24"/>
                <w:szCs w:val="24"/>
              </w:rPr>
              <w:t>a</w:t>
            </w:r>
            <w:r w:rsidRPr="00600C37">
              <w:rPr>
                <w:rFonts w:ascii="Times New Roman" w:hAnsi="Times New Roman"/>
                <w:sz w:val="24"/>
                <w:szCs w:val="24"/>
              </w:rPr>
              <w:t>s panaudot</w:t>
            </w:r>
            <w:r>
              <w:rPr>
                <w:rFonts w:ascii="Times New Roman" w:hAnsi="Times New Roman"/>
                <w:sz w:val="24"/>
                <w:szCs w:val="24"/>
              </w:rPr>
              <w:t>i</w:t>
            </w:r>
            <w:r w:rsidRPr="00600C37">
              <w:rPr>
                <w:rFonts w:ascii="Times New Roman" w:hAnsi="Times New Roman"/>
                <w:sz w:val="24"/>
                <w:szCs w:val="24"/>
              </w:rPr>
              <w:t xml:space="preserve"> tikslingai ir efektyviai, </w:t>
            </w:r>
            <w:r>
              <w:rPr>
                <w:rFonts w:ascii="Times New Roman" w:hAnsi="Times New Roman"/>
                <w:sz w:val="24"/>
                <w:szCs w:val="24"/>
              </w:rPr>
              <w:t>norima</w:t>
            </w:r>
            <w:r w:rsidRPr="00CF2C1B">
              <w:rPr>
                <w:rFonts w:ascii="Times New Roman" w:hAnsi="Times New Roman"/>
                <w:sz w:val="24"/>
                <w:szCs w:val="24"/>
              </w:rPr>
              <w:t xml:space="preserve"> sulaukti brandesnių įmonių projektų</w:t>
            </w:r>
            <w:r>
              <w:rPr>
                <w:rFonts w:ascii="Times New Roman" w:hAnsi="Times New Roman"/>
                <w:sz w:val="24"/>
                <w:szCs w:val="24"/>
              </w:rPr>
              <w:t>.</w:t>
            </w:r>
          </w:p>
          <w:p w14:paraId="3771E9A4" w14:textId="24EFD229" w:rsidR="00600C37" w:rsidRPr="00CF2C1B" w:rsidRDefault="00600C37" w:rsidP="00E24456">
            <w:pPr>
              <w:pStyle w:val="Betarp"/>
              <w:tabs>
                <w:tab w:val="left" w:pos="552"/>
              </w:tabs>
              <w:jc w:val="both"/>
              <w:rPr>
                <w:rFonts w:ascii="Times New Roman" w:hAnsi="Times New Roman"/>
                <w:sz w:val="24"/>
                <w:szCs w:val="24"/>
              </w:rPr>
            </w:pPr>
            <w:r w:rsidRPr="00CF2C1B">
              <w:rPr>
                <w:rFonts w:ascii="Times New Roman" w:hAnsi="Times New Roman"/>
                <w:sz w:val="24"/>
                <w:szCs w:val="24"/>
              </w:rPr>
              <w:t>Atkreipiame dėmesį, kad gynybos ir saugumo pramonės startuoliams bei mažesnėms įmonėms buvo paskelbta kitų, labiau specializuotų kvietimų, pvz.</w:t>
            </w:r>
            <w:r>
              <w:rPr>
                <w:rFonts w:ascii="Times New Roman" w:hAnsi="Times New Roman"/>
                <w:sz w:val="24"/>
                <w:szCs w:val="24"/>
              </w:rPr>
              <w:t>,</w:t>
            </w:r>
            <w:r w:rsidRPr="00CF2C1B">
              <w:rPr>
                <w:rFonts w:ascii="Times New Roman" w:hAnsi="Times New Roman"/>
                <w:sz w:val="24"/>
                <w:szCs w:val="24"/>
              </w:rPr>
              <w:t xml:space="preserve"> Skatinti gynybos technologijų testavimą ir prototipavimą, naudojantis „Miltech Sandbox“ partnerių infrastruktūra, </w:t>
            </w:r>
            <w:r>
              <w:rPr>
                <w:rFonts w:ascii="Times New Roman" w:hAnsi="Times New Roman"/>
                <w:sz w:val="24"/>
                <w:szCs w:val="24"/>
              </w:rPr>
              <w:t>g</w:t>
            </w:r>
            <w:r w:rsidRPr="00CF2C1B">
              <w:rPr>
                <w:rFonts w:ascii="Times New Roman" w:hAnsi="Times New Roman"/>
                <w:sz w:val="24"/>
                <w:szCs w:val="24"/>
              </w:rPr>
              <w:t>ynybos inovaciniai čekiai.</w:t>
            </w:r>
          </w:p>
        </w:tc>
      </w:tr>
      <w:tr w:rsidR="00FD11AD" w:rsidRPr="00C85D29" w14:paraId="6DB3E915" w14:textId="77777777" w:rsidTr="00BF3D8D">
        <w:tc>
          <w:tcPr>
            <w:tcW w:w="567" w:type="dxa"/>
          </w:tcPr>
          <w:p w14:paraId="7BB174DB" w14:textId="1D2BF49D" w:rsidR="00FD11AD" w:rsidRPr="00C85D29" w:rsidRDefault="00FD11AD" w:rsidP="00335D39">
            <w:pPr>
              <w:jc w:val="center"/>
              <w:rPr>
                <w:bCs/>
                <w:szCs w:val="24"/>
              </w:rPr>
            </w:pPr>
            <w:r>
              <w:rPr>
                <w:bCs/>
                <w:szCs w:val="24"/>
              </w:rPr>
              <w:lastRenderedPageBreak/>
              <w:t>2.</w:t>
            </w:r>
          </w:p>
        </w:tc>
        <w:tc>
          <w:tcPr>
            <w:tcW w:w="1730" w:type="dxa"/>
            <w:vMerge w:val="restart"/>
          </w:tcPr>
          <w:p w14:paraId="61DCF54F" w14:textId="61353537" w:rsidR="00FD11AD" w:rsidRPr="00191A6E" w:rsidRDefault="00FD11AD" w:rsidP="00CA3ADD">
            <w:pPr>
              <w:rPr>
                <w:b/>
                <w:bCs/>
                <w:szCs w:val="24"/>
              </w:rPr>
            </w:pPr>
            <w:r>
              <w:rPr>
                <w:b/>
                <w:bCs/>
                <w:szCs w:val="24"/>
              </w:rPr>
              <w:t>Vaidas Baronas</w:t>
            </w:r>
          </w:p>
        </w:tc>
        <w:tc>
          <w:tcPr>
            <w:tcW w:w="5103" w:type="dxa"/>
          </w:tcPr>
          <w:p w14:paraId="74BBCC5C" w14:textId="20289DB7" w:rsidR="00FD11AD" w:rsidRPr="002367D1" w:rsidRDefault="00FD11AD" w:rsidP="002367D1">
            <w:pPr>
              <w:pStyle w:val="Betarp"/>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PFSA </w:t>
            </w:r>
            <w:r w:rsidRPr="002367D1">
              <w:rPr>
                <w:rFonts w:ascii="Times New Roman" w:eastAsia="Times New Roman" w:hAnsi="Times New Roman"/>
                <w:sz w:val="24"/>
                <w:szCs w:val="24"/>
                <w:lang w:eastAsia="lt-LT"/>
              </w:rPr>
              <w:t>5.1.1 papunkčiuose blogos formuluotės</w:t>
            </w:r>
            <w:r>
              <w:rPr>
                <w:rFonts w:ascii="Times New Roman" w:eastAsia="Times New Roman" w:hAnsi="Times New Roman"/>
                <w:sz w:val="24"/>
                <w:szCs w:val="24"/>
                <w:lang w:eastAsia="lt-LT"/>
              </w:rPr>
              <w:t>,</w:t>
            </w:r>
            <w:r w:rsidRPr="002367D1">
              <w:rPr>
                <w:rFonts w:ascii="Times New Roman" w:eastAsia="Times New Roman" w:hAnsi="Times New Roman"/>
                <w:sz w:val="24"/>
                <w:szCs w:val="24"/>
                <w:lang w:eastAsia="lt-LT"/>
              </w:rPr>
              <w:t xml:space="preserve"> pvz.</w:t>
            </w:r>
            <w:r>
              <w:rPr>
                <w:rFonts w:ascii="Times New Roman" w:eastAsia="Times New Roman" w:hAnsi="Times New Roman"/>
                <w:sz w:val="24"/>
                <w:szCs w:val="24"/>
                <w:lang w:eastAsia="lt-LT"/>
              </w:rPr>
              <w:t>,</w:t>
            </w:r>
            <w:r w:rsidRPr="002367D1">
              <w:rPr>
                <w:rFonts w:ascii="Times New Roman" w:eastAsia="Times New Roman" w:hAnsi="Times New Roman"/>
                <w:sz w:val="24"/>
                <w:szCs w:val="24"/>
                <w:lang w:eastAsia="lt-LT"/>
              </w:rPr>
              <w:t xml:space="preserve"> jei turi būti </w:t>
            </w:r>
            <w:r>
              <w:rPr>
                <w:rFonts w:ascii="Times New Roman" w:eastAsia="Times New Roman" w:hAnsi="Times New Roman"/>
                <w:sz w:val="24"/>
                <w:szCs w:val="24"/>
                <w:lang w:eastAsia="lt-LT"/>
              </w:rPr>
              <w:t>baigta</w:t>
            </w:r>
            <w:r w:rsidRPr="002367D1">
              <w:rPr>
                <w:rFonts w:ascii="Times New Roman" w:eastAsia="Times New Roman" w:hAnsi="Times New Roman"/>
                <w:sz w:val="24"/>
                <w:szCs w:val="24"/>
                <w:lang w:eastAsia="lt-LT"/>
              </w:rPr>
              <w:t xml:space="preserve"> TPL</w:t>
            </w:r>
            <w:r>
              <w:rPr>
                <w:rFonts w:ascii="Times New Roman" w:eastAsia="Times New Roman" w:hAnsi="Times New Roman"/>
                <w:sz w:val="24"/>
                <w:szCs w:val="24"/>
                <w:lang w:eastAsia="lt-LT"/>
              </w:rPr>
              <w:t xml:space="preserve"> </w:t>
            </w:r>
            <w:r w:rsidRPr="002367D1">
              <w:rPr>
                <w:rFonts w:ascii="Times New Roman" w:eastAsia="Times New Roman" w:hAnsi="Times New Roman"/>
                <w:sz w:val="24"/>
                <w:szCs w:val="24"/>
                <w:lang w:eastAsia="lt-LT"/>
              </w:rPr>
              <w:t>5 iki projekto</w:t>
            </w:r>
            <w:r>
              <w:rPr>
                <w:rFonts w:ascii="Times New Roman" w:eastAsia="Times New Roman" w:hAnsi="Times New Roman"/>
                <w:sz w:val="24"/>
                <w:szCs w:val="24"/>
                <w:lang w:eastAsia="lt-LT"/>
              </w:rPr>
              <w:t>,</w:t>
            </w:r>
            <w:r w:rsidRPr="002367D1">
              <w:rPr>
                <w:rFonts w:ascii="Times New Roman" w:eastAsia="Times New Roman" w:hAnsi="Times New Roman"/>
                <w:sz w:val="24"/>
                <w:szCs w:val="24"/>
                <w:lang w:eastAsia="lt-LT"/>
              </w:rPr>
              <w:t xml:space="preserve">  tai kaip gali b</w:t>
            </w:r>
            <w:r>
              <w:rPr>
                <w:rFonts w:ascii="Times New Roman" w:eastAsia="Times New Roman" w:hAnsi="Times New Roman"/>
                <w:sz w:val="24"/>
                <w:szCs w:val="24"/>
                <w:lang w:eastAsia="lt-LT"/>
              </w:rPr>
              <w:t>ū</w:t>
            </w:r>
            <w:r w:rsidRPr="002367D1">
              <w:rPr>
                <w:rFonts w:ascii="Times New Roman" w:eastAsia="Times New Roman" w:hAnsi="Times New Roman"/>
                <w:sz w:val="24"/>
                <w:szCs w:val="24"/>
                <w:lang w:eastAsia="lt-LT"/>
              </w:rPr>
              <w:t xml:space="preserve">ti </w:t>
            </w:r>
            <w:r>
              <w:rPr>
                <w:rFonts w:ascii="Times New Roman" w:eastAsia="Times New Roman" w:hAnsi="Times New Roman"/>
                <w:sz w:val="24"/>
                <w:szCs w:val="24"/>
                <w:lang w:eastAsia="lt-LT"/>
              </w:rPr>
              <w:t>mokslinių tyrimų</w:t>
            </w:r>
            <w:r w:rsidRPr="002367D1">
              <w:rPr>
                <w:rFonts w:ascii="Times New Roman" w:eastAsia="Times New Roman" w:hAnsi="Times New Roman"/>
                <w:sz w:val="24"/>
                <w:szCs w:val="24"/>
                <w:lang w:eastAsia="lt-LT"/>
              </w:rPr>
              <w:t xml:space="preserve"> veikla? </w:t>
            </w:r>
            <w:r>
              <w:rPr>
                <w:rFonts w:ascii="Times New Roman" w:eastAsia="Times New Roman" w:hAnsi="Times New Roman"/>
                <w:sz w:val="24"/>
                <w:szCs w:val="24"/>
                <w:lang w:eastAsia="lt-LT"/>
              </w:rPr>
              <w:t>T</w:t>
            </w:r>
            <w:r w:rsidRPr="002367D1">
              <w:rPr>
                <w:rFonts w:ascii="Times New Roman" w:eastAsia="Times New Roman" w:hAnsi="Times New Roman"/>
                <w:sz w:val="24"/>
                <w:szCs w:val="24"/>
                <w:lang w:eastAsia="lt-LT"/>
              </w:rPr>
              <w:t xml:space="preserve">ik </w:t>
            </w:r>
            <w:r>
              <w:rPr>
                <w:rFonts w:ascii="Times New Roman" w:eastAsia="Times New Roman" w:hAnsi="Times New Roman"/>
                <w:sz w:val="24"/>
                <w:szCs w:val="24"/>
                <w:lang w:eastAsia="lt-LT"/>
              </w:rPr>
              <w:t>eksperimentinė plėtra</w:t>
            </w:r>
            <w:r w:rsidRPr="002367D1">
              <w:rPr>
                <w:rFonts w:ascii="Times New Roman" w:eastAsia="Times New Roman" w:hAnsi="Times New Roman"/>
                <w:sz w:val="24"/>
                <w:szCs w:val="24"/>
                <w:lang w:eastAsia="lt-LT"/>
              </w:rPr>
              <w:t>.  </w:t>
            </w:r>
            <w:r>
              <w:rPr>
                <w:rFonts w:ascii="Times New Roman" w:eastAsia="Times New Roman" w:hAnsi="Times New Roman"/>
                <w:sz w:val="24"/>
                <w:szCs w:val="24"/>
                <w:lang w:eastAsia="lt-LT"/>
              </w:rPr>
              <w:t>A</w:t>
            </w:r>
            <w:r w:rsidRPr="002367D1">
              <w:rPr>
                <w:rFonts w:ascii="Times New Roman" w:eastAsia="Times New Roman" w:hAnsi="Times New Roman"/>
                <w:sz w:val="24"/>
                <w:szCs w:val="24"/>
                <w:lang w:eastAsia="lt-LT"/>
              </w:rPr>
              <w:t>titinkamai susipaprastanti reiktų 11.14 punkto 3 lentelę, nes PE negalimas.</w:t>
            </w:r>
          </w:p>
        </w:tc>
        <w:tc>
          <w:tcPr>
            <w:tcW w:w="7371" w:type="dxa"/>
          </w:tcPr>
          <w:p w14:paraId="445FEC7A" w14:textId="77777777" w:rsidR="00FD11AD" w:rsidRPr="002367D1" w:rsidRDefault="00FD11AD" w:rsidP="00600C37">
            <w:pPr>
              <w:pStyle w:val="Betarp"/>
              <w:tabs>
                <w:tab w:val="left" w:pos="552"/>
              </w:tabs>
              <w:jc w:val="both"/>
              <w:rPr>
                <w:rFonts w:ascii="Times New Roman" w:hAnsi="Times New Roman"/>
                <w:b/>
                <w:bCs/>
                <w:sz w:val="24"/>
                <w:szCs w:val="24"/>
              </w:rPr>
            </w:pPr>
            <w:r w:rsidRPr="002367D1">
              <w:rPr>
                <w:rFonts w:ascii="Times New Roman" w:hAnsi="Times New Roman"/>
                <w:b/>
                <w:bCs/>
                <w:sz w:val="24"/>
                <w:szCs w:val="24"/>
              </w:rPr>
              <w:t>Atsižvelgta.</w:t>
            </w:r>
          </w:p>
          <w:p w14:paraId="639BDE81" w14:textId="70BFE97E" w:rsidR="00FD11AD" w:rsidRPr="00E9224C" w:rsidRDefault="00FD11AD" w:rsidP="00600C37">
            <w:pPr>
              <w:pStyle w:val="Betarp"/>
              <w:tabs>
                <w:tab w:val="left" w:pos="552"/>
              </w:tabs>
              <w:jc w:val="both"/>
            </w:pPr>
            <w:r w:rsidRPr="002367D1">
              <w:rPr>
                <w:rFonts w:ascii="Times New Roman" w:hAnsi="Times New Roman"/>
                <w:sz w:val="24"/>
                <w:szCs w:val="24"/>
              </w:rPr>
              <w:t>Patikslintos PFSA nuostatos, paliekant eksperimentinę plėtrą.</w:t>
            </w:r>
            <w:r>
              <w:t xml:space="preserve"> </w:t>
            </w:r>
          </w:p>
        </w:tc>
      </w:tr>
      <w:tr w:rsidR="00FD11AD" w:rsidRPr="00C85D29" w14:paraId="6C47E5C6" w14:textId="77777777" w:rsidTr="00BF3D8D">
        <w:tc>
          <w:tcPr>
            <w:tcW w:w="567" w:type="dxa"/>
          </w:tcPr>
          <w:p w14:paraId="68FDE977" w14:textId="48155A6D" w:rsidR="00FD11AD" w:rsidRDefault="00FD11AD" w:rsidP="00335D39">
            <w:pPr>
              <w:jc w:val="center"/>
              <w:rPr>
                <w:bCs/>
                <w:szCs w:val="24"/>
              </w:rPr>
            </w:pPr>
            <w:r>
              <w:rPr>
                <w:bCs/>
                <w:szCs w:val="24"/>
              </w:rPr>
              <w:t>3.</w:t>
            </w:r>
          </w:p>
        </w:tc>
        <w:tc>
          <w:tcPr>
            <w:tcW w:w="1730" w:type="dxa"/>
            <w:vMerge/>
          </w:tcPr>
          <w:p w14:paraId="6FF26DEB" w14:textId="571C240C" w:rsidR="00FD11AD" w:rsidRPr="00E24456" w:rsidRDefault="00FD11AD" w:rsidP="00CA3ADD">
            <w:pPr>
              <w:rPr>
                <w:b/>
                <w:bCs/>
                <w:szCs w:val="24"/>
              </w:rPr>
            </w:pPr>
          </w:p>
        </w:tc>
        <w:tc>
          <w:tcPr>
            <w:tcW w:w="5103" w:type="dxa"/>
          </w:tcPr>
          <w:p w14:paraId="1E322CE4" w14:textId="4A05DC79" w:rsidR="00FD11AD" w:rsidRPr="002367D1" w:rsidRDefault="00FD11AD" w:rsidP="002367D1">
            <w:pPr>
              <w:pStyle w:val="Betarp"/>
              <w:jc w:val="both"/>
              <w:rPr>
                <w:rFonts w:ascii="Times New Roman" w:hAnsi="Times New Roman"/>
                <w:sz w:val="24"/>
                <w:szCs w:val="24"/>
              </w:rPr>
            </w:pPr>
            <w:r>
              <w:rPr>
                <w:rFonts w:ascii="Times New Roman" w:hAnsi="Times New Roman"/>
                <w:sz w:val="24"/>
                <w:szCs w:val="24"/>
              </w:rPr>
              <w:t>A</w:t>
            </w:r>
            <w:r w:rsidRPr="002367D1">
              <w:rPr>
                <w:rFonts w:ascii="Times New Roman" w:hAnsi="Times New Roman"/>
                <w:sz w:val="24"/>
                <w:szCs w:val="24"/>
              </w:rPr>
              <w:t>rba rašoma “gamyba” yra tinkamos išlaidos, kur toliau aprašoma, jog tai visgi gamybos infrastruktūra.</w:t>
            </w:r>
          </w:p>
          <w:p w14:paraId="426FBB98" w14:textId="45A6498D" w:rsidR="00FD11AD" w:rsidRPr="002367D1" w:rsidRDefault="00FD11AD" w:rsidP="00600C37">
            <w:pPr>
              <w:pStyle w:val="Betarp"/>
              <w:jc w:val="both"/>
              <w:rPr>
                <w:szCs w:val="24"/>
              </w:rPr>
            </w:pPr>
            <w:r w:rsidRPr="002367D1">
              <w:rPr>
                <w:rFonts w:ascii="Times New Roman" w:hAnsi="Times New Roman"/>
                <w:sz w:val="24"/>
                <w:szCs w:val="24"/>
              </w:rPr>
              <w:lastRenderedPageBreak/>
              <w:t xml:space="preserve">siūlymas performuluoti įdedant porą žodžių - </w:t>
            </w:r>
            <w:r w:rsidRPr="002367D1">
              <w:rPr>
                <w:rFonts w:ascii="Times New Roman" w:hAnsi="Times New Roman"/>
                <w:b/>
                <w:bCs/>
                <w:sz w:val="24"/>
                <w:szCs w:val="24"/>
              </w:rPr>
              <w:t>Investicijos į STEP technologijų gynybos ir saugumo srityje gamybos infrastruktūrą, įskaitant specialiųjų …</w:t>
            </w:r>
          </w:p>
        </w:tc>
        <w:tc>
          <w:tcPr>
            <w:tcW w:w="7371" w:type="dxa"/>
          </w:tcPr>
          <w:p w14:paraId="23473F35" w14:textId="77777777" w:rsidR="00FD11AD" w:rsidRPr="00CF2C1B" w:rsidRDefault="00FD11AD" w:rsidP="002367D1">
            <w:pPr>
              <w:pStyle w:val="Betarp"/>
              <w:tabs>
                <w:tab w:val="left" w:pos="552"/>
              </w:tabs>
              <w:jc w:val="both"/>
              <w:rPr>
                <w:rFonts w:ascii="Times New Roman" w:eastAsia="Times New Roman" w:hAnsi="Times New Roman"/>
                <w:b/>
                <w:bCs/>
                <w:sz w:val="24"/>
                <w:szCs w:val="24"/>
                <w:lang w:eastAsia="lt-LT"/>
              </w:rPr>
            </w:pPr>
            <w:r w:rsidRPr="00CF2C1B">
              <w:rPr>
                <w:rFonts w:ascii="Times New Roman" w:eastAsia="Times New Roman" w:hAnsi="Times New Roman"/>
                <w:b/>
                <w:bCs/>
                <w:sz w:val="24"/>
                <w:szCs w:val="24"/>
                <w:lang w:eastAsia="lt-LT"/>
              </w:rPr>
              <w:lastRenderedPageBreak/>
              <w:t>Neatsižvelgta.</w:t>
            </w:r>
          </w:p>
          <w:p w14:paraId="531458D5" w14:textId="5B657C0A" w:rsidR="00FD11AD" w:rsidRDefault="00FD11AD" w:rsidP="002367D1">
            <w:pPr>
              <w:pStyle w:val="Sraopastraipa"/>
              <w:tabs>
                <w:tab w:val="left" w:pos="174"/>
                <w:tab w:val="left" w:pos="1024"/>
              </w:tabs>
              <w:ind w:left="35"/>
              <w:jc w:val="both"/>
              <w:rPr>
                <w:szCs w:val="24"/>
              </w:rPr>
            </w:pPr>
            <w:r w:rsidRPr="00C701B0">
              <w:rPr>
                <w:szCs w:val="24"/>
              </w:rPr>
              <w:t xml:space="preserve">Tinkamos finansuoti išlaidos </w:t>
            </w:r>
            <w:r>
              <w:rPr>
                <w:szCs w:val="24"/>
              </w:rPr>
              <w:t>STEP technologijų gamybos (pradinės</w:t>
            </w:r>
            <w:r w:rsidRPr="00AD3D76">
              <w:rPr>
                <w:szCs w:val="24"/>
              </w:rPr>
              <w:t xml:space="preserve"> investicij</w:t>
            </w:r>
            <w:r>
              <w:rPr>
                <w:szCs w:val="24"/>
              </w:rPr>
              <w:t>os)</w:t>
            </w:r>
            <w:r w:rsidRPr="00AD3D76">
              <w:rPr>
                <w:szCs w:val="24"/>
              </w:rPr>
              <w:t xml:space="preserve"> veiklai</w:t>
            </w:r>
            <w:r>
              <w:rPr>
                <w:szCs w:val="24"/>
              </w:rPr>
              <w:t xml:space="preserve"> yra nurodytos PFSA </w:t>
            </w:r>
            <w:r w:rsidRPr="002367D1">
              <w:rPr>
                <w:szCs w:val="24"/>
              </w:rPr>
              <w:t>2</w:t>
            </w:r>
            <w:r>
              <w:rPr>
                <w:szCs w:val="24"/>
              </w:rPr>
              <w:t xml:space="preserve"> lentelėje:</w:t>
            </w:r>
          </w:p>
          <w:p w14:paraId="431C0C42" w14:textId="5E6C6B5B" w:rsidR="00FD11AD" w:rsidRPr="002367D1" w:rsidRDefault="00FD11AD" w:rsidP="002367D1">
            <w:pPr>
              <w:pStyle w:val="Sraopastraipa"/>
              <w:numPr>
                <w:ilvl w:val="0"/>
                <w:numId w:val="19"/>
              </w:numPr>
              <w:tabs>
                <w:tab w:val="left" w:pos="174"/>
                <w:tab w:val="left" w:pos="602"/>
                <w:tab w:val="left" w:pos="1024"/>
              </w:tabs>
              <w:ind w:left="177" w:firstLine="141"/>
              <w:jc w:val="both"/>
              <w:rPr>
                <w:szCs w:val="24"/>
              </w:rPr>
            </w:pPr>
            <w:r>
              <w:rPr>
                <w:color w:val="000000" w:themeColor="text1"/>
              </w:rPr>
              <w:lastRenderedPageBreak/>
              <w:t>Gamybos įranga (įrenginiai</w:t>
            </w:r>
            <w:r>
              <w:rPr>
                <w:color w:val="000000"/>
                <w:shd w:val="clear" w:color="auto" w:fill="FFFFFF"/>
              </w:rPr>
              <w:t>, mašinos, prietaisai, kompiuterinė technika ir gamybai skirti baldai, kitos įrangos, įrenginių ir kito ilgalaikio materialiojo turto įsigijimo ir įrangos lizingo (finansinės nuomos) išlaidos (</w:t>
            </w:r>
            <w:r>
              <w:t>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w:t>
            </w:r>
          </w:p>
          <w:p w14:paraId="51394B9F" w14:textId="6F90397C" w:rsidR="00FD11AD" w:rsidRDefault="00FD11AD" w:rsidP="002367D1">
            <w:pPr>
              <w:pStyle w:val="Sraopastraipa"/>
              <w:numPr>
                <w:ilvl w:val="0"/>
                <w:numId w:val="19"/>
              </w:numPr>
              <w:tabs>
                <w:tab w:val="left" w:pos="174"/>
                <w:tab w:val="left" w:pos="602"/>
                <w:tab w:val="left" w:pos="1024"/>
              </w:tabs>
              <w:ind w:left="177" w:firstLine="141"/>
              <w:jc w:val="both"/>
              <w:rPr>
                <w:szCs w:val="24"/>
              </w:rPr>
            </w:pPr>
            <w:r>
              <w:rPr>
                <w:szCs w:val="24"/>
              </w:rPr>
              <w:t>Patentų ir licencijų išlaidos;</w:t>
            </w:r>
          </w:p>
          <w:p w14:paraId="3E419388" w14:textId="10A8E2DB" w:rsidR="00FD11AD" w:rsidRDefault="00FD11AD" w:rsidP="002367D1">
            <w:pPr>
              <w:pStyle w:val="Sraopastraipa"/>
              <w:numPr>
                <w:ilvl w:val="0"/>
                <w:numId w:val="19"/>
              </w:numPr>
              <w:tabs>
                <w:tab w:val="left" w:pos="174"/>
                <w:tab w:val="left" w:pos="602"/>
                <w:tab w:val="left" w:pos="1024"/>
              </w:tabs>
              <w:ind w:left="177" w:firstLine="141"/>
              <w:jc w:val="both"/>
              <w:rPr>
                <w:szCs w:val="24"/>
              </w:rPr>
            </w:pPr>
            <w:r>
              <w:rPr>
                <w:szCs w:val="24"/>
              </w:rPr>
              <w:t>Programinės įrangos įsigijimo ir techninės priežiūros išlaidos;</w:t>
            </w:r>
          </w:p>
          <w:p w14:paraId="5DD71D4E" w14:textId="77777777" w:rsidR="00FD11AD" w:rsidRPr="00A4712C" w:rsidRDefault="00FD11AD" w:rsidP="002367D1">
            <w:pPr>
              <w:pStyle w:val="Sraopastraipa"/>
              <w:numPr>
                <w:ilvl w:val="0"/>
                <w:numId w:val="19"/>
              </w:numPr>
              <w:tabs>
                <w:tab w:val="left" w:pos="174"/>
                <w:tab w:val="left" w:pos="602"/>
                <w:tab w:val="left" w:pos="1024"/>
              </w:tabs>
              <w:ind w:left="177" w:firstLine="141"/>
              <w:jc w:val="both"/>
            </w:pPr>
            <w:r>
              <w:rPr>
                <w:bCs/>
                <w:szCs w:val="24"/>
              </w:rPr>
              <w:t>Netiesioginės išlaidos ir kitos išlaidos pagal fiksuotąją projekto išlaidų normą.</w:t>
            </w:r>
          </w:p>
          <w:p w14:paraId="537C8D5C" w14:textId="77CD4EE5" w:rsidR="00FD11AD" w:rsidRPr="00E9224C" w:rsidRDefault="00FD11AD" w:rsidP="00A4712C">
            <w:pPr>
              <w:tabs>
                <w:tab w:val="left" w:pos="174"/>
                <w:tab w:val="left" w:pos="602"/>
                <w:tab w:val="left" w:pos="1024"/>
              </w:tabs>
              <w:jc w:val="both"/>
            </w:pPr>
            <w:r>
              <w:t>Išlaidos tinkamos finansuoti tiek, kiek jos reikalingos projektui įgyvendinti.</w:t>
            </w:r>
          </w:p>
        </w:tc>
      </w:tr>
      <w:tr w:rsidR="00FD11AD" w:rsidRPr="00C85D29" w14:paraId="1BD3A319" w14:textId="77777777" w:rsidTr="00BF3D8D">
        <w:tc>
          <w:tcPr>
            <w:tcW w:w="567" w:type="dxa"/>
          </w:tcPr>
          <w:p w14:paraId="47A3F218" w14:textId="507BB9ED" w:rsidR="00FD11AD" w:rsidRPr="00B02A93" w:rsidRDefault="00FD11AD" w:rsidP="00335D39">
            <w:pPr>
              <w:jc w:val="center"/>
              <w:rPr>
                <w:bCs/>
                <w:szCs w:val="24"/>
                <w:lang w:val="en-US"/>
              </w:rPr>
            </w:pPr>
            <w:r>
              <w:rPr>
                <w:bCs/>
                <w:szCs w:val="24"/>
                <w:lang w:val="en-US"/>
              </w:rPr>
              <w:lastRenderedPageBreak/>
              <w:t>4.</w:t>
            </w:r>
          </w:p>
        </w:tc>
        <w:tc>
          <w:tcPr>
            <w:tcW w:w="1730" w:type="dxa"/>
            <w:vMerge/>
          </w:tcPr>
          <w:p w14:paraId="778B62C6" w14:textId="77777777" w:rsidR="00FD11AD" w:rsidRDefault="00FD11AD" w:rsidP="00CA3ADD">
            <w:pPr>
              <w:rPr>
                <w:b/>
                <w:bCs/>
                <w:szCs w:val="24"/>
              </w:rPr>
            </w:pPr>
          </w:p>
        </w:tc>
        <w:tc>
          <w:tcPr>
            <w:tcW w:w="5103" w:type="dxa"/>
          </w:tcPr>
          <w:p w14:paraId="395940E3" w14:textId="3607116F" w:rsidR="00FD11AD" w:rsidRPr="00245F52" w:rsidRDefault="00FD11AD" w:rsidP="00600C37">
            <w:pPr>
              <w:pStyle w:val="Betarp"/>
              <w:jc w:val="both"/>
              <w:rPr>
                <w:rFonts w:ascii="Times New Roman" w:hAnsi="Times New Roman"/>
                <w:sz w:val="24"/>
                <w:szCs w:val="24"/>
              </w:rPr>
            </w:pPr>
            <w:r w:rsidRPr="00245F52">
              <w:rPr>
                <w:rFonts w:ascii="Times New Roman" w:hAnsi="Times New Roman"/>
                <w:b/>
                <w:bCs/>
                <w:sz w:val="24"/>
                <w:szCs w:val="24"/>
              </w:rPr>
              <w:t>Pagal PFSA 11 punktą nėra aišku</w:t>
            </w:r>
            <w:r>
              <w:rPr>
                <w:rFonts w:ascii="Times New Roman" w:hAnsi="Times New Roman"/>
                <w:b/>
                <w:bCs/>
                <w:sz w:val="24"/>
                <w:szCs w:val="24"/>
              </w:rPr>
              <w:t>,</w:t>
            </w:r>
            <w:r w:rsidRPr="00245F52">
              <w:rPr>
                <w:rFonts w:ascii="Times New Roman" w:hAnsi="Times New Roman"/>
                <w:b/>
                <w:bCs/>
                <w:sz w:val="24"/>
                <w:szCs w:val="24"/>
              </w:rPr>
              <w:t xml:space="preserve"> ar </w:t>
            </w:r>
            <w:r w:rsidRPr="00245F52">
              <w:rPr>
                <w:rFonts w:ascii="Times New Roman" w:hAnsi="Times New Roman"/>
                <w:sz w:val="24"/>
                <w:szCs w:val="24"/>
              </w:rPr>
              <w:t xml:space="preserve">ir programinės įrangos įsigijimas ar integravimas į gamybos procesus </w:t>
            </w:r>
            <w:r>
              <w:rPr>
                <w:rFonts w:ascii="Times New Roman" w:hAnsi="Times New Roman"/>
                <w:sz w:val="24"/>
                <w:szCs w:val="24"/>
              </w:rPr>
              <w:t>y</w:t>
            </w:r>
            <w:r w:rsidRPr="00245F52">
              <w:rPr>
                <w:rFonts w:ascii="Times New Roman" w:hAnsi="Times New Roman"/>
                <w:sz w:val="24"/>
                <w:szCs w:val="24"/>
              </w:rPr>
              <w:t xml:space="preserve">ra tinkamos išlaidos, kurios iš esmės turėtų būti būtinos. </w:t>
            </w:r>
            <w:r>
              <w:rPr>
                <w:rFonts w:ascii="Times New Roman" w:hAnsi="Times New Roman"/>
                <w:sz w:val="24"/>
                <w:szCs w:val="24"/>
              </w:rPr>
              <w:t>Inovacijų a</w:t>
            </w:r>
            <w:r w:rsidRPr="00245F52">
              <w:rPr>
                <w:rFonts w:ascii="Times New Roman" w:hAnsi="Times New Roman"/>
                <w:sz w:val="24"/>
                <w:szCs w:val="24"/>
              </w:rPr>
              <w:t>gentūra po to daro išvedžiojimus pagal “Patentų ir licencijų išlaidos.” eilutę, kuri gali būti suprantama kaip pvz</w:t>
            </w:r>
            <w:r>
              <w:rPr>
                <w:rFonts w:ascii="Times New Roman" w:hAnsi="Times New Roman"/>
                <w:sz w:val="24"/>
                <w:szCs w:val="24"/>
              </w:rPr>
              <w:t>.,</w:t>
            </w:r>
            <w:r w:rsidRPr="00245F52">
              <w:rPr>
                <w:rFonts w:ascii="Times New Roman" w:hAnsi="Times New Roman"/>
                <w:sz w:val="24"/>
                <w:szCs w:val="24"/>
              </w:rPr>
              <w:t xml:space="preserve"> technologijos patento pirkimas t.</w:t>
            </w:r>
            <w:r>
              <w:rPr>
                <w:rFonts w:ascii="Times New Roman" w:hAnsi="Times New Roman"/>
                <w:sz w:val="24"/>
                <w:szCs w:val="24"/>
              </w:rPr>
              <w:t xml:space="preserve"> </w:t>
            </w:r>
            <w:r w:rsidRPr="00245F52">
              <w:rPr>
                <w:rFonts w:ascii="Times New Roman" w:hAnsi="Times New Roman"/>
                <w:sz w:val="24"/>
                <w:szCs w:val="24"/>
              </w:rPr>
              <w:t>y nebūtinai programinė įranga.</w:t>
            </w:r>
          </w:p>
        </w:tc>
        <w:tc>
          <w:tcPr>
            <w:tcW w:w="7371" w:type="dxa"/>
          </w:tcPr>
          <w:p w14:paraId="276180E6" w14:textId="77777777" w:rsidR="00FD11AD" w:rsidRPr="002367D1" w:rsidRDefault="00FD11AD" w:rsidP="00245F52">
            <w:pPr>
              <w:pStyle w:val="Betarp"/>
              <w:tabs>
                <w:tab w:val="left" w:pos="552"/>
              </w:tabs>
              <w:jc w:val="both"/>
              <w:rPr>
                <w:rFonts w:ascii="Times New Roman" w:hAnsi="Times New Roman"/>
                <w:b/>
                <w:bCs/>
                <w:sz w:val="24"/>
                <w:szCs w:val="24"/>
              </w:rPr>
            </w:pPr>
            <w:r w:rsidRPr="002367D1">
              <w:rPr>
                <w:rFonts w:ascii="Times New Roman" w:hAnsi="Times New Roman"/>
                <w:b/>
                <w:bCs/>
                <w:sz w:val="24"/>
                <w:szCs w:val="24"/>
              </w:rPr>
              <w:t>Atsižvelgta.</w:t>
            </w:r>
          </w:p>
          <w:p w14:paraId="301B2127" w14:textId="1C4A6D71" w:rsidR="00FD11AD" w:rsidRPr="00E9224C" w:rsidRDefault="00FD11AD" w:rsidP="00600C37">
            <w:pPr>
              <w:spacing w:after="160"/>
              <w:jc w:val="both"/>
            </w:pPr>
            <w:r>
              <w:t xml:space="preserve">Įtrauktos šios tinkamos išlaidos: </w:t>
            </w:r>
            <w:r>
              <w:rPr>
                <w:szCs w:val="24"/>
              </w:rPr>
              <w:t xml:space="preserve">programinės įrangos įsigijimo ir techninės priežiūros išlaidos. </w:t>
            </w:r>
            <w:r>
              <w:t xml:space="preserve">Tinkamos finansuoti tiek, kiek jos reikalingos projektui įgyvendinti. </w:t>
            </w:r>
            <w:r w:rsidRPr="00301A44">
              <w:t>Programinės įrangos techninės priežiūros išlaidoms priskiriamos ir garantinio aptarnavimo (arba įrangos palaikymo) išlaidos, jei jos atitinka kitus reikalavimus (patiriamos įgyvendinimo laikotarpiu ir įtraukiamos į nematerialaus turto vertę ir kt.).</w:t>
            </w:r>
            <w:r w:rsidRPr="00301A44">
              <w:rPr>
                <w:i/>
                <w:iCs/>
              </w:rPr>
              <w:t xml:space="preserve"> </w:t>
            </w:r>
            <w:r w:rsidRPr="00301A44">
              <w:t xml:space="preserve"> </w:t>
            </w:r>
          </w:p>
        </w:tc>
      </w:tr>
      <w:tr w:rsidR="00FD11AD" w:rsidRPr="00C85D29" w14:paraId="7385FFB0" w14:textId="77777777" w:rsidTr="00BF3D8D">
        <w:tc>
          <w:tcPr>
            <w:tcW w:w="567" w:type="dxa"/>
          </w:tcPr>
          <w:p w14:paraId="0A0A0BB4" w14:textId="5EDA60CB" w:rsidR="00FD11AD" w:rsidRDefault="00FD11AD" w:rsidP="00335D39">
            <w:pPr>
              <w:jc w:val="center"/>
              <w:rPr>
                <w:bCs/>
                <w:szCs w:val="24"/>
              </w:rPr>
            </w:pPr>
            <w:r>
              <w:rPr>
                <w:bCs/>
                <w:szCs w:val="24"/>
              </w:rPr>
              <w:t>5.</w:t>
            </w:r>
          </w:p>
        </w:tc>
        <w:tc>
          <w:tcPr>
            <w:tcW w:w="1730" w:type="dxa"/>
            <w:vMerge/>
          </w:tcPr>
          <w:p w14:paraId="3E6FBAED" w14:textId="77777777" w:rsidR="00FD11AD" w:rsidRDefault="00FD11AD" w:rsidP="00CA3ADD">
            <w:pPr>
              <w:rPr>
                <w:b/>
                <w:bCs/>
                <w:szCs w:val="24"/>
              </w:rPr>
            </w:pPr>
          </w:p>
        </w:tc>
        <w:tc>
          <w:tcPr>
            <w:tcW w:w="5103" w:type="dxa"/>
          </w:tcPr>
          <w:p w14:paraId="3182A16E" w14:textId="4DA794F8" w:rsidR="00FD11AD" w:rsidRPr="00B02A93" w:rsidRDefault="00FD11AD" w:rsidP="00B02A93">
            <w:pPr>
              <w:pStyle w:val="Betarp"/>
              <w:jc w:val="both"/>
              <w:rPr>
                <w:rFonts w:ascii="Times New Roman" w:hAnsi="Times New Roman"/>
                <w:sz w:val="24"/>
                <w:szCs w:val="24"/>
              </w:rPr>
            </w:pPr>
            <w:r>
              <w:rPr>
                <w:rFonts w:ascii="Times New Roman" w:hAnsi="Times New Roman"/>
                <w:sz w:val="24"/>
                <w:szCs w:val="24"/>
              </w:rPr>
              <w:t>T</w:t>
            </w:r>
            <w:r w:rsidRPr="00B02A93">
              <w:rPr>
                <w:rFonts w:ascii="Times New Roman" w:hAnsi="Times New Roman"/>
                <w:sz w:val="24"/>
                <w:szCs w:val="24"/>
              </w:rPr>
              <w:t>aip pat gamybos išlaidų dalyje “apmokymas naudotis”, kas yra būtina</w:t>
            </w:r>
            <w:r>
              <w:rPr>
                <w:rFonts w:ascii="Times New Roman" w:hAnsi="Times New Roman"/>
                <w:sz w:val="24"/>
                <w:szCs w:val="24"/>
              </w:rPr>
              <w:t>,</w:t>
            </w:r>
            <w:r w:rsidRPr="00B02A93">
              <w:rPr>
                <w:rFonts w:ascii="Times New Roman" w:hAnsi="Times New Roman"/>
                <w:sz w:val="24"/>
                <w:szCs w:val="24"/>
              </w:rPr>
              <w:t xml:space="preserve">  ir tada mokymų veikla</w:t>
            </w:r>
            <w:r>
              <w:rPr>
                <w:rFonts w:ascii="Times New Roman" w:hAnsi="Times New Roman"/>
                <w:sz w:val="24"/>
                <w:szCs w:val="24"/>
              </w:rPr>
              <w:t>,</w:t>
            </w:r>
            <w:r w:rsidRPr="00B02A93">
              <w:rPr>
                <w:rFonts w:ascii="Times New Roman" w:hAnsi="Times New Roman"/>
                <w:sz w:val="24"/>
                <w:szCs w:val="24"/>
              </w:rPr>
              <w:t xml:space="preserve"> kurioje gal tada reiktų turėti takoskyrą šiuo klausimu</w:t>
            </w:r>
            <w:r>
              <w:rPr>
                <w:rFonts w:ascii="Times New Roman" w:hAnsi="Times New Roman"/>
                <w:sz w:val="24"/>
                <w:szCs w:val="24"/>
              </w:rPr>
              <w:t>.</w:t>
            </w:r>
          </w:p>
          <w:p w14:paraId="5F62FB53" w14:textId="1010A25D" w:rsidR="00FD11AD" w:rsidRPr="00B02A93" w:rsidRDefault="00FD11AD" w:rsidP="00600C37">
            <w:pPr>
              <w:pStyle w:val="Betarp"/>
              <w:jc w:val="both"/>
              <w:rPr>
                <w:b/>
                <w:bCs/>
                <w:szCs w:val="24"/>
              </w:rPr>
            </w:pPr>
            <w:r>
              <w:rPr>
                <w:rFonts w:ascii="Times New Roman" w:hAnsi="Times New Roman"/>
                <w:sz w:val="24"/>
                <w:szCs w:val="24"/>
              </w:rPr>
              <w:t>S</w:t>
            </w:r>
            <w:r w:rsidRPr="00B02A93">
              <w:rPr>
                <w:rFonts w:ascii="Times New Roman" w:hAnsi="Times New Roman"/>
                <w:sz w:val="24"/>
                <w:szCs w:val="24"/>
              </w:rPr>
              <w:t>iūlymas traukti i</w:t>
            </w:r>
            <w:r>
              <w:rPr>
                <w:rFonts w:ascii="Times New Roman" w:hAnsi="Times New Roman"/>
                <w:sz w:val="24"/>
                <w:szCs w:val="24"/>
              </w:rPr>
              <w:t xml:space="preserve">r </w:t>
            </w:r>
            <w:r w:rsidRPr="00B02A93">
              <w:rPr>
                <w:rFonts w:ascii="Times New Roman" w:hAnsi="Times New Roman"/>
                <w:sz w:val="24"/>
                <w:szCs w:val="24"/>
              </w:rPr>
              <w:t>besimokanči</w:t>
            </w:r>
            <w:r>
              <w:rPr>
                <w:rFonts w:ascii="Times New Roman" w:hAnsi="Times New Roman"/>
                <w:sz w:val="24"/>
                <w:szCs w:val="24"/>
              </w:rPr>
              <w:t>ų</w:t>
            </w:r>
            <w:r w:rsidRPr="00B02A93">
              <w:rPr>
                <w:rFonts w:ascii="Times New Roman" w:hAnsi="Times New Roman"/>
                <w:sz w:val="24"/>
                <w:szCs w:val="24"/>
              </w:rPr>
              <w:t xml:space="preserve"> kaštus</w:t>
            </w:r>
            <w:r>
              <w:rPr>
                <w:rFonts w:ascii="Times New Roman" w:hAnsi="Times New Roman"/>
                <w:sz w:val="24"/>
                <w:szCs w:val="24"/>
              </w:rPr>
              <w:t>,</w:t>
            </w:r>
            <w:r w:rsidRPr="00B02A93">
              <w:rPr>
                <w:rFonts w:ascii="Times New Roman" w:hAnsi="Times New Roman"/>
                <w:sz w:val="24"/>
                <w:szCs w:val="24"/>
              </w:rPr>
              <w:t xml:space="preserve"> nes įmon</w:t>
            </w:r>
            <w:r>
              <w:rPr>
                <w:rFonts w:ascii="Times New Roman" w:hAnsi="Times New Roman"/>
                <w:sz w:val="24"/>
                <w:szCs w:val="24"/>
              </w:rPr>
              <w:t>ė</w:t>
            </w:r>
            <w:r w:rsidRPr="00B02A93">
              <w:rPr>
                <w:rFonts w:ascii="Times New Roman" w:hAnsi="Times New Roman"/>
                <w:sz w:val="24"/>
                <w:szCs w:val="24"/>
              </w:rPr>
              <w:t xml:space="preserve"> juos patiria</w:t>
            </w:r>
            <w:r>
              <w:rPr>
                <w:rFonts w:ascii="Times New Roman" w:hAnsi="Times New Roman"/>
                <w:sz w:val="24"/>
                <w:szCs w:val="24"/>
              </w:rPr>
              <w:t>,</w:t>
            </w:r>
            <w:r w:rsidRPr="00B02A93">
              <w:rPr>
                <w:rFonts w:ascii="Times New Roman" w:hAnsi="Times New Roman"/>
                <w:sz w:val="24"/>
                <w:szCs w:val="24"/>
              </w:rPr>
              <w:t xml:space="preserve"> t.</w:t>
            </w:r>
            <w:r>
              <w:rPr>
                <w:rFonts w:ascii="Times New Roman" w:hAnsi="Times New Roman"/>
                <w:sz w:val="24"/>
                <w:szCs w:val="24"/>
              </w:rPr>
              <w:t xml:space="preserve"> </w:t>
            </w:r>
            <w:r w:rsidRPr="00B02A93">
              <w:rPr>
                <w:rFonts w:ascii="Times New Roman" w:hAnsi="Times New Roman"/>
                <w:sz w:val="24"/>
                <w:szCs w:val="24"/>
              </w:rPr>
              <w:t>y. darbuotojui mokymų metu yra privaloma mokėti DU.</w:t>
            </w:r>
          </w:p>
        </w:tc>
        <w:tc>
          <w:tcPr>
            <w:tcW w:w="7371" w:type="dxa"/>
          </w:tcPr>
          <w:p w14:paraId="2FADE829" w14:textId="3BF2D13F" w:rsidR="00FD11AD" w:rsidRDefault="00FD11AD" w:rsidP="00245F52">
            <w:pPr>
              <w:pStyle w:val="Betarp"/>
              <w:tabs>
                <w:tab w:val="left" w:pos="552"/>
              </w:tabs>
              <w:jc w:val="both"/>
              <w:rPr>
                <w:rFonts w:ascii="Times New Roman" w:hAnsi="Times New Roman"/>
                <w:b/>
                <w:bCs/>
                <w:sz w:val="24"/>
                <w:szCs w:val="24"/>
              </w:rPr>
            </w:pPr>
            <w:r>
              <w:rPr>
                <w:rFonts w:ascii="Times New Roman" w:hAnsi="Times New Roman"/>
                <w:b/>
                <w:bCs/>
                <w:sz w:val="24"/>
                <w:szCs w:val="24"/>
              </w:rPr>
              <w:t xml:space="preserve">Neatsižvelgta. </w:t>
            </w:r>
          </w:p>
          <w:p w14:paraId="32C384E9" w14:textId="795C5D99" w:rsidR="00FD11AD" w:rsidRDefault="00FD11AD" w:rsidP="004A4EB8">
            <w:pPr>
              <w:pStyle w:val="Sraopastraipa"/>
              <w:tabs>
                <w:tab w:val="left" w:pos="33"/>
                <w:tab w:val="left" w:pos="878"/>
              </w:tabs>
              <w:ind w:left="33"/>
              <w:jc w:val="both"/>
            </w:pPr>
            <w:r w:rsidRPr="004A4EB8">
              <w:rPr>
                <w:szCs w:val="24"/>
              </w:rPr>
              <w:t xml:space="preserve">Gamybos išlaidų dalyje išbraukta „apmokymas naudotis“, </w:t>
            </w:r>
            <w:r>
              <w:rPr>
                <w:szCs w:val="24"/>
              </w:rPr>
              <w:t xml:space="preserve">atsižvelgiant į tai, kad darbuotojų apmokymui skirta ši poveiklė – </w:t>
            </w:r>
            <w:r w:rsidRPr="004303B4">
              <w:t xml:space="preserve">darbuotojų, </w:t>
            </w:r>
            <w:r>
              <w:t>kurių darbinė funkcija bus STEP technologijų gamybos veikla</w:t>
            </w:r>
            <w:r w:rsidRPr="004303B4">
              <w:t xml:space="preserve">, mokymas </w:t>
            </w:r>
            <w:r>
              <w:t>(</w:t>
            </w:r>
            <w:r w:rsidRPr="00203131">
              <w:t>specializuot</w:t>
            </w:r>
            <w:r>
              <w:t>os</w:t>
            </w:r>
            <w:r w:rsidRPr="00203131">
              <w:t xml:space="preserve"> žini</w:t>
            </w:r>
            <w:r>
              <w:t>os</w:t>
            </w:r>
            <w:r w:rsidRPr="00203131">
              <w:t xml:space="preserve"> ir įgūdži</w:t>
            </w:r>
            <w:r>
              <w:t>ai</w:t>
            </w:r>
            <w:r w:rsidRPr="00203131">
              <w:t xml:space="preserve">, kurių reikia </w:t>
            </w:r>
            <w:r>
              <w:t>STEP technologijų gamybos srityje)</w:t>
            </w:r>
            <w:r w:rsidRPr="004303B4">
              <w:t>.</w:t>
            </w:r>
            <w:r>
              <w:t xml:space="preserve"> Mokymų veikla yra tinkama įgyvendinti tik tuo atveju, jeigu </w:t>
            </w:r>
            <w:r w:rsidRPr="00A56EE4">
              <w:rPr>
                <w:szCs w:val="24"/>
              </w:rPr>
              <w:t xml:space="preserve">yra susijusi su projektu planuojama vykdyti </w:t>
            </w:r>
            <w:r>
              <w:t>STEP</w:t>
            </w:r>
            <w:r w:rsidRPr="00C93122">
              <w:t xml:space="preserve"> technologijų gamyb</w:t>
            </w:r>
            <w:r>
              <w:t>os veikla.</w:t>
            </w:r>
          </w:p>
          <w:p w14:paraId="73508833" w14:textId="1B1AF698" w:rsidR="00FD11AD" w:rsidRPr="004A4EB8" w:rsidRDefault="00FD11AD" w:rsidP="004A4EB8">
            <w:pPr>
              <w:pStyle w:val="Sraopastraipa"/>
              <w:tabs>
                <w:tab w:val="left" w:pos="33"/>
                <w:tab w:val="left" w:pos="878"/>
              </w:tabs>
              <w:ind w:left="33"/>
              <w:jc w:val="both"/>
              <w:rPr>
                <w:szCs w:val="24"/>
              </w:rPr>
            </w:pPr>
            <w:r>
              <w:t xml:space="preserve">Atkreipiame dėmesį, kad </w:t>
            </w:r>
            <w:r>
              <w:rPr>
                <w:szCs w:val="24"/>
              </w:rPr>
              <w:t xml:space="preserve">valstybės pagalba projekte dalyvaujančių darbuotojų mokymų veiklai, </w:t>
            </w:r>
            <w:r>
              <w:t xml:space="preserve">nurodytai PFSA 5.1.1.3 papunktyje, teikiama vadovaujantis </w:t>
            </w:r>
            <w:r w:rsidRPr="0070338A">
              <w:rPr>
                <w:szCs w:val="24"/>
              </w:rPr>
              <w:t>2014 m. birželio 17 d. Komisijos reglament</w:t>
            </w:r>
            <w:r>
              <w:rPr>
                <w:szCs w:val="24"/>
              </w:rPr>
              <w:t>o</w:t>
            </w:r>
            <w:r w:rsidRPr="0070338A">
              <w:rPr>
                <w:szCs w:val="24"/>
              </w:rPr>
              <w:t xml:space="preserve"> (ES) Nr. 651/2014, kuriuo tam tikrų kategorijų pagalba skelbiama suderinama su </w:t>
            </w:r>
            <w:r w:rsidRPr="0070338A">
              <w:rPr>
                <w:szCs w:val="24"/>
              </w:rPr>
              <w:lastRenderedPageBreak/>
              <w:t>vidaus rinka taikant Sutarties 107 ir 108 straipsnius, su paskutiniais pakeitimais, padarytais 2023 m. birželio 23 d. Komisijos reglamentu (ES) 2023/1315</w:t>
            </w:r>
            <w:r>
              <w:rPr>
                <w:szCs w:val="24"/>
              </w:rPr>
              <w:t xml:space="preserve">, 31 straipsnio nuostatomis. Visos tinkamos finansuoti išlaidos, taikant Reglamento (ES) Nr. 651/2014 31 straipsnį, kai investuojama į darbuotojų mokymą, įskaitant mokymo darbo vietoje organizavimą, yra nurodytos PFSA 11.23 p. </w:t>
            </w:r>
          </w:p>
        </w:tc>
      </w:tr>
      <w:tr w:rsidR="00FD11AD" w:rsidRPr="00C85D29" w14:paraId="0761C906" w14:textId="77777777" w:rsidTr="00BF3D8D">
        <w:tc>
          <w:tcPr>
            <w:tcW w:w="567" w:type="dxa"/>
          </w:tcPr>
          <w:p w14:paraId="39313092" w14:textId="6599DFFD" w:rsidR="00FD11AD" w:rsidRDefault="00FD11AD" w:rsidP="00335D39">
            <w:pPr>
              <w:jc w:val="center"/>
              <w:rPr>
                <w:bCs/>
                <w:szCs w:val="24"/>
              </w:rPr>
            </w:pPr>
            <w:r>
              <w:rPr>
                <w:bCs/>
                <w:szCs w:val="24"/>
              </w:rPr>
              <w:lastRenderedPageBreak/>
              <w:t>6.</w:t>
            </w:r>
          </w:p>
        </w:tc>
        <w:tc>
          <w:tcPr>
            <w:tcW w:w="1730" w:type="dxa"/>
            <w:vMerge/>
          </w:tcPr>
          <w:p w14:paraId="2F213658" w14:textId="77777777" w:rsidR="00FD11AD" w:rsidRDefault="00FD11AD" w:rsidP="00CA3ADD">
            <w:pPr>
              <w:rPr>
                <w:b/>
                <w:bCs/>
                <w:szCs w:val="24"/>
              </w:rPr>
            </w:pPr>
          </w:p>
        </w:tc>
        <w:tc>
          <w:tcPr>
            <w:tcW w:w="5103" w:type="dxa"/>
          </w:tcPr>
          <w:p w14:paraId="282E97A0" w14:textId="4195AAD2" w:rsidR="00FD11AD" w:rsidRPr="005C6149" w:rsidRDefault="00FD11AD" w:rsidP="005C6149">
            <w:pPr>
              <w:pStyle w:val="Betarp"/>
              <w:jc w:val="both"/>
              <w:rPr>
                <w:rFonts w:ascii="Times New Roman" w:hAnsi="Times New Roman"/>
                <w:sz w:val="24"/>
                <w:szCs w:val="24"/>
              </w:rPr>
            </w:pPr>
            <w:r w:rsidRPr="005C6149">
              <w:rPr>
                <w:rFonts w:ascii="Times New Roman" w:hAnsi="Times New Roman"/>
                <w:sz w:val="24"/>
                <w:szCs w:val="24"/>
              </w:rPr>
              <w:t>Prioritetinis projektų atrankos kriterijus „Projekto efektyvumas“ kaip jis aprašytas dabar yra būsima problema, nes finansavimo kiekis ribotas ir šie rodikliai iš praktikos prognozuojamai labai optimistiškai, kas vėliau sukuria bėdas pareiškėjui, agentūrai ir šiuo atveju šalies mastu nes paramą pagal galiojančius PAFT pakeitimus tektų gr</w:t>
            </w:r>
            <w:r>
              <w:rPr>
                <w:rFonts w:ascii="Times New Roman" w:hAnsi="Times New Roman"/>
                <w:sz w:val="24"/>
                <w:szCs w:val="24"/>
              </w:rPr>
              <w:t>ą</w:t>
            </w:r>
            <w:r w:rsidRPr="005C6149">
              <w:rPr>
                <w:rFonts w:ascii="Times New Roman" w:hAnsi="Times New Roman"/>
                <w:sz w:val="24"/>
                <w:szCs w:val="24"/>
              </w:rPr>
              <w:t>žinti.</w:t>
            </w:r>
          </w:p>
        </w:tc>
        <w:tc>
          <w:tcPr>
            <w:tcW w:w="7371" w:type="dxa"/>
          </w:tcPr>
          <w:p w14:paraId="2577BCDE" w14:textId="77777777" w:rsidR="00FD11AD" w:rsidRDefault="00FD11AD" w:rsidP="00245F52">
            <w:pPr>
              <w:pStyle w:val="Betarp"/>
              <w:tabs>
                <w:tab w:val="left" w:pos="552"/>
              </w:tabs>
              <w:jc w:val="both"/>
              <w:rPr>
                <w:rFonts w:ascii="Times New Roman" w:hAnsi="Times New Roman"/>
                <w:b/>
                <w:bCs/>
                <w:sz w:val="24"/>
                <w:szCs w:val="24"/>
              </w:rPr>
            </w:pPr>
            <w:r>
              <w:rPr>
                <w:rFonts w:ascii="Times New Roman" w:hAnsi="Times New Roman"/>
                <w:b/>
                <w:bCs/>
                <w:sz w:val="24"/>
                <w:szCs w:val="24"/>
              </w:rPr>
              <w:t>Neatsižvelgta.</w:t>
            </w:r>
          </w:p>
          <w:p w14:paraId="1E7B9DCF" w14:textId="2B2370D8" w:rsidR="00FD11AD" w:rsidRPr="005C6149" w:rsidRDefault="00FD11AD" w:rsidP="005C6149">
            <w:pPr>
              <w:pStyle w:val="Sraopastraipa"/>
              <w:tabs>
                <w:tab w:val="left" w:pos="33"/>
                <w:tab w:val="left" w:pos="68"/>
                <w:tab w:val="left" w:pos="458"/>
                <w:tab w:val="left" w:pos="600"/>
                <w:tab w:val="left" w:pos="885"/>
              </w:tabs>
              <w:ind w:left="23"/>
              <w:jc w:val="both"/>
            </w:pPr>
            <w:r>
              <w:rPr>
                <w:szCs w:val="24"/>
              </w:rPr>
              <w:t>Pareiškėjas atsako už realistines kriterijaus prognozes ir su šiuo kriterijumi susieto rezultato stebėsenos rodiklio „</w:t>
            </w:r>
            <w:r w:rsidRPr="005C6149">
              <w:rPr>
                <w:szCs w:val="24"/>
              </w:rPr>
              <w:t>Investicijas gavusios įmonės pajamos, gautos iš tiesiogiai projekto metu sukurtų ir rinkai pateiktų technologijų“</w:t>
            </w:r>
            <w:r>
              <w:rPr>
                <w:szCs w:val="24"/>
              </w:rPr>
              <w:t xml:space="preserve"> planuojamas pasiekti reikšmes. Atitinkami </w:t>
            </w:r>
            <w:r>
              <w:t>p</w:t>
            </w:r>
            <w:r w:rsidRPr="0028766B">
              <w:t>rojekto vykdytojui nepasiekus rodiklių reikšmių, nurodytų projekto sutartyje, taikomos Projektų administravimo ir finansavimo taisyklių 171–178 punktų nuostatos</w:t>
            </w:r>
            <w:r>
              <w:t>.</w:t>
            </w:r>
          </w:p>
        </w:tc>
      </w:tr>
    </w:tbl>
    <w:p w14:paraId="00AABEA2" w14:textId="77777777" w:rsidR="005C5ECB" w:rsidRPr="001F7C29" w:rsidRDefault="005C5ECB">
      <w:pPr>
        <w:rPr>
          <w:rFonts w:eastAsia="Calibri"/>
          <w:szCs w:val="24"/>
          <w:lang w:eastAsia="en-US"/>
        </w:rPr>
      </w:pPr>
    </w:p>
    <w:sectPr w:rsidR="005C5ECB" w:rsidRPr="001F7C29" w:rsidSect="003940F3">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D8EA" w14:textId="77777777" w:rsidR="00912A72" w:rsidRDefault="00912A72" w:rsidP="003940F3">
      <w:r>
        <w:separator/>
      </w:r>
    </w:p>
  </w:endnote>
  <w:endnote w:type="continuationSeparator" w:id="0">
    <w:p w14:paraId="473AE740" w14:textId="77777777" w:rsidR="00912A72" w:rsidRDefault="00912A72"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1228" w14:textId="77777777" w:rsidR="003940F3" w:rsidRDefault="003940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DD6" w14:textId="77777777" w:rsidR="003940F3" w:rsidRDefault="003940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377" w14:textId="77777777" w:rsidR="003940F3" w:rsidRDefault="003940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1F74" w14:textId="77777777" w:rsidR="00912A72" w:rsidRDefault="00912A72" w:rsidP="003940F3">
      <w:r>
        <w:separator/>
      </w:r>
    </w:p>
  </w:footnote>
  <w:footnote w:type="continuationSeparator" w:id="0">
    <w:p w14:paraId="0C2415A7" w14:textId="77777777" w:rsidR="00912A72" w:rsidRDefault="00912A72" w:rsidP="0039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A5EB" w14:textId="77777777" w:rsidR="003940F3" w:rsidRDefault="003940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48512"/>
      <w:docPartObj>
        <w:docPartGallery w:val="Page Numbers (Top of Page)"/>
        <w:docPartUnique/>
      </w:docPartObj>
    </w:sdtPr>
    <w:sdtEndPr/>
    <w:sdtContent>
      <w:p w14:paraId="79AEDFE0" w14:textId="6B5879F1" w:rsidR="003940F3" w:rsidRDefault="003940F3">
        <w:pPr>
          <w:pStyle w:val="Antrats"/>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FAD" w14:textId="77777777" w:rsidR="003940F3" w:rsidRDefault="003940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0085E"/>
    <w:multiLevelType w:val="multilevel"/>
    <w:tmpl w:val="6FEC4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E3288C"/>
    <w:multiLevelType w:val="multilevel"/>
    <w:tmpl w:val="19D45B76"/>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9"/>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6" w15:restartNumberingAfterBreak="0">
    <w:nsid w:val="27605429"/>
    <w:multiLevelType w:val="hybridMultilevel"/>
    <w:tmpl w:val="E5D80D28"/>
    <w:lvl w:ilvl="0" w:tplc="0427000F">
      <w:start w:val="1"/>
      <w:numFmt w:val="decimal"/>
      <w:lvlText w:val="%1."/>
      <w:lvlJc w:val="left"/>
      <w:pPr>
        <w:ind w:left="755" w:hanging="360"/>
      </w:p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7"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9"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331F5"/>
    <w:multiLevelType w:val="hybridMultilevel"/>
    <w:tmpl w:val="EC82F25C"/>
    <w:lvl w:ilvl="0" w:tplc="68445638">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73B3FD7"/>
    <w:multiLevelType w:val="hybridMultilevel"/>
    <w:tmpl w:val="4FCCD32E"/>
    <w:lvl w:ilvl="0" w:tplc="EB2690E4">
      <w:start w:val="1"/>
      <w:numFmt w:val="decimal"/>
      <w:lvlText w:val="%1."/>
      <w:lvlJc w:val="left"/>
      <w:pPr>
        <w:ind w:left="720" w:hanging="360"/>
      </w:pPr>
      <w:rPr>
        <w:rFonts w:ascii="Times New Roman" w:eastAsia="Calibri"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712344893">
    <w:abstractNumId w:val="16"/>
  </w:num>
  <w:num w:numId="2" w16cid:durableId="932131581">
    <w:abstractNumId w:val="15"/>
  </w:num>
  <w:num w:numId="3" w16cid:durableId="1619332786">
    <w:abstractNumId w:val="17"/>
  </w:num>
  <w:num w:numId="4" w16cid:durableId="1502549054">
    <w:abstractNumId w:val="2"/>
  </w:num>
  <w:num w:numId="5" w16cid:durableId="1052147479">
    <w:abstractNumId w:val="4"/>
  </w:num>
  <w:num w:numId="6" w16cid:durableId="309411299">
    <w:abstractNumId w:val="0"/>
  </w:num>
  <w:num w:numId="7" w16cid:durableId="648948794">
    <w:abstractNumId w:val="8"/>
  </w:num>
  <w:num w:numId="8" w16cid:durableId="790318270">
    <w:abstractNumId w:val="11"/>
  </w:num>
  <w:num w:numId="9" w16cid:durableId="351537401">
    <w:abstractNumId w:val="18"/>
  </w:num>
  <w:num w:numId="10" w16cid:durableId="392699821">
    <w:abstractNumId w:val="9"/>
  </w:num>
  <w:num w:numId="11" w16cid:durableId="1000083785">
    <w:abstractNumId w:val="19"/>
  </w:num>
  <w:num w:numId="12" w16cid:durableId="1321344017">
    <w:abstractNumId w:val="13"/>
  </w:num>
  <w:num w:numId="13" w16cid:durableId="49620565">
    <w:abstractNumId w:val="12"/>
  </w:num>
  <w:num w:numId="14" w16cid:durableId="406348896">
    <w:abstractNumId w:val="14"/>
  </w:num>
  <w:num w:numId="15" w16cid:durableId="2057510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8235644">
    <w:abstractNumId w:val="7"/>
  </w:num>
  <w:num w:numId="17" w16cid:durableId="741368892">
    <w:abstractNumId w:val="7"/>
  </w:num>
  <w:num w:numId="18" w16cid:durableId="1134448973">
    <w:abstractNumId w:val="10"/>
  </w:num>
  <w:num w:numId="19" w16cid:durableId="1478186804">
    <w:abstractNumId w:val="6"/>
  </w:num>
  <w:num w:numId="20" w16cid:durableId="1987005926">
    <w:abstractNumId w:val="1"/>
  </w:num>
  <w:num w:numId="21" w16cid:durableId="131680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428A"/>
    <w:rsid w:val="00015942"/>
    <w:rsid w:val="00016435"/>
    <w:rsid w:val="00017566"/>
    <w:rsid w:val="000202E8"/>
    <w:rsid w:val="00023010"/>
    <w:rsid w:val="00023D8B"/>
    <w:rsid w:val="000240C4"/>
    <w:rsid w:val="00030D25"/>
    <w:rsid w:val="00030DBB"/>
    <w:rsid w:val="0003188A"/>
    <w:rsid w:val="00032985"/>
    <w:rsid w:val="00033CEB"/>
    <w:rsid w:val="00044CAB"/>
    <w:rsid w:val="00046DFE"/>
    <w:rsid w:val="00050427"/>
    <w:rsid w:val="00053271"/>
    <w:rsid w:val="00053D41"/>
    <w:rsid w:val="00055508"/>
    <w:rsid w:val="00060B0B"/>
    <w:rsid w:val="0006158F"/>
    <w:rsid w:val="00062518"/>
    <w:rsid w:val="00063152"/>
    <w:rsid w:val="000640C7"/>
    <w:rsid w:val="00066215"/>
    <w:rsid w:val="000671F1"/>
    <w:rsid w:val="00070B21"/>
    <w:rsid w:val="00070ED6"/>
    <w:rsid w:val="00070EF3"/>
    <w:rsid w:val="00073EAB"/>
    <w:rsid w:val="00077247"/>
    <w:rsid w:val="00081BC9"/>
    <w:rsid w:val="000844E7"/>
    <w:rsid w:val="000909EB"/>
    <w:rsid w:val="00095A64"/>
    <w:rsid w:val="00095B14"/>
    <w:rsid w:val="00096A65"/>
    <w:rsid w:val="000A0E20"/>
    <w:rsid w:val="000A3FD2"/>
    <w:rsid w:val="000B19E9"/>
    <w:rsid w:val="000B1AF5"/>
    <w:rsid w:val="000B2D7C"/>
    <w:rsid w:val="000B7125"/>
    <w:rsid w:val="000C3443"/>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1647B"/>
    <w:rsid w:val="00124A1B"/>
    <w:rsid w:val="00140A0B"/>
    <w:rsid w:val="00143277"/>
    <w:rsid w:val="001445E4"/>
    <w:rsid w:val="00150823"/>
    <w:rsid w:val="00150B26"/>
    <w:rsid w:val="00156FCF"/>
    <w:rsid w:val="00157004"/>
    <w:rsid w:val="001577E4"/>
    <w:rsid w:val="00162289"/>
    <w:rsid w:val="001661A8"/>
    <w:rsid w:val="001705CF"/>
    <w:rsid w:val="00175B04"/>
    <w:rsid w:val="0018373E"/>
    <w:rsid w:val="0018469B"/>
    <w:rsid w:val="00184FC3"/>
    <w:rsid w:val="00186511"/>
    <w:rsid w:val="0019085C"/>
    <w:rsid w:val="00191782"/>
    <w:rsid w:val="00191A6E"/>
    <w:rsid w:val="001923DD"/>
    <w:rsid w:val="00194702"/>
    <w:rsid w:val="001A0E47"/>
    <w:rsid w:val="001A5935"/>
    <w:rsid w:val="001C14FD"/>
    <w:rsid w:val="001C2F60"/>
    <w:rsid w:val="001C65B5"/>
    <w:rsid w:val="001D0FA0"/>
    <w:rsid w:val="001D3C04"/>
    <w:rsid w:val="001D6507"/>
    <w:rsid w:val="001D6F4A"/>
    <w:rsid w:val="001E4110"/>
    <w:rsid w:val="001E4CE7"/>
    <w:rsid w:val="001E6433"/>
    <w:rsid w:val="001E6748"/>
    <w:rsid w:val="001E67A5"/>
    <w:rsid w:val="001E754D"/>
    <w:rsid w:val="001F4D9A"/>
    <w:rsid w:val="001F68A7"/>
    <w:rsid w:val="001F7C29"/>
    <w:rsid w:val="0020434A"/>
    <w:rsid w:val="00207E63"/>
    <w:rsid w:val="00211B2A"/>
    <w:rsid w:val="00212ADD"/>
    <w:rsid w:val="00224286"/>
    <w:rsid w:val="0022435B"/>
    <w:rsid w:val="0023024D"/>
    <w:rsid w:val="00233335"/>
    <w:rsid w:val="00234AE2"/>
    <w:rsid w:val="002367D1"/>
    <w:rsid w:val="00241069"/>
    <w:rsid w:val="00241C69"/>
    <w:rsid w:val="0024541C"/>
    <w:rsid w:val="00245F52"/>
    <w:rsid w:val="00247BB5"/>
    <w:rsid w:val="00256BE3"/>
    <w:rsid w:val="00266F48"/>
    <w:rsid w:val="00270AE5"/>
    <w:rsid w:val="00271242"/>
    <w:rsid w:val="0027186C"/>
    <w:rsid w:val="002730D8"/>
    <w:rsid w:val="00280FCB"/>
    <w:rsid w:val="00281473"/>
    <w:rsid w:val="0028232B"/>
    <w:rsid w:val="00282D46"/>
    <w:rsid w:val="0028350C"/>
    <w:rsid w:val="002923A6"/>
    <w:rsid w:val="002929F7"/>
    <w:rsid w:val="00294FB1"/>
    <w:rsid w:val="00297D19"/>
    <w:rsid w:val="002A27A2"/>
    <w:rsid w:val="002A2BDD"/>
    <w:rsid w:val="002B1648"/>
    <w:rsid w:val="002B31F3"/>
    <w:rsid w:val="002C57F4"/>
    <w:rsid w:val="002C7036"/>
    <w:rsid w:val="002C7407"/>
    <w:rsid w:val="002C79BA"/>
    <w:rsid w:val="002D0B08"/>
    <w:rsid w:val="002D1CED"/>
    <w:rsid w:val="002D4D56"/>
    <w:rsid w:val="002D6D79"/>
    <w:rsid w:val="002D7C38"/>
    <w:rsid w:val="002E1B28"/>
    <w:rsid w:val="002E3BAC"/>
    <w:rsid w:val="002F3746"/>
    <w:rsid w:val="002F4AAE"/>
    <w:rsid w:val="00316D2C"/>
    <w:rsid w:val="003214A4"/>
    <w:rsid w:val="003245DF"/>
    <w:rsid w:val="00330974"/>
    <w:rsid w:val="00330EC9"/>
    <w:rsid w:val="00333A39"/>
    <w:rsid w:val="00344A49"/>
    <w:rsid w:val="0034540C"/>
    <w:rsid w:val="00347C65"/>
    <w:rsid w:val="003529B3"/>
    <w:rsid w:val="003652F0"/>
    <w:rsid w:val="00366151"/>
    <w:rsid w:val="0036662A"/>
    <w:rsid w:val="003865B8"/>
    <w:rsid w:val="00391584"/>
    <w:rsid w:val="0039259D"/>
    <w:rsid w:val="003931D9"/>
    <w:rsid w:val="00393F28"/>
    <w:rsid w:val="003940F3"/>
    <w:rsid w:val="003943DC"/>
    <w:rsid w:val="00397AD7"/>
    <w:rsid w:val="003A1AD9"/>
    <w:rsid w:val="003A200A"/>
    <w:rsid w:val="003A332E"/>
    <w:rsid w:val="003B2FAE"/>
    <w:rsid w:val="003B6643"/>
    <w:rsid w:val="003B6A9B"/>
    <w:rsid w:val="003B726A"/>
    <w:rsid w:val="003C6054"/>
    <w:rsid w:val="003D4E0E"/>
    <w:rsid w:val="003D4EB4"/>
    <w:rsid w:val="003E09D5"/>
    <w:rsid w:val="003E77A4"/>
    <w:rsid w:val="003F5676"/>
    <w:rsid w:val="003F7DF8"/>
    <w:rsid w:val="0040628C"/>
    <w:rsid w:val="00411C08"/>
    <w:rsid w:val="004136A8"/>
    <w:rsid w:val="00414392"/>
    <w:rsid w:val="00417DC7"/>
    <w:rsid w:val="00421AD5"/>
    <w:rsid w:val="004322A4"/>
    <w:rsid w:val="004378EE"/>
    <w:rsid w:val="00447D74"/>
    <w:rsid w:val="00452AAF"/>
    <w:rsid w:val="00452FA3"/>
    <w:rsid w:val="00455305"/>
    <w:rsid w:val="004619C0"/>
    <w:rsid w:val="004631DA"/>
    <w:rsid w:val="004639C4"/>
    <w:rsid w:val="00475D1E"/>
    <w:rsid w:val="00475E13"/>
    <w:rsid w:val="00482B56"/>
    <w:rsid w:val="004853EA"/>
    <w:rsid w:val="00485479"/>
    <w:rsid w:val="00485F22"/>
    <w:rsid w:val="00487204"/>
    <w:rsid w:val="004876E5"/>
    <w:rsid w:val="004923DB"/>
    <w:rsid w:val="004A0897"/>
    <w:rsid w:val="004A42BF"/>
    <w:rsid w:val="004A4EB8"/>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6B69"/>
    <w:rsid w:val="004F7609"/>
    <w:rsid w:val="005004F3"/>
    <w:rsid w:val="005054C5"/>
    <w:rsid w:val="00510A85"/>
    <w:rsid w:val="005206B0"/>
    <w:rsid w:val="00520904"/>
    <w:rsid w:val="00527115"/>
    <w:rsid w:val="0053023F"/>
    <w:rsid w:val="005303DC"/>
    <w:rsid w:val="00530480"/>
    <w:rsid w:val="0053182B"/>
    <w:rsid w:val="005376D6"/>
    <w:rsid w:val="0054453C"/>
    <w:rsid w:val="00545CE9"/>
    <w:rsid w:val="00547C74"/>
    <w:rsid w:val="005516A5"/>
    <w:rsid w:val="005533C2"/>
    <w:rsid w:val="00563838"/>
    <w:rsid w:val="00563B3D"/>
    <w:rsid w:val="005671CE"/>
    <w:rsid w:val="00571253"/>
    <w:rsid w:val="0057371A"/>
    <w:rsid w:val="0058110C"/>
    <w:rsid w:val="00581700"/>
    <w:rsid w:val="00581B51"/>
    <w:rsid w:val="005903F9"/>
    <w:rsid w:val="00593EE0"/>
    <w:rsid w:val="005953D7"/>
    <w:rsid w:val="00597AFF"/>
    <w:rsid w:val="005A0AC7"/>
    <w:rsid w:val="005A3FE6"/>
    <w:rsid w:val="005A4A5F"/>
    <w:rsid w:val="005A640D"/>
    <w:rsid w:val="005A771F"/>
    <w:rsid w:val="005B09A6"/>
    <w:rsid w:val="005B1293"/>
    <w:rsid w:val="005B79FB"/>
    <w:rsid w:val="005B7C13"/>
    <w:rsid w:val="005C11A9"/>
    <w:rsid w:val="005C492A"/>
    <w:rsid w:val="005C5B4A"/>
    <w:rsid w:val="005C5ECB"/>
    <w:rsid w:val="005C6149"/>
    <w:rsid w:val="005D1053"/>
    <w:rsid w:val="005E0604"/>
    <w:rsid w:val="005E1221"/>
    <w:rsid w:val="005E5744"/>
    <w:rsid w:val="005F038F"/>
    <w:rsid w:val="005F0F88"/>
    <w:rsid w:val="005F3877"/>
    <w:rsid w:val="00600C37"/>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4720A"/>
    <w:rsid w:val="00647DE4"/>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A78E4"/>
    <w:rsid w:val="006B0D85"/>
    <w:rsid w:val="006B0DD6"/>
    <w:rsid w:val="006B526A"/>
    <w:rsid w:val="006B75D2"/>
    <w:rsid w:val="006C0163"/>
    <w:rsid w:val="006D1718"/>
    <w:rsid w:val="006E05A9"/>
    <w:rsid w:val="006E0B8B"/>
    <w:rsid w:val="006E16C9"/>
    <w:rsid w:val="006E67AE"/>
    <w:rsid w:val="006E798D"/>
    <w:rsid w:val="006E7C89"/>
    <w:rsid w:val="006F23CE"/>
    <w:rsid w:val="0070221E"/>
    <w:rsid w:val="007050CA"/>
    <w:rsid w:val="007070F4"/>
    <w:rsid w:val="00707C95"/>
    <w:rsid w:val="00710DD2"/>
    <w:rsid w:val="00721965"/>
    <w:rsid w:val="0072623F"/>
    <w:rsid w:val="007263AF"/>
    <w:rsid w:val="00727011"/>
    <w:rsid w:val="007350FF"/>
    <w:rsid w:val="00737325"/>
    <w:rsid w:val="007410B0"/>
    <w:rsid w:val="00741C32"/>
    <w:rsid w:val="00742585"/>
    <w:rsid w:val="00747BC9"/>
    <w:rsid w:val="00751DDD"/>
    <w:rsid w:val="007537EC"/>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428A"/>
    <w:rsid w:val="008359DC"/>
    <w:rsid w:val="00851DCB"/>
    <w:rsid w:val="0085384B"/>
    <w:rsid w:val="0085430B"/>
    <w:rsid w:val="00856EDA"/>
    <w:rsid w:val="008576A6"/>
    <w:rsid w:val="00865C80"/>
    <w:rsid w:val="008663E3"/>
    <w:rsid w:val="00880909"/>
    <w:rsid w:val="008820BA"/>
    <w:rsid w:val="00885C3D"/>
    <w:rsid w:val="00887B84"/>
    <w:rsid w:val="00890A7C"/>
    <w:rsid w:val="008923B9"/>
    <w:rsid w:val="00894683"/>
    <w:rsid w:val="008A3E24"/>
    <w:rsid w:val="008A53CB"/>
    <w:rsid w:val="008A5A0D"/>
    <w:rsid w:val="008B3037"/>
    <w:rsid w:val="008C3DAE"/>
    <w:rsid w:val="008C4CE9"/>
    <w:rsid w:val="008C5A55"/>
    <w:rsid w:val="008D4415"/>
    <w:rsid w:val="008D444C"/>
    <w:rsid w:val="008D55D4"/>
    <w:rsid w:val="008D5F38"/>
    <w:rsid w:val="008D7278"/>
    <w:rsid w:val="008E2069"/>
    <w:rsid w:val="008E3A92"/>
    <w:rsid w:val="008E3C68"/>
    <w:rsid w:val="008E472A"/>
    <w:rsid w:val="008F38C3"/>
    <w:rsid w:val="00912A72"/>
    <w:rsid w:val="009220EC"/>
    <w:rsid w:val="00925C3E"/>
    <w:rsid w:val="00926630"/>
    <w:rsid w:val="00933886"/>
    <w:rsid w:val="00934F45"/>
    <w:rsid w:val="009422B0"/>
    <w:rsid w:val="00947C9D"/>
    <w:rsid w:val="009546EF"/>
    <w:rsid w:val="00954EEB"/>
    <w:rsid w:val="00956C1E"/>
    <w:rsid w:val="0097341D"/>
    <w:rsid w:val="00987F43"/>
    <w:rsid w:val="00990EB8"/>
    <w:rsid w:val="009913E3"/>
    <w:rsid w:val="009924A0"/>
    <w:rsid w:val="0099342A"/>
    <w:rsid w:val="009961A8"/>
    <w:rsid w:val="009A1219"/>
    <w:rsid w:val="009A3E23"/>
    <w:rsid w:val="009A662F"/>
    <w:rsid w:val="009B2BC0"/>
    <w:rsid w:val="009B3957"/>
    <w:rsid w:val="009B4714"/>
    <w:rsid w:val="009B7A40"/>
    <w:rsid w:val="009C1904"/>
    <w:rsid w:val="009C336C"/>
    <w:rsid w:val="009C687C"/>
    <w:rsid w:val="009D3B8E"/>
    <w:rsid w:val="009D3BAD"/>
    <w:rsid w:val="009E1857"/>
    <w:rsid w:val="009E69E2"/>
    <w:rsid w:val="009E7F18"/>
    <w:rsid w:val="009F0535"/>
    <w:rsid w:val="00A00DB1"/>
    <w:rsid w:val="00A05F9C"/>
    <w:rsid w:val="00A076DC"/>
    <w:rsid w:val="00A127C6"/>
    <w:rsid w:val="00A24DB0"/>
    <w:rsid w:val="00A26CB7"/>
    <w:rsid w:val="00A2721F"/>
    <w:rsid w:val="00A31C11"/>
    <w:rsid w:val="00A323E0"/>
    <w:rsid w:val="00A34406"/>
    <w:rsid w:val="00A34915"/>
    <w:rsid w:val="00A3535C"/>
    <w:rsid w:val="00A35603"/>
    <w:rsid w:val="00A37D8F"/>
    <w:rsid w:val="00A4128B"/>
    <w:rsid w:val="00A442E9"/>
    <w:rsid w:val="00A4712C"/>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91F0C"/>
    <w:rsid w:val="00A937EF"/>
    <w:rsid w:val="00A9443D"/>
    <w:rsid w:val="00AA30C9"/>
    <w:rsid w:val="00AA3EF8"/>
    <w:rsid w:val="00AB4283"/>
    <w:rsid w:val="00AC4B6C"/>
    <w:rsid w:val="00AC6352"/>
    <w:rsid w:val="00AC644B"/>
    <w:rsid w:val="00AC73C3"/>
    <w:rsid w:val="00AD5789"/>
    <w:rsid w:val="00AD6D50"/>
    <w:rsid w:val="00AE3CE8"/>
    <w:rsid w:val="00AE4ABF"/>
    <w:rsid w:val="00AE6787"/>
    <w:rsid w:val="00AF029B"/>
    <w:rsid w:val="00AF0898"/>
    <w:rsid w:val="00AF0A0D"/>
    <w:rsid w:val="00AF1F99"/>
    <w:rsid w:val="00AF25D0"/>
    <w:rsid w:val="00AF2A89"/>
    <w:rsid w:val="00AF7AB5"/>
    <w:rsid w:val="00B00E19"/>
    <w:rsid w:val="00B02A93"/>
    <w:rsid w:val="00B058B6"/>
    <w:rsid w:val="00B0591B"/>
    <w:rsid w:val="00B06DF8"/>
    <w:rsid w:val="00B1094E"/>
    <w:rsid w:val="00B14AA0"/>
    <w:rsid w:val="00B259E5"/>
    <w:rsid w:val="00B26628"/>
    <w:rsid w:val="00B3130A"/>
    <w:rsid w:val="00B33BD8"/>
    <w:rsid w:val="00B42F3A"/>
    <w:rsid w:val="00B4351C"/>
    <w:rsid w:val="00B44CD9"/>
    <w:rsid w:val="00B46548"/>
    <w:rsid w:val="00B47BB9"/>
    <w:rsid w:val="00B51113"/>
    <w:rsid w:val="00B53DCE"/>
    <w:rsid w:val="00B66D73"/>
    <w:rsid w:val="00B67720"/>
    <w:rsid w:val="00B70A77"/>
    <w:rsid w:val="00B7378D"/>
    <w:rsid w:val="00B748DF"/>
    <w:rsid w:val="00B75709"/>
    <w:rsid w:val="00B87121"/>
    <w:rsid w:val="00B905D0"/>
    <w:rsid w:val="00B92508"/>
    <w:rsid w:val="00B92EC5"/>
    <w:rsid w:val="00B9676C"/>
    <w:rsid w:val="00BA08B7"/>
    <w:rsid w:val="00BA3F54"/>
    <w:rsid w:val="00BA57E5"/>
    <w:rsid w:val="00BA694E"/>
    <w:rsid w:val="00BB138B"/>
    <w:rsid w:val="00BC5BDA"/>
    <w:rsid w:val="00BD0780"/>
    <w:rsid w:val="00BD17AE"/>
    <w:rsid w:val="00BE1E8F"/>
    <w:rsid w:val="00BE6468"/>
    <w:rsid w:val="00BE6CC1"/>
    <w:rsid w:val="00BF3D8D"/>
    <w:rsid w:val="00BF587A"/>
    <w:rsid w:val="00BF7592"/>
    <w:rsid w:val="00C02E76"/>
    <w:rsid w:val="00C13806"/>
    <w:rsid w:val="00C1798F"/>
    <w:rsid w:val="00C2262B"/>
    <w:rsid w:val="00C23560"/>
    <w:rsid w:val="00C25577"/>
    <w:rsid w:val="00C25B44"/>
    <w:rsid w:val="00C27ED7"/>
    <w:rsid w:val="00C3317D"/>
    <w:rsid w:val="00C33E49"/>
    <w:rsid w:val="00C35591"/>
    <w:rsid w:val="00C35A56"/>
    <w:rsid w:val="00C40546"/>
    <w:rsid w:val="00C41BD5"/>
    <w:rsid w:val="00C41EDB"/>
    <w:rsid w:val="00C42FA7"/>
    <w:rsid w:val="00C469DB"/>
    <w:rsid w:val="00C52B5C"/>
    <w:rsid w:val="00C535B1"/>
    <w:rsid w:val="00C5774B"/>
    <w:rsid w:val="00C6260A"/>
    <w:rsid w:val="00C660AF"/>
    <w:rsid w:val="00C728D0"/>
    <w:rsid w:val="00C72AC6"/>
    <w:rsid w:val="00C730D6"/>
    <w:rsid w:val="00C738FC"/>
    <w:rsid w:val="00C7415C"/>
    <w:rsid w:val="00C81DDD"/>
    <w:rsid w:val="00C85D29"/>
    <w:rsid w:val="00C916C8"/>
    <w:rsid w:val="00C94B40"/>
    <w:rsid w:val="00C96B29"/>
    <w:rsid w:val="00C97E60"/>
    <w:rsid w:val="00CA08AD"/>
    <w:rsid w:val="00CA2E85"/>
    <w:rsid w:val="00CA3ADD"/>
    <w:rsid w:val="00CA4007"/>
    <w:rsid w:val="00CA56B8"/>
    <w:rsid w:val="00CA6AE7"/>
    <w:rsid w:val="00CB2043"/>
    <w:rsid w:val="00CB2790"/>
    <w:rsid w:val="00CB505F"/>
    <w:rsid w:val="00CB7939"/>
    <w:rsid w:val="00CC5451"/>
    <w:rsid w:val="00CE3166"/>
    <w:rsid w:val="00CE3F94"/>
    <w:rsid w:val="00CE53AB"/>
    <w:rsid w:val="00CF169A"/>
    <w:rsid w:val="00CF1DFC"/>
    <w:rsid w:val="00CF2C1B"/>
    <w:rsid w:val="00CF2C5D"/>
    <w:rsid w:val="00CF78C6"/>
    <w:rsid w:val="00CF7C87"/>
    <w:rsid w:val="00D0429B"/>
    <w:rsid w:val="00D16B4A"/>
    <w:rsid w:val="00D16C72"/>
    <w:rsid w:val="00D22BEC"/>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5FA7"/>
    <w:rsid w:val="00D85ACE"/>
    <w:rsid w:val="00DA291B"/>
    <w:rsid w:val="00DB3586"/>
    <w:rsid w:val="00DB5C6B"/>
    <w:rsid w:val="00DC11E3"/>
    <w:rsid w:val="00DC5385"/>
    <w:rsid w:val="00DC769B"/>
    <w:rsid w:val="00DC7728"/>
    <w:rsid w:val="00DC7AB7"/>
    <w:rsid w:val="00DD16A8"/>
    <w:rsid w:val="00DD3616"/>
    <w:rsid w:val="00DD622B"/>
    <w:rsid w:val="00DD6CB9"/>
    <w:rsid w:val="00DE1BD0"/>
    <w:rsid w:val="00DE27F8"/>
    <w:rsid w:val="00DE55A6"/>
    <w:rsid w:val="00DE693B"/>
    <w:rsid w:val="00DE6A01"/>
    <w:rsid w:val="00DF1E55"/>
    <w:rsid w:val="00E010D9"/>
    <w:rsid w:val="00E14905"/>
    <w:rsid w:val="00E17087"/>
    <w:rsid w:val="00E24456"/>
    <w:rsid w:val="00E307F8"/>
    <w:rsid w:val="00E30E83"/>
    <w:rsid w:val="00E314FC"/>
    <w:rsid w:val="00E375AA"/>
    <w:rsid w:val="00E409B4"/>
    <w:rsid w:val="00E42B0B"/>
    <w:rsid w:val="00E47083"/>
    <w:rsid w:val="00E47926"/>
    <w:rsid w:val="00E529EF"/>
    <w:rsid w:val="00E52C47"/>
    <w:rsid w:val="00E53919"/>
    <w:rsid w:val="00E53DCA"/>
    <w:rsid w:val="00E574EC"/>
    <w:rsid w:val="00E6399A"/>
    <w:rsid w:val="00E72F4B"/>
    <w:rsid w:val="00E8185E"/>
    <w:rsid w:val="00E8785C"/>
    <w:rsid w:val="00E87AF4"/>
    <w:rsid w:val="00E9224C"/>
    <w:rsid w:val="00E95B1A"/>
    <w:rsid w:val="00EA47FF"/>
    <w:rsid w:val="00EB54F3"/>
    <w:rsid w:val="00EB6DB9"/>
    <w:rsid w:val="00EB7F68"/>
    <w:rsid w:val="00EC036E"/>
    <w:rsid w:val="00EC0828"/>
    <w:rsid w:val="00EC38AE"/>
    <w:rsid w:val="00EC641A"/>
    <w:rsid w:val="00EC6B07"/>
    <w:rsid w:val="00ED0AC3"/>
    <w:rsid w:val="00ED76BF"/>
    <w:rsid w:val="00EE0D2D"/>
    <w:rsid w:val="00EE5396"/>
    <w:rsid w:val="00EE6176"/>
    <w:rsid w:val="00EF0A83"/>
    <w:rsid w:val="00EF324D"/>
    <w:rsid w:val="00EF52E1"/>
    <w:rsid w:val="00EF5D3D"/>
    <w:rsid w:val="00EF6363"/>
    <w:rsid w:val="00EF6B43"/>
    <w:rsid w:val="00F047A9"/>
    <w:rsid w:val="00F063F4"/>
    <w:rsid w:val="00F07C3A"/>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0EBC"/>
    <w:rsid w:val="00FA1112"/>
    <w:rsid w:val="00FA1A39"/>
    <w:rsid w:val="00FA1C73"/>
    <w:rsid w:val="00FA2FE9"/>
    <w:rsid w:val="00FB2A58"/>
    <w:rsid w:val="00FB32DA"/>
    <w:rsid w:val="00FC1DE0"/>
    <w:rsid w:val="00FC48EB"/>
    <w:rsid w:val="00FD0EAB"/>
    <w:rsid w:val="00FD11AD"/>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styleId="Neapdorotaspaminjimas">
    <w:name w:val="Unresolved Mention"/>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C1798F"/>
    <w:rPr>
      <w:rFonts w:eastAsia="Times New Roman"/>
      <w:szCs w:val="20"/>
      <w:lang w:eastAsia="lt-LT"/>
    </w:rPr>
  </w:style>
  <w:style w:type="paragraph" w:styleId="Antrats">
    <w:name w:val="header"/>
    <w:basedOn w:val="prastasis"/>
    <w:link w:val="AntratsDiagrama"/>
    <w:uiPriority w:val="99"/>
    <w:unhideWhenUsed/>
    <w:rsid w:val="003940F3"/>
    <w:pPr>
      <w:tabs>
        <w:tab w:val="center" w:pos="4819"/>
        <w:tab w:val="right" w:pos="9638"/>
      </w:tabs>
    </w:pPr>
  </w:style>
  <w:style w:type="character" w:customStyle="1" w:styleId="AntratsDiagrama">
    <w:name w:val="Antraštės Diagrama"/>
    <w:basedOn w:val="Numatytasispastraiposriftas"/>
    <w:link w:val="Antrats"/>
    <w:uiPriority w:val="99"/>
    <w:rsid w:val="003940F3"/>
    <w:rPr>
      <w:rFonts w:eastAsia="Times New Roman"/>
      <w:szCs w:val="20"/>
      <w:lang w:eastAsia="lt-LT"/>
    </w:rPr>
  </w:style>
  <w:style w:type="paragraph" w:styleId="Porat">
    <w:name w:val="footer"/>
    <w:basedOn w:val="prastasis"/>
    <w:link w:val="PoratDiagrama"/>
    <w:uiPriority w:val="99"/>
    <w:unhideWhenUsed/>
    <w:rsid w:val="003940F3"/>
    <w:pPr>
      <w:tabs>
        <w:tab w:val="center" w:pos="4819"/>
        <w:tab w:val="right" w:pos="9638"/>
      </w:tabs>
    </w:pPr>
  </w:style>
  <w:style w:type="character" w:customStyle="1" w:styleId="PoratDiagrama">
    <w:name w:val="Poraštė Diagrama"/>
    <w:basedOn w:val="Numatytasispastraiposriftas"/>
    <w:link w:val="Porat"/>
    <w:uiPriority w:val="99"/>
    <w:rsid w:val="003940F3"/>
    <w:rPr>
      <w:rFonts w:eastAsia="Times New Roman"/>
      <w:szCs w:val="20"/>
      <w:lang w:eastAsia="lt-LT"/>
    </w:rPr>
  </w:style>
  <w:style w:type="paragraph" w:customStyle="1" w:styleId="DiagramaDiagrama">
    <w:name w:val="Diagrama Diagrama"/>
    <w:basedOn w:val="prastasis"/>
    <w:rsid w:val="009C336C"/>
    <w:pPr>
      <w:spacing w:after="160" w:line="240" w:lineRule="exact"/>
    </w:pPr>
    <w:rPr>
      <w:rFonts w:ascii="Tahoma" w:hAnsi="Tahoma"/>
      <w:sz w:val="20"/>
      <w:lang w:val="en-US" w:eastAsia="en-US"/>
    </w:rPr>
  </w:style>
  <w:style w:type="paragraph" w:styleId="Betarp">
    <w:name w:val="No Spacing"/>
    <w:uiPriority w:val="1"/>
    <w:qFormat/>
    <w:rsid w:val="009C336C"/>
    <w:pPr>
      <w:spacing w:after="0"/>
      <w:jc w:val="left"/>
    </w:pPr>
    <w:rPr>
      <w:rFonts w:ascii="Calibri" w:eastAsia="Calibri" w:hAnsi="Calibri"/>
      <w:sz w:val="22"/>
    </w:rPr>
  </w:style>
  <w:style w:type="paragraph" w:styleId="Puslapioinaostekstas">
    <w:name w:val="footnote text"/>
    <w:basedOn w:val="prastasis"/>
    <w:link w:val="PuslapioinaostekstasDiagrama"/>
    <w:uiPriority w:val="99"/>
    <w:semiHidden/>
    <w:unhideWhenUsed/>
    <w:rsid w:val="00BA08B7"/>
    <w:rPr>
      <w:sz w:val="20"/>
    </w:rPr>
  </w:style>
  <w:style w:type="character" w:customStyle="1" w:styleId="PuslapioinaostekstasDiagrama">
    <w:name w:val="Puslapio išnašos tekstas Diagrama"/>
    <w:basedOn w:val="Numatytasispastraiposriftas"/>
    <w:link w:val="Puslapioinaostekstas"/>
    <w:uiPriority w:val="99"/>
    <w:semiHidden/>
    <w:rsid w:val="00BA08B7"/>
    <w:rPr>
      <w:rFonts w:eastAsia="Times New Roman"/>
      <w:sz w:val="20"/>
      <w:szCs w:val="20"/>
      <w:lang w:eastAsia="lt-LT"/>
    </w:rPr>
  </w:style>
  <w:style w:type="character" w:styleId="Puslapioinaosnuoroda">
    <w:name w:val="footnote reference"/>
    <w:basedOn w:val="Numatytasispastraiposriftas"/>
    <w:uiPriority w:val="99"/>
    <w:semiHidden/>
    <w:unhideWhenUsed/>
    <w:rsid w:val="00BA0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6250">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88180771">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625815203">
      <w:bodyDiv w:val="1"/>
      <w:marLeft w:val="0"/>
      <w:marRight w:val="0"/>
      <w:marTop w:val="0"/>
      <w:marBottom w:val="0"/>
      <w:divBdr>
        <w:top w:val="none" w:sz="0" w:space="0" w:color="auto"/>
        <w:left w:val="none" w:sz="0" w:space="0" w:color="auto"/>
        <w:bottom w:val="none" w:sz="0" w:space="0" w:color="auto"/>
        <w:right w:val="none" w:sz="0" w:space="0" w:color="auto"/>
      </w:divBdr>
    </w:div>
    <w:div w:id="629749318">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50167886">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312767">
      <w:bodyDiv w:val="1"/>
      <w:marLeft w:val="0"/>
      <w:marRight w:val="0"/>
      <w:marTop w:val="0"/>
      <w:marBottom w:val="0"/>
      <w:divBdr>
        <w:top w:val="none" w:sz="0" w:space="0" w:color="auto"/>
        <w:left w:val="none" w:sz="0" w:space="0" w:color="auto"/>
        <w:bottom w:val="none" w:sz="0" w:space="0" w:color="auto"/>
        <w:right w:val="none" w:sz="0" w:space="0" w:color="auto"/>
      </w:divBdr>
    </w:div>
    <w:div w:id="1181702228">
      <w:bodyDiv w:val="1"/>
      <w:marLeft w:val="0"/>
      <w:marRight w:val="0"/>
      <w:marTop w:val="0"/>
      <w:marBottom w:val="0"/>
      <w:divBdr>
        <w:top w:val="none" w:sz="0" w:space="0" w:color="auto"/>
        <w:left w:val="none" w:sz="0" w:space="0" w:color="auto"/>
        <w:bottom w:val="none" w:sz="0" w:space="0" w:color="auto"/>
        <w:right w:val="none" w:sz="0" w:space="0" w:color="auto"/>
      </w:divBdr>
    </w:div>
    <w:div w:id="1332484877">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91410453">
      <w:bodyDiv w:val="1"/>
      <w:marLeft w:val="0"/>
      <w:marRight w:val="0"/>
      <w:marTop w:val="0"/>
      <w:marBottom w:val="0"/>
      <w:divBdr>
        <w:top w:val="none" w:sz="0" w:space="0" w:color="auto"/>
        <w:left w:val="none" w:sz="0" w:space="0" w:color="auto"/>
        <w:bottom w:val="none" w:sz="0" w:space="0" w:color="auto"/>
        <w:right w:val="none" w:sz="0" w:space="0" w:color="auto"/>
      </w:divBdr>
    </w:div>
    <w:div w:id="1516652388">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904635921">
      <w:bodyDiv w:val="1"/>
      <w:marLeft w:val="0"/>
      <w:marRight w:val="0"/>
      <w:marTop w:val="0"/>
      <w:marBottom w:val="0"/>
      <w:divBdr>
        <w:top w:val="none" w:sz="0" w:space="0" w:color="auto"/>
        <w:left w:val="none" w:sz="0" w:space="0" w:color="auto"/>
        <w:bottom w:val="none" w:sz="0" w:space="0" w:color="auto"/>
        <w:right w:val="none" w:sz="0" w:space="0" w:color="auto"/>
      </w:divBdr>
    </w:div>
    <w:div w:id="2052217749">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52024XC03209&amp;qid=173219726900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6021</Words>
  <Characters>3432</Characters>
  <Application>Microsoft Office Word</Application>
  <DocSecurity>4</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Asta Šivickienė</cp:lastModifiedBy>
  <cp:revision>2</cp:revision>
  <dcterms:created xsi:type="dcterms:W3CDTF">2025-11-04T07:01:00Z</dcterms:created>
  <dcterms:modified xsi:type="dcterms:W3CDTF">2025-11-04T07:01:00Z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