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B30" w14:textId="668788A7" w:rsidR="0032083B" w:rsidRDefault="0032083B" w:rsidP="0032083B">
      <w:pPr>
        <w:ind w:left="3888"/>
        <w:jc w:val="right"/>
        <w:rPr>
          <w:szCs w:val="24"/>
        </w:rPr>
      </w:pPr>
      <w:r>
        <w:rPr>
          <w:szCs w:val="24"/>
        </w:rPr>
        <w:t>Projekto lyginamasis variantas</w:t>
      </w:r>
    </w:p>
    <w:p w14:paraId="363258AC" w14:textId="77777777" w:rsidR="0032083B" w:rsidRDefault="0032083B" w:rsidP="00135DAC">
      <w:pPr>
        <w:ind w:left="3888"/>
        <w:jc w:val="both"/>
        <w:rPr>
          <w:szCs w:val="24"/>
        </w:rPr>
      </w:pPr>
    </w:p>
    <w:p w14:paraId="10AEC460" w14:textId="77777777" w:rsidR="0032083B" w:rsidRDefault="0032083B" w:rsidP="00135DAC">
      <w:pPr>
        <w:ind w:left="3888"/>
        <w:jc w:val="both"/>
        <w:rPr>
          <w:szCs w:val="24"/>
        </w:rPr>
      </w:pPr>
    </w:p>
    <w:p w14:paraId="7A7D1216" w14:textId="44807FAC" w:rsidR="00135DAC" w:rsidRDefault="00135DAC" w:rsidP="00135DAC">
      <w:pPr>
        <w:ind w:left="3888"/>
        <w:jc w:val="both"/>
        <w:rPr>
          <w:szCs w:val="24"/>
        </w:rPr>
      </w:pPr>
      <w:r>
        <w:rPr>
          <w:szCs w:val="24"/>
        </w:rPr>
        <w:t xml:space="preserve">2021 – 2030 </w:t>
      </w:r>
      <w:r w:rsidRPr="00135DAC">
        <w:rPr>
          <w:strike/>
          <w:szCs w:val="24"/>
        </w:rPr>
        <w:t>metų plėtros programos valdytojos Lietuvos Respublikos energetikos ministerijos</w:t>
      </w:r>
      <w:r w:rsidRPr="00014A49">
        <w:rPr>
          <w:szCs w:val="24"/>
        </w:rPr>
        <w:t xml:space="preserve"> </w:t>
      </w:r>
      <w:r w:rsidRPr="00135DAC">
        <w:rPr>
          <w:b/>
          <w:bCs/>
          <w:szCs w:val="24"/>
        </w:rPr>
        <w:t>m.</w:t>
      </w:r>
      <w:r>
        <w:rPr>
          <w:szCs w:val="24"/>
        </w:rPr>
        <w:t xml:space="preserve"> </w:t>
      </w:r>
      <w:r w:rsidRPr="00014A49">
        <w:rPr>
          <w:szCs w:val="24"/>
        </w:rPr>
        <w:t xml:space="preserve">energetikos plėtros programos pažangos priemonės </w:t>
      </w:r>
      <w:r>
        <w:rPr>
          <w:szCs w:val="24"/>
        </w:rPr>
        <w:t>N</w:t>
      </w:r>
      <w:r w:rsidRPr="00014A49">
        <w:rPr>
          <w:szCs w:val="24"/>
        </w:rPr>
        <w:t>r. 03-001-06-03-02 „</w:t>
      </w:r>
      <w:r>
        <w:rPr>
          <w:szCs w:val="24"/>
        </w:rPr>
        <w:t>D</w:t>
      </w:r>
      <w:r w:rsidRPr="00014A49">
        <w:rPr>
          <w:szCs w:val="24"/>
        </w:rPr>
        <w:t>idinti atsinaujinančių energijos išteklių dalį, užtikrinant atsinaujinančių išteklių integraciją į elektros tinklus“ veiklos</w:t>
      </w:r>
      <w:r w:rsidRPr="00014A49">
        <w:rPr>
          <w:rStyle w:val="normaltextrun"/>
          <w:rFonts w:eastAsiaTheme="majorEastAsia"/>
          <w:szCs w:val="24"/>
          <w:bdr w:val="none" w:sz="0" w:space="0" w:color="auto" w:frame="1"/>
        </w:rPr>
        <w:t xml:space="preserve"> „</w:t>
      </w:r>
      <w:r>
        <w:rPr>
          <w:szCs w:val="24"/>
        </w:rPr>
        <w:t>P</w:t>
      </w:r>
      <w:r w:rsidRPr="00014A49">
        <w:rPr>
          <w:szCs w:val="24"/>
        </w:rPr>
        <w:t xml:space="preserve">ažangiųjų energetikos sistemų skaitmeninio valdymo sistemų diegimas, pritaikant elektros energijos skirstomuosius tinklus </w:t>
      </w:r>
      <w:r>
        <w:rPr>
          <w:szCs w:val="24"/>
        </w:rPr>
        <w:t>AEI</w:t>
      </w:r>
      <w:r w:rsidRPr="00014A49">
        <w:rPr>
          <w:szCs w:val="24"/>
        </w:rPr>
        <w:t xml:space="preserve"> plėtrai</w:t>
      </w:r>
      <w:r w:rsidRPr="00014A49">
        <w:rPr>
          <w:rStyle w:val="normaltextrun"/>
          <w:rFonts w:eastAsiaTheme="majorEastAsia"/>
          <w:szCs w:val="24"/>
          <w:bdr w:val="none" w:sz="0" w:space="0" w:color="auto" w:frame="1"/>
        </w:rPr>
        <w:t>“ poveiklių „</w:t>
      </w:r>
      <w:r>
        <w:rPr>
          <w:szCs w:val="24"/>
        </w:rPr>
        <w:t>P</w:t>
      </w:r>
      <w:r w:rsidRPr="00014A49">
        <w:rPr>
          <w:szCs w:val="24"/>
        </w:rPr>
        <w:t xml:space="preserve">ažangiųjų energetikos sistemų skaitmeninio valdymo sistemų diegimas, pritaikant elektros energijos skirstomuosius tinklus </w:t>
      </w:r>
      <w:r>
        <w:rPr>
          <w:szCs w:val="24"/>
        </w:rPr>
        <w:t>AEI</w:t>
      </w:r>
      <w:r w:rsidRPr="00014A49">
        <w:rPr>
          <w:szCs w:val="24"/>
        </w:rPr>
        <w:t xml:space="preserve"> plėtrai visoje </w:t>
      </w:r>
      <w:r>
        <w:rPr>
          <w:szCs w:val="24"/>
        </w:rPr>
        <w:t>L</w:t>
      </w:r>
      <w:r w:rsidRPr="00014A49">
        <w:rPr>
          <w:szCs w:val="24"/>
        </w:rPr>
        <w:t>ietuvoje“ ir „</w:t>
      </w:r>
      <w:r>
        <w:rPr>
          <w:szCs w:val="24"/>
        </w:rPr>
        <w:t>P</w:t>
      </w:r>
      <w:r w:rsidRPr="00014A49">
        <w:rPr>
          <w:szCs w:val="24"/>
        </w:rPr>
        <w:t xml:space="preserve">ažangiųjų energetikos sistemų skaitmeninio valdymo sistemų diegimas, pritaikant elektros energijos skirstomuosius tinklus </w:t>
      </w:r>
      <w:r>
        <w:rPr>
          <w:szCs w:val="24"/>
        </w:rPr>
        <w:t>AEI</w:t>
      </w:r>
      <w:r w:rsidRPr="00014A49">
        <w:rPr>
          <w:szCs w:val="24"/>
        </w:rPr>
        <w:t xml:space="preserve"> plėtrai </w:t>
      </w:r>
      <w:r>
        <w:rPr>
          <w:szCs w:val="24"/>
        </w:rPr>
        <w:t>V</w:t>
      </w:r>
      <w:r w:rsidRPr="00014A49">
        <w:rPr>
          <w:szCs w:val="24"/>
        </w:rPr>
        <w:t xml:space="preserve">idurio ir </w:t>
      </w:r>
      <w:r>
        <w:rPr>
          <w:szCs w:val="24"/>
        </w:rPr>
        <w:t>v</w:t>
      </w:r>
      <w:r w:rsidRPr="00014A49">
        <w:rPr>
          <w:szCs w:val="24"/>
        </w:rPr>
        <w:t xml:space="preserve">akarų </w:t>
      </w:r>
      <w:r>
        <w:rPr>
          <w:szCs w:val="24"/>
        </w:rPr>
        <w:t>L</w:t>
      </w:r>
      <w:r w:rsidRPr="00014A49">
        <w:rPr>
          <w:szCs w:val="24"/>
        </w:rPr>
        <w:t>ietuvoje“ projektų finansavimo sąlygų apraš</w:t>
      </w:r>
      <w:r>
        <w:rPr>
          <w:szCs w:val="24"/>
        </w:rPr>
        <w:t xml:space="preserve">o </w:t>
      </w:r>
    </w:p>
    <w:p w14:paraId="643B82E2" w14:textId="23C5E8B4" w:rsidR="00135DAC" w:rsidRDefault="00135DAC" w:rsidP="00135DAC">
      <w:pPr>
        <w:ind w:left="3888"/>
        <w:jc w:val="both"/>
        <w:rPr>
          <w:szCs w:val="24"/>
        </w:rPr>
      </w:pPr>
      <w:r>
        <w:rPr>
          <w:szCs w:val="24"/>
        </w:rPr>
        <w:t>6 priedas</w:t>
      </w:r>
    </w:p>
    <w:p w14:paraId="5A191262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p w14:paraId="0EE3243A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p w14:paraId="3AF18AC1" w14:textId="0182C29A" w:rsidR="00135DAC" w:rsidRPr="00C833C5" w:rsidRDefault="00135DAC" w:rsidP="00135DAC">
      <w:pPr>
        <w:spacing w:line="276" w:lineRule="auto"/>
        <w:jc w:val="center"/>
        <w:rPr>
          <w:szCs w:val="24"/>
        </w:rPr>
      </w:pPr>
      <w:r w:rsidRPr="00C833C5">
        <w:rPr>
          <w:szCs w:val="24"/>
        </w:rPr>
        <w:t>Valstybės pagalbos</w:t>
      </w:r>
      <w:r w:rsidR="00C833C5" w:rsidRPr="00C833C5">
        <w:rPr>
          <w:szCs w:val="24"/>
        </w:rPr>
        <w:t xml:space="preserve"> </w:t>
      </w:r>
      <w:r w:rsidR="00C833C5" w:rsidRPr="00C833C5">
        <w:rPr>
          <w:b/>
          <w:bCs/>
          <w:szCs w:val="24"/>
        </w:rPr>
        <w:t>ir galimos išmokėti dotacijos</w:t>
      </w:r>
      <w:r w:rsidRPr="00C833C5">
        <w:rPr>
          <w:szCs w:val="24"/>
        </w:rPr>
        <w:t xml:space="preserve"> apskaičiavimo lentelė</w:t>
      </w:r>
    </w:p>
    <w:p w14:paraId="5F64E51A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35DAC" w14:paraId="2FE6179C" w14:textId="77777777" w:rsidTr="00ED48B7">
        <w:tc>
          <w:tcPr>
            <w:tcW w:w="9061" w:type="dxa"/>
            <w:gridSpan w:val="2"/>
          </w:tcPr>
          <w:p w14:paraId="3CB6123A" w14:textId="77777777" w:rsidR="00135DAC" w:rsidRPr="00C833C5" w:rsidRDefault="00135DAC" w:rsidP="00ED48B7">
            <w:pPr>
              <w:spacing w:line="276" w:lineRule="auto"/>
              <w:jc w:val="center"/>
              <w:rPr>
                <w:szCs w:val="24"/>
              </w:rPr>
            </w:pPr>
            <w:r w:rsidRPr="00C833C5">
              <w:rPr>
                <w:szCs w:val="24"/>
              </w:rPr>
              <w:t>Informacija apie siūlomą finansuoti projektą</w:t>
            </w:r>
          </w:p>
        </w:tc>
      </w:tr>
      <w:tr w:rsidR="00135DAC" w14:paraId="24C7F374" w14:textId="77777777" w:rsidTr="00ED48B7">
        <w:tc>
          <w:tcPr>
            <w:tcW w:w="4530" w:type="dxa"/>
          </w:tcPr>
          <w:p w14:paraId="29247BAA" w14:textId="77777777" w:rsidR="00135DAC" w:rsidRPr="000154D3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154D3">
              <w:rPr>
                <w:szCs w:val="24"/>
              </w:rPr>
              <w:t>Projekto pavadinimas</w:t>
            </w:r>
          </w:p>
        </w:tc>
        <w:tc>
          <w:tcPr>
            <w:tcW w:w="4531" w:type="dxa"/>
          </w:tcPr>
          <w:p w14:paraId="77A8E0E0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1BF81CC1" w14:textId="77777777" w:rsidTr="00ED48B7">
        <w:tc>
          <w:tcPr>
            <w:tcW w:w="4530" w:type="dxa"/>
          </w:tcPr>
          <w:p w14:paraId="25D36935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Diskonto norma (vidutinė svertinė kapitalo kaina)</w:t>
            </w:r>
          </w:p>
          <w:p w14:paraId="3A77D558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 diskonto norma, kuri buvo taikoma</w:t>
            </w:r>
            <w:r>
              <w:rPr>
                <w:i/>
                <w:iCs/>
                <w:szCs w:val="24"/>
              </w:rPr>
              <w:t xml:space="preserve"> rengiant investicinį projektą. Vadovaujantis Reglamento (ES) 651/2014 2 straipsnio 118 punkte pateikiamu apibrėžimu, diskonto norma turi būti lygi vidutinei svertinei kapitalo kainai. Laisva forma pridedamas vidutinės svertinės kapitalo kainos apskaičiavimas.</w:t>
            </w:r>
          </w:p>
        </w:tc>
        <w:tc>
          <w:tcPr>
            <w:tcW w:w="4531" w:type="dxa"/>
          </w:tcPr>
          <w:p w14:paraId="22406890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0D250374" w14:textId="77777777" w:rsidTr="00ED48B7">
        <w:tc>
          <w:tcPr>
            <w:tcW w:w="4530" w:type="dxa"/>
          </w:tcPr>
          <w:p w14:paraId="1873D3AF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įgyvendinimo laikotarpis</w:t>
            </w:r>
          </w:p>
          <w:p w14:paraId="2E8CA390" w14:textId="77777777" w:rsidR="00135DAC" w:rsidRPr="000154D3" w:rsidRDefault="00135DAC" w:rsidP="00ED48B7">
            <w:pPr>
              <w:spacing w:line="276" w:lineRule="auto"/>
              <w:jc w:val="both"/>
              <w:rPr>
                <w:szCs w:val="24"/>
              </w:rPr>
            </w:pPr>
            <w:r w:rsidRPr="00F36DEE">
              <w:rPr>
                <w:i/>
                <w:iCs/>
                <w:szCs w:val="24"/>
              </w:rPr>
              <w:t>Nurodomas projekto įgyvendinimo</w:t>
            </w:r>
            <w:r>
              <w:rPr>
                <w:i/>
                <w:iCs/>
                <w:szCs w:val="24"/>
              </w:rPr>
              <w:t xml:space="preserve"> (tarnavimo)</w:t>
            </w:r>
            <w:r w:rsidRPr="00F36DEE">
              <w:rPr>
                <w:i/>
                <w:iCs/>
                <w:szCs w:val="24"/>
              </w:rPr>
              <w:t xml:space="preserve"> laikotarpis, kuris buvo taikomas rengiant investicin</w:t>
            </w:r>
            <w:r>
              <w:rPr>
                <w:i/>
                <w:iCs/>
                <w:szCs w:val="24"/>
              </w:rPr>
              <w:t>į projektą</w:t>
            </w:r>
          </w:p>
        </w:tc>
        <w:tc>
          <w:tcPr>
            <w:tcW w:w="4531" w:type="dxa"/>
          </w:tcPr>
          <w:p w14:paraId="646B8D9F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2AC0AAAD" w14:textId="77777777" w:rsidTr="00ED48B7">
        <w:tc>
          <w:tcPr>
            <w:tcW w:w="4530" w:type="dxa"/>
          </w:tcPr>
          <w:p w14:paraId="600221D3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Pradiniai projekto įgyvendinimo metai</w:t>
            </w:r>
          </w:p>
        </w:tc>
        <w:tc>
          <w:tcPr>
            <w:tcW w:w="4531" w:type="dxa"/>
          </w:tcPr>
          <w:p w14:paraId="4CD88DB1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2AB3AD6F" w14:textId="77777777" w:rsidTr="00ED48B7">
        <w:tc>
          <w:tcPr>
            <w:tcW w:w="4530" w:type="dxa"/>
          </w:tcPr>
          <w:p w14:paraId="3C606D7D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154D3">
              <w:rPr>
                <w:szCs w:val="24"/>
              </w:rPr>
              <w:t>Siūlomo finansuoti projekto finansinė grynoji dabartinė vertė (FGDV)</w:t>
            </w:r>
          </w:p>
          <w:p w14:paraId="5A55288E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 apskaičiuota investicinio projekto finansinė grynoji dabartinė vertė (FGDV)</w:t>
            </w:r>
          </w:p>
        </w:tc>
        <w:tc>
          <w:tcPr>
            <w:tcW w:w="4531" w:type="dxa"/>
          </w:tcPr>
          <w:p w14:paraId="1001A8C1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15BAE0E8" w14:textId="77777777" w:rsidTr="00ED48B7">
        <w:tc>
          <w:tcPr>
            <w:tcW w:w="9061" w:type="dxa"/>
            <w:gridSpan w:val="2"/>
          </w:tcPr>
          <w:p w14:paraId="4A115371" w14:textId="77777777" w:rsidR="00135DAC" w:rsidRPr="000154D3" w:rsidRDefault="00135DAC" w:rsidP="00ED48B7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0154D3">
              <w:rPr>
                <w:b/>
                <w:bCs/>
                <w:szCs w:val="24"/>
              </w:rPr>
              <w:t>Informacija apie projektą, atitinkantį priešingos padėties scenarijų</w:t>
            </w:r>
          </w:p>
        </w:tc>
      </w:tr>
      <w:tr w:rsidR="00135DAC" w14:paraId="354EA20A" w14:textId="77777777" w:rsidTr="00ED48B7">
        <w:tc>
          <w:tcPr>
            <w:tcW w:w="4530" w:type="dxa"/>
          </w:tcPr>
          <w:p w14:paraId="3D52E95E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Diskonto norma</w:t>
            </w:r>
          </w:p>
          <w:p w14:paraId="30CF80C2" w14:textId="77777777" w:rsidR="00135DAC" w:rsidRPr="000154D3" w:rsidRDefault="00135DAC" w:rsidP="00ED48B7">
            <w:pPr>
              <w:spacing w:line="276" w:lineRule="auto"/>
              <w:jc w:val="both"/>
              <w:rPr>
                <w:szCs w:val="24"/>
              </w:rPr>
            </w:pPr>
            <w:r w:rsidRPr="00F36DEE">
              <w:rPr>
                <w:i/>
                <w:iCs/>
                <w:szCs w:val="24"/>
              </w:rPr>
              <w:lastRenderedPageBreak/>
              <w:t>Nurodoma diskonto norma, kuri buvo taikoma</w:t>
            </w:r>
            <w:r>
              <w:rPr>
                <w:i/>
                <w:iCs/>
                <w:szCs w:val="24"/>
              </w:rPr>
              <w:t>. Vadovaujantis Reglamento (ES) 651/2014 2 straipsnio 118 punkte pateikiamu apibrėžimu, diskonto norma turi būti lygi vidutinei svertinei kapitalo kainai. Laisva forma pridedamas vidutinės svertinės kapitalo kainos apskaičiavimas.</w:t>
            </w:r>
            <w:r w:rsidRPr="00F36DE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8B6281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4CB47B40" w14:textId="77777777" w:rsidTr="00ED48B7">
        <w:tc>
          <w:tcPr>
            <w:tcW w:w="4530" w:type="dxa"/>
          </w:tcPr>
          <w:p w14:paraId="24AB35CC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įgyvendinimo laikotarpis</w:t>
            </w:r>
          </w:p>
          <w:p w14:paraId="573B969E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Nurodomas projekto įgyvendinimo</w:t>
            </w:r>
            <w:r>
              <w:rPr>
                <w:i/>
                <w:iCs/>
                <w:szCs w:val="24"/>
              </w:rPr>
              <w:t xml:space="preserve"> (tarnavimo)</w:t>
            </w:r>
            <w:r w:rsidRPr="000154D3">
              <w:rPr>
                <w:i/>
                <w:iCs/>
                <w:szCs w:val="24"/>
              </w:rPr>
              <w:t xml:space="preserve"> laikotarpis, kuris buvo taikomas rengiant investicinio projekto priešingos padėties scenarijų</w:t>
            </w:r>
          </w:p>
        </w:tc>
        <w:tc>
          <w:tcPr>
            <w:tcW w:w="4531" w:type="dxa"/>
          </w:tcPr>
          <w:p w14:paraId="240E1E7E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6543ADF3" w14:textId="77777777" w:rsidTr="00ED48B7">
        <w:tc>
          <w:tcPr>
            <w:tcW w:w="4530" w:type="dxa"/>
          </w:tcPr>
          <w:p w14:paraId="42E917EC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Priešingos padėties scenarijaus, kurį atitinka projektas, apibūdinimas</w:t>
            </w:r>
          </w:p>
          <w:p w14:paraId="03479221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Apibūdinamos priešingos padėties scenarijaus prielaidos (rekomenduojama iki penkių sakinių; kokios veiklos ir kokiu m</w:t>
            </w:r>
            <w:r>
              <w:rPr>
                <w:i/>
                <w:iCs/>
                <w:szCs w:val="24"/>
              </w:rPr>
              <w:t>a</w:t>
            </w:r>
            <w:r w:rsidRPr="000154D3">
              <w:rPr>
                <w:i/>
                <w:iCs/>
                <w:szCs w:val="24"/>
              </w:rPr>
              <w:t>stu vykdomos</w:t>
            </w:r>
            <w:r>
              <w:rPr>
                <w:i/>
                <w:iCs/>
                <w:szCs w:val="24"/>
              </w:rPr>
              <w:t>; kokia investicinio projekto dalis įgyvendinama be paramos</w:t>
            </w:r>
            <w:r w:rsidRPr="000154D3">
              <w:rPr>
                <w:i/>
                <w:iCs/>
                <w:szCs w:val="24"/>
              </w:rPr>
              <w:t>)</w:t>
            </w:r>
          </w:p>
        </w:tc>
        <w:tc>
          <w:tcPr>
            <w:tcW w:w="4531" w:type="dxa"/>
          </w:tcPr>
          <w:p w14:paraId="6BBDA3D9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014E75EE" w14:textId="77777777" w:rsidTr="00ED48B7">
        <w:tc>
          <w:tcPr>
            <w:tcW w:w="4530" w:type="dxa"/>
          </w:tcPr>
          <w:p w14:paraId="70752641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Argumentai, kuriais grindžiamas priešingos padėties scenarijaus realumas</w:t>
            </w:r>
          </w:p>
          <w:p w14:paraId="594989CB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Pateikiami argumentai, kodėl pasirinktas priešingos padėties scenarijus yra realus, kaip jis atitinka galiojančius teisės aktus, paraiškos teikėjo strateginius planus, veiklos logiką</w:t>
            </w:r>
            <w:r>
              <w:rPr>
                <w:i/>
                <w:iCs/>
                <w:szCs w:val="24"/>
              </w:rPr>
              <w:t xml:space="preserve">. </w:t>
            </w:r>
            <w:r w:rsidRPr="000154D3">
              <w:rPr>
                <w:i/>
                <w:iCs/>
                <w:szCs w:val="24"/>
              </w:rPr>
              <w:t xml:space="preserve">Esant </w:t>
            </w:r>
            <w:r>
              <w:rPr>
                <w:i/>
                <w:iCs/>
                <w:szCs w:val="24"/>
              </w:rPr>
              <w:t>poreikiui</w:t>
            </w:r>
            <w:r w:rsidRPr="000154D3">
              <w:rPr>
                <w:i/>
                <w:iCs/>
                <w:szCs w:val="24"/>
              </w:rPr>
              <w:t>, pateikiamas papildomas lapas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4531" w:type="dxa"/>
          </w:tcPr>
          <w:p w14:paraId="75380616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6250A81A" w14:textId="77777777" w:rsidTr="00ED48B7">
        <w:tc>
          <w:tcPr>
            <w:tcW w:w="4530" w:type="dxa"/>
          </w:tcPr>
          <w:p w14:paraId="3A0EC95C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154D3">
              <w:rPr>
                <w:szCs w:val="24"/>
              </w:rPr>
              <w:t>Priešingos padėties scenarijų atitinkančio projekto finansinė grynoji dabartinė vertė (FGDV)</w:t>
            </w:r>
          </w:p>
          <w:p w14:paraId="644F941B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 priešingos padėties scenarijų atitinkančio projekto finansinė grynoji dabartinė vertė (FGDV)</w:t>
            </w:r>
          </w:p>
        </w:tc>
        <w:tc>
          <w:tcPr>
            <w:tcW w:w="4531" w:type="dxa"/>
          </w:tcPr>
          <w:p w14:paraId="5BF1B243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0589432A" w14:textId="77777777" w:rsidTr="00ED48B7">
        <w:tc>
          <w:tcPr>
            <w:tcW w:w="9061" w:type="dxa"/>
            <w:gridSpan w:val="2"/>
          </w:tcPr>
          <w:p w14:paraId="4B4DDFA3" w14:textId="6E7EA730" w:rsidR="00135DAC" w:rsidRPr="006D5F09" w:rsidRDefault="00135DAC" w:rsidP="00ED48B7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6D5F09">
              <w:rPr>
                <w:b/>
                <w:bCs/>
                <w:szCs w:val="24"/>
              </w:rPr>
              <w:t>Valstybės pagalba</w:t>
            </w:r>
            <w:r w:rsidR="006D5F09" w:rsidRPr="006D5F09">
              <w:rPr>
                <w:b/>
                <w:bCs/>
                <w:szCs w:val="24"/>
              </w:rPr>
              <w:t xml:space="preserve"> ir dotacija</w:t>
            </w:r>
          </w:p>
        </w:tc>
      </w:tr>
      <w:tr w:rsidR="00135DAC" w14:paraId="192AE021" w14:textId="77777777" w:rsidTr="00ED48B7">
        <w:tc>
          <w:tcPr>
            <w:tcW w:w="4530" w:type="dxa"/>
          </w:tcPr>
          <w:p w14:paraId="7DE258A7" w14:textId="54776568" w:rsidR="00135DAC" w:rsidRDefault="00135DAC" w:rsidP="00ED48B7">
            <w:pPr>
              <w:spacing w:line="276" w:lineRule="auto"/>
              <w:jc w:val="both"/>
              <w:rPr>
                <w:szCs w:val="24"/>
              </w:rPr>
            </w:pPr>
            <w:r w:rsidRPr="00CD500D">
              <w:rPr>
                <w:b/>
                <w:bCs/>
                <w:szCs w:val="24"/>
              </w:rPr>
              <w:t>11.</w:t>
            </w:r>
            <w:r>
              <w:rPr>
                <w:szCs w:val="24"/>
              </w:rPr>
              <w:t xml:space="preserve"> Maksimali valstybės pagalba, kuri gali būti suteikta projektui finansuoti </w:t>
            </w:r>
          </w:p>
          <w:p w14:paraId="6F6FF9EC" w14:textId="7C3FBA2B" w:rsidR="00135DAC" w:rsidRPr="00F86BEE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  <w:szCs w:val="24"/>
              </w:rPr>
              <w:t>5</w:t>
            </w:r>
            <w:r w:rsidRPr="00234E1A">
              <w:rPr>
                <w:i/>
                <w:iCs/>
                <w:szCs w:val="24"/>
              </w:rPr>
              <w:t xml:space="preserve"> punkte</w:t>
            </w:r>
            <w:r w:rsidRPr="000154D3">
              <w:rPr>
                <w:i/>
                <w:iCs/>
                <w:szCs w:val="24"/>
              </w:rPr>
              <w:t xml:space="preserve"> nurodyta suma (Siūlomo finansuoti projekto finansinė grynoji dabartinė vertė) minus </w:t>
            </w:r>
            <w:r w:rsidRPr="00234E1A">
              <w:rPr>
                <w:i/>
                <w:iCs/>
                <w:szCs w:val="24"/>
              </w:rPr>
              <w:t>10</w:t>
            </w:r>
            <w:r w:rsidRPr="000154D3">
              <w:rPr>
                <w:i/>
                <w:iCs/>
                <w:szCs w:val="24"/>
              </w:rPr>
              <w:t xml:space="preserve"> </w:t>
            </w:r>
            <w:r w:rsidRPr="00234E1A">
              <w:rPr>
                <w:i/>
                <w:iCs/>
                <w:szCs w:val="24"/>
              </w:rPr>
              <w:t>punkte</w:t>
            </w:r>
            <w:r w:rsidRPr="000154D3">
              <w:rPr>
                <w:i/>
                <w:iCs/>
                <w:szCs w:val="24"/>
              </w:rPr>
              <w:t xml:space="preserve"> nurodyta suma (Priešingos padėties scenarijų atitinkančio projekto finansinė grynoji dabartinė vertė (FGDV)</w:t>
            </w:r>
            <w:r w:rsidR="00A03F77">
              <w:rPr>
                <w:i/>
                <w:iCs/>
                <w:szCs w:val="24"/>
              </w:rPr>
              <w:t xml:space="preserve">. </w:t>
            </w:r>
            <w:r w:rsidR="00A03F77" w:rsidRPr="00A03F77">
              <w:rPr>
                <w:b/>
                <w:bCs/>
                <w:i/>
                <w:iCs/>
                <w:szCs w:val="24"/>
              </w:rPr>
              <w:t>Valstybės pagalba gali būti lygi neigiamai skaitmens reikšm</w:t>
            </w:r>
            <w:r w:rsidR="00F86BEE">
              <w:rPr>
                <w:b/>
                <w:bCs/>
                <w:i/>
                <w:iCs/>
                <w:szCs w:val="24"/>
              </w:rPr>
              <w:t>e</w:t>
            </w:r>
            <w:r w:rsidR="00A03F77" w:rsidRPr="00A03F77">
              <w:rPr>
                <w:b/>
                <w:bCs/>
                <w:i/>
                <w:iCs/>
                <w:szCs w:val="24"/>
              </w:rPr>
              <w:t>i.</w:t>
            </w:r>
          </w:p>
        </w:tc>
        <w:tc>
          <w:tcPr>
            <w:tcW w:w="4531" w:type="dxa"/>
          </w:tcPr>
          <w:p w14:paraId="35D3CB4C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313B" w14:paraId="23CCFD54" w14:textId="77777777" w:rsidTr="00ED48B7">
        <w:tc>
          <w:tcPr>
            <w:tcW w:w="4530" w:type="dxa"/>
          </w:tcPr>
          <w:p w14:paraId="281CE23E" w14:textId="7CEBF54B" w:rsidR="0015313B" w:rsidRDefault="0015313B" w:rsidP="00C833C5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12. Prašoma išmokėti dotacija</w:t>
            </w:r>
            <w:r w:rsidR="00381C16">
              <w:rPr>
                <w:b/>
                <w:bCs/>
                <w:szCs w:val="24"/>
              </w:rPr>
              <w:t xml:space="preserve"> (ne daugiau, kaip </w:t>
            </w:r>
            <w:r w:rsidR="00381C16" w:rsidRPr="00381C16">
              <w:rPr>
                <w:b/>
                <w:bCs/>
                <w:szCs w:val="24"/>
              </w:rPr>
              <w:t>85</w:t>
            </w:r>
            <w:r w:rsidR="00381C16">
              <w:rPr>
                <w:b/>
                <w:bCs/>
                <w:szCs w:val="24"/>
              </w:rPr>
              <w:t xml:space="preserve"> procentai tinkamų finansuoti išlaidų)</w:t>
            </w:r>
            <w:r w:rsidR="00A56519">
              <w:rPr>
                <w:b/>
                <w:bCs/>
                <w:szCs w:val="24"/>
              </w:rPr>
              <w:t xml:space="preserve"> </w:t>
            </w:r>
            <w:r w:rsidR="00A56519" w:rsidRPr="00DE7421">
              <w:rPr>
                <w:b/>
                <w:bCs/>
                <w:szCs w:val="24"/>
              </w:rPr>
              <w:t xml:space="preserve">– iš viso ir </w:t>
            </w:r>
            <w:r w:rsidR="00DE7421" w:rsidRPr="00DE7421">
              <w:rPr>
                <w:b/>
                <w:bCs/>
                <w:szCs w:val="24"/>
              </w:rPr>
              <w:t xml:space="preserve">pagal tikslų </w:t>
            </w:r>
            <w:r w:rsidR="00DE7421" w:rsidRPr="00DE7421">
              <w:rPr>
                <w:b/>
                <w:bCs/>
                <w:szCs w:val="24"/>
              </w:rPr>
              <w:lastRenderedPageBreak/>
              <w:t>planuojamą veiklos ataskaitų teikimo administruojančiajai institucijai grafiką</w:t>
            </w:r>
            <w:r w:rsidR="001B3566">
              <w:rPr>
                <w:b/>
                <w:bCs/>
                <w:szCs w:val="24"/>
              </w:rPr>
              <w:t xml:space="preserve"> (</w:t>
            </w:r>
            <w:r w:rsidR="008C4F64">
              <w:rPr>
                <w:b/>
                <w:bCs/>
                <w:szCs w:val="24"/>
              </w:rPr>
              <w:t>diskontuota dotacijos</w:t>
            </w:r>
            <w:r w:rsidR="00FE7329">
              <w:rPr>
                <w:b/>
                <w:bCs/>
                <w:szCs w:val="24"/>
              </w:rPr>
              <w:t xml:space="preserve"> dabartinė</w:t>
            </w:r>
            <w:r w:rsidR="008C4F64">
              <w:rPr>
                <w:b/>
                <w:bCs/>
                <w:szCs w:val="24"/>
              </w:rPr>
              <w:t xml:space="preserve"> vertė sprendimo dėl jos skyrimo priėmimo momentu negali būti didesnė už diskontuot</w:t>
            </w:r>
            <w:r w:rsidR="00FE7329">
              <w:rPr>
                <w:b/>
                <w:bCs/>
                <w:szCs w:val="24"/>
              </w:rPr>
              <w:t>ą</w:t>
            </w:r>
            <w:r w:rsidR="008C4F64">
              <w:rPr>
                <w:b/>
                <w:bCs/>
                <w:szCs w:val="24"/>
              </w:rPr>
              <w:t xml:space="preserve"> valstybės </w:t>
            </w:r>
            <w:r w:rsidR="00FE7329">
              <w:rPr>
                <w:b/>
                <w:bCs/>
                <w:szCs w:val="24"/>
              </w:rPr>
              <w:t>pagalbos dabartinę vertę</w:t>
            </w:r>
            <w:r w:rsidR="004649AD">
              <w:rPr>
                <w:b/>
                <w:bCs/>
                <w:szCs w:val="24"/>
              </w:rPr>
              <w:t xml:space="preserve"> jos suteikimo momentui</w:t>
            </w:r>
            <w:r w:rsidR="00B80144">
              <w:rPr>
                <w:b/>
                <w:bCs/>
                <w:szCs w:val="24"/>
              </w:rPr>
              <w:t>)</w:t>
            </w:r>
            <w:r w:rsidR="00A56519" w:rsidRPr="00DE7421">
              <w:rPr>
                <w:b/>
                <w:bCs/>
                <w:szCs w:val="24"/>
              </w:rPr>
              <w:t>.</w:t>
            </w:r>
          </w:p>
          <w:p w14:paraId="433559E9" w14:textId="3F399D8A" w:rsidR="004649AD" w:rsidRDefault="004649AD" w:rsidP="00C833C5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Administruojančioji institucija, prieš teikdama Energetikos</w:t>
            </w:r>
            <w:r w:rsidR="008316CC">
              <w:rPr>
                <w:b/>
                <w:bCs/>
                <w:szCs w:val="24"/>
              </w:rPr>
              <w:t xml:space="preserve"> ministerijai projektų įgyvendinimo</w:t>
            </w:r>
            <w:r>
              <w:rPr>
                <w:b/>
                <w:bCs/>
                <w:szCs w:val="24"/>
              </w:rPr>
              <w:t xml:space="preserve"> vertinimo ataskait</w:t>
            </w:r>
            <w:r w:rsidR="008316CC">
              <w:rPr>
                <w:b/>
                <w:bCs/>
                <w:szCs w:val="24"/>
              </w:rPr>
              <w:t>ą</w:t>
            </w:r>
            <w:r>
              <w:rPr>
                <w:b/>
                <w:bCs/>
                <w:szCs w:val="24"/>
              </w:rPr>
              <w:t>, įsitikina, kad vertinimo ataskaitos pateikimo momentui š</w:t>
            </w:r>
            <w:r w:rsidR="004972D1">
              <w:rPr>
                <w:b/>
                <w:bCs/>
                <w:szCs w:val="24"/>
              </w:rPr>
              <w:t xml:space="preserve">i sąlyga yra tenkinama. Energetikos ministerija, suteikdama valstybės pagalbą, </w:t>
            </w:r>
            <w:r w:rsidR="00DD6BEA">
              <w:rPr>
                <w:b/>
                <w:bCs/>
                <w:szCs w:val="24"/>
              </w:rPr>
              <w:t>įsitikina, ar valstybės pagalbos suteikimo momentui šis reikalavimas yra tenkinamas.</w:t>
            </w:r>
          </w:p>
        </w:tc>
        <w:tc>
          <w:tcPr>
            <w:tcW w:w="4531" w:type="dxa"/>
          </w:tcPr>
          <w:p w14:paraId="70C72B17" w14:textId="77777777" w:rsidR="0015313B" w:rsidRDefault="0015313B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1CE50A56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p w14:paraId="19CA4F80" w14:textId="77777777" w:rsidR="00135DAC" w:rsidRDefault="00135DAC" w:rsidP="00135DAC">
      <w:pPr>
        <w:spacing w:line="276" w:lineRule="auto"/>
        <w:jc w:val="both"/>
        <w:rPr>
          <w:szCs w:val="24"/>
        </w:rPr>
      </w:pPr>
      <w:r>
        <w:rPr>
          <w:szCs w:val="24"/>
        </w:rPr>
        <w:t>Prie formos pridedama:</w:t>
      </w:r>
    </w:p>
    <w:p w14:paraId="01589534" w14:textId="77777777" w:rsidR="00135DAC" w:rsidRPr="000154D3" w:rsidRDefault="00135DAC" w:rsidP="00135DAC">
      <w:pPr>
        <w:spacing w:line="276" w:lineRule="auto"/>
        <w:jc w:val="both"/>
        <w:rPr>
          <w:szCs w:val="24"/>
        </w:rPr>
      </w:pPr>
      <w:r w:rsidRPr="000154D3">
        <w:rPr>
          <w:szCs w:val="24"/>
        </w:rPr>
        <w:t xml:space="preserve">1. </w:t>
      </w:r>
      <w:r>
        <w:rPr>
          <w:szCs w:val="24"/>
        </w:rPr>
        <w:t>V</w:t>
      </w:r>
      <w:r w:rsidRPr="000154D3">
        <w:rPr>
          <w:szCs w:val="24"/>
        </w:rPr>
        <w:t>idutinės svertinės kapitalo kainos apskaičiavimas (laisva forma).</w:t>
      </w:r>
    </w:p>
    <w:p w14:paraId="3E60AC1B" w14:textId="77777777" w:rsidR="00135DAC" w:rsidRDefault="00135DAC" w:rsidP="00135DAC">
      <w:pPr>
        <w:spacing w:line="276" w:lineRule="auto"/>
        <w:jc w:val="both"/>
        <w:rPr>
          <w:szCs w:val="24"/>
        </w:rPr>
      </w:pPr>
      <w:r w:rsidRPr="000154D3">
        <w:rPr>
          <w:szCs w:val="24"/>
        </w:rPr>
        <w:t xml:space="preserve">2. </w:t>
      </w:r>
      <w:r>
        <w:rPr>
          <w:szCs w:val="24"/>
        </w:rPr>
        <w:t>A</w:t>
      </w:r>
      <w:r w:rsidRPr="000154D3">
        <w:rPr>
          <w:szCs w:val="24"/>
        </w:rPr>
        <w:t>rgumentai, pagrindžiantys priešingos padėties scenarijaus realumą (laisva forma).</w:t>
      </w:r>
    </w:p>
    <w:p w14:paraId="1DB754D7" w14:textId="77777777" w:rsidR="00135DAC" w:rsidRPr="000154D3" w:rsidRDefault="00135DAC" w:rsidP="00135DAC">
      <w:pPr>
        <w:spacing w:line="276" w:lineRule="auto"/>
        <w:jc w:val="center"/>
        <w:rPr>
          <w:szCs w:val="24"/>
        </w:rPr>
      </w:pPr>
      <w:r>
        <w:rPr>
          <w:szCs w:val="24"/>
        </w:rPr>
        <w:t>_________</w:t>
      </w:r>
    </w:p>
    <w:p w14:paraId="5F1F4991" w14:textId="77777777" w:rsidR="00B91F52" w:rsidRDefault="00B91F52"/>
    <w:sectPr w:rsidR="00B91F52" w:rsidSect="00135DAC">
      <w:pgSz w:w="11906" w:h="16838"/>
      <w:pgMar w:top="567" w:right="1134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395"/>
    <w:multiLevelType w:val="multilevel"/>
    <w:tmpl w:val="FCD04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1390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AC"/>
    <w:rsid w:val="000415A3"/>
    <w:rsid w:val="00135DAC"/>
    <w:rsid w:val="00141631"/>
    <w:rsid w:val="0015313B"/>
    <w:rsid w:val="00191A55"/>
    <w:rsid w:val="001B3566"/>
    <w:rsid w:val="002274B5"/>
    <w:rsid w:val="00251F77"/>
    <w:rsid w:val="0032083B"/>
    <w:rsid w:val="00360BB3"/>
    <w:rsid w:val="00381C16"/>
    <w:rsid w:val="00443683"/>
    <w:rsid w:val="004649AD"/>
    <w:rsid w:val="004972D1"/>
    <w:rsid w:val="004F1A3B"/>
    <w:rsid w:val="00510604"/>
    <w:rsid w:val="0057612C"/>
    <w:rsid w:val="005943C9"/>
    <w:rsid w:val="0067654F"/>
    <w:rsid w:val="006824E1"/>
    <w:rsid w:val="006B58BC"/>
    <w:rsid w:val="006D4A61"/>
    <w:rsid w:val="006D5F09"/>
    <w:rsid w:val="006E1A93"/>
    <w:rsid w:val="006F2C7F"/>
    <w:rsid w:val="007247B9"/>
    <w:rsid w:val="00762456"/>
    <w:rsid w:val="00775D2F"/>
    <w:rsid w:val="008316CC"/>
    <w:rsid w:val="008331E8"/>
    <w:rsid w:val="008C4F64"/>
    <w:rsid w:val="008C7E87"/>
    <w:rsid w:val="008E4559"/>
    <w:rsid w:val="00902FE9"/>
    <w:rsid w:val="0092566C"/>
    <w:rsid w:val="009F783B"/>
    <w:rsid w:val="00A03F77"/>
    <w:rsid w:val="00A04AF8"/>
    <w:rsid w:val="00A07054"/>
    <w:rsid w:val="00A56519"/>
    <w:rsid w:val="00AB218B"/>
    <w:rsid w:val="00AE0025"/>
    <w:rsid w:val="00B80144"/>
    <w:rsid w:val="00B91F52"/>
    <w:rsid w:val="00BA66A5"/>
    <w:rsid w:val="00BB0A9E"/>
    <w:rsid w:val="00C833C5"/>
    <w:rsid w:val="00C855C8"/>
    <w:rsid w:val="00CA400D"/>
    <w:rsid w:val="00CD500D"/>
    <w:rsid w:val="00CE0289"/>
    <w:rsid w:val="00D63F37"/>
    <w:rsid w:val="00DA6DFD"/>
    <w:rsid w:val="00DC0D2F"/>
    <w:rsid w:val="00DD6BEA"/>
    <w:rsid w:val="00DE7421"/>
    <w:rsid w:val="00E20A6C"/>
    <w:rsid w:val="00E5416A"/>
    <w:rsid w:val="00E81832"/>
    <w:rsid w:val="00F00C8B"/>
    <w:rsid w:val="00F210F8"/>
    <w:rsid w:val="00F57703"/>
    <w:rsid w:val="00F86BEE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930"/>
  <w15:chartTrackingRefBased/>
  <w15:docId w15:val="{93EA7FB6-E2F3-4C1A-93B2-68912D3F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A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DAC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135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A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35DAC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135DAC"/>
  </w:style>
  <w:style w:type="table" w:styleId="TableGrid">
    <w:name w:val="Table Grid"/>
    <w:basedOn w:val="TableNormal"/>
    <w:rsid w:val="00135DA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7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0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05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054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8014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Petkevičius</dc:creator>
  <cp:keywords/>
  <dc:description/>
  <cp:lastModifiedBy>Algirdas Petkevičius</cp:lastModifiedBy>
  <cp:revision>4</cp:revision>
  <dcterms:created xsi:type="dcterms:W3CDTF">2025-11-14T09:06:00Z</dcterms:created>
  <dcterms:modified xsi:type="dcterms:W3CDTF">2025-11-17T13:48:00Z</dcterms:modified>
</cp:coreProperties>
</file>