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6D500365" w:rsidR="00555CB8" w:rsidRPr="00765A77" w:rsidRDefault="00B06730" w:rsidP="00555CB8">
            <w:pPr>
              <w:rPr>
                <w:rFonts w:ascii="Times New Roman" w:hAnsi="Times New Roman" w:cs="Times New Roman"/>
                <w:i/>
                <w:iCs/>
              </w:rPr>
            </w:pPr>
            <w:r w:rsidRPr="00407458">
              <w:rPr>
                <w:rFonts w:ascii="Times" w:hAnsi="Times" w:cs="Times"/>
              </w:rPr>
              <w:t>Lietuvos Respublikos aplinkos ministerijos Aplinkos projektų valdymo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7887C36A" w:rsidR="00243AC3" w:rsidRPr="00765A77" w:rsidRDefault="00B06730" w:rsidP="00817EFA">
            <w:pPr>
              <w:rPr>
                <w:rFonts w:ascii="Times New Roman" w:hAnsi="Times New Roman" w:cs="Times New Roman"/>
                <w:i/>
                <w:iCs/>
              </w:rPr>
            </w:pPr>
            <w:r w:rsidRPr="004912BD">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AE9E987" w:rsidR="003C4D1C" w:rsidRPr="00765A77" w:rsidRDefault="00B06730" w:rsidP="00E92ACD">
            <w:pPr>
              <w:rPr>
                <w:rFonts w:ascii="Times New Roman" w:hAnsi="Times New Roman" w:cs="Times New Roman"/>
                <w:b/>
              </w:rPr>
            </w:pPr>
            <w:r w:rsidRPr="00B06730">
              <w:rPr>
                <w:rFonts w:ascii="Times New Roman" w:hAnsi="Times New Roman" w:cs="Times New Roman"/>
              </w:rPr>
              <w:t>08-015-J-0001-J01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3F0B611" w:rsidR="00BD2605" w:rsidRPr="00B06730" w:rsidRDefault="00B06730" w:rsidP="00264628">
            <w:pPr>
              <w:rPr>
                <w:rFonts w:ascii="Times New Roman" w:hAnsi="Times New Roman" w:cs="Times New Roman"/>
                <w:bCs/>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D0D9F" w:rsidRPr="00765A77" w14:paraId="5C7AF7B1" w14:textId="77777777" w:rsidTr="0AB2B071">
        <w:trPr>
          <w:trHeight w:val="718"/>
        </w:trPr>
        <w:tc>
          <w:tcPr>
            <w:tcW w:w="1818" w:type="dxa"/>
          </w:tcPr>
          <w:p w14:paraId="433DD46B" w14:textId="49612EE1" w:rsidR="00BD0D9F" w:rsidRPr="000A0A1F" w:rsidRDefault="00BD0D9F" w:rsidP="0AB2B071">
            <w:pPr>
              <w:rPr>
                <w:rFonts w:ascii="Times New Roman" w:hAnsi="Times New Roman" w:cs="Times New Roman"/>
                <w:b/>
                <w:bCs/>
              </w:rPr>
            </w:pPr>
            <w:proofErr w:type="spellStart"/>
            <w:r w:rsidRPr="000A0A1F">
              <w:rPr>
                <w:rFonts w:ascii="Times New Roman" w:hAnsi="Times New Roman" w:cs="Times New Roman"/>
                <w:b/>
                <w:bCs/>
              </w:rPr>
              <w:t>Administruojan</w:t>
            </w:r>
            <w:r w:rsidR="00BF4FBA" w:rsidRPr="000A0A1F">
              <w:rPr>
                <w:rFonts w:ascii="Times New Roman" w:hAnsi="Times New Roman" w:cs="Times New Roman"/>
                <w:b/>
                <w:bCs/>
              </w:rPr>
              <w:t>-</w:t>
            </w:r>
            <w:r w:rsidRPr="000A0A1F">
              <w:rPr>
                <w:rFonts w:ascii="Times New Roman" w:hAnsi="Times New Roman" w:cs="Times New Roman"/>
                <w:b/>
                <w:bCs/>
              </w:rPr>
              <w:t>čioji</w:t>
            </w:r>
            <w:proofErr w:type="spellEnd"/>
            <w:r w:rsidRPr="000A0A1F">
              <w:rPr>
                <w:rFonts w:ascii="Times New Roman" w:hAnsi="Times New Roman" w:cs="Times New Roman"/>
                <w:b/>
                <w:bCs/>
              </w:rPr>
              <w:t xml:space="preserve"> institucija</w:t>
            </w:r>
            <w:r w:rsidR="00892A45" w:rsidRPr="000A0A1F">
              <w:rPr>
                <w:rFonts w:ascii="Times New Roman" w:hAnsi="Times New Roman" w:cs="Times New Roman"/>
                <w:b/>
                <w:bCs/>
              </w:rPr>
              <w:t xml:space="preserve"> </w:t>
            </w:r>
            <w:r w:rsidR="00892A45" w:rsidRPr="000A0A1F">
              <w:rPr>
                <w:rFonts w:ascii="Times New Roman" w:hAnsi="Times New Roman" w:cs="Times New Roman"/>
              </w:rPr>
              <w:t>*</w:t>
            </w:r>
          </w:p>
        </w:tc>
        <w:tc>
          <w:tcPr>
            <w:tcW w:w="7994" w:type="dxa"/>
          </w:tcPr>
          <w:p w14:paraId="5202C0A0" w14:textId="7FCD6481" w:rsidR="00AE707E" w:rsidRPr="000A0A1F" w:rsidRDefault="00B06730" w:rsidP="00AE707E">
            <w:pPr>
              <w:pStyle w:val="paragraph"/>
              <w:spacing w:before="0" w:beforeAutospacing="0" w:after="0" w:afterAutospacing="0"/>
              <w:textAlignment w:val="baseline"/>
              <w:rPr>
                <w:rFonts w:eastAsiaTheme="minorHAnsi"/>
                <w:sz w:val="22"/>
                <w:szCs w:val="22"/>
                <w:lang w:eastAsia="en-US"/>
              </w:rPr>
            </w:pPr>
            <w:r w:rsidRPr="000A0A1F">
              <w:rPr>
                <w:rFonts w:eastAsiaTheme="minorHAnsi"/>
                <w:lang w:eastAsia="en-US"/>
              </w:rPr>
              <w:t>V</w:t>
            </w:r>
            <w:r w:rsidR="00AE707E" w:rsidRPr="000A0A1F">
              <w:rPr>
                <w:rStyle w:val="normaltextrun"/>
                <w:sz w:val="22"/>
                <w:szCs w:val="22"/>
              </w:rPr>
              <w:t>iešoji įstaiga Centrinė projektų valdymo agentūra</w:t>
            </w:r>
            <w:r w:rsidR="00AE707E" w:rsidRPr="000A0A1F">
              <w:rPr>
                <w:rStyle w:val="eop"/>
                <w:sz w:val="22"/>
                <w:szCs w:val="22"/>
              </w:rPr>
              <w:t> </w:t>
            </w:r>
          </w:p>
          <w:p w14:paraId="360AEEE1" w14:textId="0595A03A" w:rsidR="00EB177D" w:rsidRPr="000A0A1F" w:rsidRDefault="00EB177D" w:rsidP="00AE707E">
            <w:pPr>
              <w:rPr>
                <w:rFonts w:ascii="Times New Roman" w:hAnsi="Times New Roman" w:cs="Times New Roman"/>
              </w:rPr>
            </w:pPr>
          </w:p>
        </w:tc>
      </w:tr>
      <w:tr w:rsidR="00AB307B" w:rsidRPr="00765A77" w14:paraId="7E09C150" w14:textId="77777777" w:rsidTr="0AB2B071">
        <w:trPr>
          <w:trHeight w:val="718"/>
        </w:trPr>
        <w:tc>
          <w:tcPr>
            <w:tcW w:w="1818" w:type="dxa"/>
          </w:tcPr>
          <w:p w14:paraId="07DB4549" w14:textId="771D8D47" w:rsidR="00AB307B" w:rsidRPr="000A0A1F" w:rsidRDefault="0035189D" w:rsidP="00AB307B">
            <w:pPr>
              <w:rPr>
                <w:rFonts w:ascii="Times New Roman" w:hAnsi="Times New Roman" w:cs="Times New Roman"/>
                <w:b/>
              </w:rPr>
            </w:pPr>
            <w:r w:rsidRPr="000A0A1F">
              <w:rPr>
                <w:rFonts w:ascii="Times New Roman" w:hAnsi="Times New Roman" w:cs="Times New Roman"/>
                <w:b/>
                <w:bCs/>
              </w:rPr>
              <w:t>P</w:t>
            </w:r>
            <w:r w:rsidR="00AB307B" w:rsidRPr="000A0A1F">
              <w:rPr>
                <w:rFonts w:ascii="Times New Roman" w:hAnsi="Times New Roman" w:cs="Times New Roman"/>
                <w:b/>
                <w:bCs/>
              </w:rPr>
              <w:t>radžios data</w:t>
            </w:r>
            <w:r w:rsidR="00892A45" w:rsidRPr="000A0A1F">
              <w:rPr>
                <w:rFonts w:ascii="Times New Roman" w:hAnsi="Times New Roman" w:cs="Times New Roman"/>
                <w:b/>
                <w:bCs/>
              </w:rPr>
              <w:t xml:space="preserve"> </w:t>
            </w:r>
            <w:r w:rsidR="00892A45" w:rsidRPr="000A0A1F">
              <w:rPr>
                <w:rFonts w:ascii="Times New Roman" w:hAnsi="Times New Roman" w:cs="Times New Roman"/>
                <w:bCs/>
              </w:rPr>
              <w:t>*</w:t>
            </w:r>
          </w:p>
        </w:tc>
        <w:tc>
          <w:tcPr>
            <w:tcW w:w="7994" w:type="dxa"/>
          </w:tcPr>
          <w:p w14:paraId="01FDBB5E" w14:textId="155B4E8E" w:rsidR="00AB307B" w:rsidRPr="000A0A1F" w:rsidRDefault="00B06730" w:rsidP="00AB307B">
            <w:pPr>
              <w:rPr>
                <w:rFonts w:ascii="Times New Roman" w:hAnsi="Times New Roman" w:cs="Times New Roman"/>
                <w:iCs/>
                <w:lang w:val="en-US"/>
              </w:rPr>
            </w:pPr>
            <w:r w:rsidRPr="000A0A1F">
              <w:rPr>
                <w:rFonts w:ascii="Times New Roman" w:hAnsi="Times New Roman" w:cs="Times New Roman"/>
                <w:iCs/>
                <w:lang w:val="en-US"/>
              </w:rPr>
              <w:t>2025-07-</w:t>
            </w:r>
            <w:r w:rsidR="007B4443" w:rsidRPr="000A0A1F">
              <w:rPr>
                <w:rFonts w:ascii="Times New Roman" w:hAnsi="Times New Roman" w:cs="Times New Roman"/>
                <w:iCs/>
                <w:lang w:val="en-US"/>
              </w:rPr>
              <w:t>11</w:t>
            </w:r>
            <w:r w:rsidRPr="000A0A1F">
              <w:rPr>
                <w:rFonts w:ascii="Times New Roman" w:hAnsi="Times New Roman" w:cs="Times New Roman"/>
                <w:iCs/>
                <w:lang w:val="en-US"/>
              </w:rPr>
              <w:t xml:space="preserve"> 08:00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1713277" w:rsidR="00AB307B" w:rsidRPr="00B06730" w:rsidRDefault="00B06730" w:rsidP="00AB307B">
            <w:pPr>
              <w:rPr>
                <w:rFonts w:ascii="Times New Roman" w:hAnsi="Times New Roman" w:cs="Times New Roman"/>
                <w:iCs/>
              </w:rPr>
            </w:pPr>
            <w:r w:rsidRPr="00B06730">
              <w:rPr>
                <w:rFonts w:ascii="Times" w:hAnsi="Times" w:cs="Times"/>
                <w:iCs/>
              </w:rPr>
              <w:t xml:space="preserve">2026-02-27 </w:t>
            </w:r>
            <w:r w:rsidRPr="00B06730">
              <w:rPr>
                <w:rFonts w:ascii="Times New Roman" w:hAnsi="Times New Roman" w:cs="Times New Roman"/>
                <w:iCs/>
                <w:color w:val="000000"/>
              </w:rPr>
              <w:t>15:45  arba kol baigsis kvietimui skirta lėšų suma</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6E1BC5D5" w14:textId="77777777" w:rsidR="004C40E8" w:rsidRPr="00B06730" w:rsidRDefault="004C40E8" w:rsidP="004C40E8">
            <w:pPr>
              <w:rPr>
                <w:rStyle w:val="normaltextrun"/>
                <w:rFonts w:ascii="Times New Roman" w:eastAsia="Times New Roman" w:hAnsi="Times New Roman" w:cs="Times New Roman"/>
                <w:iCs/>
                <w:lang w:eastAsia="lt-LT"/>
              </w:rPr>
            </w:pPr>
            <w:r w:rsidRPr="00B06730">
              <w:rPr>
                <w:rStyle w:val="normaltextrun"/>
                <w:rFonts w:ascii="Times New Roman" w:eastAsia="Times New Roman" w:hAnsi="Times New Roman" w:cs="Times New Roman"/>
                <w:iCs/>
                <w:lang w:eastAsia="lt-LT"/>
              </w:rPr>
              <w:t>Planas „Naujos kartos Lietuva“</w:t>
            </w:r>
          </w:p>
          <w:p w14:paraId="341D071A" w14:textId="48294AD3" w:rsidR="00B06730" w:rsidRPr="00B06730" w:rsidRDefault="00B06730" w:rsidP="00B06730">
            <w:pPr>
              <w:rPr>
                <w:rFonts w:ascii="Times New Roman" w:eastAsia="Times New Roman" w:hAnsi="Times New Roman" w:cs="Times New Roman"/>
                <w:iCs/>
                <w:lang w:eastAsia="lt-LT"/>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073C235C" w14:textId="19D5A539" w:rsidR="00F025E7" w:rsidRPr="00B06730" w:rsidRDefault="00B06730" w:rsidP="00F025E7">
            <w:pPr>
              <w:pStyle w:val="paragraph"/>
              <w:spacing w:before="0" w:beforeAutospacing="0" w:after="0" w:afterAutospacing="0"/>
              <w:textAlignment w:val="baseline"/>
              <w:rPr>
                <w:iCs/>
                <w:sz w:val="22"/>
                <w:szCs w:val="22"/>
              </w:rPr>
            </w:pPr>
            <w:r w:rsidRPr="00B06730">
              <w:rPr>
                <w:iCs/>
                <w:sz w:val="22"/>
                <w:szCs w:val="22"/>
              </w:rPr>
              <w:t>D</w:t>
            </w:r>
            <w:r w:rsidR="00F025E7" w:rsidRPr="00B06730">
              <w:rPr>
                <w:iCs/>
                <w:sz w:val="22"/>
                <w:szCs w:val="22"/>
              </w:rPr>
              <w:t>otacija.</w:t>
            </w:r>
          </w:p>
          <w:p w14:paraId="71CDF183" w14:textId="34303507" w:rsidR="00F025E7" w:rsidRPr="00B06730" w:rsidRDefault="00F025E7" w:rsidP="00F025E7">
            <w:pPr>
              <w:pStyle w:val="paragraph"/>
              <w:spacing w:before="0" w:beforeAutospacing="0" w:after="0" w:afterAutospacing="0"/>
              <w:textAlignment w:val="baseline"/>
              <w:rPr>
                <w:rStyle w:val="normaltextrun"/>
                <w:iCs/>
                <w:sz w:val="22"/>
                <w:szCs w:val="22"/>
              </w:rPr>
            </w:pP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BF9F5C5" w:rsidR="00CC7B7E" w:rsidRPr="00B06730" w:rsidRDefault="00B06730" w:rsidP="00B06730">
            <w:pPr>
              <w:rPr>
                <w:rFonts w:ascii="Times" w:hAnsi="Times" w:cs="Times"/>
              </w:rPr>
            </w:pPr>
            <w:r w:rsidRPr="00666EF4">
              <w:rPr>
                <w:rFonts w:ascii="Times" w:hAnsi="Times" w:cs="Times"/>
              </w:rPr>
              <w:t xml:space="preserve">9.290.777,40 Eur (devyni </w:t>
            </w:r>
            <w:r>
              <w:rPr>
                <w:rFonts w:ascii="Times" w:hAnsi="Times" w:cs="Times"/>
              </w:rPr>
              <w:t>milijonai du šimtai devyniasdešimt tūkstančių septyni šimtai septyniasdešimt septyni Eur, 40 ct)</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49D071D"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1D814131" w:rsidR="00FE74BE" w:rsidRPr="00765A77" w:rsidRDefault="00B06730" w:rsidP="008421AC">
            <w:pPr>
              <w:spacing w:after="120"/>
              <w:ind w:left="-58" w:right="-58"/>
              <w:rPr>
                <w:rFonts w:ascii="Times New Roman" w:hAnsi="Times New Roman" w:cs="Times New Roman"/>
                <w:i/>
                <w:iCs/>
              </w:rPr>
            </w:pPr>
            <w:r>
              <w:rPr>
                <w:rFonts w:ascii="Times New Roman" w:hAnsi="Times New Roman" w:cs="Times New Roman"/>
                <w:i/>
                <w:iCs/>
              </w:rPr>
              <w:t>1</w:t>
            </w:r>
          </w:p>
        </w:tc>
      </w:tr>
      <w:tr w:rsidR="00B06730" w:rsidRPr="00765A77" w14:paraId="3D86645D" w14:textId="77777777" w:rsidTr="0AB2B071">
        <w:trPr>
          <w:trHeight w:val="718"/>
        </w:trPr>
        <w:tc>
          <w:tcPr>
            <w:tcW w:w="1818" w:type="dxa"/>
          </w:tcPr>
          <w:p w14:paraId="5D6D8BC1" w14:textId="754757F9" w:rsidR="00B06730" w:rsidRPr="00765A77" w:rsidRDefault="00B06730" w:rsidP="00B06730">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B06730" w:rsidRPr="00765A77" w:rsidRDefault="00B06730" w:rsidP="00B06730">
            <w:pPr>
              <w:rPr>
                <w:rFonts w:ascii="Times New Roman" w:hAnsi="Times New Roman" w:cs="Times New Roman"/>
                <w:b/>
              </w:rPr>
            </w:pPr>
          </w:p>
        </w:tc>
        <w:tc>
          <w:tcPr>
            <w:tcW w:w="7994" w:type="dxa"/>
          </w:tcPr>
          <w:p w14:paraId="0B97117B" w14:textId="6B474A4C" w:rsidR="00B06730" w:rsidRPr="00765A77" w:rsidRDefault="00B06730" w:rsidP="00B06730">
            <w:pPr>
              <w:spacing w:after="120"/>
              <w:rPr>
                <w:rFonts w:ascii="Times New Roman" w:hAnsi="Times New Roman" w:cs="Times New Roman"/>
                <w:i/>
                <w:iCs/>
                <w:color w:val="808080" w:themeColor="background1" w:themeShade="80"/>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06730" w:rsidRPr="00765A77" w14:paraId="47CC78C9" w14:textId="77777777" w:rsidTr="004C078B">
        <w:trPr>
          <w:trHeight w:val="718"/>
        </w:trPr>
        <w:tc>
          <w:tcPr>
            <w:tcW w:w="1818" w:type="dxa"/>
          </w:tcPr>
          <w:p w14:paraId="67C524F7" w14:textId="62AB10B6"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Pr>
                <w:rFonts w:ascii="Times New Roman" w:hAnsi="Times New Roman" w:cs="Times New Roman"/>
              </w:rPr>
              <w:t xml:space="preserve"> *</w:t>
            </w:r>
          </w:p>
        </w:tc>
        <w:tc>
          <w:tcPr>
            <w:tcW w:w="7994" w:type="dxa"/>
          </w:tcPr>
          <w:p w14:paraId="11280820" w14:textId="0A226583" w:rsidR="004C078B" w:rsidRPr="004C078B" w:rsidRDefault="004C078B" w:rsidP="00B06730">
            <w:pPr>
              <w:rPr>
                <w:rFonts w:ascii="Times New Roman" w:hAnsi="Times New Roman" w:cs="Times New Roman"/>
                <w:color w:val="808080" w:themeColor="background1" w:themeShade="80"/>
              </w:rPr>
            </w:pPr>
            <w:r w:rsidRPr="004C078B">
              <w:rPr>
                <w:rFonts w:ascii="Times New Roman" w:hAnsi="Times New Roman" w:cs="Times New Roman"/>
                <w:color w:val="000000" w:themeColor="text1"/>
              </w:rPr>
              <w:t>10-001-06-01-01-05-06</w:t>
            </w:r>
          </w:p>
        </w:tc>
      </w:tr>
      <w:tr w:rsidR="00B06730" w:rsidRPr="00765A77" w14:paraId="7D436EA8" w14:textId="77777777" w:rsidTr="0AB2B071">
        <w:trPr>
          <w:trHeight w:val="718"/>
        </w:trPr>
        <w:tc>
          <w:tcPr>
            <w:tcW w:w="1818" w:type="dxa"/>
          </w:tcPr>
          <w:p w14:paraId="5706AE2F" w14:textId="558CA82F"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Pr>
                <w:rFonts w:ascii="Times New Roman" w:hAnsi="Times New Roman" w:cs="Times New Roman"/>
              </w:rPr>
              <w:t xml:space="preserve"> *</w:t>
            </w:r>
          </w:p>
        </w:tc>
        <w:tc>
          <w:tcPr>
            <w:tcW w:w="7994" w:type="dxa"/>
          </w:tcPr>
          <w:p w14:paraId="365530F1" w14:textId="6A23C1D7" w:rsidR="00B06730" w:rsidRPr="004C078B" w:rsidRDefault="004C078B" w:rsidP="00B06730">
            <w:pPr>
              <w:ind w:left="-58" w:right="-58"/>
              <w:rPr>
                <w:rFonts w:ascii="Times New Roman" w:hAnsi="Times New Roman" w:cs="Times New Roman"/>
              </w:rPr>
            </w:pPr>
            <w:r w:rsidRPr="004C078B">
              <w:rPr>
                <w:rFonts w:ascii="Times New Roman" w:hAnsi="Times New Roman" w:cs="Times New Roman"/>
              </w:rPr>
              <w:t>„Viešai prieinamos įkrovimo infrastruktūros sunkiajam elektriniam transportui (M2, N2, M3, N3 klasės) įrengimas ir plėtra“</w:t>
            </w:r>
          </w:p>
        </w:tc>
      </w:tr>
      <w:tr w:rsidR="00B06730" w:rsidRPr="00765A77" w14:paraId="5127A191" w14:textId="77777777" w:rsidTr="0AB2B071">
        <w:trPr>
          <w:trHeight w:val="718"/>
        </w:trPr>
        <w:tc>
          <w:tcPr>
            <w:tcW w:w="1818" w:type="dxa"/>
          </w:tcPr>
          <w:p w14:paraId="3198C34F" w14:textId="3E2C3330" w:rsidR="00B06730" w:rsidRPr="00765A77" w:rsidRDefault="00B06730" w:rsidP="00B06730">
            <w:pPr>
              <w:rPr>
                <w:rFonts w:ascii="Times New Roman" w:hAnsi="Times New Roman" w:cs="Times New Roman"/>
                <w:b/>
                <w:bCs/>
              </w:rPr>
            </w:pPr>
            <w:r w:rsidRPr="4466F332">
              <w:rPr>
                <w:rFonts w:ascii="Times New Roman" w:hAnsi="Times New Roman" w:cs="Times New Roman"/>
                <w:b/>
                <w:bCs/>
              </w:rPr>
              <w:t xml:space="preserve">Regionas </w:t>
            </w:r>
            <w:r w:rsidRPr="008421AC">
              <w:rPr>
                <w:rFonts w:ascii="Times New Roman" w:hAnsi="Times New Roman" w:cs="Times New Roman"/>
              </w:rPr>
              <w:t>*</w:t>
            </w:r>
          </w:p>
        </w:tc>
        <w:tc>
          <w:tcPr>
            <w:tcW w:w="7994" w:type="dxa"/>
          </w:tcPr>
          <w:p w14:paraId="6BC4A002" w14:textId="78D034C9" w:rsidR="00B06730" w:rsidRPr="008421AC" w:rsidRDefault="00B06730" w:rsidP="00B06730">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4C897A5A" w14:textId="6686017F" w:rsidR="00B06730" w:rsidRPr="008421AC" w:rsidRDefault="00B06730" w:rsidP="004C078B">
            <w:pPr>
              <w:ind w:right="-57"/>
              <w:rPr>
                <w:rFonts w:ascii="Times New Roman" w:hAnsi="Times New Roman" w:cs="Times New Roman"/>
                <w:i/>
                <w:iCs/>
              </w:rPr>
            </w:pPr>
          </w:p>
        </w:tc>
      </w:tr>
      <w:tr w:rsidR="00B06730" w:rsidRPr="00765A77" w14:paraId="4F8DFF64" w14:textId="77777777" w:rsidTr="0AB2B071">
        <w:trPr>
          <w:trHeight w:val="718"/>
        </w:trPr>
        <w:tc>
          <w:tcPr>
            <w:tcW w:w="1818" w:type="dxa"/>
          </w:tcPr>
          <w:p w14:paraId="373C9EB1" w14:textId="1BF1C213"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023585C0" w14:textId="77777777" w:rsidR="004C078B" w:rsidRPr="008421AC" w:rsidRDefault="004C078B" w:rsidP="004C078B">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2BA0B6B5" w14:textId="3DF4565B" w:rsidR="00B06730" w:rsidRPr="00765A77" w:rsidRDefault="00B06730" w:rsidP="00B06730">
            <w:pPr>
              <w:rPr>
                <w:rFonts w:ascii="Times New Roman" w:hAnsi="Times New Roman" w:cs="Times New Roman"/>
                <w:i/>
                <w:iCs/>
              </w:rPr>
            </w:pPr>
          </w:p>
        </w:tc>
      </w:tr>
      <w:tr w:rsidR="00B06730" w:rsidRPr="00765A77" w14:paraId="3BD70A6D" w14:textId="77777777" w:rsidTr="0AB2B071">
        <w:trPr>
          <w:trHeight w:val="718"/>
        </w:trPr>
        <w:tc>
          <w:tcPr>
            <w:tcW w:w="1818" w:type="dxa"/>
          </w:tcPr>
          <w:p w14:paraId="0367C54A" w14:textId="15D62DDA"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Finansuojama JP projektų veikla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1B651292" w14:textId="77777777" w:rsidR="004C078B" w:rsidRDefault="004C078B" w:rsidP="004C078B">
            <w:pPr>
              <w:jc w:val="both"/>
              <w:rPr>
                <w:rFonts w:ascii="Times" w:hAnsi="Times" w:cs="Times"/>
              </w:rPr>
            </w:pPr>
            <w:r w:rsidRPr="00DC66D4">
              <w:rPr>
                <w:rFonts w:ascii="Times" w:hAnsi="Times" w:cs="Times"/>
              </w:rPr>
              <w:t>Pagal Aprašą finansuojama veikla – viešai prieinamos įkrovimo infrastruktūros sunkiajam elektriniam transportui (M2, N2, M3, N3 klasės) įrengimas ir plėtra (t. y. įkrovimo stotelių su viena ar daugiau labai didelės galios įkrovimo prieigų (toliau – įkrovimo stotelės su prieiga (-</w:t>
            </w:r>
            <w:proofErr w:type="spellStart"/>
            <w:r w:rsidRPr="00DC66D4">
              <w:rPr>
                <w:rFonts w:ascii="Times" w:hAnsi="Times" w:cs="Times"/>
              </w:rPr>
              <w:t>omis</w:t>
            </w:r>
            <w:proofErr w:type="spellEnd"/>
            <w:r w:rsidRPr="00DC66D4">
              <w:rPr>
                <w:rFonts w:ascii="Times" w:hAnsi="Times" w:cs="Times"/>
              </w:rPr>
              <w:t>) įsigijimas, montavimas / įrengimas įkrovimo parke sunkiasvorėms elektrinėms transporto priemonėms):</w:t>
            </w:r>
          </w:p>
          <w:p w14:paraId="0F862051" w14:textId="77777777" w:rsidR="004C078B" w:rsidRDefault="004C078B" w:rsidP="004C078B">
            <w:pPr>
              <w:jc w:val="both"/>
              <w:rPr>
                <w:rFonts w:ascii="Times" w:hAnsi="Times" w:cs="Times"/>
              </w:rPr>
            </w:pPr>
            <w:r w:rsidRPr="00DC66D4">
              <w:rPr>
                <w:rFonts w:ascii="Times" w:hAnsi="Times" w:cs="Times"/>
              </w:rPr>
              <w:t>2.2.1. įkrovimo parkai nustatytuose ruožuose šalia TEN-T (pagrindiniam ir visuotiniam) tinklui priklausančių Lietuvos Respublikos valstybinės reikšmės kelių, t. y. ne didesniu kaip 3 km atstumu nuo artimiausio išvažiavimo iš nurodyto kelio ruožo iki įkrovimo parkų; atstumas nuo konkretaus ruožo iki įkrovimo parko matuojamas važiuojant keliu nustatytais ruožais šalia TEN-T tinklui priklausančių magistralinių ir krašto kelių, nurodytų Aprašo 3.4.5 papunktyje ir Viešai prieinamos sunkiųjų transporto priemonių įkrovimo infrastruktūros plėtros iki 2030 m. Lietuvoje žemėlapyje (</w:t>
            </w:r>
            <w:hyperlink r:id="rId11" w:history="1">
              <w:r w:rsidRPr="00DC66D4">
                <w:rPr>
                  <w:rFonts w:ascii="Times" w:hAnsi="Times" w:cs="Times"/>
                </w:rPr>
                <w:t>https://bit.ly/3s8cGsC</w:t>
              </w:r>
            </w:hyperlink>
            <w:r w:rsidRPr="00DC66D4">
              <w:rPr>
                <w:rFonts w:ascii="Times" w:hAnsi="Times" w:cs="Times"/>
              </w:rPr>
              <w:t>) sunkiasvorių transporto priemonių įkrovimo infrastruktūros sluoksnyje); pareiškėjo pageidavimu Aprašo 3.4.5 papunktyje ir žemėlapyje nurodyti ruožai pailginami į vieną arba kitą ruožo pusę ne didesniu nei 10 km atstumu; įkrovimo parkas suprantamas kaip viena arba daugiau įkrovimo stotelių su prieiga (-</w:t>
            </w:r>
            <w:proofErr w:type="spellStart"/>
            <w:r w:rsidRPr="00DC66D4">
              <w:rPr>
                <w:rFonts w:ascii="Times" w:hAnsi="Times" w:cs="Times"/>
              </w:rPr>
              <w:t>omis</w:t>
            </w:r>
            <w:proofErr w:type="spellEnd"/>
            <w:r w:rsidRPr="00DC66D4">
              <w:rPr>
                <w:rFonts w:ascii="Times" w:hAnsi="Times" w:cs="Times"/>
              </w:rPr>
              <w:t>), įrengta (-</w:t>
            </w:r>
            <w:proofErr w:type="spellStart"/>
            <w:r w:rsidRPr="00DC66D4">
              <w:rPr>
                <w:rFonts w:ascii="Times" w:hAnsi="Times" w:cs="Times"/>
              </w:rPr>
              <w:t>omis</w:t>
            </w:r>
            <w:proofErr w:type="spellEnd"/>
            <w:r w:rsidRPr="00DC66D4">
              <w:rPr>
                <w:rFonts w:ascii="Times" w:hAnsi="Times" w:cs="Times"/>
              </w:rPr>
              <w:t xml:space="preserve">) vieno pareiškėjo vienoje konkrečioje vietoje; </w:t>
            </w:r>
          </w:p>
          <w:p w14:paraId="27927C86" w14:textId="77777777" w:rsidR="004C078B" w:rsidRPr="00DC66D4" w:rsidRDefault="004C078B" w:rsidP="004C078B">
            <w:pPr>
              <w:jc w:val="both"/>
              <w:rPr>
                <w:rFonts w:ascii="Times" w:hAnsi="Times" w:cs="Times"/>
              </w:rPr>
            </w:pPr>
          </w:p>
          <w:p w14:paraId="39BFE3E4" w14:textId="77777777" w:rsidR="004C078B" w:rsidRDefault="004C078B" w:rsidP="004C078B">
            <w:pPr>
              <w:jc w:val="both"/>
              <w:rPr>
                <w:rFonts w:ascii="Times" w:hAnsi="Times" w:cs="Times"/>
              </w:rPr>
            </w:pPr>
            <w:r w:rsidRPr="00DC66D4">
              <w:rPr>
                <w:rFonts w:ascii="Times" w:hAnsi="Times" w:cs="Times"/>
              </w:rPr>
              <w:t>2.2.2. įkrovimo parkai saugiose ir apsaugotose stovėjimo aikštelėse; saugi ir apsaugota stovėjimo aikštelė suprantama kaip stovėjimo aikštelė, kuria gali naudotis vairuotojai, vežantys prekes ar keleivius, ir kuri yra sertifikuota pagal 2022 m. balandžio 7 d.  Komisijos deleguotąjį reglamentą (ES) 2022/1012, kuriuo dėl standartų, kuriuose išsamiai aprašoma saugiose ir apsaugotose stovėjimo aikštelėse teikiamų paslaugų kokybė ir tų aikštelių saugumo lygis, nustatymo ir tų aikštelių sertifikavimo procedūrų papildomas Europos Parlamento ir Tarybos reglamentas (EB) Nr. 561/2006;</w:t>
            </w:r>
          </w:p>
          <w:p w14:paraId="1196790C" w14:textId="77777777" w:rsidR="004C078B" w:rsidRPr="00DC66D4" w:rsidRDefault="004C078B" w:rsidP="004C078B">
            <w:pPr>
              <w:jc w:val="both"/>
              <w:rPr>
                <w:rFonts w:ascii="Times" w:hAnsi="Times" w:cs="Times"/>
              </w:rPr>
            </w:pPr>
          </w:p>
          <w:p w14:paraId="54AE8552" w14:textId="77777777" w:rsidR="004C078B" w:rsidRPr="00DC66D4" w:rsidRDefault="004C078B" w:rsidP="004C078B">
            <w:pPr>
              <w:jc w:val="both"/>
              <w:rPr>
                <w:rFonts w:ascii="Times" w:hAnsi="Times" w:cs="Times"/>
              </w:rPr>
            </w:pPr>
            <w:bookmarkStart w:id="0" w:name="_Hlk170744759"/>
            <w:r w:rsidRPr="00DC66D4">
              <w:rPr>
                <w:rFonts w:ascii="Times" w:hAnsi="Times" w:cs="Times"/>
              </w:rPr>
              <w:t xml:space="preserve">2.2.3. įkrovimo parkai  Vilniaus, Kauno, Klaipėdos, Šiaulių, Panevėžio miestų transporto mazguose (miestų transporto mazgas suprantamas taip, kaip apibrėžta 2013 m. gruodžio 11 d. Europos Parlamento ir Tarybos reglamento (ES) Nr. 1315/2013 dėl Sąjungos </w:t>
            </w:r>
            <w:proofErr w:type="spellStart"/>
            <w:r w:rsidRPr="00DC66D4">
              <w:rPr>
                <w:rFonts w:ascii="Times" w:hAnsi="Times" w:cs="Times"/>
              </w:rPr>
              <w:t>transeuropinio</w:t>
            </w:r>
            <w:proofErr w:type="spellEnd"/>
            <w:r w:rsidRPr="00DC66D4">
              <w:rPr>
                <w:rFonts w:ascii="Times" w:hAnsi="Times" w:cs="Times"/>
              </w:rPr>
              <w:t xml:space="preserve"> transporto tinklo plėtros gairių, kuriuo panaikinamas Sprendimas Nr. 661/2010/ES su visais pakeitimais, 3 straipsnio 6 punkte).</w:t>
            </w:r>
          </w:p>
          <w:bookmarkEnd w:id="0"/>
          <w:p w14:paraId="3F0848A0" w14:textId="5A58C9ED" w:rsidR="00B06730" w:rsidRPr="009B0FB6" w:rsidRDefault="00B06730" w:rsidP="00B06730">
            <w:pPr>
              <w:rPr>
                <w:i/>
                <w:iCs/>
              </w:rPr>
            </w:pPr>
          </w:p>
        </w:tc>
      </w:tr>
      <w:tr w:rsidR="00B06730" w:rsidRPr="00765A77" w14:paraId="2C9DD2DB" w14:textId="77777777" w:rsidTr="0AB2B071">
        <w:trPr>
          <w:trHeight w:val="718"/>
        </w:trPr>
        <w:tc>
          <w:tcPr>
            <w:tcW w:w="1818" w:type="dxa"/>
          </w:tcPr>
          <w:p w14:paraId="7B166D93" w14:textId="304DE92D"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Galimi pareiškėjai</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26768A21" w14:textId="02D1523F" w:rsidR="00B06730" w:rsidRPr="004C078B" w:rsidRDefault="004C078B" w:rsidP="004C078B">
            <w:pPr>
              <w:jc w:val="both"/>
              <w:rPr>
                <w:rFonts w:ascii="Times New Roman" w:eastAsia="Times New Roman" w:hAnsi="Times New Roman" w:cs="Times New Roman"/>
                <w:color w:val="FF0000"/>
              </w:rPr>
            </w:pPr>
            <w:r w:rsidRPr="00C203F7">
              <w:rPr>
                <w:rFonts w:ascii="Times New Roman" w:eastAsia="Times New Roman" w:hAnsi="Times New Roman" w:cs="Times New Roman"/>
              </w:rPr>
              <w:t xml:space="preserve">JP projektų pareiškėjai – juridiniai asmenys, turintys </w:t>
            </w:r>
            <w:r w:rsidRPr="0093221A">
              <w:rPr>
                <w:rFonts w:ascii="Times New Roman" w:eastAsia="Times New Roman" w:hAnsi="Times New Roman" w:cs="Times New Roman"/>
              </w:rPr>
              <w:t>teisę vykdyti ekonominę veiklą</w:t>
            </w:r>
            <w:r w:rsidRPr="00C07171">
              <w:rPr>
                <w:rFonts w:ascii="Times New Roman" w:eastAsia="Times New Roman" w:hAnsi="Times New Roman" w:cs="Times New Roman"/>
                <w:color w:val="000000" w:themeColor="text1"/>
              </w:rPr>
              <w:t>,</w:t>
            </w:r>
            <w:r>
              <w:rPr>
                <w:rFonts w:ascii="Times New Roman" w:eastAsia="Times New Roman" w:hAnsi="Times New Roman" w:cs="Times New Roman"/>
                <w:color w:val="FF0000"/>
              </w:rPr>
              <w:t xml:space="preserve"> </w:t>
            </w:r>
            <w:r w:rsidRPr="004961BB">
              <w:rPr>
                <w:rFonts w:ascii="Times" w:hAnsi="Times" w:cs="Times"/>
              </w:rPr>
              <w:t>mažos</w:t>
            </w:r>
            <w:r w:rsidR="00C07171">
              <w:rPr>
                <w:rFonts w:ascii="Times" w:hAnsi="Times" w:cs="Times"/>
              </w:rPr>
              <w:t xml:space="preserve">, </w:t>
            </w:r>
            <w:r w:rsidRPr="004961BB">
              <w:rPr>
                <w:rFonts w:ascii="Times" w:hAnsi="Times" w:cs="Times"/>
              </w:rPr>
              <w:t>vidutinės</w:t>
            </w:r>
            <w:r>
              <w:rPr>
                <w:rFonts w:ascii="Times" w:hAnsi="Times" w:cs="Times"/>
              </w:rPr>
              <w:t>, didelės įmonės</w:t>
            </w:r>
            <w:r w:rsidRPr="009C3605">
              <w:rPr>
                <w:rFonts w:ascii="Times" w:hAnsi="Times" w:cs="Times"/>
              </w:rPr>
              <w:t xml:space="preserve"> (kaip tai yra apibrėžta LR įmonių atskaitomybės įstatymo 4 straipsnyje) (išskyrus tas, kurios veikia Reglamento (ES) Nr. 651/2014 1 </w:t>
            </w:r>
            <w:r w:rsidRPr="009C3605">
              <w:rPr>
                <w:rFonts w:ascii="Times" w:hAnsi="Times" w:cs="Times"/>
              </w:rPr>
              <w:lastRenderedPageBreak/>
              <w:t xml:space="preserve">straipsnio 3 dalyje nurodytame sektoriuje ir (arba) atitinka šio straipsnio 4 dalyje Reglamento (ES) Nr. 651/2014 netaikymo nuostatas), įsigyjantys ir įrengiantys </w:t>
            </w:r>
            <w:r w:rsidRPr="0093221A">
              <w:rPr>
                <w:rFonts w:ascii="Times" w:hAnsi="Times" w:cs="Times"/>
              </w:rPr>
              <w:t>viešai prieinam</w:t>
            </w:r>
            <w:r>
              <w:rPr>
                <w:rFonts w:ascii="Times" w:hAnsi="Times" w:cs="Times"/>
              </w:rPr>
              <w:t>ą</w:t>
            </w:r>
            <w:r w:rsidRPr="0093221A">
              <w:rPr>
                <w:rFonts w:ascii="Times" w:hAnsi="Times" w:cs="Times"/>
              </w:rPr>
              <w:t xml:space="preserve"> įkrovimo infrastruktūr</w:t>
            </w:r>
            <w:r>
              <w:rPr>
                <w:rFonts w:ascii="Times" w:hAnsi="Times" w:cs="Times"/>
              </w:rPr>
              <w:t>ą</w:t>
            </w:r>
            <w:r w:rsidRPr="0093221A">
              <w:rPr>
                <w:rFonts w:ascii="Times" w:hAnsi="Times" w:cs="Times"/>
              </w:rPr>
              <w:t xml:space="preserve"> sunkiajam elektriniam transportui (M2, N2, M3, N3 klasės)</w:t>
            </w:r>
            <w:r>
              <w:rPr>
                <w:rFonts w:ascii="Times" w:hAnsi="Times" w:cs="Times"/>
              </w:rPr>
              <w:t>.</w:t>
            </w:r>
          </w:p>
        </w:tc>
      </w:tr>
      <w:tr w:rsidR="00B06730" w:rsidRPr="00765A77" w14:paraId="28334063" w14:textId="77777777" w:rsidTr="0AB2B071">
        <w:trPr>
          <w:trHeight w:val="349"/>
        </w:trPr>
        <w:tc>
          <w:tcPr>
            <w:tcW w:w="1818" w:type="dxa"/>
          </w:tcPr>
          <w:p w14:paraId="5F62BDC9" w14:textId="52F3465F" w:rsidR="00B06730" w:rsidRPr="00765A77" w:rsidRDefault="00B06730" w:rsidP="00B06730">
            <w:pPr>
              <w:rPr>
                <w:rFonts w:ascii="Times New Roman" w:hAnsi="Times New Roman" w:cs="Times New Roman"/>
                <w:b/>
                <w:bCs/>
              </w:rPr>
            </w:pPr>
            <w:r w:rsidRPr="00765A77">
              <w:rPr>
                <w:rFonts w:ascii="Times New Roman" w:hAnsi="Times New Roman" w:cs="Times New Roman"/>
                <w:b/>
                <w:bCs/>
              </w:rPr>
              <w:lastRenderedPageBreak/>
              <w:t>Pareiškėjo tipas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085AE90" w14:textId="6A6E089F" w:rsidR="00B06730" w:rsidRPr="00E66517" w:rsidRDefault="00B06730" w:rsidP="00B06730">
            <w:pPr>
              <w:jc w:val="both"/>
              <w:rPr>
                <w:rFonts w:ascii="Times New Roman" w:hAnsi="Times New Roman" w:cs="Times New Roman"/>
              </w:rPr>
            </w:pPr>
            <w:r w:rsidRPr="00E66517">
              <w:rPr>
                <w:rFonts w:ascii="Times New Roman" w:hAnsi="Times New Roman" w:cs="Times New Roman"/>
              </w:rPr>
              <w:t>Privatusis</w:t>
            </w:r>
          </w:p>
          <w:p w14:paraId="6A17A574" w14:textId="18B002EC" w:rsidR="00B06730" w:rsidRPr="001B3B91" w:rsidRDefault="001B3B91" w:rsidP="00B06730">
            <w:pPr>
              <w:jc w:val="both"/>
              <w:rPr>
                <w:rFonts w:ascii="Times New Roman" w:hAnsi="Times New Roman" w:cs="Times New Roman"/>
              </w:rPr>
            </w:pPr>
            <w:r w:rsidRPr="001B3B91">
              <w:rPr>
                <w:rFonts w:ascii="Times New Roman" w:hAnsi="Times New Roman" w:cs="Times New Roman"/>
              </w:rPr>
              <w:t>Viešas</w:t>
            </w:r>
            <w:r>
              <w:rPr>
                <w:rFonts w:ascii="Times New Roman" w:hAnsi="Times New Roman" w:cs="Times New Roman"/>
              </w:rPr>
              <w:t>is</w:t>
            </w:r>
          </w:p>
        </w:tc>
      </w:tr>
      <w:tr w:rsidR="00B06730" w:rsidRPr="00765A77" w14:paraId="49A5F95F" w14:textId="77777777" w:rsidTr="0AB2B071">
        <w:trPr>
          <w:trHeight w:val="259"/>
        </w:trPr>
        <w:tc>
          <w:tcPr>
            <w:tcW w:w="1818" w:type="dxa"/>
          </w:tcPr>
          <w:p w14:paraId="30122D79" w14:textId="29B2D0E5"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Didžiausia galima skirti finansavimo lėšų suma JP projekt</w:t>
            </w:r>
            <w:r w:rsidRPr="00E66517">
              <w:rPr>
                <w:rFonts w:ascii="Times New Roman" w:hAnsi="Times New Roman" w:cs="Times New Roman"/>
                <w:b/>
                <w:bCs/>
              </w:rPr>
              <w:t>ui</w:t>
            </w:r>
            <w:r w:rsidRPr="00765A77">
              <w:rPr>
                <w:rFonts w:ascii="Times New Roman" w:hAnsi="Times New Roman" w:cs="Times New Roman"/>
                <w:b/>
                <w:bCs/>
              </w:rPr>
              <w:t xml:space="preserve"> įgyvendinti, eurais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FEAD165" w14:textId="77777777" w:rsidR="004C078B" w:rsidRPr="00666EF4" w:rsidRDefault="004C078B" w:rsidP="004C078B">
            <w:pPr>
              <w:spacing w:line="259" w:lineRule="auto"/>
              <w:jc w:val="both"/>
              <w:rPr>
                <w:rFonts w:ascii="Times" w:hAnsi="Times" w:cs="Times"/>
                <w:color w:val="000000" w:themeColor="text1"/>
              </w:rPr>
            </w:pPr>
            <w:r w:rsidRPr="00666EF4">
              <w:rPr>
                <w:rFonts w:ascii="Times" w:hAnsi="Times" w:cs="Times"/>
                <w:color w:val="000000" w:themeColor="text1"/>
              </w:rPr>
              <w:t>Vienam JP projekto pareiškėjui (vienam juridiniam asmeniui) suteikta dotacija negali viršyti 5 000 000 (penkių milijonų) eurų.</w:t>
            </w:r>
          </w:p>
          <w:p w14:paraId="44674A9B" w14:textId="77777777" w:rsidR="00B06730" w:rsidRPr="00765A77" w:rsidRDefault="00B06730" w:rsidP="00B06730">
            <w:pPr>
              <w:jc w:val="both"/>
              <w:rPr>
                <w:rFonts w:ascii="Times New Roman" w:hAnsi="Times New Roman" w:cs="Times New Roman"/>
                <w:i/>
                <w:iCs/>
              </w:rPr>
            </w:pPr>
          </w:p>
        </w:tc>
      </w:tr>
      <w:tr w:rsidR="00B06730" w:rsidRPr="00765A77" w14:paraId="2427B8BF" w14:textId="77777777" w:rsidTr="0AB2B071">
        <w:trPr>
          <w:trHeight w:val="718"/>
        </w:trPr>
        <w:tc>
          <w:tcPr>
            <w:tcW w:w="1818" w:type="dxa"/>
          </w:tcPr>
          <w:p w14:paraId="08AF83E7" w14:textId="33AE2868"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Finansuojamoji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5B036E8" w14:textId="77777777" w:rsidR="005401E9" w:rsidRDefault="005401E9" w:rsidP="005401E9">
            <w:pPr>
              <w:jc w:val="both"/>
              <w:rPr>
                <w:rFonts w:ascii="Times" w:hAnsi="Times" w:cs="Times"/>
              </w:rPr>
            </w:pPr>
            <w:r>
              <w:rPr>
                <w:rFonts w:ascii="Times" w:hAnsi="Times" w:cs="Times"/>
              </w:rPr>
              <w:t xml:space="preserve">Didelėms įmonėms iki </w:t>
            </w:r>
            <w:r w:rsidRPr="00AD6CA1">
              <w:rPr>
                <w:rFonts w:ascii="Times" w:hAnsi="Times" w:cs="Times"/>
              </w:rPr>
              <w:t>25 proc.</w:t>
            </w:r>
            <w:r>
              <w:rPr>
                <w:rFonts w:ascii="Times" w:hAnsi="Times" w:cs="Times"/>
              </w:rPr>
              <w:t>, vidutinei įmonei iki</w:t>
            </w:r>
            <w:r w:rsidRPr="00AD6CA1">
              <w:rPr>
                <w:rFonts w:ascii="Times" w:hAnsi="Times" w:cs="Times"/>
              </w:rPr>
              <w:t xml:space="preserve"> 45 proc.</w:t>
            </w:r>
            <w:r>
              <w:rPr>
                <w:rFonts w:ascii="Times" w:hAnsi="Times" w:cs="Times"/>
              </w:rPr>
              <w:t xml:space="preserve">, </w:t>
            </w:r>
            <w:r w:rsidRPr="00AD6CA1">
              <w:rPr>
                <w:rFonts w:ascii="Times" w:hAnsi="Times" w:cs="Times"/>
              </w:rPr>
              <w:t xml:space="preserve"> </w:t>
            </w:r>
            <w:r>
              <w:rPr>
                <w:rFonts w:ascii="Times" w:hAnsi="Times" w:cs="Times"/>
              </w:rPr>
              <w:t xml:space="preserve">mažai įmonei iki </w:t>
            </w:r>
            <w:r w:rsidRPr="00AD6CA1">
              <w:rPr>
                <w:rFonts w:ascii="Times" w:hAnsi="Times" w:cs="Times"/>
              </w:rPr>
              <w:t xml:space="preserve"> 55 proc. už kiekvieną įsigytą ir Sostinės regione 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p w14:paraId="543716BB" w14:textId="77777777" w:rsidR="005401E9" w:rsidRDefault="005401E9" w:rsidP="005401E9">
            <w:pPr>
              <w:jc w:val="both"/>
              <w:rPr>
                <w:rFonts w:ascii="Times" w:hAnsi="Times" w:cs="Times"/>
              </w:rPr>
            </w:pPr>
          </w:p>
          <w:p w14:paraId="5063EA7E" w14:textId="18195504" w:rsidR="00B06730" w:rsidRPr="005401E9" w:rsidRDefault="005401E9" w:rsidP="00B06730">
            <w:pPr>
              <w:jc w:val="both"/>
              <w:rPr>
                <w:rFonts w:ascii="Times" w:hAnsi="Times" w:cs="Times"/>
              </w:rPr>
            </w:pPr>
            <w:r>
              <w:rPr>
                <w:rFonts w:ascii="Times" w:hAnsi="Times" w:cs="Times"/>
              </w:rPr>
              <w:t xml:space="preserve">Didelėms įmonėms iki </w:t>
            </w:r>
            <w:r w:rsidRPr="00AD6CA1">
              <w:rPr>
                <w:rFonts w:ascii="Times" w:hAnsi="Times" w:cs="Times"/>
              </w:rPr>
              <w:t xml:space="preserve">35 proc. </w:t>
            </w:r>
            <w:r>
              <w:rPr>
                <w:rFonts w:ascii="Times" w:hAnsi="Times" w:cs="Times"/>
              </w:rPr>
              <w:t>,vidutinei įmonei iki</w:t>
            </w:r>
            <w:r w:rsidRPr="00AD6CA1">
              <w:rPr>
                <w:rFonts w:ascii="Times" w:hAnsi="Times" w:cs="Times"/>
              </w:rPr>
              <w:t xml:space="preserve"> 55 proc. </w:t>
            </w:r>
            <w:r>
              <w:rPr>
                <w:rFonts w:ascii="Times" w:hAnsi="Times" w:cs="Times"/>
              </w:rPr>
              <w:t>, mažai įmonei iki</w:t>
            </w:r>
            <w:r w:rsidRPr="00AD6CA1">
              <w:rPr>
                <w:rFonts w:ascii="Times" w:hAnsi="Times" w:cs="Times"/>
              </w:rPr>
              <w:t xml:space="preserve"> 60 proc. už kiekvieną įsigytą ir </w:t>
            </w:r>
            <w:r w:rsidRPr="00826E80">
              <w:rPr>
                <w:rFonts w:ascii="Times" w:hAnsi="Times" w:cs="Times"/>
              </w:rPr>
              <w:t>Vidurio ir vakarų Lietuvos regione</w:t>
            </w:r>
            <w:r>
              <w:rPr>
                <w:rFonts w:ascii="Times" w:hAnsi="Times" w:cs="Times"/>
              </w:rPr>
              <w:t xml:space="preserve"> </w:t>
            </w:r>
            <w:r w:rsidRPr="00AD6CA1">
              <w:rPr>
                <w:rFonts w:ascii="Times" w:hAnsi="Times" w:cs="Times"/>
              </w:rPr>
              <w:t>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tc>
      </w:tr>
      <w:tr w:rsidR="00B06730" w:rsidRPr="00765A77" w14:paraId="10100BD0" w14:textId="77777777" w:rsidTr="0AB2B071">
        <w:trPr>
          <w:trHeight w:val="718"/>
        </w:trPr>
        <w:tc>
          <w:tcPr>
            <w:tcW w:w="1818" w:type="dxa"/>
          </w:tcPr>
          <w:p w14:paraId="09AF2C42" w14:textId="1EAFC5EE"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Nuosavo įnašo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2BD532C6" w14:textId="77777777" w:rsidR="005401E9" w:rsidRDefault="005401E9" w:rsidP="005401E9">
            <w:pPr>
              <w:jc w:val="both"/>
              <w:rPr>
                <w:rFonts w:ascii="Times" w:hAnsi="Times" w:cs="Times"/>
              </w:rPr>
            </w:pPr>
            <w:r w:rsidRPr="00826E80">
              <w:rPr>
                <w:rFonts w:ascii="Times" w:hAnsi="Times" w:cs="Times"/>
              </w:rPr>
              <w:t>Didelėms įmonėms ne mažiau 75 proc., vidutinėms įmonėms ne mažiau  55 proc., mažoms įmonėms ne mažiau 45 proc.</w:t>
            </w:r>
            <w:r w:rsidRPr="00AD6CA1">
              <w:rPr>
                <w:rFonts w:ascii="Times" w:hAnsi="Times" w:cs="Times"/>
              </w:rPr>
              <w:t xml:space="preserve"> už kiekvieną įsigytą ir Sostinės regione 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p w14:paraId="2D09ADD2" w14:textId="77777777" w:rsidR="005401E9" w:rsidRDefault="005401E9" w:rsidP="005401E9">
            <w:pPr>
              <w:spacing w:line="259" w:lineRule="auto"/>
              <w:jc w:val="both"/>
              <w:rPr>
                <w:rFonts w:ascii="Times" w:hAnsi="Times" w:cs="Times"/>
              </w:rPr>
            </w:pPr>
          </w:p>
          <w:p w14:paraId="20419C25" w14:textId="098B2B8D" w:rsidR="00B06730" w:rsidRPr="005401E9" w:rsidRDefault="005401E9" w:rsidP="00B06730">
            <w:pPr>
              <w:jc w:val="both"/>
              <w:rPr>
                <w:rFonts w:ascii="Times" w:hAnsi="Times" w:cs="Times"/>
              </w:rPr>
            </w:pPr>
            <w:r w:rsidRPr="00826E80">
              <w:rPr>
                <w:rFonts w:ascii="Times" w:hAnsi="Times" w:cs="Times"/>
              </w:rPr>
              <w:t xml:space="preserve">Didelėms įmonėms ne mažiau </w:t>
            </w:r>
            <w:r>
              <w:rPr>
                <w:rFonts w:ascii="Times" w:hAnsi="Times" w:cs="Times"/>
              </w:rPr>
              <w:t>6</w:t>
            </w:r>
            <w:r w:rsidRPr="00826E80">
              <w:rPr>
                <w:rFonts w:ascii="Times" w:hAnsi="Times" w:cs="Times"/>
              </w:rPr>
              <w:t xml:space="preserve">5 proc., vidutinėms įmonėms ne mažiau  </w:t>
            </w:r>
            <w:r>
              <w:rPr>
                <w:rFonts w:ascii="Times" w:hAnsi="Times" w:cs="Times"/>
              </w:rPr>
              <w:t>4</w:t>
            </w:r>
            <w:r w:rsidRPr="00826E80">
              <w:rPr>
                <w:rFonts w:ascii="Times" w:hAnsi="Times" w:cs="Times"/>
              </w:rPr>
              <w:t>5 proc., mažoms įmonėms ne mažiau 4</w:t>
            </w:r>
            <w:r>
              <w:rPr>
                <w:rFonts w:ascii="Times" w:hAnsi="Times" w:cs="Times"/>
              </w:rPr>
              <w:t>0</w:t>
            </w:r>
            <w:r w:rsidRPr="00826E80">
              <w:rPr>
                <w:rFonts w:ascii="Times" w:hAnsi="Times" w:cs="Times"/>
              </w:rPr>
              <w:t xml:space="preserve"> proc.</w:t>
            </w:r>
            <w:r w:rsidRPr="00AD6CA1">
              <w:rPr>
                <w:rFonts w:ascii="Times" w:hAnsi="Times" w:cs="Times"/>
              </w:rPr>
              <w:t xml:space="preserve"> už kiekvieną įsigytą ir </w:t>
            </w:r>
            <w:r w:rsidRPr="00826E80">
              <w:rPr>
                <w:rFonts w:ascii="Times" w:hAnsi="Times" w:cs="Times"/>
              </w:rPr>
              <w:t>Vidurio ir vakarų Lietuvos</w:t>
            </w:r>
            <w:r>
              <w:rPr>
                <w:rFonts w:ascii="Times" w:hAnsi="Times" w:cs="Times"/>
              </w:rPr>
              <w:t xml:space="preserve"> regione </w:t>
            </w:r>
            <w:r w:rsidRPr="00AD6CA1">
              <w:rPr>
                <w:rFonts w:ascii="Times" w:hAnsi="Times" w:cs="Times"/>
              </w:rPr>
              <w:t>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tc>
      </w:tr>
      <w:tr w:rsidR="00B06730" w:rsidRPr="00765A77" w14:paraId="0853CEB3" w14:textId="77777777" w:rsidTr="0AB2B071">
        <w:trPr>
          <w:trHeight w:val="718"/>
        </w:trPr>
        <w:tc>
          <w:tcPr>
            <w:tcW w:w="1818" w:type="dxa"/>
          </w:tcPr>
          <w:p w14:paraId="3A19AE50" w14:textId="2221040A" w:rsidR="00B06730" w:rsidRPr="00765A77" w:rsidRDefault="00B06730" w:rsidP="00B06730">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3C58383" w14:textId="69A15BEF" w:rsidR="00B06730" w:rsidRPr="00765A77" w:rsidRDefault="00B06730" w:rsidP="00B06730">
            <w:pPr>
              <w:rPr>
                <w:rFonts w:ascii="Times New Roman" w:eastAsia="Times New Roman" w:hAnsi="Times New Roman" w:cs="Times New Roman"/>
                <w:i/>
                <w:iCs/>
              </w:rPr>
            </w:pPr>
            <w:r w:rsidRPr="00765A77">
              <w:rPr>
                <w:rFonts w:ascii="Times New Roman" w:eastAsia="Times New Roman" w:hAnsi="Times New Roman" w:cs="Times New Roman"/>
                <w:i/>
                <w:iCs/>
              </w:rPr>
              <w:t>Atvaizduojama lentele. Jeigu taikomi keli supaprastintai apmokamų išlaidų dydžiai, jie nurodomi atskirose eilutėse.</w:t>
            </w:r>
          </w:p>
          <w:p w14:paraId="3D6D7F8F" w14:textId="77777777" w:rsidR="00B06730" w:rsidRPr="00765A77" w:rsidRDefault="00B06730" w:rsidP="00B06730">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119"/>
              <w:gridCol w:w="850"/>
              <w:gridCol w:w="1765"/>
            </w:tblGrid>
            <w:tr w:rsidR="00B06730" w:rsidRPr="00765A77" w14:paraId="5AD92164" w14:textId="77777777" w:rsidTr="005401E9">
              <w:tc>
                <w:tcPr>
                  <w:tcW w:w="1293" w:type="dxa"/>
                </w:tcPr>
                <w:p w14:paraId="4820050B" w14:textId="79759F8A"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B06730" w:rsidRPr="00E66517" w:rsidRDefault="00B06730" w:rsidP="00B06730">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B06730" w:rsidRPr="00E66517" w:rsidRDefault="00B06730" w:rsidP="00B06730">
                  <w:pPr>
                    <w:rPr>
                      <w:rFonts w:ascii="Times New Roman" w:eastAsia="Times New Roman" w:hAnsi="Times New Roman" w:cs="Times New Roman"/>
                      <w:i/>
                      <w:iCs/>
                      <w:sz w:val="20"/>
                      <w:szCs w:val="20"/>
                    </w:rPr>
                  </w:pPr>
                </w:p>
              </w:tc>
              <w:tc>
                <w:tcPr>
                  <w:tcW w:w="1442" w:type="dxa"/>
                </w:tcPr>
                <w:p w14:paraId="174AE5F8" w14:textId="4AEC81BB"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19" w:type="dxa"/>
                </w:tcPr>
                <w:p w14:paraId="2F650787" w14:textId="6E39BB0C"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850" w:type="dxa"/>
                </w:tcPr>
                <w:p w14:paraId="51DE94DE" w14:textId="37C9AC94"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765" w:type="dxa"/>
                </w:tcPr>
                <w:p w14:paraId="6301E5C8" w14:textId="4EEE6EED"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401E9" w:rsidRPr="00765A77" w14:paraId="173CDFE5" w14:textId="77777777" w:rsidTr="005401E9">
              <w:tc>
                <w:tcPr>
                  <w:tcW w:w="1293" w:type="dxa"/>
                </w:tcPr>
                <w:p w14:paraId="7D695F10" w14:textId="08C968F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FĮ-35-13</w:t>
                  </w:r>
                </w:p>
              </w:tc>
              <w:tc>
                <w:tcPr>
                  <w:tcW w:w="1294" w:type="dxa"/>
                </w:tcPr>
                <w:p w14:paraId="4E70F5AD" w14:textId="0311E54C"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01</w:t>
                  </w:r>
                </w:p>
              </w:tc>
              <w:tc>
                <w:tcPr>
                  <w:tcW w:w="1442" w:type="dxa"/>
                </w:tcPr>
                <w:p w14:paraId="5E8DDA44" w14:textId="1E84C669"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skaičius </w:t>
                  </w:r>
                  <w:r w:rsidRPr="00A670F2">
                    <w:rPr>
                      <w:rFonts w:ascii="Times" w:hAnsi="Times" w:cs="Times"/>
                    </w:rPr>
                    <w:lastRenderedPageBreak/>
                    <w:t>lygus 1, be PVM.</w:t>
                  </w:r>
                </w:p>
              </w:tc>
              <w:tc>
                <w:tcPr>
                  <w:tcW w:w="1119" w:type="dxa"/>
                </w:tcPr>
                <w:p w14:paraId="02FB5C8A" w14:textId="3A3C0F08" w:rsidR="005401E9" w:rsidRPr="00E66517" w:rsidRDefault="005401E9" w:rsidP="005401E9">
                  <w:pPr>
                    <w:rPr>
                      <w:rFonts w:ascii="Times New Roman" w:eastAsia="Times New Roman" w:hAnsi="Times New Roman" w:cs="Times New Roman"/>
                      <w:i/>
                      <w:iCs/>
                      <w:sz w:val="20"/>
                      <w:szCs w:val="20"/>
                    </w:rPr>
                  </w:pPr>
                  <w:r w:rsidRPr="00BF4895">
                    <w:rPr>
                      <w:rFonts w:ascii="Times" w:hAnsi="Times" w:cs="Times"/>
                    </w:rPr>
                    <w:lastRenderedPageBreak/>
                    <w:t>51615,43</w:t>
                  </w:r>
                  <w:r>
                    <w:rPr>
                      <w:rFonts w:ascii="Times" w:hAnsi="Times" w:cs="Times"/>
                    </w:rPr>
                    <w:t xml:space="preserve"> Eur.</w:t>
                  </w:r>
                </w:p>
              </w:tc>
              <w:tc>
                <w:tcPr>
                  <w:tcW w:w="850" w:type="dxa"/>
                </w:tcPr>
                <w:p w14:paraId="0019DAF3" w14:textId="7BB1A4E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Vnt.</w:t>
                  </w:r>
                </w:p>
              </w:tc>
              <w:tc>
                <w:tcPr>
                  <w:tcW w:w="1765" w:type="dxa"/>
                </w:tcPr>
                <w:p w14:paraId="43130024" w14:textId="77777777" w:rsidR="005401E9" w:rsidRPr="00A670F2" w:rsidRDefault="005401E9" w:rsidP="005401E9">
                  <w:pPr>
                    <w:jc w:val="both"/>
                    <w:rPr>
                      <w:rFonts w:ascii="Times" w:hAnsi="Times" w:cs="Times"/>
                    </w:rPr>
                  </w:pPr>
                  <w:r w:rsidRPr="00A670F2">
                    <w:rPr>
                      <w:rFonts w:ascii="Times" w:hAnsi="Times" w:cs="Times"/>
                    </w:rPr>
                    <w:t xml:space="preserve">1. Elektromobilių įkrovimo stotelės įrengimą pagrindžiančių bei perėmimo nuosavybėn įrodančių dokumentų kopijos (perdavimo-priėmimo aktas ar kiti lygiaverčiai dokumentai), kuriose nurodyta elektromobilių įkrovimo prieigos perduodama </w:t>
                  </w:r>
                  <w:r w:rsidRPr="00A670F2">
                    <w:rPr>
                      <w:rFonts w:ascii="Times" w:hAnsi="Times" w:cs="Times"/>
                    </w:rPr>
                    <w:lastRenderedPageBreak/>
                    <w:t>elektrinė galia bei prieigų skaičius.</w:t>
                  </w:r>
                </w:p>
                <w:p w14:paraId="4AF94117" w14:textId="77777777" w:rsidR="005401E9" w:rsidRPr="00A670F2" w:rsidRDefault="005401E9" w:rsidP="005401E9">
                  <w:pPr>
                    <w:jc w:val="both"/>
                    <w:rPr>
                      <w:rFonts w:ascii="Times" w:hAnsi="Times" w:cs="Times"/>
                    </w:rPr>
                  </w:pPr>
                  <w:r w:rsidRPr="00A670F2">
                    <w:rPr>
                      <w:rFonts w:ascii="Times" w:hAnsi="Times" w:cs="Times"/>
                    </w:rPr>
                    <w:t>2. Energijos skirstymo operatoriaus (ESO) išduotos Prijungimo sąlygos elektros įrenginių prijungimui.</w:t>
                  </w:r>
                </w:p>
                <w:p w14:paraId="7AF15453" w14:textId="5742EB4B"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3. Elektromobilių įkrovimo prieigos techninė specifikacija, kurioje turi būti nurodyta, kad ji atitinka minimalius techninius reikalavimus.</w:t>
                  </w:r>
                </w:p>
              </w:tc>
            </w:tr>
            <w:tr w:rsidR="005401E9" w:rsidRPr="00765A77" w14:paraId="59C02C24" w14:textId="77777777" w:rsidTr="005401E9">
              <w:tc>
                <w:tcPr>
                  <w:tcW w:w="1293" w:type="dxa"/>
                </w:tcPr>
                <w:p w14:paraId="56E2DD35" w14:textId="1534AED3" w:rsidR="005401E9" w:rsidRPr="00765A77" w:rsidRDefault="005401E9" w:rsidP="005401E9">
                  <w:pPr>
                    <w:rPr>
                      <w:rFonts w:ascii="Times New Roman" w:eastAsia="Times New Roman" w:hAnsi="Times New Roman" w:cs="Times New Roman"/>
                      <w:i/>
                      <w:iCs/>
                    </w:rPr>
                  </w:pPr>
                  <w:r w:rsidRPr="00A670F2">
                    <w:rPr>
                      <w:rFonts w:ascii="Times" w:hAnsi="Times" w:cs="Times"/>
                    </w:rPr>
                    <w:lastRenderedPageBreak/>
                    <w:t>FĮ-35-15</w:t>
                  </w:r>
                </w:p>
              </w:tc>
              <w:tc>
                <w:tcPr>
                  <w:tcW w:w="1294" w:type="dxa"/>
                </w:tcPr>
                <w:p w14:paraId="584D18F6" w14:textId="66BECE64" w:rsidR="005401E9" w:rsidRPr="00765A77" w:rsidRDefault="005401E9" w:rsidP="005401E9">
                  <w:pPr>
                    <w:rPr>
                      <w:rFonts w:ascii="Times New Roman" w:eastAsia="Times New Roman" w:hAnsi="Times New Roman" w:cs="Times New Roman"/>
                      <w:i/>
                      <w:iCs/>
                    </w:rPr>
                  </w:pPr>
                  <w:r w:rsidRPr="00A670F2">
                    <w:rPr>
                      <w:rFonts w:ascii="Times" w:hAnsi="Times" w:cs="Times"/>
                    </w:rPr>
                    <w:t>01</w:t>
                  </w:r>
                </w:p>
              </w:tc>
              <w:tc>
                <w:tcPr>
                  <w:tcW w:w="1442" w:type="dxa"/>
                </w:tcPr>
                <w:p w14:paraId="20C385FD" w14:textId="5FB10F96" w:rsidR="005401E9" w:rsidRPr="00765A77" w:rsidRDefault="005401E9" w:rsidP="005401E9">
                  <w:pPr>
                    <w:rPr>
                      <w:rFonts w:ascii="Times New Roman" w:eastAsia="Times New Roman" w:hAnsi="Times New Roman" w:cs="Times New Roman"/>
                      <w:i/>
                      <w:iC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19" w:type="dxa"/>
                </w:tcPr>
                <w:p w14:paraId="07F7EE9D" w14:textId="081693CC" w:rsidR="005401E9" w:rsidRPr="00765A77" w:rsidRDefault="005401E9" w:rsidP="005401E9">
                  <w:pPr>
                    <w:rPr>
                      <w:rFonts w:ascii="Times New Roman" w:eastAsia="Times New Roman" w:hAnsi="Times New Roman" w:cs="Times New Roman"/>
                      <w:i/>
                      <w:iCs/>
                    </w:rPr>
                  </w:pPr>
                  <w:r w:rsidRPr="00BF4895">
                    <w:rPr>
                      <w:rFonts w:ascii="Times" w:hAnsi="Times" w:cs="Times"/>
                    </w:rPr>
                    <w:t>68485,43</w:t>
                  </w:r>
                  <w:r>
                    <w:rPr>
                      <w:rFonts w:ascii="Times" w:hAnsi="Times" w:cs="Times"/>
                    </w:rPr>
                    <w:t xml:space="preserve"> Eur.</w:t>
                  </w:r>
                </w:p>
              </w:tc>
              <w:tc>
                <w:tcPr>
                  <w:tcW w:w="850" w:type="dxa"/>
                </w:tcPr>
                <w:p w14:paraId="4D89BD40" w14:textId="185B04C5" w:rsidR="005401E9" w:rsidRPr="00765A77" w:rsidRDefault="00E15C56" w:rsidP="005401E9">
                  <w:pPr>
                    <w:rPr>
                      <w:rFonts w:ascii="Times New Roman" w:eastAsia="Times New Roman" w:hAnsi="Times New Roman" w:cs="Times New Roman"/>
                      <w:i/>
                      <w:iCs/>
                    </w:rPr>
                  </w:pPr>
                  <w:r w:rsidRPr="00A670F2">
                    <w:rPr>
                      <w:rFonts w:ascii="Times" w:hAnsi="Times" w:cs="Times"/>
                    </w:rPr>
                    <w:t>Vnt.</w:t>
                  </w:r>
                </w:p>
              </w:tc>
              <w:tc>
                <w:tcPr>
                  <w:tcW w:w="1765" w:type="dxa"/>
                </w:tcPr>
                <w:p w14:paraId="7727FAA7" w14:textId="77777777" w:rsidR="00E15C56" w:rsidRPr="00A670F2" w:rsidRDefault="00E15C56" w:rsidP="00E15C56">
                  <w:pPr>
                    <w:jc w:val="both"/>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3C7DE6A" w14:textId="77777777" w:rsidR="00E15C56" w:rsidRPr="00A670F2" w:rsidRDefault="00E15C56" w:rsidP="00E15C56">
                  <w:pPr>
                    <w:jc w:val="both"/>
                    <w:rPr>
                      <w:rFonts w:ascii="Times" w:hAnsi="Times" w:cs="Times"/>
                    </w:rPr>
                  </w:pPr>
                  <w:r w:rsidRPr="00A670F2">
                    <w:rPr>
                      <w:rFonts w:ascii="Times" w:hAnsi="Times" w:cs="Times"/>
                    </w:rPr>
                    <w:t>2. Energijos skirstymo operatoriaus (ESO) išduotos Prijungimo sąlygos elektros įrenginių prijungimui.</w:t>
                  </w:r>
                </w:p>
                <w:p w14:paraId="382E0D47" w14:textId="35AC6B30" w:rsidR="005401E9" w:rsidRPr="00765A77" w:rsidRDefault="00E15C56" w:rsidP="00E15C56">
                  <w:pPr>
                    <w:rPr>
                      <w:rFonts w:ascii="Times New Roman" w:eastAsia="Times New Roman" w:hAnsi="Times New Roman" w:cs="Times New Roman"/>
                      <w:i/>
                      <w:iC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bl>
          <w:p w14:paraId="06410B1B" w14:textId="3AE81005" w:rsidR="00B06730" w:rsidRPr="00765A77" w:rsidRDefault="00B06730" w:rsidP="00B06730">
            <w:pPr>
              <w:rPr>
                <w:rFonts w:ascii="Times New Roman" w:eastAsia="Times New Roman" w:hAnsi="Times New Roman" w:cs="Times New Roman"/>
                <w:i/>
                <w:iCs/>
              </w:rPr>
            </w:pPr>
          </w:p>
        </w:tc>
      </w:tr>
      <w:tr w:rsidR="00B06730" w:rsidRPr="00765A77" w14:paraId="0B33918A" w14:textId="77777777" w:rsidTr="0AB2B071">
        <w:trPr>
          <w:trHeight w:val="718"/>
        </w:trPr>
        <w:tc>
          <w:tcPr>
            <w:tcW w:w="1818" w:type="dxa"/>
          </w:tcPr>
          <w:p w14:paraId="7AA3A842" w14:textId="77777777" w:rsidR="00B06730" w:rsidRPr="00E66517" w:rsidRDefault="00B06730" w:rsidP="00B06730">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B06730" w:rsidRPr="00765A77" w:rsidRDefault="00B06730" w:rsidP="00B06730">
            <w:pPr>
              <w:rPr>
                <w:rFonts w:ascii="Times New Roman" w:eastAsia="Times New Roman" w:hAnsi="Times New Roman" w:cs="Times New Roman"/>
                <w:b/>
                <w:bCs/>
              </w:rPr>
            </w:pPr>
          </w:p>
        </w:tc>
        <w:tc>
          <w:tcPr>
            <w:tcW w:w="7994" w:type="dxa"/>
          </w:tcPr>
          <w:p w14:paraId="49FBCD74" w14:textId="0E772AF6"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Nurodomos kvietime JP veiklai skirtos finansavimo lėšų sumos pagal šaltinius.</w:t>
            </w:r>
          </w:p>
          <w:p w14:paraId="26429166" w14:textId="4E3CD512"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Pr>
                <w:rFonts w:ascii="Times New Roman" w:eastAsiaTheme="majorEastAsia" w:hAnsi="Times New Roman" w:cs="Times New Roman"/>
                <w:i/>
                <w:iCs/>
              </w:rPr>
              <w:t xml:space="preserve">finansavimo šaltiniai </w:t>
            </w:r>
            <w:r w:rsidRPr="00765A77">
              <w:rPr>
                <w:rFonts w:ascii="Times New Roman" w:eastAsiaTheme="majorEastAsia" w:hAnsi="Times New Roman" w:cs="Times New Roman"/>
                <w:i/>
                <w:iCs/>
              </w:rPr>
              <w:t>atvaizduojam</w:t>
            </w:r>
            <w:r>
              <w:rPr>
                <w:rFonts w:ascii="Times New Roman" w:eastAsiaTheme="majorEastAsia" w:hAnsi="Times New Roman" w:cs="Times New Roman"/>
                <w:i/>
                <w:iCs/>
              </w:rPr>
              <w:t>i</w:t>
            </w:r>
            <w:r w:rsidRPr="00765A77">
              <w:rPr>
                <w:rFonts w:ascii="Times New Roman" w:eastAsiaTheme="majorEastAsia" w:hAnsi="Times New Roman" w:cs="Times New Roman"/>
                <w:i/>
                <w:iCs/>
              </w:rPr>
              <w:t xml:space="preserve"> iš</w:t>
            </w:r>
            <w:r w:rsidRPr="006B5226">
              <w:rPr>
                <w:rFonts w:ascii="Times New Roman" w:eastAsiaTheme="majorEastAsia" w:hAnsi="Times New Roman" w:cs="Times New Roman"/>
                <w:i/>
                <w:iCs/>
              </w:rPr>
              <w:t xml:space="preserve"> H.1.2 formos </w:t>
            </w:r>
            <w:r>
              <w:rPr>
                <w:rFonts w:ascii="Times New Roman" w:eastAsiaTheme="majorEastAsia" w:hAnsi="Times New Roman" w:cs="Times New Roman"/>
                <w:i/>
                <w:iCs/>
              </w:rPr>
              <w:t>konkrečios JP veiklos</w:t>
            </w:r>
            <w:r w:rsidRPr="00765A77">
              <w:rPr>
                <w:rFonts w:ascii="Times New Roman" w:eastAsiaTheme="majorEastAsia" w:hAnsi="Times New Roman" w:cs="Times New Roman"/>
                <w:i/>
                <w:iCs/>
              </w:rPr>
              <w:t>.</w:t>
            </w:r>
          </w:p>
          <w:p w14:paraId="4A349145" w14:textId="5C2C9046"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B06730" w:rsidRPr="00765A77" w:rsidRDefault="00B06730" w:rsidP="00B06730">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B06730"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B06730" w:rsidRPr="00765A77"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B06730" w:rsidRPr="00765A77"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B06730"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w:t>
                  </w:r>
                </w:p>
                <w:p w14:paraId="0779F607" w14:textId="77777777" w:rsidR="00B06730" w:rsidRPr="00765A77" w:rsidRDefault="00B06730" w:rsidP="00B06730">
                  <w:pPr>
                    <w:rPr>
                      <w:rFonts w:ascii="Times New Roman" w:hAnsi="Times New Roman" w:cs="Times New Roman"/>
                    </w:rPr>
                  </w:pPr>
                </w:p>
              </w:tc>
              <w:tc>
                <w:tcPr>
                  <w:tcW w:w="1683" w:type="pct"/>
                  <w:vAlign w:val="center"/>
                </w:tcPr>
                <w:p w14:paraId="6CE02536" w14:textId="056D9932"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6E006B1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F4F2AC5" w:rsidR="00B06730" w:rsidRPr="00765A77" w:rsidRDefault="00E15C56"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B06730"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5705E5A6"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2BE0C729" w:rsidR="00B06730" w:rsidRPr="00765A77" w:rsidRDefault="00E15C56"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B06730"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1CACBE3E"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6730"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2A0B0AAB"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04A51A2A"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4CE98124"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B06730" w:rsidRPr="00765A77" w:rsidRDefault="00B06730" w:rsidP="00B06730">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4D7ECB69"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B06730"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B06730" w:rsidRPr="00765A77" w:rsidRDefault="00B06730" w:rsidP="00B06730">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2FD9728A"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B06730" w:rsidRDefault="00B06730" w:rsidP="00B06730">
                  <w:pPr>
                    <w:rPr>
                      <w:rFonts w:ascii="Times New Roman" w:hAnsi="Times New Roman" w:cs="Times New Roman"/>
                    </w:rPr>
                  </w:pPr>
                  <w:bookmarkStart w:id="1" w:name="_Hlk202896816"/>
                  <w:r>
                    <w:rPr>
                      <w:rFonts w:ascii="Times New Roman" w:hAnsi="Times New Roman" w:cs="Times New Roman"/>
                    </w:rPr>
                    <w:t>2.2.</w:t>
                  </w:r>
                </w:p>
              </w:tc>
              <w:tc>
                <w:tcPr>
                  <w:tcW w:w="1683" w:type="pct"/>
                  <w:vAlign w:val="center"/>
                </w:tcPr>
                <w:p w14:paraId="64C473CE" w14:textId="5BF95EF7" w:rsidR="00B06730" w:rsidRPr="00FB0C09"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3D761BC0"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B06730"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B06730" w:rsidRPr="00765A77" w:rsidRDefault="00B06730" w:rsidP="00B06730">
                  <w:pPr>
                    <w:rPr>
                      <w:rFonts w:ascii="Times New Roman" w:hAnsi="Times New Roman" w:cs="Times New Roman"/>
                    </w:rPr>
                  </w:pPr>
                </w:p>
              </w:tc>
              <w:tc>
                <w:tcPr>
                  <w:tcW w:w="1683" w:type="pct"/>
                  <w:vAlign w:val="center"/>
                </w:tcPr>
                <w:p w14:paraId="7BB97D0F"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21DF2621"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15484629,00</w:t>
                  </w:r>
                </w:p>
              </w:tc>
            </w:tr>
            <w:bookmarkEnd w:id="1"/>
          </w:tbl>
          <w:p w14:paraId="13F077E0" w14:textId="77777777" w:rsidR="00B06730" w:rsidRPr="00765A77" w:rsidRDefault="00B06730" w:rsidP="00B06730">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0"/>
              <w:gridCol w:w="4866"/>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C24B7FF" w:rsidR="003D2575" w:rsidRPr="00694701" w:rsidRDefault="00694701" w:rsidP="0AB2B071">
                  <w:pPr>
                    <w:rPr>
                      <w:rFonts w:ascii="Times New Roman" w:eastAsia="Times New Roman" w:hAnsi="Times New Roman" w:cs="Times New Roman"/>
                      <w:i/>
                      <w:iCs/>
                    </w:rPr>
                  </w:pPr>
                  <w:r w:rsidRPr="00694701">
                    <w:rPr>
                      <w:rFonts w:ascii="Times New Roman" w:eastAsia="Times New Roman" w:hAnsi="Times New Roman" w:cs="Times New Roman"/>
                      <w:i/>
                      <w:iCs/>
                    </w:rPr>
                    <w:t>Net</w:t>
                  </w:r>
                  <w:r w:rsidR="00EA4E6A" w:rsidRPr="00694701">
                    <w:rPr>
                      <w:rFonts w:ascii="Times New Roman" w:eastAsia="Times New Roman" w:hAnsi="Times New Roman" w:cs="Times New Roman"/>
                      <w:i/>
                      <w:iCs/>
                    </w:rPr>
                    <w:t>aikoma</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12BD463" w:rsidR="003D2575" w:rsidRPr="00EA4E6A" w:rsidRDefault="00EA4E6A" w:rsidP="00267668">
                  <w:pPr>
                    <w:rPr>
                      <w:rFonts w:ascii="Times New Roman" w:eastAsia="Times New Roman" w:hAnsi="Times New Roman" w:cs="Times New Roman"/>
                      <w:bCs/>
                      <w:i/>
                      <w:iCs/>
                    </w:rPr>
                  </w:pPr>
                  <w:r w:rsidRPr="00EA4E6A">
                    <w:rPr>
                      <w:rFonts w:ascii="Times New Roman" w:eastAsia="Times New Roman" w:hAnsi="Times New Roman" w:cs="Times New Roman"/>
                      <w:i/>
                      <w:iCs/>
                    </w:rPr>
                    <w:t>Taikoma</w:t>
                  </w:r>
                </w:p>
              </w:tc>
            </w:tr>
            <w:tr w:rsidR="007E26CC" w:rsidRPr="00765A77" w14:paraId="25FBF668" w14:textId="77777777" w:rsidTr="0AB2B071">
              <w:tc>
                <w:tcPr>
                  <w:tcW w:w="2775" w:type="dxa"/>
                </w:tcPr>
                <w:p w14:paraId="3B0F323F" w14:textId="75103783" w:rsidR="003D2575" w:rsidRPr="00C07171" w:rsidRDefault="00A97F84" w:rsidP="00267668">
                  <w:pPr>
                    <w:rPr>
                      <w:rFonts w:ascii="Times New Roman" w:eastAsia="Times New Roman" w:hAnsi="Times New Roman" w:cs="Times New Roman"/>
                      <w:b/>
                    </w:rPr>
                  </w:pPr>
                  <w:r w:rsidRPr="00C07171">
                    <w:rPr>
                      <w:rFonts w:ascii="Times New Roman" w:eastAsia="Times New Roman" w:hAnsi="Times New Roman" w:cs="Times New Roman"/>
                      <w:b/>
                    </w:rPr>
                    <w:t>Prievolė neperkelti veiklos</w:t>
                  </w:r>
                </w:p>
              </w:tc>
              <w:tc>
                <w:tcPr>
                  <w:tcW w:w="4950" w:type="dxa"/>
                </w:tcPr>
                <w:p w14:paraId="5107740D" w14:textId="4D9F8384" w:rsidR="003D2575" w:rsidRPr="00C07171" w:rsidRDefault="00C07171" w:rsidP="00267668">
                  <w:pPr>
                    <w:rPr>
                      <w:rFonts w:ascii="Times New Roman" w:eastAsia="Times New Roman" w:hAnsi="Times New Roman" w:cs="Times New Roman"/>
                      <w:bCs/>
                      <w:i/>
                      <w:iCs/>
                    </w:rPr>
                  </w:pPr>
                  <w:r>
                    <w:rPr>
                      <w:rFonts w:ascii="Times New Roman" w:eastAsia="Times New Roman" w:hAnsi="Times New Roman" w:cs="Times New Roman"/>
                      <w:i/>
                      <w:iCs/>
                    </w:rPr>
                    <w:t>Ne</w:t>
                  </w:r>
                  <w:r w:rsidR="00B76923">
                    <w:rPr>
                      <w:rFonts w:ascii="Times New Roman" w:eastAsia="Times New Roman" w:hAnsi="Times New Roman" w:cs="Times New Roman"/>
                      <w:i/>
                      <w:iCs/>
                    </w:rPr>
                    <w:t>t</w:t>
                  </w:r>
                  <w:r w:rsidR="00EA4E6A" w:rsidRPr="00C07171">
                    <w:rPr>
                      <w:rFonts w:ascii="Times New Roman" w:eastAsia="Times New Roman" w:hAnsi="Times New Roman" w:cs="Times New Roman"/>
                      <w:i/>
                      <w:iCs/>
                    </w:rPr>
                    <w:t>aikoma</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0C824869"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2B0D01" w:rsidRPr="00765A77" w14:paraId="24E24F8C" w14:textId="77777777" w:rsidTr="00DF674E">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2B0D01" w:rsidRPr="00765A77" w:rsidRDefault="002B0D01" w:rsidP="002B0D01">
            <w:pPr>
              <w:jc w:val="both"/>
              <w:rPr>
                <w:rFonts w:ascii="Times New Roman" w:hAnsi="Times New Roman" w:cs="Times New Roman"/>
              </w:rPr>
            </w:pPr>
            <w:r w:rsidRPr="4466F332">
              <w:rPr>
                <w:rFonts w:ascii="Times New Roman" w:hAnsi="Times New Roman" w:cs="Times New Roman"/>
              </w:rPr>
              <w:t>Reikalavimai valstybės pagalbai *</w:t>
            </w:r>
          </w:p>
        </w:tc>
        <w:tc>
          <w:tcPr>
            <w:tcW w:w="4075" w:type="pct"/>
            <w:vAlign w:val="center"/>
          </w:tcPr>
          <w:p w14:paraId="651A1B5C" w14:textId="77777777" w:rsidR="002B0D01" w:rsidRPr="00981BF2" w:rsidRDefault="002B0D01" w:rsidP="002B0D01">
            <w:pPr>
              <w:pStyle w:val="ListParagraph"/>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808080" w:themeColor="background1" w:themeShade="80"/>
              </w:rPr>
            </w:pPr>
            <w:r w:rsidRPr="00981BF2">
              <w:rPr>
                <w:rFonts w:ascii="Times" w:hAnsi="Times" w:cs="Times"/>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šio reglamento I skyriaus nuostatas bei 1 straipsnio 2–5 dalyse nustatytus apribojimus. Aprašas nustato valstybės pagalbos viešajai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įkrovimo stotelės su prieiga (-</w:t>
            </w:r>
            <w:proofErr w:type="spellStart"/>
            <w:r w:rsidRPr="00981BF2">
              <w:rPr>
                <w:rFonts w:ascii="Times" w:hAnsi="Times" w:cs="Times"/>
              </w:rPr>
              <w:t>omis</w:t>
            </w:r>
            <w:proofErr w:type="spellEnd"/>
            <w:r w:rsidRPr="00981BF2">
              <w:rPr>
                <w:rFonts w:ascii="Times" w:hAnsi="Times" w:cs="Times"/>
              </w:rPr>
              <w:t>) fiksuoto vieneto įkainio.</w:t>
            </w:r>
          </w:p>
          <w:p w14:paraId="35988020" w14:textId="77777777" w:rsidR="002B0D01" w:rsidRPr="00981BF2" w:rsidRDefault="002B0D01" w:rsidP="002B0D01">
            <w:pPr>
              <w:pStyle w:val="ListParagraph"/>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New Roman" w:eastAsia="Times New Roman" w:hAnsi="Times New Roman" w:cs="Times New Roman"/>
                <w:color w:val="808080" w:themeColor="background1" w:themeShade="80"/>
              </w:rPr>
              <w:t xml:space="preserve"> </w:t>
            </w:r>
            <w:r w:rsidRPr="00981BF2">
              <w:rPr>
                <w:rFonts w:ascii="Times" w:hAnsi="Times" w:cs="Times"/>
              </w:rPr>
              <w:t xml:space="preserve">Valstybės pagalba neteikiama: </w:t>
            </w:r>
          </w:p>
          <w:p w14:paraId="36780E16" w14:textId="77777777" w:rsidR="002B0D01" w:rsidRPr="00981BF2"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t>sunkumus patiriančioms įmonėms;</w:t>
            </w:r>
          </w:p>
          <w:p w14:paraId="36C14041"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lastRenderedPageBreak/>
              <w:t>. ūkio subjektams, kuriems išduotas</w:t>
            </w:r>
            <w:r w:rsidRPr="00FE1744">
              <w:rPr>
                <w:rFonts w:ascii="Times" w:hAnsi="Times" w:cs="Times"/>
              </w:rPr>
              <w:t xml:space="preserve"> vykdomasis raštas sumoms išieškoti pagal ankstesnį Europos Komisijos sprendimą, kuriame Lietuvos Respublikoje suteikta valstybės pagalba skelbiama neteisėta ir nesuderinama su vidaus rinka; nauja valstybės pagalba negali būti teikiama, kol nebus sugrąžinta neteisėta ir nesuderinama su vidaus rinka gauta valstybės pagalba;</w:t>
            </w:r>
          </w:p>
          <w:p w14:paraId="2ECAC46C"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ūkio subjektams, vykdantiems veiklą žuvininkystės ir akvakultūros sektoriuje, patenkantiems į Reglamento (ES) Nr. 651/2014 1 straipsnio 3 dalies a punkto taikymo sritį; </w:t>
            </w:r>
          </w:p>
          <w:p w14:paraId="33DE2FAA"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vienos įmonės vienam investiciniam projektui pagalbos dydis viršytų 5 000 000 Eur (Reglamento (ES) Nr. 651/2014 36a straipsnio 7 dalis ir 4 straipsnio 1 dalies </w:t>
            </w:r>
            <w:proofErr w:type="spellStart"/>
            <w:r w:rsidRPr="00FE1744">
              <w:rPr>
                <w:rFonts w:ascii="Times" w:hAnsi="Times" w:cs="Times"/>
              </w:rPr>
              <w:t>sb</w:t>
            </w:r>
            <w:proofErr w:type="spellEnd"/>
            <w:r w:rsidRPr="00FE1744">
              <w:rPr>
                <w:rFonts w:ascii="Times" w:hAnsi="Times" w:cs="Times"/>
              </w:rPr>
              <w:t xml:space="preserve"> punktas); </w:t>
            </w:r>
          </w:p>
          <w:p w14:paraId="6DD74AB9"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 </w:t>
            </w:r>
          </w:p>
          <w:p w14:paraId="775A7D5C"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jei pagalba būtų teikiama branduolinės energijos gamybai (Reglamento (ES) Nr. 651/2014 1 straipsnio 6 dalis); </w:t>
            </w:r>
          </w:p>
          <w:p w14:paraId="658830D3" w14:textId="77777777" w:rsidR="002B0D01" w:rsidRPr="00FE1744" w:rsidRDefault="002B0D01" w:rsidP="002B0D01">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ji neturi skatinamojo poveikio, nustatyto Reglamento (ES) Nr. 651/2014 6 straipsnyje. </w:t>
            </w:r>
          </w:p>
          <w:p w14:paraId="34C5F8FA" w14:textId="77777777" w:rsidR="002B0D01" w:rsidRPr="00FE1744" w:rsidRDefault="002B0D01" w:rsidP="002B0D01">
            <w:pPr>
              <w:pStyle w:val="ListParagraph"/>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Valstybės pagalba, kurios tinkamas finansuoti išlaidas galima nustatyti ir kuriai pagal Reglamentą (ES) Nr. 651/2014 taikoma išimtis, gali būti sumuojama su: </w:t>
            </w:r>
          </w:p>
          <w:p w14:paraId="29ED5EFF"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jei tos veiklos yra susijusios su skirtingomis tinkamomis finansuoti išlaidomis, kurias galima nustatyti; </w:t>
            </w:r>
          </w:p>
          <w:p w14:paraId="12621DC1" w14:textId="77777777" w:rsidR="002B0D01" w:rsidRPr="00FE1744" w:rsidRDefault="002B0D01" w:rsidP="002B0D01">
            <w:pPr>
              <w:pStyle w:val="ListParagraph"/>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susijusia su tomis pačiomis tinkamomis finansuoti išlaidomis, kurios iš dalies arba visiškai sutampa, tik jeigu taip susumavus didžiausia pagalbos suma neviršija Reglamento (ES) Nr. 651/2014 36a straipsnio 6 dalyje nustatytos pagalbos ribos. </w:t>
            </w:r>
          </w:p>
          <w:p w14:paraId="591C22AB" w14:textId="77777777" w:rsid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4.Valstybės pagalba, kuriai pagal Reglamentą (ES) Nr. 651/2014 taikoma išimtis, nesumuojama su jokia de </w:t>
            </w:r>
            <w:proofErr w:type="spellStart"/>
            <w:r w:rsidRPr="00FE1744">
              <w:rPr>
                <w:rFonts w:ascii="Times" w:hAnsi="Times" w:cs="Times"/>
              </w:rPr>
              <w:t>minimis</w:t>
            </w:r>
            <w:proofErr w:type="spellEnd"/>
            <w:r w:rsidRPr="00FE1744">
              <w:rPr>
                <w:rFonts w:ascii="Times" w:hAnsi="Times" w:cs="Times"/>
              </w:rPr>
              <w:t xml:space="preserve"> pagalba, susijusia su tomis pačiomis tinkamomis finansuoti išlaidomis, jei susumavus būtų viršytas pagalbos intensyvumas, kaip nustatyta Reglamento (ES) Nr. 651/2014 8 straipsnio 5 dalyje. </w:t>
            </w:r>
          </w:p>
          <w:p w14:paraId="276AE4BF" w14:textId="77777777" w:rsidR="002B0D01" w:rsidRPr="002849D0"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5.</w:t>
            </w:r>
            <w:r>
              <w:rPr>
                <w:rFonts w:ascii="Times" w:hAnsi="Times" w:cs="Times"/>
              </w:rPr>
              <w:t xml:space="preserve"> </w:t>
            </w:r>
            <w:r w:rsidRPr="002849D0">
              <w:rPr>
                <w:rFonts w:ascii="Times" w:hAnsi="Times" w:cs="Times"/>
              </w:rPr>
              <w:t xml:space="preserve">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registre, kurio nuostatai patvirtinti Lietuvos Respublikos Vyriausybės 2005 m. sausio 19 d. nutarimu Nr. 35 „Dėl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registro nuostatų patvirtinimo“. </w:t>
            </w:r>
          </w:p>
          <w:p w14:paraId="3411AB38" w14:textId="070B49B4" w:rsidR="002B0D01" w:rsidRP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6. JP vykdytojas ir JP projekto vykdytojas turi užtikrinti dokumentų saugojimą 10 finansinių metų nuo datos, kada paskutinį kartą pagal schemą buvo suteikta individuali pagalba, kaip nustatyta Reglamento (ES) Nr. 651/2014 12 straipsnio 1 punkte.</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67E301E6" w:rsidR="00CD3F40"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lastRenderedPageBreak/>
                    <w:t>9290777,40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0051D02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89CDDC2" w:rsidR="00CD3F40"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E3E3E0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4DEF546"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8747100"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61FB60F"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72430B63" w:rsidR="00DC6094"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70281935" w:rsidR="00776806"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15484629,00</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5315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0"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01"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01" w:type="dxa"/>
          </w:tcPr>
          <w:p w14:paraId="095C0835" w14:textId="77777777" w:rsidR="002B02F4" w:rsidRDefault="00694701" w:rsidP="009766AC">
            <w:pPr>
              <w:cnfStyle w:val="000000000000" w:firstRow="0" w:lastRow="0" w:firstColumn="0" w:lastColumn="0" w:oddVBand="0" w:evenVBand="0" w:oddHBand="0" w:evenHBand="0" w:firstRowFirstColumn="0" w:firstRowLastColumn="0" w:lastRowFirstColumn="0" w:lastRowLastColumn="0"/>
              <w:rPr>
                <w:rFonts w:ascii="Times" w:hAnsi="Times" w:cs="Times"/>
              </w:rPr>
            </w:pPr>
            <w:r>
              <w:rPr>
                <w:rFonts w:ascii="Times" w:hAnsi="Times" w:cs="Times"/>
              </w:rPr>
              <w:t>JP projektais siekiamas rodiklis 300 vnt. p</w:t>
            </w:r>
            <w:r w:rsidRPr="00376BFE">
              <w:rPr>
                <w:rFonts w:ascii="Times" w:hAnsi="Times" w:cs="Times"/>
              </w:rPr>
              <w:t>radėjusi</w:t>
            </w:r>
            <w:r>
              <w:rPr>
                <w:rFonts w:ascii="Times" w:hAnsi="Times" w:cs="Times"/>
              </w:rPr>
              <w:t>ų</w:t>
            </w:r>
            <w:r w:rsidRPr="00376BFE">
              <w:rPr>
                <w:rFonts w:ascii="Times" w:hAnsi="Times" w:cs="Times"/>
              </w:rPr>
              <w:t xml:space="preserve"> </w:t>
            </w:r>
            <w:r w:rsidRPr="00407458">
              <w:rPr>
                <w:rFonts w:ascii="Times" w:hAnsi="Times" w:cs="Times"/>
              </w:rPr>
              <w:t>veikti viešosios ir pusiau viešosios įkrovimo prieig</w:t>
            </w:r>
            <w:r>
              <w:rPr>
                <w:rFonts w:ascii="Times" w:hAnsi="Times" w:cs="Times"/>
              </w:rPr>
              <w:t>ų</w:t>
            </w:r>
            <w:r w:rsidRPr="00407458">
              <w:rPr>
                <w:rFonts w:ascii="Times" w:hAnsi="Times" w:cs="Times"/>
              </w:rPr>
              <w:t xml:space="preserve"> ir labai didelės galios įkrovimo prieig</w:t>
            </w:r>
            <w:r>
              <w:rPr>
                <w:rFonts w:ascii="Times" w:hAnsi="Times" w:cs="Times"/>
              </w:rPr>
              <w:t>ų</w:t>
            </w:r>
            <w:r w:rsidRPr="00407458">
              <w:rPr>
                <w:rFonts w:ascii="Times" w:hAnsi="Times" w:cs="Times"/>
              </w:rPr>
              <w:t xml:space="preserve"> krovininiam transportui ir (arba) autobusams (RRFCI03)</w:t>
            </w:r>
            <w:r>
              <w:rPr>
                <w:rFonts w:ascii="Times" w:hAnsi="Times" w:cs="Times"/>
              </w:rPr>
              <w:t>.</w:t>
            </w:r>
          </w:p>
          <w:p w14:paraId="3DB13125" w14:textId="77777777" w:rsidR="00531541" w:rsidRPr="00C430B3" w:rsidRDefault="00531541" w:rsidP="00531541">
            <w:pPr>
              <w:tabs>
                <w:tab w:val="left" w:pos="756"/>
              </w:tabs>
              <w:ind w:firstLine="330"/>
              <w:jc w:val="both"/>
              <w:cnfStyle w:val="000000000000" w:firstRow="0" w:lastRow="0" w:firstColumn="0" w:lastColumn="0" w:oddVBand="0" w:evenVBand="0" w:oddHBand="0" w:evenHBand="0" w:firstRowFirstColumn="0" w:firstRowLastColumn="0" w:lastRowFirstColumn="0" w:lastRowLastColumn="0"/>
              <w:rPr>
                <w:rFonts w:ascii="Times" w:hAnsi="Times" w:cs="Times"/>
                <w:b/>
                <w:bCs/>
                <w:lang w:eastAsia="lt-LT"/>
              </w:rPr>
            </w:pPr>
            <w:r w:rsidRPr="00C430B3">
              <w:rPr>
                <w:rFonts w:ascii="Times" w:hAnsi="Times" w:cs="Times"/>
                <w:b/>
                <w:bCs/>
                <w:lang w:eastAsia="lt-LT"/>
              </w:rPr>
              <w:t>Tinkamos finansuoti išlaidos</w:t>
            </w:r>
          </w:p>
          <w:p w14:paraId="51B7350D" w14:textId="77777777" w:rsidR="00531541" w:rsidRPr="00407458"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w:t>
            </w:r>
            <w:r>
              <w:rPr>
                <w:rFonts w:ascii="Times" w:hAnsi="Times" w:cs="Times"/>
                <w:lang w:eastAsia="lt-LT"/>
              </w:rPr>
              <w:t xml:space="preserve"> reikalavimus</w:t>
            </w:r>
            <w:r w:rsidRPr="00407458">
              <w:rPr>
                <w:rFonts w:ascii="Times" w:hAnsi="Times" w:cs="Times"/>
                <w:lang w:eastAsia="lt-LT"/>
              </w:rPr>
              <w:t xml:space="preserve"> </w:t>
            </w:r>
            <w:r>
              <w:rPr>
                <w:rFonts w:ascii="Times" w:hAnsi="Times" w:cs="Times"/>
                <w:lang w:eastAsia="lt-LT"/>
              </w:rPr>
              <w:t xml:space="preserve">rasite </w:t>
            </w:r>
            <w:hyperlink r:id="rId12" w:history="1">
              <w:r w:rsidRPr="00510E60">
                <w:rPr>
                  <w:rStyle w:val="Hyperlink"/>
                  <w:rFonts w:ascii="Times" w:hAnsi="Times" w:cs="Times"/>
                  <w:lang w:eastAsia="lt-LT"/>
                </w:rPr>
                <w:t>čia</w:t>
              </w:r>
            </w:hyperlink>
            <w:r>
              <w:rPr>
                <w:rFonts w:ascii="Times" w:hAnsi="Times" w:cs="Times"/>
                <w:lang w:eastAsia="lt-LT"/>
              </w:rPr>
              <w:t xml:space="preserve">  </w:t>
            </w:r>
            <w:r w:rsidRPr="00407458">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r>
              <w:rPr>
                <w:rFonts w:ascii="Times" w:hAnsi="Times" w:cs="Times"/>
                <w:lang w:eastAsia="lt-LT"/>
              </w:rPr>
              <w:t xml:space="preserve">, rasite </w:t>
            </w:r>
            <w:hyperlink r:id="rId13" w:history="1">
              <w:r w:rsidRPr="00510E60">
                <w:rPr>
                  <w:rStyle w:val="Hyperlink"/>
                  <w:rFonts w:ascii="Times" w:hAnsi="Times" w:cs="Times"/>
                  <w:lang w:eastAsia="lt-LT"/>
                </w:rPr>
                <w:t>čia</w:t>
              </w:r>
            </w:hyperlink>
            <w:r w:rsidRPr="00407458">
              <w:rPr>
                <w:rFonts w:ascii="Times" w:hAnsi="Times" w:cs="Times"/>
                <w:lang w:eastAsia="lt-LT"/>
              </w:rPr>
              <w:t>.</w:t>
            </w:r>
            <w:r>
              <w:t xml:space="preserve"> </w:t>
            </w:r>
          </w:p>
          <w:p w14:paraId="7C7B210A" w14:textId="00FC9E8A" w:rsidR="00531541" w:rsidRPr="00407458"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Avanso mokėjimai neatliekami</w:t>
            </w:r>
            <w:r>
              <w:rPr>
                <w:rFonts w:ascii="Times" w:hAnsi="Times" w:cs="Times"/>
                <w:lang w:eastAsia="lt-LT"/>
              </w:rPr>
              <w:t>.</w:t>
            </w:r>
          </w:p>
          <w:p w14:paraId="1AAF7D5D" w14:textId="77777777" w:rsidR="00531541" w:rsidRPr="00407458"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75D0C">
              <w:rPr>
                <w:rFonts w:ascii="Times" w:hAnsi="Times" w:cs="Times"/>
                <w:lang w:eastAsia="lt-LT"/>
              </w:rPr>
              <w:t>Siekiant užtikrinti atitiktį Reglamento (ES) Nr. 651/2014 6 straipsnio nuostatoms</w:t>
            </w:r>
            <w:r>
              <w:rPr>
                <w:rFonts w:ascii="Times" w:hAnsi="Times" w:cs="Times"/>
                <w:lang w:eastAsia="lt-LT"/>
              </w:rPr>
              <w:t xml:space="preserve"> (</w:t>
            </w:r>
            <w:hyperlink r:id="rId14" w:history="1">
              <w:r w:rsidRPr="00510E60">
                <w:rPr>
                  <w:rStyle w:val="Hyperlink"/>
                  <w:rFonts w:ascii="Times" w:hAnsi="Times" w:cs="Times"/>
                  <w:lang w:eastAsia="lt-LT"/>
                </w:rPr>
                <w:t>Reglamento nuoroda</w:t>
              </w:r>
            </w:hyperlink>
            <w:r>
              <w:rPr>
                <w:rFonts w:ascii="Times" w:hAnsi="Times" w:cs="Times"/>
                <w:lang w:eastAsia="lt-LT"/>
              </w:rPr>
              <w:t xml:space="preserve">), </w:t>
            </w:r>
            <w:r w:rsidRPr="00407458">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475D0C">
              <w:rPr>
                <w:rFonts w:ascii="Times" w:hAnsi="Times" w:cs="Times"/>
                <w:lang w:eastAsia="lt-LT"/>
              </w:rPr>
              <w:t xml:space="preserve"> </w:t>
            </w:r>
          </w:p>
          <w:p w14:paraId="59690EA8" w14:textId="77777777" w:rsidR="00531541" w:rsidRPr="00407458"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w:t>
            </w:r>
            <w:r>
              <w:rPr>
                <w:rFonts w:ascii="Times" w:hAnsi="Times" w:cs="Times"/>
                <w:lang w:eastAsia="lt-LT"/>
              </w:rPr>
              <w:t xml:space="preserve">, rasite </w:t>
            </w:r>
            <w:hyperlink r:id="rId15" w:history="1">
              <w:r w:rsidRPr="00510E60">
                <w:rPr>
                  <w:rStyle w:val="Hyperlink"/>
                  <w:rFonts w:ascii="Times" w:hAnsi="Times" w:cs="Times"/>
                  <w:lang w:eastAsia="lt-LT"/>
                </w:rPr>
                <w:t>čia</w:t>
              </w:r>
            </w:hyperlink>
            <w:r>
              <w:rPr>
                <w:rFonts w:ascii="Times" w:hAnsi="Times" w:cs="Times"/>
                <w:lang w:eastAsia="lt-LT"/>
              </w:rPr>
              <w:t>.</w:t>
            </w:r>
          </w:p>
          <w:p w14:paraId="2E6433E0" w14:textId="77777777" w:rsidR="00531541" w:rsidRPr="00407458"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 xml:space="preserve">Pridėtinės vertės mokestis nefinansuojamas. </w:t>
            </w:r>
          </w:p>
          <w:p w14:paraId="46418710" w14:textId="1652C92E" w:rsidR="00531541" w:rsidRPr="00531541" w:rsidRDefault="00531541" w:rsidP="00531541">
            <w:pPr>
              <w:pStyle w:val="ListParagraph"/>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Kryžminis finansavimas netaikomas.</w:t>
            </w:r>
          </w:p>
          <w:p w14:paraId="3B12E92F" w14:textId="0B93DAB9" w:rsidR="00531541" w:rsidRPr="00694701" w:rsidRDefault="00531541"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p>
        </w:tc>
      </w:tr>
      <w:tr w:rsidR="00531541" w:rsidRPr="00765A77" w14:paraId="414581B2"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3AFA3BB" w14:textId="74EE3A64"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20D13DDF" w14:textId="15FDAB8D" w:rsidR="00531541" w:rsidRPr="00A670F2" w:rsidRDefault="00531541" w:rsidP="00531541">
            <w:pPr>
              <w:pStyle w:val="ListParagraph"/>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HP reikalavimai</w:t>
            </w:r>
            <w:r>
              <w:rPr>
                <w:rFonts w:ascii="Times" w:hAnsi="Times" w:cs="Times"/>
                <w:shd w:val="clear" w:color="auto" w:fill="FFFFFF"/>
              </w:rPr>
              <w:t>:</w:t>
            </w:r>
          </w:p>
          <w:p w14:paraId="163F6922" w14:textId="77777777" w:rsidR="00531541" w:rsidRPr="00A670F2" w:rsidRDefault="00531541" w:rsidP="00531541">
            <w:pPr>
              <w:pStyle w:val="ListParagraph"/>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19B0FE04" w14:textId="77777777" w:rsidR="00531541" w:rsidRDefault="00531541" w:rsidP="00531541">
            <w:pPr>
              <w:pStyle w:val="ListParagraph"/>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 xml:space="preserve">Įgyvendinant projektą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 </w:t>
            </w:r>
          </w:p>
          <w:p w14:paraId="360DAFED" w14:textId="77777777" w:rsidR="00531541" w:rsidRPr="00A670F2" w:rsidRDefault="00531541" w:rsidP="00531541">
            <w:pPr>
              <w:pStyle w:val="ListParagraph"/>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r w:rsidRPr="00A670F2">
              <w:rPr>
                <w:rFonts w:ascii="Times" w:hAnsi="Times" w:cs="Times"/>
                <w:shd w:val="clear" w:color="auto" w:fill="FFFFFF"/>
              </w:rPr>
              <w:t>.</w:t>
            </w:r>
          </w:p>
          <w:p w14:paraId="4622F415" w14:textId="77777777" w:rsidR="00531541" w:rsidRPr="00A670F2" w:rsidRDefault="00531541" w:rsidP="00531541">
            <w:pPr>
              <w:pStyle w:val="ListParagraph"/>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p>
          <w:p w14:paraId="45FAB36D" w14:textId="3FAB05C2" w:rsidR="00531541" w:rsidRPr="00A670F2" w:rsidRDefault="00531541" w:rsidP="00531541">
            <w:pPr>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Chartijos reikalavimai</w:t>
            </w:r>
            <w:r>
              <w:rPr>
                <w:rFonts w:ascii="Times" w:hAnsi="Times" w:cs="Times"/>
                <w:shd w:val="clear" w:color="auto" w:fill="FFFFFF"/>
              </w:rPr>
              <w:t>:</w:t>
            </w:r>
          </w:p>
          <w:p w14:paraId="1FEE59F4" w14:textId="77777777" w:rsidR="00531541" w:rsidRDefault="00531541" w:rsidP="00531541">
            <w:pPr>
              <w:pStyle w:val="ListParagraph"/>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5428EE29" w14:textId="472CE231" w:rsidR="00531541" w:rsidRPr="00531541" w:rsidRDefault="00531541" w:rsidP="00531541">
            <w:pPr>
              <w:pStyle w:val="ListParagraph"/>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9315ED">
              <w:rPr>
                <w:rFonts w:ascii="Times New Roman" w:eastAsia="Times New Roman" w:hAnsi="Times New Roman" w:cs="Times New Roman"/>
                <w:i/>
                <w:iCs/>
                <w:color w:val="808080" w:themeColor="background1" w:themeShade="80"/>
              </w:rPr>
              <w:t xml:space="preserve"> </w:t>
            </w:r>
          </w:p>
        </w:tc>
      </w:tr>
      <w:tr w:rsidR="00531541" w:rsidRPr="00765A77" w14:paraId="2141965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228D6B99" w14:textId="7779F150" w:rsidR="00531541" w:rsidRPr="00765A77" w:rsidRDefault="00531541" w:rsidP="00531541">
            <w:pPr>
              <w:rPr>
                <w:rFonts w:ascii="Times New Roman" w:hAnsi="Times New Roman" w:cs="Times New Roman"/>
              </w:rPr>
            </w:pPr>
            <w:r w:rsidRPr="00765A77">
              <w:rPr>
                <w:rFonts w:ascii="Times New Roman" w:hAnsi="Times New Roman" w:cs="Times New Roman"/>
              </w:rPr>
              <w:t>Reikalavimai įgyvendinus JP projektų veiklas</w:t>
            </w:r>
            <w:r>
              <w:rPr>
                <w:rFonts w:ascii="Times New Roman" w:hAnsi="Times New Roman" w:cs="Times New Roman"/>
              </w:rPr>
              <w:t xml:space="preserve"> </w:t>
            </w:r>
            <w:r w:rsidRPr="00C52E03">
              <w:rPr>
                <w:rFonts w:ascii="Times New Roman" w:hAnsi="Times New Roman" w:cs="Times New Roman"/>
              </w:rPr>
              <w:t>*</w:t>
            </w:r>
          </w:p>
        </w:tc>
        <w:tc>
          <w:tcPr>
            <w:tcW w:w="8301" w:type="dxa"/>
          </w:tcPr>
          <w:p w14:paraId="498B94E6" w14:textId="77777777" w:rsidR="00531541" w:rsidRDefault="00531541" w:rsidP="00531541">
            <w:pPr>
              <w:pStyle w:val="ListParagraph"/>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ADC1EEA" w14:textId="77777777" w:rsidR="00531541" w:rsidRDefault="00531541" w:rsidP="00531541">
            <w:pPr>
              <w:pStyle w:val="ListParagraph"/>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399AA4F1" w14:textId="77777777" w:rsidR="00531541" w:rsidRDefault="00531541" w:rsidP="00531541">
            <w:pPr>
              <w:pStyle w:val="ListParagraph"/>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22A69">
              <w:rPr>
                <w:rFonts w:ascii="Times" w:hAnsi="Times" w:cs="Times"/>
                <w:lang w:eastAsia="lt-LT"/>
              </w:rPr>
              <w:t>Pareiškėjas įsipareigoja be JP vykdytojo sutikimo neparduoti ar kitaip neperleisti kitam fiziniam ar juridiniam asmeniui įkrovimo stotelės (-</w:t>
            </w:r>
            <w:proofErr w:type="spellStart"/>
            <w:r w:rsidRPr="00B22A69">
              <w:rPr>
                <w:rFonts w:ascii="Times" w:hAnsi="Times" w:cs="Times"/>
                <w:lang w:eastAsia="lt-LT"/>
              </w:rPr>
              <w:t>ių</w:t>
            </w:r>
            <w:proofErr w:type="spellEnd"/>
            <w:r w:rsidRPr="00B22A69">
              <w:rPr>
                <w:rFonts w:ascii="Times" w:hAnsi="Times" w:cs="Times"/>
                <w:lang w:eastAsia="lt-LT"/>
              </w:rPr>
              <w:t>) su prieiga (-</w:t>
            </w:r>
            <w:proofErr w:type="spellStart"/>
            <w:r w:rsidRPr="00B22A69">
              <w:rPr>
                <w:rFonts w:ascii="Times" w:hAnsi="Times" w:cs="Times"/>
                <w:lang w:eastAsia="lt-LT"/>
              </w:rPr>
              <w:t>omis</w:t>
            </w:r>
            <w:proofErr w:type="spellEnd"/>
            <w:r w:rsidRPr="00B22A69">
              <w:rPr>
                <w:rFonts w:ascii="Times" w:hAnsi="Times" w:cs="Times"/>
                <w:lang w:eastAsia="lt-LT"/>
              </w:rPr>
              <w:t>), už kurią (-</w:t>
            </w:r>
            <w:proofErr w:type="spellStart"/>
            <w:r w:rsidRPr="00B22A69">
              <w:rPr>
                <w:rFonts w:ascii="Times" w:hAnsi="Times" w:cs="Times"/>
                <w:lang w:eastAsia="lt-LT"/>
              </w:rPr>
              <w:t>ias</w:t>
            </w:r>
            <w:proofErr w:type="spellEnd"/>
            <w:r w:rsidRPr="00B22A69">
              <w:rPr>
                <w:rFonts w:ascii="Times" w:hAnsi="Times" w:cs="Times"/>
                <w:lang w:eastAsia="lt-LT"/>
              </w:rPr>
              <w:t>) skirta kompensacija, mažiausiai 5 metus nuo kompensacijos sumokėjimo datos</w:t>
            </w:r>
            <w:r>
              <w:rPr>
                <w:rFonts w:ascii="Times" w:hAnsi="Times" w:cs="Times"/>
                <w:lang w:eastAsia="lt-LT"/>
              </w:rPr>
              <w:t>;</w:t>
            </w:r>
          </w:p>
          <w:p w14:paraId="26658F92" w14:textId="0CE30F35" w:rsidR="00531541" w:rsidRPr="00531541" w:rsidRDefault="00531541" w:rsidP="00531541">
            <w:pPr>
              <w:pStyle w:val="ListParagraph"/>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Pr>
                <w:rFonts w:ascii="Times" w:hAnsi="Times" w:cs="Times"/>
                <w:lang w:eastAsia="lt-LT"/>
              </w:rPr>
              <w:t xml:space="preserve">Pareiškėjas </w:t>
            </w:r>
            <w:r w:rsidRPr="000A5060">
              <w:rPr>
                <w:rFonts w:ascii="Times" w:hAnsi="Times" w:cs="Times"/>
                <w:lang w:eastAsia="lt-LT"/>
              </w:rPr>
              <w:t>įsipareigoja saugoti visus dokumentus, susijusius su Projekto vykdymu 10 finansinių metų nuo datos, kada paskutinį kartą pagal schemą buvo suteikta individuali pagalba, kaip nustatyta Reglamento (ES) Nr. 651/2014 12 straipsnio 1 punkte</w:t>
            </w:r>
            <w:r>
              <w:rPr>
                <w:rFonts w:ascii="Times" w:hAnsi="Times" w:cs="Times"/>
                <w:lang w:eastAsia="lt-LT"/>
              </w:rPr>
              <w:t>.</w:t>
            </w:r>
          </w:p>
        </w:tc>
      </w:tr>
      <w:tr w:rsidR="00531541" w:rsidRPr="00765A77" w14:paraId="6D6CB57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6BFDA155" w14:textId="290BF589" w:rsidR="00531541" w:rsidRPr="00765A77" w:rsidRDefault="00531541" w:rsidP="00531541">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07972DF" w14:textId="77777777" w:rsidR="00531541" w:rsidRPr="00B95B5E" w:rsidRDefault="00531541" w:rsidP="00531541">
            <w:pPr>
              <w:spacing w:after="120"/>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407458">
              <w:rPr>
                <w:rFonts w:ascii="Times" w:hAnsi="Times" w:cs="Times"/>
              </w:rPr>
              <w:t xml:space="preserve">Ne ilgiau kaip </w:t>
            </w:r>
            <w:r w:rsidRPr="00B95B5E">
              <w:rPr>
                <w:rFonts w:ascii="Times" w:hAnsi="Times" w:cs="Times"/>
                <w:color w:val="000000" w:themeColor="text1"/>
              </w:rPr>
              <w:t xml:space="preserve">iki 2026 m. vasario 27 d. </w:t>
            </w:r>
          </w:p>
          <w:p w14:paraId="7C23331C" w14:textId="12717F17" w:rsidR="00531541" w:rsidRPr="0053154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Įvykdytos veiklos bei pateiktas tinkamai užpildytas galutinis mokėjimo prašymas turi būti ne vėliau kaip iki </w:t>
            </w:r>
            <w:r w:rsidRPr="00B95B5E">
              <w:rPr>
                <w:rFonts w:ascii="Times" w:hAnsi="Times" w:cs="Times"/>
              </w:rPr>
              <w:t>2026 m. vasario 27 d.</w:t>
            </w:r>
          </w:p>
        </w:tc>
      </w:tr>
      <w:tr w:rsidR="00531541" w:rsidRPr="00765A77" w14:paraId="46BD78E4"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683F651" w14:textId="063B4D1F" w:rsidR="00531541" w:rsidRPr="00765A77" w:rsidRDefault="00531541" w:rsidP="00531541">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6614AEC" w14:textId="699BCF0A"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1.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600156">
              <w:rPr>
                <w:rFonts w:ascii="Times New Roman" w:hAnsi="Times New Roman" w:cs="Times New Roman"/>
              </w:rPr>
              <w:t>poveiklės</w:t>
            </w:r>
            <w:proofErr w:type="spellEnd"/>
            <w:r w:rsidRPr="00600156">
              <w:rPr>
                <w:rFonts w:ascii="Times New Roman" w:hAnsi="Times New Roman" w:cs="Times New Roman"/>
              </w:rPr>
              <w:t xml:space="preserve"> „Viešai prieinamos elektromobilių įkrovimo infrastruktūros įrengimas ir plėtra privačia iniciatyva darnaus judumo miestuose planus parengusiose savivaldybėse (EGADP)“ projektų finansavimo sąlygų aprašas, 1</w:t>
            </w:r>
            <w:r>
              <w:rPr>
                <w:rFonts w:ascii="Times New Roman" w:hAnsi="Times New Roman" w:cs="Times New Roman"/>
                <w:lang w:val="en-US"/>
              </w:rPr>
              <w:t>1</w:t>
            </w:r>
            <w:r w:rsidRPr="00600156">
              <w:rPr>
                <w:rFonts w:ascii="Times New Roman" w:hAnsi="Times New Roman" w:cs="Times New Roman"/>
              </w:rPr>
              <w:t xml:space="preserve"> priedas </w:t>
            </w:r>
            <w:hyperlink r:id="rId16" w:history="1">
              <w:r w:rsidRPr="00600156">
                <w:rPr>
                  <w:rStyle w:val="Hyperlink"/>
                  <w:rFonts w:ascii="Times New Roman" w:hAnsi="Times New Roman" w:cs="Times New Roman"/>
                </w:rPr>
                <w:t>https://e-seimas.lrs.lt/portal/legalAct/lt/TAD/33140134e04f11ecb1b39d276e924a5d/asr</w:t>
              </w:r>
            </w:hyperlink>
            <w:r w:rsidRPr="00600156">
              <w:rPr>
                <w:rFonts w:ascii="Times New Roman" w:hAnsi="Times New Roman" w:cs="Times New Roman"/>
              </w:rPr>
              <w:t xml:space="preserve"> </w:t>
            </w:r>
          </w:p>
          <w:p w14:paraId="2D83ECEB" w14:textId="77777777"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lastRenderedPageBreak/>
              <w:t xml:space="preserve">2.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7" w:history="1">
              <w:r w:rsidRPr="00600156">
                <w:rPr>
                  <w:rStyle w:val="Hyperlink"/>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3924BB27" w14:textId="77777777" w:rsidR="00531541" w:rsidRPr="00600156" w:rsidRDefault="00531541" w:rsidP="00531541">
            <w:pPr>
              <w:pStyle w:val="ListParagraph"/>
              <w:numPr>
                <w:ilvl w:val="0"/>
                <w:numId w:val="22"/>
              </w:numPr>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8" w:history="1">
              <w:r w:rsidRPr="003463E8">
                <w:rPr>
                  <w:rStyle w:val="Hyperlink"/>
                  <w:rFonts w:ascii="Times New Roman" w:hAnsi="Times New Roman" w:cs="Times New Roman"/>
                </w:rPr>
                <w:t>https://www.esinvesticijos.lt/dokumentai/rekomendacijos-del-projektu-islaidu-atitikties-europos-sajungos-fondu-reikalavimams</w:t>
              </w:r>
            </w:hyperlink>
            <w:r>
              <w:rPr>
                <w:rFonts w:ascii="Times New Roman" w:hAnsi="Times New Roman" w:cs="Times New Roman"/>
              </w:rPr>
              <w:t xml:space="preserve"> </w:t>
            </w:r>
          </w:p>
          <w:p w14:paraId="16939677" w14:textId="77777777" w:rsidR="004B535B" w:rsidRDefault="00531541" w:rsidP="004B535B">
            <w:pPr>
              <w:pStyle w:val="ListParagraph"/>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0015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9" w:history="1">
              <w:r w:rsidRPr="003463E8">
                <w:rPr>
                  <w:rStyle w:val="Hyperlink"/>
                  <w:rFonts w:ascii="Times" w:hAnsi="Times" w:cs="Times"/>
                  <w:lang w:eastAsia="lt-LT"/>
                </w:rPr>
                <w:t>https://eur-lex.europa.eu/legal-content/EN/TXT/?uri=CELEX%3A02014R0651-20230701</w:t>
              </w:r>
            </w:hyperlink>
            <w:r>
              <w:rPr>
                <w:rFonts w:ascii="Times" w:hAnsi="Times" w:cs="Times"/>
                <w:lang w:eastAsia="lt-LT"/>
              </w:rPr>
              <w:t xml:space="preserve"> </w:t>
            </w:r>
          </w:p>
          <w:p w14:paraId="1678A627" w14:textId="77777777" w:rsidR="00531541" w:rsidRPr="000A0A1F" w:rsidRDefault="00531541" w:rsidP="004B535B">
            <w:pPr>
              <w:pStyle w:val="ListParagraph"/>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B535B">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20" w:history="1">
              <w:r w:rsidRPr="000A0A1F">
                <w:rPr>
                  <w:rStyle w:val="Hyperlink"/>
                  <w:rFonts w:ascii="Times" w:hAnsi="Times" w:cs="Times"/>
                  <w:lang w:eastAsia="lt-LT"/>
                </w:rPr>
                <w:t>https://2021.esinvesticijos.lt/dokumentai/supaprastintai-apmokamu-islaidu-dydziu-registras</w:t>
              </w:r>
            </w:hyperlink>
          </w:p>
          <w:p w14:paraId="5F8D31D4" w14:textId="48E12E54" w:rsidR="004B535B" w:rsidRPr="004B535B" w:rsidRDefault="004B535B" w:rsidP="004B535B">
            <w:pPr>
              <w:pStyle w:val="ListParagraph"/>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0A0A1F">
              <w:rPr>
                <w:rFonts w:ascii="Times" w:hAnsi="Times" w:cs="Times"/>
                <w:lang w:eastAsia="lt-LT"/>
              </w:rPr>
              <w:t>Viešai prieinamų įkrovimo prieigų pritaikymo naudotis visoms visuomenės grupėms ir asmenims reikalavimų aprašas  </w:t>
            </w:r>
            <w:hyperlink r:id="rId21" w:history="1">
              <w:r w:rsidRPr="000A0A1F">
                <w:rPr>
                  <w:rStyle w:val="Hyperlink"/>
                  <w:rFonts w:ascii="Times" w:hAnsi="Times" w:cs="Times"/>
                  <w:lang w:eastAsia="lt-LT"/>
                </w:rPr>
                <w:t>https://www.e-tar.lt/portal/lt/legalAct/cf995936000711f08619bb348379608d</w:t>
              </w:r>
            </w:hyperlink>
            <w:r>
              <w:rPr>
                <w:rFonts w:ascii="Times" w:hAnsi="Times" w:cs="Times"/>
                <w:lang w:eastAsia="lt-LT"/>
              </w:rPr>
              <w:t xml:space="preserve"> </w:t>
            </w:r>
            <w:r w:rsidRPr="004B535B">
              <w:rPr>
                <w:rFonts w:ascii="Times" w:hAnsi="Times" w:cs="Times"/>
                <w:lang w:eastAsia="lt-LT"/>
              </w:rPr>
              <w:t xml:space="preserve"> </w:t>
            </w:r>
          </w:p>
        </w:tc>
      </w:tr>
      <w:tr w:rsidR="00531541" w:rsidRPr="00765A77" w14:paraId="1E21AEDB"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055A6B0" w14:textId="0AFFFEBA"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0D7FC673" w14:textId="77777777"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600156">
              <w:rPr>
                <w:rFonts w:ascii="Times New Roman" w:hAnsi="Times New Roman" w:cs="Times New Roman"/>
              </w:rPr>
              <w:t xml:space="preserve">.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22" w:history="1">
              <w:r w:rsidRPr="00600156">
                <w:rPr>
                  <w:rStyle w:val="Hyperlink"/>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70E862C2" w14:textId="73D5CD0B"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AA24DB0" w14:textId="22B9F5CF" w:rsidR="0053154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JP projektas turi atitikti </w:t>
            </w:r>
            <w:hyperlink r:id="rId23" w:history="1">
              <w:r w:rsidRPr="00C0426D">
                <w:rPr>
                  <w:rStyle w:val="Hyperlink"/>
                  <w:rFonts w:ascii="Times" w:hAnsi="Times" w:cs="Times"/>
                </w:rPr>
                <w:t>Projektų administravimo ir finansavimo taisyklių 2 priede</w:t>
              </w:r>
            </w:hyperlink>
            <w:r>
              <w:rPr>
                <w:rFonts w:ascii="Times" w:hAnsi="Times" w:cs="Times"/>
                <w:u w:val="single"/>
              </w:rPr>
              <w:t xml:space="preserve"> </w:t>
            </w:r>
            <w:r w:rsidRPr="00407458">
              <w:rPr>
                <w:rFonts w:ascii="Times" w:hAnsi="Times" w:cs="Times"/>
              </w:rPr>
              <w:t xml:space="preserve">nustatytus projektų bendruosius atrankos </w:t>
            </w:r>
            <w:r>
              <w:rPr>
                <w:rFonts w:ascii="Times" w:hAnsi="Times" w:cs="Times"/>
              </w:rPr>
              <w:t xml:space="preserve">kriterijus. </w:t>
            </w:r>
            <w:r w:rsidRPr="00407458">
              <w:rPr>
                <w:rFonts w:ascii="Times" w:hAnsi="Times" w:cs="Times"/>
              </w:rPr>
              <w:t xml:space="preserve">Specialieji ir </w:t>
            </w:r>
            <w:r w:rsidRPr="003063FF">
              <w:rPr>
                <w:rFonts w:ascii="Times" w:hAnsi="Times" w:cs="Times"/>
              </w:rPr>
              <w:t>prioritetiniai</w:t>
            </w:r>
            <w:r w:rsidRPr="00407458">
              <w:rPr>
                <w:rFonts w:ascii="Times" w:hAnsi="Times" w:cs="Times"/>
              </w:rPr>
              <w:t xml:space="preserve"> atrankos kriterijai nėra nustatomi.</w:t>
            </w:r>
          </w:p>
          <w:p w14:paraId="38482886" w14:textId="2F8B266A" w:rsidR="00112E9C"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31FB0">
              <w:rPr>
                <w:rFonts w:ascii="Times" w:hAnsi="Times" w:cs="Times"/>
                <w:lang w:eastAsia="lt-LT"/>
              </w:rPr>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r>
              <w:rPr>
                <w:rFonts w:ascii="Times" w:hAnsi="Times" w:cs="Times"/>
                <w:lang w:eastAsia="lt-LT"/>
              </w:rPr>
              <w:t xml:space="preserve"> (rasite </w:t>
            </w:r>
            <w:hyperlink r:id="rId24" w:history="1">
              <w:r w:rsidRPr="00412CC8">
                <w:rPr>
                  <w:rStyle w:val="Hyperlink"/>
                  <w:rFonts w:ascii="Times" w:hAnsi="Times" w:cs="Times"/>
                  <w:lang w:eastAsia="lt-LT"/>
                </w:rPr>
                <w:t>čia</w:t>
              </w:r>
            </w:hyperlink>
            <w:r>
              <w:rPr>
                <w:rFonts w:ascii="Times" w:hAnsi="Times" w:cs="Times"/>
                <w:lang w:eastAsia="lt-LT"/>
              </w:rPr>
              <w:t>)</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6410C0C2" w:rsidR="00112E9C" w:rsidRPr="00531541" w:rsidRDefault="00531541"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31541">
              <w:rPr>
                <w:rFonts w:ascii="Times New Roman" w:hAnsi="Times New Roman" w:cs="Times New Roman"/>
                <w:iCs/>
              </w:rPr>
              <w:t>Netaikoma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E13C4E9" w:rsidR="00112E9C" w:rsidRPr="00765A77" w:rsidRDefault="00531541"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541">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74A5927" w14:textId="77777777" w:rsidR="00531541" w:rsidRPr="00407458"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25" w:history="1">
              <w:r w:rsidRPr="00407458">
                <w:rPr>
                  <w:rStyle w:val="Hyperlink"/>
                  <w:rFonts w:ascii="Times" w:hAnsi="Times" w:cs="Times"/>
                </w:rPr>
                <w:t>https://apvis.apva.lt</w:t>
              </w:r>
            </w:hyperlink>
            <w:r w:rsidRPr="00407458">
              <w:rPr>
                <w:rFonts w:ascii="Times" w:hAnsi="Times" w:cs="Times"/>
              </w:rPr>
              <w:t xml:space="preserve"> </w:t>
            </w:r>
          </w:p>
          <w:p w14:paraId="3A4AFBEB" w14:textId="77777777" w:rsidR="00531541" w:rsidRPr="00407458"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p>
          <w:p w14:paraId="24499AA4" w14:textId="69AF3C89" w:rsidR="00A45EA2"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07458">
              <w:rPr>
                <w:rFonts w:ascii="Times" w:hAnsi="Times" w:cs="Times"/>
                <w:b/>
                <w:bCs/>
              </w:rPr>
              <w:lastRenderedPageBreak/>
              <w:t>Interneto svetainės, kuriose galima rasti informaciją, adresas:</w:t>
            </w:r>
            <w:r w:rsidRPr="00407458">
              <w:rPr>
                <w:rFonts w:ascii="Times" w:hAnsi="Times" w:cs="Times"/>
              </w:rPr>
              <w:t> </w:t>
            </w:r>
            <w:hyperlink r:id="rId26" w:history="1">
              <w:r w:rsidRPr="00407458">
                <w:rPr>
                  <w:rStyle w:val="Hyperlink"/>
                  <w:rFonts w:ascii="Times" w:hAnsi="Times" w:cs="Times"/>
                </w:rPr>
                <w:t>www.apva.lt</w:t>
              </w:r>
            </w:hyperlink>
            <w:r w:rsidRPr="00407458">
              <w:rPr>
                <w:rFonts w:ascii="Times" w:hAnsi="Times" w:cs="Times"/>
              </w:rPr>
              <w:t>, </w:t>
            </w:r>
            <w:hyperlink r:id="rId27" w:history="1">
              <w:r w:rsidRPr="00407458">
                <w:rPr>
                  <w:rStyle w:val="Hyperlink"/>
                  <w:rFonts w:ascii="Times" w:hAnsi="Times" w:cs="Times"/>
                </w:rPr>
                <w:t>www.apvis.apva.lt</w:t>
              </w:r>
            </w:hyperlink>
          </w:p>
        </w:tc>
      </w:tr>
      <w:tr w:rsidR="0053154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CB18169"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0BE802D" w14:textId="77777777" w:rsidR="00531541" w:rsidRPr="00407458" w:rsidRDefault="00531541" w:rsidP="00531541">
            <w:pPr>
              <w:ind w:firstLine="472"/>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747E876"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CADAD7F"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 xml:space="preserve">pareiškėjo užpildytas ir pasirašytas </w:t>
            </w:r>
            <w:r>
              <w:rPr>
                <w:rFonts w:ascii="Times" w:hAnsi="Times" w:cs="Times"/>
                <w:lang w:eastAsia="lt-LT"/>
              </w:rPr>
              <w:t>p</w:t>
            </w:r>
            <w:r w:rsidRPr="00397D08">
              <w:rPr>
                <w:rFonts w:ascii="Times" w:hAnsi="Times" w:cs="Times"/>
                <w:lang w:eastAsia="lt-LT"/>
              </w:rPr>
              <w:t>rojekto atitikties reikšmingos žalos nedarymo horizontaliajam principui vertinimo reikalavimų aprašas (Aprašo 1 priedas) bei jame nurodyti dokumentai;</w:t>
            </w:r>
          </w:p>
          <w:p w14:paraId="7DE589B5"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įrodymai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 </w:t>
            </w:r>
          </w:p>
          <w:p w14:paraId="69E0DF86"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informacija apie projekto poveikio aplinkai vertinimą ir projekto poveikį Europos Sąjungos saugomų teritorijų tinklui „</w:t>
            </w:r>
            <w:proofErr w:type="spellStart"/>
            <w:r w:rsidRPr="00055B1B">
              <w:rPr>
                <w:rFonts w:ascii="Times" w:hAnsi="Times" w:cs="Times"/>
                <w:lang w:eastAsia="lt-LT"/>
              </w:rPr>
              <w:t>Natura</w:t>
            </w:r>
            <w:proofErr w:type="spellEnd"/>
            <w:r w:rsidRPr="00055B1B">
              <w:rPr>
                <w:rFonts w:ascii="Times" w:hAnsi="Times" w:cs="Times"/>
                <w:lang w:eastAsia="lt-LT"/>
              </w:rPr>
              <w:t xml:space="preserve"> 2000“ pagal projektų įgyvendinimo plano formos (Projektų taisyklių 1 priedas) 3 priede pateiktą formą, pridedant atitinkamus reikalaujamus dokumentus, kai elektromobilių įkrovimo prieigos įrengiamos „</w:t>
            </w:r>
            <w:proofErr w:type="spellStart"/>
            <w:r w:rsidRPr="00055B1B">
              <w:rPr>
                <w:rFonts w:ascii="Times" w:hAnsi="Times" w:cs="Times"/>
                <w:lang w:eastAsia="lt-LT"/>
              </w:rPr>
              <w:t>Natura</w:t>
            </w:r>
            <w:proofErr w:type="spellEnd"/>
            <w:r w:rsidRPr="00055B1B">
              <w:rPr>
                <w:rFonts w:ascii="Times" w:hAnsi="Times" w:cs="Times"/>
                <w:lang w:eastAsia="lt-LT"/>
              </w:rPr>
              <w:t xml:space="preserve"> 2000“ teritorijose; </w:t>
            </w:r>
          </w:p>
          <w:p w14:paraId="72EBF629"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pareiškėjo paskutinių finansinių metų patvirtintų metinės finansinės (konsoliduotosios, jeigu taikoma) atskaitomybės dokumentų kopijos (netaikoma pareiškėjui, kuris šias kopijas yra pateikęs Juridinių asmenų registrui); </w:t>
            </w:r>
          </w:p>
          <w:p w14:paraId="614F84F8" w14:textId="77777777" w:rsidR="00531541" w:rsidRPr="00D65A5F"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42AD0485" w14:textId="77777777" w:rsidR="00531541" w:rsidRDefault="00531541" w:rsidP="00531541">
            <w:pPr>
              <w:pStyle w:val="ListParagraph"/>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D65A5F">
              <w:rPr>
                <w:rFonts w:ascii="Times" w:hAnsi="Times" w:cs="Times"/>
                <w:lang w:eastAsia="lt-LT"/>
              </w:rPr>
              <w:t>Lietuvos Respublikos ekonomikos ir inovacijų ministro įsakymu patvirtintu Smulkiojo ar vidutinio verslo subjekto statuso deklaravimo tvarkos</w:t>
            </w:r>
            <w:r>
              <w:rPr>
                <w:rFonts w:ascii="Times" w:hAnsi="Times" w:cs="Times"/>
                <w:lang w:eastAsia="lt-LT"/>
              </w:rPr>
              <w:t xml:space="preserve"> aprašu (aprašą rasite </w:t>
            </w:r>
            <w:hyperlink r:id="rId28" w:history="1">
              <w:r w:rsidRPr="00BC203E">
                <w:rPr>
                  <w:rStyle w:val="Hyperlink"/>
                  <w:rFonts w:ascii="Times" w:hAnsi="Times" w:cs="Times"/>
                  <w:lang w:eastAsia="lt-LT"/>
                </w:rPr>
                <w:t>čia</w:t>
              </w:r>
            </w:hyperlink>
            <w:r>
              <w:rPr>
                <w:rFonts w:ascii="Times" w:hAnsi="Times" w:cs="Times"/>
                <w:lang w:eastAsia="lt-LT"/>
              </w:rPr>
              <w:t>)</w:t>
            </w:r>
            <w:r w:rsidRPr="00D65A5F">
              <w:rPr>
                <w:rFonts w:ascii="Times" w:hAnsi="Times" w:cs="Times"/>
                <w:lang w:eastAsia="lt-LT"/>
              </w:rPr>
              <w:t xml:space="preserve">, nuo 2024 m. rugpjūčio 1 d. pradėjo veikti Smulkiojo ar vidutinio verslo subjekto statuso deklaracijos pildymo įrankis skirtas verslo subjektams, siekiantiems gauti valstybės paramą ir dėl to turintiems pateikti </w:t>
            </w:r>
            <w:r>
              <w:rPr>
                <w:rFonts w:ascii="Times" w:hAnsi="Times" w:cs="Times"/>
                <w:lang w:eastAsia="lt-LT"/>
              </w:rPr>
              <w:t>d</w:t>
            </w:r>
            <w:r w:rsidRPr="00D65A5F">
              <w:rPr>
                <w:rFonts w:ascii="Times" w:hAnsi="Times" w:cs="Times"/>
                <w:lang w:eastAsia="lt-LT"/>
              </w:rPr>
              <w:t>eklaraciją. Įrankis pasiekiamas internete, prisijungiant prie VĮ “Registrų centras” savitarnos</w:t>
            </w:r>
            <w:r>
              <w:rPr>
                <w:rFonts w:ascii="Times" w:hAnsi="Times" w:cs="Times"/>
                <w:lang w:eastAsia="lt-LT"/>
              </w:rPr>
              <w:t xml:space="preserve"> </w:t>
            </w:r>
            <w:hyperlink r:id="rId29" w:history="1">
              <w:r w:rsidRPr="00BC203E">
                <w:rPr>
                  <w:rStyle w:val="Hyperlink"/>
                  <w:rFonts w:ascii="Times" w:hAnsi="Times" w:cs="Times"/>
                  <w:lang w:eastAsia="lt-LT"/>
                </w:rPr>
                <w:t>SVV deklaracijų pildymo programa (</w:t>
              </w:r>
              <w:proofErr w:type="spellStart"/>
              <w:r w:rsidRPr="00BC203E">
                <w:rPr>
                  <w:rStyle w:val="Hyperlink"/>
                  <w:rFonts w:ascii="Times" w:hAnsi="Times" w:cs="Times"/>
                  <w:lang w:eastAsia="lt-LT"/>
                </w:rPr>
                <w:t>registrucentras.lt</w:t>
              </w:r>
              <w:proofErr w:type="spellEnd"/>
              <w:r w:rsidRPr="00BC203E">
                <w:rPr>
                  <w:rStyle w:val="Hyperlink"/>
                  <w:rFonts w:ascii="Times" w:hAnsi="Times" w:cs="Times"/>
                  <w:lang w:eastAsia="lt-LT"/>
                </w:rPr>
                <w:t>)</w:t>
              </w:r>
            </w:hyperlink>
            <w:r>
              <w:rPr>
                <w:rFonts w:ascii="Times" w:hAnsi="Times" w:cs="Times"/>
                <w:lang w:eastAsia="lt-LT"/>
              </w:rPr>
              <w:t>.</w:t>
            </w:r>
          </w:p>
          <w:p w14:paraId="029347C6" w14:textId="77777777" w:rsidR="00531541" w:rsidRPr="00BC203E"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C203E">
              <w:rPr>
                <w:rFonts w:ascii="Times" w:hAnsi="Times" w:cs="Times"/>
                <w:lang w:eastAsia="lt-LT"/>
              </w:rPr>
              <w:t xml:space="preserve">informacija apie pareiškėjui suteiktą valstybės pagalbą – pagal Projektų įgyvendinimo plano formos (Projektų taisyklių 1 priedas) 4 priede pateiktą formą; </w:t>
            </w:r>
          </w:p>
          <w:p w14:paraId="67352828"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7D526D55" w14:textId="77777777" w:rsidR="00531541" w:rsidRPr="00055B1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pareiškėjo nekilnojamojo turto objekto (-ų)</w:t>
            </w:r>
            <w:r w:rsidRPr="00397D08">
              <w:rPr>
                <w:rFonts w:ascii="Times" w:hAnsi="Times" w:cs="Times"/>
                <w:i/>
                <w:iCs/>
                <w:lang w:eastAsia="lt-LT"/>
              </w:rPr>
              <w:t> </w:t>
            </w:r>
            <w:r w:rsidRPr="00397D08">
              <w:rPr>
                <w:rFonts w:ascii="Times" w:hAnsi="Times" w:cs="Times"/>
                <w:lang w:eastAsia="lt-LT"/>
              </w:rPr>
              <w:t>valdymo teisę</w:t>
            </w:r>
            <w:r w:rsidRPr="00397D08">
              <w:rPr>
                <w:rFonts w:ascii="Times" w:hAnsi="Times" w:cs="Times"/>
                <w:i/>
                <w:iCs/>
                <w:lang w:eastAsia="lt-LT"/>
              </w:rPr>
              <w:t> </w:t>
            </w:r>
            <w:r w:rsidRPr="00397D08">
              <w:rPr>
                <w:rFonts w:ascii="Times" w:hAnsi="Times" w:cs="Times"/>
                <w:lang w:eastAsia="lt-LT"/>
              </w:rPr>
              <w:t>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r w:rsidRPr="00055B1B">
              <w:rPr>
                <w:rFonts w:ascii="Times" w:hAnsi="Times" w:cs="Times"/>
                <w:lang w:eastAsia="lt-LT"/>
              </w:rPr>
              <w:t>;</w:t>
            </w:r>
          </w:p>
          <w:p w14:paraId="5E394ED0" w14:textId="77777777" w:rsidR="00531541" w:rsidRPr="006F1710"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sidRPr="00055B1B">
              <w:rPr>
                <w:rFonts w:ascii="Times" w:hAnsi="Times" w:cs="Times"/>
                <w:lang w:eastAsia="lt-LT"/>
              </w:rPr>
              <w:t>omis</w:t>
            </w:r>
            <w:proofErr w:type="spellEnd"/>
            <w:r w:rsidRPr="00055B1B">
              <w:rPr>
                <w:rFonts w:ascii="Times" w:hAnsi="Times" w:cs="Times"/>
                <w:lang w:eastAsia="lt-LT"/>
              </w:rPr>
              <w:t>) atitinkamame nekilnojamojo turto objekte</w:t>
            </w:r>
            <w:r>
              <w:rPr>
                <w:rFonts w:ascii="Times" w:hAnsi="Times" w:cs="Times"/>
                <w:lang w:eastAsia="lt-LT"/>
              </w:rPr>
              <w:t>;</w:t>
            </w:r>
          </w:p>
          <w:p w14:paraId="579161FE" w14:textId="77777777" w:rsidR="00531541" w:rsidRPr="006F1710"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F1710">
              <w:rPr>
                <w:rFonts w:ascii="Times" w:hAnsi="Times" w:cs="Times"/>
                <w:lang w:eastAsia="lt-LT"/>
              </w:rPr>
              <w:t>"Vienos įmonės" deklaracija pagal komisijos reglamentą Nr.1407/2013</w:t>
            </w:r>
          </w:p>
          <w:p w14:paraId="7F6944B5" w14:textId="77777777" w:rsidR="00531541" w:rsidRPr="0071355B" w:rsidRDefault="00531541" w:rsidP="0053154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Pareiškėjo deklaracija.</w:t>
            </w:r>
          </w:p>
          <w:p w14:paraId="4EB28C54" w14:textId="4C732A67"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531541" w:rsidRPr="00765A77" w14:paraId="0DA5041E"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D6601F0"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5D652E10" w14:textId="77777777" w:rsidR="00531541" w:rsidRPr="00765A77"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531541" w:rsidRPr="000A0A1F" w14:paraId="437DF6F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E9BA062"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Vardas *</w:t>
            </w:r>
          </w:p>
        </w:tc>
        <w:tc>
          <w:tcPr>
            <w:tcW w:w="8413" w:type="dxa"/>
          </w:tcPr>
          <w:p w14:paraId="03648CE6"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Rasa</w:t>
            </w:r>
          </w:p>
        </w:tc>
      </w:tr>
      <w:tr w:rsidR="00531541" w:rsidRPr="000A0A1F" w14:paraId="06EE935E"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2796B41"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Pavardė *</w:t>
            </w:r>
          </w:p>
        </w:tc>
        <w:tc>
          <w:tcPr>
            <w:tcW w:w="8413" w:type="dxa"/>
          </w:tcPr>
          <w:p w14:paraId="1714758E"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Suzanovičienė</w:t>
            </w:r>
          </w:p>
        </w:tc>
      </w:tr>
      <w:tr w:rsidR="00531541" w:rsidRPr="000A0A1F" w14:paraId="4CA796F9"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9983B45"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Institucija *</w:t>
            </w:r>
          </w:p>
        </w:tc>
        <w:tc>
          <w:tcPr>
            <w:tcW w:w="8413" w:type="dxa"/>
          </w:tcPr>
          <w:p w14:paraId="3026696F"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Aplinkos projektų valdymo agentūra</w:t>
            </w:r>
          </w:p>
        </w:tc>
      </w:tr>
      <w:tr w:rsidR="00531541" w:rsidRPr="000A0A1F" w14:paraId="586F95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457AB84"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Pareigos</w:t>
            </w:r>
          </w:p>
        </w:tc>
        <w:tc>
          <w:tcPr>
            <w:tcW w:w="8413" w:type="dxa"/>
          </w:tcPr>
          <w:p w14:paraId="425BD7B8"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531541" w:rsidRPr="000A0A1F" w14:paraId="2AEFD05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BD45DCE"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Tel. *</w:t>
            </w:r>
          </w:p>
        </w:tc>
        <w:tc>
          <w:tcPr>
            <w:tcW w:w="8413" w:type="dxa"/>
          </w:tcPr>
          <w:p w14:paraId="2D1F759D"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0A0A1F">
              <w:rPr>
                <w:rFonts w:ascii="Times" w:hAnsi="Times" w:cs="Times"/>
              </w:rPr>
              <w:t>+370 611 92318</w:t>
            </w:r>
          </w:p>
        </w:tc>
      </w:tr>
      <w:tr w:rsidR="00531541" w:rsidRPr="000A0A1F" w14:paraId="3D325587"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D187E4F"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El. paštas *</w:t>
            </w:r>
          </w:p>
        </w:tc>
        <w:tc>
          <w:tcPr>
            <w:tcW w:w="8413" w:type="dxa"/>
          </w:tcPr>
          <w:p w14:paraId="3FB27B56"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30" w:history="1">
              <w:r w:rsidRPr="000A0A1F">
                <w:rPr>
                  <w:rStyle w:val="Hyperlink"/>
                  <w:rFonts w:ascii="Times" w:hAnsi="Times" w:cs="Times"/>
                </w:rPr>
                <w:t>rasa.suzanoviciene@apva.lt</w:t>
              </w:r>
            </w:hyperlink>
          </w:p>
        </w:tc>
      </w:tr>
    </w:tbl>
    <w:p w14:paraId="4F07FA3A" w14:textId="77777777" w:rsidR="00531541" w:rsidRPr="000A0A1F" w:rsidRDefault="00531541" w:rsidP="00531541">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31541" w:rsidRPr="000A0A1F" w14:paraId="19FDC4C7"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0176947"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Lauko pavadinimas</w:t>
            </w:r>
          </w:p>
        </w:tc>
        <w:tc>
          <w:tcPr>
            <w:tcW w:w="8413" w:type="dxa"/>
            <w:shd w:val="clear" w:color="auto" w:fill="DEEAF6" w:themeFill="accent1" w:themeFillTint="33"/>
          </w:tcPr>
          <w:p w14:paraId="1D2E72FB" w14:textId="77777777" w:rsidR="00531541" w:rsidRPr="000A0A1F"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A0A1F">
              <w:rPr>
                <w:rFonts w:ascii="Times New Roman" w:hAnsi="Times New Roman" w:cs="Times New Roman"/>
              </w:rPr>
              <w:t>Lauko aprašymas</w:t>
            </w:r>
          </w:p>
        </w:tc>
      </w:tr>
      <w:tr w:rsidR="00531541" w:rsidRPr="0052031A" w14:paraId="7A8E7C5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772D33F"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Vardas *</w:t>
            </w:r>
          </w:p>
        </w:tc>
        <w:tc>
          <w:tcPr>
            <w:tcW w:w="8413" w:type="dxa"/>
          </w:tcPr>
          <w:p w14:paraId="4B1EE044" w14:textId="4385B937" w:rsidR="00531541" w:rsidRPr="0052031A"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52031A">
              <w:rPr>
                <w:rFonts w:ascii="Times New Roman" w:hAnsi="Times New Roman" w:cs="Times New Roman"/>
                <w:i/>
                <w:highlight w:val="yellow"/>
              </w:rPr>
              <w:t>Reda</w:t>
            </w:r>
          </w:p>
        </w:tc>
      </w:tr>
      <w:tr w:rsidR="00531541" w:rsidRPr="0052031A" w14:paraId="63B57892"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7464963"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Pavardė *</w:t>
            </w:r>
          </w:p>
        </w:tc>
        <w:tc>
          <w:tcPr>
            <w:tcW w:w="8413" w:type="dxa"/>
          </w:tcPr>
          <w:p w14:paraId="6E7A44FC" w14:textId="25997D08" w:rsidR="00531541" w:rsidRPr="0052031A"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roofErr w:type="spellStart"/>
            <w:r w:rsidRPr="0052031A">
              <w:rPr>
                <w:rFonts w:ascii="Times New Roman" w:hAnsi="Times New Roman" w:cs="Times New Roman"/>
                <w:i/>
                <w:highlight w:val="yellow"/>
              </w:rPr>
              <w:t>Ramaškienė</w:t>
            </w:r>
            <w:proofErr w:type="spellEnd"/>
          </w:p>
        </w:tc>
      </w:tr>
      <w:tr w:rsidR="00531541" w:rsidRPr="0052031A" w14:paraId="425AD85D"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3DF7126"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Institucija *</w:t>
            </w:r>
          </w:p>
        </w:tc>
        <w:tc>
          <w:tcPr>
            <w:tcW w:w="8413" w:type="dxa"/>
          </w:tcPr>
          <w:p w14:paraId="6E049F29" w14:textId="77777777" w:rsidR="00531541" w:rsidRPr="0052031A"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52031A">
              <w:rPr>
                <w:rFonts w:ascii="Times New Roman" w:hAnsi="Times New Roman" w:cs="Times New Roman"/>
                <w:i/>
                <w:highlight w:val="yellow"/>
              </w:rPr>
              <w:t>Aplinkos projektų valdymo agentūra</w:t>
            </w:r>
          </w:p>
        </w:tc>
      </w:tr>
      <w:tr w:rsidR="00531541" w:rsidRPr="0052031A" w14:paraId="598EEB66"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22B33FD"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Pareigos</w:t>
            </w:r>
          </w:p>
        </w:tc>
        <w:tc>
          <w:tcPr>
            <w:tcW w:w="8413" w:type="dxa"/>
          </w:tcPr>
          <w:p w14:paraId="3E764056" w14:textId="77777777" w:rsidR="00531541" w:rsidRPr="0052031A"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531541" w:rsidRPr="0052031A" w14:paraId="55A5A52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AE97ED2"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Tel. *</w:t>
            </w:r>
          </w:p>
        </w:tc>
        <w:tc>
          <w:tcPr>
            <w:tcW w:w="8413" w:type="dxa"/>
          </w:tcPr>
          <w:p w14:paraId="4AB3252A" w14:textId="61B83F64" w:rsidR="00531541" w:rsidRPr="0052031A"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lang w:val="en-US"/>
              </w:rPr>
            </w:pPr>
            <w:r w:rsidRPr="0052031A">
              <w:rPr>
                <w:rFonts w:ascii="Times" w:hAnsi="Times" w:cs="Times"/>
                <w:highlight w:val="yellow"/>
              </w:rPr>
              <w:t>+370 612 71 195</w:t>
            </w:r>
          </w:p>
        </w:tc>
      </w:tr>
      <w:tr w:rsidR="00531541" w:rsidRPr="00765A77" w14:paraId="5932AA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EBDD4C2" w14:textId="77777777" w:rsidR="00531541" w:rsidRPr="0052031A" w:rsidRDefault="00531541" w:rsidP="00061DE9">
            <w:pPr>
              <w:rPr>
                <w:rFonts w:ascii="Times New Roman" w:hAnsi="Times New Roman" w:cs="Times New Roman"/>
                <w:highlight w:val="yellow"/>
              </w:rPr>
            </w:pPr>
            <w:r w:rsidRPr="0052031A">
              <w:rPr>
                <w:rFonts w:ascii="Times New Roman" w:hAnsi="Times New Roman" w:cs="Times New Roman"/>
                <w:highlight w:val="yellow"/>
              </w:rPr>
              <w:t>El. paštas *</w:t>
            </w:r>
          </w:p>
        </w:tc>
        <w:tc>
          <w:tcPr>
            <w:tcW w:w="8413" w:type="dxa"/>
          </w:tcPr>
          <w:p w14:paraId="6397FF86" w14:textId="0BF7E5E4" w:rsidR="00531541" w:rsidRPr="000A0A1F"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31" w:tgtFrame="_blank" w:tooltip="mailto:reda.ramaskiene@apva.lt" w:history="1">
              <w:r w:rsidRPr="0052031A">
                <w:rPr>
                  <w:rStyle w:val="Hyperlink"/>
                  <w:rFonts w:ascii="Times" w:hAnsi="Times" w:cs="Times"/>
                  <w:highlight w:val="yellow"/>
                </w:rPr>
                <w:t>reda.ramaskiene@apva.lt</w:t>
              </w:r>
            </w:hyperlink>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32"/>
      <w:footerReference w:type="default" r:id="rId33"/>
      <w:headerReference w:type="first" r:id="rId3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A8EB" w14:textId="77777777" w:rsidR="001F154D" w:rsidRDefault="001F154D" w:rsidP="00DE54AD">
      <w:pPr>
        <w:spacing w:after="0" w:line="240" w:lineRule="auto"/>
      </w:pPr>
      <w:r>
        <w:separator/>
      </w:r>
    </w:p>
  </w:endnote>
  <w:endnote w:type="continuationSeparator" w:id="0">
    <w:p w14:paraId="50A88715" w14:textId="77777777" w:rsidR="001F154D" w:rsidRDefault="001F154D" w:rsidP="00DE54AD">
      <w:pPr>
        <w:spacing w:after="0" w:line="240" w:lineRule="auto"/>
      </w:pPr>
      <w:r>
        <w:continuationSeparator/>
      </w:r>
    </w:p>
  </w:endnote>
  <w:endnote w:type="continuationNotice" w:id="1">
    <w:p w14:paraId="4A749BDE" w14:textId="77777777" w:rsidR="001F154D" w:rsidRDefault="001F1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C953" w14:textId="77777777" w:rsidR="001F154D" w:rsidRDefault="001F154D" w:rsidP="00DE54AD">
      <w:pPr>
        <w:spacing w:after="0" w:line="240" w:lineRule="auto"/>
      </w:pPr>
      <w:r>
        <w:separator/>
      </w:r>
    </w:p>
  </w:footnote>
  <w:footnote w:type="continuationSeparator" w:id="0">
    <w:p w14:paraId="694115CD" w14:textId="77777777" w:rsidR="001F154D" w:rsidRDefault="001F154D" w:rsidP="00DE54AD">
      <w:pPr>
        <w:spacing w:after="0" w:line="240" w:lineRule="auto"/>
      </w:pPr>
      <w:r>
        <w:continuationSeparator/>
      </w:r>
    </w:p>
  </w:footnote>
  <w:footnote w:type="continuationNotice" w:id="1">
    <w:p w14:paraId="50D0EC17" w14:textId="77777777" w:rsidR="001F154D" w:rsidRDefault="001F154D">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F6"/>
    <w:multiLevelType w:val="hybridMultilevel"/>
    <w:tmpl w:val="B92E9360"/>
    <w:lvl w:ilvl="0" w:tplc="11BC9EEE">
      <w:start w:val="1"/>
      <w:numFmt w:val="decimal"/>
      <w:lvlText w:val="%1."/>
      <w:lvlJc w:val="left"/>
      <w:pPr>
        <w:ind w:left="720" w:hanging="360"/>
      </w:pPr>
      <w:rPr>
        <w:rFonts w:ascii="Times" w:eastAsiaTheme="minorHAnsi" w:hAnsi="Times" w:cs="Time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7B53"/>
    <w:multiLevelType w:val="multilevel"/>
    <w:tmpl w:val="D230383C"/>
    <w:lvl w:ilvl="0">
      <w:start w:val="1"/>
      <w:numFmt w:val="decimal"/>
      <w:lvlText w:val="%1."/>
      <w:lvlJc w:val="left"/>
      <w:pPr>
        <w:ind w:left="720" w:hanging="360"/>
      </w:pPr>
      <w:rPr>
        <w:rFonts w:ascii="Times" w:eastAsiaTheme="minorHAnsi" w:hAnsi="Times" w:cs="Time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863C8D"/>
    <w:multiLevelType w:val="multilevel"/>
    <w:tmpl w:val="5CA45E82"/>
    <w:lvl w:ilvl="0">
      <w:start w:val="1"/>
      <w:numFmt w:val="decimal"/>
      <w:lvlText w:val="%1."/>
      <w:lvlJc w:val="left"/>
      <w:pPr>
        <w:ind w:left="690" w:hanging="360"/>
      </w:pPr>
      <w:rPr>
        <w:rFonts w:hint="default"/>
        <w:i w:val="0"/>
        <w:iCs/>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4"/>
  </w:num>
  <w:num w:numId="2" w16cid:durableId="752162441">
    <w:abstractNumId w:val="13"/>
  </w:num>
  <w:num w:numId="3" w16cid:durableId="1358310245">
    <w:abstractNumId w:val="9"/>
  </w:num>
  <w:num w:numId="4" w16cid:durableId="1741898865">
    <w:abstractNumId w:val="12"/>
  </w:num>
  <w:num w:numId="5" w16cid:durableId="1459642028">
    <w:abstractNumId w:val="5"/>
  </w:num>
  <w:num w:numId="6" w16cid:durableId="1975596654">
    <w:abstractNumId w:val="15"/>
  </w:num>
  <w:num w:numId="7" w16cid:durableId="445202666">
    <w:abstractNumId w:val="11"/>
  </w:num>
  <w:num w:numId="8" w16cid:durableId="1131901220">
    <w:abstractNumId w:val="8"/>
  </w:num>
  <w:num w:numId="9" w16cid:durableId="974603439">
    <w:abstractNumId w:val="20"/>
  </w:num>
  <w:num w:numId="10" w16cid:durableId="1840608827">
    <w:abstractNumId w:val="6"/>
  </w:num>
  <w:num w:numId="11" w16cid:durableId="1048652021">
    <w:abstractNumId w:val="2"/>
  </w:num>
  <w:num w:numId="12" w16cid:durableId="1181430688">
    <w:abstractNumId w:val="19"/>
  </w:num>
  <w:num w:numId="13" w16cid:durableId="889801615">
    <w:abstractNumId w:val="16"/>
  </w:num>
  <w:num w:numId="14" w16cid:durableId="2046100433">
    <w:abstractNumId w:val="3"/>
  </w:num>
  <w:num w:numId="15" w16cid:durableId="1612977970">
    <w:abstractNumId w:val="13"/>
  </w:num>
  <w:num w:numId="16" w16cid:durableId="938029781">
    <w:abstractNumId w:val="17"/>
  </w:num>
  <w:num w:numId="17" w16cid:durableId="1107894781">
    <w:abstractNumId w:val="10"/>
  </w:num>
  <w:num w:numId="18" w16cid:durableId="798112955">
    <w:abstractNumId w:val="13"/>
  </w:num>
  <w:num w:numId="19" w16cid:durableId="560403309">
    <w:abstractNumId w:val="14"/>
  </w:num>
  <w:num w:numId="20" w16cid:durableId="646935184">
    <w:abstractNumId w:val="7"/>
  </w:num>
  <w:num w:numId="21" w16cid:durableId="2060396067">
    <w:abstractNumId w:val="18"/>
  </w:num>
  <w:num w:numId="22" w16cid:durableId="2111851424">
    <w:abstractNumId w:val="21"/>
  </w:num>
  <w:num w:numId="23" w16cid:durableId="429472418">
    <w:abstractNumId w:val="1"/>
  </w:num>
  <w:num w:numId="24" w16cid:durableId="25120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0A1F"/>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B91"/>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154D"/>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0D01"/>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3840"/>
    <w:rsid w:val="004B535B"/>
    <w:rsid w:val="004B7CCE"/>
    <w:rsid w:val="004C0108"/>
    <w:rsid w:val="004C078B"/>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31A"/>
    <w:rsid w:val="00520837"/>
    <w:rsid w:val="005212E8"/>
    <w:rsid w:val="00527EE2"/>
    <w:rsid w:val="00531541"/>
    <w:rsid w:val="00532790"/>
    <w:rsid w:val="00535E7C"/>
    <w:rsid w:val="00537274"/>
    <w:rsid w:val="005401E9"/>
    <w:rsid w:val="00542CE8"/>
    <w:rsid w:val="0054524E"/>
    <w:rsid w:val="00546017"/>
    <w:rsid w:val="005468D1"/>
    <w:rsid w:val="00547F54"/>
    <w:rsid w:val="00550AFB"/>
    <w:rsid w:val="005517E6"/>
    <w:rsid w:val="005529E1"/>
    <w:rsid w:val="0055370B"/>
    <w:rsid w:val="00553763"/>
    <w:rsid w:val="00553B8D"/>
    <w:rsid w:val="00554B8B"/>
    <w:rsid w:val="0055539F"/>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3596"/>
    <w:rsid w:val="005E44F2"/>
    <w:rsid w:val="005E4929"/>
    <w:rsid w:val="005F18C2"/>
    <w:rsid w:val="005F1965"/>
    <w:rsid w:val="005F274C"/>
    <w:rsid w:val="0060230D"/>
    <w:rsid w:val="0060244A"/>
    <w:rsid w:val="006026A3"/>
    <w:rsid w:val="00604A9C"/>
    <w:rsid w:val="00605CC2"/>
    <w:rsid w:val="0060643C"/>
    <w:rsid w:val="0060CDB9"/>
    <w:rsid w:val="006112DF"/>
    <w:rsid w:val="00615E1B"/>
    <w:rsid w:val="00624D7D"/>
    <w:rsid w:val="0063004D"/>
    <w:rsid w:val="00631AB4"/>
    <w:rsid w:val="00635B09"/>
    <w:rsid w:val="006367A5"/>
    <w:rsid w:val="00640168"/>
    <w:rsid w:val="00642CEA"/>
    <w:rsid w:val="00643608"/>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4701"/>
    <w:rsid w:val="0069620C"/>
    <w:rsid w:val="006A1EE6"/>
    <w:rsid w:val="006A5AD8"/>
    <w:rsid w:val="006B02A3"/>
    <w:rsid w:val="006B1281"/>
    <w:rsid w:val="006B14A7"/>
    <w:rsid w:val="006B380D"/>
    <w:rsid w:val="006B5226"/>
    <w:rsid w:val="006B59FE"/>
    <w:rsid w:val="006C3465"/>
    <w:rsid w:val="006C38D8"/>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43"/>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160F"/>
    <w:rsid w:val="00AE3417"/>
    <w:rsid w:val="00AE3CA9"/>
    <w:rsid w:val="00AE5A72"/>
    <w:rsid w:val="00AE707E"/>
    <w:rsid w:val="00AF0719"/>
    <w:rsid w:val="00AF2C91"/>
    <w:rsid w:val="00AF37F1"/>
    <w:rsid w:val="00AF6EC6"/>
    <w:rsid w:val="00B00300"/>
    <w:rsid w:val="00B0293F"/>
    <w:rsid w:val="00B029EF"/>
    <w:rsid w:val="00B05CC8"/>
    <w:rsid w:val="00B06730"/>
    <w:rsid w:val="00B1093B"/>
    <w:rsid w:val="00B11133"/>
    <w:rsid w:val="00B11EB7"/>
    <w:rsid w:val="00B12FB1"/>
    <w:rsid w:val="00B13739"/>
    <w:rsid w:val="00B14E3B"/>
    <w:rsid w:val="00B162D9"/>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6923"/>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07171"/>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5C56"/>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477F1"/>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4E6A"/>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B0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s://www.esinvesticijos.lt/dokumentai/rekomendacijos-del-projektu-islaidu-atitikties-europos-sajungos-fondu-reikalavimams" TargetMode="External"/><Relationship Id="rId26"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hyperlink" Target="https://www.e-tar.lt/portal/lt/legalAct/cf995936000711f08619bb348379608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e-seimas.lrs.lt/portal/legalAct/lt/TAD/fd3d3843f26111ecbfe9c72e552dd5bd/asr" TargetMode="External"/><Relationship Id="rId25" Type="http://schemas.openxmlformats.org/officeDocument/2006/relationships/hyperlink" Target="https://apvis.apva.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eimas.lrs.lt/portal/legalAct/lt/TAD/33140134e04f11ecb1b39d276e924a5d/asr"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svv.registrucentr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s8cGsC" TargetMode="External"/><Relationship Id="rId24" Type="http://schemas.openxmlformats.org/officeDocument/2006/relationships/hyperlink" Target="https://fntt.lrv.lt/lt/tarptautines-finansines-sankcijo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file:///\\data-server\APVA_duomenys\1.%20Front%20office\1.3.%20&#381;aliosios%20tranf%20dep\1.3.2.%20Susisiekimas%20ir%20transportas\36.%20EGAD%20l&#279;&#353;omis%20finansuojami%20projektai\Stotel&#279;s%20sunkiajam%20transportui\Kvietimai\Kvietimo%20keitimas%202025-07\BAK_reikalavimai.docx" TargetMode="External"/><Relationship Id="rId28" Type="http://schemas.openxmlformats.org/officeDocument/2006/relationships/hyperlink" Target="https://e-seimas.lrs.lt/portal/legalAct/lt/TAD/fd3d3843f26111ecbfe9c72e552dd5b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TXT/?uri=CELEX%3A02014R0651-20230701" TargetMode="External"/><Relationship Id="rId31" Type="http://schemas.openxmlformats.org/officeDocument/2006/relationships/hyperlink" Target="mailto:reda.ramaskiene@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14R0651-20230701"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hyperlink" Target="http://www.apvis.apva.lt/" TargetMode="External"/><Relationship Id="rId30" Type="http://schemas.openxmlformats.org/officeDocument/2006/relationships/hyperlink" Target="mailto:rasa.suzanoviciene@apva.l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18501</Words>
  <Characters>10547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Rasa Suzanovičienė</cp:lastModifiedBy>
  <cp:revision>5</cp:revision>
  <dcterms:created xsi:type="dcterms:W3CDTF">2025-07-10T08:02:00Z</dcterms:created>
  <dcterms:modified xsi:type="dcterms:W3CDTF">2025-11-17T07:05:00Z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