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16F" w14:textId="77777777" w:rsidR="00BF0DC4" w:rsidRDefault="00BF0DC4">
      <w:pPr>
        <w:jc w:val="both"/>
        <w:rPr>
          <w:szCs w:val="24"/>
          <w:lang w:eastAsia="lt-LT"/>
        </w:rPr>
      </w:pPr>
    </w:p>
    <w:p w14:paraId="0E244637" w14:textId="77777777" w:rsidR="00BF0DC4" w:rsidRDefault="00AE5768">
      <w:pPr>
        <w:ind w:left="5954"/>
        <w:jc w:val="both"/>
        <w:rPr>
          <w:bCs/>
          <w:iCs/>
          <w:sz w:val="20"/>
          <w:szCs w:val="24"/>
        </w:rPr>
      </w:pPr>
      <w:r>
        <w:rPr>
          <w:bCs/>
          <w:iCs/>
          <w:sz w:val="20"/>
          <w:szCs w:val="24"/>
        </w:rPr>
        <w:t>2021–2030 metų Lietuvos Respublikos kultūros ministerijos kultūros ir kūrybingumo plėtros programos pažangos priemonės Nr. 08-001-01-09-01 „KKI plėtra, skatinanti konkurencingumą ir pridėtinės vertės kūrimą“ veiklos Nr. 1 „Infrastruktūros ir kitų sąlygų gerinimas siekiant kurti konkurencingus ir paklausius KKI produktus ir (arba) paslaugas“ projektų finansavimo sąlygų aprašo Nr. 2</w:t>
      </w:r>
    </w:p>
    <w:p w14:paraId="20A67689" w14:textId="77777777" w:rsidR="00BF0DC4" w:rsidRDefault="00AE5768">
      <w:pPr>
        <w:ind w:left="5529" w:firstLine="424"/>
        <w:jc w:val="both"/>
        <w:rPr>
          <w:iCs/>
          <w:szCs w:val="24"/>
        </w:rPr>
      </w:pPr>
      <w:r>
        <w:rPr>
          <w:bCs/>
          <w:iCs/>
          <w:sz w:val="20"/>
          <w:szCs w:val="24"/>
        </w:rPr>
        <w:t>1 priedas</w:t>
      </w:r>
    </w:p>
    <w:p w14:paraId="2D1E3558" w14:textId="77777777" w:rsidR="00BF0DC4" w:rsidRDefault="00BF0DC4">
      <w:pPr>
        <w:ind w:right="707"/>
        <w:jc w:val="both"/>
        <w:rPr>
          <w:b/>
          <w:szCs w:val="24"/>
        </w:rPr>
      </w:pPr>
    </w:p>
    <w:p w14:paraId="7AF1470F" w14:textId="77777777" w:rsidR="00BF0DC4" w:rsidRDefault="00BF0DC4">
      <w:pPr>
        <w:jc w:val="center"/>
        <w:rPr>
          <w:rFonts w:eastAsia="Calibri"/>
          <w:b/>
          <w:bCs/>
          <w:iCs/>
          <w:szCs w:val="24"/>
        </w:rPr>
      </w:pPr>
    </w:p>
    <w:p w14:paraId="153FFF57" w14:textId="77777777" w:rsidR="00BF0DC4" w:rsidRDefault="00AE5768">
      <w:pPr>
        <w:jc w:val="center"/>
        <w:rPr>
          <w:rFonts w:eastAsia="Calibri"/>
          <w:b/>
          <w:bCs/>
          <w:iCs/>
          <w:szCs w:val="24"/>
        </w:rPr>
      </w:pPr>
      <w:r>
        <w:rPr>
          <w:rFonts w:eastAsia="Calibri"/>
          <w:b/>
          <w:bCs/>
          <w:iCs/>
          <w:szCs w:val="24"/>
        </w:rPr>
        <w:t>PROJEKTO ATITIKTIES REIKŠMINGOS ŽALOS NEDARYMO HORIZONTALIAJAM PRINCIPUI VERTINIMO REIKALAVIMŲ APRAŠAS</w:t>
      </w:r>
    </w:p>
    <w:p w14:paraId="53336DDE" w14:textId="77777777" w:rsidR="00BF0DC4" w:rsidRDefault="00BF0DC4">
      <w:pPr>
        <w:jc w:val="center"/>
        <w:rPr>
          <w:rFonts w:eastAsia="Calibri"/>
          <w:b/>
          <w:bCs/>
          <w:iCs/>
          <w:szCs w:val="24"/>
        </w:rPr>
      </w:pPr>
    </w:p>
    <w:p w14:paraId="770ABF80" w14:textId="77777777" w:rsidR="00BF0DC4" w:rsidRDefault="00AE5768">
      <w:pPr>
        <w:spacing w:line="276" w:lineRule="auto"/>
        <w:jc w:val="both"/>
        <w:rPr>
          <w:rFonts w:eastAsia="Calibri"/>
          <w:bCs/>
          <w:iCs/>
          <w:szCs w:val="24"/>
        </w:rPr>
      </w:pPr>
      <w:r>
        <w:rPr>
          <w:rFonts w:eastAsia="Calibri"/>
          <w:bCs/>
          <w:iCs/>
          <w:szCs w:val="24"/>
        </w:rPr>
        <w:t>Finansavimo šaltinis, pagal kurį finansuojamas projektas (</w:t>
      </w:r>
      <w:r>
        <w:rPr>
          <w:rFonts w:eastAsia="Calibri"/>
          <w:bCs/>
          <w:i/>
          <w:iCs/>
          <w:szCs w:val="24"/>
        </w:rPr>
        <w:t>pažymėkite tinkamą</w:t>
      </w:r>
      <w:r>
        <w:rPr>
          <w:rFonts w:eastAsia="Calibri"/>
          <w:bCs/>
          <w:iCs/>
          <w:szCs w:val="24"/>
        </w:rPr>
        <w:t xml:space="preserve">): </w:t>
      </w:r>
    </w:p>
    <w:p w14:paraId="72619A3E" w14:textId="77777777" w:rsidR="00BF0DC4" w:rsidRDefault="00AE5768">
      <w:pPr>
        <w:spacing w:line="276" w:lineRule="auto"/>
        <w:jc w:val="both"/>
        <w:rPr>
          <w:rFonts w:eastAsia="Calibri"/>
          <w:bCs/>
          <w:iCs/>
          <w:szCs w:val="24"/>
        </w:rPr>
      </w:pPr>
      <w:r>
        <w:rPr>
          <w:iCs/>
          <w:szCs w:val="24"/>
        </w:rPr>
        <w:sym w:font="Wingdings 2" w:char="00A3"/>
      </w:r>
      <w:r>
        <w:rPr>
          <w:iCs/>
          <w:szCs w:val="24"/>
        </w:rPr>
        <w:t xml:space="preserve"> </w:t>
      </w:r>
      <w:r>
        <w:rPr>
          <w:rFonts w:eastAsia="Calibri"/>
          <w:bCs/>
          <w:iCs/>
          <w:szCs w:val="24"/>
        </w:rPr>
        <w:t>Ekonomikos gaivinimo ir atsparumo didinimo priemonė (toliau – EGADP)</w:t>
      </w:r>
    </w:p>
    <w:p w14:paraId="25672965" w14:textId="77777777" w:rsidR="00BF0DC4" w:rsidRDefault="00AE5768">
      <w:pPr>
        <w:spacing w:line="276" w:lineRule="auto"/>
        <w:jc w:val="both"/>
        <w:rPr>
          <w:rFonts w:eastAsia="Calibri"/>
          <w:bCs/>
          <w:iCs/>
          <w:szCs w:val="24"/>
        </w:rPr>
      </w:pPr>
      <w:r>
        <w:rPr>
          <w:iCs/>
          <w:szCs w:val="24"/>
        </w:rPr>
        <w:t>X Europos Sąjungos fondų i</w:t>
      </w:r>
      <w:r>
        <w:rPr>
          <w:rFonts w:eastAsia="Calibri"/>
          <w:bCs/>
          <w:iCs/>
          <w:szCs w:val="24"/>
        </w:rPr>
        <w:t>nvesticijų programa (toliau – ESFIP)</w:t>
      </w:r>
    </w:p>
    <w:p w14:paraId="01ABDEB0" w14:textId="77777777" w:rsidR="00BF0DC4" w:rsidRDefault="00BF0DC4">
      <w:pPr>
        <w:spacing w:line="276" w:lineRule="auto"/>
        <w:jc w:val="both"/>
        <w:rPr>
          <w:rFonts w:eastAsia="Calibri"/>
          <w:bCs/>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6116"/>
        <w:gridCol w:w="2310"/>
      </w:tblGrid>
      <w:tr w:rsidR="00BF0DC4" w14:paraId="623140EA" w14:textId="77777777" w:rsidTr="0040471A">
        <w:tc>
          <w:tcPr>
            <w:tcW w:w="867" w:type="pct"/>
          </w:tcPr>
          <w:p w14:paraId="398AB4FE" w14:textId="77777777" w:rsidR="00BF0DC4" w:rsidRDefault="00AE5768">
            <w:pPr>
              <w:jc w:val="center"/>
              <w:rPr>
                <w:b/>
                <w:iCs/>
                <w:sz w:val="22"/>
                <w:szCs w:val="22"/>
              </w:rPr>
            </w:pPr>
            <w:r>
              <w:rPr>
                <w:b/>
                <w:iCs/>
                <w:sz w:val="22"/>
                <w:szCs w:val="22"/>
              </w:rPr>
              <w:t>Aplinkos tikslai</w:t>
            </w:r>
          </w:p>
          <w:p w14:paraId="194E50D1" w14:textId="77777777" w:rsidR="00BF0DC4" w:rsidRDefault="00BF0DC4">
            <w:pPr>
              <w:jc w:val="center"/>
              <w:rPr>
                <w:bCs/>
                <w:i/>
                <w:sz w:val="22"/>
                <w:szCs w:val="22"/>
              </w:rPr>
            </w:pPr>
          </w:p>
        </w:tc>
        <w:tc>
          <w:tcPr>
            <w:tcW w:w="2999" w:type="pct"/>
          </w:tcPr>
          <w:p w14:paraId="6C7F128D" w14:textId="77777777" w:rsidR="00BF0DC4" w:rsidRDefault="00AE5768">
            <w:pPr>
              <w:jc w:val="center"/>
              <w:rPr>
                <w:b/>
                <w:iCs/>
                <w:sz w:val="22"/>
                <w:szCs w:val="22"/>
              </w:rPr>
            </w:pPr>
            <w:r>
              <w:rPr>
                <w:b/>
                <w:iCs/>
                <w:sz w:val="22"/>
                <w:szCs w:val="22"/>
              </w:rPr>
              <w:t>Su Europos Komisija suderintas pagrindimas</w:t>
            </w:r>
          </w:p>
          <w:p w14:paraId="61F7A701" w14:textId="77777777" w:rsidR="00BF0DC4" w:rsidRDefault="00BF0DC4">
            <w:pPr>
              <w:jc w:val="center"/>
              <w:rPr>
                <w:bCs/>
                <w:i/>
                <w:sz w:val="22"/>
                <w:szCs w:val="22"/>
              </w:rPr>
            </w:pPr>
          </w:p>
        </w:tc>
        <w:tc>
          <w:tcPr>
            <w:tcW w:w="1133" w:type="pct"/>
          </w:tcPr>
          <w:p w14:paraId="74CEADE6" w14:textId="77777777" w:rsidR="00BF0DC4" w:rsidRDefault="00AE5768">
            <w:pPr>
              <w:jc w:val="center"/>
              <w:rPr>
                <w:b/>
                <w:iCs/>
                <w:sz w:val="22"/>
                <w:szCs w:val="22"/>
              </w:rPr>
            </w:pPr>
            <w:r>
              <w:rPr>
                <w:b/>
                <w:iCs/>
                <w:sz w:val="22"/>
                <w:szCs w:val="22"/>
              </w:rPr>
              <w:t>Pagrindimo dokumentai</w:t>
            </w:r>
          </w:p>
          <w:p w14:paraId="37F236E8" w14:textId="77777777" w:rsidR="00BF0DC4" w:rsidRDefault="00BF0DC4">
            <w:pPr>
              <w:jc w:val="center"/>
              <w:rPr>
                <w:bCs/>
                <w:i/>
                <w:sz w:val="22"/>
                <w:szCs w:val="22"/>
              </w:rPr>
            </w:pPr>
          </w:p>
        </w:tc>
      </w:tr>
      <w:tr w:rsidR="00BF0DC4" w14:paraId="0724A119" w14:textId="77777777" w:rsidTr="0040471A">
        <w:tc>
          <w:tcPr>
            <w:tcW w:w="867" w:type="pct"/>
          </w:tcPr>
          <w:p w14:paraId="16943AA9" w14:textId="77777777" w:rsidR="00BF0DC4" w:rsidRDefault="00AE5768">
            <w:pPr>
              <w:tabs>
                <w:tab w:val="left" w:pos="289"/>
              </w:tabs>
              <w:spacing w:line="259" w:lineRule="auto"/>
              <w:ind w:firstLine="5"/>
              <w:jc w:val="both"/>
              <w:rPr>
                <w:iCs/>
                <w:sz w:val="22"/>
                <w:szCs w:val="22"/>
              </w:rPr>
            </w:pPr>
            <w:r>
              <w:rPr>
                <w:iCs/>
                <w:sz w:val="22"/>
                <w:szCs w:val="22"/>
              </w:rPr>
              <w:t>1.</w:t>
            </w:r>
            <w:r>
              <w:rPr>
                <w:iCs/>
                <w:sz w:val="22"/>
                <w:szCs w:val="22"/>
              </w:rPr>
              <w:tab/>
              <w:t>Klimato kaitos švelninimas</w:t>
            </w:r>
          </w:p>
        </w:tc>
        <w:tc>
          <w:tcPr>
            <w:tcW w:w="2999" w:type="pct"/>
          </w:tcPr>
          <w:p w14:paraId="4F9B1D37" w14:textId="77777777" w:rsidR="00BF0DC4" w:rsidRDefault="00AE5768">
            <w:pPr>
              <w:spacing w:line="259" w:lineRule="auto"/>
              <w:ind w:firstLine="253"/>
              <w:jc w:val="both"/>
              <w:rPr>
                <w:sz w:val="22"/>
                <w:szCs w:val="22"/>
              </w:rPr>
            </w:pPr>
            <w:r>
              <w:rPr>
                <w:bCs/>
                <w:iCs/>
                <w:sz w:val="22"/>
                <w:szCs w:val="22"/>
              </w:rPr>
              <w:t xml:space="preserve">Nenumatoma, kad projektų veiklos didins šiltnamio efektą sukeliančių dujų emisiją, kadangi </w:t>
            </w:r>
            <w:r>
              <w:rPr>
                <w:iCs/>
                <w:sz w:val="22"/>
                <w:szCs w:val="22"/>
              </w:rPr>
              <w:t>bus kuriama, modernizuojama infrastruktūra ir bus užtikrinta, kad būtų arba sumažintas, arba visiškai eliminuotas galimas neigiamas veiksmo (veiklos) poveikis konkrečiam tikslui.</w:t>
            </w:r>
          </w:p>
          <w:p w14:paraId="0CBCAD30" w14:textId="77777777" w:rsidR="00BF0DC4" w:rsidRDefault="00BF0DC4">
            <w:pPr>
              <w:jc w:val="both"/>
              <w:rPr>
                <w:sz w:val="14"/>
                <w:szCs w:val="14"/>
              </w:rPr>
            </w:pPr>
          </w:p>
          <w:p w14:paraId="3D4CB49F" w14:textId="77777777" w:rsidR="00BF0DC4" w:rsidRDefault="00AE5768">
            <w:pPr>
              <w:spacing w:line="259" w:lineRule="auto"/>
              <w:ind w:firstLine="253"/>
              <w:jc w:val="both"/>
              <w:rPr>
                <w:bCs/>
                <w:iCs/>
                <w:sz w:val="22"/>
                <w:szCs w:val="22"/>
              </w:rPr>
            </w:pPr>
            <w:r>
              <w:rPr>
                <w:bCs/>
                <w:iCs/>
                <w:sz w:val="22"/>
                <w:szCs w:val="22"/>
              </w:rPr>
              <w:t xml:space="preserve">Bus vadovaujamasi 2021 m. birželio 4 d. Komisijos deleguoto reglamento </w:t>
            </w:r>
            <w:hyperlink r:id="rId10" w:tgtFrame="_blank" w:history="1">
              <w:r>
                <w:rPr>
                  <w:bCs/>
                  <w:iCs/>
                  <w:color w:val="0000FF" w:themeColor="hyperlink"/>
                  <w:sz w:val="22"/>
                  <w:szCs w:val="22"/>
                  <w:u w:val="single"/>
                </w:rPr>
                <w:t>(ES) 2021/2139</w:t>
              </w:r>
            </w:hyperlink>
            <w:r>
              <w:rPr>
                <w:bCs/>
                <w:iCs/>
                <w:sz w:val="22"/>
                <w:szCs w:val="22"/>
              </w:rPr>
              <w:t xml:space="preserve">, kuriuo Europos Parlamento ir Tarybos reglamentas </w:t>
            </w:r>
            <w:hyperlink r:id="rId11" w:tgtFrame="_blank" w:history="1">
              <w:r>
                <w:rPr>
                  <w:bCs/>
                  <w:iCs/>
                  <w:color w:val="0000FF" w:themeColor="hyperlink"/>
                  <w:sz w:val="22"/>
                  <w:szCs w:val="22"/>
                  <w:u w:val="single"/>
                </w:rPr>
                <w:t>(ES) 2020/852</w:t>
              </w:r>
            </w:hyperlink>
            <w:r>
              <w:rPr>
                <w:bCs/>
                <w:iCs/>
                <w:sz w:val="22"/>
                <w:szCs w:val="22"/>
              </w:rP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w:t>
            </w:r>
            <w:hyperlink r:id="rId12" w:tgtFrame="_blank" w:history="1">
              <w:r>
                <w:rPr>
                  <w:bCs/>
                  <w:iCs/>
                  <w:color w:val="0000FF" w:themeColor="hyperlink"/>
                  <w:sz w:val="22"/>
                  <w:szCs w:val="22"/>
                  <w:u w:val="single"/>
                </w:rPr>
                <w:t>(ES) 2021/2139</w:t>
              </w:r>
            </w:hyperlink>
            <w:r>
              <w:rPr>
                <w:bCs/>
                <w:iCs/>
                <w:sz w:val="22"/>
                <w:szCs w:val="22"/>
              </w:rPr>
              <w:t>), 1 straipsnio I priedo atitinkamoms veikloms taikomuose punktuose (pavyzdžiui, kuriant naują infrastruktūrą ar modernizuojant esamą – taikomi 7 punkte nustatyti techninės analizės kriterijai; įsigyjant IT įrangą – taikomi 8 punkte nustatyti techninės analizės kriterijai ir t.t.) reikalavimais, tai numatant atitinkamuose dokumentuose (pavyzdžiui. pirkimo ir kituose. dokumentuose).</w:t>
            </w:r>
          </w:p>
          <w:p w14:paraId="42BA1BB7" w14:textId="77777777" w:rsidR="00BF0DC4" w:rsidRDefault="00BF0DC4">
            <w:pPr>
              <w:spacing w:line="259" w:lineRule="auto"/>
              <w:ind w:firstLine="253"/>
              <w:jc w:val="both"/>
              <w:rPr>
                <w:bCs/>
                <w:iCs/>
                <w:sz w:val="22"/>
                <w:szCs w:val="22"/>
              </w:rPr>
            </w:pPr>
          </w:p>
          <w:p w14:paraId="78C62128" w14:textId="77777777" w:rsidR="00BF0DC4" w:rsidRDefault="00AE5768">
            <w:pPr>
              <w:spacing w:line="259" w:lineRule="auto"/>
              <w:ind w:firstLine="253"/>
              <w:jc w:val="both"/>
              <w:rPr>
                <w:bCs/>
                <w:iCs/>
                <w:sz w:val="22"/>
                <w:szCs w:val="22"/>
              </w:rPr>
            </w:pPr>
            <w:r>
              <w:rPr>
                <w:bCs/>
                <w:iCs/>
                <w:sz w:val="22"/>
                <w:szCs w:val="22"/>
              </w:rPr>
              <w:t xml:space="preserve">Modernizuojant infrastruktūrą bus laikomasi aplinkos apsaugą,  statybas ir tvarkybą reglamentuojančių teisės aktų. Taip pat numatoma atlikti planuojamos ūkinės veiklos poveikio aplinkai vertinimą, kai tai numatyta Lietuvos Respublikos planuojamos ūkinės veiklos poveikio aplinkai vertinimo įstatyme. </w:t>
            </w:r>
          </w:p>
          <w:p w14:paraId="63F2E807" w14:textId="77777777" w:rsidR="00BF0DC4" w:rsidRDefault="00BF0DC4">
            <w:pPr>
              <w:spacing w:line="259" w:lineRule="auto"/>
              <w:ind w:firstLine="253"/>
              <w:jc w:val="both"/>
              <w:rPr>
                <w:bCs/>
                <w:iCs/>
                <w:sz w:val="22"/>
                <w:szCs w:val="22"/>
              </w:rPr>
            </w:pPr>
          </w:p>
          <w:p w14:paraId="78BC2EFA" w14:textId="77777777" w:rsidR="00BF0DC4" w:rsidRDefault="00AE5768">
            <w:pPr>
              <w:spacing w:line="259" w:lineRule="auto"/>
              <w:ind w:firstLine="253"/>
              <w:jc w:val="both"/>
              <w:rPr>
                <w:iCs/>
                <w:sz w:val="22"/>
                <w:szCs w:val="22"/>
              </w:rPr>
            </w:pPr>
            <w:r>
              <w:rPr>
                <w:bCs/>
                <w:iCs/>
                <w:sz w:val="22"/>
                <w:szCs w:val="22"/>
              </w:rPr>
              <w:t xml:space="preserve">Planuojama įsigyti įranga privalės atitikti (tai bus numatoma atitinkamuose įrangos įsigijimo dokumentuose) efektyvumo, tvarumo, ilgaamžiškumo reikalavimus pagal 2009 m. spalio 21 d. Europos Parlamento ir Tarybos direktyvą </w:t>
            </w:r>
            <w:hyperlink r:id="rId13" w:tgtFrame="_blank" w:history="1">
              <w:r>
                <w:rPr>
                  <w:bCs/>
                  <w:iCs/>
                  <w:color w:val="0000FF" w:themeColor="hyperlink"/>
                  <w:sz w:val="22"/>
                  <w:szCs w:val="22"/>
                  <w:u w:val="single"/>
                </w:rPr>
                <w:t>2009/125/EB</w:t>
              </w:r>
            </w:hyperlink>
            <w:r>
              <w:rPr>
                <w:bCs/>
                <w:iCs/>
                <w:sz w:val="22"/>
                <w:szCs w:val="22"/>
              </w:rPr>
              <w:t xml:space="preserve"> nustatančia ekologinio projektavimo reikalavimų su energija susijusiems </w:t>
            </w:r>
            <w:r>
              <w:rPr>
                <w:bCs/>
                <w:iCs/>
                <w:sz w:val="22"/>
                <w:szCs w:val="22"/>
              </w:rPr>
              <w:lastRenderedPageBreak/>
              <w:t xml:space="preserve">gaminiams nustatymo sistemą ir 2011 m. birželio 8 d. Europos Parlamento ir Tarybos direktyvą </w:t>
            </w:r>
            <w:hyperlink r:id="rId14" w:tgtFrame="_blank" w:history="1">
              <w:r>
                <w:rPr>
                  <w:bCs/>
                  <w:iCs/>
                  <w:color w:val="0000FF" w:themeColor="hyperlink"/>
                  <w:sz w:val="22"/>
                  <w:szCs w:val="22"/>
                  <w:u w:val="single"/>
                </w:rPr>
                <w:t>2011/65/ES</w:t>
              </w:r>
            </w:hyperlink>
            <w:r>
              <w:rPr>
                <w:bCs/>
                <w:iCs/>
                <w:sz w:val="22"/>
                <w:szCs w:val="22"/>
              </w:rPr>
              <w:t xml:space="preserve"> dėl tam tikrų pavojingų medžiagų naudojimo elektros ir elektroninėje įrangoje apribojimo</w:t>
            </w:r>
            <w:r>
              <w:rPr>
                <w:iCs/>
                <w:sz w:val="22"/>
                <w:szCs w:val="22"/>
              </w:rPr>
              <w:t>.</w:t>
            </w:r>
          </w:p>
        </w:tc>
        <w:tc>
          <w:tcPr>
            <w:tcW w:w="1133" w:type="pct"/>
          </w:tcPr>
          <w:p w14:paraId="6663363D" w14:textId="77777777" w:rsidR="00BF0DC4" w:rsidRDefault="00AE5768">
            <w:pPr>
              <w:tabs>
                <w:tab w:val="left" w:pos="589"/>
              </w:tabs>
              <w:spacing w:line="259" w:lineRule="auto"/>
              <w:jc w:val="both"/>
              <w:rPr>
                <w:iCs/>
                <w:sz w:val="22"/>
                <w:szCs w:val="22"/>
              </w:rPr>
            </w:pPr>
            <w:r>
              <w:rPr>
                <w:iCs/>
                <w:sz w:val="22"/>
                <w:szCs w:val="22"/>
              </w:rPr>
              <w:lastRenderedPageBreak/>
              <w:t xml:space="preserve">Projektavimo dokumentai, pirkimo dokumentai, sutartys su tiekėjais, komerciniai pasiūlymai, </w:t>
            </w:r>
            <w:r>
              <w:rPr>
                <w:rFonts w:eastAsia="Calibri"/>
                <w:iCs/>
                <w:sz w:val="22"/>
                <w:szCs w:val="22"/>
              </w:rPr>
              <w:t>įrangos aprašymai, specifikacija, instrukcijos, projekto vykdytojo deklaracija (2021–2030 metų Lietuvos Respublikos kultūros ministerijos kultūros ir kūrybingumo plėtros programos pažangos priemonės Nr. 08-001-01-09-01 „KKI plėtra, skatinanti konkurencingumą ir pridėtinės vertės kūrimą“ veiklos Nr. 1 „Infrastruktūros ir kitų sąlygų gerinimas siekiant kurti konkurencingus ir paklausius KKI produktus ir (arba) paslaugas“ projektų finansavimo sąlygų aprašo Nr. 2 (toliau –Aprašas) 10 priedas).</w:t>
            </w:r>
          </w:p>
        </w:tc>
      </w:tr>
      <w:tr w:rsidR="00BF0DC4" w14:paraId="60EABE75" w14:textId="77777777" w:rsidTr="0040471A">
        <w:tc>
          <w:tcPr>
            <w:tcW w:w="867" w:type="pct"/>
          </w:tcPr>
          <w:p w14:paraId="2344F4E1" w14:textId="77777777" w:rsidR="00BF0DC4" w:rsidRDefault="00AE5768">
            <w:pPr>
              <w:tabs>
                <w:tab w:val="left" w:pos="289"/>
              </w:tabs>
              <w:spacing w:line="259" w:lineRule="auto"/>
              <w:ind w:firstLine="5"/>
              <w:jc w:val="both"/>
              <w:rPr>
                <w:iCs/>
                <w:sz w:val="22"/>
                <w:szCs w:val="22"/>
              </w:rPr>
            </w:pPr>
            <w:r>
              <w:rPr>
                <w:iCs/>
                <w:sz w:val="22"/>
                <w:szCs w:val="22"/>
              </w:rPr>
              <w:t>2.</w:t>
            </w:r>
            <w:r>
              <w:rPr>
                <w:iCs/>
                <w:sz w:val="22"/>
                <w:szCs w:val="22"/>
              </w:rPr>
              <w:tab/>
              <w:t>Prisitaikymas prie klimato kaitos</w:t>
            </w:r>
          </w:p>
        </w:tc>
        <w:tc>
          <w:tcPr>
            <w:tcW w:w="2999" w:type="pct"/>
          </w:tcPr>
          <w:p w14:paraId="27732971" w14:textId="77777777" w:rsidR="00BF0DC4" w:rsidRDefault="00AE5768">
            <w:pPr>
              <w:spacing w:line="259" w:lineRule="auto"/>
              <w:jc w:val="both"/>
              <w:rPr>
                <w:iCs/>
                <w:sz w:val="22"/>
                <w:szCs w:val="22"/>
              </w:rPr>
            </w:pPr>
            <w:r>
              <w:rPr>
                <w:bCs/>
                <w:iCs/>
                <w:sz w:val="22"/>
                <w:szCs w:val="22"/>
              </w:rPr>
              <w:t xml:space="preserve">Nenumatoma, kad projektų veiklos turės neigiamos įtakos prisitaikymui prie klimato kaitos, </w:t>
            </w:r>
            <w:r>
              <w:rPr>
                <w:iCs/>
                <w:sz w:val="22"/>
                <w:szCs w:val="22"/>
              </w:rPr>
              <w:t>kadangi numatomos investicijos į esamos infrastruktūros kūrimą ir tobulinimą bus vykdomos tik atlikus klimato rizikos patikrą, vykdant statybos, modernizavimo, rekonstravimo ir objektų įveiklinimo veiklą bus įgyvendinami fiziniai ir nefiziniai prisitaikymo sprendimai, kurie sumažins svarbiausias fizinio klimato rizikas. Taip pat modernizavimas, rekonstravimas ir objektų įveiklinimo  nebus atliekamas potvynių zonose, bus skatinama naudoti žaliąją infrastruktūrą-augmeniją ir kitus pastatų dizaino ir (ar) apželdinimo sprendinius, kurie sumažintų energijos (kondensavimo) poreikius ir kt.</w:t>
            </w:r>
          </w:p>
          <w:p w14:paraId="08099564" w14:textId="77777777" w:rsidR="00BF0DC4" w:rsidRDefault="00BF0DC4">
            <w:pPr>
              <w:jc w:val="both"/>
              <w:rPr>
                <w:sz w:val="14"/>
                <w:szCs w:val="14"/>
              </w:rPr>
            </w:pPr>
          </w:p>
          <w:p w14:paraId="72B4DFC9" w14:textId="77777777" w:rsidR="00BF0DC4" w:rsidRDefault="00AE5768">
            <w:pPr>
              <w:spacing w:line="259" w:lineRule="auto"/>
              <w:ind w:firstLine="228"/>
              <w:jc w:val="both"/>
              <w:rPr>
                <w:bCs/>
                <w:sz w:val="22"/>
                <w:szCs w:val="22"/>
              </w:rPr>
            </w:pPr>
            <w:r>
              <w:rPr>
                <w:iCs/>
                <w:sz w:val="22"/>
                <w:szCs w:val="22"/>
              </w:rPr>
              <w:t>Planuojamos veiklos neturės tiesioginio ar netiesioginio neigiamo poveikio prisitaikymo prie klimato kaitos tikslui, nes nenumatomas neigiamas poveikis žmogui, gamtai ar turtui.</w:t>
            </w:r>
          </w:p>
          <w:p w14:paraId="1FFA26A5" w14:textId="77777777" w:rsidR="00BF0DC4" w:rsidRDefault="00BF0DC4">
            <w:pPr>
              <w:jc w:val="both"/>
              <w:rPr>
                <w:sz w:val="14"/>
                <w:szCs w:val="14"/>
              </w:rPr>
            </w:pPr>
          </w:p>
          <w:p w14:paraId="5AA94EE6" w14:textId="77777777" w:rsidR="00BF0DC4" w:rsidRDefault="00AE5768">
            <w:pPr>
              <w:spacing w:line="259" w:lineRule="auto"/>
              <w:ind w:firstLine="253"/>
              <w:jc w:val="both"/>
              <w:rPr>
                <w:bCs/>
                <w:iCs/>
                <w:sz w:val="22"/>
                <w:szCs w:val="22"/>
              </w:rPr>
            </w:pPr>
            <w:r>
              <w:rPr>
                <w:bCs/>
                <w:iCs/>
                <w:sz w:val="22"/>
                <w:szCs w:val="22"/>
              </w:rPr>
              <w:t xml:space="preserve">Bus vadovaujamasi Reglamento </w:t>
            </w:r>
            <w:hyperlink r:id="rId15" w:tgtFrame="_blank" w:history="1">
              <w:r>
                <w:rPr>
                  <w:bCs/>
                  <w:iCs/>
                  <w:color w:val="0000FF" w:themeColor="hyperlink"/>
                  <w:sz w:val="22"/>
                  <w:szCs w:val="22"/>
                  <w:u w:val="single"/>
                </w:rPr>
                <w:t>(ES) 2021/2139</w:t>
              </w:r>
            </w:hyperlink>
            <w:r>
              <w:rPr>
                <w:bCs/>
                <w:iCs/>
                <w:sz w:val="22"/>
                <w:szCs w:val="22"/>
              </w:rPr>
              <w:t xml:space="preserve"> 1 straipsnio I priedo atitinkamoms veikloms taikomuose punktuose (pavyzdžiui, kuriant naują infrastruktūrą ar modernizuojant esamą – taikomi 7 punkte nustatyti techninės analizės kriterijai; įsigyjant IT įrangą – taikomi 8 punkte nustatyti techninės analizės kriterijai ir t.t.) reikalavimais, tai numatant atitinkamuose dokumentuose (pavyzdžiui, pirkimo ir kituose dokumentuose).</w:t>
            </w:r>
          </w:p>
        </w:tc>
        <w:tc>
          <w:tcPr>
            <w:tcW w:w="1133" w:type="pct"/>
          </w:tcPr>
          <w:p w14:paraId="2C44A7EB" w14:textId="77777777" w:rsidR="00BF0DC4" w:rsidRDefault="00AE5768">
            <w:pPr>
              <w:spacing w:line="259" w:lineRule="auto"/>
              <w:jc w:val="both"/>
              <w:rPr>
                <w:b/>
                <w:iCs/>
                <w:sz w:val="22"/>
                <w:szCs w:val="22"/>
              </w:rPr>
            </w:pPr>
            <w:r>
              <w:rPr>
                <w:iCs/>
                <w:sz w:val="22"/>
                <w:szCs w:val="22"/>
              </w:rPr>
              <w:t xml:space="preserve">Projektavimo dokumentai, pirkimo dokumentai, sutartys su tiekėjais, komerciniai pasiūlymai, </w:t>
            </w:r>
            <w:r>
              <w:rPr>
                <w:rFonts w:eastAsia="Calibri"/>
                <w:iCs/>
                <w:sz w:val="22"/>
                <w:szCs w:val="22"/>
              </w:rPr>
              <w:t>įrangos aprašymai, specifikacija, instrukcijos, projekto vykdytojo deklaracija (Aprašo 10 priedas).</w:t>
            </w:r>
          </w:p>
        </w:tc>
      </w:tr>
      <w:tr w:rsidR="00BF0DC4" w14:paraId="5FA62D2B" w14:textId="77777777" w:rsidTr="0040471A">
        <w:tc>
          <w:tcPr>
            <w:tcW w:w="867" w:type="pct"/>
          </w:tcPr>
          <w:p w14:paraId="28997169" w14:textId="77777777" w:rsidR="00BF0DC4" w:rsidRDefault="00AE5768">
            <w:pPr>
              <w:tabs>
                <w:tab w:val="left" w:pos="289"/>
              </w:tabs>
              <w:spacing w:line="259" w:lineRule="auto"/>
              <w:ind w:firstLine="5"/>
              <w:jc w:val="both"/>
              <w:rPr>
                <w:iCs/>
                <w:sz w:val="22"/>
                <w:szCs w:val="22"/>
              </w:rPr>
            </w:pPr>
            <w:r>
              <w:rPr>
                <w:iCs/>
                <w:sz w:val="22"/>
                <w:szCs w:val="22"/>
              </w:rPr>
              <w:t>3.</w:t>
            </w:r>
            <w:r>
              <w:rPr>
                <w:iCs/>
                <w:sz w:val="22"/>
                <w:szCs w:val="22"/>
              </w:rPr>
              <w:tab/>
              <w:t>Tausus vandens ir jūrų išteklių naudojimas ir apsauga</w:t>
            </w:r>
          </w:p>
        </w:tc>
        <w:tc>
          <w:tcPr>
            <w:tcW w:w="2999" w:type="pct"/>
          </w:tcPr>
          <w:p w14:paraId="21A099FF" w14:textId="77777777" w:rsidR="00BF0DC4" w:rsidRDefault="00AE5768">
            <w:pPr>
              <w:spacing w:line="259" w:lineRule="auto"/>
              <w:ind w:firstLine="228"/>
              <w:jc w:val="both"/>
              <w:rPr>
                <w:iCs/>
                <w:sz w:val="22"/>
                <w:szCs w:val="22"/>
              </w:rPr>
            </w:pPr>
            <w:r>
              <w:rPr>
                <w:iCs/>
                <w:sz w:val="22"/>
                <w:szCs w:val="22"/>
              </w:rPr>
              <w:t xml:space="preserve">Nenumatoma, kad projektų veiklos turės neigiamos įtakos tausaus vandens ir jūrų išteklių naudojimo ir apsaugos tikslui, kadangi numatoma investuoti į esamos infrastruktūros tobulinimą, todėl tikėtinas efektyvesnis vandenų išteklių naudojimas, bus keičiama sena ir neefektyvi vandens infrastruktūra, naudojami efektyvesni vandens prietaisai, atitinkantys naujausius Europos Sąjungos efektyvumo standartus. </w:t>
            </w:r>
          </w:p>
          <w:p w14:paraId="29407EBD" w14:textId="77777777" w:rsidR="00BF0DC4" w:rsidRDefault="00BF0DC4">
            <w:pPr>
              <w:jc w:val="both"/>
              <w:rPr>
                <w:sz w:val="14"/>
                <w:szCs w:val="14"/>
              </w:rPr>
            </w:pPr>
          </w:p>
          <w:p w14:paraId="2A4AEDDB" w14:textId="77777777" w:rsidR="00BF0DC4" w:rsidRDefault="00AE5768">
            <w:pPr>
              <w:spacing w:line="259" w:lineRule="auto"/>
              <w:ind w:firstLine="228"/>
              <w:jc w:val="both"/>
              <w:rPr>
                <w:iCs/>
                <w:sz w:val="22"/>
                <w:szCs w:val="22"/>
              </w:rPr>
            </w:pPr>
            <w:r>
              <w:rPr>
                <w:iCs/>
                <w:sz w:val="22"/>
                <w:szCs w:val="22"/>
              </w:rPr>
              <w:t>Planuojamos veiklos neturės tiesioginio ar netiesioginio neigiamo poveikio šiam aplinkos tikslui, nes įgyvendinant šią veiklą neplanuojama statyti jokios infrastruktūros vandens telkinių apsaugos zonose arba arti vandens telkinių, kas galėtų turėti neigiamą poveikį tausiam vandens ir jūrų išteklių naudojimui.</w:t>
            </w:r>
          </w:p>
          <w:p w14:paraId="1793B231" w14:textId="77777777" w:rsidR="00BF0DC4" w:rsidRDefault="00BF0DC4">
            <w:pPr>
              <w:jc w:val="both"/>
              <w:rPr>
                <w:sz w:val="14"/>
                <w:szCs w:val="14"/>
              </w:rPr>
            </w:pPr>
          </w:p>
          <w:p w14:paraId="1827CE28" w14:textId="77777777" w:rsidR="00BF0DC4" w:rsidRDefault="00AE5768">
            <w:pPr>
              <w:spacing w:line="259" w:lineRule="auto"/>
              <w:ind w:firstLine="228"/>
              <w:jc w:val="both"/>
              <w:rPr>
                <w:iCs/>
                <w:sz w:val="22"/>
                <w:szCs w:val="22"/>
              </w:rPr>
            </w:pPr>
            <w:r>
              <w:rPr>
                <w:iCs/>
                <w:sz w:val="22"/>
                <w:szCs w:val="22"/>
              </w:rPr>
              <w:t>Bus kuriama, modernizuojama infrastruktūra, įsigyjama įranga ir bus užtikrinta, kad būtų arba sumažintas, arba visiškai eliminuotas galimas neigiamas veiksmo (veiklos) poveikis konkrečiam tikslui.</w:t>
            </w:r>
          </w:p>
          <w:p w14:paraId="4A1C8B87" w14:textId="77777777" w:rsidR="00BF0DC4" w:rsidRDefault="00BF0DC4">
            <w:pPr>
              <w:jc w:val="both"/>
              <w:rPr>
                <w:sz w:val="14"/>
                <w:szCs w:val="14"/>
              </w:rPr>
            </w:pPr>
          </w:p>
          <w:p w14:paraId="4421A052" w14:textId="77777777" w:rsidR="00BF0DC4" w:rsidRDefault="00AE5768">
            <w:pPr>
              <w:spacing w:line="259" w:lineRule="auto"/>
              <w:ind w:firstLine="228"/>
              <w:jc w:val="both"/>
              <w:rPr>
                <w:iCs/>
                <w:sz w:val="22"/>
                <w:szCs w:val="22"/>
              </w:rPr>
            </w:pPr>
            <w:r>
              <w:rPr>
                <w:iCs/>
                <w:sz w:val="22"/>
                <w:szCs w:val="22"/>
              </w:rPr>
              <w:t xml:space="preserve">Bus vadovaujamasi Reglamento </w:t>
            </w:r>
            <w:hyperlink r:id="rId16" w:tgtFrame="_blank" w:history="1">
              <w:r>
                <w:rPr>
                  <w:iCs/>
                  <w:color w:val="0000FF" w:themeColor="hyperlink"/>
                  <w:sz w:val="22"/>
                  <w:szCs w:val="22"/>
                  <w:u w:val="single"/>
                </w:rPr>
                <w:t>(ES) 2021/2139</w:t>
              </w:r>
            </w:hyperlink>
            <w:r>
              <w:rPr>
                <w:iCs/>
                <w:sz w:val="22"/>
                <w:szCs w:val="22"/>
              </w:rPr>
              <w:t xml:space="preserve"> 1 straipsnio I priedo ir 2 straipsnio II priedo atitinkamoms veikloms taikomuose punktuose (pavyzdžiui, kuriant naują infrastruktūrą ar modernizuojant esamą – taikomi 7 punkte nustatyti techninės analizės kriterijai; įsigyjant IT įrangą – taikomi 8 punkte nustatyti techninės analizės kriterijai ir t.t.) nustatytais reikalavimais, tai numatant atitinkamuose dokumentuose (pavyzdžiui, pirkimo ir kituose dokumentuose) nustatytais reikalavimais.</w:t>
            </w:r>
          </w:p>
        </w:tc>
        <w:tc>
          <w:tcPr>
            <w:tcW w:w="1133" w:type="pct"/>
          </w:tcPr>
          <w:p w14:paraId="5910414E" w14:textId="77777777" w:rsidR="00BF0DC4" w:rsidRDefault="00AE5768">
            <w:pPr>
              <w:spacing w:line="259" w:lineRule="auto"/>
              <w:jc w:val="both"/>
              <w:rPr>
                <w:iCs/>
                <w:sz w:val="22"/>
                <w:szCs w:val="22"/>
              </w:rPr>
            </w:pPr>
            <w:r>
              <w:rPr>
                <w:iCs/>
                <w:sz w:val="22"/>
                <w:szCs w:val="22"/>
              </w:rPr>
              <w:t xml:space="preserve">Projektavimo dokumentai, pirkimo dokumentai, sutartys su tiekėjais, komerciniai pasiūlymai, </w:t>
            </w:r>
            <w:r>
              <w:rPr>
                <w:rFonts w:eastAsia="Calibri"/>
                <w:iCs/>
                <w:sz w:val="22"/>
                <w:szCs w:val="22"/>
              </w:rPr>
              <w:t>įrangos aprašymai, specifikacija, instrukcijos, projekto vykdytojo deklaracija (Aprašo 10 priedas).</w:t>
            </w:r>
          </w:p>
        </w:tc>
      </w:tr>
      <w:tr w:rsidR="00BF0DC4" w14:paraId="7AF9CC81" w14:textId="77777777" w:rsidTr="0040471A">
        <w:tc>
          <w:tcPr>
            <w:tcW w:w="867" w:type="pct"/>
          </w:tcPr>
          <w:p w14:paraId="051FB0AD" w14:textId="77777777" w:rsidR="00BF0DC4" w:rsidRDefault="00AE5768">
            <w:pPr>
              <w:tabs>
                <w:tab w:val="left" w:pos="289"/>
              </w:tabs>
              <w:spacing w:line="259" w:lineRule="auto"/>
              <w:ind w:firstLine="5"/>
              <w:jc w:val="both"/>
              <w:rPr>
                <w:iCs/>
                <w:sz w:val="22"/>
                <w:szCs w:val="22"/>
              </w:rPr>
            </w:pPr>
            <w:r>
              <w:rPr>
                <w:iCs/>
                <w:sz w:val="22"/>
                <w:szCs w:val="22"/>
              </w:rPr>
              <w:lastRenderedPageBreak/>
              <w:t>4.</w:t>
            </w:r>
            <w:r>
              <w:rPr>
                <w:iCs/>
                <w:sz w:val="22"/>
                <w:szCs w:val="22"/>
              </w:rPr>
              <w:tab/>
              <w:t>Perėjimas prie žiedinės ekonomikos, įskaitant atliekų prevenciją ir perdirbimą</w:t>
            </w:r>
          </w:p>
        </w:tc>
        <w:tc>
          <w:tcPr>
            <w:tcW w:w="2999" w:type="pct"/>
          </w:tcPr>
          <w:p w14:paraId="2BC99F76" w14:textId="77777777" w:rsidR="00BF0DC4" w:rsidRDefault="00AE5768">
            <w:pPr>
              <w:spacing w:line="259" w:lineRule="auto"/>
              <w:ind w:firstLine="228"/>
              <w:jc w:val="both"/>
              <w:rPr>
                <w:bCs/>
                <w:iCs/>
                <w:sz w:val="22"/>
                <w:szCs w:val="22"/>
              </w:rPr>
            </w:pPr>
            <w:r>
              <w:rPr>
                <w:bCs/>
                <w:iCs/>
                <w:sz w:val="22"/>
                <w:szCs w:val="22"/>
              </w:rPr>
              <w:t xml:space="preserve">Nenumatoma, kad projektų veiklos </w:t>
            </w:r>
            <w:r>
              <w:rPr>
                <w:iCs/>
                <w:sz w:val="22"/>
                <w:szCs w:val="22"/>
              </w:rPr>
              <w:t>darys neigiamą įtaką žiedinei ekonomikai, kadangi numatoma, kad atliekant kultūros objektų modernizavimo darbus bus taikomi šie reikalavimai:</w:t>
            </w:r>
          </w:p>
          <w:p w14:paraId="70F737B3" w14:textId="77777777" w:rsidR="00BF0DC4" w:rsidRDefault="00BF0DC4">
            <w:pPr>
              <w:jc w:val="both"/>
              <w:rPr>
                <w:sz w:val="14"/>
                <w:szCs w:val="14"/>
              </w:rPr>
            </w:pPr>
          </w:p>
          <w:p w14:paraId="5720B2F4" w14:textId="77777777" w:rsidR="00BF0DC4" w:rsidRDefault="00AE5768">
            <w:pPr>
              <w:tabs>
                <w:tab w:val="left" w:pos="463"/>
              </w:tabs>
              <w:spacing w:line="259" w:lineRule="auto"/>
              <w:ind w:left="2" w:firstLine="319"/>
              <w:jc w:val="both"/>
              <w:rPr>
                <w:iCs/>
                <w:sz w:val="22"/>
                <w:szCs w:val="22"/>
              </w:rPr>
            </w:pPr>
            <w:r>
              <w:rPr>
                <w:rFonts w:ascii="Symbol" w:hAnsi="Symbol"/>
                <w:iCs/>
                <w:sz w:val="22"/>
                <w:szCs w:val="22"/>
              </w:rPr>
              <w:t></w:t>
            </w:r>
            <w:r>
              <w:rPr>
                <w:rFonts w:ascii="Symbol" w:hAnsi="Symbol"/>
                <w:iCs/>
                <w:sz w:val="22"/>
                <w:szCs w:val="22"/>
              </w:rPr>
              <w:tab/>
            </w:r>
            <w:r>
              <w:rPr>
                <w:iCs/>
                <w:sz w:val="22"/>
                <w:szCs w:val="22"/>
              </w:rPr>
              <w:t xml:space="preserve"> mažiausiai 70 proc. (pagal svorį) nepavojingų statybinių ir griovimo atliekų (išskyrus natūraliai atsirandančias medžiagas, nurodytas 2000 m. gegužės 3 d. Komisijos sprendimo </w:t>
            </w:r>
            <w:hyperlink r:id="rId17" w:tgtFrame="_blank" w:history="1">
              <w:r>
                <w:rPr>
                  <w:iCs/>
                  <w:color w:val="0000FF" w:themeColor="hyperlink"/>
                  <w:sz w:val="22"/>
                  <w:szCs w:val="22"/>
                  <w:u w:val="single"/>
                </w:rPr>
                <w:t>2000/532/EB</w:t>
              </w:r>
            </w:hyperlink>
            <w:r>
              <w:rPr>
                <w:iCs/>
                <w:sz w:val="22"/>
                <w:szCs w:val="22"/>
              </w:rPr>
              <w:t xml:space="preserve">, keičiančio sprendimą </w:t>
            </w:r>
            <w:hyperlink r:id="rId18" w:tgtFrame="_blank" w:history="1">
              <w:r>
                <w:rPr>
                  <w:iCs/>
                  <w:color w:val="0000FF" w:themeColor="hyperlink"/>
                  <w:sz w:val="22"/>
                  <w:szCs w:val="22"/>
                  <w:u w:val="single"/>
                </w:rPr>
                <w:t>94/3/EB</w:t>
              </w:r>
            </w:hyperlink>
            <w:r>
              <w:rPr>
                <w:iCs/>
                <w:sz w:val="22"/>
                <w:szCs w:val="22"/>
              </w:rPr>
              <w:t xml:space="preserve">, nustatantį atliekų sąrašą pagal Tarybos direktyvos </w:t>
            </w:r>
            <w:hyperlink r:id="rId19" w:tgtFrame="_blank" w:history="1">
              <w:r>
                <w:rPr>
                  <w:iCs/>
                  <w:color w:val="0000FF" w:themeColor="hyperlink"/>
                  <w:sz w:val="22"/>
                  <w:szCs w:val="22"/>
                  <w:u w:val="single"/>
                </w:rPr>
                <w:t>75/442/EEB</w:t>
              </w:r>
            </w:hyperlink>
            <w:r>
              <w:rPr>
                <w:iCs/>
                <w:sz w:val="22"/>
                <w:szCs w:val="22"/>
              </w:rPr>
              <w:t xml:space="preserve"> dėl atliekų 1 straipsnio a dalį, ir Tarybos sprendimą </w:t>
            </w:r>
            <w:hyperlink r:id="rId20" w:tgtFrame="_blank" w:history="1">
              <w:r>
                <w:rPr>
                  <w:iCs/>
                  <w:color w:val="0000FF" w:themeColor="hyperlink"/>
                  <w:sz w:val="22"/>
                  <w:szCs w:val="22"/>
                  <w:u w:val="single"/>
                </w:rPr>
                <w:t>94/904/EB</w:t>
              </w:r>
            </w:hyperlink>
            <w:r>
              <w:rPr>
                <w:iCs/>
                <w:sz w:val="22"/>
                <w:szCs w:val="22"/>
              </w:rPr>
              <w:t xml:space="preserve">. Nustatantį pavojingų atliekų sąrašą pagal Tarybos direktyvos </w:t>
            </w:r>
            <w:hyperlink r:id="rId21" w:tgtFrame="_blank" w:history="1">
              <w:r>
                <w:rPr>
                  <w:iCs/>
                  <w:color w:val="0000FF" w:themeColor="hyperlink"/>
                  <w:sz w:val="22"/>
                  <w:szCs w:val="22"/>
                  <w:u w:val="single"/>
                </w:rPr>
                <w:t>91/698/EEB</w:t>
              </w:r>
            </w:hyperlink>
            <w:r>
              <w:rPr>
                <w:iCs/>
                <w:sz w:val="22"/>
                <w:szCs w:val="22"/>
              </w:rPr>
              <w:t xml:space="preserve"> dėl pavojingų medžiagų 1 straipsnio 4 dalį,  17 05 04 kategorijoje)),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1C7E2E42" w14:textId="77777777" w:rsidR="00BF0DC4" w:rsidRDefault="00AE5768">
            <w:pPr>
              <w:shd w:val="clear" w:color="auto" w:fill="FFFFFF"/>
              <w:tabs>
                <w:tab w:val="left" w:pos="286"/>
              </w:tabs>
              <w:spacing w:line="259" w:lineRule="auto"/>
              <w:ind w:firstLine="570"/>
              <w:jc w:val="both"/>
              <w:rPr>
                <w:iCs/>
                <w:sz w:val="22"/>
                <w:szCs w:val="22"/>
              </w:rPr>
            </w:pPr>
            <w:r>
              <w:rPr>
                <w:iCs/>
                <w:sz w:val="22"/>
                <w:szCs w:val="22"/>
              </w:rPr>
              <w:t>Be to, projekto vykdytojai, rangovai (subrangovai) bus įpareigoti riboti atliekų susidarymą procesuose, susijusiuose su statyba ir griovimu, laikydamiesi Europos Sąjungos Statybos ir griovimo atliekų tvarkymo protokolo ir atsižvelgdami į geriausius prieinamus metodus ir naudodami selektyvų griovimą, kad būtų galima pašalinti ir saugiai tvarkyti pavojingas medžiagas ir palengvinti pakartotinį perdirbimą. Statybinės atliekos Lietuvos Respublikos atliekų tvarkymo įstatymo ir kitų teisės aktų nustatyta tvarka bus perduodamos atliekų tvarkytojams, turintiems teisę tvarkyti tokias atliekas</w:t>
            </w:r>
            <w:r>
              <w:rPr>
                <w:iCs/>
                <w:sz w:val="22"/>
                <w:szCs w:val="22"/>
                <w:lang w:eastAsia="en-GB"/>
              </w:rPr>
              <w:t>.</w:t>
            </w:r>
            <w:r>
              <w:rPr>
                <w:iCs/>
                <w:sz w:val="22"/>
                <w:szCs w:val="22"/>
              </w:rPr>
              <w:t xml:space="preserve">  Statybinių atliekų tvarkymo taisyklės, patvirtintos Lietuvos Respublikos aplinkos apsaugos ministro </w:t>
            </w:r>
            <w:r>
              <w:rPr>
                <w:iCs/>
                <w:color w:val="000000"/>
                <w:sz w:val="22"/>
                <w:szCs w:val="22"/>
              </w:rPr>
              <w:t>2006 m. gruodžio 29 d. įsakymu Nr. D1-637 „Dėl Statybinių atliekų tvarkymo taisyklių patvirtinimo“,</w:t>
            </w:r>
            <w:r>
              <w:rPr>
                <w:iCs/>
                <w:sz w:val="22"/>
                <w:szCs w:val="22"/>
              </w:rPr>
              <w:t xml:space="preserve"> nustato, kad statybvietėje turi būti išrūšiuotos ir atskirai laikinai laikomos susidarančios komunalinės atliekos, inertinės atliekos, perdirbti ir pakartotinai naudoti tinkamos atliekos, pavojingosios atliekos ir netinkamos perdirbti atliekos. Išrūšiuotos atliekos bus perduodamos įmonėms, turinčioms teisę tvarkyti tokias atliekas pagal sutartis dėl jų naudojimo ir šalinimo. Susidariusios asbesto turinčių gaminių atliekos bus šalinamos nustatyta tvarka atskiroje sekcijoje, įrengtoje prie bet kokios klasės sąvartyno pagal inertinių atliekų sąvartynų reikalavimus ir pažymėtoje įspėjamaisiais užrašais. Tvarkant atliekas bus vadovaujamasi Europos Sąjungos geriausiais prieinamais gamybos būdais (GPGB) atliekų apdorojimui.</w:t>
            </w:r>
          </w:p>
          <w:p w14:paraId="2FC157DE" w14:textId="77777777" w:rsidR="00BF0DC4" w:rsidRDefault="00AE5768">
            <w:pPr>
              <w:tabs>
                <w:tab w:val="left" w:pos="286"/>
                <w:tab w:val="left" w:pos="746"/>
              </w:tabs>
              <w:spacing w:line="259" w:lineRule="auto"/>
              <w:ind w:firstLine="463"/>
              <w:jc w:val="both"/>
              <w:rPr>
                <w:iCs/>
                <w:sz w:val="22"/>
                <w:szCs w:val="22"/>
              </w:rPr>
            </w:pPr>
            <w:r>
              <w:rPr>
                <w:rFonts w:ascii="Symbol" w:hAnsi="Symbol"/>
                <w:iCs/>
                <w:sz w:val="22"/>
                <w:szCs w:val="22"/>
              </w:rPr>
              <w:t></w:t>
            </w:r>
            <w:r>
              <w:rPr>
                <w:rFonts w:ascii="Symbol" w:hAnsi="Symbol"/>
                <w:iCs/>
                <w:sz w:val="22"/>
                <w:szCs w:val="22"/>
              </w:rPr>
              <w:tab/>
            </w:r>
            <w:r>
              <w:rPr>
                <w:iCs/>
                <w:sz w:val="22"/>
                <w:szCs w:val="22"/>
              </w:rPr>
              <w:t>Statybvietėje pildomas atliekų apskaitos žurnalas, vedama susidariusių ir perduotų tvarkyti statybinių atliekų apskaita, nurodomas jų kiekis, teikiamos atliekų apskaitos ataskaitos.</w:t>
            </w:r>
          </w:p>
          <w:p w14:paraId="2754BAD7" w14:textId="77777777" w:rsidR="00BF0DC4" w:rsidRDefault="00AE5768">
            <w:pPr>
              <w:tabs>
                <w:tab w:val="left" w:pos="286"/>
              </w:tabs>
              <w:spacing w:line="259" w:lineRule="auto"/>
              <w:ind w:firstLine="228"/>
              <w:jc w:val="both"/>
              <w:rPr>
                <w:iCs/>
                <w:sz w:val="22"/>
                <w:szCs w:val="22"/>
              </w:rPr>
            </w:pPr>
            <w:r>
              <w:rPr>
                <w:iCs/>
                <w:sz w:val="22"/>
                <w:szCs w:val="22"/>
              </w:rPr>
              <w:t xml:space="preserve">Bus užtikrintas 2018 m. gegužės 30 d. Europos Parlamento ir Tarybos direktyvos </w:t>
            </w:r>
            <w:hyperlink r:id="rId22" w:tgtFrame="_blank" w:history="1">
              <w:r>
                <w:rPr>
                  <w:iCs/>
                  <w:color w:val="0000FF" w:themeColor="hyperlink"/>
                  <w:sz w:val="22"/>
                  <w:szCs w:val="22"/>
                  <w:u w:val="single"/>
                </w:rPr>
                <w:t>(ES) 2018/844</w:t>
              </w:r>
            </w:hyperlink>
            <w:r>
              <w:rPr>
                <w:iCs/>
                <w:sz w:val="22"/>
                <w:szCs w:val="22"/>
              </w:rPr>
              <w:t xml:space="preserve"> reikalavimų, susijusių su energetiniu pastatų efektyvumu, laikymasis (tai bus numatoma paslaugų įsigijimo ir kituose dokumentuose)</w:t>
            </w:r>
          </w:p>
          <w:p w14:paraId="78907FC0" w14:textId="77777777" w:rsidR="00BF0DC4" w:rsidRDefault="00BF0DC4">
            <w:pPr>
              <w:tabs>
                <w:tab w:val="left" w:pos="286"/>
              </w:tabs>
              <w:spacing w:line="259" w:lineRule="auto"/>
              <w:ind w:firstLine="228"/>
              <w:jc w:val="both"/>
              <w:rPr>
                <w:iCs/>
                <w:sz w:val="22"/>
                <w:szCs w:val="22"/>
              </w:rPr>
            </w:pPr>
          </w:p>
          <w:p w14:paraId="5A81EB0D" w14:textId="77777777" w:rsidR="00BF0DC4" w:rsidRDefault="00AE5768">
            <w:pPr>
              <w:tabs>
                <w:tab w:val="left" w:pos="286"/>
              </w:tabs>
              <w:spacing w:line="259" w:lineRule="auto"/>
              <w:ind w:firstLine="228"/>
              <w:jc w:val="both"/>
              <w:rPr>
                <w:iCs/>
                <w:sz w:val="22"/>
                <w:szCs w:val="22"/>
              </w:rPr>
            </w:pPr>
            <w:r>
              <w:rPr>
                <w:iCs/>
                <w:sz w:val="22"/>
                <w:szCs w:val="22"/>
              </w:rPr>
              <w:t>Nenumatoma, kad įgyvendinant veiklas, būtų daroma tiesioginė ar netiesioginė neigiama įtaka žiedinei ekonomikai.</w:t>
            </w:r>
          </w:p>
          <w:p w14:paraId="452326C4" w14:textId="77777777" w:rsidR="00BF0DC4" w:rsidRDefault="00BF0DC4">
            <w:pPr>
              <w:tabs>
                <w:tab w:val="left" w:pos="286"/>
              </w:tabs>
              <w:spacing w:line="259" w:lineRule="auto"/>
              <w:ind w:firstLine="228"/>
              <w:jc w:val="both"/>
              <w:rPr>
                <w:iCs/>
                <w:sz w:val="22"/>
                <w:szCs w:val="22"/>
              </w:rPr>
            </w:pPr>
          </w:p>
          <w:p w14:paraId="70930D42" w14:textId="77777777" w:rsidR="00BF0DC4" w:rsidRDefault="00AE5768">
            <w:pPr>
              <w:tabs>
                <w:tab w:val="left" w:pos="286"/>
              </w:tabs>
              <w:spacing w:line="259" w:lineRule="auto"/>
              <w:ind w:firstLine="228"/>
              <w:jc w:val="both"/>
              <w:rPr>
                <w:iCs/>
                <w:sz w:val="22"/>
                <w:szCs w:val="22"/>
              </w:rPr>
            </w:pPr>
            <w:r>
              <w:rPr>
                <w:iCs/>
                <w:sz w:val="22"/>
                <w:szCs w:val="22"/>
              </w:rPr>
              <w:lastRenderedPageBreak/>
              <w:t>Bus kuriama, modernizuojama infrastruktūra, įsigyjama įranga ir bus užtikrinta, kad būtų arba sumažintas, arba visiškai eliminuotas galimas neigiamas veiksmo (veiklos) poveikis konkrečiam tikslui.</w:t>
            </w:r>
          </w:p>
          <w:p w14:paraId="547097EF" w14:textId="77777777" w:rsidR="00BF0DC4" w:rsidRDefault="00BF0DC4">
            <w:pPr>
              <w:tabs>
                <w:tab w:val="left" w:pos="286"/>
              </w:tabs>
              <w:spacing w:line="259" w:lineRule="auto"/>
              <w:ind w:firstLine="228"/>
              <w:jc w:val="both"/>
              <w:rPr>
                <w:iCs/>
                <w:sz w:val="22"/>
                <w:szCs w:val="22"/>
              </w:rPr>
            </w:pPr>
          </w:p>
          <w:p w14:paraId="7E818882" w14:textId="77777777" w:rsidR="00BF0DC4" w:rsidRDefault="00AE5768">
            <w:pPr>
              <w:spacing w:line="259" w:lineRule="auto"/>
              <w:ind w:firstLine="228"/>
              <w:jc w:val="both"/>
              <w:rPr>
                <w:sz w:val="22"/>
                <w:szCs w:val="22"/>
              </w:rPr>
            </w:pPr>
            <w:r>
              <w:rPr>
                <w:iCs/>
                <w:sz w:val="22"/>
                <w:szCs w:val="22"/>
              </w:rPr>
              <w:t xml:space="preserve">Bus vadovaujamasi Reglamento </w:t>
            </w:r>
            <w:hyperlink r:id="rId23" w:tgtFrame="_blank" w:history="1">
              <w:r>
                <w:rPr>
                  <w:iCs/>
                  <w:color w:val="0000FF" w:themeColor="hyperlink"/>
                  <w:sz w:val="22"/>
                  <w:szCs w:val="22"/>
                  <w:u w:val="single"/>
                </w:rPr>
                <w:t>(ES) 2021/2139</w:t>
              </w:r>
            </w:hyperlink>
            <w:r>
              <w:rPr>
                <w:iCs/>
                <w:sz w:val="22"/>
                <w:szCs w:val="22"/>
              </w:rPr>
              <w:t xml:space="preserve"> 1 straipsnio I priedo ir 2 straipsnio II priedo atitinkamoms veikloms taikomuose punktuose (pavyzdžiui, kuriant naują infrastruktūrą ar modernizuojant esamą – taikomi 7 punkte nustatyti techninės analizės kriterijai; įsigyjant IT įrangą – taikomi 8 punkte nustatyti techninės analizės kriterijai ir t.t.) nustatytais reikalavimais, tai numatant atitinkamuose dokumentuose (pavyzdžiui pirkimo ir kituose dokumentuose) nustatytais reikalavimais.</w:t>
            </w:r>
          </w:p>
          <w:p w14:paraId="4A5ED784" w14:textId="77777777" w:rsidR="00BF0DC4" w:rsidRDefault="00BF0DC4">
            <w:pPr>
              <w:jc w:val="both"/>
              <w:rPr>
                <w:sz w:val="14"/>
                <w:szCs w:val="14"/>
              </w:rPr>
            </w:pPr>
          </w:p>
          <w:p w14:paraId="337EB932" w14:textId="77777777" w:rsidR="00BF0DC4" w:rsidRDefault="00AE5768">
            <w:pPr>
              <w:spacing w:line="259" w:lineRule="auto"/>
              <w:ind w:firstLine="228"/>
              <w:jc w:val="both"/>
              <w:rPr>
                <w:bCs/>
                <w:iCs/>
                <w:sz w:val="22"/>
                <w:szCs w:val="22"/>
              </w:rPr>
            </w:pPr>
            <w:r>
              <w:rPr>
                <w:iCs/>
                <w:sz w:val="22"/>
                <w:szCs w:val="22"/>
              </w:rPr>
              <w:t>Įgyvendinant 2021–2027 metų Europos Sąjungos fondų investicijų programos, patvirtintos 2022 m. rugpjūčio 3 d. Europos Komisijos sprendimu Nr. C(2022) 5742, 4.6 uždavinio veiklas, susijusias su infrastruktūros kūrimu, modernizavimu, įrangos, priemonių ir kitų išteklių įsigijimu, užtikrinamas efektyvus atliekų surinkimas, skatinamas atskirų dalių pakartotinas naudojimas bei statytojams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w:t>
            </w:r>
          </w:p>
        </w:tc>
        <w:tc>
          <w:tcPr>
            <w:tcW w:w="1133" w:type="pct"/>
          </w:tcPr>
          <w:p w14:paraId="1F938FA1" w14:textId="77777777" w:rsidR="00BF0DC4" w:rsidRDefault="00AE5768">
            <w:pPr>
              <w:spacing w:line="259" w:lineRule="auto"/>
              <w:jc w:val="both"/>
              <w:rPr>
                <w:iCs/>
                <w:sz w:val="22"/>
                <w:szCs w:val="22"/>
              </w:rPr>
            </w:pPr>
            <w:r>
              <w:rPr>
                <w:iCs/>
                <w:sz w:val="22"/>
                <w:szCs w:val="22"/>
              </w:rPr>
              <w:lastRenderedPageBreak/>
              <w:t xml:space="preserve">Projektavimo dokumentai, pirkimo dokumentai, sutartys su tiekėjais, komerciniai pasiūlymai, </w:t>
            </w:r>
            <w:r>
              <w:rPr>
                <w:rFonts w:eastAsia="Calibri"/>
                <w:iCs/>
                <w:sz w:val="22"/>
                <w:szCs w:val="22"/>
              </w:rPr>
              <w:t>įrangos aprašymai, specifikacija, instrukcijos, projekto vykdytojo deklaracija (Aprašo 10 priedas).</w:t>
            </w:r>
          </w:p>
        </w:tc>
      </w:tr>
      <w:tr w:rsidR="00BF0DC4" w14:paraId="3D5D7267" w14:textId="77777777" w:rsidTr="0040471A">
        <w:tc>
          <w:tcPr>
            <w:tcW w:w="867" w:type="pct"/>
          </w:tcPr>
          <w:p w14:paraId="5C2779D5" w14:textId="77777777" w:rsidR="00BF0DC4" w:rsidRDefault="00AE5768">
            <w:pPr>
              <w:tabs>
                <w:tab w:val="left" w:pos="289"/>
              </w:tabs>
              <w:spacing w:line="259" w:lineRule="auto"/>
              <w:ind w:firstLine="5"/>
              <w:jc w:val="both"/>
              <w:rPr>
                <w:iCs/>
                <w:sz w:val="22"/>
                <w:szCs w:val="22"/>
              </w:rPr>
            </w:pPr>
            <w:r>
              <w:rPr>
                <w:iCs/>
                <w:sz w:val="22"/>
                <w:szCs w:val="22"/>
              </w:rPr>
              <w:t>5.</w:t>
            </w:r>
            <w:r>
              <w:rPr>
                <w:iCs/>
                <w:sz w:val="22"/>
                <w:szCs w:val="22"/>
              </w:rPr>
              <w:tab/>
            </w:r>
            <w:r>
              <w:rPr>
                <w:bCs/>
                <w:iCs/>
                <w:sz w:val="22"/>
                <w:szCs w:val="22"/>
              </w:rPr>
              <w:t>Oro, vandens ar žemės taršos prevencija ir kontrolė</w:t>
            </w:r>
          </w:p>
        </w:tc>
        <w:tc>
          <w:tcPr>
            <w:tcW w:w="2999" w:type="pct"/>
          </w:tcPr>
          <w:p w14:paraId="7179BBB7" w14:textId="77777777" w:rsidR="00BF0DC4" w:rsidRDefault="00AE5768">
            <w:pPr>
              <w:spacing w:line="259" w:lineRule="auto"/>
              <w:ind w:firstLine="228"/>
              <w:jc w:val="both"/>
              <w:rPr>
                <w:iCs/>
                <w:sz w:val="22"/>
                <w:szCs w:val="22"/>
              </w:rPr>
            </w:pPr>
            <w:r>
              <w:rPr>
                <w:bCs/>
                <w:iCs/>
                <w:sz w:val="22"/>
                <w:szCs w:val="22"/>
              </w:rPr>
              <w:t>Nenumatoma, kad projektų veiklų, s</w:t>
            </w:r>
            <w:r>
              <w:rPr>
                <w:iCs/>
                <w:sz w:val="22"/>
                <w:szCs w:val="22"/>
              </w:rPr>
              <w:t>usijusių su infrastruktūros kūrimu, modernizavimu, išteklių įsigijimu, pastatų modernizavimo metu susidarytų ženkli oro, vandens ir dirvožemio tarša, nes modernizuojant bus naudojamos Statybos techniniame reglamente ir kituose teisės aktuose leistinos medžiagos, atitinkančios aplinkos apsaugos reikalavimus.</w:t>
            </w:r>
          </w:p>
          <w:p w14:paraId="6623456D" w14:textId="77777777" w:rsidR="00BF0DC4" w:rsidRDefault="00BF0DC4">
            <w:pPr>
              <w:jc w:val="both"/>
              <w:rPr>
                <w:sz w:val="14"/>
                <w:szCs w:val="14"/>
              </w:rPr>
            </w:pPr>
          </w:p>
          <w:p w14:paraId="722B60CE" w14:textId="77777777" w:rsidR="00BF0DC4" w:rsidRDefault="00AE5768">
            <w:pPr>
              <w:spacing w:line="259" w:lineRule="auto"/>
              <w:ind w:firstLine="228"/>
              <w:jc w:val="both"/>
              <w:rPr>
                <w:sz w:val="22"/>
                <w:szCs w:val="22"/>
              </w:rPr>
            </w:pPr>
            <w:r>
              <w:rPr>
                <w:iCs/>
                <w:sz w:val="22"/>
                <w:szCs w:val="22"/>
              </w:rPr>
              <w:t xml:space="preserve">Bus vadovaujamasi Reglamento </w:t>
            </w:r>
            <w:hyperlink r:id="rId24" w:tgtFrame="_blank" w:history="1">
              <w:r>
                <w:rPr>
                  <w:iCs/>
                  <w:color w:val="0000FF" w:themeColor="hyperlink"/>
                  <w:sz w:val="22"/>
                  <w:szCs w:val="22"/>
                  <w:u w:val="single"/>
                </w:rPr>
                <w:t>(ES) 2021/2139</w:t>
              </w:r>
            </w:hyperlink>
            <w:r>
              <w:rPr>
                <w:iCs/>
                <w:sz w:val="22"/>
                <w:szCs w:val="22"/>
              </w:rPr>
              <w:t xml:space="preserve"> 1 straipsnio I priedo ir 2 straipsnio II priedo atitinkamoms veikloms taikomuose punktuose (pavyzdžiui, kuriant naują infrastruktūrą ar modernizuojant esamą – taikomi 7 punkte nustatyti techninės analizės kriterijai; įsigyjant IT įrangą – taikomi 8 punkte nustatyti techninės analizės kriterijai ir t.t.) nustatytais reikalavimais, tai numatant atitinkamuose dokumentuose (pavyzdžiui pirkimo ir kituose dokumentuose) nustatytais reikalavimais.</w:t>
            </w:r>
          </w:p>
          <w:p w14:paraId="052DA27F" w14:textId="77777777" w:rsidR="00BF0DC4" w:rsidRDefault="00BF0DC4">
            <w:pPr>
              <w:jc w:val="both"/>
              <w:rPr>
                <w:sz w:val="14"/>
                <w:szCs w:val="14"/>
              </w:rPr>
            </w:pPr>
          </w:p>
          <w:p w14:paraId="42BF85BA" w14:textId="77777777" w:rsidR="00BF0DC4" w:rsidRDefault="00AE5768">
            <w:pPr>
              <w:spacing w:line="259" w:lineRule="auto"/>
              <w:ind w:firstLine="228"/>
              <w:jc w:val="both"/>
              <w:rPr>
                <w:iCs/>
                <w:sz w:val="22"/>
                <w:szCs w:val="22"/>
              </w:rPr>
            </w:pPr>
            <w:r>
              <w:rPr>
                <w:iCs/>
                <w:sz w:val="22"/>
                <w:szCs w:val="22"/>
              </w:rPr>
              <w:t>Nenumatoma, kad įgyvendinant veiklas padidės teršalų išmetimas į orą, vandenį ar žemę, kadangi:</w:t>
            </w:r>
          </w:p>
          <w:p w14:paraId="487A1520" w14:textId="77777777" w:rsidR="00BF0DC4" w:rsidRDefault="00BF0DC4">
            <w:pPr>
              <w:jc w:val="both"/>
              <w:rPr>
                <w:sz w:val="14"/>
                <w:szCs w:val="14"/>
              </w:rPr>
            </w:pPr>
          </w:p>
          <w:p w14:paraId="0E893D53" w14:textId="77777777" w:rsidR="00BF0DC4" w:rsidRDefault="00AE5768">
            <w:pPr>
              <w:tabs>
                <w:tab w:val="left" w:pos="286"/>
                <w:tab w:val="left" w:pos="602"/>
              </w:tabs>
              <w:spacing w:line="259" w:lineRule="auto"/>
              <w:ind w:left="2" w:firstLine="317"/>
              <w:jc w:val="both"/>
              <w:rPr>
                <w:iCs/>
                <w:sz w:val="22"/>
                <w:szCs w:val="22"/>
              </w:rPr>
            </w:pPr>
            <w:r>
              <w:rPr>
                <w:rFonts w:ascii="Symbol" w:hAnsi="Symbol"/>
                <w:iCs/>
                <w:sz w:val="22"/>
                <w:szCs w:val="22"/>
              </w:rPr>
              <w:t></w:t>
            </w:r>
            <w:r>
              <w:rPr>
                <w:rFonts w:ascii="Symbol" w:hAnsi="Symbol"/>
                <w:iCs/>
                <w:sz w:val="22"/>
                <w:szCs w:val="22"/>
              </w:rPr>
              <w:tab/>
            </w:r>
            <w:r>
              <w:rPr>
                <w:iCs/>
                <w:sz w:val="22"/>
                <w:szCs w:val="22"/>
              </w:rPr>
              <w:t xml:space="preserve">Statybose naudojamose statybinėse dalyse ir medžiagose nėra asbesto ir labai didelį susirūpinimą keliančių medžiagų, nustatytų remiantis medžiagų, kurioms reikalingas leidimas, sąrašu, nurodytu 2006 m. gruodžio 18 d. Europos Parlamento ir Tarybos reglamento </w:t>
            </w:r>
            <w:hyperlink r:id="rId25" w:tgtFrame="_blank" w:history="1">
              <w:r>
                <w:rPr>
                  <w:iCs/>
                  <w:color w:val="0000FF" w:themeColor="hyperlink"/>
                  <w:sz w:val="22"/>
                  <w:szCs w:val="22"/>
                  <w:u w:val="single"/>
                </w:rPr>
                <w:t>(EB) Nr. 1907/2006</w:t>
              </w:r>
            </w:hyperlink>
            <w:r>
              <w:rPr>
                <w:iCs/>
                <w:sz w:val="22"/>
                <w:szCs w:val="22"/>
              </w:rPr>
              <w:t xml:space="preserve"> dėl cheminių medžiagų registracijos, įvertinimo, autorizacijos ir apribojimų (REACH), įsteigiantis Europos cheminių medžiagų agentūrą, iš dalies keičiantis Direktyvą </w:t>
            </w:r>
            <w:hyperlink r:id="rId26" w:tgtFrame="_blank" w:history="1">
              <w:r>
                <w:rPr>
                  <w:iCs/>
                  <w:color w:val="0000FF" w:themeColor="hyperlink"/>
                  <w:sz w:val="22"/>
                  <w:szCs w:val="22"/>
                  <w:u w:val="single"/>
                </w:rPr>
                <w:t>1999/45/EB</w:t>
              </w:r>
            </w:hyperlink>
            <w:r>
              <w:rPr>
                <w:iCs/>
                <w:sz w:val="22"/>
                <w:szCs w:val="22"/>
              </w:rPr>
              <w:t xml:space="preserve"> bei panaikinantis Tarybos reglamentą </w:t>
            </w:r>
            <w:hyperlink r:id="rId27" w:tgtFrame="_blank" w:history="1">
              <w:r>
                <w:rPr>
                  <w:iCs/>
                  <w:color w:val="0000FF" w:themeColor="hyperlink"/>
                  <w:sz w:val="22"/>
                  <w:szCs w:val="22"/>
                  <w:u w:val="single"/>
                </w:rPr>
                <w:t>(EEB) Nr. 793/93</w:t>
              </w:r>
            </w:hyperlink>
            <w:r>
              <w:rPr>
                <w:iCs/>
                <w:sz w:val="22"/>
                <w:szCs w:val="22"/>
              </w:rPr>
              <w:t xml:space="preserve">, Komisijos reglamentą </w:t>
            </w:r>
            <w:hyperlink r:id="rId28" w:tgtFrame="_blank" w:history="1">
              <w:r>
                <w:rPr>
                  <w:iCs/>
                  <w:color w:val="0000FF" w:themeColor="hyperlink"/>
                  <w:sz w:val="22"/>
                  <w:szCs w:val="22"/>
                  <w:u w:val="single"/>
                </w:rPr>
                <w:t>(EB) Nr. 1488/94</w:t>
              </w:r>
            </w:hyperlink>
            <w:r>
              <w:rPr>
                <w:iCs/>
                <w:sz w:val="22"/>
                <w:szCs w:val="22"/>
              </w:rPr>
              <w:t xml:space="preserve">, Tarybos direktyvą </w:t>
            </w:r>
            <w:hyperlink r:id="rId29" w:tgtFrame="_blank" w:history="1">
              <w:r>
                <w:rPr>
                  <w:iCs/>
                  <w:color w:val="0000FF" w:themeColor="hyperlink"/>
                  <w:sz w:val="22"/>
                  <w:szCs w:val="22"/>
                  <w:u w:val="single"/>
                </w:rPr>
                <w:t>76/769/EEB</w:t>
              </w:r>
            </w:hyperlink>
            <w:r>
              <w:rPr>
                <w:iCs/>
                <w:sz w:val="22"/>
                <w:szCs w:val="22"/>
              </w:rPr>
              <w:t xml:space="preserve"> ir Komisijos direktyvas </w:t>
            </w:r>
            <w:hyperlink r:id="rId30" w:tgtFrame="_blank" w:history="1">
              <w:r>
                <w:rPr>
                  <w:iCs/>
                  <w:color w:val="0000FF" w:themeColor="hyperlink"/>
                  <w:sz w:val="22"/>
                  <w:szCs w:val="22"/>
                  <w:u w:val="single"/>
                </w:rPr>
                <w:t>91/155/EEB</w:t>
              </w:r>
            </w:hyperlink>
            <w:r>
              <w:rPr>
                <w:iCs/>
                <w:sz w:val="22"/>
                <w:szCs w:val="22"/>
              </w:rPr>
              <w:t xml:space="preserve">, </w:t>
            </w:r>
            <w:hyperlink r:id="rId31" w:tgtFrame="_blank" w:history="1">
              <w:r>
                <w:rPr>
                  <w:iCs/>
                  <w:color w:val="0000FF" w:themeColor="hyperlink"/>
                  <w:sz w:val="22"/>
                  <w:szCs w:val="22"/>
                  <w:u w:val="single"/>
                </w:rPr>
                <w:t>93/105/EB</w:t>
              </w:r>
            </w:hyperlink>
            <w:r>
              <w:rPr>
                <w:iCs/>
                <w:sz w:val="22"/>
                <w:szCs w:val="22"/>
              </w:rPr>
              <w:t xml:space="preserve"> bei </w:t>
            </w:r>
            <w:hyperlink r:id="rId32" w:tgtFrame="_blank" w:history="1">
              <w:r>
                <w:rPr>
                  <w:iCs/>
                  <w:color w:val="0000FF" w:themeColor="hyperlink"/>
                  <w:sz w:val="22"/>
                  <w:szCs w:val="22"/>
                  <w:u w:val="single"/>
                </w:rPr>
                <w:t>2000/21/EB</w:t>
              </w:r>
            </w:hyperlink>
            <w:r>
              <w:rPr>
                <w:iCs/>
                <w:sz w:val="22"/>
                <w:szCs w:val="22"/>
              </w:rPr>
              <w:t xml:space="preserve"> XIV priede.</w:t>
            </w:r>
          </w:p>
          <w:p w14:paraId="420264AE" w14:textId="77777777" w:rsidR="00BF0DC4" w:rsidRDefault="00AE5768">
            <w:pPr>
              <w:tabs>
                <w:tab w:val="left" w:pos="286"/>
                <w:tab w:val="left" w:pos="602"/>
              </w:tabs>
              <w:spacing w:line="259" w:lineRule="auto"/>
              <w:ind w:left="2" w:firstLine="317"/>
              <w:jc w:val="both"/>
              <w:rPr>
                <w:iCs/>
                <w:sz w:val="22"/>
                <w:szCs w:val="22"/>
              </w:rPr>
            </w:pPr>
            <w:r>
              <w:rPr>
                <w:rFonts w:ascii="Symbol" w:hAnsi="Symbol"/>
                <w:iCs/>
                <w:sz w:val="22"/>
                <w:szCs w:val="22"/>
              </w:rPr>
              <w:lastRenderedPageBreak/>
              <w:t></w:t>
            </w:r>
            <w:r>
              <w:rPr>
                <w:rFonts w:ascii="Symbol" w:hAnsi="Symbol"/>
                <w:iCs/>
                <w:sz w:val="22"/>
                <w:szCs w:val="22"/>
              </w:rPr>
              <w:tab/>
            </w:r>
            <w:r>
              <w:rPr>
                <w:iCs/>
                <w:sz w:val="22"/>
                <w:szCs w:val="22"/>
              </w:rPr>
              <w:t>Statyboje naudojami komponentai ir medžiagos, galinčios liestis su gyventojais, išskiria mažiau nei 0,06 mg formaldehido 1 m³ medžiagos ar komponento ir mažiau kaip 0,001 mg 1A ir 1B kategorijos kancerogeninių lakiųjų organinių junginių 1 m³ medžiagos arba komponentas, atlikus bandymus pagal CEN / TS 16516 ir ISO 16000-3 arba kitas panašias standartizuotas bandymo sąlygas ir nustatymo metodus.</w:t>
            </w:r>
          </w:p>
          <w:p w14:paraId="70DD44A5" w14:textId="77777777" w:rsidR="00BF0DC4" w:rsidRDefault="00AE5768">
            <w:pPr>
              <w:tabs>
                <w:tab w:val="left" w:pos="286"/>
                <w:tab w:val="left" w:pos="602"/>
              </w:tabs>
              <w:spacing w:line="259" w:lineRule="auto"/>
              <w:ind w:left="2" w:firstLine="317"/>
              <w:jc w:val="both"/>
              <w:rPr>
                <w:b/>
                <w:iCs/>
                <w:sz w:val="22"/>
                <w:szCs w:val="22"/>
              </w:rPr>
            </w:pPr>
            <w:r>
              <w:rPr>
                <w:rFonts w:ascii="Symbol" w:hAnsi="Symbol"/>
                <w:iCs/>
                <w:sz w:val="22"/>
                <w:szCs w:val="22"/>
              </w:rPr>
              <w:t></w:t>
            </w:r>
            <w:r>
              <w:rPr>
                <w:rFonts w:ascii="Symbol" w:hAnsi="Symbol"/>
                <w:iCs/>
                <w:sz w:val="22"/>
                <w:szCs w:val="22"/>
              </w:rPr>
              <w:tab/>
            </w:r>
            <w:r>
              <w:rPr>
                <w:iCs/>
                <w:sz w:val="22"/>
                <w:szCs w:val="22"/>
              </w:rPr>
              <w:t>Imamasi priemonių sumažinti triukšmą, dulkes ir teršalus vykdant statybos ar priežiūros darbus.</w:t>
            </w:r>
          </w:p>
          <w:p w14:paraId="739F5B2F" w14:textId="77777777" w:rsidR="00BF0DC4" w:rsidRDefault="00AE5768">
            <w:pPr>
              <w:tabs>
                <w:tab w:val="left" w:pos="286"/>
                <w:tab w:val="left" w:pos="602"/>
              </w:tabs>
              <w:spacing w:line="259" w:lineRule="auto"/>
              <w:ind w:left="2" w:firstLine="317"/>
              <w:jc w:val="both"/>
              <w:rPr>
                <w:b/>
                <w:iCs/>
                <w:sz w:val="22"/>
                <w:szCs w:val="22"/>
              </w:rPr>
            </w:pPr>
            <w:r>
              <w:rPr>
                <w:rFonts w:ascii="Symbol" w:hAnsi="Symbol"/>
                <w:iCs/>
                <w:sz w:val="22"/>
                <w:szCs w:val="22"/>
              </w:rPr>
              <w:t></w:t>
            </w:r>
            <w:r>
              <w:rPr>
                <w:rFonts w:ascii="Symbol" w:hAnsi="Symbol"/>
                <w:iCs/>
                <w:sz w:val="22"/>
                <w:szCs w:val="22"/>
              </w:rPr>
              <w:tab/>
            </w:r>
            <w:r>
              <w:rPr>
                <w:iCs/>
                <w:sz w:val="22"/>
                <w:szCs w:val="22"/>
              </w:rPr>
              <w:t xml:space="preserve">Veikla įgyvendinama vadovaujantis 2018 m. gruodžio 11 d. Europos Parlamento ir Tarybos Direktyva </w:t>
            </w:r>
            <w:hyperlink r:id="rId33" w:tgtFrame="_blank" w:history="1">
              <w:r>
                <w:rPr>
                  <w:iCs/>
                  <w:color w:val="0000FF" w:themeColor="hyperlink"/>
                  <w:sz w:val="22"/>
                  <w:szCs w:val="22"/>
                  <w:u w:val="single"/>
                </w:rPr>
                <w:t>(ES) 2018/2001</w:t>
              </w:r>
            </w:hyperlink>
            <w:r>
              <w:rPr>
                <w:iCs/>
                <w:sz w:val="22"/>
                <w:szCs w:val="22"/>
              </w:rPr>
              <w:t xml:space="preserve"> dėl skatinimo naudoti atsinaujinančiųjų išteklių energiją, 2014 m. birželio 17 d. Komisijos reglamento </w:t>
            </w:r>
            <w:hyperlink r:id="rId34" w:tgtFrame="_blank" w:history="1">
              <w:r>
                <w:rPr>
                  <w:iCs/>
                  <w:color w:val="0000FF" w:themeColor="hyperlink"/>
                  <w:sz w:val="22"/>
                  <w:szCs w:val="22"/>
                  <w:u w:val="single"/>
                </w:rPr>
                <w:t>(ES) Nr. 651/2014</w:t>
              </w:r>
            </w:hyperlink>
            <w:r>
              <w:rPr>
                <w:iCs/>
                <w:sz w:val="22"/>
                <w:szCs w:val="22"/>
              </w:rPr>
              <w:t xml:space="preserve"> kuriuo tam tikrų kategorijų pagalba skelbiama suderinama su vidaus rinka taikant Sutarties 107 ir 108 straipsnius nuostatomis, taip pat nacionaliniais teisės aktais, kuriuose nustatyti reikalavimai užtikrinti tausų išteklių naudojimą ir apsaugą.</w:t>
            </w:r>
          </w:p>
        </w:tc>
        <w:tc>
          <w:tcPr>
            <w:tcW w:w="1133" w:type="pct"/>
          </w:tcPr>
          <w:p w14:paraId="437A13FC" w14:textId="77777777" w:rsidR="00BF0DC4" w:rsidRDefault="00AE5768">
            <w:pPr>
              <w:spacing w:line="259" w:lineRule="auto"/>
              <w:jc w:val="both"/>
              <w:rPr>
                <w:iCs/>
                <w:sz w:val="22"/>
                <w:szCs w:val="22"/>
              </w:rPr>
            </w:pPr>
            <w:r>
              <w:rPr>
                <w:iCs/>
                <w:sz w:val="22"/>
                <w:szCs w:val="22"/>
              </w:rPr>
              <w:lastRenderedPageBreak/>
              <w:t xml:space="preserve">Projektavimo dokumentai, pirkimo dokumentai, sutartys su tiekėjais, komerciniai pasiūlymai, </w:t>
            </w:r>
            <w:r>
              <w:rPr>
                <w:rFonts w:eastAsia="Calibri"/>
                <w:iCs/>
                <w:sz w:val="22"/>
                <w:szCs w:val="22"/>
              </w:rPr>
              <w:t>įrangos aprašymai, specifikacija, instrukcijos, projekto vykdytojo deklaracija (Aprašo 10 priedas).</w:t>
            </w:r>
          </w:p>
        </w:tc>
      </w:tr>
      <w:tr w:rsidR="00BF0DC4" w14:paraId="6C4FFED6" w14:textId="77777777" w:rsidTr="0040471A">
        <w:tc>
          <w:tcPr>
            <w:tcW w:w="867" w:type="pct"/>
          </w:tcPr>
          <w:p w14:paraId="44FABAAD" w14:textId="77777777" w:rsidR="00BF0DC4" w:rsidRDefault="00AE5768">
            <w:pPr>
              <w:tabs>
                <w:tab w:val="left" w:pos="289"/>
              </w:tabs>
              <w:spacing w:line="259" w:lineRule="auto"/>
              <w:ind w:left="5" w:firstLine="5"/>
              <w:jc w:val="both"/>
              <w:rPr>
                <w:iCs/>
                <w:sz w:val="22"/>
                <w:szCs w:val="22"/>
              </w:rPr>
            </w:pPr>
            <w:r>
              <w:rPr>
                <w:iCs/>
                <w:sz w:val="22"/>
                <w:szCs w:val="22"/>
              </w:rPr>
              <w:t>6.</w:t>
            </w:r>
            <w:r>
              <w:rPr>
                <w:iCs/>
                <w:sz w:val="22"/>
                <w:szCs w:val="22"/>
              </w:rPr>
              <w:tab/>
              <w:t>Biologinės įvairovės ir ekosistemų apsauga ir atkūrimas</w:t>
            </w:r>
          </w:p>
        </w:tc>
        <w:tc>
          <w:tcPr>
            <w:tcW w:w="2999" w:type="pct"/>
          </w:tcPr>
          <w:p w14:paraId="61D84FD8" w14:textId="77777777" w:rsidR="00BF0DC4" w:rsidRDefault="00AE5768">
            <w:pPr>
              <w:spacing w:line="259" w:lineRule="auto"/>
              <w:ind w:firstLine="228"/>
              <w:jc w:val="both"/>
              <w:rPr>
                <w:iCs/>
                <w:sz w:val="22"/>
                <w:szCs w:val="22"/>
              </w:rPr>
            </w:pPr>
            <w:r>
              <w:rPr>
                <w:iCs/>
                <w:sz w:val="22"/>
                <w:szCs w:val="22"/>
              </w:rPr>
              <w:t xml:space="preserve">Vertinama, kad projektų veiklos neturi jokio numatomo neigiamo tiesioginio ar netiesioginio poveikio šiam aplinkos tikslui arba numatomas jos poveikis yra nereikšmingas, t. y. nedaro tiesioginio ir pirminio netiesioginio poveikio per visą gyvavimo ciklą, todėl laikoma, kad atitinka Biologinės įvairovės ir ekosistemų apsaugos ir atkūrimo tikslą. </w:t>
            </w:r>
          </w:p>
          <w:p w14:paraId="427BF8DF" w14:textId="77777777" w:rsidR="00BF0DC4" w:rsidRDefault="00BF0DC4">
            <w:pPr>
              <w:jc w:val="both"/>
              <w:rPr>
                <w:sz w:val="14"/>
                <w:szCs w:val="14"/>
              </w:rPr>
            </w:pPr>
          </w:p>
          <w:p w14:paraId="29074FF7" w14:textId="77777777" w:rsidR="00BF0DC4" w:rsidRDefault="00AE5768">
            <w:pPr>
              <w:spacing w:line="259" w:lineRule="auto"/>
              <w:ind w:firstLine="228"/>
              <w:jc w:val="both"/>
              <w:rPr>
                <w:iCs/>
                <w:sz w:val="22"/>
                <w:szCs w:val="22"/>
              </w:rPr>
            </w:pPr>
            <w:r>
              <w:rPr>
                <w:iCs/>
                <w:sz w:val="22"/>
                <w:szCs w:val="22"/>
              </w:rPr>
              <w:t xml:space="preserve">Nauji objektai nebus statomi. Veiklos bus vykdomos jau urbanizuotose vietovėse. </w:t>
            </w:r>
          </w:p>
          <w:p w14:paraId="18937F1D" w14:textId="77777777" w:rsidR="00BF0DC4" w:rsidRDefault="00BF0DC4">
            <w:pPr>
              <w:jc w:val="both"/>
              <w:rPr>
                <w:sz w:val="14"/>
                <w:szCs w:val="14"/>
              </w:rPr>
            </w:pPr>
          </w:p>
          <w:p w14:paraId="6D8040D7" w14:textId="77777777" w:rsidR="00BF0DC4" w:rsidRDefault="00AE5768">
            <w:pPr>
              <w:spacing w:line="259" w:lineRule="auto"/>
              <w:ind w:firstLine="228"/>
              <w:jc w:val="both"/>
              <w:rPr>
                <w:sz w:val="22"/>
                <w:szCs w:val="22"/>
              </w:rPr>
            </w:pPr>
            <w:r>
              <w:rPr>
                <w:iCs/>
                <w:sz w:val="22"/>
                <w:szCs w:val="22"/>
              </w:rPr>
              <w:t xml:space="preserve">Bus vadovaujamasi Reglamento </w:t>
            </w:r>
            <w:hyperlink r:id="rId35" w:tgtFrame="_blank" w:history="1">
              <w:r>
                <w:rPr>
                  <w:iCs/>
                  <w:color w:val="0000FF" w:themeColor="hyperlink"/>
                  <w:sz w:val="22"/>
                  <w:szCs w:val="22"/>
                  <w:u w:val="single"/>
                </w:rPr>
                <w:t>(ES) 2021/2139</w:t>
              </w:r>
            </w:hyperlink>
            <w:r>
              <w:rPr>
                <w:iCs/>
                <w:sz w:val="22"/>
                <w:szCs w:val="22"/>
              </w:rPr>
              <w:t xml:space="preserve"> 1 straipsnio I priedo ir 2 straipsnio II priedo atitinkamoms veikloms taikomuose punktuose (pavyzdžiui, kuriant naują infrastruktūrą ar modernizuojant esamą – taikomi 7 punkte nustatyti techninės analizės kriterijai; įsigyjant IT įrangą – taikomi 8 punkte nustatyti techninės analizės kriterijai ir t.t.) nustatytais reikalavimais, tai numatant atitinkamuose dokumentuose (pavyzdžiui pirkimo ir kituose dokumentuose) nustatytais reikalavimais.</w:t>
            </w:r>
          </w:p>
          <w:p w14:paraId="6C4478FB" w14:textId="77777777" w:rsidR="00BF0DC4" w:rsidRDefault="00BF0DC4">
            <w:pPr>
              <w:jc w:val="both"/>
              <w:rPr>
                <w:sz w:val="14"/>
                <w:szCs w:val="14"/>
              </w:rPr>
            </w:pPr>
          </w:p>
          <w:p w14:paraId="19E21F36" w14:textId="77777777" w:rsidR="00BF0DC4" w:rsidRDefault="00AE5768">
            <w:pPr>
              <w:spacing w:line="259" w:lineRule="auto"/>
              <w:ind w:firstLine="228"/>
              <w:jc w:val="both"/>
              <w:rPr>
                <w:b/>
                <w:iCs/>
                <w:sz w:val="22"/>
                <w:szCs w:val="22"/>
              </w:rPr>
            </w:pPr>
            <w:r>
              <w:rPr>
                <w:iCs/>
                <w:sz w:val="22"/>
                <w:szCs w:val="22"/>
              </w:rPr>
              <w:t>Pagal šiuo metu galiojančių teisės aktų reikalavimus, poveikio „Natura 2000“ teritorijoms, biologinei įvairovei ir ekosistemai nebus.</w:t>
            </w:r>
          </w:p>
        </w:tc>
        <w:tc>
          <w:tcPr>
            <w:tcW w:w="1133" w:type="pct"/>
          </w:tcPr>
          <w:p w14:paraId="12D40EFF" w14:textId="77777777" w:rsidR="00BF0DC4" w:rsidRDefault="00AE5768">
            <w:pPr>
              <w:spacing w:line="259" w:lineRule="auto"/>
              <w:jc w:val="both"/>
              <w:rPr>
                <w:iCs/>
                <w:sz w:val="22"/>
                <w:szCs w:val="22"/>
              </w:rPr>
            </w:pPr>
            <w:r>
              <w:rPr>
                <w:iCs/>
                <w:sz w:val="22"/>
                <w:szCs w:val="22"/>
              </w:rPr>
              <w:t xml:space="preserve">Projektavimo dokumentai, pirkimo dokumentai, sutartys su tiekėjais, komerciniai pasiūlymai, </w:t>
            </w:r>
            <w:r>
              <w:rPr>
                <w:rFonts w:eastAsia="Calibri"/>
                <w:iCs/>
                <w:sz w:val="22"/>
                <w:szCs w:val="22"/>
              </w:rPr>
              <w:t>įrangos aprašymai, specifikacija, instrukcijos, projekto vykdytojo deklaracija (Aprašo 10 priedas).</w:t>
            </w:r>
          </w:p>
        </w:tc>
      </w:tr>
    </w:tbl>
    <w:p w14:paraId="53F04C68" w14:textId="77777777" w:rsidR="00BF0DC4" w:rsidRDefault="00BF0DC4">
      <w:pPr>
        <w:spacing w:line="276" w:lineRule="auto"/>
        <w:jc w:val="both"/>
        <w:rPr>
          <w:rFonts w:eastAsia="Calibri"/>
          <w:bCs/>
          <w:iCs/>
          <w:szCs w:val="24"/>
        </w:rPr>
      </w:pPr>
    </w:p>
    <w:p w14:paraId="44B00494" w14:textId="77777777" w:rsidR="00BF0DC4" w:rsidRDefault="00BF0DC4">
      <w:pPr>
        <w:jc w:val="both"/>
        <w:rPr>
          <w:rFonts w:ascii="Calibri" w:eastAsia="Calibri" w:hAnsi="Calibri"/>
          <w:iCs/>
          <w:sz w:val="22"/>
          <w:szCs w:val="22"/>
        </w:rPr>
      </w:pPr>
    </w:p>
    <w:p w14:paraId="2FAC7097" w14:textId="77777777" w:rsidR="00BF0DC4" w:rsidRDefault="00BF0DC4">
      <w:pPr>
        <w:jc w:val="both"/>
        <w:rPr>
          <w:rFonts w:ascii="Calibri" w:eastAsia="Calibri" w:hAnsi="Calibri"/>
          <w:iCs/>
          <w:sz w:val="22"/>
          <w:szCs w:val="22"/>
        </w:rPr>
      </w:pPr>
    </w:p>
    <w:p w14:paraId="0FFDADF7" w14:textId="4FDB74C0" w:rsidR="00BF0DC4" w:rsidRDefault="00AE5768" w:rsidP="002C16A2">
      <w:pPr>
        <w:jc w:val="center"/>
        <w:rPr>
          <w:rFonts w:eastAsia="Calibri"/>
          <w:szCs w:val="24"/>
          <w:lang w:eastAsia="lt-LT"/>
        </w:rPr>
      </w:pPr>
      <w:r>
        <w:rPr>
          <w:rFonts w:ascii="Calibri" w:eastAsia="Calibri" w:hAnsi="Calibri"/>
          <w:iCs/>
          <w:sz w:val="22"/>
          <w:szCs w:val="22"/>
        </w:rPr>
        <w:t>____________________________</w:t>
      </w:r>
    </w:p>
    <w:sectPr w:rsidR="00BF0DC4" w:rsidSect="003D625E">
      <w:headerReference w:type="even" r:id="rId36"/>
      <w:headerReference w:type="default" r:id="rId37"/>
      <w:footerReference w:type="even" r:id="rId38"/>
      <w:footerReference w:type="default" r:id="rId39"/>
      <w:headerReference w:type="first" r:id="rId40"/>
      <w:footerReference w:type="first" r:id="rId41"/>
      <w:pgSz w:w="11906" w:h="16838"/>
      <w:pgMar w:top="567" w:right="709" w:bottom="1134" w:left="993"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072" w14:textId="77777777" w:rsidR="00AE5768" w:rsidRDefault="00AE5768">
      <w:pPr>
        <w:jc w:val="both"/>
        <w:rPr>
          <w:szCs w:val="24"/>
          <w:lang w:eastAsia="lt-LT"/>
        </w:rPr>
      </w:pPr>
      <w:r>
        <w:rPr>
          <w:szCs w:val="24"/>
          <w:lang w:eastAsia="lt-LT"/>
        </w:rPr>
        <w:separator/>
      </w:r>
    </w:p>
  </w:endnote>
  <w:endnote w:type="continuationSeparator" w:id="0">
    <w:p w14:paraId="3B9DDAC4" w14:textId="77777777" w:rsidR="00AE5768" w:rsidRDefault="00AE5768">
      <w:pPr>
        <w:jc w:val="both"/>
        <w:rPr>
          <w:szCs w:val="24"/>
          <w:lang w:eastAsia="lt-LT"/>
        </w:rPr>
      </w:pPr>
      <w:r>
        <w:rPr>
          <w:szCs w:val="24"/>
          <w:lang w:eastAsia="lt-LT"/>
        </w:rPr>
        <w:continuationSeparator/>
      </w:r>
    </w:p>
  </w:endnote>
  <w:endnote w:type="continuationNotice" w:id="1">
    <w:p w14:paraId="3A815068" w14:textId="77777777" w:rsidR="00AE5768" w:rsidRDefault="00AE5768">
      <w:pPr>
        <w:jc w:val="both"/>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DEE" w14:textId="77777777" w:rsidR="00AE5768" w:rsidRDefault="00AE5768">
    <w:pPr>
      <w:tabs>
        <w:tab w:val="center" w:pos="4819"/>
        <w:tab w:val="right" w:pos="9638"/>
      </w:tabs>
      <w:jc w:val="both"/>
      <w:rPr>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E3A1" w14:textId="77777777" w:rsidR="00AE5768" w:rsidRDefault="00AE5768">
    <w:pPr>
      <w:tabs>
        <w:tab w:val="center" w:pos="4819"/>
        <w:tab w:val="right" w:pos="9638"/>
      </w:tabs>
      <w:jc w:val="both"/>
      <w:rPr>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98C" w14:textId="77777777" w:rsidR="00AE5768" w:rsidRDefault="00AE5768">
    <w:pPr>
      <w:tabs>
        <w:tab w:val="center" w:pos="4819"/>
        <w:tab w:val="right" w:pos="9638"/>
      </w:tabs>
      <w:jc w:val="both"/>
      <w:rPr>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4DEB" w14:textId="77777777" w:rsidR="00AE5768" w:rsidRDefault="00AE5768">
      <w:pPr>
        <w:jc w:val="both"/>
        <w:rPr>
          <w:szCs w:val="24"/>
          <w:lang w:eastAsia="lt-LT"/>
        </w:rPr>
      </w:pPr>
      <w:r>
        <w:rPr>
          <w:szCs w:val="24"/>
          <w:lang w:eastAsia="lt-LT"/>
        </w:rPr>
        <w:separator/>
      </w:r>
    </w:p>
  </w:footnote>
  <w:footnote w:type="continuationSeparator" w:id="0">
    <w:p w14:paraId="11B75043" w14:textId="77777777" w:rsidR="00AE5768" w:rsidRDefault="00AE5768">
      <w:pPr>
        <w:jc w:val="both"/>
        <w:rPr>
          <w:szCs w:val="24"/>
          <w:lang w:eastAsia="lt-LT"/>
        </w:rPr>
      </w:pPr>
      <w:r>
        <w:rPr>
          <w:szCs w:val="24"/>
          <w:lang w:eastAsia="lt-LT"/>
        </w:rPr>
        <w:continuationSeparator/>
      </w:r>
    </w:p>
  </w:footnote>
  <w:footnote w:type="continuationNotice" w:id="1">
    <w:p w14:paraId="44911908" w14:textId="77777777" w:rsidR="00AE5768" w:rsidRDefault="00AE5768">
      <w:pPr>
        <w:jc w:val="both"/>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908" w14:textId="77777777" w:rsidR="00AE5768" w:rsidRDefault="00AE5768">
    <w:pPr>
      <w:tabs>
        <w:tab w:val="center" w:pos="4819"/>
        <w:tab w:val="right" w:pos="9638"/>
      </w:tabs>
      <w:jc w:val="both"/>
      <w:rPr>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75318"/>
      <w:docPartObj>
        <w:docPartGallery w:val="Page Numbers (Top of Page)"/>
        <w:docPartUnique/>
      </w:docPartObj>
    </w:sdtPr>
    <w:sdtEndPr/>
    <w:sdtContent>
      <w:p w14:paraId="286394D7" w14:textId="77777777" w:rsidR="002411A8" w:rsidRDefault="002411A8">
        <w:pPr>
          <w:pStyle w:val="Header"/>
          <w:jc w:val="center"/>
        </w:pPr>
        <w:r>
          <w:fldChar w:fldCharType="begin"/>
        </w:r>
        <w:r>
          <w:instrText>PAGE   \* MERGEFORMAT</w:instrText>
        </w:r>
        <w:r>
          <w:fldChar w:fldCharType="separate"/>
        </w:r>
        <w:r w:rsidR="002B1437">
          <w:rPr>
            <w:noProof/>
          </w:rPr>
          <w:t>3</w:t>
        </w:r>
        <w:r>
          <w:fldChar w:fldCharType="end"/>
        </w:r>
      </w:p>
    </w:sdtContent>
  </w:sdt>
  <w:p w14:paraId="0F51B248" w14:textId="77777777" w:rsidR="00AE5768" w:rsidRDefault="00AE5768">
    <w:pPr>
      <w:tabs>
        <w:tab w:val="center" w:pos="4819"/>
        <w:tab w:val="right" w:pos="9638"/>
      </w:tabs>
      <w:jc w:val="right"/>
      <w:rPr>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35B" w14:textId="77777777" w:rsidR="002411A8" w:rsidRDefault="002411A8">
    <w:pPr>
      <w:pStyle w:val="Header"/>
      <w:jc w:val="center"/>
    </w:pPr>
  </w:p>
  <w:p w14:paraId="0686E0DD" w14:textId="77777777" w:rsidR="00AE5768" w:rsidRDefault="00AE57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42D6E"/>
    <w:rsid w:val="002411A8"/>
    <w:rsid w:val="002B1437"/>
    <w:rsid w:val="002C16A2"/>
    <w:rsid w:val="003D625E"/>
    <w:rsid w:val="0040471A"/>
    <w:rsid w:val="00440BAE"/>
    <w:rsid w:val="0054317F"/>
    <w:rsid w:val="00AA205C"/>
    <w:rsid w:val="00AC4F03"/>
    <w:rsid w:val="00AE5768"/>
    <w:rsid w:val="00B467F2"/>
    <w:rsid w:val="00BF0DC4"/>
    <w:rsid w:val="00F55D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D492"/>
  <w15:docId w15:val="{602C7DAE-C571-43F5-A469-D3D0ED5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5768"/>
    <w:rPr>
      <w:color w:val="808080"/>
    </w:rPr>
  </w:style>
  <w:style w:type="paragraph" w:styleId="Header">
    <w:name w:val="header"/>
    <w:basedOn w:val="Normal"/>
    <w:link w:val="HeaderChar"/>
    <w:uiPriority w:val="99"/>
    <w:unhideWhenUsed/>
    <w:rsid w:val="0040471A"/>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0471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42">
      <w:bodyDiv w:val="1"/>
      <w:marLeft w:val="0"/>
      <w:marRight w:val="0"/>
      <w:marTop w:val="0"/>
      <w:marBottom w:val="0"/>
      <w:divBdr>
        <w:top w:val="none" w:sz="0" w:space="0" w:color="auto"/>
        <w:left w:val="none" w:sz="0" w:space="0" w:color="auto"/>
        <w:bottom w:val="none" w:sz="0" w:space="0" w:color="auto"/>
        <w:right w:val="none" w:sz="0" w:space="0" w:color="auto"/>
      </w:divBdr>
    </w:div>
    <w:div w:id="71314028">
      <w:bodyDiv w:val="1"/>
      <w:marLeft w:val="0"/>
      <w:marRight w:val="0"/>
      <w:marTop w:val="0"/>
      <w:marBottom w:val="0"/>
      <w:divBdr>
        <w:top w:val="none" w:sz="0" w:space="0" w:color="auto"/>
        <w:left w:val="none" w:sz="0" w:space="0" w:color="auto"/>
        <w:bottom w:val="none" w:sz="0" w:space="0" w:color="auto"/>
        <w:right w:val="none" w:sz="0" w:space="0" w:color="auto"/>
      </w:divBdr>
    </w:div>
    <w:div w:id="118229984">
      <w:bodyDiv w:val="1"/>
      <w:marLeft w:val="0"/>
      <w:marRight w:val="0"/>
      <w:marTop w:val="0"/>
      <w:marBottom w:val="0"/>
      <w:divBdr>
        <w:top w:val="none" w:sz="0" w:space="0" w:color="auto"/>
        <w:left w:val="none" w:sz="0" w:space="0" w:color="auto"/>
        <w:bottom w:val="none" w:sz="0" w:space="0" w:color="auto"/>
        <w:right w:val="none" w:sz="0" w:space="0" w:color="auto"/>
      </w:divBdr>
    </w:div>
    <w:div w:id="197398497">
      <w:bodyDiv w:val="1"/>
      <w:marLeft w:val="0"/>
      <w:marRight w:val="0"/>
      <w:marTop w:val="0"/>
      <w:marBottom w:val="0"/>
      <w:divBdr>
        <w:top w:val="none" w:sz="0" w:space="0" w:color="auto"/>
        <w:left w:val="none" w:sz="0" w:space="0" w:color="auto"/>
        <w:bottom w:val="none" w:sz="0" w:space="0" w:color="auto"/>
        <w:right w:val="none" w:sz="0" w:space="0" w:color="auto"/>
      </w:divBdr>
    </w:div>
    <w:div w:id="241451269">
      <w:bodyDiv w:val="1"/>
      <w:marLeft w:val="0"/>
      <w:marRight w:val="0"/>
      <w:marTop w:val="0"/>
      <w:marBottom w:val="0"/>
      <w:divBdr>
        <w:top w:val="none" w:sz="0" w:space="0" w:color="auto"/>
        <w:left w:val="none" w:sz="0" w:space="0" w:color="auto"/>
        <w:bottom w:val="none" w:sz="0" w:space="0" w:color="auto"/>
        <w:right w:val="none" w:sz="0" w:space="0" w:color="auto"/>
      </w:divBdr>
    </w:div>
    <w:div w:id="271668845">
      <w:bodyDiv w:val="1"/>
      <w:marLeft w:val="0"/>
      <w:marRight w:val="0"/>
      <w:marTop w:val="0"/>
      <w:marBottom w:val="0"/>
      <w:divBdr>
        <w:top w:val="none" w:sz="0" w:space="0" w:color="auto"/>
        <w:left w:val="none" w:sz="0" w:space="0" w:color="auto"/>
        <w:bottom w:val="none" w:sz="0" w:space="0" w:color="auto"/>
        <w:right w:val="none" w:sz="0" w:space="0" w:color="auto"/>
      </w:divBdr>
    </w:div>
    <w:div w:id="289019751">
      <w:bodyDiv w:val="1"/>
      <w:marLeft w:val="0"/>
      <w:marRight w:val="0"/>
      <w:marTop w:val="0"/>
      <w:marBottom w:val="0"/>
      <w:divBdr>
        <w:top w:val="none" w:sz="0" w:space="0" w:color="auto"/>
        <w:left w:val="none" w:sz="0" w:space="0" w:color="auto"/>
        <w:bottom w:val="none" w:sz="0" w:space="0" w:color="auto"/>
        <w:right w:val="none" w:sz="0" w:space="0" w:color="auto"/>
      </w:divBdr>
    </w:div>
    <w:div w:id="325401103">
      <w:bodyDiv w:val="1"/>
      <w:marLeft w:val="0"/>
      <w:marRight w:val="0"/>
      <w:marTop w:val="0"/>
      <w:marBottom w:val="0"/>
      <w:divBdr>
        <w:top w:val="none" w:sz="0" w:space="0" w:color="auto"/>
        <w:left w:val="none" w:sz="0" w:space="0" w:color="auto"/>
        <w:bottom w:val="none" w:sz="0" w:space="0" w:color="auto"/>
        <w:right w:val="none" w:sz="0" w:space="0" w:color="auto"/>
      </w:divBdr>
    </w:div>
    <w:div w:id="339161754">
      <w:bodyDiv w:val="1"/>
      <w:marLeft w:val="0"/>
      <w:marRight w:val="0"/>
      <w:marTop w:val="0"/>
      <w:marBottom w:val="0"/>
      <w:divBdr>
        <w:top w:val="none" w:sz="0" w:space="0" w:color="auto"/>
        <w:left w:val="none" w:sz="0" w:space="0" w:color="auto"/>
        <w:bottom w:val="none" w:sz="0" w:space="0" w:color="auto"/>
        <w:right w:val="none" w:sz="0" w:space="0" w:color="auto"/>
      </w:divBdr>
    </w:div>
    <w:div w:id="378631242">
      <w:bodyDiv w:val="1"/>
      <w:marLeft w:val="0"/>
      <w:marRight w:val="0"/>
      <w:marTop w:val="0"/>
      <w:marBottom w:val="0"/>
      <w:divBdr>
        <w:top w:val="none" w:sz="0" w:space="0" w:color="auto"/>
        <w:left w:val="none" w:sz="0" w:space="0" w:color="auto"/>
        <w:bottom w:val="none" w:sz="0" w:space="0" w:color="auto"/>
        <w:right w:val="none" w:sz="0" w:space="0" w:color="auto"/>
      </w:divBdr>
    </w:div>
    <w:div w:id="508524445">
      <w:bodyDiv w:val="1"/>
      <w:marLeft w:val="0"/>
      <w:marRight w:val="0"/>
      <w:marTop w:val="0"/>
      <w:marBottom w:val="0"/>
      <w:divBdr>
        <w:top w:val="none" w:sz="0" w:space="0" w:color="auto"/>
        <w:left w:val="none" w:sz="0" w:space="0" w:color="auto"/>
        <w:bottom w:val="none" w:sz="0" w:space="0" w:color="auto"/>
        <w:right w:val="none" w:sz="0" w:space="0" w:color="auto"/>
      </w:divBdr>
    </w:div>
    <w:div w:id="515577207">
      <w:bodyDiv w:val="1"/>
      <w:marLeft w:val="0"/>
      <w:marRight w:val="0"/>
      <w:marTop w:val="0"/>
      <w:marBottom w:val="0"/>
      <w:divBdr>
        <w:top w:val="none" w:sz="0" w:space="0" w:color="auto"/>
        <w:left w:val="none" w:sz="0" w:space="0" w:color="auto"/>
        <w:bottom w:val="none" w:sz="0" w:space="0" w:color="auto"/>
        <w:right w:val="none" w:sz="0" w:space="0" w:color="auto"/>
      </w:divBdr>
    </w:div>
    <w:div w:id="559751166">
      <w:bodyDiv w:val="1"/>
      <w:marLeft w:val="0"/>
      <w:marRight w:val="0"/>
      <w:marTop w:val="0"/>
      <w:marBottom w:val="0"/>
      <w:divBdr>
        <w:top w:val="none" w:sz="0" w:space="0" w:color="auto"/>
        <w:left w:val="none" w:sz="0" w:space="0" w:color="auto"/>
        <w:bottom w:val="none" w:sz="0" w:space="0" w:color="auto"/>
        <w:right w:val="none" w:sz="0" w:space="0" w:color="auto"/>
      </w:divBdr>
    </w:div>
    <w:div w:id="571618785">
      <w:bodyDiv w:val="1"/>
      <w:marLeft w:val="0"/>
      <w:marRight w:val="0"/>
      <w:marTop w:val="0"/>
      <w:marBottom w:val="0"/>
      <w:divBdr>
        <w:top w:val="none" w:sz="0" w:space="0" w:color="auto"/>
        <w:left w:val="none" w:sz="0" w:space="0" w:color="auto"/>
        <w:bottom w:val="none" w:sz="0" w:space="0" w:color="auto"/>
        <w:right w:val="none" w:sz="0" w:space="0" w:color="auto"/>
      </w:divBdr>
    </w:div>
    <w:div w:id="583803816">
      <w:bodyDiv w:val="1"/>
      <w:marLeft w:val="0"/>
      <w:marRight w:val="0"/>
      <w:marTop w:val="0"/>
      <w:marBottom w:val="0"/>
      <w:divBdr>
        <w:top w:val="none" w:sz="0" w:space="0" w:color="auto"/>
        <w:left w:val="none" w:sz="0" w:space="0" w:color="auto"/>
        <w:bottom w:val="none" w:sz="0" w:space="0" w:color="auto"/>
        <w:right w:val="none" w:sz="0" w:space="0" w:color="auto"/>
      </w:divBdr>
    </w:div>
    <w:div w:id="585118256">
      <w:bodyDiv w:val="1"/>
      <w:marLeft w:val="0"/>
      <w:marRight w:val="0"/>
      <w:marTop w:val="0"/>
      <w:marBottom w:val="0"/>
      <w:divBdr>
        <w:top w:val="none" w:sz="0" w:space="0" w:color="auto"/>
        <w:left w:val="none" w:sz="0" w:space="0" w:color="auto"/>
        <w:bottom w:val="none" w:sz="0" w:space="0" w:color="auto"/>
        <w:right w:val="none" w:sz="0" w:space="0" w:color="auto"/>
      </w:divBdr>
    </w:div>
    <w:div w:id="776213848">
      <w:bodyDiv w:val="1"/>
      <w:marLeft w:val="0"/>
      <w:marRight w:val="0"/>
      <w:marTop w:val="0"/>
      <w:marBottom w:val="0"/>
      <w:divBdr>
        <w:top w:val="none" w:sz="0" w:space="0" w:color="auto"/>
        <w:left w:val="none" w:sz="0" w:space="0" w:color="auto"/>
        <w:bottom w:val="none" w:sz="0" w:space="0" w:color="auto"/>
        <w:right w:val="none" w:sz="0" w:space="0" w:color="auto"/>
      </w:divBdr>
    </w:div>
    <w:div w:id="862477893">
      <w:bodyDiv w:val="1"/>
      <w:marLeft w:val="0"/>
      <w:marRight w:val="0"/>
      <w:marTop w:val="0"/>
      <w:marBottom w:val="0"/>
      <w:divBdr>
        <w:top w:val="none" w:sz="0" w:space="0" w:color="auto"/>
        <w:left w:val="none" w:sz="0" w:space="0" w:color="auto"/>
        <w:bottom w:val="none" w:sz="0" w:space="0" w:color="auto"/>
        <w:right w:val="none" w:sz="0" w:space="0" w:color="auto"/>
      </w:divBdr>
    </w:div>
    <w:div w:id="881595811">
      <w:bodyDiv w:val="1"/>
      <w:marLeft w:val="0"/>
      <w:marRight w:val="0"/>
      <w:marTop w:val="0"/>
      <w:marBottom w:val="0"/>
      <w:divBdr>
        <w:top w:val="none" w:sz="0" w:space="0" w:color="auto"/>
        <w:left w:val="none" w:sz="0" w:space="0" w:color="auto"/>
        <w:bottom w:val="none" w:sz="0" w:space="0" w:color="auto"/>
        <w:right w:val="none" w:sz="0" w:space="0" w:color="auto"/>
      </w:divBdr>
    </w:div>
    <w:div w:id="885994705">
      <w:bodyDiv w:val="1"/>
      <w:marLeft w:val="0"/>
      <w:marRight w:val="0"/>
      <w:marTop w:val="0"/>
      <w:marBottom w:val="0"/>
      <w:divBdr>
        <w:top w:val="none" w:sz="0" w:space="0" w:color="auto"/>
        <w:left w:val="none" w:sz="0" w:space="0" w:color="auto"/>
        <w:bottom w:val="none" w:sz="0" w:space="0" w:color="auto"/>
        <w:right w:val="none" w:sz="0" w:space="0" w:color="auto"/>
      </w:divBdr>
    </w:div>
    <w:div w:id="942688712">
      <w:bodyDiv w:val="1"/>
      <w:marLeft w:val="0"/>
      <w:marRight w:val="0"/>
      <w:marTop w:val="0"/>
      <w:marBottom w:val="0"/>
      <w:divBdr>
        <w:top w:val="none" w:sz="0" w:space="0" w:color="auto"/>
        <w:left w:val="none" w:sz="0" w:space="0" w:color="auto"/>
        <w:bottom w:val="none" w:sz="0" w:space="0" w:color="auto"/>
        <w:right w:val="none" w:sz="0" w:space="0" w:color="auto"/>
      </w:divBdr>
    </w:div>
    <w:div w:id="952975801">
      <w:bodyDiv w:val="1"/>
      <w:marLeft w:val="0"/>
      <w:marRight w:val="0"/>
      <w:marTop w:val="0"/>
      <w:marBottom w:val="0"/>
      <w:divBdr>
        <w:top w:val="none" w:sz="0" w:space="0" w:color="auto"/>
        <w:left w:val="none" w:sz="0" w:space="0" w:color="auto"/>
        <w:bottom w:val="none" w:sz="0" w:space="0" w:color="auto"/>
        <w:right w:val="none" w:sz="0" w:space="0" w:color="auto"/>
      </w:divBdr>
    </w:div>
    <w:div w:id="1128277069">
      <w:bodyDiv w:val="1"/>
      <w:marLeft w:val="0"/>
      <w:marRight w:val="0"/>
      <w:marTop w:val="0"/>
      <w:marBottom w:val="0"/>
      <w:divBdr>
        <w:top w:val="none" w:sz="0" w:space="0" w:color="auto"/>
        <w:left w:val="none" w:sz="0" w:space="0" w:color="auto"/>
        <w:bottom w:val="none" w:sz="0" w:space="0" w:color="auto"/>
        <w:right w:val="none" w:sz="0" w:space="0" w:color="auto"/>
      </w:divBdr>
    </w:div>
    <w:div w:id="1210605193">
      <w:bodyDiv w:val="1"/>
      <w:marLeft w:val="0"/>
      <w:marRight w:val="0"/>
      <w:marTop w:val="0"/>
      <w:marBottom w:val="0"/>
      <w:divBdr>
        <w:top w:val="none" w:sz="0" w:space="0" w:color="auto"/>
        <w:left w:val="none" w:sz="0" w:space="0" w:color="auto"/>
        <w:bottom w:val="none" w:sz="0" w:space="0" w:color="auto"/>
        <w:right w:val="none" w:sz="0" w:space="0" w:color="auto"/>
      </w:divBdr>
    </w:div>
    <w:div w:id="1216970632">
      <w:bodyDiv w:val="1"/>
      <w:marLeft w:val="0"/>
      <w:marRight w:val="0"/>
      <w:marTop w:val="0"/>
      <w:marBottom w:val="0"/>
      <w:divBdr>
        <w:top w:val="none" w:sz="0" w:space="0" w:color="auto"/>
        <w:left w:val="none" w:sz="0" w:space="0" w:color="auto"/>
        <w:bottom w:val="none" w:sz="0" w:space="0" w:color="auto"/>
        <w:right w:val="none" w:sz="0" w:space="0" w:color="auto"/>
      </w:divBdr>
    </w:div>
    <w:div w:id="1318804255">
      <w:bodyDiv w:val="1"/>
      <w:marLeft w:val="0"/>
      <w:marRight w:val="0"/>
      <w:marTop w:val="0"/>
      <w:marBottom w:val="0"/>
      <w:divBdr>
        <w:top w:val="none" w:sz="0" w:space="0" w:color="auto"/>
        <w:left w:val="none" w:sz="0" w:space="0" w:color="auto"/>
        <w:bottom w:val="none" w:sz="0" w:space="0" w:color="auto"/>
        <w:right w:val="none" w:sz="0" w:space="0" w:color="auto"/>
      </w:divBdr>
    </w:div>
    <w:div w:id="1345866302">
      <w:bodyDiv w:val="1"/>
      <w:marLeft w:val="0"/>
      <w:marRight w:val="0"/>
      <w:marTop w:val="0"/>
      <w:marBottom w:val="0"/>
      <w:divBdr>
        <w:top w:val="none" w:sz="0" w:space="0" w:color="auto"/>
        <w:left w:val="none" w:sz="0" w:space="0" w:color="auto"/>
        <w:bottom w:val="none" w:sz="0" w:space="0" w:color="auto"/>
        <w:right w:val="none" w:sz="0" w:space="0" w:color="auto"/>
      </w:divBdr>
    </w:div>
    <w:div w:id="1347755926">
      <w:bodyDiv w:val="1"/>
      <w:marLeft w:val="0"/>
      <w:marRight w:val="0"/>
      <w:marTop w:val="0"/>
      <w:marBottom w:val="0"/>
      <w:divBdr>
        <w:top w:val="none" w:sz="0" w:space="0" w:color="auto"/>
        <w:left w:val="none" w:sz="0" w:space="0" w:color="auto"/>
        <w:bottom w:val="none" w:sz="0" w:space="0" w:color="auto"/>
        <w:right w:val="none" w:sz="0" w:space="0" w:color="auto"/>
      </w:divBdr>
    </w:div>
    <w:div w:id="1357121554">
      <w:bodyDiv w:val="1"/>
      <w:marLeft w:val="0"/>
      <w:marRight w:val="0"/>
      <w:marTop w:val="0"/>
      <w:marBottom w:val="0"/>
      <w:divBdr>
        <w:top w:val="none" w:sz="0" w:space="0" w:color="auto"/>
        <w:left w:val="none" w:sz="0" w:space="0" w:color="auto"/>
        <w:bottom w:val="none" w:sz="0" w:space="0" w:color="auto"/>
        <w:right w:val="none" w:sz="0" w:space="0" w:color="auto"/>
      </w:divBdr>
    </w:div>
    <w:div w:id="1362629737">
      <w:bodyDiv w:val="1"/>
      <w:marLeft w:val="0"/>
      <w:marRight w:val="0"/>
      <w:marTop w:val="0"/>
      <w:marBottom w:val="0"/>
      <w:divBdr>
        <w:top w:val="none" w:sz="0" w:space="0" w:color="auto"/>
        <w:left w:val="none" w:sz="0" w:space="0" w:color="auto"/>
        <w:bottom w:val="none" w:sz="0" w:space="0" w:color="auto"/>
        <w:right w:val="none" w:sz="0" w:space="0" w:color="auto"/>
      </w:divBdr>
    </w:div>
    <w:div w:id="1363819659">
      <w:bodyDiv w:val="1"/>
      <w:marLeft w:val="0"/>
      <w:marRight w:val="0"/>
      <w:marTop w:val="0"/>
      <w:marBottom w:val="0"/>
      <w:divBdr>
        <w:top w:val="none" w:sz="0" w:space="0" w:color="auto"/>
        <w:left w:val="none" w:sz="0" w:space="0" w:color="auto"/>
        <w:bottom w:val="none" w:sz="0" w:space="0" w:color="auto"/>
        <w:right w:val="none" w:sz="0" w:space="0" w:color="auto"/>
      </w:divBdr>
    </w:div>
    <w:div w:id="1465076236">
      <w:bodyDiv w:val="1"/>
      <w:marLeft w:val="0"/>
      <w:marRight w:val="0"/>
      <w:marTop w:val="0"/>
      <w:marBottom w:val="0"/>
      <w:divBdr>
        <w:top w:val="none" w:sz="0" w:space="0" w:color="auto"/>
        <w:left w:val="none" w:sz="0" w:space="0" w:color="auto"/>
        <w:bottom w:val="none" w:sz="0" w:space="0" w:color="auto"/>
        <w:right w:val="none" w:sz="0" w:space="0" w:color="auto"/>
      </w:divBdr>
    </w:div>
    <w:div w:id="1479884691">
      <w:bodyDiv w:val="1"/>
      <w:marLeft w:val="0"/>
      <w:marRight w:val="0"/>
      <w:marTop w:val="0"/>
      <w:marBottom w:val="0"/>
      <w:divBdr>
        <w:top w:val="none" w:sz="0" w:space="0" w:color="auto"/>
        <w:left w:val="none" w:sz="0" w:space="0" w:color="auto"/>
        <w:bottom w:val="none" w:sz="0" w:space="0" w:color="auto"/>
        <w:right w:val="none" w:sz="0" w:space="0" w:color="auto"/>
      </w:divBdr>
    </w:div>
    <w:div w:id="1521822365">
      <w:bodyDiv w:val="1"/>
      <w:marLeft w:val="0"/>
      <w:marRight w:val="0"/>
      <w:marTop w:val="0"/>
      <w:marBottom w:val="0"/>
      <w:divBdr>
        <w:top w:val="none" w:sz="0" w:space="0" w:color="auto"/>
        <w:left w:val="none" w:sz="0" w:space="0" w:color="auto"/>
        <w:bottom w:val="none" w:sz="0" w:space="0" w:color="auto"/>
        <w:right w:val="none" w:sz="0" w:space="0" w:color="auto"/>
      </w:divBdr>
    </w:div>
    <w:div w:id="1529491702">
      <w:bodyDiv w:val="1"/>
      <w:marLeft w:val="0"/>
      <w:marRight w:val="0"/>
      <w:marTop w:val="0"/>
      <w:marBottom w:val="0"/>
      <w:divBdr>
        <w:top w:val="none" w:sz="0" w:space="0" w:color="auto"/>
        <w:left w:val="none" w:sz="0" w:space="0" w:color="auto"/>
        <w:bottom w:val="none" w:sz="0" w:space="0" w:color="auto"/>
        <w:right w:val="none" w:sz="0" w:space="0" w:color="auto"/>
      </w:divBdr>
    </w:div>
    <w:div w:id="1546942326">
      <w:bodyDiv w:val="1"/>
      <w:marLeft w:val="0"/>
      <w:marRight w:val="0"/>
      <w:marTop w:val="0"/>
      <w:marBottom w:val="0"/>
      <w:divBdr>
        <w:top w:val="none" w:sz="0" w:space="0" w:color="auto"/>
        <w:left w:val="none" w:sz="0" w:space="0" w:color="auto"/>
        <w:bottom w:val="none" w:sz="0" w:space="0" w:color="auto"/>
        <w:right w:val="none" w:sz="0" w:space="0" w:color="auto"/>
      </w:divBdr>
    </w:div>
    <w:div w:id="1561556954">
      <w:bodyDiv w:val="1"/>
      <w:marLeft w:val="0"/>
      <w:marRight w:val="0"/>
      <w:marTop w:val="0"/>
      <w:marBottom w:val="0"/>
      <w:divBdr>
        <w:top w:val="none" w:sz="0" w:space="0" w:color="auto"/>
        <w:left w:val="none" w:sz="0" w:space="0" w:color="auto"/>
        <w:bottom w:val="none" w:sz="0" w:space="0" w:color="auto"/>
        <w:right w:val="none" w:sz="0" w:space="0" w:color="auto"/>
      </w:divBdr>
    </w:div>
    <w:div w:id="1624922093">
      <w:bodyDiv w:val="1"/>
      <w:marLeft w:val="0"/>
      <w:marRight w:val="0"/>
      <w:marTop w:val="0"/>
      <w:marBottom w:val="0"/>
      <w:divBdr>
        <w:top w:val="none" w:sz="0" w:space="0" w:color="auto"/>
        <w:left w:val="none" w:sz="0" w:space="0" w:color="auto"/>
        <w:bottom w:val="none" w:sz="0" w:space="0" w:color="auto"/>
        <w:right w:val="none" w:sz="0" w:space="0" w:color="auto"/>
      </w:divBdr>
    </w:div>
    <w:div w:id="1632326142">
      <w:bodyDiv w:val="1"/>
      <w:marLeft w:val="0"/>
      <w:marRight w:val="0"/>
      <w:marTop w:val="0"/>
      <w:marBottom w:val="0"/>
      <w:divBdr>
        <w:top w:val="none" w:sz="0" w:space="0" w:color="auto"/>
        <w:left w:val="none" w:sz="0" w:space="0" w:color="auto"/>
        <w:bottom w:val="none" w:sz="0" w:space="0" w:color="auto"/>
        <w:right w:val="none" w:sz="0" w:space="0" w:color="auto"/>
      </w:divBdr>
    </w:div>
    <w:div w:id="1648978006">
      <w:bodyDiv w:val="1"/>
      <w:marLeft w:val="0"/>
      <w:marRight w:val="0"/>
      <w:marTop w:val="0"/>
      <w:marBottom w:val="0"/>
      <w:divBdr>
        <w:top w:val="none" w:sz="0" w:space="0" w:color="auto"/>
        <w:left w:val="none" w:sz="0" w:space="0" w:color="auto"/>
        <w:bottom w:val="none" w:sz="0" w:space="0" w:color="auto"/>
        <w:right w:val="none" w:sz="0" w:space="0" w:color="auto"/>
      </w:divBdr>
      <w:divsChild>
        <w:div w:id="438136779">
          <w:marLeft w:val="0"/>
          <w:marRight w:val="0"/>
          <w:marTop w:val="0"/>
          <w:marBottom w:val="0"/>
          <w:divBdr>
            <w:top w:val="none" w:sz="0" w:space="0" w:color="auto"/>
            <w:left w:val="none" w:sz="0" w:space="0" w:color="auto"/>
            <w:bottom w:val="none" w:sz="0" w:space="0" w:color="auto"/>
            <w:right w:val="none" w:sz="0" w:space="0" w:color="auto"/>
          </w:divBdr>
          <w:divsChild>
            <w:div w:id="698967981">
              <w:marLeft w:val="0"/>
              <w:marRight w:val="0"/>
              <w:marTop w:val="120"/>
              <w:marBottom w:val="0"/>
              <w:divBdr>
                <w:top w:val="none" w:sz="0" w:space="0" w:color="auto"/>
                <w:left w:val="none" w:sz="0" w:space="0" w:color="auto"/>
                <w:bottom w:val="none" w:sz="0" w:space="0" w:color="auto"/>
                <w:right w:val="none" w:sz="0" w:space="0" w:color="auto"/>
              </w:divBdr>
            </w:div>
            <w:div w:id="1822384903">
              <w:marLeft w:val="0"/>
              <w:marRight w:val="0"/>
              <w:marTop w:val="0"/>
              <w:marBottom w:val="0"/>
              <w:divBdr>
                <w:top w:val="none" w:sz="0" w:space="0" w:color="auto"/>
                <w:left w:val="none" w:sz="0" w:space="0" w:color="auto"/>
                <w:bottom w:val="none" w:sz="0" w:space="0" w:color="auto"/>
                <w:right w:val="none" w:sz="0" w:space="0" w:color="auto"/>
              </w:divBdr>
            </w:div>
          </w:divsChild>
        </w:div>
        <w:div w:id="1128620570">
          <w:marLeft w:val="0"/>
          <w:marRight w:val="0"/>
          <w:marTop w:val="0"/>
          <w:marBottom w:val="0"/>
          <w:divBdr>
            <w:top w:val="none" w:sz="0" w:space="0" w:color="auto"/>
            <w:left w:val="none" w:sz="0" w:space="0" w:color="auto"/>
            <w:bottom w:val="none" w:sz="0" w:space="0" w:color="auto"/>
            <w:right w:val="none" w:sz="0" w:space="0" w:color="auto"/>
          </w:divBdr>
          <w:divsChild>
            <w:div w:id="1905673408">
              <w:marLeft w:val="0"/>
              <w:marRight w:val="0"/>
              <w:marTop w:val="120"/>
              <w:marBottom w:val="0"/>
              <w:divBdr>
                <w:top w:val="none" w:sz="0" w:space="0" w:color="auto"/>
                <w:left w:val="none" w:sz="0" w:space="0" w:color="auto"/>
                <w:bottom w:val="none" w:sz="0" w:space="0" w:color="auto"/>
                <w:right w:val="none" w:sz="0" w:space="0" w:color="auto"/>
              </w:divBdr>
            </w:div>
            <w:div w:id="518007339">
              <w:marLeft w:val="0"/>
              <w:marRight w:val="0"/>
              <w:marTop w:val="0"/>
              <w:marBottom w:val="0"/>
              <w:divBdr>
                <w:top w:val="none" w:sz="0" w:space="0" w:color="auto"/>
                <w:left w:val="none" w:sz="0" w:space="0" w:color="auto"/>
                <w:bottom w:val="none" w:sz="0" w:space="0" w:color="auto"/>
                <w:right w:val="none" w:sz="0" w:space="0" w:color="auto"/>
              </w:divBdr>
            </w:div>
          </w:divsChild>
        </w:div>
        <w:div w:id="1903632523">
          <w:marLeft w:val="0"/>
          <w:marRight w:val="0"/>
          <w:marTop w:val="0"/>
          <w:marBottom w:val="0"/>
          <w:divBdr>
            <w:top w:val="none" w:sz="0" w:space="0" w:color="auto"/>
            <w:left w:val="none" w:sz="0" w:space="0" w:color="auto"/>
            <w:bottom w:val="none" w:sz="0" w:space="0" w:color="auto"/>
            <w:right w:val="none" w:sz="0" w:space="0" w:color="auto"/>
          </w:divBdr>
          <w:divsChild>
            <w:div w:id="392437487">
              <w:marLeft w:val="0"/>
              <w:marRight w:val="0"/>
              <w:marTop w:val="120"/>
              <w:marBottom w:val="0"/>
              <w:divBdr>
                <w:top w:val="none" w:sz="0" w:space="0" w:color="auto"/>
                <w:left w:val="none" w:sz="0" w:space="0" w:color="auto"/>
                <w:bottom w:val="none" w:sz="0" w:space="0" w:color="auto"/>
                <w:right w:val="none" w:sz="0" w:space="0" w:color="auto"/>
              </w:divBdr>
            </w:div>
            <w:div w:id="1228567700">
              <w:marLeft w:val="0"/>
              <w:marRight w:val="0"/>
              <w:marTop w:val="0"/>
              <w:marBottom w:val="0"/>
              <w:divBdr>
                <w:top w:val="none" w:sz="0" w:space="0" w:color="auto"/>
                <w:left w:val="none" w:sz="0" w:space="0" w:color="auto"/>
                <w:bottom w:val="none" w:sz="0" w:space="0" w:color="auto"/>
                <w:right w:val="none" w:sz="0" w:space="0" w:color="auto"/>
              </w:divBdr>
            </w:div>
          </w:divsChild>
        </w:div>
        <w:div w:id="458845703">
          <w:marLeft w:val="0"/>
          <w:marRight w:val="0"/>
          <w:marTop w:val="0"/>
          <w:marBottom w:val="0"/>
          <w:divBdr>
            <w:top w:val="none" w:sz="0" w:space="0" w:color="auto"/>
            <w:left w:val="none" w:sz="0" w:space="0" w:color="auto"/>
            <w:bottom w:val="none" w:sz="0" w:space="0" w:color="auto"/>
            <w:right w:val="none" w:sz="0" w:space="0" w:color="auto"/>
          </w:divBdr>
          <w:divsChild>
            <w:div w:id="2145853280">
              <w:marLeft w:val="0"/>
              <w:marRight w:val="0"/>
              <w:marTop w:val="120"/>
              <w:marBottom w:val="0"/>
              <w:divBdr>
                <w:top w:val="none" w:sz="0" w:space="0" w:color="auto"/>
                <w:left w:val="none" w:sz="0" w:space="0" w:color="auto"/>
                <w:bottom w:val="none" w:sz="0" w:space="0" w:color="auto"/>
                <w:right w:val="none" w:sz="0" w:space="0" w:color="auto"/>
              </w:divBdr>
            </w:div>
            <w:div w:id="890724716">
              <w:marLeft w:val="0"/>
              <w:marRight w:val="0"/>
              <w:marTop w:val="0"/>
              <w:marBottom w:val="0"/>
              <w:divBdr>
                <w:top w:val="none" w:sz="0" w:space="0" w:color="auto"/>
                <w:left w:val="none" w:sz="0" w:space="0" w:color="auto"/>
                <w:bottom w:val="none" w:sz="0" w:space="0" w:color="auto"/>
                <w:right w:val="none" w:sz="0" w:space="0" w:color="auto"/>
              </w:divBdr>
            </w:div>
          </w:divsChild>
        </w:div>
        <w:div w:id="287901262">
          <w:marLeft w:val="0"/>
          <w:marRight w:val="0"/>
          <w:marTop w:val="0"/>
          <w:marBottom w:val="0"/>
          <w:divBdr>
            <w:top w:val="none" w:sz="0" w:space="0" w:color="auto"/>
            <w:left w:val="none" w:sz="0" w:space="0" w:color="auto"/>
            <w:bottom w:val="none" w:sz="0" w:space="0" w:color="auto"/>
            <w:right w:val="none" w:sz="0" w:space="0" w:color="auto"/>
          </w:divBdr>
          <w:divsChild>
            <w:div w:id="880897750">
              <w:marLeft w:val="0"/>
              <w:marRight w:val="0"/>
              <w:marTop w:val="120"/>
              <w:marBottom w:val="0"/>
              <w:divBdr>
                <w:top w:val="none" w:sz="0" w:space="0" w:color="auto"/>
                <w:left w:val="none" w:sz="0" w:space="0" w:color="auto"/>
                <w:bottom w:val="none" w:sz="0" w:space="0" w:color="auto"/>
                <w:right w:val="none" w:sz="0" w:space="0" w:color="auto"/>
              </w:divBdr>
            </w:div>
            <w:div w:id="544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393">
      <w:bodyDiv w:val="1"/>
      <w:marLeft w:val="0"/>
      <w:marRight w:val="0"/>
      <w:marTop w:val="0"/>
      <w:marBottom w:val="0"/>
      <w:divBdr>
        <w:top w:val="none" w:sz="0" w:space="0" w:color="auto"/>
        <w:left w:val="none" w:sz="0" w:space="0" w:color="auto"/>
        <w:bottom w:val="none" w:sz="0" w:space="0" w:color="auto"/>
        <w:right w:val="none" w:sz="0" w:space="0" w:color="auto"/>
      </w:divBdr>
    </w:div>
    <w:div w:id="1719478340">
      <w:bodyDiv w:val="1"/>
      <w:marLeft w:val="0"/>
      <w:marRight w:val="0"/>
      <w:marTop w:val="0"/>
      <w:marBottom w:val="0"/>
      <w:divBdr>
        <w:top w:val="none" w:sz="0" w:space="0" w:color="auto"/>
        <w:left w:val="none" w:sz="0" w:space="0" w:color="auto"/>
        <w:bottom w:val="none" w:sz="0" w:space="0" w:color="auto"/>
        <w:right w:val="none" w:sz="0" w:space="0" w:color="auto"/>
      </w:divBdr>
    </w:div>
    <w:div w:id="1732579200">
      <w:bodyDiv w:val="1"/>
      <w:marLeft w:val="0"/>
      <w:marRight w:val="0"/>
      <w:marTop w:val="0"/>
      <w:marBottom w:val="0"/>
      <w:divBdr>
        <w:top w:val="none" w:sz="0" w:space="0" w:color="auto"/>
        <w:left w:val="none" w:sz="0" w:space="0" w:color="auto"/>
        <w:bottom w:val="none" w:sz="0" w:space="0" w:color="auto"/>
        <w:right w:val="none" w:sz="0" w:space="0" w:color="auto"/>
      </w:divBdr>
    </w:div>
    <w:div w:id="1834180453">
      <w:bodyDiv w:val="1"/>
      <w:marLeft w:val="0"/>
      <w:marRight w:val="0"/>
      <w:marTop w:val="0"/>
      <w:marBottom w:val="0"/>
      <w:divBdr>
        <w:top w:val="none" w:sz="0" w:space="0" w:color="auto"/>
        <w:left w:val="none" w:sz="0" w:space="0" w:color="auto"/>
        <w:bottom w:val="none" w:sz="0" w:space="0" w:color="auto"/>
        <w:right w:val="none" w:sz="0" w:space="0" w:color="auto"/>
      </w:divBdr>
    </w:div>
    <w:div w:id="1879780086">
      <w:bodyDiv w:val="1"/>
      <w:marLeft w:val="0"/>
      <w:marRight w:val="0"/>
      <w:marTop w:val="0"/>
      <w:marBottom w:val="0"/>
      <w:divBdr>
        <w:top w:val="none" w:sz="0" w:space="0" w:color="auto"/>
        <w:left w:val="none" w:sz="0" w:space="0" w:color="auto"/>
        <w:bottom w:val="none" w:sz="0" w:space="0" w:color="auto"/>
        <w:right w:val="none" w:sz="0" w:space="0" w:color="auto"/>
      </w:divBdr>
    </w:div>
    <w:div w:id="1917322292">
      <w:bodyDiv w:val="1"/>
      <w:marLeft w:val="0"/>
      <w:marRight w:val="0"/>
      <w:marTop w:val="0"/>
      <w:marBottom w:val="0"/>
      <w:divBdr>
        <w:top w:val="none" w:sz="0" w:space="0" w:color="auto"/>
        <w:left w:val="none" w:sz="0" w:space="0" w:color="auto"/>
        <w:bottom w:val="none" w:sz="0" w:space="0" w:color="auto"/>
        <w:right w:val="none" w:sz="0" w:space="0" w:color="auto"/>
      </w:divBdr>
    </w:div>
    <w:div w:id="1942488869">
      <w:bodyDiv w:val="1"/>
      <w:marLeft w:val="0"/>
      <w:marRight w:val="0"/>
      <w:marTop w:val="0"/>
      <w:marBottom w:val="0"/>
      <w:divBdr>
        <w:top w:val="none" w:sz="0" w:space="0" w:color="auto"/>
        <w:left w:val="none" w:sz="0" w:space="0" w:color="auto"/>
        <w:bottom w:val="none" w:sz="0" w:space="0" w:color="auto"/>
        <w:right w:val="none" w:sz="0" w:space="0" w:color="auto"/>
      </w:divBdr>
    </w:div>
    <w:div w:id="1943218463">
      <w:bodyDiv w:val="1"/>
      <w:marLeft w:val="0"/>
      <w:marRight w:val="0"/>
      <w:marTop w:val="0"/>
      <w:marBottom w:val="0"/>
      <w:divBdr>
        <w:top w:val="none" w:sz="0" w:space="0" w:color="auto"/>
        <w:left w:val="none" w:sz="0" w:space="0" w:color="auto"/>
        <w:bottom w:val="none" w:sz="0" w:space="0" w:color="auto"/>
        <w:right w:val="none" w:sz="0" w:space="0" w:color="auto"/>
      </w:divBdr>
    </w:div>
    <w:div w:id="1980063864">
      <w:bodyDiv w:val="1"/>
      <w:marLeft w:val="0"/>
      <w:marRight w:val="0"/>
      <w:marTop w:val="0"/>
      <w:marBottom w:val="0"/>
      <w:divBdr>
        <w:top w:val="none" w:sz="0" w:space="0" w:color="auto"/>
        <w:left w:val="none" w:sz="0" w:space="0" w:color="auto"/>
        <w:bottom w:val="none" w:sz="0" w:space="0" w:color="auto"/>
        <w:right w:val="none" w:sz="0" w:space="0" w:color="auto"/>
      </w:divBdr>
    </w:div>
    <w:div w:id="2012678714">
      <w:bodyDiv w:val="1"/>
      <w:marLeft w:val="0"/>
      <w:marRight w:val="0"/>
      <w:marTop w:val="0"/>
      <w:marBottom w:val="0"/>
      <w:divBdr>
        <w:top w:val="none" w:sz="0" w:space="0" w:color="auto"/>
        <w:left w:val="none" w:sz="0" w:space="0" w:color="auto"/>
        <w:bottom w:val="none" w:sz="0" w:space="0" w:color="auto"/>
        <w:right w:val="none" w:sz="0" w:space="0" w:color="auto"/>
      </w:divBdr>
    </w:div>
    <w:div w:id="2043557512">
      <w:bodyDiv w:val="1"/>
      <w:marLeft w:val="0"/>
      <w:marRight w:val="0"/>
      <w:marTop w:val="0"/>
      <w:marBottom w:val="0"/>
      <w:divBdr>
        <w:top w:val="none" w:sz="0" w:space="0" w:color="auto"/>
        <w:left w:val="none" w:sz="0" w:space="0" w:color="auto"/>
        <w:bottom w:val="none" w:sz="0" w:space="0" w:color="auto"/>
        <w:right w:val="none" w:sz="0" w:space="0" w:color="auto"/>
      </w:divBdr>
    </w:div>
    <w:div w:id="210942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09L0125&amp;locale=lt" TargetMode="External"/><Relationship Id="rId18" Type="http://schemas.openxmlformats.org/officeDocument/2006/relationships/hyperlink" Target="http://eur-lex.europa.eu/legal-content/LIT/TXT/?uri=CELEX:31994D0003&amp;locale=lt" TargetMode="External"/><Relationship Id="rId26" Type="http://schemas.openxmlformats.org/officeDocument/2006/relationships/hyperlink" Target="http://eur-lex.europa.eu/legal-content/LIT/TXT/?uri=CELEX:31999L0045&amp;locale=lt" TargetMode="External"/><Relationship Id="rId39" Type="http://schemas.openxmlformats.org/officeDocument/2006/relationships/footer" Target="footer2.xml"/><Relationship Id="rId21" Type="http://schemas.openxmlformats.org/officeDocument/2006/relationships/hyperlink" Target="http://eur-lex.europa.eu/legal-content/LIT/TXT/?uri=CELEX:31991L0698&amp;locale=lt" TargetMode="External"/><Relationship Id="rId34" Type="http://schemas.openxmlformats.org/officeDocument/2006/relationships/hyperlink" Target="http://eur-lex.europa.eu/legal-content/LIT/TXT/?uri=CELEX:32014R0651&amp;locale=lt"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ur-lex.europa.eu/legal-content/LIT/TXT/?uri=CELEX:32021R2139&amp;locale=lt" TargetMode="External"/><Relationship Id="rId20" Type="http://schemas.openxmlformats.org/officeDocument/2006/relationships/hyperlink" Target="http://eur-lex.europa.eu/legal-content/LIT/TXT/?uri=CELEX:31994D0904&amp;locale=lt" TargetMode="External"/><Relationship Id="rId29" Type="http://schemas.openxmlformats.org/officeDocument/2006/relationships/hyperlink" Target="http://eur-lex.europa.eu/legal-content/LIT/TXT/?uri=CELEX:31976L0769&amp;locale=l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0R0852&amp;locale=lt" TargetMode="External"/><Relationship Id="rId24" Type="http://schemas.openxmlformats.org/officeDocument/2006/relationships/hyperlink" Target="http://eur-lex.europa.eu/legal-content/LIT/TXT/?uri=CELEX:32021R2139&amp;locale=lt" TargetMode="External"/><Relationship Id="rId32" Type="http://schemas.openxmlformats.org/officeDocument/2006/relationships/hyperlink" Target="http://eur-lex.europa.eu/legal-content/LIT/TXT/?uri=CELEX:32000L0021&amp;locale=lt"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eur-lex.europa.eu/legal-content/LIT/TXT/?uri=CELEX:32021R2139&amp;locale=lt" TargetMode="External"/><Relationship Id="rId23" Type="http://schemas.openxmlformats.org/officeDocument/2006/relationships/hyperlink" Target="http://eur-lex.europa.eu/legal-content/LIT/TXT/?uri=CELEX:32021R2139&amp;locale=lt" TargetMode="External"/><Relationship Id="rId28" Type="http://schemas.openxmlformats.org/officeDocument/2006/relationships/hyperlink" Target="http://eur-lex.europa.eu/legal-content/LIT/TXT/?uri=CELEX:31994R1488&amp;locale=lt" TargetMode="External"/><Relationship Id="rId36" Type="http://schemas.openxmlformats.org/officeDocument/2006/relationships/header" Target="header1.xml"/><Relationship Id="rId10" Type="http://schemas.openxmlformats.org/officeDocument/2006/relationships/hyperlink" Target="http://eur-lex.europa.eu/legal-content/LIT/TXT/?uri=CELEX:32021R2139&amp;locale=lt" TargetMode="External"/><Relationship Id="rId19" Type="http://schemas.openxmlformats.org/officeDocument/2006/relationships/hyperlink" Target="http://eur-lex.europa.eu/legal-content/LIT/TXT/?uri=CELEX:31975L0442&amp;locale=lt" TargetMode="External"/><Relationship Id="rId31" Type="http://schemas.openxmlformats.org/officeDocument/2006/relationships/hyperlink" Target="http://eur-lex.europa.eu/legal-content/LIT/TXT/?uri=CELEX:31993L0105&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1L0065&amp;locale=lt" TargetMode="External"/><Relationship Id="rId22" Type="http://schemas.openxmlformats.org/officeDocument/2006/relationships/hyperlink" Target="http://eur-lex.europa.eu/legal-content/LIT/TXT/?uri=CELEX:32018L0844&amp;locale=lt" TargetMode="External"/><Relationship Id="rId27" Type="http://schemas.openxmlformats.org/officeDocument/2006/relationships/hyperlink" Target="http://eur-lex.europa.eu/legal-content/LIT/TXT/?uri=CELEX:31993R0793&amp;locale=lt" TargetMode="External"/><Relationship Id="rId30" Type="http://schemas.openxmlformats.org/officeDocument/2006/relationships/hyperlink" Target="http://eur-lex.europa.eu/legal-content/LIT/TXT/?uri=CELEX:31991L0155&amp;locale=lt" TargetMode="External"/><Relationship Id="rId35" Type="http://schemas.openxmlformats.org/officeDocument/2006/relationships/hyperlink" Target="http://eur-lex.europa.eu/legal-content/LIT/TXT/?uri=CELEX:32021R2139&amp;locale=lt"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ur-lex.europa.eu/legal-content/LIT/TXT/?uri=CELEX:32021R2139&amp;locale=lt" TargetMode="External"/><Relationship Id="rId17" Type="http://schemas.openxmlformats.org/officeDocument/2006/relationships/hyperlink" Target="http://eur-lex.europa.eu/legal-content/LIT/TXT/?uri=CELEX:32000D0532&amp;locale=lt" TargetMode="External"/><Relationship Id="rId25" Type="http://schemas.openxmlformats.org/officeDocument/2006/relationships/hyperlink" Target="http://eur-lex.europa.eu/legal-content/LIT/TXT/?uri=CELEX:32006R1907&amp;locale=lt" TargetMode="External"/><Relationship Id="rId33" Type="http://schemas.openxmlformats.org/officeDocument/2006/relationships/hyperlink" Target="http://eur-lex.europa.eu/legal-content/LIT/TXT/?uri=CELEX:32018L2001&amp;locale=lt"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Kultūros projektų skyrius|6e54f30f-9418-4d50-924b-311e9e648bdc;Finansų skyrius|7d9d544b-d496-4126-a894-fd0e68da2d8e;Procesų valdymo skyrius|1d2453fc-c175-46b4-b9fe-6151c1a059d8</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A4983-B9B3-4722-B6D6-B6D174D216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2993CD6B-DF7D-4D4C-8B48-70FDB90E6B06}">
  <ds:schemaRefs>
    <ds:schemaRef ds:uri="http://schemas.openxmlformats.org/officeDocument/2006/bibliography"/>
  </ds:schemaRefs>
</ds:datastoreItem>
</file>

<file path=customXml/itemProps3.xml><?xml version="1.0" encoding="utf-8"?>
<ds:datastoreItem xmlns:ds="http://schemas.openxmlformats.org/officeDocument/2006/customXml" ds:itemID="{10214B7A-B2B6-4B9A-B1E0-AD07675C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F7B79-6744-48D5-BDFA-1B72A197F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11508</Words>
  <Characters>6561</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projektas</vt:lpstr>
      <vt:lpstr>PFSA projektas</vt:lpstr>
    </vt:vector>
  </TitlesOfParts>
  <Company/>
  <LinksUpToDate>false</LinksUpToDate>
  <CharactersWithSpaces>18033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projektas</dc:title>
  <dc:creator>Aida Balčiūnaitė</dc:creator>
  <cp:lastModifiedBy>Simona Žilakauskienė</cp:lastModifiedBy>
  <cp:revision>5</cp:revision>
  <cp:lastPrinted>2025-05-12T06:00:00Z</cp:lastPrinted>
  <dcterms:created xsi:type="dcterms:W3CDTF">2025-12-11T10:52:00Z</dcterms:created>
  <dcterms:modified xsi:type="dcterms:W3CDTF">2025-12-11T11:37:00Z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62;#Finansų skyrius|7d9d544b-d496-4126-a894-fd0e68da2d8e;#3308;#Procesų valdymo skyrius|1d2453fc-c175-46b4-b9fe-6151c1a059d8;#646;#Kultūros projektų skyrius|6e54f30f-9418-4d50-924b-311e9e648bdc</vt:lpwstr>
  </property>
  <property fmtid="{D5CDD505-2E9C-101B-9397-08002B2CF9AE}" pid="3" name="MediaServiceImageTags">
    <vt:lpwstr>
    </vt:lpwstr>
  </property>
  <property fmtid="{D5CDD505-2E9C-101B-9397-08002B2CF9AE}" pid="4" name="DmsPermissionsFlags">
    <vt:lpwstr>,SECTRUE,</vt:lpwstr>
  </property>
  <property fmtid="{D5CDD505-2E9C-101B-9397-08002B2CF9AE}" pid="5" name="DmsPermissionsDivisions">
    <vt:lpwstr>646;#Kultūros projektų skyrius|6e54f30f-9418-4d50-924b-311e9e648bdc</vt:lpwstr>
  </property>
  <property fmtid="{D5CDD505-2E9C-101B-9397-08002B2CF9AE}" pid="6" name="ContentTypeId">
    <vt:lpwstr>0x010100D76F90AF19434866994CD715ED8FEE4200712820E1B0DE314FBCE77D75ADAD206D</vt:lpwstr>
  </property>
  <property fmtid="{D5CDD505-2E9C-101B-9397-08002B2CF9AE}" pid="7" name="DmsPermissionsUsers">
    <vt:lpwstr>1086;#Neringa Andrulienė;#161;#Eugenija Babič</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