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ADE" w:rsidRDefault="00695ADE" w:rsidP="00695ADE">
      <w:pPr>
        <w:ind w:left="9639"/>
        <w:jc w:val="both"/>
        <w:rPr>
          <w:bCs/>
          <w:szCs w:val="24"/>
        </w:rPr>
      </w:pPr>
      <w:r>
        <w:rPr>
          <w:bCs/>
          <w:szCs w:val="24"/>
        </w:rPr>
        <w:t>2022–2030 m. plėtros programos valdytojos Lietuvos Respublikos švietimo, mokslo ir sporto ministerijos mokslo plėtros programos pažangos priemonės Nr. 12-001-01-02-01 „Stiprinti inovacijų ekosistemas mokslo centruose“</w:t>
      </w:r>
    </w:p>
    <w:p w:rsidR="00695ADE" w:rsidRDefault="00695ADE" w:rsidP="00695ADE">
      <w:pPr>
        <w:ind w:left="9639"/>
        <w:jc w:val="both"/>
        <w:rPr>
          <w:szCs w:val="24"/>
        </w:rPr>
      </w:pPr>
      <w:r w:rsidRPr="006B470D">
        <w:rPr>
          <w:szCs w:val="24"/>
        </w:rPr>
        <w:t>1</w:t>
      </w:r>
      <w:r w:rsidR="009A089E" w:rsidRPr="006B470D">
        <w:rPr>
          <w:szCs w:val="24"/>
        </w:rPr>
        <w:t>8</w:t>
      </w:r>
      <w:r>
        <w:rPr>
          <w:szCs w:val="24"/>
        </w:rPr>
        <w:t xml:space="preserve"> priedas</w:t>
      </w:r>
    </w:p>
    <w:p w:rsidR="00EB0F8F" w:rsidRDefault="00EB0F8F">
      <w:pPr>
        <w:jc w:val="center"/>
        <w:rPr>
          <w:iCs/>
          <w:szCs w:val="24"/>
        </w:rPr>
      </w:pPr>
    </w:p>
    <w:p w:rsidR="00EB0F8F" w:rsidRPr="006010DA" w:rsidRDefault="00EB0F8F">
      <w:pPr>
        <w:jc w:val="center"/>
        <w:rPr>
          <w:b/>
          <w:i/>
          <w:szCs w:val="24"/>
        </w:rPr>
      </w:pPr>
    </w:p>
    <w:p w:rsidR="00416F3B" w:rsidRDefault="00416F3B" w:rsidP="00416F3B">
      <w:pPr>
        <w:jc w:val="center"/>
        <w:rPr>
          <w:szCs w:val="24"/>
        </w:rPr>
      </w:pPr>
      <w:r>
        <w:rPr>
          <w:b/>
          <w:bCs/>
          <w:szCs w:val="24"/>
        </w:rPr>
        <w:t xml:space="preserve">2022–2030 M. PLĖTROS PROGRAMOS VALDYTOJOS LIETUVOS RESPUBLIKOS ŠVIETIMO, MOKSLO IR SPORTO MINISTERIJOS MOKSLO PLĖTROS PROGRAMOS PAŽANGOS PRIEMONĖS NR. 12-001-01-02-01 „STIPRINTI </w:t>
      </w:r>
      <w:r w:rsidRPr="00055FC7">
        <w:rPr>
          <w:b/>
          <w:bCs/>
          <w:szCs w:val="24"/>
        </w:rPr>
        <w:t xml:space="preserve">INOVACIJŲ EKOSISTEMAS MOKSLO CENTRUOSE“ PROJEKTŲ FINANSAVIMO SĄLYGŲ APRAŠAS NR. </w:t>
      </w:r>
      <w:r w:rsidRPr="006B470D">
        <w:rPr>
          <w:b/>
          <w:bCs/>
          <w:szCs w:val="24"/>
        </w:rPr>
        <w:t>1</w:t>
      </w:r>
      <w:r w:rsidR="00BD0DCA" w:rsidRPr="006B470D">
        <w:rPr>
          <w:b/>
          <w:bCs/>
          <w:szCs w:val="24"/>
        </w:rPr>
        <w:t>7</w:t>
      </w:r>
    </w:p>
    <w:p w:rsidR="00EB0F8F" w:rsidRDefault="00EB0F8F">
      <w:pPr>
        <w:rPr>
          <w:bCs/>
          <w:i/>
          <w:szCs w:val="24"/>
        </w:rPr>
      </w:pPr>
    </w:p>
    <w:p w:rsidR="0091408F" w:rsidRPr="001A6ED3" w:rsidRDefault="0091408F">
      <w:pPr>
        <w:rPr>
          <w:bCs/>
          <w:i/>
          <w:szCs w:val="24"/>
        </w:rPr>
      </w:pPr>
    </w:p>
    <w:p w:rsidR="001A6ED3" w:rsidRPr="006010DA" w:rsidRDefault="001A6ED3" w:rsidP="001A6ED3">
      <w:pPr>
        <w:spacing w:line="259" w:lineRule="auto"/>
        <w:jc w:val="center"/>
        <w:rPr>
          <w:b/>
          <w:bCs/>
        </w:rPr>
      </w:pPr>
      <w:r w:rsidRPr="006010DA">
        <w:rPr>
          <w:b/>
          <w:bCs/>
        </w:rPr>
        <w:t>I SKYRIUS</w:t>
      </w:r>
    </w:p>
    <w:p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rsidRPr="00864A70" w:rsidTr="009D596A">
        <w:tc>
          <w:tcPr>
            <w:tcW w:w="15155" w:type="dxa"/>
            <w:gridSpan w:val="13"/>
            <w:vAlign w:val="center"/>
          </w:tcPr>
          <w:p w:rsidR="00EB0F8F" w:rsidRPr="008642AE" w:rsidRDefault="00DC6D2E" w:rsidP="0040525E">
            <w:pPr>
              <w:pStyle w:val="ListParagraph"/>
              <w:numPr>
                <w:ilvl w:val="0"/>
                <w:numId w:val="5"/>
              </w:numPr>
              <w:tabs>
                <w:tab w:val="left" w:pos="300"/>
              </w:tabs>
              <w:ind w:left="0" w:firstLine="0"/>
              <w:jc w:val="both"/>
              <w:rPr>
                <w:b/>
                <w:sz w:val="22"/>
                <w:szCs w:val="22"/>
              </w:rPr>
            </w:pPr>
            <w:r w:rsidRPr="008642AE">
              <w:rPr>
                <w:b/>
                <w:sz w:val="22"/>
                <w:szCs w:val="22"/>
              </w:rPr>
              <w:t>Veiklos ar poveiklės, kurioms nustatomos projektų finansavimo sąlygos</w:t>
            </w:r>
          </w:p>
        </w:tc>
      </w:tr>
      <w:tr w:rsidR="00EB0F8F" w:rsidRPr="00864A70">
        <w:tc>
          <w:tcPr>
            <w:tcW w:w="1110" w:type="dxa"/>
            <w:vAlign w:val="center"/>
          </w:tcPr>
          <w:p w:rsidR="00EB0F8F" w:rsidRPr="00864A70" w:rsidRDefault="00C222C1">
            <w:pPr>
              <w:jc w:val="center"/>
              <w:rPr>
                <w:b/>
                <w:sz w:val="22"/>
                <w:szCs w:val="22"/>
              </w:rPr>
            </w:pPr>
            <w:r w:rsidRPr="00864A70">
              <w:rPr>
                <w:b/>
                <w:sz w:val="22"/>
                <w:szCs w:val="22"/>
              </w:rPr>
              <w:t xml:space="preserve">Veiklos ar poveiklės </w:t>
            </w:r>
            <w:r w:rsidR="00B6590D" w:rsidRPr="00864A70">
              <w:rPr>
                <w:b/>
                <w:color w:val="000000" w:themeColor="text1"/>
                <w:sz w:val="22"/>
                <w:szCs w:val="22"/>
              </w:rPr>
              <w:t xml:space="preserve">numeris ir </w:t>
            </w:r>
            <w:r w:rsidRPr="00864A70">
              <w:rPr>
                <w:b/>
                <w:sz w:val="22"/>
                <w:szCs w:val="22"/>
              </w:rPr>
              <w:t>pavadini-mas</w:t>
            </w:r>
          </w:p>
        </w:tc>
        <w:tc>
          <w:tcPr>
            <w:tcW w:w="1125" w:type="dxa"/>
            <w:vAlign w:val="center"/>
          </w:tcPr>
          <w:p w:rsidR="00EB0F8F" w:rsidRPr="00864A70" w:rsidRDefault="00C222C1">
            <w:pPr>
              <w:jc w:val="center"/>
              <w:rPr>
                <w:b/>
                <w:sz w:val="22"/>
                <w:szCs w:val="22"/>
              </w:rPr>
            </w:pPr>
            <w:r w:rsidRPr="00864A70">
              <w:rPr>
                <w:b/>
                <w:sz w:val="22"/>
                <w:szCs w:val="22"/>
              </w:rPr>
              <w:t>Finansa-vimo šaltinis</w:t>
            </w:r>
          </w:p>
        </w:tc>
        <w:tc>
          <w:tcPr>
            <w:tcW w:w="1236" w:type="dxa"/>
            <w:vAlign w:val="center"/>
          </w:tcPr>
          <w:p w:rsidR="00EB0F8F" w:rsidRPr="00864A70" w:rsidRDefault="00C222C1">
            <w:pPr>
              <w:jc w:val="center"/>
              <w:rPr>
                <w:b/>
                <w:sz w:val="22"/>
                <w:szCs w:val="22"/>
              </w:rPr>
            </w:pPr>
            <w:r w:rsidRPr="00864A70">
              <w:rPr>
                <w:b/>
                <w:sz w:val="22"/>
                <w:szCs w:val="22"/>
              </w:rPr>
              <w:t>Prioritetas ar komponen-tas</w:t>
            </w:r>
          </w:p>
        </w:tc>
        <w:tc>
          <w:tcPr>
            <w:tcW w:w="1134" w:type="dxa"/>
            <w:vAlign w:val="center"/>
          </w:tcPr>
          <w:p w:rsidR="00EB0F8F" w:rsidRPr="00864A70" w:rsidRDefault="00C222C1">
            <w:pPr>
              <w:jc w:val="center"/>
              <w:rPr>
                <w:b/>
                <w:sz w:val="22"/>
                <w:szCs w:val="22"/>
              </w:rPr>
            </w:pPr>
            <w:r w:rsidRPr="00864A70">
              <w:rPr>
                <w:b/>
                <w:sz w:val="22"/>
                <w:szCs w:val="22"/>
              </w:rPr>
              <w:t>Uždavi-nys ar priemonė</w:t>
            </w:r>
          </w:p>
        </w:tc>
        <w:tc>
          <w:tcPr>
            <w:tcW w:w="1134" w:type="dxa"/>
            <w:vAlign w:val="center"/>
          </w:tcPr>
          <w:p w:rsidR="00EB0F8F" w:rsidRPr="00864A70" w:rsidRDefault="00C222C1">
            <w:pPr>
              <w:jc w:val="center"/>
              <w:rPr>
                <w:b/>
                <w:sz w:val="22"/>
                <w:szCs w:val="22"/>
              </w:rPr>
            </w:pPr>
            <w:r w:rsidRPr="00864A70">
              <w:rPr>
                <w:b/>
                <w:sz w:val="22"/>
                <w:szCs w:val="22"/>
              </w:rPr>
              <w:t>Veikla ar paprie-monė</w:t>
            </w:r>
          </w:p>
        </w:tc>
        <w:tc>
          <w:tcPr>
            <w:tcW w:w="1457" w:type="dxa"/>
            <w:vAlign w:val="center"/>
          </w:tcPr>
          <w:p w:rsidR="00EB0F8F" w:rsidRPr="00864A70" w:rsidRDefault="00C222C1">
            <w:pPr>
              <w:jc w:val="center"/>
              <w:rPr>
                <w:b/>
                <w:sz w:val="22"/>
                <w:szCs w:val="22"/>
              </w:rPr>
            </w:pPr>
            <w:r w:rsidRPr="00864A70">
              <w:rPr>
                <w:b/>
                <w:sz w:val="22"/>
                <w:szCs w:val="22"/>
              </w:rPr>
              <w:t>Intervencinės priemonės kodas</w:t>
            </w:r>
          </w:p>
        </w:tc>
        <w:tc>
          <w:tcPr>
            <w:tcW w:w="1344" w:type="dxa"/>
            <w:vAlign w:val="center"/>
          </w:tcPr>
          <w:p w:rsidR="00EB0F8F" w:rsidRPr="00864A70" w:rsidRDefault="00C222C1">
            <w:pPr>
              <w:jc w:val="center"/>
              <w:rPr>
                <w:b/>
                <w:sz w:val="22"/>
                <w:szCs w:val="22"/>
              </w:rPr>
            </w:pPr>
            <w:r w:rsidRPr="00864A70">
              <w:rPr>
                <w:b/>
                <w:sz w:val="22"/>
                <w:szCs w:val="22"/>
              </w:rPr>
              <w:t>Regionas, kuriam priskiriama veikla ar poveiklė</w:t>
            </w:r>
          </w:p>
        </w:tc>
        <w:tc>
          <w:tcPr>
            <w:tcW w:w="1080" w:type="dxa"/>
            <w:vAlign w:val="center"/>
          </w:tcPr>
          <w:p w:rsidR="00EB0F8F" w:rsidRPr="00864A70" w:rsidRDefault="00C222C1">
            <w:pPr>
              <w:jc w:val="center"/>
              <w:rPr>
                <w:b/>
                <w:sz w:val="22"/>
                <w:szCs w:val="22"/>
              </w:rPr>
            </w:pPr>
            <w:r w:rsidRPr="00864A70">
              <w:rPr>
                <w:b/>
                <w:sz w:val="22"/>
                <w:szCs w:val="22"/>
              </w:rPr>
              <w:t>Paramos formos kodas</w:t>
            </w:r>
          </w:p>
        </w:tc>
        <w:tc>
          <w:tcPr>
            <w:tcW w:w="1344" w:type="dxa"/>
            <w:vAlign w:val="center"/>
          </w:tcPr>
          <w:p w:rsidR="00EB0F8F" w:rsidRPr="00864A70" w:rsidRDefault="00C222C1">
            <w:pPr>
              <w:jc w:val="center"/>
              <w:rPr>
                <w:b/>
                <w:sz w:val="22"/>
                <w:szCs w:val="22"/>
              </w:rPr>
            </w:pPr>
            <w:r w:rsidRPr="00864A70">
              <w:rPr>
                <w:b/>
                <w:sz w:val="22"/>
                <w:szCs w:val="22"/>
              </w:rPr>
              <w:t>Pagrindinės teritorinės srities kodas (-ai)</w:t>
            </w:r>
          </w:p>
        </w:tc>
        <w:tc>
          <w:tcPr>
            <w:tcW w:w="1051" w:type="dxa"/>
            <w:vAlign w:val="center"/>
          </w:tcPr>
          <w:p w:rsidR="00EB0F8F" w:rsidRPr="00864A70" w:rsidRDefault="00C222C1">
            <w:pPr>
              <w:jc w:val="center"/>
              <w:rPr>
                <w:b/>
                <w:sz w:val="22"/>
                <w:szCs w:val="22"/>
              </w:rPr>
            </w:pPr>
            <w:r w:rsidRPr="00864A70">
              <w:rPr>
                <w:b/>
                <w:sz w:val="22"/>
                <w:szCs w:val="22"/>
              </w:rPr>
              <w:t xml:space="preserve">Ekono-minės veiklos kodas </w:t>
            </w:r>
          </w:p>
          <w:p w:rsidR="00EB0F8F" w:rsidRPr="00864A70" w:rsidRDefault="00C222C1">
            <w:pPr>
              <w:jc w:val="center"/>
              <w:rPr>
                <w:b/>
                <w:sz w:val="22"/>
                <w:szCs w:val="22"/>
              </w:rPr>
            </w:pPr>
            <w:r w:rsidRPr="00864A70">
              <w:rPr>
                <w:b/>
                <w:sz w:val="22"/>
                <w:szCs w:val="22"/>
              </w:rPr>
              <w:t>(-ai)</w:t>
            </w:r>
          </w:p>
        </w:tc>
        <w:tc>
          <w:tcPr>
            <w:tcW w:w="1132" w:type="dxa"/>
            <w:vAlign w:val="center"/>
          </w:tcPr>
          <w:p w:rsidR="00EB0F8F" w:rsidRPr="00864A70" w:rsidRDefault="00C222C1">
            <w:pPr>
              <w:jc w:val="center"/>
              <w:rPr>
                <w:b/>
                <w:sz w:val="22"/>
                <w:szCs w:val="22"/>
              </w:rPr>
            </w:pPr>
            <w:r w:rsidRPr="00864A70">
              <w:rPr>
                <w:b/>
                <w:sz w:val="22"/>
                <w:szCs w:val="22"/>
              </w:rPr>
              <w:t>„Europos socialinio fondo +“ (toliau – ESF+) antrinių temų kodai</w:t>
            </w:r>
          </w:p>
        </w:tc>
        <w:tc>
          <w:tcPr>
            <w:tcW w:w="859" w:type="dxa"/>
            <w:vAlign w:val="center"/>
          </w:tcPr>
          <w:p w:rsidR="00EB0F8F" w:rsidRPr="00864A70" w:rsidRDefault="00C222C1">
            <w:pPr>
              <w:jc w:val="center"/>
              <w:rPr>
                <w:b/>
                <w:sz w:val="22"/>
                <w:szCs w:val="22"/>
              </w:rPr>
            </w:pPr>
            <w:r w:rsidRPr="00864A70">
              <w:rPr>
                <w:b/>
                <w:sz w:val="22"/>
                <w:szCs w:val="22"/>
              </w:rPr>
              <w:t>Lyčių lygybės mat-mens kodas</w:t>
            </w:r>
          </w:p>
        </w:tc>
        <w:tc>
          <w:tcPr>
            <w:tcW w:w="1149" w:type="dxa"/>
            <w:vAlign w:val="center"/>
          </w:tcPr>
          <w:p w:rsidR="00EB0F8F" w:rsidRPr="00864A70" w:rsidRDefault="00C222C1">
            <w:pPr>
              <w:jc w:val="center"/>
              <w:rPr>
                <w:b/>
                <w:sz w:val="22"/>
                <w:szCs w:val="22"/>
              </w:rPr>
            </w:pPr>
            <w:r w:rsidRPr="00864A70">
              <w:rPr>
                <w:b/>
                <w:sz w:val="22"/>
                <w:szCs w:val="22"/>
              </w:rPr>
              <w:t>Nepanau-dotos Ekonomi-kos gaivinimo ir atsparumo didinimo priemonės lėšos</w:t>
            </w:r>
          </w:p>
          <w:p w:rsidR="00EB0F8F" w:rsidRPr="00864A70" w:rsidRDefault="00C222C1">
            <w:pPr>
              <w:jc w:val="center"/>
              <w:rPr>
                <w:b/>
                <w:sz w:val="22"/>
                <w:szCs w:val="22"/>
              </w:rPr>
            </w:pPr>
            <w:r w:rsidRPr="00864A70">
              <w:rPr>
                <w:b/>
                <w:sz w:val="22"/>
                <w:szCs w:val="22"/>
              </w:rPr>
              <w:t>(Taip / Ne)</w:t>
            </w:r>
          </w:p>
        </w:tc>
      </w:tr>
      <w:tr w:rsidR="00A8406F" w:rsidRPr="00864A70" w:rsidTr="00BB5321">
        <w:trPr>
          <w:trHeight w:val="3592"/>
        </w:trPr>
        <w:tc>
          <w:tcPr>
            <w:tcW w:w="1110" w:type="dxa"/>
            <w:tcMar>
              <w:left w:w="28" w:type="dxa"/>
              <w:right w:w="28" w:type="dxa"/>
            </w:tcMar>
          </w:tcPr>
          <w:p w:rsidR="00A8406F" w:rsidRPr="00864A70" w:rsidRDefault="00A8406F" w:rsidP="00A8406F">
            <w:pPr>
              <w:ind w:firstLine="48"/>
              <w:jc w:val="center"/>
              <w:rPr>
                <w:i/>
                <w:sz w:val="22"/>
                <w:szCs w:val="22"/>
              </w:rPr>
            </w:pPr>
            <w:r w:rsidRPr="00864A70">
              <w:rPr>
                <w:color w:val="000000"/>
                <w:sz w:val="22"/>
                <w:szCs w:val="22"/>
              </w:rPr>
              <w:t>2.</w:t>
            </w:r>
            <w:r w:rsidR="00F94282" w:rsidRPr="00864A70">
              <w:rPr>
                <w:color w:val="000000"/>
                <w:sz w:val="22"/>
                <w:szCs w:val="22"/>
              </w:rPr>
              <w:t>5</w:t>
            </w:r>
            <w:r w:rsidRPr="00864A70">
              <w:rPr>
                <w:color w:val="000000"/>
                <w:sz w:val="22"/>
                <w:szCs w:val="22"/>
              </w:rPr>
              <w:t xml:space="preserve">. </w:t>
            </w:r>
            <w:r w:rsidRPr="00864A70">
              <w:rPr>
                <w:sz w:val="22"/>
                <w:szCs w:val="22"/>
              </w:rPr>
              <w:t>Didinti mokslo tarptautiš-kumo lygį (Sostinė</w:t>
            </w:r>
            <w:r w:rsidR="00405252" w:rsidRPr="00864A70">
              <w:rPr>
                <w:sz w:val="22"/>
                <w:szCs w:val="22"/>
              </w:rPr>
              <w:t>s regionas</w:t>
            </w:r>
            <w:r w:rsidRPr="00864A70">
              <w:rPr>
                <w:sz w:val="22"/>
                <w:szCs w:val="22"/>
              </w:rPr>
              <w:t xml:space="preserve">) </w:t>
            </w:r>
          </w:p>
        </w:tc>
        <w:tc>
          <w:tcPr>
            <w:tcW w:w="1125" w:type="dxa"/>
            <w:tcMar>
              <w:left w:w="28" w:type="dxa"/>
              <w:right w:w="28" w:type="dxa"/>
            </w:tcMar>
          </w:tcPr>
          <w:p w:rsidR="00A8406F" w:rsidRPr="00864A70" w:rsidRDefault="00A8406F" w:rsidP="00A8406F">
            <w:pPr>
              <w:jc w:val="center"/>
              <w:rPr>
                <w:iCs/>
                <w:sz w:val="22"/>
                <w:szCs w:val="22"/>
              </w:rPr>
            </w:pPr>
            <w:r w:rsidRPr="00864A70">
              <w:rPr>
                <w:iCs/>
                <w:sz w:val="22"/>
                <w:szCs w:val="22"/>
              </w:rPr>
              <w:t>Europos Sąjungos fondų ir bendrojo finansavimo lėšos;</w:t>
            </w:r>
          </w:p>
          <w:p w:rsidR="00A8406F" w:rsidRPr="00864A70" w:rsidRDefault="00A8406F" w:rsidP="00A8406F">
            <w:pPr>
              <w:jc w:val="center"/>
              <w:rPr>
                <w:b/>
                <w:i/>
                <w:sz w:val="22"/>
                <w:szCs w:val="22"/>
              </w:rPr>
            </w:pPr>
            <w:r w:rsidRPr="00864A70">
              <w:rPr>
                <w:sz w:val="22"/>
                <w:szCs w:val="22"/>
              </w:rPr>
              <w:t>valstybės biudžeto lėšos, skirtos Europos Sąjungos fondų lėšomis netinka</w:t>
            </w:r>
            <w:r w:rsidR="00576813">
              <w:rPr>
                <w:sz w:val="22"/>
                <w:szCs w:val="22"/>
              </w:rPr>
              <w:t>-</w:t>
            </w:r>
            <w:r w:rsidRPr="00864A70">
              <w:rPr>
                <w:sz w:val="22"/>
                <w:szCs w:val="22"/>
              </w:rPr>
              <w:t>mam finansuoti pridėtinės vertės mokesčiui apmokėti</w:t>
            </w:r>
          </w:p>
        </w:tc>
        <w:tc>
          <w:tcPr>
            <w:tcW w:w="1236" w:type="dxa"/>
            <w:tcMar>
              <w:left w:w="28" w:type="dxa"/>
              <w:right w:w="28" w:type="dxa"/>
            </w:tcMar>
          </w:tcPr>
          <w:p w:rsidR="00A8406F" w:rsidRPr="00864A70" w:rsidRDefault="00A8406F" w:rsidP="00A8406F">
            <w:pPr>
              <w:jc w:val="center"/>
              <w:rPr>
                <w:sz w:val="22"/>
                <w:szCs w:val="22"/>
              </w:rPr>
            </w:pPr>
            <w:r w:rsidRPr="00864A70">
              <w:rPr>
                <w:iCs/>
                <w:sz w:val="22"/>
                <w:szCs w:val="22"/>
                <w:lang w:val="en-GB"/>
              </w:rPr>
              <w:t>1</w:t>
            </w:r>
          </w:p>
        </w:tc>
        <w:tc>
          <w:tcPr>
            <w:tcW w:w="1134" w:type="dxa"/>
            <w:tcMar>
              <w:left w:w="28" w:type="dxa"/>
              <w:right w:w="28" w:type="dxa"/>
            </w:tcMar>
          </w:tcPr>
          <w:p w:rsidR="00A8406F" w:rsidRPr="00864A70" w:rsidRDefault="00A8406F" w:rsidP="00A8406F">
            <w:pPr>
              <w:jc w:val="center"/>
              <w:rPr>
                <w:iCs/>
                <w:sz w:val="22"/>
                <w:szCs w:val="22"/>
              </w:rPr>
            </w:pPr>
            <w:r w:rsidRPr="00864A70">
              <w:rPr>
                <w:sz w:val="22"/>
                <w:szCs w:val="22"/>
              </w:rPr>
              <w:t>1.1</w:t>
            </w:r>
          </w:p>
        </w:tc>
        <w:tc>
          <w:tcPr>
            <w:tcW w:w="1134" w:type="dxa"/>
            <w:tcMar>
              <w:left w:w="28" w:type="dxa"/>
              <w:right w:w="28" w:type="dxa"/>
            </w:tcMar>
          </w:tcPr>
          <w:p w:rsidR="00A8406F" w:rsidRPr="00864A70" w:rsidRDefault="00A8406F" w:rsidP="00A8406F">
            <w:pPr>
              <w:jc w:val="center"/>
              <w:rPr>
                <w:i/>
                <w:sz w:val="22"/>
                <w:szCs w:val="22"/>
              </w:rPr>
            </w:pPr>
            <w:r w:rsidRPr="00864A70">
              <w:rPr>
                <w:sz w:val="22"/>
                <w:szCs w:val="22"/>
              </w:rPr>
              <w:t>Dalyvavi</w:t>
            </w:r>
            <w:r w:rsidR="00576813">
              <w:rPr>
                <w:sz w:val="22"/>
                <w:szCs w:val="22"/>
              </w:rPr>
              <w:t>-</w:t>
            </w:r>
            <w:r w:rsidRPr="00864A70">
              <w:rPr>
                <w:sz w:val="22"/>
                <w:szCs w:val="22"/>
              </w:rPr>
              <w:t>mo tarptautinė</w:t>
            </w:r>
            <w:r w:rsidR="00576813">
              <w:rPr>
                <w:sz w:val="22"/>
                <w:szCs w:val="22"/>
              </w:rPr>
              <w:t>-</w:t>
            </w:r>
            <w:r w:rsidRPr="00864A70">
              <w:rPr>
                <w:sz w:val="22"/>
                <w:szCs w:val="22"/>
              </w:rPr>
              <w:t>se mokslinių tyrimų infrastruk</w:t>
            </w:r>
            <w:r w:rsidR="00576813">
              <w:rPr>
                <w:sz w:val="22"/>
                <w:szCs w:val="22"/>
              </w:rPr>
              <w:t>-</w:t>
            </w:r>
            <w:r w:rsidRPr="00864A70">
              <w:rPr>
                <w:sz w:val="22"/>
                <w:szCs w:val="22"/>
              </w:rPr>
              <w:t>tūrose skatinimas</w:t>
            </w:r>
            <w:r w:rsidRPr="00864A70" w:rsidDel="00844023">
              <w:rPr>
                <w:sz w:val="22"/>
                <w:szCs w:val="22"/>
              </w:rPr>
              <w:t xml:space="preserve"> </w:t>
            </w:r>
          </w:p>
        </w:tc>
        <w:tc>
          <w:tcPr>
            <w:tcW w:w="1457" w:type="dxa"/>
            <w:tcMar>
              <w:left w:w="28" w:type="dxa"/>
              <w:right w:w="28" w:type="dxa"/>
            </w:tcMar>
          </w:tcPr>
          <w:p w:rsidR="00A8406F" w:rsidRPr="00864A70" w:rsidRDefault="00A8406F" w:rsidP="00A8406F">
            <w:pPr>
              <w:jc w:val="center"/>
              <w:rPr>
                <w:iCs/>
                <w:sz w:val="22"/>
                <w:szCs w:val="22"/>
              </w:rPr>
            </w:pPr>
            <w:r w:rsidRPr="00864A70">
              <w:rPr>
                <w:iCs/>
                <w:sz w:val="22"/>
                <w:szCs w:val="22"/>
              </w:rPr>
              <w:t>012</w:t>
            </w:r>
          </w:p>
          <w:p w:rsidR="00A8406F" w:rsidRPr="00864A70" w:rsidRDefault="00A8406F" w:rsidP="00A8406F">
            <w:pPr>
              <w:jc w:val="center"/>
              <w:rPr>
                <w:iCs/>
                <w:sz w:val="22"/>
                <w:szCs w:val="22"/>
              </w:rPr>
            </w:pPr>
          </w:p>
          <w:p w:rsidR="00A8406F" w:rsidRPr="00864A70" w:rsidRDefault="00A8406F" w:rsidP="00A8406F">
            <w:pPr>
              <w:jc w:val="center"/>
              <w:rPr>
                <w:sz w:val="22"/>
                <w:szCs w:val="22"/>
              </w:rPr>
            </w:pPr>
          </w:p>
        </w:tc>
        <w:tc>
          <w:tcPr>
            <w:tcW w:w="1344" w:type="dxa"/>
            <w:tcMar>
              <w:left w:w="28" w:type="dxa"/>
              <w:right w:w="28" w:type="dxa"/>
            </w:tcMar>
          </w:tcPr>
          <w:p w:rsidR="00A8406F" w:rsidRPr="00864A70" w:rsidRDefault="00A8406F" w:rsidP="00A8406F">
            <w:pPr>
              <w:jc w:val="center"/>
              <w:rPr>
                <w:i/>
                <w:sz w:val="22"/>
                <w:szCs w:val="22"/>
              </w:rPr>
            </w:pPr>
            <w:r w:rsidRPr="00864A70">
              <w:rPr>
                <w:sz w:val="22"/>
                <w:szCs w:val="22"/>
              </w:rPr>
              <w:t>Sostinės regionas</w:t>
            </w:r>
          </w:p>
        </w:tc>
        <w:tc>
          <w:tcPr>
            <w:tcW w:w="1080" w:type="dxa"/>
            <w:tcMar>
              <w:left w:w="28" w:type="dxa"/>
              <w:right w:w="28" w:type="dxa"/>
            </w:tcMar>
          </w:tcPr>
          <w:p w:rsidR="00A8406F" w:rsidRPr="00864A70" w:rsidRDefault="00A8406F" w:rsidP="00A8406F">
            <w:pPr>
              <w:jc w:val="center"/>
              <w:rPr>
                <w:i/>
                <w:sz w:val="22"/>
                <w:szCs w:val="22"/>
              </w:rPr>
            </w:pPr>
            <w:r w:rsidRPr="00864A70">
              <w:rPr>
                <w:sz w:val="22"/>
                <w:szCs w:val="22"/>
              </w:rPr>
              <w:t>01 – Dotacija</w:t>
            </w:r>
          </w:p>
        </w:tc>
        <w:tc>
          <w:tcPr>
            <w:tcW w:w="1344" w:type="dxa"/>
            <w:tcMar>
              <w:left w:w="28" w:type="dxa"/>
              <w:right w:w="28" w:type="dxa"/>
            </w:tcMar>
          </w:tcPr>
          <w:p w:rsidR="00A8406F" w:rsidRPr="00864A70" w:rsidRDefault="00A8406F" w:rsidP="00A8406F">
            <w:pPr>
              <w:jc w:val="center"/>
              <w:rPr>
                <w:sz w:val="22"/>
                <w:szCs w:val="22"/>
              </w:rPr>
            </w:pPr>
            <w:r w:rsidRPr="00864A70">
              <w:rPr>
                <w:iCs/>
                <w:sz w:val="22"/>
                <w:szCs w:val="22"/>
              </w:rPr>
              <w:t>33 – nesiorientuo</w:t>
            </w:r>
            <w:r w:rsidR="00864A70">
              <w:rPr>
                <w:iCs/>
                <w:sz w:val="22"/>
                <w:szCs w:val="22"/>
              </w:rPr>
              <w:t>-</w:t>
            </w:r>
            <w:r w:rsidRPr="00864A70">
              <w:rPr>
                <w:iCs/>
                <w:sz w:val="22"/>
                <w:szCs w:val="22"/>
              </w:rPr>
              <w:t>jant į terito</w:t>
            </w:r>
            <w:r w:rsidR="00E112DD" w:rsidRPr="00864A70">
              <w:rPr>
                <w:iCs/>
                <w:sz w:val="22"/>
                <w:szCs w:val="22"/>
              </w:rPr>
              <w:t>riškumą</w:t>
            </w:r>
          </w:p>
        </w:tc>
        <w:tc>
          <w:tcPr>
            <w:tcW w:w="1051" w:type="dxa"/>
            <w:tcMar>
              <w:left w:w="28" w:type="dxa"/>
              <w:right w:w="28" w:type="dxa"/>
            </w:tcMar>
          </w:tcPr>
          <w:p w:rsidR="00A8406F" w:rsidRPr="00864A70" w:rsidRDefault="00A8406F" w:rsidP="00A8406F">
            <w:pPr>
              <w:jc w:val="center"/>
              <w:rPr>
                <w:sz w:val="22"/>
                <w:szCs w:val="22"/>
              </w:rPr>
            </w:pPr>
            <w:r w:rsidRPr="00864A70">
              <w:rPr>
                <w:iCs/>
                <w:sz w:val="22"/>
                <w:szCs w:val="22"/>
              </w:rPr>
              <w:t>26 – kitos nenurody-tos paslaugos</w:t>
            </w:r>
          </w:p>
        </w:tc>
        <w:tc>
          <w:tcPr>
            <w:tcW w:w="1132" w:type="dxa"/>
            <w:tcMar>
              <w:left w:w="28" w:type="dxa"/>
              <w:right w:w="28" w:type="dxa"/>
            </w:tcMar>
          </w:tcPr>
          <w:p w:rsidR="00A8406F" w:rsidRPr="00864A70" w:rsidRDefault="00A8406F" w:rsidP="00A8406F">
            <w:pPr>
              <w:jc w:val="center"/>
              <w:rPr>
                <w:i/>
                <w:iCs/>
                <w:sz w:val="22"/>
                <w:szCs w:val="22"/>
              </w:rPr>
            </w:pPr>
            <w:r w:rsidRPr="00864A70">
              <w:rPr>
                <w:sz w:val="22"/>
                <w:szCs w:val="22"/>
              </w:rPr>
              <w:t>09</w:t>
            </w:r>
          </w:p>
        </w:tc>
        <w:tc>
          <w:tcPr>
            <w:tcW w:w="859" w:type="dxa"/>
            <w:tcMar>
              <w:left w:w="28" w:type="dxa"/>
              <w:right w:w="28" w:type="dxa"/>
            </w:tcMar>
          </w:tcPr>
          <w:p w:rsidR="00A8406F" w:rsidRPr="00864A70" w:rsidRDefault="00A8406F" w:rsidP="00A8406F">
            <w:pPr>
              <w:jc w:val="center"/>
              <w:rPr>
                <w:i/>
                <w:iCs/>
                <w:sz w:val="22"/>
                <w:szCs w:val="22"/>
              </w:rPr>
            </w:pPr>
            <w:r w:rsidRPr="00864A70">
              <w:rPr>
                <w:iCs/>
                <w:sz w:val="22"/>
                <w:szCs w:val="22"/>
              </w:rPr>
              <w:t>03 – neutra</w:t>
            </w:r>
            <w:r w:rsidR="00864A70">
              <w:rPr>
                <w:iCs/>
                <w:sz w:val="22"/>
                <w:szCs w:val="22"/>
              </w:rPr>
              <w:t>-</w:t>
            </w:r>
            <w:r w:rsidRPr="00864A70">
              <w:rPr>
                <w:iCs/>
                <w:sz w:val="22"/>
                <w:szCs w:val="22"/>
              </w:rPr>
              <w:t>lumas lyties požiūriu</w:t>
            </w:r>
          </w:p>
        </w:tc>
        <w:tc>
          <w:tcPr>
            <w:tcW w:w="1149" w:type="dxa"/>
          </w:tcPr>
          <w:p w:rsidR="00A8406F" w:rsidRPr="00864A70" w:rsidRDefault="00A8406F" w:rsidP="00A8406F">
            <w:pPr>
              <w:jc w:val="center"/>
              <w:rPr>
                <w:i/>
                <w:iCs/>
                <w:sz w:val="22"/>
                <w:szCs w:val="22"/>
              </w:rPr>
            </w:pPr>
            <w:r w:rsidRPr="00864A70">
              <w:rPr>
                <w:iCs/>
                <w:sz w:val="22"/>
                <w:szCs w:val="22"/>
              </w:rPr>
              <w:t>Ne</w:t>
            </w:r>
          </w:p>
        </w:tc>
      </w:tr>
      <w:tr w:rsidR="00121074" w:rsidRPr="00864A70">
        <w:trPr>
          <w:trHeight w:val="278"/>
        </w:trPr>
        <w:tc>
          <w:tcPr>
            <w:tcW w:w="1110" w:type="dxa"/>
            <w:tcMar>
              <w:left w:w="28" w:type="dxa"/>
              <w:right w:w="28" w:type="dxa"/>
            </w:tcMar>
          </w:tcPr>
          <w:p w:rsidR="00121074" w:rsidRPr="00864A70" w:rsidRDefault="00121074" w:rsidP="00121074">
            <w:pPr>
              <w:ind w:firstLine="48"/>
              <w:jc w:val="center"/>
              <w:rPr>
                <w:sz w:val="22"/>
                <w:szCs w:val="22"/>
              </w:rPr>
            </w:pPr>
            <w:r w:rsidRPr="00864A70">
              <w:rPr>
                <w:sz w:val="22"/>
                <w:szCs w:val="22"/>
              </w:rPr>
              <w:t>2.</w:t>
            </w:r>
            <w:r w:rsidR="00EB3012" w:rsidRPr="00864A70">
              <w:rPr>
                <w:sz w:val="22"/>
                <w:szCs w:val="22"/>
              </w:rPr>
              <w:t>6</w:t>
            </w:r>
            <w:r w:rsidR="008A33E6" w:rsidRPr="00864A70">
              <w:rPr>
                <w:sz w:val="22"/>
                <w:szCs w:val="22"/>
              </w:rPr>
              <w:t xml:space="preserve">. </w:t>
            </w:r>
            <w:r w:rsidRPr="00864A70">
              <w:rPr>
                <w:sz w:val="22"/>
                <w:szCs w:val="22"/>
              </w:rPr>
              <w:t>Didinti mokslo tarptautiškumo lygį (</w:t>
            </w:r>
            <w:r w:rsidR="00B32B3E" w:rsidRPr="00864A70">
              <w:rPr>
                <w:sz w:val="22"/>
                <w:szCs w:val="22"/>
              </w:rPr>
              <w:t>Vidurio ir vakarų Lietuvos regionas - VVL</w:t>
            </w:r>
            <w:r w:rsidRPr="00864A70">
              <w:rPr>
                <w:sz w:val="22"/>
                <w:szCs w:val="22"/>
              </w:rPr>
              <w:t>)</w:t>
            </w:r>
          </w:p>
        </w:tc>
        <w:tc>
          <w:tcPr>
            <w:tcW w:w="1125" w:type="dxa"/>
            <w:tcMar>
              <w:left w:w="28" w:type="dxa"/>
              <w:right w:w="28" w:type="dxa"/>
            </w:tcMar>
          </w:tcPr>
          <w:p w:rsidR="00121074" w:rsidRPr="00864A70" w:rsidRDefault="00121074" w:rsidP="00121074">
            <w:pPr>
              <w:jc w:val="center"/>
              <w:rPr>
                <w:iCs/>
                <w:sz w:val="22"/>
                <w:szCs w:val="22"/>
              </w:rPr>
            </w:pPr>
            <w:r w:rsidRPr="00864A70">
              <w:rPr>
                <w:iCs/>
                <w:sz w:val="22"/>
                <w:szCs w:val="22"/>
              </w:rPr>
              <w:t>Europos Sąjungos fondų ir bendrojo finansavi</w:t>
            </w:r>
            <w:r w:rsidR="00864A70">
              <w:rPr>
                <w:iCs/>
                <w:sz w:val="22"/>
                <w:szCs w:val="22"/>
              </w:rPr>
              <w:t>-</w:t>
            </w:r>
            <w:r w:rsidRPr="00864A70">
              <w:rPr>
                <w:iCs/>
                <w:sz w:val="22"/>
                <w:szCs w:val="22"/>
              </w:rPr>
              <w:t>mo lėšos;</w:t>
            </w:r>
          </w:p>
          <w:p w:rsidR="00121074" w:rsidRPr="00864A70" w:rsidRDefault="00121074" w:rsidP="00121074">
            <w:pPr>
              <w:jc w:val="center"/>
              <w:rPr>
                <w:sz w:val="22"/>
                <w:szCs w:val="22"/>
              </w:rPr>
            </w:pPr>
            <w:r w:rsidRPr="00864A70">
              <w:rPr>
                <w:sz w:val="22"/>
                <w:szCs w:val="22"/>
              </w:rPr>
              <w:t>valstybės biudžeto lėšos, skirtos Europos Sąjungos fondų lėšomis netinka</w:t>
            </w:r>
            <w:r w:rsidR="00864A70">
              <w:rPr>
                <w:sz w:val="22"/>
                <w:szCs w:val="22"/>
              </w:rPr>
              <w:t>-</w:t>
            </w:r>
            <w:r w:rsidRPr="00864A70">
              <w:rPr>
                <w:sz w:val="22"/>
                <w:szCs w:val="22"/>
              </w:rPr>
              <w:t>mam finansuoti pridėtinės vertės mokesčiui apmokėti</w:t>
            </w:r>
          </w:p>
        </w:tc>
        <w:tc>
          <w:tcPr>
            <w:tcW w:w="1236" w:type="dxa"/>
            <w:tcMar>
              <w:left w:w="28" w:type="dxa"/>
              <w:right w:w="28" w:type="dxa"/>
            </w:tcMar>
          </w:tcPr>
          <w:p w:rsidR="00121074" w:rsidRPr="00864A70" w:rsidRDefault="00121074" w:rsidP="00121074">
            <w:pPr>
              <w:jc w:val="center"/>
              <w:rPr>
                <w:sz w:val="22"/>
                <w:szCs w:val="22"/>
              </w:rPr>
            </w:pPr>
            <w:r w:rsidRPr="00864A70">
              <w:rPr>
                <w:iCs/>
                <w:sz w:val="22"/>
                <w:szCs w:val="22"/>
                <w:lang w:val="en-GB"/>
              </w:rPr>
              <w:t>1</w:t>
            </w:r>
          </w:p>
        </w:tc>
        <w:tc>
          <w:tcPr>
            <w:tcW w:w="1134" w:type="dxa"/>
            <w:tcMar>
              <w:left w:w="28" w:type="dxa"/>
              <w:right w:w="28" w:type="dxa"/>
            </w:tcMar>
          </w:tcPr>
          <w:p w:rsidR="00121074" w:rsidRPr="00864A70" w:rsidRDefault="00121074" w:rsidP="00121074">
            <w:pPr>
              <w:jc w:val="center"/>
              <w:rPr>
                <w:i/>
                <w:sz w:val="22"/>
                <w:szCs w:val="22"/>
              </w:rPr>
            </w:pPr>
            <w:r w:rsidRPr="00864A70">
              <w:rPr>
                <w:sz w:val="22"/>
                <w:szCs w:val="22"/>
              </w:rPr>
              <w:t>1.1</w:t>
            </w:r>
          </w:p>
        </w:tc>
        <w:tc>
          <w:tcPr>
            <w:tcW w:w="1134" w:type="dxa"/>
            <w:tcMar>
              <w:left w:w="28" w:type="dxa"/>
              <w:right w:w="28" w:type="dxa"/>
            </w:tcMar>
          </w:tcPr>
          <w:p w:rsidR="00121074" w:rsidRPr="00864A70" w:rsidRDefault="00121074" w:rsidP="00121074">
            <w:pPr>
              <w:jc w:val="center"/>
              <w:rPr>
                <w:iCs/>
                <w:sz w:val="22"/>
                <w:szCs w:val="22"/>
              </w:rPr>
            </w:pPr>
            <w:r w:rsidRPr="00864A70">
              <w:rPr>
                <w:sz w:val="22"/>
                <w:szCs w:val="22"/>
              </w:rPr>
              <w:t>Dalyvavi</w:t>
            </w:r>
            <w:r w:rsidR="00864A70">
              <w:rPr>
                <w:sz w:val="22"/>
                <w:szCs w:val="22"/>
              </w:rPr>
              <w:t>-</w:t>
            </w:r>
            <w:r w:rsidRPr="00864A70">
              <w:rPr>
                <w:sz w:val="22"/>
                <w:szCs w:val="22"/>
              </w:rPr>
              <w:t>mo tarptautinė</w:t>
            </w:r>
            <w:r w:rsidR="00864A70">
              <w:rPr>
                <w:sz w:val="22"/>
                <w:szCs w:val="22"/>
              </w:rPr>
              <w:t>-</w:t>
            </w:r>
            <w:r w:rsidRPr="00864A70">
              <w:rPr>
                <w:sz w:val="22"/>
                <w:szCs w:val="22"/>
              </w:rPr>
              <w:t>se mokslinių tyrimų infrastruk</w:t>
            </w:r>
            <w:r w:rsidR="00864A70">
              <w:rPr>
                <w:sz w:val="22"/>
                <w:szCs w:val="22"/>
              </w:rPr>
              <w:t>-</w:t>
            </w:r>
            <w:r w:rsidRPr="00864A70">
              <w:rPr>
                <w:sz w:val="22"/>
                <w:szCs w:val="22"/>
              </w:rPr>
              <w:t>tūrose skatinimas</w:t>
            </w:r>
          </w:p>
        </w:tc>
        <w:tc>
          <w:tcPr>
            <w:tcW w:w="1457" w:type="dxa"/>
            <w:tcMar>
              <w:left w:w="28" w:type="dxa"/>
              <w:right w:w="28" w:type="dxa"/>
            </w:tcMar>
          </w:tcPr>
          <w:p w:rsidR="00121074" w:rsidRPr="00864A70" w:rsidRDefault="00121074" w:rsidP="00121074">
            <w:pPr>
              <w:jc w:val="center"/>
              <w:rPr>
                <w:iCs/>
                <w:sz w:val="22"/>
                <w:szCs w:val="22"/>
              </w:rPr>
            </w:pPr>
            <w:r w:rsidRPr="00864A70">
              <w:rPr>
                <w:iCs/>
                <w:sz w:val="22"/>
                <w:szCs w:val="22"/>
              </w:rPr>
              <w:t>012</w:t>
            </w:r>
          </w:p>
          <w:p w:rsidR="00121074" w:rsidRPr="00864A70" w:rsidRDefault="00121074" w:rsidP="00121074">
            <w:pPr>
              <w:jc w:val="center"/>
              <w:rPr>
                <w:iCs/>
                <w:sz w:val="22"/>
                <w:szCs w:val="22"/>
              </w:rPr>
            </w:pPr>
          </w:p>
          <w:p w:rsidR="00121074" w:rsidRPr="00864A70" w:rsidRDefault="00121074" w:rsidP="00121074">
            <w:pPr>
              <w:jc w:val="center"/>
              <w:rPr>
                <w:sz w:val="22"/>
                <w:szCs w:val="22"/>
              </w:rPr>
            </w:pPr>
          </w:p>
        </w:tc>
        <w:tc>
          <w:tcPr>
            <w:tcW w:w="1344" w:type="dxa"/>
            <w:tcMar>
              <w:left w:w="28" w:type="dxa"/>
              <w:right w:w="28" w:type="dxa"/>
            </w:tcMar>
          </w:tcPr>
          <w:p w:rsidR="00121074" w:rsidRPr="00864A70" w:rsidRDefault="00121074" w:rsidP="00121074">
            <w:pPr>
              <w:jc w:val="center"/>
              <w:rPr>
                <w:sz w:val="22"/>
                <w:szCs w:val="22"/>
              </w:rPr>
            </w:pPr>
            <w:r w:rsidRPr="00864A70">
              <w:rPr>
                <w:sz w:val="22"/>
                <w:szCs w:val="22"/>
              </w:rPr>
              <w:t>Vidurio ir vakarų Lietuvos regionas</w:t>
            </w:r>
          </w:p>
        </w:tc>
        <w:tc>
          <w:tcPr>
            <w:tcW w:w="1080" w:type="dxa"/>
            <w:tcMar>
              <w:left w:w="28" w:type="dxa"/>
              <w:right w:w="28" w:type="dxa"/>
            </w:tcMar>
          </w:tcPr>
          <w:p w:rsidR="00121074" w:rsidRPr="00864A70" w:rsidRDefault="00121074" w:rsidP="00121074">
            <w:pPr>
              <w:jc w:val="center"/>
              <w:rPr>
                <w:color w:val="000000"/>
                <w:sz w:val="22"/>
                <w:szCs w:val="22"/>
                <w:shd w:val="clear" w:color="auto" w:fill="FFFFFF"/>
              </w:rPr>
            </w:pPr>
            <w:r w:rsidRPr="00864A70">
              <w:rPr>
                <w:sz w:val="22"/>
                <w:szCs w:val="22"/>
              </w:rPr>
              <w:t>01 – Dotacija</w:t>
            </w:r>
          </w:p>
        </w:tc>
        <w:tc>
          <w:tcPr>
            <w:tcW w:w="1344" w:type="dxa"/>
            <w:tcMar>
              <w:left w:w="28" w:type="dxa"/>
              <w:right w:w="28" w:type="dxa"/>
            </w:tcMar>
          </w:tcPr>
          <w:p w:rsidR="00121074" w:rsidRPr="00864A70" w:rsidRDefault="00121074" w:rsidP="00121074">
            <w:pPr>
              <w:jc w:val="center"/>
              <w:rPr>
                <w:sz w:val="22"/>
                <w:szCs w:val="22"/>
              </w:rPr>
            </w:pPr>
            <w:r w:rsidRPr="00864A70">
              <w:rPr>
                <w:iCs/>
                <w:sz w:val="22"/>
                <w:szCs w:val="22"/>
              </w:rPr>
              <w:t>33 – nesiorientuo</w:t>
            </w:r>
            <w:r w:rsidR="00864A70">
              <w:rPr>
                <w:iCs/>
                <w:sz w:val="22"/>
                <w:szCs w:val="22"/>
              </w:rPr>
              <w:t>-</w:t>
            </w:r>
            <w:r w:rsidRPr="00864A70">
              <w:rPr>
                <w:iCs/>
                <w:sz w:val="22"/>
                <w:szCs w:val="22"/>
              </w:rPr>
              <w:t>jant į teritori</w:t>
            </w:r>
            <w:r w:rsidR="00E112DD" w:rsidRPr="00864A70">
              <w:rPr>
                <w:iCs/>
                <w:sz w:val="22"/>
                <w:szCs w:val="22"/>
              </w:rPr>
              <w:t>škumą</w:t>
            </w:r>
          </w:p>
        </w:tc>
        <w:tc>
          <w:tcPr>
            <w:tcW w:w="1051" w:type="dxa"/>
            <w:tcMar>
              <w:left w:w="28" w:type="dxa"/>
              <w:right w:w="28" w:type="dxa"/>
            </w:tcMar>
          </w:tcPr>
          <w:p w:rsidR="00121074" w:rsidRPr="00864A70" w:rsidRDefault="00121074" w:rsidP="00121074">
            <w:pPr>
              <w:jc w:val="center"/>
              <w:rPr>
                <w:sz w:val="22"/>
                <w:szCs w:val="22"/>
              </w:rPr>
            </w:pPr>
            <w:r w:rsidRPr="00864A70">
              <w:rPr>
                <w:iCs/>
                <w:sz w:val="22"/>
                <w:szCs w:val="22"/>
              </w:rPr>
              <w:t>26 – kitos nenurody</w:t>
            </w:r>
            <w:r w:rsidR="00864A70">
              <w:rPr>
                <w:iCs/>
                <w:sz w:val="22"/>
                <w:szCs w:val="22"/>
              </w:rPr>
              <w:t>-</w:t>
            </w:r>
            <w:r w:rsidRPr="00864A70">
              <w:rPr>
                <w:iCs/>
                <w:sz w:val="22"/>
                <w:szCs w:val="22"/>
              </w:rPr>
              <w:t>tos paslaugos</w:t>
            </w:r>
          </w:p>
        </w:tc>
        <w:tc>
          <w:tcPr>
            <w:tcW w:w="1132" w:type="dxa"/>
            <w:tcMar>
              <w:left w:w="28" w:type="dxa"/>
              <w:right w:w="28" w:type="dxa"/>
            </w:tcMar>
          </w:tcPr>
          <w:p w:rsidR="00121074" w:rsidRPr="00864A70" w:rsidRDefault="00121074" w:rsidP="00121074">
            <w:pPr>
              <w:jc w:val="center"/>
              <w:rPr>
                <w:iCs/>
                <w:sz w:val="22"/>
                <w:szCs w:val="22"/>
              </w:rPr>
            </w:pPr>
            <w:r w:rsidRPr="00864A70">
              <w:rPr>
                <w:sz w:val="22"/>
                <w:szCs w:val="22"/>
              </w:rPr>
              <w:t>09</w:t>
            </w:r>
          </w:p>
        </w:tc>
        <w:tc>
          <w:tcPr>
            <w:tcW w:w="859" w:type="dxa"/>
            <w:tcMar>
              <w:left w:w="28" w:type="dxa"/>
              <w:right w:w="28" w:type="dxa"/>
            </w:tcMar>
          </w:tcPr>
          <w:p w:rsidR="00121074" w:rsidRPr="00864A70" w:rsidRDefault="00121074" w:rsidP="00121074">
            <w:pPr>
              <w:jc w:val="center"/>
              <w:rPr>
                <w:iCs/>
                <w:sz w:val="22"/>
                <w:szCs w:val="22"/>
              </w:rPr>
            </w:pPr>
            <w:r w:rsidRPr="00864A70">
              <w:rPr>
                <w:iCs/>
                <w:sz w:val="22"/>
                <w:szCs w:val="22"/>
              </w:rPr>
              <w:t>03 – neutralu</w:t>
            </w:r>
            <w:r w:rsidR="00864A70">
              <w:rPr>
                <w:iCs/>
                <w:sz w:val="22"/>
                <w:szCs w:val="22"/>
              </w:rPr>
              <w:t>-</w:t>
            </w:r>
            <w:r w:rsidRPr="00864A70">
              <w:rPr>
                <w:iCs/>
                <w:sz w:val="22"/>
                <w:szCs w:val="22"/>
              </w:rPr>
              <w:t>mas lyties požiūriu</w:t>
            </w:r>
          </w:p>
        </w:tc>
        <w:tc>
          <w:tcPr>
            <w:tcW w:w="1149" w:type="dxa"/>
          </w:tcPr>
          <w:p w:rsidR="00121074" w:rsidRPr="00864A70" w:rsidRDefault="00121074" w:rsidP="00121074">
            <w:pPr>
              <w:jc w:val="center"/>
              <w:rPr>
                <w:iCs/>
                <w:sz w:val="22"/>
                <w:szCs w:val="22"/>
              </w:rPr>
            </w:pPr>
            <w:r w:rsidRPr="00864A70">
              <w:rPr>
                <w:iCs/>
                <w:sz w:val="22"/>
                <w:szCs w:val="22"/>
              </w:rPr>
              <w:t>Ne</w:t>
            </w:r>
          </w:p>
        </w:tc>
      </w:tr>
    </w:tbl>
    <w:p w:rsidR="00EB0F8F" w:rsidRDefault="00EB0F8F">
      <w:pPr>
        <w:ind w:firstLine="567"/>
        <w:jc w:val="both"/>
        <w:rPr>
          <w:b/>
          <w:i/>
          <w:iCs/>
          <w:szCs w:val="24"/>
        </w:rPr>
      </w:pPr>
    </w:p>
    <w:p w:rsidR="002D01B8" w:rsidRDefault="002D01B8">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rsidTr="009D596A">
        <w:trPr>
          <w:trHeight w:val="405"/>
        </w:trPr>
        <w:tc>
          <w:tcPr>
            <w:tcW w:w="15134" w:type="dxa"/>
            <w:gridSpan w:val="4"/>
            <w:vAlign w:val="center"/>
          </w:tcPr>
          <w:p w:rsidR="001A6ED3" w:rsidRPr="0040525E" w:rsidRDefault="00CB10DA" w:rsidP="0040525E">
            <w:pPr>
              <w:pStyle w:val="ListParagraph"/>
              <w:numPr>
                <w:ilvl w:val="0"/>
                <w:numId w:val="5"/>
              </w:numPr>
              <w:tabs>
                <w:tab w:val="left" w:pos="288"/>
              </w:tabs>
              <w:ind w:left="0" w:firstLine="0"/>
              <w:rPr>
                <w:sz w:val="22"/>
                <w:szCs w:val="22"/>
              </w:rPr>
            </w:pPr>
            <w:r w:rsidRPr="0040525E">
              <w:rPr>
                <w:b/>
                <w:sz w:val="22"/>
                <w:szCs w:val="22"/>
              </w:rPr>
              <w:t>Veiklos ar poveiklės rodikliai</w:t>
            </w:r>
          </w:p>
        </w:tc>
      </w:tr>
      <w:tr w:rsidR="00484459" w:rsidTr="009D596A">
        <w:trPr>
          <w:trHeight w:val="405"/>
        </w:trPr>
        <w:tc>
          <w:tcPr>
            <w:tcW w:w="15134" w:type="dxa"/>
            <w:gridSpan w:val="4"/>
            <w:vAlign w:val="center"/>
          </w:tcPr>
          <w:p w:rsidR="00484459" w:rsidRPr="00543E5E" w:rsidRDefault="00D31E19" w:rsidP="00E36FA3">
            <w:pPr>
              <w:jc w:val="center"/>
              <w:rPr>
                <w:sz w:val="22"/>
                <w:szCs w:val="22"/>
              </w:rPr>
            </w:pPr>
            <w:r w:rsidRPr="00543E5E">
              <w:rPr>
                <w:sz w:val="22"/>
                <w:szCs w:val="22"/>
              </w:rPr>
              <w:t>Poveiklė Nr</w:t>
            </w:r>
            <w:r w:rsidRPr="00651D65">
              <w:rPr>
                <w:sz w:val="22"/>
                <w:szCs w:val="22"/>
              </w:rPr>
              <w:t xml:space="preserve">. </w:t>
            </w:r>
            <w:r w:rsidR="00BB5321" w:rsidRPr="00651D65">
              <w:rPr>
                <w:sz w:val="22"/>
                <w:szCs w:val="22"/>
              </w:rPr>
              <w:t>2.</w:t>
            </w:r>
            <w:r w:rsidR="00EB3012" w:rsidRPr="00651D65">
              <w:rPr>
                <w:sz w:val="22"/>
                <w:szCs w:val="22"/>
              </w:rPr>
              <w:t>5</w:t>
            </w:r>
            <w:r w:rsidR="00BB5321" w:rsidRPr="00651D65">
              <w:rPr>
                <w:sz w:val="22"/>
                <w:szCs w:val="22"/>
              </w:rPr>
              <w:t>.</w:t>
            </w:r>
            <w:r w:rsidRPr="00543E5E">
              <w:rPr>
                <w:sz w:val="22"/>
                <w:szCs w:val="22"/>
              </w:rPr>
              <w:t xml:space="preserve"> „</w:t>
            </w:r>
            <w:r w:rsidR="00BB5321" w:rsidRPr="00543E5E">
              <w:rPr>
                <w:sz w:val="22"/>
                <w:szCs w:val="22"/>
              </w:rPr>
              <w:t>Didinti mokslo tarptautiškumo lygį (Sostinė</w:t>
            </w:r>
            <w:r w:rsidR="00F7731E" w:rsidRPr="00543E5E">
              <w:rPr>
                <w:sz w:val="22"/>
                <w:szCs w:val="22"/>
              </w:rPr>
              <w:t>s regionas</w:t>
            </w:r>
            <w:r w:rsidR="00BB5321" w:rsidRPr="00543E5E">
              <w:rPr>
                <w:sz w:val="22"/>
                <w:szCs w:val="22"/>
              </w:rPr>
              <w:t>)</w:t>
            </w:r>
            <w:r w:rsidRPr="00543E5E">
              <w:rPr>
                <w:sz w:val="22"/>
                <w:szCs w:val="22"/>
              </w:rPr>
              <w:t>“</w:t>
            </w:r>
          </w:p>
        </w:tc>
      </w:tr>
      <w:tr w:rsidR="00EB0F8F" w:rsidTr="009D596A">
        <w:trPr>
          <w:trHeight w:val="405"/>
        </w:trPr>
        <w:tc>
          <w:tcPr>
            <w:tcW w:w="3783" w:type="dxa"/>
            <w:vAlign w:val="center"/>
          </w:tcPr>
          <w:p w:rsidR="00EB0F8F" w:rsidRDefault="00C222C1">
            <w:pPr>
              <w:jc w:val="center"/>
              <w:rPr>
                <w:sz w:val="22"/>
                <w:szCs w:val="22"/>
              </w:rPr>
            </w:pPr>
            <w:r>
              <w:rPr>
                <w:sz w:val="22"/>
                <w:szCs w:val="22"/>
              </w:rPr>
              <w:t>Rodiklio pavadinimas</w:t>
            </w:r>
          </w:p>
        </w:tc>
        <w:tc>
          <w:tcPr>
            <w:tcW w:w="3784" w:type="dxa"/>
            <w:vAlign w:val="center"/>
          </w:tcPr>
          <w:p w:rsidR="00EB0F8F" w:rsidRDefault="00C222C1">
            <w:pPr>
              <w:jc w:val="center"/>
              <w:rPr>
                <w:sz w:val="22"/>
                <w:szCs w:val="22"/>
              </w:rPr>
            </w:pPr>
            <w:r>
              <w:rPr>
                <w:sz w:val="22"/>
                <w:szCs w:val="22"/>
              </w:rPr>
              <w:t>Rodiklio kodas</w:t>
            </w:r>
          </w:p>
        </w:tc>
        <w:tc>
          <w:tcPr>
            <w:tcW w:w="3783" w:type="dxa"/>
            <w:vAlign w:val="center"/>
          </w:tcPr>
          <w:p w:rsidR="00EB0F8F" w:rsidRDefault="00C222C1">
            <w:pPr>
              <w:jc w:val="center"/>
              <w:rPr>
                <w:sz w:val="22"/>
                <w:szCs w:val="22"/>
              </w:rPr>
            </w:pPr>
            <w:r>
              <w:rPr>
                <w:sz w:val="22"/>
                <w:szCs w:val="22"/>
              </w:rPr>
              <w:t>Matavimo vienetai</w:t>
            </w:r>
          </w:p>
        </w:tc>
        <w:tc>
          <w:tcPr>
            <w:tcW w:w="3784" w:type="dxa"/>
            <w:vAlign w:val="center"/>
          </w:tcPr>
          <w:p w:rsidR="00EB0F8F" w:rsidRDefault="00C222C1">
            <w:pPr>
              <w:jc w:val="center"/>
              <w:rPr>
                <w:sz w:val="22"/>
                <w:szCs w:val="22"/>
              </w:rPr>
            </w:pPr>
            <w:r>
              <w:rPr>
                <w:sz w:val="22"/>
                <w:szCs w:val="22"/>
              </w:rPr>
              <w:t>Siektina reikšmė ir pasiekimo data</w:t>
            </w:r>
          </w:p>
        </w:tc>
      </w:tr>
      <w:tr w:rsidR="009F65DF" w:rsidTr="00B378BB">
        <w:trPr>
          <w:trHeight w:val="416"/>
        </w:trPr>
        <w:tc>
          <w:tcPr>
            <w:tcW w:w="3783" w:type="dxa"/>
            <w:vAlign w:val="center"/>
          </w:tcPr>
          <w:p w:rsidR="009F65DF" w:rsidRPr="00AC59D4" w:rsidRDefault="009F65DF" w:rsidP="009F65DF">
            <w:pPr>
              <w:jc w:val="center"/>
              <w:rPr>
                <w:i/>
                <w:iCs/>
                <w:sz w:val="22"/>
                <w:szCs w:val="22"/>
              </w:rPr>
            </w:pPr>
            <w:r w:rsidRPr="00AC59D4">
              <w:rPr>
                <w:sz w:val="22"/>
                <w:szCs w:val="22"/>
              </w:rPr>
              <w:t>Paramą gavusiose mokslinių tyrimų įstaigose dirbantys mokslininkai</w:t>
            </w:r>
          </w:p>
        </w:tc>
        <w:tc>
          <w:tcPr>
            <w:tcW w:w="3784" w:type="dxa"/>
            <w:vAlign w:val="center"/>
          </w:tcPr>
          <w:p w:rsidR="009F65DF" w:rsidRPr="00AC59D4" w:rsidRDefault="009F65DF" w:rsidP="009F65DF">
            <w:pPr>
              <w:jc w:val="center"/>
              <w:rPr>
                <w:sz w:val="22"/>
                <w:szCs w:val="22"/>
              </w:rPr>
            </w:pPr>
            <w:r w:rsidRPr="00AC59D4">
              <w:rPr>
                <w:sz w:val="22"/>
                <w:szCs w:val="22"/>
              </w:rPr>
              <w:t>P-12-001-01-02-01-01</w:t>
            </w:r>
          </w:p>
          <w:p w:rsidR="009F65DF" w:rsidRPr="00AC59D4" w:rsidRDefault="009F65DF" w:rsidP="009F65DF">
            <w:pPr>
              <w:jc w:val="center"/>
              <w:rPr>
                <w:i/>
                <w:iCs/>
                <w:sz w:val="22"/>
                <w:szCs w:val="22"/>
              </w:rPr>
            </w:pPr>
            <w:r w:rsidRPr="00AC59D4">
              <w:rPr>
                <w:color w:val="000000"/>
                <w:sz w:val="22"/>
                <w:szCs w:val="22"/>
                <w:lang w:eastAsia="lt-LT"/>
              </w:rPr>
              <w:t>P.B.2.0006</w:t>
            </w:r>
            <w:r w:rsidRPr="00AC59D4">
              <w:rPr>
                <w:sz w:val="22"/>
                <w:szCs w:val="22"/>
              </w:rPr>
              <w:t xml:space="preserve"> </w:t>
            </w:r>
          </w:p>
        </w:tc>
        <w:tc>
          <w:tcPr>
            <w:tcW w:w="3783" w:type="dxa"/>
            <w:vAlign w:val="center"/>
          </w:tcPr>
          <w:p w:rsidR="009F65DF" w:rsidRPr="00AC59D4" w:rsidRDefault="009F65DF" w:rsidP="009F65DF">
            <w:pPr>
              <w:jc w:val="center"/>
              <w:rPr>
                <w:i/>
                <w:iCs/>
                <w:sz w:val="22"/>
                <w:szCs w:val="22"/>
              </w:rPr>
            </w:pPr>
            <w:r w:rsidRPr="00AC59D4">
              <w:rPr>
                <w:sz w:val="22"/>
                <w:szCs w:val="22"/>
              </w:rPr>
              <w:t>Vienų metų etato ekvivalentai</w:t>
            </w:r>
          </w:p>
        </w:tc>
        <w:tc>
          <w:tcPr>
            <w:tcW w:w="3784" w:type="dxa"/>
            <w:vAlign w:val="center"/>
          </w:tcPr>
          <w:p w:rsidR="009F65DF" w:rsidRPr="00AC59D4" w:rsidRDefault="009F65DF" w:rsidP="009F65DF">
            <w:pPr>
              <w:jc w:val="center"/>
              <w:rPr>
                <w:i/>
                <w:iCs/>
                <w:sz w:val="22"/>
                <w:szCs w:val="22"/>
              </w:rPr>
            </w:pPr>
            <w:r w:rsidRPr="00AC59D4">
              <w:rPr>
                <w:sz w:val="22"/>
                <w:szCs w:val="22"/>
              </w:rPr>
              <w:t>30 (2029)</w:t>
            </w:r>
          </w:p>
        </w:tc>
      </w:tr>
      <w:tr w:rsidR="00D77151" w:rsidTr="00B378BB">
        <w:trPr>
          <w:trHeight w:val="416"/>
        </w:trPr>
        <w:tc>
          <w:tcPr>
            <w:tcW w:w="3783" w:type="dxa"/>
            <w:vAlign w:val="center"/>
          </w:tcPr>
          <w:p w:rsidR="00D77151" w:rsidRPr="00AC59D4" w:rsidRDefault="00D77151" w:rsidP="00D77151">
            <w:pPr>
              <w:jc w:val="center"/>
              <w:rPr>
                <w:i/>
                <w:iCs/>
                <w:sz w:val="22"/>
                <w:szCs w:val="22"/>
              </w:rPr>
            </w:pPr>
            <w:r w:rsidRPr="00AC59D4">
              <w:rPr>
                <w:sz w:val="22"/>
                <w:szCs w:val="22"/>
              </w:rPr>
              <w:t>Nominalioji mokslinių tyrimų ir inovacijų įrangos vertė</w:t>
            </w:r>
          </w:p>
        </w:tc>
        <w:tc>
          <w:tcPr>
            <w:tcW w:w="3784" w:type="dxa"/>
            <w:vAlign w:val="center"/>
          </w:tcPr>
          <w:p w:rsidR="00D77151" w:rsidRPr="00AC59D4" w:rsidRDefault="00D77151" w:rsidP="00D77151">
            <w:pPr>
              <w:spacing w:line="276" w:lineRule="auto"/>
              <w:jc w:val="center"/>
              <w:rPr>
                <w:sz w:val="22"/>
                <w:szCs w:val="22"/>
              </w:rPr>
            </w:pPr>
            <w:r w:rsidRPr="00AC59D4">
              <w:rPr>
                <w:sz w:val="22"/>
                <w:szCs w:val="22"/>
              </w:rPr>
              <w:t xml:space="preserve">P-12-001-01-02-01-03 </w:t>
            </w:r>
          </w:p>
          <w:p w:rsidR="00D77151" w:rsidRPr="00AC59D4" w:rsidRDefault="00D77151" w:rsidP="00D77151">
            <w:pPr>
              <w:jc w:val="center"/>
              <w:rPr>
                <w:i/>
                <w:iCs/>
                <w:sz w:val="22"/>
                <w:szCs w:val="22"/>
              </w:rPr>
            </w:pPr>
            <w:r w:rsidRPr="00AC59D4">
              <w:rPr>
                <w:color w:val="000000"/>
                <w:sz w:val="22"/>
                <w:szCs w:val="22"/>
                <w:lang w:eastAsia="lt-LT"/>
              </w:rPr>
              <w:t>P.B.2.0008</w:t>
            </w:r>
          </w:p>
        </w:tc>
        <w:tc>
          <w:tcPr>
            <w:tcW w:w="3783" w:type="dxa"/>
            <w:vAlign w:val="center"/>
          </w:tcPr>
          <w:p w:rsidR="00D77151" w:rsidRPr="00AC59D4" w:rsidRDefault="00D77151" w:rsidP="00D77151">
            <w:pPr>
              <w:jc w:val="center"/>
              <w:rPr>
                <w:i/>
                <w:iCs/>
                <w:sz w:val="22"/>
                <w:szCs w:val="22"/>
              </w:rPr>
            </w:pPr>
            <w:r w:rsidRPr="00AC59D4">
              <w:rPr>
                <w:sz w:val="22"/>
                <w:szCs w:val="22"/>
              </w:rPr>
              <w:t>Eurai</w:t>
            </w:r>
          </w:p>
        </w:tc>
        <w:tc>
          <w:tcPr>
            <w:tcW w:w="3784" w:type="dxa"/>
            <w:vAlign w:val="center"/>
          </w:tcPr>
          <w:p w:rsidR="00D77151" w:rsidRPr="00AC59D4" w:rsidRDefault="00C31BD6" w:rsidP="00D77151">
            <w:pPr>
              <w:jc w:val="center"/>
              <w:rPr>
                <w:i/>
                <w:iCs/>
                <w:sz w:val="22"/>
                <w:szCs w:val="22"/>
              </w:rPr>
            </w:pPr>
            <w:r>
              <w:rPr>
                <w:sz w:val="22"/>
                <w:szCs w:val="22"/>
                <w:lang w:val="en-US"/>
              </w:rPr>
              <w:t>1 422</w:t>
            </w:r>
            <w:r w:rsidR="009D62F5">
              <w:rPr>
                <w:sz w:val="22"/>
                <w:szCs w:val="22"/>
                <w:lang w:val="en-US"/>
              </w:rPr>
              <w:t> </w:t>
            </w:r>
            <w:r>
              <w:rPr>
                <w:sz w:val="22"/>
                <w:szCs w:val="22"/>
                <w:lang w:val="en-US"/>
              </w:rPr>
              <w:t>056</w:t>
            </w:r>
            <w:r w:rsidR="00A24D7E" w:rsidRPr="00A24D7E">
              <w:rPr>
                <w:sz w:val="22"/>
                <w:szCs w:val="22"/>
              </w:rPr>
              <w:t xml:space="preserve"> </w:t>
            </w:r>
            <w:r w:rsidR="00D77151" w:rsidRPr="00AC59D4">
              <w:rPr>
                <w:sz w:val="22"/>
                <w:szCs w:val="22"/>
              </w:rPr>
              <w:t>(2029)</w:t>
            </w:r>
          </w:p>
        </w:tc>
      </w:tr>
      <w:tr w:rsidR="00AC59D4" w:rsidTr="00B378BB">
        <w:trPr>
          <w:trHeight w:val="416"/>
        </w:trPr>
        <w:tc>
          <w:tcPr>
            <w:tcW w:w="3783" w:type="dxa"/>
            <w:vAlign w:val="center"/>
          </w:tcPr>
          <w:p w:rsidR="00AC59D4" w:rsidRPr="00AC59D4" w:rsidRDefault="00AC59D4" w:rsidP="00AC59D4">
            <w:pPr>
              <w:jc w:val="center"/>
              <w:rPr>
                <w:i/>
                <w:iCs/>
                <w:sz w:val="22"/>
                <w:szCs w:val="22"/>
              </w:rPr>
            </w:pPr>
            <w:r w:rsidRPr="00AC59D4">
              <w:rPr>
                <w:sz w:val="22"/>
                <w:szCs w:val="22"/>
              </w:rPr>
              <w:t>Remiamų projektų leidiniai</w:t>
            </w:r>
          </w:p>
        </w:tc>
        <w:tc>
          <w:tcPr>
            <w:tcW w:w="3784" w:type="dxa"/>
            <w:vAlign w:val="center"/>
          </w:tcPr>
          <w:p w:rsidR="00AC59D4" w:rsidRPr="00AC59D4" w:rsidRDefault="00AC59D4" w:rsidP="00AC59D4">
            <w:pPr>
              <w:jc w:val="center"/>
              <w:rPr>
                <w:sz w:val="22"/>
                <w:szCs w:val="22"/>
              </w:rPr>
            </w:pPr>
            <w:r w:rsidRPr="00AC59D4">
              <w:rPr>
                <w:sz w:val="22"/>
                <w:szCs w:val="22"/>
              </w:rPr>
              <w:t>R-12-001-01-02-01-05</w:t>
            </w:r>
          </w:p>
          <w:p w:rsidR="00AC59D4" w:rsidRPr="00AC59D4" w:rsidRDefault="00AC59D4" w:rsidP="00AC59D4">
            <w:pPr>
              <w:jc w:val="center"/>
              <w:rPr>
                <w:i/>
                <w:iCs/>
                <w:sz w:val="22"/>
                <w:szCs w:val="22"/>
              </w:rPr>
            </w:pPr>
            <w:r w:rsidRPr="00AC59D4">
              <w:rPr>
                <w:color w:val="000000"/>
                <w:sz w:val="22"/>
                <w:szCs w:val="22"/>
                <w:lang w:eastAsia="lt-LT"/>
              </w:rPr>
              <w:t>R.B.2.2008</w:t>
            </w:r>
          </w:p>
        </w:tc>
        <w:tc>
          <w:tcPr>
            <w:tcW w:w="3783" w:type="dxa"/>
            <w:vAlign w:val="center"/>
          </w:tcPr>
          <w:p w:rsidR="00AC59D4" w:rsidRPr="00AC59D4" w:rsidRDefault="00AC59D4" w:rsidP="00AC59D4">
            <w:pPr>
              <w:jc w:val="center"/>
              <w:rPr>
                <w:i/>
                <w:iCs/>
                <w:sz w:val="22"/>
                <w:szCs w:val="22"/>
              </w:rPr>
            </w:pPr>
            <w:r w:rsidRPr="00AC59D4">
              <w:rPr>
                <w:sz w:val="22"/>
                <w:szCs w:val="22"/>
              </w:rPr>
              <w:t>Leidiniai</w:t>
            </w:r>
          </w:p>
        </w:tc>
        <w:tc>
          <w:tcPr>
            <w:tcW w:w="3784" w:type="dxa"/>
            <w:vAlign w:val="center"/>
          </w:tcPr>
          <w:p w:rsidR="00AC59D4" w:rsidRPr="00AC59D4" w:rsidRDefault="005B7632" w:rsidP="00AC59D4">
            <w:pPr>
              <w:jc w:val="center"/>
              <w:rPr>
                <w:i/>
                <w:iCs/>
                <w:sz w:val="22"/>
                <w:szCs w:val="22"/>
              </w:rPr>
            </w:pPr>
            <w:r>
              <w:rPr>
                <w:sz w:val="22"/>
                <w:szCs w:val="22"/>
              </w:rPr>
              <w:t>53</w:t>
            </w:r>
            <w:r w:rsidR="00AC59D4" w:rsidRPr="00AC59D4">
              <w:rPr>
                <w:sz w:val="22"/>
                <w:szCs w:val="22"/>
              </w:rPr>
              <w:t xml:space="preserve"> (2029)</w:t>
            </w:r>
          </w:p>
        </w:tc>
      </w:tr>
      <w:tr w:rsidR="00F868DA" w:rsidTr="00B378BB">
        <w:trPr>
          <w:trHeight w:val="416"/>
        </w:trPr>
        <w:tc>
          <w:tcPr>
            <w:tcW w:w="15134" w:type="dxa"/>
            <w:gridSpan w:val="4"/>
          </w:tcPr>
          <w:p w:rsidR="00F868DA" w:rsidRPr="00543E5E" w:rsidRDefault="00F868DA" w:rsidP="00F868DA">
            <w:pPr>
              <w:jc w:val="center"/>
              <w:rPr>
                <w:sz w:val="22"/>
                <w:szCs w:val="22"/>
              </w:rPr>
            </w:pPr>
            <w:r w:rsidRPr="00543E5E">
              <w:rPr>
                <w:sz w:val="22"/>
                <w:szCs w:val="22"/>
              </w:rPr>
              <w:t>Poveiklė Nr</w:t>
            </w:r>
            <w:r w:rsidRPr="00651D65">
              <w:rPr>
                <w:sz w:val="22"/>
                <w:szCs w:val="22"/>
              </w:rPr>
              <w:t xml:space="preserve">. </w:t>
            </w:r>
            <w:r w:rsidR="00F7731E" w:rsidRPr="00651D65">
              <w:rPr>
                <w:sz w:val="22"/>
                <w:szCs w:val="22"/>
              </w:rPr>
              <w:t>2.</w:t>
            </w:r>
            <w:r w:rsidR="00EB3012" w:rsidRPr="00651D65">
              <w:rPr>
                <w:sz w:val="22"/>
                <w:szCs w:val="22"/>
              </w:rPr>
              <w:t>6</w:t>
            </w:r>
            <w:r w:rsidR="008A33E6" w:rsidRPr="00651D65">
              <w:rPr>
                <w:sz w:val="22"/>
                <w:szCs w:val="22"/>
              </w:rPr>
              <w:t>.</w:t>
            </w:r>
            <w:r w:rsidR="00F7731E" w:rsidRPr="00543E5E">
              <w:rPr>
                <w:sz w:val="22"/>
                <w:szCs w:val="22"/>
              </w:rPr>
              <w:t xml:space="preserve"> „Didinti mokslo tarptautiškumo lygį (VVL)</w:t>
            </w:r>
            <w:r w:rsidR="0001369A" w:rsidRPr="00543E5E">
              <w:rPr>
                <w:sz w:val="22"/>
                <w:szCs w:val="22"/>
              </w:rPr>
              <w:t>“</w:t>
            </w:r>
          </w:p>
        </w:tc>
      </w:tr>
      <w:tr w:rsidR="005B61D8" w:rsidTr="00B378BB">
        <w:trPr>
          <w:trHeight w:val="416"/>
        </w:trPr>
        <w:tc>
          <w:tcPr>
            <w:tcW w:w="3783" w:type="dxa"/>
            <w:vAlign w:val="center"/>
          </w:tcPr>
          <w:p w:rsidR="005B61D8" w:rsidRPr="005B61D8" w:rsidRDefault="005B61D8" w:rsidP="005B61D8">
            <w:pPr>
              <w:jc w:val="center"/>
              <w:rPr>
                <w:i/>
                <w:iCs/>
                <w:sz w:val="22"/>
                <w:szCs w:val="22"/>
              </w:rPr>
            </w:pPr>
            <w:r w:rsidRPr="005B61D8">
              <w:rPr>
                <w:sz w:val="22"/>
                <w:szCs w:val="22"/>
              </w:rPr>
              <w:t>Paramą gavusiose mokslinių tyrimų įstaigose dirbantys mokslininkai</w:t>
            </w:r>
          </w:p>
        </w:tc>
        <w:tc>
          <w:tcPr>
            <w:tcW w:w="3784" w:type="dxa"/>
            <w:vAlign w:val="center"/>
          </w:tcPr>
          <w:p w:rsidR="005B61D8" w:rsidRPr="005B61D8" w:rsidRDefault="005B61D8" w:rsidP="005B61D8">
            <w:pPr>
              <w:jc w:val="center"/>
              <w:rPr>
                <w:sz w:val="22"/>
                <w:szCs w:val="22"/>
              </w:rPr>
            </w:pPr>
            <w:r w:rsidRPr="005B61D8">
              <w:rPr>
                <w:sz w:val="22"/>
                <w:szCs w:val="22"/>
              </w:rPr>
              <w:t>P-12-001-01-02-01-01</w:t>
            </w:r>
          </w:p>
          <w:p w:rsidR="005B61D8" w:rsidRPr="005B61D8" w:rsidRDefault="005B61D8" w:rsidP="005B61D8">
            <w:pPr>
              <w:jc w:val="center"/>
              <w:rPr>
                <w:i/>
                <w:iCs/>
                <w:sz w:val="22"/>
                <w:szCs w:val="22"/>
              </w:rPr>
            </w:pPr>
            <w:r w:rsidRPr="005B61D8">
              <w:rPr>
                <w:color w:val="000000"/>
                <w:sz w:val="22"/>
                <w:szCs w:val="22"/>
                <w:lang w:eastAsia="lt-LT"/>
              </w:rPr>
              <w:t>P.B.2.0006</w:t>
            </w:r>
            <w:r w:rsidRPr="005B61D8">
              <w:rPr>
                <w:sz w:val="22"/>
                <w:szCs w:val="22"/>
              </w:rPr>
              <w:t xml:space="preserve"> </w:t>
            </w:r>
          </w:p>
        </w:tc>
        <w:tc>
          <w:tcPr>
            <w:tcW w:w="3783" w:type="dxa"/>
            <w:vAlign w:val="center"/>
          </w:tcPr>
          <w:p w:rsidR="005B61D8" w:rsidRPr="005B61D8" w:rsidRDefault="005B61D8" w:rsidP="005B61D8">
            <w:pPr>
              <w:jc w:val="center"/>
              <w:rPr>
                <w:i/>
                <w:iCs/>
                <w:sz w:val="22"/>
                <w:szCs w:val="22"/>
              </w:rPr>
            </w:pPr>
            <w:r w:rsidRPr="005B61D8">
              <w:rPr>
                <w:sz w:val="22"/>
                <w:szCs w:val="22"/>
              </w:rPr>
              <w:t>Vienų metų etato ekvivalentai</w:t>
            </w:r>
          </w:p>
        </w:tc>
        <w:tc>
          <w:tcPr>
            <w:tcW w:w="3784" w:type="dxa"/>
            <w:vAlign w:val="center"/>
          </w:tcPr>
          <w:p w:rsidR="005B61D8" w:rsidRPr="005B61D8" w:rsidRDefault="000C5F0E" w:rsidP="005B61D8">
            <w:pPr>
              <w:jc w:val="center"/>
              <w:rPr>
                <w:i/>
                <w:iCs/>
                <w:sz w:val="22"/>
                <w:szCs w:val="22"/>
              </w:rPr>
            </w:pPr>
            <w:r>
              <w:rPr>
                <w:sz w:val="22"/>
                <w:szCs w:val="22"/>
              </w:rPr>
              <w:t>2</w:t>
            </w:r>
            <w:r w:rsidR="005B61D8" w:rsidRPr="005B61D8">
              <w:rPr>
                <w:sz w:val="22"/>
                <w:szCs w:val="22"/>
              </w:rPr>
              <w:t>0 (2029)</w:t>
            </w:r>
          </w:p>
        </w:tc>
      </w:tr>
      <w:tr w:rsidR="005B61D8" w:rsidTr="00B378BB">
        <w:trPr>
          <w:trHeight w:val="416"/>
        </w:trPr>
        <w:tc>
          <w:tcPr>
            <w:tcW w:w="3783" w:type="dxa"/>
            <w:vAlign w:val="center"/>
          </w:tcPr>
          <w:p w:rsidR="005B61D8" w:rsidRPr="005B61D8" w:rsidRDefault="005B61D8" w:rsidP="005B61D8">
            <w:pPr>
              <w:jc w:val="center"/>
              <w:rPr>
                <w:i/>
                <w:iCs/>
                <w:sz w:val="22"/>
                <w:szCs w:val="22"/>
              </w:rPr>
            </w:pPr>
            <w:r w:rsidRPr="005B61D8">
              <w:rPr>
                <w:sz w:val="22"/>
                <w:szCs w:val="22"/>
              </w:rPr>
              <w:t>Nominalioji mokslinių tyrimų ir inovacijų įrangos vertė</w:t>
            </w:r>
          </w:p>
        </w:tc>
        <w:tc>
          <w:tcPr>
            <w:tcW w:w="3784" w:type="dxa"/>
            <w:vAlign w:val="center"/>
          </w:tcPr>
          <w:p w:rsidR="005B61D8" w:rsidRPr="005B61D8" w:rsidRDefault="005B61D8" w:rsidP="005B61D8">
            <w:pPr>
              <w:spacing w:line="276" w:lineRule="auto"/>
              <w:jc w:val="center"/>
              <w:rPr>
                <w:sz w:val="22"/>
                <w:szCs w:val="22"/>
              </w:rPr>
            </w:pPr>
            <w:r w:rsidRPr="005B61D8">
              <w:rPr>
                <w:sz w:val="22"/>
                <w:szCs w:val="22"/>
              </w:rPr>
              <w:t xml:space="preserve">P-12-001-01-02-01-03 </w:t>
            </w:r>
          </w:p>
          <w:p w:rsidR="005B61D8" w:rsidRPr="005B61D8" w:rsidRDefault="005B61D8" w:rsidP="005B61D8">
            <w:pPr>
              <w:jc w:val="center"/>
              <w:rPr>
                <w:i/>
                <w:iCs/>
                <w:sz w:val="22"/>
                <w:szCs w:val="22"/>
              </w:rPr>
            </w:pPr>
            <w:r w:rsidRPr="005B61D8">
              <w:rPr>
                <w:color w:val="000000"/>
                <w:sz w:val="22"/>
                <w:szCs w:val="22"/>
                <w:lang w:eastAsia="lt-LT"/>
              </w:rPr>
              <w:t>P.B.2.0008</w:t>
            </w:r>
          </w:p>
        </w:tc>
        <w:tc>
          <w:tcPr>
            <w:tcW w:w="3783" w:type="dxa"/>
            <w:vAlign w:val="center"/>
          </w:tcPr>
          <w:p w:rsidR="005B61D8" w:rsidRPr="005B61D8" w:rsidRDefault="005B61D8" w:rsidP="005B61D8">
            <w:pPr>
              <w:jc w:val="center"/>
              <w:rPr>
                <w:i/>
                <w:iCs/>
                <w:sz w:val="22"/>
                <w:szCs w:val="22"/>
              </w:rPr>
            </w:pPr>
            <w:r w:rsidRPr="005B61D8">
              <w:rPr>
                <w:sz w:val="22"/>
                <w:szCs w:val="22"/>
              </w:rPr>
              <w:t>Eurai</w:t>
            </w:r>
          </w:p>
        </w:tc>
        <w:tc>
          <w:tcPr>
            <w:tcW w:w="3784" w:type="dxa"/>
            <w:vAlign w:val="center"/>
          </w:tcPr>
          <w:p w:rsidR="005B61D8" w:rsidRPr="005B61D8" w:rsidRDefault="005B61D8" w:rsidP="005B61D8">
            <w:pPr>
              <w:ind w:left="360"/>
              <w:jc w:val="center"/>
              <w:rPr>
                <w:sz w:val="22"/>
                <w:szCs w:val="22"/>
              </w:rPr>
            </w:pPr>
            <w:r w:rsidRPr="005B61D8">
              <w:rPr>
                <w:sz w:val="22"/>
                <w:szCs w:val="22"/>
              </w:rPr>
              <w:t> </w:t>
            </w:r>
            <w:r w:rsidR="009D62F5" w:rsidRPr="009D62F5">
              <w:rPr>
                <w:sz w:val="22"/>
                <w:szCs w:val="22"/>
              </w:rPr>
              <w:t>400</w:t>
            </w:r>
            <w:r w:rsidR="009D62F5">
              <w:rPr>
                <w:sz w:val="22"/>
                <w:szCs w:val="22"/>
              </w:rPr>
              <w:t> </w:t>
            </w:r>
            <w:r w:rsidR="009D62F5" w:rsidRPr="009D62F5">
              <w:rPr>
                <w:sz w:val="22"/>
                <w:szCs w:val="22"/>
              </w:rPr>
              <w:t xml:space="preserve">000 </w:t>
            </w:r>
            <w:r w:rsidRPr="005B61D8">
              <w:rPr>
                <w:sz w:val="22"/>
                <w:szCs w:val="22"/>
              </w:rPr>
              <w:t>(2029)</w:t>
            </w:r>
          </w:p>
        </w:tc>
      </w:tr>
      <w:tr w:rsidR="005B61D8" w:rsidTr="00B378BB">
        <w:trPr>
          <w:trHeight w:val="416"/>
        </w:trPr>
        <w:tc>
          <w:tcPr>
            <w:tcW w:w="3783" w:type="dxa"/>
            <w:vAlign w:val="center"/>
          </w:tcPr>
          <w:p w:rsidR="005B61D8" w:rsidRPr="005B61D8" w:rsidRDefault="005B61D8" w:rsidP="005B61D8">
            <w:pPr>
              <w:jc w:val="center"/>
              <w:rPr>
                <w:i/>
                <w:iCs/>
                <w:sz w:val="22"/>
                <w:szCs w:val="22"/>
              </w:rPr>
            </w:pPr>
            <w:r w:rsidRPr="005B61D8">
              <w:rPr>
                <w:sz w:val="22"/>
                <w:szCs w:val="22"/>
              </w:rPr>
              <w:t>Remiamų projektų leidiniai</w:t>
            </w:r>
          </w:p>
        </w:tc>
        <w:tc>
          <w:tcPr>
            <w:tcW w:w="3784" w:type="dxa"/>
            <w:vAlign w:val="center"/>
          </w:tcPr>
          <w:p w:rsidR="005B61D8" w:rsidRPr="005B61D8" w:rsidRDefault="005B61D8" w:rsidP="005B61D8">
            <w:pPr>
              <w:jc w:val="center"/>
              <w:rPr>
                <w:sz w:val="22"/>
                <w:szCs w:val="22"/>
              </w:rPr>
            </w:pPr>
            <w:r w:rsidRPr="005B61D8">
              <w:rPr>
                <w:sz w:val="22"/>
                <w:szCs w:val="22"/>
              </w:rPr>
              <w:t>R-12-001-01-02-01-05</w:t>
            </w:r>
          </w:p>
          <w:p w:rsidR="005B61D8" w:rsidRPr="005B61D8" w:rsidRDefault="005B61D8" w:rsidP="005B61D8">
            <w:pPr>
              <w:jc w:val="center"/>
              <w:rPr>
                <w:i/>
                <w:iCs/>
                <w:sz w:val="22"/>
                <w:szCs w:val="22"/>
              </w:rPr>
            </w:pPr>
            <w:r w:rsidRPr="005B61D8">
              <w:rPr>
                <w:color w:val="000000"/>
                <w:sz w:val="22"/>
                <w:szCs w:val="22"/>
                <w:lang w:eastAsia="lt-LT"/>
              </w:rPr>
              <w:t>R.B.2.2008</w:t>
            </w:r>
          </w:p>
        </w:tc>
        <w:tc>
          <w:tcPr>
            <w:tcW w:w="3783" w:type="dxa"/>
            <w:vAlign w:val="center"/>
          </w:tcPr>
          <w:p w:rsidR="005B61D8" w:rsidRPr="005B61D8" w:rsidRDefault="005B61D8" w:rsidP="005B61D8">
            <w:pPr>
              <w:jc w:val="center"/>
              <w:rPr>
                <w:i/>
                <w:iCs/>
                <w:sz w:val="22"/>
                <w:szCs w:val="22"/>
              </w:rPr>
            </w:pPr>
            <w:r w:rsidRPr="005B61D8">
              <w:rPr>
                <w:sz w:val="22"/>
                <w:szCs w:val="22"/>
              </w:rPr>
              <w:t>Leidiniai</w:t>
            </w:r>
          </w:p>
        </w:tc>
        <w:tc>
          <w:tcPr>
            <w:tcW w:w="3784" w:type="dxa"/>
            <w:vAlign w:val="center"/>
          </w:tcPr>
          <w:p w:rsidR="005B61D8" w:rsidRPr="005B61D8" w:rsidRDefault="005B61D8" w:rsidP="005B61D8">
            <w:pPr>
              <w:ind w:left="360"/>
              <w:jc w:val="center"/>
              <w:rPr>
                <w:sz w:val="22"/>
                <w:szCs w:val="22"/>
              </w:rPr>
            </w:pPr>
            <w:r w:rsidRPr="005B61D8">
              <w:rPr>
                <w:sz w:val="22"/>
                <w:szCs w:val="22"/>
              </w:rPr>
              <w:t>1</w:t>
            </w:r>
            <w:r w:rsidR="000C5F0E">
              <w:rPr>
                <w:sz w:val="22"/>
                <w:szCs w:val="22"/>
              </w:rPr>
              <w:t>5</w:t>
            </w:r>
            <w:r w:rsidRPr="005B61D8">
              <w:rPr>
                <w:sz w:val="22"/>
                <w:szCs w:val="22"/>
              </w:rPr>
              <w:t xml:space="preserve"> (2029)</w:t>
            </w:r>
          </w:p>
        </w:tc>
      </w:tr>
    </w:tbl>
    <w:p w:rsidR="00EB0F8F" w:rsidRDefault="00EB0F8F">
      <w:pPr>
        <w:jc w:val="both"/>
        <w:rPr>
          <w:i/>
          <w:iCs/>
          <w:szCs w:val="24"/>
        </w:rPr>
      </w:pPr>
    </w:p>
    <w:p w:rsidR="00EB0F8F" w:rsidRDefault="00EB0F8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rsidTr="009D596A">
        <w:trPr>
          <w:trHeight w:val="298"/>
        </w:trPr>
        <w:tc>
          <w:tcPr>
            <w:tcW w:w="15158" w:type="dxa"/>
          </w:tcPr>
          <w:p w:rsidR="00EB0F8F" w:rsidRPr="008A33E6" w:rsidRDefault="00D31E19" w:rsidP="0040525E">
            <w:pPr>
              <w:pStyle w:val="ListParagraph"/>
              <w:numPr>
                <w:ilvl w:val="0"/>
                <w:numId w:val="22"/>
              </w:numPr>
              <w:tabs>
                <w:tab w:val="left" w:pos="318"/>
              </w:tabs>
              <w:ind w:left="0" w:firstLine="0"/>
              <w:jc w:val="both"/>
              <w:rPr>
                <w:b/>
                <w:bCs/>
                <w:szCs w:val="24"/>
              </w:rPr>
            </w:pPr>
            <w:r w:rsidRPr="008A33E6">
              <w:rPr>
                <w:b/>
                <w:bCs/>
                <w:szCs w:val="24"/>
              </w:rPr>
              <w:t xml:space="preserve">Lietuvos Respublikos švietimo, mokslo ir sporto ministerijos (toliau – </w:t>
            </w:r>
            <w:r w:rsidR="00C222C1" w:rsidRPr="008A33E6">
              <w:rPr>
                <w:b/>
                <w:bCs/>
                <w:szCs w:val="24"/>
              </w:rPr>
              <w:t>Ministerij</w:t>
            </w:r>
            <w:r w:rsidRPr="008A33E6">
              <w:rPr>
                <w:b/>
                <w:bCs/>
                <w:szCs w:val="24"/>
              </w:rPr>
              <w:t>a)</w:t>
            </w:r>
            <w:r w:rsidR="00C222C1" w:rsidRPr="008A33E6">
              <w:rPr>
                <w:b/>
                <w:bCs/>
                <w:szCs w:val="24"/>
              </w:rPr>
              <w:t xml:space="preserve"> stebėsenos rodiklių aprašymo kortelės</w:t>
            </w:r>
          </w:p>
        </w:tc>
      </w:tr>
      <w:tr w:rsidR="00EB0F8F" w:rsidTr="009D596A">
        <w:trPr>
          <w:trHeight w:val="315"/>
        </w:trPr>
        <w:tc>
          <w:tcPr>
            <w:tcW w:w="15158" w:type="dxa"/>
          </w:tcPr>
          <w:p w:rsidR="00EB0F8F" w:rsidRDefault="00FC42BF" w:rsidP="00E92BCC">
            <w:pPr>
              <w:jc w:val="both"/>
              <w:rPr>
                <w:i/>
                <w:szCs w:val="24"/>
              </w:rPr>
            </w:pPr>
            <w:r w:rsidRPr="00FC42BF">
              <w:rPr>
                <w:szCs w:val="24"/>
              </w:rPr>
              <w:t>Ministerijos stebėsenos rodiklių aprašymo kortelės pateiktos šiuo</w:t>
            </w:r>
            <w:r w:rsidR="0043208E">
              <w:t xml:space="preserve"> </w:t>
            </w:r>
            <w:r w:rsidR="0043208E" w:rsidRPr="0043208E">
              <w:rPr>
                <w:szCs w:val="24"/>
              </w:rPr>
              <w:t>Lietuvos Respublikos švietimo, mokslo ir sporto ministro įsakymu patvirtinto</w:t>
            </w:r>
            <w:r w:rsidRPr="00FC42BF">
              <w:rPr>
                <w:szCs w:val="24"/>
              </w:rPr>
              <w:t xml:space="preserve"> </w:t>
            </w:r>
            <w:r w:rsidR="00FC5CEB" w:rsidRPr="009706E4">
              <w:rPr>
                <w:szCs w:val="24"/>
              </w:rPr>
              <w:t>2021–2030 m. plėtros programos valdytojos Lietuvos Respublikos švietimo, mokslo ir sporto ministerijos</w:t>
            </w:r>
            <w:r w:rsidR="00E16DCF">
              <w:rPr>
                <w:szCs w:val="24"/>
              </w:rPr>
              <w:t xml:space="preserve"> </w:t>
            </w:r>
            <w:r w:rsidR="007514E4">
              <w:rPr>
                <w:szCs w:val="24"/>
              </w:rPr>
              <w:t>mokslo</w:t>
            </w:r>
            <w:r w:rsidR="00FC5CEB" w:rsidRPr="009706E4">
              <w:rPr>
                <w:szCs w:val="24"/>
              </w:rPr>
              <w:t xml:space="preserve"> plėtros programos pažangos priemonės </w:t>
            </w:r>
            <w:r w:rsidR="007514E4">
              <w:rPr>
                <w:szCs w:val="24"/>
              </w:rPr>
              <w:t>Nr</w:t>
            </w:r>
            <w:r w:rsidR="007514E4" w:rsidRPr="007514E4">
              <w:rPr>
                <w:szCs w:val="24"/>
              </w:rPr>
              <w:t>. 12-001-01-02-01 „Stiprinti inovacijų ekosistemas mokslo centruose“</w:t>
            </w:r>
            <w:r w:rsidR="00380D39">
              <w:rPr>
                <w:szCs w:val="24"/>
              </w:rPr>
              <w:t xml:space="preserve"> </w:t>
            </w:r>
            <w:r w:rsidR="00FC5CEB">
              <w:rPr>
                <w:szCs w:val="24"/>
              </w:rPr>
              <w:t xml:space="preserve">aprašo </w:t>
            </w:r>
            <w:r w:rsidR="00C32DC1">
              <w:rPr>
                <w:szCs w:val="24"/>
              </w:rPr>
              <w:t>16</w:t>
            </w:r>
            <w:r w:rsidR="00FC5CEB">
              <w:rPr>
                <w:szCs w:val="24"/>
              </w:rPr>
              <w:t xml:space="preserve"> pried</w:t>
            </w:r>
            <w:r w:rsidR="0043208E">
              <w:rPr>
                <w:szCs w:val="24"/>
              </w:rPr>
              <w:t>e.</w:t>
            </w:r>
          </w:p>
        </w:tc>
      </w:tr>
    </w:tbl>
    <w:p w:rsidR="001A6ED3" w:rsidRPr="001A6ED3" w:rsidRDefault="001A6ED3" w:rsidP="001A6ED3">
      <w:pPr>
        <w:jc w:val="center"/>
        <w:rPr>
          <w:b/>
          <w:bCs/>
          <w:szCs w:val="24"/>
        </w:rPr>
      </w:pPr>
      <w:r w:rsidRPr="001A6ED3">
        <w:rPr>
          <w:b/>
          <w:bCs/>
          <w:szCs w:val="24"/>
        </w:rPr>
        <w:t>II SKYRIUS</w:t>
      </w:r>
    </w:p>
    <w:p w:rsidR="001A6ED3" w:rsidRPr="001A6ED3" w:rsidRDefault="001A6ED3" w:rsidP="001A6ED3">
      <w:pPr>
        <w:jc w:val="center"/>
        <w:rPr>
          <w:b/>
          <w:szCs w:val="24"/>
        </w:rPr>
      </w:pPr>
      <w:r w:rsidRPr="001A6ED3">
        <w:rPr>
          <w:b/>
          <w:szCs w:val="24"/>
        </w:rPr>
        <w:t>SPECIALIEJI FINANSAVIMO REIKALAVIMAI</w:t>
      </w:r>
    </w:p>
    <w:p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Tr="730C137A">
        <w:tc>
          <w:tcPr>
            <w:tcW w:w="15134" w:type="dxa"/>
          </w:tcPr>
          <w:p w:rsidR="00EB0F8F" w:rsidRPr="0040525E" w:rsidRDefault="005436D1" w:rsidP="0040525E">
            <w:pPr>
              <w:pStyle w:val="ListParagraph"/>
              <w:numPr>
                <w:ilvl w:val="0"/>
                <w:numId w:val="22"/>
              </w:numPr>
              <w:tabs>
                <w:tab w:val="left" w:pos="288"/>
              </w:tabs>
              <w:ind w:left="0" w:firstLine="0"/>
              <w:rPr>
                <w:szCs w:val="24"/>
              </w:rPr>
            </w:pPr>
            <w:r w:rsidRPr="0040525E">
              <w:rPr>
                <w:b/>
                <w:bCs/>
                <w:szCs w:val="24"/>
              </w:rPr>
              <w:t xml:space="preserve">Taikomi teisės aktai </w:t>
            </w:r>
            <w:r w:rsidR="001A6ED3" w:rsidRPr="0040525E">
              <w:rPr>
                <w:b/>
                <w:bCs/>
                <w:szCs w:val="24"/>
              </w:rPr>
              <w:t>ir</w:t>
            </w:r>
            <w:r w:rsidR="00501957" w:rsidRPr="0040525E">
              <w:rPr>
                <w:b/>
                <w:bCs/>
                <w:szCs w:val="24"/>
              </w:rPr>
              <w:t>,</w:t>
            </w:r>
            <w:r w:rsidR="001A6ED3" w:rsidRPr="0040525E">
              <w:rPr>
                <w:b/>
                <w:bCs/>
                <w:szCs w:val="24"/>
              </w:rPr>
              <w:t xml:space="preserve"> jei taikoma</w:t>
            </w:r>
            <w:r w:rsidR="00501957" w:rsidRPr="0040525E">
              <w:rPr>
                <w:b/>
                <w:bCs/>
                <w:szCs w:val="24"/>
              </w:rPr>
              <w:t>,</w:t>
            </w:r>
            <w:r w:rsidR="001A6ED3" w:rsidRPr="0040525E">
              <w:rPr>
                <w:b/>
                <w:bCs/>
                <w:szCs w:val="24"/>
              </w:rPr>
              <w:t xml:space="preserve"> Apraše vartojamos sąvokos</w:t>
            </w:r>
          </w:p>
        </w:tc>
      </w:tr>
      <w:tr w:rsidR="00FE1515" w:rsidTr="730C137A">
        <w:tc>
          <w:tcPr>
            <w:tcW w:w="15134" w:type="dxa"/>
          </w:tcPr>
          <w:p w:rsidR="0040525E" w:rsidRDefault="00FE1515" w:rsidP="0040525E">
            <w:pPr>
              <w:pStyle w:val="ListParagraph"/>
              <w:numPr>
                <w:ilvl w:val="1"/>
                <w:numId w:val="22"/>
              </w:numPr>
              <w:tabs>
                <w:tab w:val="left" w:pos="459"/>
              </w:tabs>
              <w:ind w:left="0" w:firstLine="34"/>
              <w:jc w:val="both"/>
              <w:rPr>
                <w:iCs/>
                <w:szCs w:val="24"/>
              </w:rPr>
            </w:pPr>
            <w:r w:rsidRPr="0040525E">
              <w:rPr>
                <w:iCs/>
                <w:szCs w:val="24"/>
              </w:rPr>
              <w:t>Bendrieji teisės aktai:</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 xml:space="preserve">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 xml:space="preserve">2021 m. birželio 24 d. Europos Parlamento ir Tarybos reglamentas (ES) 2021/1058 dėl Europos regioninės plėtros fondo ir Sanglaudos fondo; </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 xml:space="preserve">2021 m. birželio 24 d. Europos Parlamento ir Tarybos reglamentas (ES) 2021/1057, kuriuo nustatomas „Europos socialinis fondas +“ (ESF+) ir panaikinamas Reglamentas (ES) Nr. 1296/2013; </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p>
          <w:p w:rsidR="0040525E" w:rsidRPr="0040525E" w:rsidRDefault="00A22D80" w:rsidP="0040525E">
            <w:pPr>
              <w:pStyle w:val="ListParagraph"/>
              <w:numPr>
                <w:ilvl w:val="2"/>
                <w:numId w:val="22"/>
              </w:numPr>
              <w:tabs>
                <w:tab w:val="left" w:pos="601"/>
              </w:tabs>
              <w:ind w:left="0" w:firstLine="34"/>
              <w:jc w:val="both"/>
              <w:rPr>
                <w:iCs/>
                <w:szCs w:val="24"/>
              </w:rPr>
            </w:pPr>
            <w: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Strateginio valdymo metodika, patvirtinta 2021 m. balandžio 28 d. Lietuvos Respublikos Vyriausybės nutarimu Nr. 292 „Dėl Strateginio valdymo metodikos patvirtinimo“;</w:t>
            </w:r>
          </w:p>
          <w:p w:rsidR="0040525E" w:rsidRDefault="00A22D80" w:rsidP="0040525E">
            <w:pPr>
              <w:pStyle w:val="ListParagraph"/>
              <w:numPr>
                <w:ilvl w:val="2"/>
                <w:numId w:val="22"/>
              </w:numPr>
              <w:tabs>
                <w:tab w:val="left" w:pos="601"/>
              </w:tabs>
              <w:ind w:left="0" w:firstLine="34"/>
              <w:jc w:val="both"/>
              <w:rPr>
                <w:iCs/>
                <w:szCs w:val="24"/>
              </w:rPr>
            </w:pPr>
            <w:r w:rsidRPr="0040525E">
              <w:rPr>
                <w:iCs/>
                <w:szCs w:val="24"/>
              </w:rPr>
              <w:t>2021–2027 metų Europos Sąjungos fondų investicijų programa, patvirtinta 2022 m. rugpjūčio 3 d. Europos Komisijos sprendimu Nr. C(2022) 5742;</w:t>
            </w:r>
          </w:p>
          <w:p w:rsidR="0040525E" w:rsidRDefault="008B2FA0" w:rsidP="0040525E">
            <w:pPr>
              <w:pStyle w:val="ListParagraph"/>
              <w:numPr>
                <w:ilvl w:val="2"/>
                <w:numId w:val="22"/>
              </w:numPr>
              <w:tabs>
                <w:tab w:val="left" w:pos="601"/>
              </w:tabs>
              <w:ind w:left="0" w:firstLine="34"/>
              <w:jc w:val="both"/>
              <w:rPr>
                <w:iCs/>
                <w:szCs w:val="24"/>
              </w:rPr>
            </w:pPr>
            <w:r w:rsidRPr="0040525E">
              <w:rPr>
                <w:iCs/>
                <w:szCs w:val="24"/>
              </w:rPr>
              <w:t xml:space="preserve">2021–2030 m. plėtros programos valdytojos Lietuvos Respublikos švietimo, mokslo ir sporto ministerijos </w:t>
            </w:r>
            <w:r w:rsidR="005F7C83" w:rsidRPr="0040525E">
              <w:rPr>
                <w:iCs/>
                <w:szCs w:val="24"/>
              </w:rPr>
              <w:t>mokslo</w:t>
            </w:r>
            <w:r w:rsidRPr="0040525E">
              <w:rPr>
                <w:iCs/>
                <w:szCs w:val="24"/>
              </w:rPr>
              <w:t xml:space="preserve"> plėtros programa, patvirtinta Lietuvos Respublikos Vyriausybės 202</w:t>
            </w:r>
            <w:r w:rsidR="005F7C83" w:rsidRPr="0040525E">
              <w:rPr>
                <w:iCs/>
                <w:szCs w:val="24"/>
              </w:rPr>
              <w:t>2</w:t>
            </w:r>
            <w:r w:rsidRPr="0040525E">
              <w:rPr>
                <w:iCs/>
                <w:szCs w:val="24"/>
              </w:rPr>
              <w:t xml:space="preserve"> m. </w:t>
            </w:r>
            <w:r w:rsidR="005F7C83" w:rsidRPr="0040525E">
              <w:rPr>
                <w:iCs/>
                <w:szCs w:val="24"/>
              </w:rPr>
              <w:t>sausio 26</w:t>
            </w:r>
            <w:r w:rsidRPr="0040525E">
              <w:rPr>
                <w:iCs/>
                <w:szCs w:val="24"/>
              </w:rPr>
              <w:t xml:space="preserve"> d. nutarimu Nr. 6</w:t>
            </w:r>
            <w:r w:rsidR="00EA65FC" w:rsidRPr="0040525E">
              <w:rPr>
                <w:iCs/>
                <w:szCs w:val="24"/>
              </w:rPr>
              <w:t>7</w:t>
            </w:r>
            <w:r w:rsidRPr="0040525E">
              <w:rPr>
                <w:iCs/>
                <w:szCs w:val="24"/>
              </w:rPr>
              <w:t xml:space="preserve"> „Dėl</w:t>
            </w:r>
            <w:r w:rsidR="002B7892" w:rsidRPr="0040525E">
              <w:rPr>
                <w:iCs/>
                <w:szCs w:val="24"/>
              </w:rPr>
              <w:t xml:space="preserve"> 2022–2030 m. plėtros programos valdytojos Lietuvos Respublikos švietimo, mokslo ir sporto ministerijos mokslo plėtros programos patvirtinimo“;</w:t>
            </w:r>
          </w:p>
          <w:p w:rsidR="0040525E" w:rsidRDefault="008B2FA0" w:rsidP="0040525E">
            <w:pPr>
              <w:pStyle w:val="ListParagraph"/>
              <w:numPr>
                <w:ilvl w:val="2"/>
                <w:numId w:val="22"/>
              </w:numPr>
              <w:tabs>
                <w:tab w:val="left" w:pos="743"/>
              </w:tabs>
              <w:ind w:left="0" w:firstLine="34"/>
              <w:jc w:val="both"/>
              <w:rPr>
                <w:iCs/>
                <w:szCs w:val="24"/>
              </w:rPr>
            </w:pPr>
            <w:r w:rsidRPr="0040525E">
              <w:rPr>
                <w:iCs/>
                <w:szCs w:val="24"/>
              </w:rPr>
              <w:t>Lietuvos Respublikos švietimo, mokslo ir sporto ministerijos 2021–2027 metų Europos Sąjungos fondų investicijų programos ir Ekonomikos gaivinimo ir atsparumo didinimo plano „Naujos kartos Lietuva“ administravimo procedūrų aprašas, patvirtintas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w:t>
            </w:r>
            <w:r w:rsidR="00185724" w:rsidRPr="0040525E">
              <w:rPr>
                <w:iCs/>
                <w:szCs w:val="24"/>
              </w:rPr>
              <w:t>;</w:t>
            </w:r>
          </w:p>
          <w:p w:rsidR="0040525E" w:rsidRDefault="00185724" w:rsidP="0040525E">
            <w:pPr>
              <w:pStyle w:val="ListParagraph"/>
              <w:numPr>
                <w:ilvl w:val="2"/>
                <w:numId w:val="22"/>
              </w:numPr>
              <w:tabs>
                <w:tab w:val="left" w:pos="743"/>
              </w:tabs>
              <w:ind w:left="0" w:firstLine="34"/>
              <w:jc w:val="both"/>
              <w:rPr>
                <w:iCs/>
                <w:szCs w:val="24"/>
              </w:rPr>
            </w:pPr>
            <w:r w:rsidRPr="0040525E">
              <w:rPr>
                <w:iCs/>
                <w:szCs w:val="24"/>
              </w:rPr>
              <w:t>Europos Komisijos komunikatas „Valstybės pagalbos moksliniams tyrimams, plėtrai ir inovacijoms sistema“ (2022/C 414/01);</w:t>
            </w:r>
          </w:p>
          <w:p w:rsidR="0040525E" w:rsidRPr="0040525E" w:rsidRDefault="00185724" w:rsidP="0040525E">
            <w:pPr>
              <w:pStyle w:val="ListParagraph"/>
              <w:numPr>
                <w:ilvl w:val="2"/>
                <w:numId w:val="22"/>
              </w:numPr>
              <w:tabs>
                <w:tab w:val="left" w:pos="743"/>
              </w:tabs>
              <w:ind w:left="0" w:firstLine="34"/>
              <w:jc w:val="both"/>
              <w:rPr>
                <w:iCs/>
                <w:szCs w:val="24"/>
              </w:rPr>
            </w:pPr>
            <w:r w:rsidRPr="00F94282">
              <w:t xml:space="preserve">2023 m. gruodžio 13 d. Komisijos reglamentas (ES) 2023/2831 dėl Sutarties dėl Europos Sąjungos veikimo 107 ir 108 straipsnių taikymo </w:t>
            </w:r>
            <w:r w:rsidRPr="0040525E">
              <w:rPr>
                <w:i/>
                <w:iCs/>
              </w:rPr>
              <w:t>de minimis</w:t>
            </w:r>
            <w:r w:rsidRPr="00F94282">
              <w:t xml:space="preserve"> pagalbai (toliau – </w:t>
            </w:r>
            <w:r w:rsidRPr="0040525E">
              <w:rPr>
                <w:i/>
              </w:rPr>
              <w:t>De minimis</w:t>
            </w:r>
            <w:r w:rsidRPr="00F94282">
              <w:t xml:space="preserve"> reglamentas);</w:t>
            </w:r>
          </w:p>
          <w:p w:rsidR="0040525E" w:rsidRDefault="00185724" w:rsidP="0040525E">
            <w:pPr>
              <w:pStyle w:val="ListParagraph"/>
              <w:numPr>
                <w:ilvl w:val="2"/>
                <w:numId w:val="22"/>
              </w:numPr>
              <w:tabs>
                <w:tab w:val="left" w:pos="743"/>
              </w:tabs>
              <w:ind w:left="0" w:firstLine="34"/>
              <w:jc w:val="both"/>
              <w:rPr>
                <w:iCs/>
                <w:szCs w:val="24"/>
              </w:rPr>
            </w:pPr>
            <w:r w:rsidRPr="00F94282">
              <w:t>2014 m. birželio 17 d. Komisijos reglamentas (ES) Nr. 651/2014, kuriuo tam tikrų kategorijų pagalba skelbiama suderinama su vidaus rinka taikant Sutarties 107 ir 108 straipsnius (toliau – BBIR)</w:t>
            </w:r>
            <w:r w:rsidRPr="0040525E">
              <w:rPr>
                <w:iCs/>
                <w:szCs w:val="24"/>
              </w:rPr>
              <w:t>.</w:t>
            </w:r>
          </w:p>
          <w:p w:rsidR="0040525E" w:rsidRDefault="00EB70C0" w:rsidP="0040525E">
            <w:pPr>
              <w:pStyle w:val="ListParagraph"/>
              <w:numPr>
                <w:ilvl w:val="1"/>
                <w:numId w:val="13"/>
              </w:numPr>
              <w:tabs>
                <w:tab w:val="left" w:pos="459"/>
              </w:tabs>
              <w:ind w:left="0" w:firstLine="34"/>
              <w:jc w:val="both"/>
              <w:rPr>
                <w:iCs/>
                <w:szCs w:val="24"/>
              </w:rPr>
            </w:pPr>
            <w:r w:rsidRPr="0040525E">
              <w:rPr>
                <w:iCs/>
                <w:szCs w:val="24"/>
              </w:rPr>
              <w:t xml:space="preserve">Specialieji teisės aktai: </w:t>
            </w:r>
          </w:p>
          <w:p w:rsidR="0040525E" w:rsidRDefault="005C0B73" w:rsidP="0040525E">
            <w:pPr>
              <w:pStyle w:val="ListParagraph"/>
              <w:numPr>
                <w:ilvl w:val="2"/>
                <w:numId w:val="13"/>
              </w:numPr>
              <w:tabs>
                <w:tab w:val="left" w:pos="743"/>
              </w:tabs>
              <w:ind w:left="0" w:firstLine="34"/>
              <w:jc w:val="both"/>
              <w:rPr>
                <w:iCs/>
                <w:szCs w:val="24"/>
              </w:rPr>
            </w:pPr>
            <w:r w:rsidRPr="0040525E">
              <w:rPr>
                <w:iCs/>
                <w:szCs w:val="24"/>
              </w:rPr>
              <w:t>Lietuvos Respublikos mokslo ir studijų įstatymas;</w:t>
            </w:r>
          </w:p>
          <w:p w:rsidR="0040525E" w:rsidRDefault="00AE5726" w:rsidP="0040525E">
            <w:pPr>
              <w:pStyle w:val="ListParagraph"/>
              <w:numPr>
                <w:ilvl w:val="2"/>
                <w:numId w:val="13"/>
              </w:numPr>
              <w:tabs>
                <w:tab w:val="left" w:pos="601"/>
              </w:tabs>
              <w:ind w:left="0" w:firstLine="34"/>
              <w:jc w:val="both"/>
              <w:rPr>
                <w:iCs/>
                <w:szCs w:val="24"/>
              </w:rPr>
            </w:pPr>
            <w:r w:rsidRPr="0040525E">
              <w:rPr>
                <w:iCs/>
                <w:szCs w:val="24"/>
              </w:rPr>
              <w:t xml:space="preserve">Mokslinių tyrimų ir eksperimentinės plėtros ir inovacijų (sumaniosios specializacijos) prioritetų įgyvendinimo koncepcija, patvirtinta Lietuvos Respublikos Vyriausybės 2022 m. rugpjūčio 17 d. nutarimu Nr. 835 „Dėl mokslinių tyrimų ir eksperimentinės plėtros ir inovacijų (sumaniosios specializacijos) koncepcijos patvirtinimo“ (toliau – Sumaniosios specializacijos koncepcija); </w:t>
            </w:r>
          </w:p>
          <w:p w:rsidR="0040525E" w:rsidRPr="0040525E" w:rsidRDefault="00AE5726" w:rsidP="0040525E">
            <w:pPr>
              <w:pStyle w:val="ListParagraph"/>
              <w:numPr>
                <w:ilvl w:val="2"/>
                <w:numId w:val="13"/>
              </w:numPr>
              <w:tabs>
                <w:tab w:val="left" w:pos="601"/>
              </w:tabs>
              <w:ind w:left="0" w:firstLine="34"/>
              <w:jc w:val="both"/>
              <w:rPr>
                <w:iCs/>
                <w:szCs w:val="24"/>
              </w:rPr>
            </w:pPr>
            <w:r w:rsidRPr="0040525E">
              <w:rPr>
                <w:rFonts w:asciiTheme="majorBidi" w:hAnsiTheme="majorBidi" w:cstheme="majorBidi"/>
                <w:color w:val="000000"/>
                <w:spacing w:val="-5"/>
                <w:szCs w:val="24"/>
              </w:rPr>
              <w:t>Lietuvos mokslinių tyrimų infrastruktūrų kelrodžio sudarymo ir dalyvavimo tarptautinių mokslinių tyrimų infrastruktūrų veikloje tvarkos apraš</w:t>
            </w:r>
            <w:r w:rsidRPr="0040525E">
              <w:rPr>
                <w:color w:val="000000"/>
                <w:szCs w:val="24"/>
                <w:lang w:eastAsia="lt-LT"/>
              </w:rPr>
              <w:t>as, patvirtintas Lietuvos Respublikos švietimo, mokslo ir sporto ministro 202</w:t>
            </w:r>
            <w:r w:rsidR="00D7038C" w:rsidRPr="0040525E">
              <w:rPr>
                <w:color w:val="000000"/>
                <w:szCs w:val="24"/>
                <w:lang w:eastAsia="lt-LT"/>
              </w:rPr>
              <w:t>5</w:t>
            </w:r>
            <w:r w:rsidRPr="0040525E">
              <w:rPr>
                <w:color w:val="000000"/>
                <w:szCs w:val="24"/>
                <w:lang w:eastAsia="lt-LT"/>
              </w:rPr>
              <w:t xml:space="preserve"> m. </w:t>
            </w:r>
            <w:r w:rsidR="00D7038C" w:rsidRPr="0040525E">
              <w:rPr>
                <w:color w:val="000000"/>
                <w:szCs w:val="24"/>
                <w:lang w:eastAsia="lt-LT"/>
              </w:rPr>
              <w:t>kovo</w:t>
            </w:r>
            <w:r w:rsidR="00641BF3" w:rsidRPr="0040525E">
              <w:rPr>
                <w:color w:val="000000"/>
                <w:szCs w:val="24"/>
                <w:lang w:eastAsia="lt-LT"/>
              </w:rPr>
              <w:t xml:space="preserve"> 18</w:t>
            </w:r>
            <w:r w:rsidRPr="0040525E">
              <w:rPr>
                <w:color w:val="000000"/>
                <w:szCs w:val="24"/>
                <w:lang w:eastAsia="lt-LT"/>
              </w:rPr>
              <w:t> d. įsakymu Nr. V-792 „</w:t>
            </w:r>
            <w:r w:rsidR="00226AEA">
              <w:rPr>
                <w:color w:val="000000"/>
                <w:szCs w:val="24"/>
                <w:lang w:eastAsia="lt-LT"/>
              </w:rPr>
              <w:t>D</w:t>
            </w:r>
            <w:r w:rsidR="0059353D" w:rsidRPr="0040525E">
              <w:rPr>
                <w:color w:val="000000"/>
                <w:szCs w:val="24"/>
                <w:lang w:eastAsia="lt-LT"/>
              </w:rPr>
              <w:t>ėl Lietuvos mokslinių tyrimų infrastruktūrų kelrodžio sudarymo ir dalyvavimo tarptautinių mokslinių tyrimų infrastruktūrų veikloje tvarkos aprašo patvirtinimo</w:t>
            </w:r>
            <w:r w:rsidRPr="0040525E">
              <w:rPr>
                <w:color w:val="000000"/>
                <w:szCs w:val="24"/>
                <w:lang w:eastAsia="lt-LT"/>
              </w:rPr>
              <w:t>“;</w:t>
            </w:r>
          </w:p>
          <w:p w:rsidR="0040525E" w:rsidRPr="007D0B4E" w:rsidRDefault="00AE5726" w:rsidP="0040525E">
            <w:pPr>
              <w:pStyle w:val="ListParagraph"/>
              <w:numPr>
                <w:ilvl w:val="2"/>
                <w:numId w:val="13"/>
              </w:numPr>
              <w:tabs>
                <w:tab w:val="left" w:pos="601"/>
              </w:tabs>
              <w:ind w:left="0" w:firstLine="34"/>
              <w:jc w:val="both"/>
              <w:rPr>
                <w:iCs/>
                <w:szCs w:val="24"/>
              </w:rPr>
            </w:pPr>
            <w:r w:rsidRPr="0040525E">
              <w:rPr>
                <w:iCs/>
                <w:szCs w:val="24"/>
              </w:rPr>
              <w:t>Lietuvos mokslinių tyrimų infrastruktūrų kelrodis 2024, patvirtintas Lietuvos mokslo tarybos pirmininko 2024 m. gruodžio 20 d. įsakymu Nr. V-585 „Dėl Lietuvos mokslinių tyrimų infrastruktūrų kelrodžio 2024 patvirtinimo“ (toliau – Kelrodis) (</w:t>
            </w:r>
            <w:hyperlink r:id="rId12" w:history="1">
              <w:r w:rsidR="0040525E" w:rsidRPr="007D0B4E">
                <w:rPr>
                  <w:rStyle w:val="Hyperlink"/>
                  <w:i/>
                  <w:iCs/>
                  <w:color w:val="auto"/>
                  <w:szCs w:val="24"/>
                </w:rPr>
                <w:t>https://lmt.lrv.lt/public/canonical/1735535380/3894/LMT%20infrastrukturu%20kelrodis%202024.pdf</w:t>
              </w:r>
            </w:hyperlink>
            <w:r w:rsidRPr="007D0B4E">
              <w:rPr>
                <w:szCs w:val="24"/>
              </w:rPr>
              <w:t>).</w:t>
            </w:r>
          </w:p>
          <w:p w:rsidR="005C0B73" w:rsidRPr="0040525E" w:rsidRDefault="00027966" w:rsidP="0040525E">
            <w:pPr>
              <w:pStyle w:val="ListParagraph"/>
              <w:numPr>
                <w:ilvl w:val="1"/>
                <w:numId w:val="13"/>
              </w:numPr>
              <w:tabs>
                <w:tab w:val="left" w:pos="459"/>
              </w:tabs>
              <w:ind w:left="0" w:firstLine="34"/>
              <w:jc w:val="both"/>
              <w:rPr>
                <w:iCs/>
                <w:szCs w:val="24"/>
              </w:rPr>
            </w:pPr>
            <w:r w:rsidRPr="0040525E">
              <w:rPr>
                <w:iCs/>
                <w:szCs w:val="24"/>
              </w:rPr>
              <w:t>2022–2030 m. plėtros programos valdytojos Lietuvos Respublikos švietimo, mokslo ir sporto ministerijos mokslo plėtros programos pažangos priemonės Nr. 12-001-01-02-01 „Stiprinti inovacijų ekosistemas mokslo centruose“</w:t>
            </w:r>
            <w:r w:rsidR="00C100C8" w:rsidRPr="0040525E">
              <w:rPr>
                <w:iCs/>
                <w:szCs w:val="24"/>
              </w:rPr>
              <w:t xml:space="preserve"> </w:t>
            </w:r>
            <w:r w:rsidR="00B15842" w:rsidRPr="0040525E">
              <w:rPr>
                <w:iCs/>
                <w:szCs w:val="24"/>
              </w:rPr>
              <w:t>projektų finansavimo sąlygų apraše Nr</w:t>
            </w:r>
            <w:r w:rsidR="00B15842" w:rsidRPr="00055FC7">
              <w:rPr>
                <w:iCs/>
                <w:szCs w:val="24"/>
              </w:rPr>
              <w:t>.</w:t>
            </w:r>
            <w:r w:rsidR="00B15842" w:rsidRPr="006B470D">
              <w:rPr>
                <w:iCs/>
                <w:szCs w:val="24"/>
              </w:rPr>
              <w:t>17</w:t>
            </w:r>
            <w:r w:rsidR="00B15842" w:rsidRPr="00055FC7">
              <w:rPr>
                <w:iCs/>
                <w:szCs w:val="24"/>
              </w:rPr>
              <w:t xml:space="preserve">  (</w:t>
            </w:r>
            <w:r w:rsidR="00B15842" w:rsidRPr="0040525E">
              <w:rPr>
                <w:iCs/>
                <w:szCs w:val="24"/>
              </w:rPr>
              <w:t xml:space="preserve">toliau – Aprašas) vartojamos sąvokos suprantamos taip, kaip jos apibrėžtos anksčiau paminėtuose teisės aktuose. Kitos </w:t>
            </w:r>
            <w:r w:rsidR="005C0B73">
              <w:t>vartojamos sąvokos:</w:t>
            </w:r>
          </w:p>
          <w:p w:rsidR="00FE1515" w:rsidRPr="0040525E" w:rsidRDefault="005C0B73" w:rsidP="00E50A43">
            <w:pPr>
              <w:pStyle w:val="ListParagraph"/>
              <w:numPr>
                <w:ilvl w:val="2"/>
                <w:numId w:val="13"/>
              </w:numPr>
              <w:tabs>
                <w:tab w:val="left" w:pos="459"/>
                <w:tab w:val="left" w:pos="601"/>
              </w:tabs>
              <w:ind w:left="0" w:firstLine="34"/>
              <w:jc w:val="both"/>
              <w:rPr>
                <w:iCs/>
                <w:szCs w:val="24"/>
              </w:rPr>
            </w:pPr>
            <w:r w:rsidRPr="00D8745C">
              <w:rPr>
                <w:rFonts w:asciiTheme="majorBidi" w:hAnsiTheme="majorBidi" w:cstheme="majorBidi"/>
                <w:color w:val="000000"/>
                <w:szCs w:val="24"/>
              </w:rPr>
              <w:t>Mokslinių tyrimų</w:t>
            </w:r>
            <w:r w:rsidRPr="00D8745C">
              <w:rPr>
                <w:rFonts w:ascii="Aptos" w:hAnsi="Aptos"/>
                <w:b/>
                <w:bCs/>
                <w:color w:val="000000"/>
                <w:szCs w:val="24"/>
              </w:rPr>
              <w:t xml:space="preserve"> </w:t>
            </w:r>
            <w:r w:rsidRPr="00FC5526">
              <w:t>infrastruktūra</w:t>
            </w:r>
            <w:r>
              <w:t xml:space="preserve"> (toliau – MTI) </w:t>
            </w:r>
            <w:r w:rsidRPr="00D8745C">
              <w:rPr>
                <w:rFonts w:asciiTheme="majorBidi" w:hAnsiTheme="majorBidi" w:cstheme="majorBidi"/>
                <w:color w:val="000000"/>
                <w:szCs w:val="24"/>
              </w:rPr>
              <w:t>– priemonių, išteklių ir su jais susijusių paslaugų, reikiamų atliekant mokslinius tyrimus, visuma</w:t>
            </w:r>
            <w:r w:rsidR="00B81DA6">
              <w:rPr>
                <w:rFonts w:asciiTheme="majorBidi" w:hAnsiTheme="majorBidi" w:cstheme="majorBidi"/>
                <w:color w:val="000000"/>
                <w:szCs w:val="24"/>
              </w:rPr>
              <w:t>.</w:t>
            </w:r>
          </w:p>
          <w:p w:rsidR="0040525E" w:rsidRPr="0040525E" w:rsidRDefault="0040525E" w:rsidP="0040525E">
            <w:pPr>
              <w:pStyle w:val="ListParagraph"/>
              <w:tabs>
                <w:tab w:val="left" w:pos="459"/>
                <w:tab w:val="left" w:pos="601"/>
              </w:tabs>
              <w:ind w:left="34"/>
              <w:jc w:val="both"/>
              <w:rPr>
                <w:iCs/>
                <w:szCs w:val="24"/>
              </w:rPr>
            </w:pPr>
          </w:p>
        </w:tc>
      </w:tr>
      <w:tr w:rsidR="00FE1515" w:rsidTr="730C137A">
        <w:tc>
          <w:tcPr>
            <w:tcW w:w="15134" w:type="dxa"/>
          </w:tcPr>
          <w:p w:rsidR="00FE1515" w:rsidRPr="0040525E" w:rsidRDefault="00FE1515" w:rsidP="0040525E">
            <w:pPr>
              <w:pStyle w:val="ListParagraph"/>
              <w:numPr>
                <w:ilvl w:val="0"/>
                <w:numId w:val="13"/>
              </w:numPr>
              <w:tabs>
                <w:tab w:val="left" w:pos="318"/>
              </w:tabs>
              <w:ind w:left="0" w:firstLine="0"/>
              <w:rPr>
                <w:bCs/>
                <w:szCs w:val="24"/>
              </w:rPr>
            </w:pPr>
            <w:r w:rsidRPr="0040525E">
              <w:rPr>
                <w:b/>
                <w:szCs w:val="24"/>
              </w:rPr>
              <w:t>Reikalavimai projektams, pareiškėjams ir partneriams</w:t>
            </w:r>
          </w:p>
        </w:tc>
      </w:tr>
      <w:tr w:rsidR="00FE1515" w:rsidTr="730C137A">
        <w:trPr>
          <w:trHeight w:val="983"/>
        </w:trPr>
        <w:tc>
          <w:tcPr>
            <w:tcW w:w="15134" w:type="dxa"/>
          </w:tcPr>
          <w:p w:rsidR="0040525E" w:rsidRPr="0040525E" w:rsidRDefault="00FE1515" w:rsidP="0040525E">
            <w:pPr>
              <w:pStyle w:val="ListParagraph"/>
              <w:numPr>
                <w:ilvl w:val="1"/>
                <w:numId w:val="26"/>
              </w:numPr>
              <w:tabs>
                <w:tab w:val="left" w:pos="459"/>
              </w:tabs>
              <w:ind w:left="34" w:firstLine="0"/>
              <w:jc w:val="both"/>
              <w:rPr>
                <w:sz w:val="28"/>
                <w:szCs w:val="28"/>
              </w:rPr>
            </w:pPr>
            <w:r w:rsidRPr="0040525E">
              <w:rPr>
                <w:szCs w:val="24"/>
              </w:rPr>
              <w:t>Reikalavimai projektams</w:t>
            </w:r>
            <w:r w:rsidR="00AF6BCD" w:rsidRPr="0040525E">
              <w:rPr>
                <w:szCs w:val="24"/>
              </w:rPr>
              <w:t>:</w:t>
            </w:r>
          </w:p>
          <w:p w:rsidR="0040525E" w:rsidRPr="0040525E" w:rsidRDefault="00834BD8" w:rsidP="0040525E">
            <w:pPr>
              <w:pStyle w:val="ListParagraph"/>
              <w:numPr>
                <w:ilvl w:val="2"/>
                <w:numId w:val="26"/>
              </w:numPr>
              <w:tabs>
                <w:tab w:val="left" w:pos="743"/>
              </w:tabs>
              <w:ind w:left="34" w:firstLine="0"/>
              <w:jc w:val="both"/>
              <w:rPr>
                <w:sz w:val="28"/>
                <w:szCs w:val="28"/>
              </w:rPr>
            </w:pPr>
            <w:r w:rsidRPr="0040525E">
              <w:rPr>
                <w:szCs w:val="24"/>
              </w:rPr>
              <w:t>p</w:t>
            </w:r>
            <w:r w:rsidR="006F181C" w:rsidRPr="0040525E">
              <w:rPr>
                <w:szCs w:val="24"/>
              </w:rPr>
              <w:t xml:space="preserve">agal Aprašą, teikiamo finansavimo forma – dotacija. </w:t>
            </w:r>
          </w:p>
          <w:p w:rsidR="0040525E" w:rsidRPr="0040525E" w:rsidRDefault="00BD4D00" w:rsidP="0040525E">
            <w:pPr>
              <w:pStyle w:val="ListParagraph"/>
              <w:numPr>
                <w:ilvl w:val="2"/>
                <w:numId w:val="26"/>
              </w:numPr>
              <w:tabs>
                <w:tab w:val="left" w:pos="743"/>
              </w:tabs>
              <w:ind w:left="34" w:firstLine="0"/>
              <w:jc w:val="both"/>
              <w:rPr>
                <w:sz w:val="28"/>
                <w:szCs w:val="28"/>
              </w:rPr>
            </w:pPr>
            <w:r w:rsidRPr="0040525E">
              <w:rPr>
                <w:szCs w:val="24"/>
              </w:rPr>
              <w:t>pagal Aprašą atrankos būdas – konkursas.</w:t>
            </w:r>
          </w:p>
          <w:p w:rsidR="0040525E" w:rsidRPr="0040525E" w:rsidRDefault="003B1097" w:rsidP="0040525E">
            <w:pPr>
              <w:pStyle w:val="ListParagraph"/>
              <w:numPr>
                <w:ilvl w:val="2"/>
                <w:numId w:val="26"/>
              </w:numPr>
              <w:tabs>
                <w:tab w:val="left" w:pos="743"/>
              </w:tabs>
              <w:ind w:left="34" w:firstLine="0"/>
              <w:jc w:val="both"/>
              <w:rPr>
                <w:sz w:val="28"/>
                <w:szCs w:val="28"/>
              </w:rPr>
            </w:pPr>
            <w:r w:rsidRPr="003B1097">
              <w:t>Projekto veiklos įgyvendinamos</w:t>
            </w:r>
            <w:r w:rsidR="00BE5F48">
              <w:t xml:space="preserve"> </w:t>
            </w:r>
            <w:r w:rsidRPr="00F94282">
              <w:t xml:space="preserve">Sostinės </w:t>
            </w:r>
            <w:r w:rsidR="004F6480" w:rsidRPr="00F94282">
              <w:t xml:space="preserve">ir VVL </w:t>
            </w:r>
            <w:r w:rsidRPr="00F94282">
              <w:t>region</w:t>
            </w:r>
            <w:r w:rsidR="004F6480" w:rsidRPr="00F94282">
              <w:t>uose</w:t>
            </w:r>
            <w:r w:rsidRPr="00F94282">
              <w:t xml:space="preserve">, </w:t>
            </w:r>
            <w:r w:rsidRPr="003B1097">
              <w:t>vadovaujantis 2021–2027 metų Europos Sąjungos fondų Investicijų programos projektų išlaidų paskirstymo regionams rekomendacijomis.</w:t>
            </w:r>
          </w:p>
          <w:p w:rsidR="0040525E" w:rsidRPr="0040525E" w:rsidRDefault="00FC5526" w:rsidP="0040525E">
            <w:pPr>
              <w:pStyle w:val="ListParagraph"/>
              <w:numPr>
                <w:ilvl w:val="2"/>
                <w:numId w:val="26"/>
              </w:numPr>
              <w:tabs>
                <w:tab w:val="left" w:pos="743"/>
              </w:tabs>
              <w:ind w:left="34" w:firstLine="0"/>
              <w:jc w:val="both"/>
              <w:rPr>
                <w:sz w:val="28"/>
                <w:szCs w:val="28"/>
              </w:rPr>
            </w:pPr>
            <w:r w:rsidRPr="0040525E">
              <w:rPr>
                <w:iCs/>
                <w:szCs w:val="24"/>
              </w:rPr>
              <w:t>Pagal Aprašą projektams įgyvendinti skiriama iki 9 110 280,00 Eur (devynių milijonų vieno šimto dešimt tūkstančių dviejų šimtų aštuoniasdešimt eurų, 00 ct), iš kurių:</w:t>
            </w:r>
          </w:p>
          <w:p w:rsidR="0040525E" w:rsidRPr="0040525E" w:rsidRDefault="00FC5526" w:rsidP="0040525E">
            <w:pPr>
              <w:pStyle w:val="ListParagraph"/>
              <w:numPr>
                <w:ilvl w:val="3"/>
                <w:numId w:val="26"/>
              </w:numPr>
              <w:tabs>
                <w:tab w:val="left" w:pos="885"/>
              </w:tabs>
              <w:ind w:left="34" w:firstLine="0"/>
              <w:jc w:val="both"/>
              <w:rPr>
                <w:sz w:val="28"/>
                <w:szCs w:val="28"/>
              </w:rPr>
            </w:pPr>
            <w:r w:rsidRPr="0040525E">
              <w:rPr>
                <w:iCs/>
                <w:szCs w:val="24"/>
              </w:rPr>
              <w:t xml:space="preserve">iki 1 </w:t>
            </w:r>
            <w:r w:rsidR="00EA0C15">
              <w:rPr>
                <w:iCs/>
                <w:szCs w:val="24"/>
                <w:lang w:val="en-US"/>
              </w:rPr>
              <w:t>593 966</w:t>
            </w:r>
            <w:r w:rsidRPr="0040525E">
              <w:rPr>
                <w:iCs/>
                <w:szCs w:val="24"/>
              </w:rPr>
              <w:t xml:space="preserve">,00 Eur (vieno milijono </w:t>
            </w:r>
            <w:r w:rsidR="00E66A26">
              <w:rPr>
                <w:iCs/>
                <w:szCs w:val="24"/>
              </w:rPr>
              <w:t>penkių</w:t>
            </w:r>
            <w:r w:rsidR="00E66A26" w:rsidRPr="0040525E">
              <w:rPr>
                <w:iCs/>
                <w:szCs w:val="24"/>
              </w:rPr>
              <w:t xml:space="preserve"> </w:t>
            </w:r>
            <w:r w:rsidRPr="0040525E">
              <w:rPr>
                <w:iCs/>
                <w:szCs w:val="24"/>
              </w:rPr>
              <w:t xml:space="preserve">šimtų </w:t>
            </w:r>
            <w:r w:rsidR="00E66A26">
              <w:rPr>
                <w:iCs/>
                <w:szCs w:val="24"/>
              </w:rPr>
              <w:t>devyniasdešimt trijų</w:t>
            </w:r>
            <w:r w:rsidR="005D64BF">
              <w:rPr>
                <w:iCs/>
                <w:szCs w:val="24"/>
              </w:rPr>
              <w:t xml:space="preserve"> tūkstančių devynių šimtų šešiasdešimt šešių</w:t>
            </w:r>
            <w:r w:rsidRPr="0040525E">
              <w:rPr>
                <w:iCs/>
                <w:szCs w:val="24"/>
              </w:rPr>
              <w:t xml:space="preserve"> eurų, 00 ct) ES fondų lėšų ir iki 5</w:t>
            </w:r>
            <w:r w:rsidR="00EA0C15">
              <w:rPr>
                <w:iCs/>
                <w:szCs w:val="24"/>
              </w:rPr>
              <w:t>  516 314</w:t>
            </w:r>
            <w:r w:rsidRPr="0040525E">
              <w:rPr>
                <w:iCs/>
                <w:szCs w:val="24"/>
              </w:rPr>
              <w:t xml:space="preserve">,00 Eur (penkių milijonų </w:t>
            </w:r>
            <w:r w:rsidR="005D64BF">
              <w:rPr>
                <w:iCs/>
                <w:szCs w:val="24"/>
              </w:rPr>
              <w:t xml:space="preserve">penkių šimtų </w:t>
            </w:r>
            <w:r w:rsidR="002165DD">
              <w:rPr>
                <w:iCs/>
                <w:szCs w:val="24"/>
              </w:rPr>
              <w:t>šešiolika tūkstančių trijų šimtų keturio</w:t>
            </w:r>
            <w:r w:rsidR="003A5DA5">
              <w:rPr>
                <w:iCs/>
                <w:szCs w:val="24"/>
              </w:rPr>
              <w:t>liko</w:t>
            </w:r>
            <w:r w:rsidR="002165DD">
              <w:rPr>
                <w:iCs/>
                <w:szCs w:val="24"/>
              </w:rPr>
              <w:t xml:space="preserve">s </w:t>
            </w:r>
            <w:r w:rsidRPr="0040525E">
              <w:rPr>
                <w:iCs/>
                <w:szCs w:val="24"/>
              </w:rPr>
              <w:t>eurų, 00 ct) ES fondų bendrojo finansavimo lėšų Sostinės regionui;</w:t>
            </w:r>
          </w:p>
          <w:p w:rsidR="0040525E" w:rsidRPr="0040525E" w:rsidRDefault="00FC5526" w:rsidP="0040525E">
            <w:pPr>
              <w:pStyle w:val="ListParagraph"/>
              <w:numPr>
                <w:ilvl w:val="3"/>
                <w:numId w:val="26"/>
              </w:numPr>
              <w:tabs>
                <w:tab w:val="left" w:pos="885"/>
              </w:tabs>
              <w:ind w:left="34" w:firstLine="0"/>
              <w:jc w:val="both"/>
              <w:rPr>
                <w:sz w:val="28"/>
                <w:szCs w:val="28"/>
              </w:rPr>
            </w:pPr>
            <w:r w:rsidRPr="0040525E">
              <w:rPr>
                <w:iCs/>
                <w:szCs w:val="24"/>
              </w:rPr>
              <w:t>iki 2 000 000,00 Eur (dviejų milijonų eurų, 00 ct) ES fondų lėšų VVL regionui.</w:t>
            </w:r>
          </w:p>
          <w:p w:rsidR="0040525E" w:rsidRPr="0040525E" w:rsidRDefault="00784043" w:rsidP="0040525E">
            <w:pPr>
              <w:pStyle w:val="ListParagraph"/>
              <w:numPr>
                <w:ilvl w:val="2"/>
                <w:numId w:val="25"/>
              </w:numPr>
              <w:tabs>
                <w:tab w:val="left" w:pos="743"/>
              </w:tabs>
              <w:ind w:left="34" w:firstLine="0"/>
              <w:jc w:val="both"/>
              <w:rPr>
                <w:sz w:val="28"/>
                <w:szCs w:val="28"/>
              </w:rPr>
            </w:pPr>
            <w:r w:rsidRPr="0040525E">
              <w:rPr>
                <w:iCs/>
                <w:szCs w:val="24"/>
              </w:rPr>
              <w:t xml:space="preserve">Didžiausias pagal Aprašą Pareiškėjo projektui skiriamas finansavimas negali </w:t>
            </w:r>
            <w:r w:rsidR="00E83294" w:rsidRPr="0040525E">
              <w:rPr>
                <w:iCs/>
                <w:szCs w:val="24"/>
              </w:rPr>
              <w:t>viršyti:</w:t>
            </w:r>
          </w:p>
          <w:p w:rsidR="0040525E" w:rsidRPr="0040525E" w:rsidRDefault="00723377" w:rsidP="0040525E">
            <w:pPr>
              <w:pStyle w:val="ListParagraph"/>
              <w:numPr>
                <w:ilvl w:val="3"/>
                <w:numId w:val="25"/>
              </w:numPr>
              <w:tabs>
                <w:tab w:val="left" w:pos="885"/>
              </w:tabs>
              <w:ind w:left="34" w:firstLine="0"/>
              <w:jc w:val="both"/>
              <w:rPr>
                <w:sz w:val="28"/>
                <w:szCs w:val="28"/>
              </w:rPr>
            </w:pPr>
            <w:r w:rsidRPr="0040525E">
              <w:rPr>
                <w:iCs/>
                <w:szCs w:val="24"/>
              </w:rPr>
              <w:t>50</w:t>
            </w:r>
            <w:r w:rsidR="00137DAD" w:rsidRPr="0040525E">
              <w:rPr>
                <w:iCs/>
                <w:szCs w:val="24"/>
              </w:rPr>
              <w:t>0</w:t>
            </w:r>
            <w:r w:rsidR="00784043" w:rsidRPr="0040525E">
              <w:rPr>
                <w:iCs/>
                <w:szCs w:val="24"/>
              </w:rPr>
              <w:t> 000 Eur (penkis šimtus tūkstančių eurų), kai paraišką teikia Aprašo 5.2.1</w:t>
            </w:r>
            <w:r w:rsidR="00831EEF" w:rsidRPr="0040525E">
              <w:rPr>
                <w:iCs/>
                <w:szCs w:val="24"/>
              </w:rPr>
              <w:t>.1</w:t>
            </w:r>
            <w:r w:rsidR="00784043" w:rsidRPr="0040525E">
              <w:rPr>
                <w:iCs/>
                <w:szCs w:val="24"/>
              </w:rPr>
              <w:t xml:space="preserve"> papunktyje nurodytas pareiškėjas;</w:t>
            </w:r>
          </w:p>
          <w:p w:rsidR="00D37C31" w:rsidRPr="0040525E" w:rsidRDefault="00723377" w:rsidP="0040525E">
            <w:pPr>
              <w:pStyle w:val="ListParagraph"/>
              <w:numPr>
                <w:ilvl w:val="3"/>
                <w:numId w:val="25"/>
              </w:numPr>
              <w:tabs>
                <w:tab w:val="left" w:pos="885"/>
              </w:tabs>
              <w:ind w:left="34" w:firstLine="0"/>
              <w:jc w:val="both"/>
              <w:rPr>
                <w:sz w:val="28"/>
                <w:szCs w:val="28"/>
              </w:rPr>
            </w:pPr>
            <w:r w:rsidRPr="0040525E">
              <w:rPr>
                <w:iCs/>
                <w:szCs w:val="24"/>
              </w:rPr>
              <w:t>30</w:t>
            </w:r>
            <w:r w:rsidR="00137DAD" w:rsidRPr="0040525E">
              <w:rPr>
                <w:iCs/>
                <w:szCs w:val="24"/>
              </w:rPr>
              <w:t xml:space="preserve">0 </w:t>
            </w:r>
            <w:r w:rsidR="00784043" w:rsidRPr="0040525E">
              <w:rPr>
                <w:iCs/>
                <w:szCs w:val="24"/>
              </w:rPr>
              <w:t>000 Eur (tris šimtus tūkstančių eurų), kai paraišką teikia Aprašo 5.2.</w:t>
            </w:r>
            <w:r w:rsidR="00831EEF" w:rsidRPr="0040525E">
              <w:rPr>
                <w:iCs/>
                <w:szCs w:val="24"/>
              </w:rPr>
              <w:t>1.</w:t>
            </w:r>
            <w:r w:rsidR="00784043" w:rsidRPr="0040525E">
              <w:rPr>
                <w:iCs/>
                <w:szCs w:val="24"/>
              </w:rPr>
              <w:t>2 papunktyje nurodytas pareiškėjas.</w:t>
            </w:r>
          </w:p>
          <w:p w:rsidR="0040525E" w:rsidRPr="0040525E" w:rsidRDefault="006F181C" w:rsidP="0040525E">
            <w:pPr>
              <w:pStyle w:val="ListParagraph"/>
              <w:numPr>
                <w:ilvl w:val="2"/>
                <w:numId w:val="25"/>
              </w:numPr>
              <w:tabs>
                <w:tab w:val="left" w:pos="743"/>
              </w:tabs>
              <w:ind w:left="34" w:firstLine="0"/>
              <w:jc w:val="both"/>
              <w:rPr>
                <w:szCs w:val="24"/>
              </w:rPr>
            </w:pPr>
            <w:r w:rsidRPr="00AB79F1">
              <w:rPr>
                <w:szCs w:val="24"/>
              </w:rPr>
              <w:t>Pagal Aprašą remiama veikla –</w:t>
            </w:r>
            <w:r w:rsidR="000A1A5F">
              <w:rPr>
                <w:szCs w:val="24"/>
              </w:rPr>
              <w:t xml:space="preserve"> didinti mokslo t</w:t>
            </w:r>
            <w:r w:rsidR="00865BE9">
              <w:rPr>
                <w:szCs w:val="24"/>
              </w:rPr>
              <w:t>ar</w:t>
            </w:r>
            <w:r w:rsidR="000A1A5F">
              <w:rPr>
                <w:szCs w:val="24"/>
              </w:rPr>
              <w:t>ptautiškumo lygį</w:t>
            </w:r>
            <w:r w:rsidR="000A1A5F">
              <w:t>:</w:t>
            </w:r>
          </w:p>
          <w:p w:rsidR="005870E0" w:rsidRPr="0040525E" w:rsidRDefault="00534159" w:rsidP="0040525E">
            <w:pPr>
              <w:pStyle w:val="ListParagraph"/>
              <w:numPr>
                <w:ilvl w:val="3"/>
                <w:numId w:val="25"/>
              </w:numPr>
              <w:tabs>
                <w:tab w:val="left" w:pos="885"/>
              </w:tabs>
              <w:ind w:left="34" w:firstLine="0"/>
              <w:jc w:val="both"/>
              <w:rPr>
                <w:szCs w:val="24"/>
              </w:rPr>
            </w:pPr>
            <w:r>
              <w:t>M</w:t>
            </w:r>
            <w:r w:rsidRPr="00534159">
              <w:t>okslini</w:t>
            </w:r>
            <w:r w:rsidR="003E00F2">
              <w:t>ų</w:t>
            </w:r>
            <w:r w:rsidRPr="00534159">
              <w:t xml:space="preserve"> tyrim</w:t>
            </w:r>
            <w:r w:rsidR="003E00F2">
              <w:t>ų</w:t>
            </w:r>
            <w:r w:rsidRPr="00534159">
              <w:t xml:space="preserve"> ir eksperimentinė</w:t>
            </w:r>
            <w:r w:rsidR="003E00F2">
              <w:t>s</w:t>
            </w:r>
            <w:r w:rsidRPr="00534159">
              <w:t xml:space="preserve"> plėtr</w:t>
            </w:r>
            <w:r w:rsidR="003E00F2">
              <w:t xml:space="preserve">os </w:t>
            </w:r>
            <w:r>
              <w:t>(</w:t>
            </w:r>
            <w:r w:rsidR="008A67A0">
              <w:t>toli</w:t>
            </w:r>
            <w:r>
              <w:t xml:space="preserve">au </w:t>
            </w:r>
            <w:r w:rsidR="008A67A0">
              <w:t>–</w:t>
            </w:r>
            <w:r>
              <w:t xml:space="preserve"> </w:t>
            </w:r>
            <w:r w:rsidR="000A1A5F" w:rsidRPr="00865BE9">
              <w:t>MTEP</w:t>
            </w:r>
            <w:r>
              <w:t>)</w:t>
            </w:r>
            <w:r w:rsidR="000A1A5F" w:rsidRPr="00865BE9">
              <w:t xml:space="preserve"> projektų, susijusių su dalyvavimu arba pasirengimu dalyvauti tarptautinių MTI veikloje</w:t>
            </w:r>
            <w:r w:rsidR="00043BFD">
              <w:t>,</w:t>
            </w:r>
            <w:r w:rsidR="000A1A5F" w:rsidRPr="00865BE9">
              <w:t xml:space="preserve"> įgyvendinimas Sostinės regione;</w:t>
            </w:r>
          </w:p>
          <w:p w:rsidR="005870E0" w:rsidRDefault="000A1A5F" w:rsidP="00A5563B">
            <w:pPr>
              <w:pStyle w:val="ListParagraph"/>
              <w:numPr>
                <w:ilvl w:val="3"/>
                <w:numId w:val="25"/>
              </w:numPr>
              <w:tabs>
                <w:tab w:val="left" w:pos="743"/>
                <w:tab w:val="left" w:pos="885"/>
              </w:tabs>
              <w:ind w:left="34" w:firstLine="0"/>
              <w:jc w:val="both"/>
            </w:pPr>
            <w:r w:rsidRPr="00865BE9">
              <w:t>MTEP projektų, susijusių su dalyvavimu arba pasirengimu dalyvauti tarptautinių MTI veikloje</w:t>
            </w:r>
            <w:r w:rsidR="00043BFD">
              <w:t>,</w:t>
            </w:r>
            <w:r w:rsidRPr="00865BE9">
              <w:t xml:space="preserve"> įgyvendinimas</w:t>
            </w:r>
            <w:r>
              <w:t xml:space="preserve"> VVL regione</w:t>
            </w:r>
            <w:r w:rsidR="00C51A30">
              <w:t>.</w:t>
            </w:r>
          </w:p>
          <w:p w:rsidR="005870E0" w:rsidRDefault="00434B11" w:rsidP="00A5563B">
            <w:pPr>
              <w:pStyle w:val="ListParagraph"/>
              <w:numPr>
                <w:ilvl w:val="2"/>
                <w:numId w:val="25"/>
              </w:numPr>
              <w:tabs>
                <w:tab w:val="left" w:pos="743"/>
                <w:tab w:val="left" w:pos="885"/>
              </w:tabs>
              <w:ind w:left="34" w:firstLine="0"/>
              <w:jc w:val="both"/>
              <w:rPr>
                <w:szCs w:val="24"/>
              </w:rPr>
            </w:pPr>
            <w:r w:rsidRPr="005870E0">
              <w:rPr>
                <w:szCs w:val="24"/>
              </w:rPr>
              <w:t>Pagal Aprašą nefinansuojami projektai</w:t>
            </w:r>
            <w:r w:rsidR="006D505F" w:rsidRPr="005870E0">
              <w:rPr>
                <w:szCs w:val="24"/>
              </w:rPr>
              <w:t xml:space="preserve">, susiję su </w:t>
            </w:r>
            <w:r w:rsidR="001A2470" w:rsidRPr="005870E0">
              <w:rPr>
                <w:szCs w:val="24"/>
              </w:rPr>
              <w:t xml:space="preserve">Lietuvos dalelių fizikos konsorciumo </w:t>
            </w:r>
            <w:r w:rsidR="005C4C15">
              <w:rPr>
                <w:szCs w:val="24"/>
              </w:rPr>
              <w:t xml:space="preserve">narių </w:t>
            </w:r>
            <w:r w:rsidR="001A2470" w:rsidRPr="005870E0">
              <w:rPr>
                <w:szCs w:val="24"/>
              </w:rPr>
              <w:t xml:space="preserve">dalyvavimu </w:t>
            </w:r>
            <w:r w:rsidR="006D505F" w:rsidRPr="005870E0">
              <w:rPr>
                <w:szCs w:val="24"/>
              </w:rPr>
              <w:t>Europos branduolinių mokslinių tyrimų organizacijos (toliau – CERN) veikloje (finansavimas MTEP projektams, susijusiems su dalyvavimu CERN veikloje skiriamas pagal Lietuvos asocijuotosios narystės Europos branduolinių mokslinių tyrimų organizacijoje 2022–2027 m. veiksmų planą, patvirtintą Lietuvos Respublikos švietimo, mokslo ir sporto ministro 2022 m. spalio 27 d. įsakymu Nr. V-1712 „Dėl Lietuvos asocijuotosios narystės Europos branduolinių mokslinių tyrimų organizacijoje 2022–2027 m. veiksmų plano patvirtinimo“).</w:t>
            </w:r>
          </w:p>
          <w:p w:rsidR="005870E0" w:rsidRPr="005870E0" w:rsidRDefault="00144642" w:rsidP="00E52197">
            <w:pPr>
              <w:pStyle w:val="ListParagraph"/>
              <w:numPr>
                <w:ilvl w:val="2"/>
                <w:numId w:val="25"/>
              </w:numPr>
              <w:tabs>
                <w:tab w:val="left" w:pos="743"/>
                <w:tab w:val="left" w:pos="885"/>
              </w:tabs>
              <w:ind w:left="34" w:firstLine="0"/>
              <w:jc w:val="both"/>
              <w:rPr>
                <w:szCs w:val="24"/>
              </w:rPr>
            </w:pPr>
            <w:r w:rsidRPr="005870E0">
              <w:rPr>
                <w:szCs w:val="24"/>
              </w:rPr>
              <w:t xml:space="preserve">Projekte suplanuotos veiklos turi atitikti Sumaniosios specializacijos koncepcijos nuostatas. Siekiant įvertinti atitiktį Sumaniosios specializacijos koncepcijai, kiekvienas iš </w:t>
            </w:r>
            <w:r w:rsidR="002B7FA4" w:rsidRPr="005870E0">
              <w:rPr>
                <w:szCs w:val="24"/>
              </w:rPr>
              <w:t>galimų p</w:t>
            </w:r>
            <w:r w:rsidRPr="005870E0">
              <w:rPr>
                <w:szCs w:val="24"/>
              </w:rPr>
              <w:t>artnerių turi užpildyti Informacijos, reikalingos projekto atitikčiai sumaniosios specializacijos koncepcijai įvertinti,</w:t>
            </w:r>
            <w:r w:rsidR="000423FB" w:rsidRPr="005870E0">
              <w:rPr>
                <w:szCs w:val="24"/>
              </w:rPr>
              <w:t xml:space="preserve"> </w:t>
            </w:r>
            <w:r w:rsidRPr="005870E0">
              <w:rPr>
                <w:szCs w:val="24"/>
              </w:rPr>
              <w:t>formą (Aprašo 2 priedas).</w:t>
            </w:r>
          </w:p>
          <w:p w:rsidR="005870E0" w:rsidRPr="005870E0" w:rsidRDefault="0012744B" w:rsidP="00E52197">
            <w:pPr>
              <w:pStyle w:val="ListParagraph"/>
              <w:numPr>
                <w:ilvl w:val="2"/>
                <w:numId w:val="25"/>
              </w:numPr>
              <w:tabs>
                <w:tab w:val="left" w:pos="743"/>
                <w:tab w:val="left" w:pos="885"/>
              </w:tabs>
              <w:ind w:left="34" w:firstLine="0"/>
              <w:jc w:val="both"/>
              <w:rPr>
                <w:szCs w:val="24"/>
              </w:rPr>
            </w:pPr>
            <w:r w:rsidRPr="005870E0">
              <w:rPr>
                <w:szCs w:val="24"/>
              </w:rPr>
              <w:t xml:space="preserve">Projekto veiklos vykdomos nuo projekto įgyvendinimo plano (toliau – PĮP) pateikimo dienos ir turi būti užbaigtos nė vėliau kaip iki 2029 m. </w:t>
            </w:r>
            <w:r w:rsidR="00965C85" w:rsidRPr="005870E0">
              <w:rPr>
                <w:szCs w:val="24"/>
              </w:rPr>
              <w:t>rugpjūčio</w:t>
            </w:r>
            <w:r w:rsidRPr="005870E0">
              <w:rPr>
                <w:szCs w:val="24"/>
              </w:rPr>
              <w:t xml:space="preserve"> 31 d.</w:t>
            </w:r>
          </w:p>
          <w:p w:rsidR="003026C7" w:rsidRPr="005870E0" w:rsidRDefault="00D13CB7" w:rsidP="00E52197">
            <w:pPr>
              <w:pStyle w:val="ListParagraph"/>
              <w:numPr>
                <w:ilvl w:val="2"/>
                <w:numId w:val="25"/>
              </w:numPr>
              <w:tabs>
                <w:tab w:val="left" w:pos="743"/>
                <w:tab w:val="left" w:pos="885"/>
              </w:tabs>
              <w:ind w:left="34" w:firstLine="0"/>
              <w:jc w:val="both"/>
              <w:rPr>
                <w:szCs w:val="24"/>
              </w:rPr>
            </w:pPr>
            <w:r w:rsidRPr="005870E0">
              <w:rPr>
                <w:szCs w:val="24"/>
              </w:rPr>
              <w:t>Stebėsenos rodikliai turi būti pasiekti projekto įgyvendi</w:t>
            </w:r>
            <w:r w:rsidR="00E76BFE" w:rsidRPr="005870E0">
              <w:rPr>
                <w:szCs w:val="24"/>
              </w:rPr>
              <w:t>nimo metu</w:t>
            </w:r>
            <w:r w:rsidR="00E66A26" w:rsidRPr="005870E0">
              <w:rPr>
                <w:szCs w:val="24"/>
              </w:rPr>
              <w:t>.</w:t>
            </w:r>
          </w:p>
          <w:p w:rsidR="003026C7" w:rsidRPr="003026C7" w:rsidRDefault="00EA5D89" w:rsidP="00E52197">
            <w:pPr>
              <w:pStyle w:val="ListParagraph"/>
              <w:numPr>
                <w:ilvl w:val="2"/>
                <w:numId w:val="25"/>
              </w:numPr>
              <w:tabs>
                <w:tab w:val="left" w:pos="743"/>
                <w:tab w:val="left" w:pos="885"/>
              </w:tabs>
              <w:ind w:left="34" w:firstLine="0"/>
              <w:jc w:val="both"/>
              <w:rPr>
                <w:szCs w:val="24"/>
              </w:rPr>
            </w:pPr>
            <w:r w:rsidRPr="003026C7">
              <w:rPr>
                <w:iCs/>
                <w:szCs w:val="24"/>
              </w:rPr>
              <w:t>Kartu su PĮP administruojančiajai institucijai turi būti pateikta:</w:t>
            </w:r>
          </w:p>
          <w:p w:rsidR="003026C7" w:rsidRPr="00E52197" w:rsidRDefault="00E52197" w:rsidP="004E5939">
            <w:pPr>
              <w:tabs>
                <w:tab w:val="left" w:pos="743"/>
                <w:tab w:val="left" w:pos="885"/>
              </w:tabs>
              <w:ind w:left="34"/>
              <w:jc w:val="both"/>
              <w:rPr>
                <w:szCs w:val="24"/>
              </w:rPr>
            </w:pPr>
            <w:r>
              <w:rPr>
                <w:iCs/>
                <w:szCs w:val="24"/>
              </w:rPr>
              <w:t xml:space="preserve">5.1.11.1. </w:t>
            </w:r>
            <w:r w:rsidR="00EA5D89" w:rsidRPr="00E52197">
              <w:rPr>
                <w:iCs/>
                <w:szCs w:val="24"/>
              </w:rPr>
              <w:t xml:space="preserve">Partnerių deklaracijos </w:t>
            </w:r>
            <w:r w:rsidR="00AF10A0" w:rsidRPr="00E52197">
              <w:rPr>
                <w:iCs/>
                <w:szCs w:val="24"/>
              </w:rPr>
              <w:t xml:space="preserve">forma „Partnerio deklaracija“ </w:t>
            </w:r>
            <w:r w:rsidR="00EA5D89" w:rsidRPr="00E52197">
              <w:rPr>
                <w:iCs/>
                <w:szCs w:val="24"/>
              </w:rPr>
              <w:t>pagal PAFT 1 priedo 1 priedą;</w:t>
            </w:r>
          </w:p>
          <w:p w:rsidR="003026C7" w:rsidRPr="003026C7" w:rsidRDefault="00D94F4F" w:rsidP="004E5939">
            <w:pPr>
              <w:pStyle w:val="ListParagraph"/>
              <w:tabs>
                <w:tab w:val="left" w:pos="743"/>
                <w:tab w:val="left" w:pos="885"/>
              </w:tabs>
              <w:ind w:left="34"/>
              <w:jc w:val="both"/>
              <w:rPr>
                <w:szCs w:val="24"/>
              </w:rPr>
            </w:pPr>
            <w:r>
              <w:rPr>
                <w:iCs/>
                <w:szCs w:val="24"/>
              </w:rPr>
              <w:t xml:space="preserve">5.1.11.2. </w:t>
            </w:r>
            <w:r w:rsidR="00EA5D89" w:rsidRPr="003026C7">
              <w:rPr>
                <w:iCs/>
                <w:szCs w:val="24"/>
              </w:rPr>
              <w:t>informacij</w:t>
            </w:r>
            <w:r w:rsidR="009108E4" w:rsidRPr="003026C7">
              <w:rPr>
                <w:iCs/>
                <w:szCs w:val="24"/>
              </w:rPr>
              <w:t>ą</w:t>
            </w:r>
            <w:r w:rsidR="00EA5D89" w:rsidRPr="003026C7">
              <w:rPr>
                <w:iCs/>
                <w:szCs w:val="24"/>
              </w:rPr>
              <w:t xml:space="preserve"> apie projekto biudžeto paskirstymą Pareiškėjui ir jo Partneriams pagal PAFT 1 priedo 2 priedą;</w:t>
            </w:r>
          </w:p>
          <w:p w:rsidR="003026C7" w:rsidRPr="003026C7" w:rsidRDefault="00D94F4F" w:rsidP="004E5939">
            <w:pPr>
              <w:pStyle w:val="ListParagraph"/>
              <w:tabs>
                <w:tab w:val="left" w:pos="743"/>
                <w:tab w:val="left" w:pos="885"/>
              </w:tabs>
              <w:ind w:left="34"/>
              <w:jc w:val="both"/>
              <w:rPr>
                <w:szCs w:val="24"/>
              </w:rPr>
            </w:pPr>
            <w:r>
              <w:rPr>
                <w:iCs/>
                <w:szCs w:val="24"/>
              </w:rPr>
              <w:t xml:space="preserve">5.1.11.3. </w:t>
            </w:r>
            <w:r w:rsidR="00EA5D89" w:rsidRPr="003026C7">
              <w:rPr>
                <w:iCs/>
                <w:szCs w:val="24"/>
              </w:rPr>
              <w:t xml:space="preserve">projekto atitiktį bendriesiems projektų atrankos kriterijams, nurodytiems </w:t>
            </w:r>
            <w:r w:rsidR="000A5879" w:rsidRPr="003026C7">
              <w:rPr>
                <w:szCs w:val="24"/>
              </w:rPr>
              <w:t xml:space="preserve">Strateginio valdymo metodikos 136 punkte ir </w:t>
            </w:r>
            <w:r w:rsidR="00EA5D89" w:rsidRPr="003026C7">
              <w:rPr>
                <w:iCs/>
                <w:szCs w:val="24"/>
              </w:rPr>
              <w:t>PAFT 2 priede, patvirtinantys dokumentai;</w:t>
            </w:r>
          </w:p>
          <w:p w:rsidR="003026C7" w:rsidRPr="003026C7" w:rsidRDefault="00D94F4F" w:rsidP="004E5939">
            <w:pPr>
              <w:pStyle w:val="ListParagraph"/>
              <w:tabs>
                <w:tab w:val="left" w:pos="743"/>
                <w:tab w:val="left" w:pos="885"/>
              </w:tabs>
              <w:ind w:left="34"/>
              <w:jc w:val="both"/>
              <w:rPr>
                <w:szCs w:val="24"/>
              </w:rPr>
            </w:pPr>
            <w:r>
              <w:rPr>
                <w:iCs/>
                <w:szCs w:val="24"/>
              </w:rPr>
              <w:t xml:space="preserve">5.1.11.4. </w:t>
            </w:r>
            <w:r w:rsidR="00043BFD" w:rsidRPr="003026C7">
              <w:rPr>
                <w:iCs/>
                <w:szCs w:val="24"/>
              </w:rPr>
              <w:t xml:space="preserve">Pareiškėjo ir </w:t>
            </w:r>
            <w:r w:rsidR="000D5B5E" w:rsidRPr="003026C7">
              <w:rPr>
                <w:iCs/>
                <w:szCs w:val="24"/>
              </w:rPr>
              <w:t>Partnerių užpildytos Informacijos, reikalingos projekto atitikčiai sumaniosios specializacijos koncepcijai įvertinti, formos (Aprašo 2 priedas).</w:t>
            </w:r>
          </w:p>
          <w:p w:rsidR="003026C7" w:rsidRPr="003026C7" w:rsidRDefault="00224E6A" w:rsidP="004E5939">
            <w:pPr>
              <w:pStyle w:val="ListParagraph"/>
              <w:tabs>
                <w:tab w:val="left" w:pos="743"/>
                <w:tab w:val="left" w:pos="885"/>
              </w:tabs>
              <w:ind w:left="34"/>
              <w:jc w:val="both"/>
              <w:rPr>
                <w:szCs w:val="24"/>
              </w:rPr>
            </w:pPr>
            <w:r>
              <w:rPr>
                <w:szCs w:val="24"/>
              </w:rPr>
              <w:t xml:space="preserve">5.1.11.5. </w:t>
            </w:r>
            <w:r w:rsidR="000D5B5E" w:rsidRPr="003026C7">
              <w:rPr>
                <w:szCs w:val="24"/>
              </w:rPr>
              <w:t xml:space="preserve">Lietuvos MTI veikloje </w:t>
            </w:r>
            <w:r w:rsidR="000D5B5E" w:rsidRPr="003026C7">
              <w:rPr>
                <w:iCs/>
                <w:szCs w:val="24"/>
              </w:rPr>
              <w:t>dalyvaujančių juridinių asmenų (Kelrodyje nurodytų kaip „atstovaujanti institucija“ ir „dalyvaujančios institucijos“) įgaliojimo kopija, tuo atveju, kai projekto paraišką teikia Aprašo 5.2.1.2 papunktyje nurodytas pareiškėjas.</w:t>
            </w:r>
          </w:p>
          <w:p w:rsidR="003026C7" w:rsidRPr="003026C7" w:rsidRDefault="00224E6A" w:rsidP="004E5939">
            <w:pPr>
              <w:pStyle w:val="ListParagraph"/>
              <w:tabs>
                <w:tab w:val="left" w:pos="743"/>
                <w:tab w:val="left" w:pos="885"/>
              </w:tabs>
              <w:ind w:left="34"/>
              <w:jc w:val="both"/>
              <w:rPr>
                <w:szCs w:val="24"/>
              </w:rPr>
            </w:pPr>
            <w:r>
              <w:rPr>
                <w:color w:val="000000"/>
                <w:szCs w:val="24"/>
                <w:lang w:eastAsia="lt-LT"/>
              </w:rPr>
              <w:t xml:space="preserve">5.1.11.6. </w:t>
            </w:r>
            <w:r w:rsidR="00EA5D89" w:rsidRPr="00E52197">
              <w:rPr>
                <w:color w:val="000000"/>
                <w:szCs w:val="24"/>
                <w:lang w:eastAsia="lt-LT"/>
              </w:rPr>
              <w:t>dokumentai, pagrindžiantys projekto biudžetą</w:t>
            </w:r>
            <w:r w:rsidR="00017699" w:rsidRPr="00E52197">
              <w:rPr>
                <w:color w:val="000000"/>
                <w:szCs w:val="24"/>
                <w:lang w:eastAsia="lt-LT"/>
              </w:rPr>
              <w:t xml:space="preserve"> </w:t>
            </w:r>
            <w:r w:rsidR="00EA5D89" w:rsidRPr="00E52197">
              <w:rPr>
                <w:color w:val="000000"/>
                <w:szCs w:val="24"/>
                <w:lang w:eastAsia="lt-LT"/>
              </w:rPr>
              <w:t>(sudarytos sutartys, komerciniai pasiūlymai, nuorodos į rinkoje esančias kainas (pvz., Centrinėje viešųjų pirkimų informacinėje sistemoje) ir kt dokumentai, pagrindžiantys darbo užmokesčio išlaidų pagrįstumą);</w:t>
            </w:r>
          </w:p>
          <w:p w:rsidR="003026C7" w:rsidRPr="003026C7" w:rsidRDefault="00224E6A" w:rsidP="004E5939">
            <w:pPr>
              <w:pStyle w:val="ListParagraph"/>
              <w:tabs>
                <w:tab w:val="left" w:pos="743"/>
                <w:tab w:val="left" w:pos="885"/>
              </w:tabs>
              <w:ind w:left="34"/>
              <w:jc w:val="both"/>
              <w:rPr>
                <w:szCs w:val="24"/>
              </w:rPr>
            </w:pPr>
            <w:r>
              <w:rPr>
                <w:szCs w:val="24"/>
              </w:rPr>
              <w:t xml:space="preserve">5.1.11.7. </w:t>
            </w:r>
            <w:r w:rsidR="00AF10A0" w:rsidRPr="003026C7">
              <w:rPr>
                <w:szCs w:val="24"/>
              </w:rPr>
              <w:t>investicijų projektas kartu su investicijų skaičiuokle.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„Dėl Investicijų projektų, kuriems siekiama gauti finansavimą iš Europos Sąjungos struktūrinės paramos ir / ar valstybės biudžeto lėšų, rengimo metodikos patvirtinimo“, kuri yra skelbiama http://www.ppplietuva.lt/ skiltyje „Viešųjų investicijų projektų rengimas“ (toliau – „Rengimas ir vertinimas“) (jeigu taikoma pagal Strateginio valdymo metodikos 140.5 papunkčio nuostatą);</w:t>
            </w:r>
          </w:p>
          <w:p w:rsidR="003026C7" w:rsidRPr="003026C7" w:rsidRDefault="00224E6A" w:rsidP="004E5939">
            <w:pPr>
              <w:pStyle w:val="ListParagraph"/>
              <w:tabs>
                <w:tab w:val="left" w:pos="743"/>
                <w:tab w:val="left" w:pos="885"/>
              </w:tabs>
              <w:ind w:left="34"/>
              <w:jc w:val="both"/>
              <w:rPr>
                <w:szCs w:val="24"/>
              </w:rPr>
            </w:pPr>
            <w:r>
              <w:rPr>
                <w:szCs w:val="24"/>
              </w:rPr>
              <w:t xml:space="preserve">5.1.11.8. </w:t>
            </w:r>
            <w:r w:rsidR="00AF10A0" w:rsidRPr="003026C7">
              <w:rPr>
                <w:szCs w:val="24"/>
              </w:rPr>
              <w:t xml:space="preserve">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 </w:t>
            </w:r>
          </w:p>
          <w:p w:rsidR="003026C7" w:rsidRPr="003026C7" w:rsidRDefault="00224E6A" w:rsidP="004E5939">
            <w:pPr>
              <w:pStyle w:val="ListParagraph"/>
              <w:tabs>
                <w:tab w:val="left" w:pos="743"/>
                <w:tab w:val="left" w:pos="885"/>
              </w:tabs>
              <w:ind w:left="34"/>
              <w:jc w:val="both"/>
              <w:rPr>
                <w:szCs w:val="24"/>
              </w:rPr>
            </w:pPr>
            <w:r>
              <w:rPr>
                <w:szCs w:val="24"/>
              </w:rPr>
              <w:t xml:space="preserve">5.1.11.9. </w:t>
            </w:r>
            <w:r w:rsidR="00AF10A0" w:rsidRPr="003026C7">
              <w:rPr>
                <w:szCs w:val="24"/>
              </w:rPr>
              <w:t>pažyma darbo užmokesčiui apskaičiuoti, parengta pagal Pažymos darbo užmokesčio apskaičiavimui formą, patvirtintą viešosios įstaigos Centrinės projektų valdymo agentūros direktoriaus 2024 m. birželio 21 d. įsakymu Nr. 2024/8-265 „Dėl 2021–2027 m. Europos Sąjungos fondų investicijų programos bei Ekonomikos gaivinimo ir atsparumo didinimo plano „Naujos kartos Lietuva“ administravimo veiklos vadovo pakeitimo“</w:t>
            </w:r>
            <w:r w:rsidR="004E5939">
              <w:rPr>
                <w:szCs w:val="24"/>
              </w:rPr>
              <w:t>.</w:t>
            </w:r>
          </w:p>
          <w:p w:rsidR="003026C7" w:rsidRPr="003026C7" w:rsidRDefault="004E5939" w:rsidP="004E5939">
            <w:pPr>
              <w:pStyle w:val="ListParagraph"/>
              <w:tabs>
                <w:tab w:val="left" w:pos="743"/>
                <w:tab w:val="left" w:pos="885"/>
              </w:tabs>
              <w:ind w:left="34"/>
              <w:jc w:val="both"/>
              <w:rPr>
                <w:szCs w:val="24"/>
              </w:rPr>
            </w:pPr>
            <w:r>
              <w:rPr>
                <w:iCs/>
                <w:szCs w:val="24"/>
              </w:rPr>
              <w:t xml:space="preserve">5.1.12. </w:t>
            </w:r>
            <w:r w:rsidR="00EA5D89" w:rsidRPr="003026C7">
              <w:rPr>
                <w:iCs/>
                <w:szCs w:val="24"/>
              </w:rPr>
              <w:t>Papildomi matomumo reikalavimai, nenurodyti Projektų administravimo ir finansavimo taisyklėse, nėra taikomi.</w:t>
            </w:r>
          </w:p>
          <w:p w:rsidR="003026C7" w:rsidRPr="003026C7" w:rsidRDefault="004E5939" w:rsidP="004E5939">
            <w:pPr>
              <w:pStyle w:val="ListParagraph"/>
              <w:tabs>
                <w:tab w:val="left" w:pos="743"/>
                <w:tab w:val="left" w:pos="885"/>
              </w:tabs>
              <w:ind w:left="34"/>
              <w:jc w:val="both"/>
              <w:rPr>
                <w:szCs w:val="24"/>
              </w:rPr>
            </w:pPr>
            <w:r>
              <w:rPr>
                <w:iCs/>
                <w:szCs w:val="24"/>
              </w:rPr>
              <w:t xml:space="preserve">5.1.13. </w:t>
            </w:r>
            <w:r w:rsidR="00EA5D89" w:rsidRPr="003026C7">
              <w:rPr>
                <w:iCs/>
                <w:szCs w:val="24"/>
              </w:rPr>
              <w:t>Apie projektą informuojama Projektų administravimo ir finansavimo taisyklių VIII skyriaus pirmajame skirsnyje nustatyta tvarka.</w:t>
            </w:r>
          </w:p>
          <w:p w:rsidR="006F181C" w:rsidRPr="003026C7" w:rsidRDefault="004E5939" w:rsidP="004E5939">
            <w:pPr>
              <w:pStyle w:val="ListParagraph"/>
              <w:tabs>
                <w:tab w:val="left" w:pos="743"/>
                <w:tab w:val="left" w:pos="885"/>
              </w:tabs>
              <w:ind w:left="34"/>
              <w:jc w:val="both"/>
              <w:rPr>
                <w:szCs w:val="24"/>
              </w:rPr>
            </w:pPr>
            <w:r>
              <w:rPr>
                <w:iCs/>
                <w:szCs w:val="24"/>
              </w:rPr>
              <w:t xml:space="preserve">5.1.14. </w:t>
            </w:r>
            <w:r w:rsidR="00EA5D89" w:rsidRPr="003026C7">
              <w:rPr>
                <w:iCs/>
                <w:szCs w:val="24"/>
              </w:rPr>
              <w:t xml:space="preserve">Visi su projekto įgyvendinimu susiję dokumentai turi būti saugomi Projektų administravimo ir finansavimo taisyklių VIII skyriaus šeštajame skirsnyje nustatyta tvarka ir terminais, taip pat laikantis </w:t>
            </w:r>
            <w:r w:rsidR="00EA5D89" w:rsidRPr="003026C7">
              <w:rPr>
                <w:i/>
                <w:iCs/>
                <w:szCs w:val="24"/>
              </w:rPr>
              <w:t>De minimis</w:t>
            </w:r>
            <w:r w:rsidR="00EA5D89" w:rsidRPr="003026C7">
              <w:rPr>
                <w:iCs/>
                <w:szCs w:val="24"/>
              </w:rPr>
              <w:t xml:space="preserve"> reglamento 6 straipsnio 4 punkte arba BBIR 12 straipsnio 1 dalyje nustatytų terminų.</w:t>
            </w:r>
          </w:p>
          <w:p w:rsidR="00FE1515" w:rsidRDefault="006F181C" w:rsidP="007D4DF8">
            <w:pPr>
              <w:jc w:val="both"/>
              <w:rPr>
                <w:i/>
                <w:iCs/>
                <w:sz w:val="22"/>
                <w:szCs w:val="22"/>
              </w:rPr>
            </w:pPr>
            <w:r w:rsidRPr="00DE0979">
              <w:rPr>
                <w:szCs w:val="24"/>
              </w:rPr>
              <w:tab/>
            </w:r>
          </w:p>
        </w:tc>
      </w:tr>
      <w:tr w:rsidR="00FE1515" w:rsidTr="730C137A">
        <w:trPr>
          <w:trHeight w:val="771"/>
        </w:trPr>
        <w:tc>
          <w:tcPr>
            <w:tcW w:w="15134" w:type="dxa"/>
          </w:tcPr>
          <w:p w:rsidR="00617184" w:rsidRDefault="00FE1515" w:rsidP="00617184">
            <w:pPr>
              <w:pStyle w:val="ListParagraph"/>
              <w:numPr>
                <w:ilvl w:val="1"/>
                <w:numId w:val="25"/>
              </w:numPr>
              <w:tabs>
                <w:tab w:val="left" w:pos="459"/>
              </w:tabs>
              <w:ind w:left="0" w:firstLine="0"/>
              <w:jc w:val="both"/>
              <w:rPr>
                <w:szCs w:val="24"/>
              </w:rPr>
            </w:pPr>
            <w:r w:rsidRPr="00617184">
              <w:rPr>
                <w:szCs w:val="24"/>
              </w:rPr>
              <w:t>Reikalavimai pareiškėjams</w:t>
            </w:r>
            <w:r w:rsidR="00883C53">
              <w:rPr>
                <w:szCs w:val="24"/>
              </w:rPr>
              <w:t>:</w:t>
            </w:r>
            <w:r w:rsidRPr="00617184">
              <w:rPr>
                <w:szCs w:val="24"/>
              </w:rPr>
              <w:t xml:space="preserve"> </w:t>
            </w:r>
          </w:p>
          <w:p w:rsidR="00617184" w:rsidRDefault="00143AA7" w:rsidP="00617184">
            <w:pPr>
              <w:pStyle w:val="ListParagraph"/>
              <w:numPr>
                <w:ilvl w:val="2"/>
                <w:numId w:val="13"/>
              </w:numPr>
              <w:tabs>
                <w:tab w:val="left" w:pos="601"/>
              </w:tabs>
              <w:ind w:left="0" w:firstLine="0"/>
              <w:jc w:val="both"/>
              <w:rPr>
                <w:szCs w:val="24"/>
              </w:rPr>
            </w:pPr>
            <w:r w:rsidRPr="00617184">
              <w:rPr>
                <w:szCs w:val="24"/>
              </w:rPr>
              <w:t>Galim</w:t>
            </w:r>
            <w:r w:rsidR="00B44F76" w:rsidRPr="00617184">
              <w:rPr>
                <w:szCs w:val="24"/>
              </w:rPr>
              <w:t>i</w:t>
            </w:r>
            <w:r w:rsidRPr="00617184">
              <w:rPr>
                <w:szCs w:val="24"/>
              </w:rPr>
              <w:t xml:space="preserve"> pareiškėja</w:t>
            </w:r>
            <w:r w:rsidR="00B44F76" w:rsidRPr="00617184">
              <w:rPr>
                <w:szCs w:val="24"/>
              </w:rPr>
              <w:t>i</w:t>
            </w:r>
            <w:r w:rsidR="0067775F" w:rsidRPr="00617184">
              <w:rPr>
                <w:szCs w:val="24"/>
              </w:rPr>
              <w:t>:</w:t>
            </w:r>
            <w:r w:rsidR="00C4737E" w:rsidRPr="00617184">
              <w:rPr>
                <w:szCs w:val="24"/>
              </w:rPr>
              <w:t xml:space="preserve"> </w:t>
            </w:r>
          </w:p>
          <w:p w:rsidR="00617184" w:rsidRPr="00617184" w:rsidRDefault="003355AE" w:rsidP="00617184">
            <w:pPr>
              <w:pStyle w:val="ListParagraph"/>
              <w:numPr>
                <w:ilvl w:val="3"/>
                <w:numId w:val="13"/>
              </w:numPr>
              <w:tabs>
                <w:tab w:val="left" w:pos="743"/>
              </w:tabs>
              <w:ind w:left="0" w:firstLine="0"/>
              <w:jc w:val="both"/>
            </w:pPr>
            <w:r>
              <w:t xml:space="preserve"> </w:t>
            </w:r>
            <w:r w:rsidR="00C4737E">
              <w:t>į Kelrodį įtrauktas ir pagal pasirengimą dalyvauti tarptautinės MTI veikloje nustatytas kaip „įsitvirtinusi“ Lietuvos MTI administruojantys juridiniai asmenys (Kelrodyje nurodyti kaip „atstovaujanti institucija“) arba šių Lietuvos MTI veikloje dalyvaujan</w:t>
            </w:r>
            <w:r w:rsidR="00883C53">
              <w:t xml:space="preserve">tys kiti </w:t>
            </w:r>
            <w:r w:rsidR="00C4737E">
              <w:t>juridini</w:t>
            </w:r>
            <w:r w:rsidR="00883C53">
              <w:t>ai</w:t>
            </w:r>
            <w:r w:rsidR="00C4737E">
              <w:t xml:space="preserve"> asmen</w:t>
            </w:r>
            <w:r w:rsidR="00883C53">
              <w:t>ys</w:t>
            </w:r>
            <w:r w:rsidR="00C4737E">
              <w:t xml:space="preserve"> (Kelrodyje nurodyt</w:t>
            </w:r>
            <w:r w:rsidR="00883C53">
              <w:t>i</w:t>
            </w:r>
            <w:r w:rsidR="00C4737E">
              <w:t xml:space="preserve"> kaip „dalyvaujan</w:t>
            </w:r>
            <w:r w:rsidR="00883C53">
              <w:t>čios</w:t>
            </w:r>
            <w:r w:rsidR="00C4737E">
              <w:t xml:space="preserve"> institucij</w:t>
            </w:r>
            <w:r w:rsidR="00883C53">
              <w:t>os</w:t>
            </w:r>
            <w:r w:rsidR="00C4737E">
              <w:t xml:space="preserve">“), išskyrus </w:t>
            </w:r>
            <w:r w:rsidR="00797F15">
              <w:t>Aprašo 5.1.7 papunktyje nurodytas aplinkybes;</w:t>
            </w:r>
          </w:p>
          <w:p w:rsidR="00883C53" w:rsidRPr="00883C53" w:rsidRDefault="003355AE" w:rsidP="00883C53">
            <w:pPr>
              <w:pStyle w:val="ListParagraph"/>
              <w:numPr>
                <w:ilvl w:val="3"/>
                <w:numId w:val="13"/>
              </w:numPr>
              <w:tabs>
                <w:tab w:val="left" w:pos="743"/>
              </w:tabs>
              <w:ind w:left="0" w:firstLine="0"/>
              <w:jc w:val="both"/>
              <w:rPr>
                <w:szCs w:val="24"/>
              </w:rPr>
            </w:pPr>
            <w:r>
              <w:rPr>
                <w:iCs/>
                <w:szCs w:val="24"/>
              </w:rPr>
              <w:t xml:space="preserve"> </w:t>
            </w:r>
            <w:r w:rsidR="00C4737E" w:rsidRPr="00617184">
              <w:rPr>
                <w:iCs/>
                <w:szCs w:val="24"/>
              </w:rPr>
              <w:t xml:space="preserve">į Kelrodį įtrauktas ir pagal pasirengimą dalyvauti tarptautinės MTI veikloje nustatytas kaip </w:t>
            </w:r>
            <w:r w:rsidR="00C4737E" w:rsidRPr="004900E6">
              <w:rPr>
                <w:iCs/>
                <w:szCs w:val="24"/>
              </w:rPr>
              <w:t>„brandi“</w:t>
            </w:r>
            <w:r w:rsidR="00C4737E" w:rsidRPr="00617184">
              <w:rPr>
                <w:iCs/>
                <w:szCs w:val="24"/>
              </w:rPr>
              <w:t xml:space="preserve"> Lietuvos MTI administruojantys juridiniai asmenys (Kelrodyje nurodyti kaip „atstovaujanti institucija“) arba šių Lietuvos MTI veikloje dalyvaujan</w:t>
            </w:r>
            <w:r w:rsidR="00883C53">
              <w:rPr>
                <w:iCs/>
                <w:szCs w:val="24"/>
              </w:rPr>
              <w:t>tys</w:t>
            </w:r>
            <w:r w:rsidR="00C4737E" w:rsidRPr="00617184">
              <w:rPr>
                <w:iCs/>
                <w:szCs w:val="24"/>
              </w:rPr>
              <w:t xml:space="preserve"> juridini</w:t>
            </w:r>
            <w:r w:rsidR="00883C53">
              <w:rPr>
                <w:iCs/>
                <w:szCs w:val="24"/>
              </w:rPr>
              <w:t>ai</w:t>
            </w:r>
            <w:r w:rsidR="00C4737E" w:rsidRPr="00617184">
              <w:rPr>
                <w:iCs/>
                <w:szCs w:val="24"/>
              </w:rPr>
              <w:t xml:space="preserve"> asmen</w:t>
            </w:r>
            <w:r w:rsidR="00883C53">
              <w:rPr>
                <w:iCs/>
                <w:szCs w:val="24"/>
              </w:rPr>
              <w:t>ys</w:t>
            </w:r>
            <w:r w:rsidR="00C4737E" w:rsidRPr="00617184">
              <w:rPr>
                <w:iCs/>
                <w:szCs w:val="24"/>
              </w:rPr>
              <w:t xml:space="preserve"> (Kelrodyje nurodyt</w:t>
            </w:r>
            <w:r w:rsidR="00883C53">
              <w:rPr>
                <w:iCs/>
                <w:szCs w:val="24"/>
              </w:rPr>
              <w:t>i</w:t>
            </w:r>
            <w:r w:rsidR="00C4737E" w:rsidRPr="00617184">
              <w:rPr>
                <w:iCs/>
                <w:szCs w:val="24"/>
              </w:rPr>
              <w:t xml:space="preserve"> kaip „dalyvaujan</w:t>
            </w:r>
            <w:r w:rsidR="00883C53">
              <w:rPr>
                <w:iCs/>
                <w:szCs w:val="24"/>
              </w:rPr>
              <w:t>čios</w:t>
            </w:r>
            <w:r w:rsidR="00C4737E" w:rsidRPr="00617184">
              <w:rPr>
                <w:iCs/>
                <w:szCs w:val="24"/>
              </w:rPr>
              <w:t xml:space="preserve"> institucij</w:t>
            </w:r>
            <w:r w:rsidR="00883C53">
              <w:rPr>
                <w:iCs/>
                <w:szCs w:val="24"/>
              </w:rPr>
              <w:t>os</w:t>
            </w:r>
            <w:r w:rsidR="00C4737E" w:rsidRPr="00617184">
              <w:rPr>
                <w:iCs/>
                <w:szCs w:val="24"/>
              </w:rPr>
              <w:t>“)</w:t>
            </w:r>
            <w:r w:rsidR="003227D5" w:rsidRPr="00617184">
              <w:rPr>
                <w:iCs/>
                <w:szCs w:val="24"/>
              </w:rPr>
              <w:t>.</w:t>
            </w:r>
          </w:p>
          <w:p w:rsidR="00883C53" w:rsidRPr="00883C53" w:rsidRDefault="003355AE" w:rsidP="001329CF">
            <w:pPr>
              <w:pStyle w:val="ListParagraph"/>
              <w:numPr>
                <w:ilvl w:val="2"/>
                <w:numId w:val="13"/>
              </w:numPr>
              <w:tabs>
                <w:tab w:val="left" w:pos="601"/>
              </w:tabs>
              <w:ind w:left="0" w:firstLine="34"/>
              <w:jc w:val="both"/>
              <w:rPr>
                <w:szCs w:val="24"/>
              </w:rPr>
            </w:pPr>
            <w:r>
              <w:rPr>
                <w:szCs w:val="24"/>
              </w:rPr>
              <w:t xml:space="preserve"> </w:t>
            </w:r>
            <w:r w:rsidR="00883C53">
              <w:rPr>
                <w:szCs w:val="24"/>
              </w:rPr>
              <w:t xml:space="preserve">Jei paraišką teikia </w:t>
            </w:r>
            <w:r w:rsidR="00883C53" w:rsidRPr="00617184">
              <w:rPr>
                <w:iCs/>
                <w:szCs w:val="24"/>
              </w:rPr>
              <w:t>Lietuvos MTI veikloje dalyvaujan</w:t>
            </w:r>
            <w:r w:rsidR="00883C53">
              <w:rPr>
                <w:iCs/>
                <w:szCs w:val="24"/>
              </w:rPr>
              <w:t>tis juridinis asmuo (</w:t>
            </w:r>
            <w:r w:rsidR="00883C53" w:rsidRPr="00617184">
              <w:rPr>
                <w:iCs/>
                <w:szCs w:val="24"/>
              </w:rPr>
              <w:t>Kelrodyje nurodyt</w:t>
            </w:r>
            <w:r w:rsidR="00883C53">
              <w:rPr>
                <w:iCs/>
                <w:szCs w:val="24"/>
              </w:rPr>
              <w:t>as</w:t>
            </w:r>
            <w:r w:rsidR="00883C53" w:rsidRPr="00617184">
              <w:rPr>
                <w:iCs/>
                <w:szCs w:val="24"/>
              </w:rPr>
              <w:t xml:space="preserve"> kaip „dalyvaujan</w:t>
            </w:r>
            <w:r w:rsidR="00883C53">
              <w:rPr>
                <w:iCs/>
                <w:szCs w:val="24"/>
              </w:rPr>
              <w:t>ti</w:t>
            </w:r>
            <w:r w:rsidR="00883C53" w:rsidRPr="00617184">
              <w:rPr>
                <w:iCs/>
                <w:szCs w:val="24"/>
              </w:rPr>
              <w:t xml:space="preserve"> instituci</w:t>
            </w:r>
            <w:r w:rsidR="00883C53">
              <w:rPr>
                <w:iCs/>
                <w:szCs w:val="24"/>
              </w:rPr>
              <w:t>ja</w:t>
            </w:r>
            <w:r w:rsidR="00883C53" w:rsidRPr="00617184">
              <w:rPr>
                <w:iCs/>
                <w:szCs w:val="24"/>
              </w:rPr>
              <w:t>“)</w:t>
            </w:r>
            <w:r w:rsidR="00883C53">
              <w:rPr>
                <w:iCs/>
                <w:szCs w:val="24"/>
              </w:rPr>
              <w:t xml:space="preserve">, </w:t>
            </w:r>
            <w:r w:rsidR="001329CF">
              <w:rPr>
                <w:iCs/>
                <w:szCs w:val="24"/>
              </w:rPr>
              <w:t>jį turi įgalioti šią MTI administruojantis juridinis asmuo (</w:t>
            </w:r>
            <w:r w:rsidR="001329CF" w:rsidRPr="00617184">
              <w:rPr>
                <w:iCs/>
                <w:szCs w:val="24"/>
              </w:rPr>
              <w:t>Kelrodyje nurodyt</w:t>
            </w:r>
            <w:r w:rsidR="001329CF">
              <w:rPr>
                <w:iCs/>
                <w:szCs w:val="24"/>
              </w:rPr>
              <w:t>as</w:t>
            </w:r>
            <w:r w:rsidR="001329CF" w:rsidRPr="00617184">
              <w:rPr>
                <w:iCs/>
                <w:szCs w:val="24"/>
              </w:rPr>
              <w:t xml:space="preserve"> kaip „atstovaujanti institucija“)</w:t>
            </w:r>
            <w:r w:rsidR="001329CF">
              <w:rPr>
                <w:iCs/>
                <w:szCs w:val="24"/>
              </w:rPr>
              <w:t xml:space="preserve"> ir kiti </w:t>
            </w:r>
            <w:r w:rsidR="001329CF" w:rsidRPr="00617184">
              <w:rPr>
                <w:iCs/>
                <w:szCs w:val="24"/>
              </w:rPr>
              <w:t>ši</w:t>
            </w:r>
            <w:r w:rsidR="001329CF">
              <w:rPr>
                <w:iCs/>
                <w:szCs w:val="24"/>
              </w:rPr>
              <w:t>os</w:t>
            </w:r>
            <w:r w:rsidR="001329CF" w:rsidRPr="00617184">
              <w:rPr>
                <w:iCs/>
                <w:szCs w:val="24"/>
              </w:rPr>
              <w:t xml:space="preserve"> Lietuvos MTI veikloje dalyvaujan</w:t>
            </w:r>
            <w:r w:rsidR="001329CF">
              <w:rPr>
                <w:iCs/>
                <w:szCs w:val="24"/>
              </w:rPr>
              <w:t xml:space="preserve">tys </w:t>
            </w:r>
            <w:r w:rsidR="001329CF" w:rsidRPr="00617184">
              <w:rPr>
                <w:iCs/>
                <w:szCs w:val="24"/>
              </w:rPr>
              <w:t>juridini</w:t>
            </w:r>
            <w:r w:rsidR="001329CF">
              <w:rPr>
                <w:iCs/>
                <w:szCs w:val="24"/>
              </w:rPr>
              <w:t>ai</w:t>
            </w:r>
            <w:r w:rsidR="001329CF" w:rsidRPr="00617184">
              <w:rPr>
                <w:iCs/>
                <w:szCs w:val="24"/>
              </w:rPr>
              <w:t xml:space="preserve"> asmen</w:t>
            </w:r>
            <w:r w:rsidR="001329CF">
              <w:rPr>
                <w:iCs/>
                <w:szCs w:val="24"/>
              </w:rPr>
              <w:t xml:space="preserve">ys </w:t>
            </w:r>
            <w:r w:rsidR="001329CF" w:rsidRPr="00617184">
              <w:rPr>
                <w:iCs/>
                <w:szCs w:val="24"/>
              </w:rPr>
              <w:t>(Kelrodyje nurodyt</w:t>
            </w:r>
            <w:r w:rsidR="001329CF">
              <w:rPr>
                <w:iCs/>
                <w:szCs w:val="24"/>
              </w:rPr>
              <w:t>i</w:t>
            </w:r>
            <w:r w:rsidR="001329CF" w:rsidRPr="00617184">
              <w:rPr>
                <w:iCs/>
                <w:szCs w:val="24"/>
              </w:rPr>
              <w:t xml:space="preserve"> kaip „dalyvaujan</w:t>
            </w:r>
            <w:r w:rsidR="001329CF">
              <w:rPr>
                <w:iCs/>
                <w:szCs w:val="24"/>
              </w:rPr>
              <w:t>čios</w:t>
            </w:r>
            <w:r w:rsidR="001329CF" w:rsidRPr="00617184">
              <w:rPr>
                <w:iCs/>
                <w:szCs w:val="24"/>
              </w:rPr>
              <w:t xml:space="preserve"> institucij</w:t>
            </w:r>
            <w:r w:rsidR="001329CF">
              <w:rPr>
                <w:iCs/>
                <w:szCs w:val="24"/>
              </w:rPr>
              <w:t>os</w:t>
            </w:r>
            <w:r w:rsidR="001329CF" w:rsidRPr="00617184">
              <w:rPr>
                <w:iCs/>
                <w:szCs w:val="24"/>
              </w:rPr>
              <w:t>“)</w:t>
            </w:r>
            <w:r w:rsidR="001329CF">
              <w:rPr>
                <w:iCs/>
                <w:szCs w:val="24"/>
              </w:rPr>
              <w:t>, jei tokių esama.</w:t>
            </w:r>
          </w:p>
          <w:p w:rsidR="003227D5" w:rsidRPr="003227D5" w:rsidRDefault="003227D5" w:rsidP="003227D5">
            <w:pPr>
              <w:pStyle w:val="ListParagraph"/>
              <w:tabs>
                <w:tab w:val="left" w:pos="601"/>
              </w:tabs>
              <w:ind w:left="0"/>
              <w:jc w:val="both"/>
              <w:rPr>
                <w:iCs/>
                <w:szCs w:val="24"/>
              </w:rPr>
            </w:pPr>
          </w:p>
        </w:tc>
      </w:tr>
      <w:tr w:rsidR="00FE1515" w:rsidTr="730C137A">
        <w:trPr>
          <w:trHeight w:val="1036"/>
        </w:trPr>
        <w:tc>
          <w:tcPr>
            <w:tcW w:w="15134" w:type="dxa"/>
          </w:tcPr>
          <w:p w:rsidR="001329CF" w:rsidRDefault="00FE1515" w:rsidP="002F3F7E">
            <w:pPr>
              <w:pStyle w:val="ListParagraph"/>
              <w:numPr>
                <w:ilvl w:val="1"/>
                <w:numId w:val="15"/>
              </w:numPr>
              <w:jc w:val="both"/>
              <w:rPr>
                <w:szCs w:val="24"/>
              </w:rPr>
            </w:pPr>
            <w:r w:rsidRPr="001329CF">
              <w:rPr>
                <w:szCs w:val="24"/>
              </w:rPr>
              <w:t>Reikalavimai partneriams</w:t>
            </w:r>
            <w:r w:rsidR="00E228D2" w:rsidRPr="001329CF">
              <w:rPr>
                <w:szCs w:val="24"/>
              </w:rPr>
              <w:t>:</w:t>
            </w:r>
          </w:p>
          <w:p w:rsidR="001329CF" w:rsidRPr="001329CF" w:rsidRDefault="001329CF" w:rsidP="000D5B5E">
            <w:pPr>
              <w:pStyle w:val="ListParagraph"/>
              <w:numPr>
                <w:ilvl w:val="2"/>
                <w:numId w:val="15"/>
              </w:numPr>
              <w:tabs>
                <w:tab w:val="left" w:pos="601"/>
              </w:tabs>
              <w:ind w:left="0" w:firstLine="0"/>
              <w:jc w:val="both"/>
              <w:rPr>
                <w:szCs w:val="24"/>
              </w:rPr>
            </w:pPr>
            <w:r>
              <w:rPr>
                <w:szCs w:val="24"/>
              </w:rPr>
              <w:t>Galimi partneriai:</w:t>
            </w:r>
          </w:p>
          <w:p w:rsidR="002F72FF" w:rsidRDefault="7FE7485C" w:rsidP="000D5B5E">
            <w:pPr>
              <w:pStyle w:val="ListParagraph"/>
              <w:numPr>
                <w:ilvl w:val="3"/>
                <w:numId w:val="15"/>
              </w:numPr>
              <w:tabs>
                <w:tab w:val="left" w:pos="885"/>
              </w:tabs>
              <w:ind w:left="0" w:firstLine="0"/>
              <w:jc w:val="both"/>
            </w:pPr>
            <w:r>
              <w:t xml:space="preserve">į Kelrodį įtrauktų ir pagal pasirengimą dalyvauti tarptautinės MTI veikloje nustatytų kaip „įsitvirtinusi“ Lietuvos MTI veikloje dalyvaujantys juridiniai asmenys (Kelrodyje nurodyti kaip „atstovaujanti institucija“ ir „dalyvaujančios institucijos“), išskyrus </w:t>
            </w:r>
            <w:r w:rsidR="005F5DE7">
              <w:rPr>
                <w:iCs/>
                <w:szCs w:val="24"/>
              </w:rPr>
              <w:t>Aprašo 5.1.7 papunktyje nurodytas aplinkybes;</w:t>
            </w:r>
          </w:p>
          <w:p w:rsidR="002F3F7E" w:rsidRPr="002F3F7E" w:rsidRDefault="7FE7485C" w:rsidP="000D5B5E">
            <w:pPr>
              <w:pStyle w:val="ListParagraph"/>
              <w:numPr>
                <w:ilvl w:val="3"/>
                <w:numId w:val="15"/>
              </w:numPr>
              <w:tabs>
                <w:tab w:val="left" w:pos="885"/>
              </w:tabs>
              <w:ind w:left="0" w:firstLine="0"/>
              <w:jc w:val="both"/>
            </w:pPr>
            <w:r>
              <w:t xml:space="preserve">į Kelrodį įtrauktų ir pagal pasirengimą dalyvauti tarptautinės MTI veikloje nustatytų kaip </w:t>
            </w:r>
            <w:r w:rsidRPr="006B470D">
              <w:t>„brandi“</w:t>
            </w:r>
            <w:r>
              <w:t xml:space="preserve"> Lietuvos MTI veikloje dalyvaujantys juridiniai asmenys (Kelrodyje nurodyti kaip „atstovaujanti institucija“ ir „dalyvaujančios institucijos“);</w:t>
            </w:r>
          </w:p>
          <w:p w:rsidR="003F28BA" w:rsidRPr="002F094B" w:rsidRDefault="7FE7485C" w:rsidP="002F3F7E">
            <w:pPr>
              <w:pStyle w:val="ListParagraph"/>
              <w:numPr>
                <w:ilvl w:val="3"/>
                <w:numId w:val="27"/>
              </w:numPr>
              <w:tabs>
                <w:tab w:val="left" w:pos="885"/>
              </w:tabs>
              <w:ind w:left="0" w:firstLine="0"/>
              <w:jc w:val="both"/>
            </w:pPr>
            <w:r>
              <w:t>savarankiškos įmonės (kaip apibrėžta Smulkaus ir vidutinio verslo plėtros įstatymo 12 punkte).</w:t>
            </w:r>
          </w:p>
          <w:p w:rsidR="00FE1515" w:rsidRPr="00157B01" w:rsidDel="00CB10DA" w:rsidRDefault="00FE1515" w:rsidP="00BD7B74">
            <w:pPr>
              <w:jc w:val="both"/>
              <w:rPr>
                <w:szCs w:val="24"/>
              </w:rPr>
            </w:pPr>
          </w:p>
        </w:tc>
      </w:tr>
      <w:tr w:rsidR="00FE1515" w:rsidTr="730C137A">
        <w:tc>
          <w:tcPr>
            <w:tcW w:w="15134" w:type="dxa"/>
          </w:tcPr>
          <w:p w:rsidR="00FE1515" w:rsidRPr="00F462EC" w:rsidRDefault="00FE1515" w:rsidP="00F462EC">
            <w:pPr>
              <w:pStyle w:val="ListParagraph"/>
              <w:numPr>
                <w:ilvl w:val="0"/>
                <w:numId w:val="27"/>
              </w:numPr>
              <w:tabs>
                <w:tab w:val="left" w:pos="318"/>
              </w:tabs>
              <w:ind w:left="0" w:firstLine="0"/>
              <w:jc w:val="both"/>
              <w:rPr>
                <w:b/>
                <w:iCs/>
                <w:szCs w:val="24"/>
              </w:rPr>
            </w:pPr>
            <w:r w:rsidRPr="00F462EC">
              <w:rPr>
                <w:b/>
                <w:szCs w:val="24"/>
              </w:rPr>
              <w:t>Reikalavimai jungtinio projekto projektams ir jungtinio projekto projektų pareiškėjams</w:t>
            </w:r>
          </w:p>
        </w:tc>
      </w:tr>
      <w:tr w:rsidR="00FE1515" w:rsidTr="730C137A">
        <w:trPr>
          <w:trHeight w:val="633"/>
        </w:trPr>
        <w:tc>
          <w:tcPr>
            <w:tcW w:w="15134" w:type="dxa"/>
          </w:tcPr>
          <w:p w:rsidR="00F462EC" w:rsidRPr="00F462EC" w:rsidRDefault="00FE1515" w:rsidP="00F462EC">
            <w:pPr>
              <w:pStyle w:val="ListParagraph"/>
              <w:numPr>
                <w:ilvl w:val="1"/>
                <w:numId w:val="28"/>
              </w:numPr>
              <w:tabs>
                <w:tab w:val="left" w:pos="459"/>
              </w:tabs>
              <w:ind w:left="0" w:firstLine="0"/>
              <w:jc w:val="both"/>
              <w:rPr>
                <w:i/>
                <w:iCs/>
                <w:szCs w:val="24"/>
              </w:rPr>
            </w:pPr>
            <w:r w:rsidRPr="00F462EC">
              <w:rPr>
                <w:szCs w:val="24"/>
              </w:rPr>
              <w:t>Reikalavimai jungtinio projekto projektams</w:t>
            </w:r>
            <w:r w:rsidR="00E228D2" w:rsidRPr="00F462EC">
              <w:rPr>
                <w:szCs w:val="24"/>
              </w:rPr>
              <w:t>:</w:t>
            </w:r>
          </w:p>
          <w:p w:rsidR="00FE1515" w:rsidRPr="00F462EC" w:rsidRDefault="007E610A" w:rsidP="00F462EC">
            <w:pPr>
              <w:pStyle w:val="ListParagraph"/>
              <w:numPr>
                <w:ilvl w:val="2"/>
                <w:numId w:val="28"/>
              </w:numPr>
              <w:tabs>
                <w:tab w:val="left" w:pos="601"/>
              </w:tabs>
              <w:ind w:left="0" w:firstLine="0"/>
              <w:jc w:val="both"/>
              <w:rPr>
                <w:i/>
                <w:iCs/>
                <w:szCs w:val="24"/>
              </w:rPr>
            </w:pPr>
            <w:r w:rsidRPr="00F462EC">
              <w:rPr>
                <w:szCs w:val="24"/>
              </w:rPr>
              <w:t>Neta</w:t>
            </w:r>
            <w:r w:rsidR="00291006" w:rsidRPr="00F462EC">
              <w:rPr>
                <w:szCs w:val="24"/>
              </w:rPr>
              <w:t>i</w:t>
            </w:r>
            <w:r w:rsidRPr="00F462EC">
              <w:rPr>
                <w:szCs w:val="24"/>
              </w:rPr>
              <w:t>koma</w:t>
            </w:r>
            <w:r w:rsidR="00C56CE1" w:rsidRPr="00F462EC">
              <w:rPr>
                <w:szCs w:val="24"/>
              </w:rPr>
              <w:t>.</w:t>
            </w:r>
          </w:p>
          <w:p w:rsidR="00260CCF" w:rsidRDefault="00260CCF" w:rsidP="00F462EC">
            <w:pPr>
              <w:tabs>
                <w:tab w:val="left" w:pos="601"/>
              </w:tabs>
              <w:jc w:val="both"/>
              <w:rPr>
                <w:i/>
                <w:iCs/>
                <w:sz w:val="22"/>
                <w:szCs w:val="22"/>
              </w:rPr>
            </w:pPr>
          </w:p>
        </w:tc>
      </w:tr>
      <w:tr w:rsidR="00FE1515" w:rsidTr="730C137A">
        <w:trPr>
          <w:trHeight w:val="633"/>
        </w:trPr>
        <w:tc>
          <w:tcPr>
            <w:tcW w:w="15134" w:type="dxa"/>
          </w:tcPr>
          <w:p w:rsidR="00F462EC" w:rsidRPr="00F462EC" w:rsidRDefault="00FE1515" w:rsidP="00F462EC">
            <w:pPr>
              <w:pStyle w:val="ListParagraph"/>
              <w:numPr>
                <w:ilvl w:val="1"/>
                <w:numId w:val="28"/>
              </w:numPr>
              <w:tabs>
                <w:tab w:val="left" w:pos="459"/>
              </w:tabs>
              <w:ind w:left="0" w:firstLine="0"/>
              <w:jc w:val="both"/>
              <w:rPr>
                <w:i/>
                <w:iCs/>
                <w:szCs w:val="24"/>
              </w:rPr>
            </w:pPr>
            <w:r w:rsidRPr="00F462EC">
              <w:rPr>
                <w:szCs w:val="24"/>
              </w:rPr>
              <w:t>Reikalavimai jungtinio projekto projektų pareiškėjams</w:t>
            </w:r>
            <w:r w:rsidR="00E228D2" w:rsidRPr="00F462EC">
              <w:rPr>
                <w:szCs w:val="24"/>
              </w:rPr>
              <w:t>:</w:t>
            </w:r>
          </w:p>
          <w:p w:rsidR="00FE1515" w:rsidRPr="00F462EC" w:rsidRDefault="007E610A" w:rsidP="00F462EC">
            <w:pPr>
              <w:pStyle w:val="ListParagraph"/>
              <w:numPr>
                <w:ilvl w:val="2"/>
                <w:numId w:val="28"/>
              </w:numPr>
              <w:tabs>
                <w:tab w:val="left" w:pos="601"/>
              </w:tabs>
              <w:ind w:left="0" w:firstLine="0"/>
              <w:jc w:val="both"/>
              <w:rPr>
                <w:i/>
                <w:iCs/>
                <w:szCs w:val="24"/>
              </w:rPr>
            </w:pPr>
            <w:r w:rsidRPr="00F462EC">
              <w:rPr>
                <w:szCs w:val="24"/>
              </w:rPr>
              <w:t>Netaikoma</w:t>
            </w:r>
            <w:r w:rsidR="00C56CE1" w:rsidRPr="00F462EC">
              <w:rPr>
                <w:szCs w:val="24"/>
              </w:rPr>
              <w:t>.</w:t>
            </w:r>
          </w:p>
          <w:p w:rsidR="00260CCF" w:rsidRPr="00157B01" w:rsidRDefault="00260CCF" w:rsidP="00F462EC">
            <w:pPr>
              <w:tabs>
                <w:tab w:val="left" w:pos="601"/>
              </w:tabs>
              <w:jc w:val="both"/>
              <w:rPr>
                <w:i/>
                <w:iCs/>
                <w:sz w:val="22"/>
                <w:szCs w:val="22"/>
              </w:rPr>
            </w:pPr>
          </w:p>
        </w:tc>
      </w:tr>
      <w:tr w:rsidR="00FE1515" w:rsidTr="730C137A">
        <w:trPr>
          <w:trHeight w:val="285"/>
        </w:trPr>
        <w:tc>
          <w:tcPr>
            <w:tcW w:w="15134" w:type="dxa"/>
          </w:tcPr>
          <w:p w:rsidR="00FE1515" w:rsidRPr="00F462EC" w:rsidRDefault="00FE1515" w:rsidP="00F462EC">
            <w:pPr>
              <w:pStyle w:val="ListParagraph"/>
              <w:numPr>
                <w:ilvl w:val="0"/>
                <w:numId w:val="28"/>
              </w:numPr>
              <w:tabs>
                <w:tab w:val="left" w:pos="318"/>
              </w:tabs>
              <w:ind w:left="0" w:firstLine="0"/>
              <w:rPr>
                <w:bCs/>
                <w:szCs w:val="24"/>
              </w:rPr>
            </w:pPr>
            <w:r w:rsidRPr="00F462EC">
              <w:rPr>
                <w:b/>
                <w:szCs w:val="24"/>
              </w:rPr>
              <w:t>Projekto tikslinės grupės</w:t>
            </w:r>
          </w:p>
        </w:tc>
      </w:tr>
      <w:tr w:rsidR="00FE1515" w:rsidTr="730C137A">
        <w:trPr>
          <w:trHeight w:val="285"/>
        </w:trPr>
        <w:tc>
          <w:tcPr>
            <w:tcW w:w="15134" w:type="dxa"/>
          </w:tcPr>
          <w:p w:rsidR="00F462EC" w:rsidRDefault="00F24818" w:rsidP="00F462EC">
            <w:pPr>
              <w:pStyle w:val="ListParagraph"/>
              <w:numPr>
                <w:ilvl w:val="1"/>
                <w:numId w:val="28"/>
              </w:numPr>
              <w:tabs>
                <w:tab w:val="left" w:pos="459"/>
              </w:tabs>
              <w:ind w:left="0" w:firstLine="0"/>
              <w:jc w:val="both"/>
              <w:rPr>
                <w:szCs w:val="24"/>
              </w:rPr>
            </w:pPr>
            <w:r w:rsidRPr="00F462EC">
              <w:rPr>
                <w:szCs w:val="24"/>
              </w:rPr>
              <w:t>Galima projekto tikslinė grupė –</w:t>
            </w:r>
            <w:r w:rsidR="002F32F2" w:rsidRPr="00F462EC">
              <w:rPr>
                <w:szCs w:val="24"/>
              </w:rPr>
              <w:t xml:space="preserve"> mokslo ir studijų institucijos, </w:t>
            </w:r>
            <w:r w:rsidR="002F32F2" w:rsidRPr="00665C5E">
              <w:rPr>
                <w:szCs w:val="24"/>
              </w:rPr>
              <w:t>įmonės,</w:t>
            </w:r>
            <w:r w:rsidR="002F32F2" w:rsidRPr="00F462EC">
              <w:rPr>
                <w:szCs w:val="24"/>
              </w:rPr>
              <w:t xml:space="preserve"> mokslininkai ir kiti tyrėjai.</w:t>
            </w:r>
          </w:p>
          <w:p w:rsidR="00FE1515" w:rsidRDefault="00FE1515" w:rsidP="00665C5E">
            <w:pPr>
              <w:tabs>
                <w:tab w:val="left" w:pos="601"/>
              </w:tabs>
              <w:jc w:val="both"/>
              <w:rPr>
                <w:sz w:val="22"/>
                <w:szCs w:val="22"/>
              </w:rPr>
            </w:pPr>
          </w:p>
        </w:tc>
      </w:tr>
      <w:tr w:rsidR="00FE1515" w:rsidTr="730C137A">
        <w:trPr>
          <w:trHeight w:val="285"/>
        </w:trPr>
        <w:tc>
          <w:tcPr>
            <w:tcW w:w="15134" w:type="dxa"/>
          </w:tcPr>
          <w:p w:rsidR="00FE1515" w:rsidRPr="00F462EC" w:rsidRDefault="00FE1515" w:rsidP="00F462EC">
            <w:pPr>
              <w:pStyle w:val="ListParagraph"/>
              <w:numPr>
                <w:ilvl w:val="0"/>
                <w:numId w:val="28"/>
              </w:numPr>
              <w:tabs>
                <w:tab w:val="left" w:pos="318"/>
              </w:tabs>
              <w:ind w:left="0" w:firstLine="0"/>
              <w:rPr>
                <w:bCs/>
                <w:sz w:val="22"/>
                <w:szCs w:val="22"/>
              </w:rPr>
            </w:pPr>
            <w:r w:rsidRPr="00F462EC">
              <w:rPr>
                <w:b/>
                <w:szCs w:val="24"/>
              </w:rPr>
              <w:t>Horizontaliųjų principų (toliau – HP) reikalavimai</w:t>
            </w:r>
          </w:p>
        </w:tc>
      </w:tr>
      <w:tr w:rsidR="00FE1515" w:rsidTr="730C137A">
        <w:tc>
          <w:tcPr>
            <w:tcW w:w="15134" w:type="dxa"/>
          </w:tcPr>
          <w:p w:rsidR="00F462EC" w:rsidRDefault="00E07296" w:rsidP="00F462EC">
            <w:pPr>
              <w:pStyle w:val="ListParagraph"/>
              <w:numPr>
                <w:ilvl w:val="1"/>
                <w:numId w:val="28"/>
              </w:numPr>
              <w:tabs>
                <w:tab w:val="left" w:pos="459"/>
              </w:tabs>
              <w:ind w:left="0" w:firstLine="0"/>
              <w:jc w:val="both"/>
              <w:rPr>
                <w:iCs/>
                <w:szCs w:val="24"/>
              </w:rPr>
            </w:pPr>
            <w:r w:rsidRPr="00F462EC">
              <w:rPr>
                <w:iCs/>
                <w:szCs w:val="24"/>
              </w:rPr>
              <w:t>Projekte negali būti numatyta:</w:t>
            </w:r>
          </w:p>
          <w:p w:rsidR="00F462EC" w:rsidRDefault="00E07296" w:rsidP="00F462EC">
            <w:pPr>
              <w:pStyle w:val="ListParagraph"/>
              <w:numPr>
                <w:ilvl w:val="2"/>
                <w:numId w:val="28"/>
              </w:numPr>
              <w:tabs>
                <w:tab w:val="left" w:pos="601"/>
              </w:tabs>
              <w:ind w:left="0" w:firstLine="0"/>
              <w:jc w:val="both"/>
              <w:rPr>
                <w:iCs/>
                <w:szCs w:val="24"/>
              </w:rPr>
            </w:pPr>
            <w:r w:rsidRPr="00F462EC">
              <w:rPr>
                <w:iCs/>
                <w:szCs w:val="24"/>
              </w:rPr>
              <w:t xml:space="preserve">apribojimų, kurie turėtų neigiamą poveikį lygių galimybių ir nediskriminavimo dėl lyties, rasės, tautybės, kalbos, pilietybės, kilmės, socialinės padėties, tikėjimo, įsitikinimų ar pažiūrų, amžiaus, negalios, lytinės orientacijos, etninės priklausomybės, religijos principams įgyvendinti, įskaitant prieinamumo visiems reikalavimo užtikrinimą (paslaugų, infrastruktūros, fizinės ar e. aplinkos sprendimai, informacijos, transporto prieinamumo ir pan.); </w:t>
            </w:r>
          </w:p>
          <w:p w:rsidR="00F462EC" w:rsidRDefault="00E07296" w:rsidP="00F462EC">
            <w:pPr>
              <w:pStyle w:val="ListParagraph"/>
              <w:numPr>
                <w:ilvl w:val="2"/>
                <w:numId w:val="28"/>
              </w:numPr>
              <w:tabs>
                <w:tab w:val="left" w:pos="601"/>
              </w:tabs>
              <w:ind w:left="0" w:firstLine="0"/>
              <w:jc w:val="both"/>
              <w:rPr>
                <w:iCs/>
                <w:szCs w:val="24"/>
              </w:rPr>
            </w:pPr>
            <w:r w:rsidRPr="00F462EC">
              <w:rPr>
                <w:iCs/>
                <w:szCs w:val="24"/>
              </w:rPr>
              <w:t xml:space="preserve">veiksmų, kurie turėtų neigiamą poveikį darnaus vystymosi principui įgyvendinti. </w:t>
            </w:r>
          </w:p>
          <w:p w:rsidR="00F462EC" w:rsidRDefault="000E1590" w:rsidP="00F462EC">
            <w:pPr>
              <w:pStyle w:val="ListParagraph"/>
              <w:numPr>
                <w:ilvl w:val="1"/>
                <w:numId w:val="28"/>
              </w:numPr>
              <w:tabs>
                <w:tab w:val="left" w:pos="459"/>
              </w:tabs>
              <w:ind w:left="0" w:firstLine="0"/>
              <w:jc w:val="both"/>
              <w:rPr>
                <w:iCs/>
                <w:szCs w:val="24"/>
              </w:rPr>
            </w:pPr>
            <w:r w:rsidRPr="00F462EC">
              <w:rPr>
                <w:iCs/>
                <w:szCs w:val="24"/>
              </w:rPr>
              <w:t>Projekte turi būti numatyta:</w:t>
            </w:r>
          </w:p>
          <w:p w:rsidR="00F462EC" w:rsidRDefault="005B3A54" w:rsidP="00F462EC">
            <w:pPr>
              <w:pStyle w:val="ListParagraph"/>
              <w:numPr>
                <w:ilvl w:val="2"/>
                <w:numId w:val="28"/>
              </w:numPr>
              <w:tabs>
                <w:tab w:val="left" w:pos="601"/>
              </w:tabs>
              <w:ind w:left="0" w:firstLine="0"/>
              <w:jc w:val="both"/>
              <w:rPr>
                <w:iCs/>
                <w:szCs w:val="24"/>
              </w:rPr>
            </w:pPr>
            <w:r w:rsidRPr="00F462EC">
              <w:rPr>
                <w:iCs/>
                <w:szCs w:val="24"/>
              </w:rPr>
              <w:t>p</w:t>
            </w:r>
            <w:r w:rsidR="00E07296" w:rsidRPr="00F462EC">
              <w:rPr>
                <w:iCs/>
                <w:szCs w:val="24"/>
              </w:rPr>
              <w:t xml:space="preserve">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w:t>
            </w:r>
            <w:r w:rsidR="000E1590" w:rsidRPr="00F462EC">
              <w:rPr>
                <w:iCs/>
                <w:szCs w:val="24"/>
              </w:rPr>
              <w:t xml:space="preserve">1 </w:t>
            </w:r>
            <w:r w:rsidR="00E07296" w:rsidRPr="00F462EC">
              <w:rPr>
                <w:iCs/>
                <w:szCs w:val="24"/>
              </w:rPr>
              <w:t>priedas)</w:t>
            </w:r>
            <w:r w:rsidRPr="00F462EC">
              <w:rPr>
                <w:iCs/>
                <w:szCs w:val="24"/>
              </w:rPr>
              <w:t>;</w:t>
            </w:r>
          </w:p>
          <w:p w:rsidR="00E07296" w:rsidRPr="00F462EC" w:rsidRDefault="005B3A54" w:rsidP="00F462EC">
            <w:pPr>
              <w:pStyle w:val="ListParagraph"/>
              <w:numPr>
                <w:ilvl w:val="2"/>
                <w:numId w:val="28"/>
              </w:numPr>
              <w:tabs>
                <w:tab w:val="left" w:pos="601"/>
              </w:tabs>
              <w:ind w:left="0" w:firstLine="0"/>
              <w:jc w:val="both"/>
              <w:rPr>
                <w:iCs/>
                <w:szCs w:val="24"/>
              </w:rPr>
            </w:pPr>
            <w:r w:rsidRPr="00F462EC">
              <w:rPr>
                <w:szCs w:val="24"/>
              </w:rPr>
              <w:t>p</w:t>
            </w:r>
            <w:r w:rsidR="00E07296" w:rsidRPr="00F462EC">
              <w:rPr>
                <w:szCs w:val="24"/>
              </w:rPr>
              <w:t xml:space="preserve">rojektas turi prisidėti prie </w:t>
            </w:r>
            <w:r w:rsidR="00D4111E" w:rsidRPr="00F462EC">
              <w:rPr>
                <w:iCs/>
                <w:szCs w:val="24"/>
              </w:rPr>
              <w:t>inovatyvumo (kūrybingumo) horizontaliojo principo per įgyvendinamas veiklas, kurios turi atitikti Mokslinių tyrimų ir eksperimentinės plėtros ir inovacijų Sumanios specializacijos prioritetus bei tematikas.</w:t>
            </w:r>
          </w:p>
          <w:p w:rsidR="00FE1515" w:rsidRDefault="00FE1515" w:rsidP="006926F8">
            <w:pPr>
              <w:jc w:val="both"/>
              <w:rPr>
                <w:i/>
                <w:iCs/>
                <w:sz w:val="22"/>
                <w:szCs w:val="22"/>
              </w:rPr>
            </w:pPr>
          </w:p>
        </w:tc>
      </w:tr>
      <w:tr w:rsidR="00FE1515" w:rsidTr="730C137A">
        <w:tc>
          <w:tcPr>
            <w:tcW w:w="15134" w:type="dxa"/>
          </w:tcPr>
          <w:p w:rsidR="00FE1515" w:rsidRPr="00F462EC" w:rsidRDefault="00FE1515" w:rsidP="00F462EC">
            <w:pPr>
              <w:pStyle w:val="ListParagraph"/>
              <w:numPr>
                <w:ilvl w:val="0"/>
                <w:numId w:val="28"/>
              </w:numPr>
              <w:tabs>
                <w:tab w:val="left" w:pos="252"/>
              </w:tabs>
              <w:spacing w:line="259" w:lineRule="auto"/>
              <w:ind w:left="0" w:firstLine="0"/>
              <w:jc w:val="both"/>
              <w:rPr>
                <w:b/>
                <w:iCs/>
                <w:szCs w:val="24"/>
              </w:rPr>
            </w:pPr>
            <w:r w:rsidRPr="00F462EC">
              <w:rPr>
                <w:b/>
                <w:iCs/>
                <w:szCs w:val="24"/>
              </w:rPr>
              <w:t>Europos Sąjungos pagrindinių teisių chartijos (toliau – Chartija) reikalavimai</w:t>
            </w:r>
          </w:p>
        </w:tc>
      </w:tr>
      <w:tr w:rsidR="00FE1515" w:rsidTr="730C137A">
        <w:tc>
          <w:tcPr>
            <w:tcW w:w="15134" w:type="dxa"/>
          </w:tcPr>
          <w:p w:rsidR="00F462EC" w:rsidRDefault="005F6FC7" w:rsidP="00F462EC">
            <w:pPr>
              <w:pStyle w:val="ListParagraph"/>
              <w:numPr>
                <w:ilvl w:val="1"/>
                <w:numId w:val="28"/>
              </w:numPr>
              <w:tabs>
                <w:tab w:val="left" w:pos="459"/>
              </w:tabs>
              <w:ind w:left="0" w:firstLine="0"/>
              <w:jc w:val="both"/>
              <w:rPr>
                <w:iCs/>
                <w:szCs w:val="24"/>
              </w:rPr>
            </w:pPr>
            <w:r w:rsidRPr="00F462EC">
              <w:rPr>
                <w:iCs/>
                <w:szCs w:val="24"/>
              </w:rPr>
              <w:t xml:space="preserve">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 </w:t>
            </w:r>
          </w:p>
          <w:p w:rsidR="00FE1515" w:rsidRPr="00F462EC" w:rsidRDefault="005F6FC7" w:rsidP="00F462EC">
            <w:pPr>
              <w:pStyle w:val="ListParagraph"/>
              <w:numPr>
                <w:ilvl w:val="1"/>
                <w:numId w:val="28"/>
              </w:numPr>
              <w:tabs>
                <w:tab w:val="left" w:pos="459"/>
              </w:tabs>
              <w:ind w:left="0" w:firstLine="0"/>
              <w:jc w:val="both"/>
              <w:rPr>
                <w:iCs/>
                <w:szCs w:val="24"/>
              </w:rPr>
            </w:pPr>
            <w:r w:rsidRPr="00F462EC">
              <w:rPr>
                <w:iCs/>
                <w:szCs w:val="24"/>
              </w:rPr>
              <w:t xml:space="preserve">Projekto vykdytojas </w:t>
            </w:r>
            <w:r w:rsidR="007A4D89" w:rsidRPr="00F462EC">
              <w:rPr>
                <w:iCs/>
                <w:szCs w:val="24"/>
              </w:rPr>
              <w:t>turi laikyti</w:t>
            </w:r>
            <w:r w:rsidRPr="00F462EC">
              <w:rPr>
                <w:iCs/>
                <w:szCs w:val="24"/>
              </w:rPr>
              <w:t xml:space="preserve"> Chartijos.</w:t>
            </w:r>
          </w:p>
          <w:p w:rsidR="00260CCF" w:rsidRDefault="00260CCF" w:rsidP="00F462EC">
            <w:pPr>
              <w:tabs>
                <w:tab w:val="left" w:pos="252"/>
              </w:tabs>
              <w:jc w:val="both"/>
              <w:rPr>
                <w:i/>
                <w:iCs/>
                <w:sz w:val="22"/>
                <w:szCs w:val="22"/>
              </w:rPr>
            </w:pPr>
          </w:p>
        </w:tc>
      </w:tr>
      <w:tr w:rsidR="00FE1515" w:rsidTr="730C137A">
        <w:tc>
          <w:tcPr>
            <w:tcW w:w="15134" w:type="dxa"/>
          </w:tcPr>
          <w:p w:rsidR="00FE1515" w:rsidRPr="00F462EC" w:rsidRDefault="00FE1515" w:rsidP="00F462EC">
            <w:pPr>
              <w:pStyle w:val="ListParagraph"/>
              <w:numPr>
                <w:ilvl w:val="0"/>
                <w:numId w:val="28"/>
              </w:numPr>
              <w:tabs>
                <w:tab w:val="left" w:pos="459"/>
              </w:tabs>
              <w:ind w:left="0" w:firstLine="0"/>
              <w:rPr>
                <w:b/>
                <w:szCs w:val="24"/>
              </w:rPr>
            </w:pPr>
            <w:r w:rsidRPr="00F462EC">
              <w:rPr>
                <w:b/>
                <w:szCs w:val="24"/>
              </w:rPr>
              <w:t>Apskritis, kurioje gali būti įgyvendinami projektai</w:t>
            </w:r>
          </w:p>
        </w:tc>
      </w:tr>
      <w:tr w:rsidR="00FE1515" w:rsidTr="730C137A">
        <w:tc>
          <w:tcPr>
            <w:tcW w:w="15134" w:type="dxa"/>
          </w:tcPr>
          <w:p w:rsidR="00FE1515" w:rsidRPr="00F462EC" w:rsidRDefault="00C363A0" w:rsidP="00F462EC">
            <w:pPr>
              <w:pStyle w:val="ListParagraph"/>
              <w:numPr>
                <w:ilvl w:val="1"/>
                <w:numId w:val="28"/>
              </w:numPr>
              <w:tabs>
                <w:tab w:val="left" w:pos="601"/>
              </w:tabs>
              <w:ind w:left="0" w:firstLine="0"/>
              <w:jc w:val="both"/>
              <w:rPr>
                <w:szCs w:val="24"/>
              </w:rPr>
            </w:pPr>
            <w:r w:rsidRPr="00F462EC">
              <w:rPr>
                <w:szCs w:val="24"/>
              </w:rPr>
              <w:t>Projektas įgyvendinamas visoje Lietuvos Respublikos teritorijoje arba ne Lietuvos Respublikoje, jei vykdant projekto veiklas sukurti produktai, rezultatai ir nauda atitenka Lietuvos Respublikai.</w:t>
            </w:r>
          </w:p>
          <w:p w:rsidR="00260CCF" w:rsidRDefault="00260CCF" w:rsidP="00F462EC">
            <w:pPr>
              <w:tabs>
                <w:tab w:val="left" w:pos="252"/>
              </w:tabs>
              <w:jc w:val="both"/>
              <w:rPr>
                <w:i/>
                <w:sz w:val="22"/>
                <w:szCs w:val="22"/>
              </w:rPr>
            </w:pPr>
          </w:p>
        </w:tc>
      </w:tr>
      <w:tr w:rsidR="00FE1515" w:rsidTr="730C137A">
        <w:tc>
          <w:tcPr>
            <w:tcW w:w="15134" w:type="dxa"/>
          </w:tcPr>
          <w:p w:rsidR="00FE1515" w:rsidRPr="00F462EC" w:rsidRDefault="00FE1515" w:rsidP="00F462EC">
            <w:pPr>
              <w:pStyle w:val="ListParagraph"/>
              <w:numPr>
                <w:ilvl w:val="0"/>
                <w:numId w:val="28"/>
              </w:numPr>
              <w:jc w:val="both"/>
              <w:rPr>
                <w:b/>
                <w:szCs w:val="24"/>
              </w:rPr>
            </w:pPr>
            <w:r w:rsidRPr="00F462EC">
              <w:rPr>
                <w:b/>
                <w:szCs w:val="24"/>
              </w:rPr>
              <w:t>Reikalavimai valstybės pagalbai (kurie nėra nurodyti kituose Aprašo punktuose)</w:t>
            </w:r>
          </w:p>
        </w:tc>
      </w:tr>
      <w:tr w:rsidR="00FE1515" w:rsidTr="730C137A">
        <w:tc>
          <w:tcPr>
            <w:tcW w:w="15134" w:type="dxa"/>
          </w:tcPr>
          <w:p w:rsidR="00F462EC" w:rsidRDefault="00BA6020" w:rsidP="00F462EC">
            <w:pPr>
              <w:pStyle w:val="ListParagraph"/>
              <w:numPr>
                <w:ilvl w:val="1"/>
                <w:numId w:val="28"/>
              </w:numPr>
              <w:tabs>
                <w:tab w:val="left" w:pos="601"/>
              </w:tabs>
              <w:ind w:left="0" w:firstLine="0"/>
              <w:jc w:val="both"/>
              <w:rPr>
                <w:iCs/>
                <w:color w:val="000000"/>
                <w:szCs w:val="24"/>
              </w:rPr>
            </w:pPr>
            <w:r w:rsidRPr="00F462EC">
              <w:rPr>
                <w:iCs/>
                <w:color w:val="000000"/>
                <w:szCs w:val="24"/>
              </w:rPr>
              <w:t>Pagal Aprašą, valstybės pagalba, kuri atitinka 2014 m. birželio 17 d. Komisijos reglamento (ES) Nr. 651/2014, kuriuo tam tikrų kategorijų pagalba skelbiama suderinama su vidaus rinka taikant Sutarties 107 ir 108 straipsnius, neteikiama.</w:t>
            </w:r>
            <w:r w:rsidR="00CA652C" w:rsidRPr="00F462EC">
              <w:rPr>
                <w:iCs/>
                <w:color w:val="000000"/>
                <w:szCs w:val="24"/>
              </w:rPr>
              <w:t xml:space="preserve"> </w:t>
            </w:r>
          </w:p>
          <w:p w:rsidR="00F462EC" w:rsidRPr="00F462EC" w:rsidRDefault="00CA652C" w:rsidP="00F462EC">
            <w:pPr>
              <w:pStyle w:val="ListParagraph"/>
              <w:numPr>
                <w:ilvl w:val="1"/>
                <w:numId w:val="28"/>
              </w:numPr>
              <w:tabs>
                <w:tab w:val="left" w:pos="601"/>
              </w:tabs>
              <w:ind w:left="0" w:firstLine="0"/>
              <w:jc w:val="both"/>
              <w:rPr>
                <w:iCs/>
                <w:color w:val="000000"/>
                <w:szCs w:val="24"/>
              </w:rPr>
            </w:pPr>
            <w:r w:rsidRPr="00F462EC">
              <w:rPr>
                <w:iCs/>
                <w:szCs w:val="24"/>
              </w:rPr>
              <w:t xml:space="preserve">Pagal Aprašą, valstybės pagalba, kaip ji apibrėžta Sutarties dėl Europos Sąjungos veikimo 107 straipsnyje, ir </w:t>
            </w:r>
            <w:r w:rsidRPr="00F462EC">
              <w:rPr>
                <w:i/>
                <w:szCs w:val="24"/>
              </w:rPr>
              <w:t>de minimis</w:t>
            </w:r>
            <w:r w:rsidRPr="00F462EC">
              <w:rPr>
                <w:iCs/>
                <w:szCs w:val="24"/>
              </w:rPr>
              <w:t xml:space="preserve"> pagalba, kuri atitinka</w:t>
            </w:r>
            <w:r w:rsidR="00C737ED" w:rsidRPr="00F462EC">
              <w:rPr>
                <w:iCs/>
                <w:szCs w:val="24"/>
              </w:rPr>
              <w:t xml:space="preserve"> </w:t>
            </w:r>
            <w:r w:rsidR="00C737ED" w:rsidRPr="00F462EC">
              <w:rPr>
                <w:szCs w:val="24"/>
              </w:rPr>
              <w:t xml:space="preserve">2023 m. gruodžio 13 d. Komisijos reglamento </w:t>
            </w:r>
            <w:hyperlink r:id="rId13" w:tgtFrame="_blank" w:history="1">
              <w:r w:rsidR="00C737ED" w:rsidRPr="00F462EC">
                <w:rPr>
                  <w:szCs w:val="24"/>
                </w:rPr>
                <w:t xml:space="preserve">(ES) </w:t>
              </w:r>
            </w:hyperlink>
            <w:r w:rsidR="00C737ED" w:rsidRPr="00F462EC">
              <w:rPr>
                <w:szCs w:val="24"/>
              </w:rPr>
              <w:t>2023/2831 dėl Sutarties dėl Europos Sąjungos veikimo 107 ir 108 straipsnių taikymo</w:t>
            </w:r>
            <w:r w:rsidRPr="00F462EC">
              <w:rPr>
                <w:iCs/>
                <w:szCs w:val="24"/>
              </w:rPr>
              <w:t xml:space="preserve"> </w:t>
            </w:r>
            <w:r w:rsidRPr="00F462EC">
              <w:rPr>
                <w:i/>
              </w:rPr>
              <w:t>De minimis</w:t>
            </w:r>
            <w:r>
              <w:t xml:space="preserve"> reglamento</w:t>
            </w:r>
            <w:r w:rsidRPr="00F462EC">
              <w:rPr>
                <w:iCs/>
                <w:szCs w:val="24"/>
              </w:rPr>
              <w:t xml:space="preserve"> nuostatas, Pareiškėjui neteikiama.</w:t>
            </w:r>
          </w:p>
          <w:p w:rsidR="00F462EC" w:rsidRPr="00F462EC" w:rsidRDefault="00CA652C" w:rsidP="00F462EC">
            <w:pPr>
              <w:pStyle w:val="ListParagraph"/>
              <w:numPr>
                <w:ilvl w:val="1"/>
                <w:numId w:val="28"/>
              </w:numPr>
              <w:tabs>
                <w:tab w:val="left" w:pos="601"/>
              </w:tabs>
              <w:ind w:left="0" w:firstLine="0"/>
              <w:jc w:val="both"/>
              <w:rPr>
                <w:iCs/>
                <w:color w:val="000000"/>
                <w:szCs w:val="24"/>
              </w:rPr>
            </w:pPr>
            <w:r w:rsidRPr="00F462EC">
              <w:rPr>
                <w:iCs/>
                <w:szCs w:val="24"/>
              </w:rPr>
              <w:t xml:space="preserve">Pagal Aprašą, valstybės pagalba, kaip ji apibrėžta Sutarties dėl Europos Sąjungos veikimo 107 straipsnyje, ir </w:t>
            </w:r>
            <w:r w:rsidRPr="00F462EC">
              <w:rPr>
                <w:i/>
                <w:szCs w:val="24"/>
              </w:rPr>
              <w:t>de minimis</w:t>
            </w:r>
            <w:r w:rsidRPr="00F462EC">
              <w:rPr>
                <w:iCs/>
                <w:szCs w:val="24"/>
              </w:rPr>
              <w:t xml:space="preserve"> pagalba, kuri atitinka</w:t>
            </w:r>
            <w:r w:rsidR="00C737ED" w:rsidRPr="00F462EC">
              <w:rPr>
                <w:iCs/>
                <w:szCs w:val="24"/>
              </w:rPr>
              <w:t xml:space="preserve"> </w:t>
            </w:r>
            <w:r w:rsidR="00C737ED" w:rsidRPr="00F462EC">
              <w:rPr>
                <w:szCs w:val="24"/>
              </w:rPr>
              <w:t xml:space="preserve">2023 m. gruodžio 13 d. Komisijos reglamento </w:t>
            </w:r>
            <w:hyperlink r:id="rId14" w:tgtFrame="_blank" w:history="1">
              <w:r w:rsidR="00C737ED" w:rsidRPr="00F462EC">
                <w:rPr>
                  <w:szCs w:val="24"/>
                </w:rPr>
                <w:t xml:space="preserve">(ES) </w:t>
              </w:r>
            </w:hyperlink>
            <w:r w:rsidR="00C737ED" w:rsidRPr="00F462EC">
              <w:rPr>
                <w:szCs w:val="24"/>
              </w:rPr>
              <w:t>2023/2831 dėl Sutarties dėl Europos Sąjungos veikimo 107 ir 108 straipsnių taikymo</w:t>
            </w:r>
            <w:r w:rsidRPr="00F462EC">
              <w:rPr>
                <w:iCs/>
                <w:szCs w:val="24"/>
              </w:rPr>
              <w:t xml:space="preserve"> </w:t>
            </w:r>
            <w:r w:rsidRPr="00F462EC">
              <w:rPr>
                <w:i/>
              </w:rPr>
              <w:t>De minimis</w:t>
            </w:r>
            <w:r>
              <w:t xml:space="preserve"> reglament</w:t>
            </w:r>
            <w:r w:rsidRPr="00F462EC">
              <w:rPr>
                <w:iCs/>
                <w:szCs w:val="24"/>
              </w:rPr>
              <w:t>o</w:t>
            </w:r>
            <w:r>
              <w:t xml:space="preserve"> nuostatas</w:t>
            </w:r>
            <w:r w:rsidRPr="00F462EC">
              <w:rPr>
                <w:iCs/>
                <w:szCs w:val="24"/>
              </w:rPr>
              <w:t>, partneriams (M</w:t>
            </w:r>
            <w:r w:rsidR="009C0B12" w:rsidRPr="00F462EC">
              <w:rPr>
                <w:iCs/>
                <w:szCs w:val="24"/>
              </w:rPr>
              <w:t>T</w:t>
            </w:r>
            <w:r w:rsidRPr="00F462EC">
              <w:rPr>
                <w:iCs/>
                <w:szCs w:val="24"/>
              </w:rPr>
              <w:t>I) neteikiama</w:t>
            </w:r>
            <w:r w:rsidR="00A548DE" w:rsidRPr="00F462EC">
              <w:rPr>
                <w:iCs/>
                <w:szCs w:val="24"/>
              </w:rPr>
              <w:t>.</w:t>
            </w:r>
          </w:p>
          <w:p w:rsidR="00F462EC" w:rsidRPr="00F462EC" w:rsidRDefault="00CA652C" w:rsidP="00F462EC">
            <w:pPr>
              <w:pStyle w:val="ListParagraph"/>
              <w:numPr>
                <w:ilvl w:val="1"/>
                <w:numId w:val="28"/>
              </w:numPr>
              <w:tabs>
                <w:tab w:val="left" w:pos="601"/>
              </w:tabs>
              <w:ind w:left="0" w:firstLine="0"/>
              <w:jc w:val="both"/>
              <w:rPr>
                <w:iCs/>
                <w:color w:val="000000"/>
                <w:szCs w:val="24"/>
              </w:rPr>
            </w:pPr>
            <w:r>
              <w:t xml:space="preserve">Kai vykdomos poveiklės, nurodytos Aprašo </w:t>
            </w:r>
            <w:r w:rsidR="009349D9">
              <w:t>5.1.6. p</w:t>
            </w:r>
            <w:r>
              <w:t>apunktyje, finansavimas partneriui</w:t>
            </w:r>
            <w:r w:rsidR="00F22EEE">
              <w:t xml:space="preserve"> (</w:t>
            </w:r>
            <w:r w:rsidR="000C768D">
              <w:t xml:space="preserve">kai tai yra </w:t>
            </w:r>
            <w:r w:rsidR="00F22EEE">
              <w:t>įmonės)</w:t>
            </w:r>
            <w:r>
              <w:t xml:space="preserve"> yra teikiamas</w:t>
            </w:r>
            <w:r w:rsidRPr="00F462EC">
              <w:rPr>
                <w:iCs/>
                <w:szCs w:val="24"/>
              </w:rPr>
              <w:t xml:space="preserve">  </w:t>
            </w:r>
            <w:r w:rsidRPr="00F462EC">
              <w:rPr>
                <w:i/>
                <w:iCs/>
                <w:szCs w:val="24"/>
              </w:rPr>
              <w:t>de minimis</w:t>
            </w:r>
            <w:r w:rsidRPr="00F462EC">
              <w:rPr>
                <w:iCs/>
                <w:szCs w:val="24"/>
              </w:rPr>
              <w:t xml:space="preserve"> pagalba, vadovaujantis </w:t>
            </w:r>
            <w:r w:rsidRPr="00F462EC">
              <w:rPr>
                <w:i/>
                <w:iCs/>
                <w:szCs w:val="24"/>
              </w:rPr>
              <w:t>De minimis</w:t>
            </w:r>
            <w:r w:rsidRPr="00F462EC">
              <w:rPr>
                <w:iCs/>
                <w:szCs w:val="24"/>
              </w:rPr>
              <w:t xml:space="preserve"> reglamento nuostatomis ir taikant 100 procentų finansavimo intensyvumą.</w:t>
            </w:r>
          </w:p>
          <w:p w:rsidR="00F462EC" w:rsidRPr="00F462EC" w:rsidRDefault="00CA652C" w:rsidP="00F462EC">
            <w:pPr>
              <w:pStyle w:val="ListParagraph"/>
              <w:numPr>
                <w:ilvl w:val="1"/>
                <w:numId w:val="28"/>
              </w:numPr>
              <w:tabs>
                <w:tab w:val="left" w:pos="601"/>
              </w:tabs>
              <w:ind w:left="0" w:firstLine="0"/>
              <w:jc w:val="both"/>
              <w:rPr>
                <w:iCs/>
                <w:color w:val="000000"/>
                <w:szCs w:val="24"/>
              </w:rPr>
            </w:pPr>
            <w:r>
              <w:t xml:space="preserve">Siekiant nustatyti, ar teikiamas finansavimas yra (nėra) valstybės pagalba ir </w:t>
            </w:r>
            <w:r w:rsidRPr="00F462EC">
              <w:rPr>
                <w:i/>
              </w:rPr>
              <w:t>de minimis</w:t>
            </w:r>
            <w:r>
              <w:t xml:space="preserve"> pagalba, Administruojančioji institucija pildo P</w:t>
            </w:r>
            <w:r w:rsidRPr="00F462EC">
              <w:rPr>
                <w:bCs/>
              </w:rPr>
              <w:t xml:space="preserve">atikros lapą dėl valstybės  pagalbos ir </w:t>
            </w:r>
            <w:r w:rsidRPr="00F462EC">
              <w:rPr>
                <w:bCs/>
                <w:i/>
              </w:rPr>
              <w:t>de minimis</w:t>
            </w:r>
            <w:r w:rsidRPr="00F462EC">
              <w:rPr>
                <w:bCs/>
              </w:rPr>
              <w:t xml:space="preserve"> pagalbos buvimo ar nebuvimo, pagal </w:t>
            </w:r>
            <w:r w:rsidRPr="00F462EC">
              <w:rPr>
                <w:b/>
              </w:rPr>
              <w:t xml:space="preserve"> </w:t>
            </w:r>
            <w:r w:rsidRPr="00F462EC">
              <w:rPr>
                <w:color w:val="000000"/>
                <w:szCs w:val="24"/>
                <w:shd w:val="clear" w:color="auto" w:fill="FFFFFF"/>
              </w:rPr>
              <w:t xml:space="preserve">Pavyzdinio patikros lapo dėl VP ir </w:t>
            </w:r>
            <w:r w:rsidRPr="00F462EC">
              <w:rPr>
                <w:i/>
                <w:iCs/>
                <w:color w:val="000000"/>
                <w:szCs w:val="24"/>
                <w:shd w:val="clear" w:color="auto" w:fill="FFFFFF"/>
              </w:rPr>
              <w:t>de minimis</w:t>
            </w:r>
            <w:r w:rsidRPr="00F462EC">
              <w:rPr>
                <w:color w:val="000000"/>
                <w:szCs w:val="24"/>
                <w:shd w:val="clear" w:color="auto" w:fill="FFFFFF"/>
              </w:rPr>
              <w:t xml:space="preserve"> pagalbos buvimo ar nebuvimo formą, kuriai pritarta </w:t>
            </w:r>
            <w:r w:rsidRPr="00F462EC">
              <w:rPr>
                <w:szCs w:val="24"/>
              </w:rPr>
              <w:t>Tarpinstitucinės darbo grupės, sudarytos Lietuvos Respublikos finansų ministro 2021 m.  birželio 11 d. įsakymu</w:t>
            </w:r>
            <w:r w:rsidR="00D13537" w:rsidRPr="00F462EC">
              <w:rPr>
                <w:szCs w:val="24"/>
              </w:rPr>
              <w:t xml:space="preserve"> </w:t>
            </w:r>
            <w:r w:rsidRPr="00F462EC">
              <w:rPr>
                <w:szCs w:val="24"/>
              </w:rPr>
              <w:t>Nr. 1K-219 „ Dėl tarpinstitucinės darbo grupės sudarymo“, 2023 m. gruodžio 19 d. posėdžio protokolu Nr. 18</w:t>
            </w:r>
            <w:r w:rsidRPr="00F462EC">
              <w:rPr>
                <w:rFonts w:ascii="Calibri" w:hAnsi="Calibri" w:cs="Calibri"/>
                <w:color w:val="000000"/>
              </w:rPr>
              <w:t xml:space="preserve"> </w:t>
            </w:r>
            <w:r w:rsidRPr="00F462EC">
              <w:rPr>
                <w:szCs w:val="24"/>
              </w:rPr>
              <w:t>proceso „</w:t>
            </w:r>
            <w:r w:rsidRPr="00F462EC">
              <w:rPr>
                <w:spacing w:val="-10"/>
                <w:kern w:val="32"/>
                <w:szCs w:val="24"/>
              </w:rPr>
              <w:t>Valstybės pagalbos kontrolės procesas“ 1</w:t>
            </w:r>
            <w:r w:rsidRPr="00F462EC">
              <w:rPr>
                <w:szCs w:val="24"/>
              </w:rPr>
              <w:t xml:space="preserve"> priedas (prieiga internete: </w:t>
            </w:r>
            <w:r>
              <w:t>https://2021.esinvesticijos.lt/dokumentai/pavyzdinis-patikros-lapas-del-valstybes-pagalbos-ir-de-minimis-pagalbos-buvimo-ar-nebuvimo</w:t>
            </w:r>
            <w:r w:rsidRPr="00F462EC">
              <w:rPr>
                <w:szCs w:val="24"/>
              </w:rPr>
              <w:t>).</w:t>
            </w:r>
            <w:r w:rsidRPr="00F462EC">
              <w:rPr>
                <w:iCs/>
                <w:strike/>
                <w:szCs w:val="24"/>
              </w:rPr>
              <w:t xml:space="preserve"> </w:t>
            </w:r>
          </w:p>
          <w:p w:rsidR="00F462EC" w:rsidRPr="006B470D" w:rsidRDefault="00F2033B" w:rsidP="00F462EC">
            <w:pPr>
              <w:pStyle w:val="ListParagraph"/>
              <w:numPr>
                <w:ilvl w:val="1"/>
                <w:numId w:val="28"/>
              </w:numPr>
              <w:tabs>
                <w:tab w:val="left" w:pos="601"/>
              </w:tabs>
              <w:ind w:left="0" w:firstLine="0"/>
              <w:jc w:val="both"/>
              <w:rPr>
                <w:iCs/>
                <w:color w:val="000000"/>
                <w:szCs w:val="24"/>
              </w:rPr>
            </w:pPr>
            <w:r w:rsidRPr="00F462EC">
              <w:rPr>
                <w:iCs/>
                <w:szCs w:val="24"/>
              </w:rPr>
              <w:t xml:space="preserve">Nustačius, kad teikiamas finansavimas yra </w:t>
            </w:r>
            <w:r w:rsidRPr="00F462EC">
              <w:rPr>
                <w:i/>
                <w:iCs/>
                <w:szCs w:val="24"/>
              </w:rPr>
              <w:t>de minimis</w:t>
            </w:r>
            <w:r w:rsidRPr="00F462EC">
              <w:rPr>
                <w:iCs/>
                <w:szCs w:val="24"/>
              </w:rPr>
              <w:t xml:space="preserve"> pagalba, Administruojančioji institucija pildo </w:t>
            </w:r>
            <w:r w:rsidRPr="00F462EC">
              <w:rPr>
                <w:bCs/>
              </w:rPr>
              <w:t xml:space="preserve">Pavyzdinį atitikties </w:t>
            </w:r>
            <w:r w:rsidRPr="00F462EC">
              <w:rPr>
                <w:bCs/>
                <w:i/>
                <w:iCs/>
              </w:rPr>
              <w:t>de minimis</w:t>
            </w:r>
            <w:r w:rsidRPr="00F462EC">
              <w:rPr>
                <w:bCs/>
              </w:rPr>
              <w:t xml:space="preserve"> pagalbos taisyklėms (Komisijos reglamentui (ES) 2023/2831) patikros lapą (</w:t>
            </w:r>
            <w:r w:rsidRPr="006B470D">
              <w:rPr>
                <w:bCs/>
              </w:rPr>
              <w:t xml:space="preserve">projekto lygmuo), pagal Pavyzdinio atitikties </w:t>
            </w:r>
            <w:r w:rsidRPr="006B470D">
              <w:rPr>
                <w:bCs/>
                <w:i/>
                <w:iCs/>
              </w:rPr>
              <w:t>de minimis</w:t>
            </w:r>
            <w:r w:rsidRPr="006B470D">
              <w:rPr>
                <w:bCs/>
              </w:rPr>
              <w:t xml:space="preserve"> pagalbos taisyklėms (Komisijos reglamentui (ES) 2023/2831) patikros lapo formą (projekto lygmuo)</w:t>
            </w:r>
            <w:r w:rsidR="004631F5">
              <w:rPr>
                <w:bCs/>
              </w:rPr>
              <w:t xml:space="preserve"> (prieiga internete: </w:t>
            </w:r>
            <w:r w:rsidRPr="006B470D">
              <w:rPr>
                <w:iCs/>
                <w:szCs w:val="24"/>
              </w:rPr>
              <w:t xml:space="preserve"> </w:t>
            </w:r>
            <w:r w:rsidR="004631F5" w:rsidRPr="004631F5">
              <w:rPr>
                <w:iCs/>
                <w:szCs w:val="24"/>
              </w:rPr>
              <w:t>https://www.esinvesticijos.lt/dokumentai/pavyzdinio-atitikties-de-minimis-pagalbos-taisyklems-komisijos-reglamentui-es-2023-2831-patikros-lapo-forma-projekto-lygmuo</w:t>
            </w:r>
            <w:r w:rsidR="004631F5">
              <w:rPr>
                <w:iCs/>
                <w:szCs w:val="24"/>
              </w:rPr>
              <w:t>).</w:t>
            </w:r>
          </w:p>
          <w:p w:rsidR="00F462EC" w:rsidRPr="00F462EC" w:rsidRDefault="00F2033B" w:rsidP="00F462EC">
            <w:pPr>
              <w:pStyle w:val="ListParagraph"/>
              <w:numPr>
                <w:ilvl w:val="1"/>
                <w:numId w:val="28"/>
              </w:numPr>
              <w:tabs>
                <w:tab w:val="left" w:pos="601"/>
              </w:tabs>
              <w:ind w:left="0" w:firstLine="0"/>
              <w:jc w:val="both"/>
              <w:rPr>
                <w:iCs/>
                <w:color w:val="000000"/>
                <w:szCs w:val="24"/>
              </w:rPr>
            </w:pPr>
            <w:r w:rsidRPr="006B470D">
              <w:rPr>
                <w:iCs/>
                <w:szCs w:val="24"/>
              </w:rPr>
              <w:t xml:space="preserve">Bendra </w:t>
            </w:r>
            <w:r w:rsidRPr="006B470D">
              <w:rPr>
                <w:i/>
                <w:iCs/>
                <w:szCs w:val="24"/>
              </w:rPr>
              <w:t>de minimis</w:t>
            </w:r>
            <w:r w:rsidRPr="006B470D">
              <w:rPr>
                <w:iCs/>
                <w:szCs w:val="24"/>
              </w:rPr>
              <w:t xml:space="preserve"> pagalbos, suteiktos vienai įmonei suma neturi viršyti </w:t>
            </w:r>
            <w:r w:rsidR="002C120D">
              <w:rPr>
                <w:iCs/>
                <w:szCs w:val="24"/>
              </w:rPr>
              <w:t>3</w:t>
            </w:r>
            <w:r w:rsidRPr="006B470D">
              <w:rPr>
                <w:iCs/>
                <w:szCs w:val="24"/>
              </w:rPr>
              <w:t>00 000,00 Eur (trijų</w:t>
            </w:r>
            <w:r w:rsidRPr="00F462EC">
              <w:rPr>
                <w:iCs/>
                <w:szCs w:val="24"/>
              </w:rPr>
              <w:t xml:space="preserve"> šimtų tūkstančių eurų, 00 ct) per bet kurį trejų metų laikotarpį. Šios ribos taikomos neatsižvelgiant į </w:t>
            </w:r>
            <w:r w:rsidRPr="00F462EC">
              <w:rPr>
                <w:i/>
                <w:iCs/>
                <w:szCs w:val="24"/>
              </w:rPr>
              <w:t>de minimis</w:t>
            </w:r>
            <w:r w:rsidRPr="00F462EC">
              <w:rPr>
                <w:iCs/>
                <w:szCs w:val="24"/>
              </w:rPr>
              <w:t xml:space="preserve"> pagalbos formą arba siekiamus tikslus ir į tai, ar valstybės narės suteikta pagalba yra visa arba iš dalies finansuojama ES finansavimo šaltinių. Viena įmonė apima visas </w:t>
            </w:r>
            <w:r w:rsidRPr="00F462EC">
              <w:rPr>
                <w:color w:val="000000"/>
                <w:shd w:val="clear" w:color="auto" w:fill="FFFFFF"/>
              </w:rPr>
              <w:t>susietas</w:t>
            </w:r>
            <w:r w:rsidRPr="00F462EC">
              <w:rPr>
                <w:iCs/>
                <w:szCs w:val="24"/>
              </w:rPr>
              <w:t xml:space="preserve"> įmones, kaip nurodyta </w:t>
            </w:r>
            <w:r w:rsidRPr="00F462EC">
              <w:rPr>
                <w:i/>
                <w:iCs/>
                <w:szCs w:val="24"/>
              </w:rPr>
              <w:t>De minimis</w:t>
            </w:r>
            <w:r w:rsidRPr="00F462EC">
              <w:rPr>
                <w:iCs/>
                <w:szCs w:val="24"/>
              </w:rPr>
              <w:t xml:space="preserve"> reglamento 2 straipsnio 2 dalyje.</w:t>
            </w:r>
          </w:p>
          <w:p w:rsidR="00F462EC" w:rsidRPr="00F462EC" w:rsidRDefault="00F2033B" w:rsidP="00F462EC">
            <w:pPr>
              <w:pStyle w:val="ListParagraph"/>
              <w:numPr>
                <w:ilvl w:val="1"/>
                <w:numId w:val="28"/>
              </w:numPr>
              <w:tabs>
                <w:tab w:val="left" w:pos="601"/>
              </w:tabs>
              <w:ind w:left="0" w:firstLine="0"/>
              <w:jc w:val="both"/>
              <w:rPr>
                <w:iCs/>
                <w:color w:val="000000"/>
                <w:szCs w:val="24"/>
              </w:rPr>
            </w:pPr>
            <w:r w:rsidRPr="00F462EC">
              <w:rPr>
                <w:iCs/>
                <w:szCs w:val="24"/>
                <w:lang w:eastAsia="lt-LT"/>
              </w:rPr>
              <w:t xml:space="preserve">Administruojančioji institucija PĮP vertinimo metu patikrina kiekvieno partnerio teisę gauti vienai įmonei suteikiamą </w:t>
            </w:r>
            <w:r w:rsidRPr="00F462EC">
              <w:rPr>
                <w:i/>
                <w:iCs/>
                <w:szCs w:val="24"/>
                <w:lang w:eastAsia="lt-LT"/>
              </w:rPr>
              <w:t>de minimis</w:t>
            </w:r>
            <w:r w:rsidRPr="00F462EC">
              <w:rPr>
                <w:iCs/>
                <w:szCs w:val="24"/>
                <w:lang w:eastAsia="lt-LT"/>
              </w:rPr>
              <w:t xml:space="preserve"> pagalbą. Administruojančioji institucija turi patikrinti visas su partneriu susijusias įmones, nurodytas partnerio pateiktoje „Vienos įmonės“ deklaracijoje, užpildytoje pagal </w:t>
            </w:r>
            <w:r w:rsidRPr="00F462EC">
              <w:rPr>
                <w:color w:val="000000"/>
                <w:szCs w:val="24"/>
                <w:lang w:eastAsia="lt-LT"/>
              </w:rPr>
              <w:t>Pavyzdinę „Vienos įmonės“ deklaracijos formą, kuriai pritarta Tarpinstitucinės darbo grupės, sudarytos Lietuvos Respublikos finansų ministro 2021 m. birželio 11 d. įsakymu Nr. 1K-219 „Dėl tarpinstitucinės darbo grupės sudarymo“, 2024 m. sausio 19 d. posėdžio protokolu Nr. 19 </w:t>
            </w:r>
            <w:r w:rsidRPr="00F462EC">
              <w:rPr>
                <w:rFonts w:eastAsia="Calibri"/>
                <w:color w:val="000000"/>
                <w:szCs w:val="24"/>
                <w:lang w:eastAsia="lt-LT"/>
              </w:rPr>
              <w:t xml:space="preserve"> (prieiga internete </w:t>
            </w:r>
            <w:r w:rsidRPr="00F462EC">
              <w:rPr>
                <w:iCs/>
                <w:szCs w:val="24"/>
                <w:lang w:eastAsia="lt-LT"/>
              </w:rPr>
              <w:t>https://2021.esinvesticijos.lt/dokumentai/viena-imone-deklaracijos-forma), taip pat Suteiktos valstybės pagalbos ir nereikšmingos (</w:t>
            </w:r>
            <w:r w:rsidRPr="00F462EC">
              <w:rPr>
                <w:i/>
                <w:iCs/>
                <w:szCs w:val="24"/>
                <w:lang w:eastAsia="lt-LT"/>
              </w:rPr>
              <w:t>de minimis</w:t>
            </w:r>
            <w:r w:rsidRPr="00F462EC">
              <w:rPr>
                <w:iCs/>
                <w:szCs w:val="24"/>
                <w:lang w:eastAsia="lt-LT"/>
              </w:rPr>
              <w:t>) pagalbos registre, kurio nuostatai patvirtinti Lietuvos Respublikos Vyriausybės 2005 m. sausio 19 d. nutarimu Nr. 35 „Dėl Suteiktos valstybės pagalbos ir nereikšmingos (</w:t>
            </w:r>
            <w:r w:rsidRPr="00F462EC">
              <w:rPr>
                <w:i/>
                <w:iCs/>
                <w:szCs w:val="24"/>
                <w:lang w:eastAsia="lt-LT"/>
              </w:rPr>
              <w:t>de minimis</w:t>
            </w:r>
            <w:r w:rsidRPr="00F462EC">
              <w:rPr>
                <w:iCs/>
                <w:szCs w:val="24"/>
                <w:lang w:eastAsia="lt-LT"/>
              </w:rPr>
              <w:t xml:space="preserve">) pagalbos registro nuostatų patvirtinimo“ (toliau – Registras), patikrina, ar teikiama pagalba neviršys leidžiamo </w:t>
            </w:r>
            <w:r w:rsidRPr="00F462EC">
              <w:rPr>
                <w:i/>
                <w:iCs/>
                <w:szCs w:val="24"/>
                <w:lang w:eastAsia="lt-LT"/>
              </w:rPr>
              <w:t>de minimis</w:t>
            </w:r>
            <w:r w:rsidRPr="00F462EC">
              <w:rPr>
                <w:iCs/>
                <w:szCs w:val="24"/>
                <w:lang w:eastAsia="lt-LT"/>
              </w:rPr>
              <w:t xml:space="preserve"> pagalbos dydžio, kaip nustatyta</w:t>
            </w:r>
            <w:r w:rsidRPr="00F462EC">
              <w:rPr>
                <w:i/>
                <w:szCs w:val="24"/>
                <w:lang w:eastAsia="lt-LT"/>
              </w:rPr>
              <w:t xml:space="preserve"> De minimis</w:t>
            </w:r>
            <w:r w:rsidRPr="00F462EC">
              <w:rPr>
                <w:szCs w:val="24"/>
                <w:lang w:eastAsia="lt-LT"/>
              </w:rPr>
              <w:t xml:space="preserve"> reglamento</w:t>
            </w:r>
            <w:r w:rsidRPr="00F462EC">
              <w:rPr>
                <w:iCs/>
                <w:szCs w:val="24"/>
                <w:lang w:eastAsia="lt-LT"/>
              </w:rPr>
              <w:t xml:space="preserve"> 3 straipsnyje. Jei patikrinus Registrą paaiškėja, kad partneriui numatomos suteikti </w:t>
            </w:r>
            <w:r w:rsidRPr="00F462EC">
              <w:rPr>
                <w:i/>
                <w:iCs/>
                <w:szCs w:val="24"/>
                <w:lang w:eastAsia="lt-LT"/>
              </w:rPr>
              <w:t>de minimis</w:t>
            </w:r>
            <w:r w:rsidRPr="00F462EC">
              <w:rPr>
                <w:iCs/>
                <w:szCs w:val="24"/>
                <w:lang w:eastAsia="lt-LT"/>
              </w:rPr>
              <w:t xml:space="preserve"> pagalbos suma ir partnerio kartu su susijusiomis įmonėmis, nurodytomis pateiktoje „Vienos įmonės“ deklaracijoje, jau gauta </w:t>
            </w:r>
            <w:r w:rsidRPr="00F462EC">
              <w:rPr>
                <w:i/>
                <w:iCs/>
                <w:szCs w:val="24"/>
                <w:lang w:eastAsia="lt-LT"/>
              </w:rPr>
              <w:t>de minimis</w:t>
            </w:r>
            <w:r w:rsidRPr="00F462EC">
              <w:rPr>
                <w:iCs/>
                <w:szCs w:val="24"/>
                <w:lang w:eastAsia="lt-LT"/>
              </w:rPr>
              <w:t xml:space="preserve"> pagalbos suma viršija leistiną maksimalų dydį, tuomet partneriui gali būti suteikiamas finansavimas, neviršijantis leistino maksimalaus </w:t>
            </w:r>
            <w:r w:rsidRPr="00F462EC">
              <w:rPr>
                <w:i/>
                <w:iCs/>
                <w:szCs w:val="24"/>
                <w:lang w:eastAsia="lt-LT"/>
              </w:rPr>
              <w:t>de minimis</w:t>
            </w:r>
            <w:r w:rsidRPr="00F462EC">
              <w:rPr>
                <w:iCs/>
                <w:szCs w:val="24"/>
                <w:lang w:eastAsia="lt-LT"/>
              </w:rPr>
              <w:t xml:space="preserve"> pagalbos sumos dydžio, partneriui finansuojant nuosavomis lėšomis tą projekte suplanuotos ekonominės veiklos dalį, kurios nepadengia finansavimo lėšos. </w:t>
            </w:r>
          </w:p>
          <w:p w:rsidR="00F462EC" w:rsidRPr="00F462EC" w:rsidRDefault="00F2033B" w:rsidP="00F462EC">
            <w:pPr>
              <w:pStyle w:val="ListParagraph"/>
              <w:numPr>
                <w:ilvl w:val="1"/>
                <w:numId w:val="28"/>
              </w:numPr>
              <w:tabs>
                <w:tab w:val="left" w:pos="601"/>
              </w:tabs>
              <w:ind w:left="0" w:firstLine="0"/>
              <w:jc w:val="both"/>
              <w:rPr>
                <w:iCs/>
                <w:color w:val="000000"/>
                <w:szCs w:val="24"/>
              </w:rPr>
            </w:pPr>
            <w:r w:rsidRPr="00F462EC">
              <w:rPr>
                <w:iCs/>
                <w:szCs w:val="24"/>
              </w:rPr>
              <w:t xml:space="preserve">Ministerijai priėmus sprendimą dėl projekto finansavimo, Administruojančioji institucija per 5 (penkias) darbo dienas registruoja suteiktos </w:t>
            </w:r>
            <w:r w:rsidRPr="00F462EC">
              <w:rPr>
                <w:i/>
                <w:iCs/>
                <w:szCs w:val="24"/>
              </w:rPr>
              <w:t>de minimis</w:t>
            </w:r>
            <w:r w:rsidRPr="00F462EC">
              <w:rPr>
                <w:iCs/>
                <w:szCs w:val="24"/>
              </w:rPr>
              <w:t xml:space="preserve"> pagalbos sumą Registre.</w:t>
            </w:r>
          </w:p>
          <w:p w:rsidR="00F462EC" w:rsidRPr="00F462EC" w:rsidRDefault="00D6488E" w:rsidP="00F462EC">
            <w:pPr>
              <w:pStyle w:val="ListParagraph"/>
              <w:numPr>
                <w:ilvl w:val="1"/>
                <w:numId w:val="28"/>
              </w:numPr>
              <w:tabs>
                <w:tab w:val="left" w:pos="601"/>
              </w:tabs>
              <w:ind w:left="0" w:firstLine="0"/>
              <w:jc w:val="both"/>
              <w:rPr>
                <w:iCs/>
                <w:color w:val="000000"/>
                <w:szCs w:val="24"/>
              </w:rPr>
            </w:pPr>
            <w:r>
              <w:rPr>
                <w:i/>
                <w:iCs/>
                <w:szCs w:val="24"/>
              </w:rPr>
              <w:t xml:space="preserve"> </w:t>
            </w:r>
            <w:r w:rsidR="00F2033B" w:rsidRPr="00F462EC">
              <w:rPr>
                <w:i/>
                <w:iCs/>
                <w:szCs w:val="24"/>
              </w:rPr>
              <w:t>De minimis</w:t>
            </w:r>
            <w:r w:rsidR="00F2033B" w:rsidRPr="00F462EC">
              <w:rPr>
                <w:iCs/>
                <w:szCs w:val="24"/>
              </w:rPr>
              <w:t xml:space="preserve"> pagalba nesumuojama su valstybės pagalba, skiriama toms pačioms tinkamoms finansuoti išlaidoms, jeigu dėl tokio pagalbos sumavimo būtų viršytas BBIR arba Europos Komisijos priimtame sprendime nustatytas didžiausias atitinkamas pagalbos intensyvumas arba kiekvienu atveju atskirai nustatyta pagalbos suma.</w:t>
            </w:r>
          </w:p>
          <w:p w:rsidR="00F2033B" w:rsidRPr="00D6488E" w:rsidRDefault="00D6488E" w:rsidP="00F462EC">
            <w:pPr>
              <w:pStyle w:val="ListParagraph"/>
              <w:numPr>
                <w:ilvl w:val="1"/>
                <w:numId w:val="28"/>
              </w:numPr>
              <w:tabs>
                <w:tab w:val="left" w:pos="601"/>
              </w:tabs>
              <w:ind w:left="0" w:firstLine="0"/>
              <w:jc w:val="both"/>
              <w:rPr>
                <w:iCs/>
                <w:color w:val="000000"/>
                <w:szCs w:val="24"/>
              </w:rPr>
            </w:pPr>
            <w:r>
              <w:rPr>
                <w:i/>
                <w:iCs/>
                <w:szCs w:val="24"/>
              </w:rPr>
              <w:t xml:space="preserve"> </w:t>
            </w:r>
            <w:r w:rsidR="00F2033B" w:rsidRPr="00F462EC">
              <w:rPr>
                <w:i/>
                <w:iCs/>
                <w:szCs w:val="24"/>
              </w:rPr>
              <w:t>De minimis</w:t>
            </w:r>
            <w:r w:rsidR="00F2033B" w:rsidRPr="00F462EC">
              <w:rPr>
                <w:iCs/>
                <w:szCs w:val="24"/>
              </w:rPr>
              <w:t xml:space="preserve"> pagalbos dydis diskontuojamas vadovaujantis </w:t>
            </w:r>
            <w:r w:rsidR="00F2033B" w:rsidRPr="00F462EC">
              <w:rPr>
                <w:i/>
              </w:rPr>
              <w:t>De minimis</w:t>
            </w:r>
            <w:r w:rsidR="00F2033B">
              <w:t xml:space="preserve"> reglamento</w:t>
            </w:r>
            <w:r w:rsidR="00F2033B" w:rsidRPr="00F462EC">
              <w:rPr>
                <w:iCs/>
                <w:szCs w:val="24"/>
              </w:rPr>
              <w:t xml:space="preserve"> 3 straipsnio 6 dalimi.</w:t>
            </w:r>
          </w:p>
          <w:p w:rsidR="00D6488E" w:rsidRPr="00F462EC" w:rsidRDefault="00D6488E" w:rsidP="00D6488E">
            <w:pPr>
              <w:pStyle w:val="ListParagraph"/>
              <w:tabs>
                <w:tab w:val="left" w:pos="601"/>
              </w:tabs>
              <w:ind w:left="0"/>
              <w:jc w:val="both"/>
              <w:rPr>
                <w:iCs/>
                <w:color w:val="000000"/>
                <w:szCs w:val="24"/>
              </w:rPr>
            </w:pPr>
          </w:p>
        </w:tc>
      </w:tr>
      <w:tr w:rsidR="00FE1515" w:rsidTr="730C137A">
        <w:tc>
          <w:tcPr>
            <w:tcW w:w="15134" w:type="dxa"/>
          </w:tcPr>
          <w:p w:rsidR="00FE1515" w:rsidRPr="00F462EC" w:rsidRDefault="00FE1515" w:rsidP="00F462EC">
            <w:pPr>
              <w:pStyle w:val="ListParagraph"/>
              <w:numPr>
                <w:ilvl w:val="0"/>
                <w:numId w:val="28"/>
              </w:numPr>
              <w:tabs>
                <w:tab w:val="left" w:pos="360"/>
              </w:tabs>
              <w:ind w:left="0" w:firstLine="0"/>
              <w:jc w:val="both"/>
              <w:rPr>
                <w:bCs/>
                <w:szCs w:val="24"/>
              </w:rPr>
            </w:pPr>
            <w:r w:rsidRPr="00F462EC">
              <w:rPr>
                <w:b/>
                <w:szCs w:val="24"/>
              </w:rPr>
              <w:t>Projektų atrankos kriterijai</w:t>
            </w:r>
          </w:p>
          <w:p w:rsidR="00FE1515" w:rsidRDefault="00FE1515" w:rsidP="00FE1515">
            <w:pPr>
              <w:jc w:val="both"/>
              <w:rPr>
                <w:i/>
                <w:szCs w:val="24"/>
              </w:rPr>
            </w:pPr>
          </w:p>
        </w:tc>
      </w:tr>
      <w:tr w:rsidR="00FE1515" w:rsidTr="730C137A">
        <w:trPr>
          <w:trHeight w:val="704"/>
        </w:trPr>
        <w:tc>
          <w:tcPr>
            <w:tcW w:w="15134" w:type="dxa"/>
          </w:tcPr>
          <w:p w:rsidR="00F462EC" w:rsidRPr="00C74959" w:rsidRDefault="00F716F2" w:rsidP="00F462EC">
            <w:pPr>
              <w:pStyle w:val="ListParagraph"/>
              <w:numPr>
                <w:ilvl w:val="1"/>
                <w:numId w:val="28"/>
              </w:numPr>
              <w:tabs>
                <w:tab w:val="left" w:pos="601"/>
              </w:tabs>
              <w:ind w:left="0" w:firstLine="0"/>
              <w:jc w:val="both"/>
              <w:rPr>
                <w:iCs/>
                <w:szCs w:val="24"/>
              </w:rPr>
            </w:pPr>
            <w:r w:rsidRPr="00C74959">
              <w:rPr>
                <w:iCs/>
                <w:szCs w:val="24"/>
              </w:rPr>
              <w:t xml:space="preserve">Projektas turi atitikti bendruosius projektų atrankos kriterijus, nurodytus Strateginio valdymo metodikos 136 punkte ir </w:t>
            </w:r>
            <w:r w:rsidR="005D141A" w:rsidRPr="00C74959">
              <w:rPr>
                <w:iCs/>
                <w:szCs w:val="24"/>
              </w:rPr>
              <w:t>PAFT</w:t>
            </w:r>
            <w:r w:rsidRPr="00C74959">
              <w:rPr>
                <w:iCs/>
                <w:szCs w:val="24"/>
              </w:rPr>
              <w:t xml:space="preserve"> 2 priede.</w:t>
            </w:r>
          </w:p>
          <w:p w:rsidR="00F462EC" w:rsidRPr="008642AE" w:rsidRDefault="00F716F2" w:rsidP="2E6B8FAE">
            <w:pPr>
              <w:pStyle w:val="ListParagraph"/>
              <w:numPr>
                <w:ilvl w:val="1"/>
                <w:numId w:val="28"/>
              </w:numPr>
              <w:tabs>
                <w:tab w:val="left" w:pos="601"/>
              </w:tabs>
              <w:ind w:left="0" w:firstLine="0"/>
              <w:jc w:val="both"/>
            </w:pPr>
            <w:r w:rsidRPr="00C74959">
              <w:t xml:space="preserve">Specialieji ir prioritetiniai projektų atrankos kriterijai </w:t>
            </w:r>
            <w:r w:rsidR="00E86276" w:rsidRPr="00C74959">
              <w:t>yra</w:t>
            </w:r>
            <w:r w:rsidRPr="00C74959">
              <w:t xml:space="preserve"> </w:t>
            </w:r>
            <w:r w:rsidR="00E451BF" w:rsidRPr="00C74959">
              <w:t xml:space="preserve">patvirtinti </w:t>
            </w:r>
            <w:r w:rsidR="003C20FD" w:rsidRPr="00C74959">
              <w:t xml:space="preserve">2021–2027 metų Europos Sąjungos fondų investicijų programos stebėsenos komiteto 2025 m. </w:t>
            </w:r>
            <w:r w:rsidR="485339FE" w:rsidRPr="00C74959">
              <w:t xml:space="preserve">lapkričio 25 </w:t>
            </w:r>
            <w:r w:rsidR="003C20FD" w:rsidRPr="00C74959">
              <w:t>d. posėdžio protokoliniu sprendimu</w:t>
            </w:r>
            <w:r w:rsidR="003C20FD" w:rsidRPr="008642AE">
              <w:t xml:space="preserve"> Nr. </w:t>
            </w:r>
            <w:r w:rsidR="610019B5" w:rsidRPr="00C74959">
              <w:rPr>
                <w:rFonts w:eastAsia="Poppins"/>
                <w:color w:val="2E2D51"/>
                <w:szCs w:val="24"/>
              </w:rPr>
              <w:t>Nr. 46P-6 (32)</w:t>
            </w:r>
            <w:r w:rsidR="00F67695" w:rsidRPr="00C74959">
              <w:rPr>
                <w:rFonts w:eastAsia="Poppins"/>
                <w:color w:val="2E2D51"/>
                <w:szCs w:val="24"/>
              </w:rPr>
              <w:t>.</w:t>
            </w:r>
            <w:r w:rsidR="610019B5" w:rsidRPr="00C74959">
              <w:rPr>
                <w:rFonts w:ascii="Poppins" w:eastAsia="Poppins" w:hAnsi="Poppins" w:cs="Poppins"/>
                <w:color w:val="2E2D51"/>
                <w:szCs w:val="24"/>
              </w:rPr>
              <w:t xml:space="preserve"> </w:t>
            </w:r>
            <w:r w:rsidR="610019B5" w:rsidRPr="00C74959">
              <w:t xml:space="preserve"> </w:t>
            </w:r>
          </w:p>
          <w:p w:rsidR="00F462EC" w:rsidRPr="006B470D" w:rsidRDefault="00E451BF" w:rsidP="00F462EC">
            <w:pPr>
              <w:pStyle w:val="ListParagraph"/>
              <w:numPr>
                <w:ilvl w:val="1"/>
                <w:numId w:val="28"/>
              </w:numPr>
              <w:tabs>
                <w:tab w:val="left" w:pos="601"/>
              </w:tabs>
              <w:ind w:left="0" w:firstLine="0"/>
              <w:jc w:val="both"/>
              <w:rPr>
                <w:iCs/>
                <w:szCs w:val="24"/>
              </w:rPr>
            </w:pPr>
            <w:r w:rsidRPr="006B470D">
              <w:rPr>
                <w:iCs/>
                <w:szCs w:val="24"/>
              </w:rPr>
              <w:t xml:space="preserve">Neatitikus bent vieno nurodyto specialiojo kriterijaus </w:t>
            </w:r>
            <w:r w:rsidR="00E549DB" w:rsidRPr="006B470D">
              <w:rPr>
                <w:iCs/>
                <w:szCs w:val="24"/>
              </w:rPr>
              <w:t>12.</w:t>
            </w:r>
            <w:r w:rsidR="00B827B7">
              <w:rPr>
                <w:iCs/>
                <w:szCs w:val="24"/>
              </w:rPr>
              <w:t>5</w:t>
            </w:r>
            <w:r w:rsidR="00E549DB" w:rsidRPr="006B470D">
              <w:rPr>
                <w:iCs/>
                <w:szCs w:val="24"/>
              </w:rPr>
              <w:t xml:space="preserve">. papunktyje, </w:t>
            </w:r>
            <w:r w:rsidRPr="006B470D">
              <w:rPr>
                <w:iCs/>
                <w:szCs w:val="24"/>
              </w:rPr>
              <w:t xml:space="preserve">PĮP atmetamas. Minimali privaloma surinkti balų suma </w:t>
            </w:r>
            <w:r w:rsidRPr="002C17FE">
              <w:rPr>
                <w:iCs/>
                <w:szCs w:val="24"/>
              </w:rPr>
              <w:t xml:space="preserve">– </w:t>
            </w:r>
            <w:r w:rsidR="001A49EB" w:rsidRPr="008642AE">
              <w:rPr>
                <w:iCs/>
                <w:szCs w:val="24"/>
              </w:rPr>
              <w:t xml:space="preserve">60 </w:t>
            </w:r>
            <w:r w:rsidR="003C48A3" w:rsidRPr="008642AE">
              <w:rPr>
                <w:iCs/>
                <w:szCs w:val="24"/>
              </w:rPr>
              <w:t>balų</w:t>
            </w:r>
            <w:r w:rsidR="00F67695">
              <w:rPr>
                <w:iCs/>
                <w:szCs w:val="24"/>
              </w:rPr>
              <w:t>.</w:t>
            </w:r>
            <w:r w:rsidR="003C48A3" w:rsidRPr="002C17FE">
              <w:rPr>
                <w:iCs/>
                <w:szCs w:val="24"/>
              </w:rPr>
              <w:t xml:space="preserve"> </w:t>
            </w:r>
            <w:r w:rsidRPr="002C17FE">
              <w:rPr>
                <w:iCs/>
                <w:szCs w:val="24"/>
              </w:rPr>
              <w:t>Nesurinkus</w:t>
            </w:r>
            <w:r w:rsidRPr="006B470D">
              <w:rPr>
                <w:iCs/>
                <w:szCs w:val="24"/>
              </w:rPr>
              <w:t xml:space="preserve"> </w:t>
            </w:r>
            <w:r w:rsidR="001A49EB" w:rsidRPr="008642AE">
              <w:rPr>
                <w:iCs/>
                <w:szCs w:val="24"/>
              </w:rPr>
              <w:t xml:space="preserve">60 </w:t>
            </w:r>
            <w:r w:rsidRPr="008642AE">
              <w:rPr>
                <w:iCs/>
                <w:szCs w:val="24"/>
              </w:rPr>
              <w:t>balų</w:t>
            </w:r>
            <w:r w:rsidRPr="006B470D">
              <w:rPr>
                <w:iCs/>
                <w:szCs w:val="24"/>
              </w:rPr>
              <w:t xml:space="preserve"> – PĮP atmetamas.</w:t>
            </w:r>
          </w:p>
          <w:p w:rsidR="00F462EC" w:rsidRDefault="00E451BF" w:rsidP="00F462EC">
            <w:pPr>
              <w:pStyle w:val="ListParagraph"/>
              <w:numPr>
                <w:ilvl w:val="1"/>
                <w:numId w:val="28"/>
              </w:numPr>
              <w:tabs>
                <w:tab w:val="left" w:pos="601"/>
              </w:tabs>
              <w:ind w:left="0" w:firstLine="0"/>
              <w:jc w:val="both"/>
              <w:rPr>
                <w:iCs/>
                <w:szCs w:val="24"/>
              </w:rPr>
            </w:pPr>
            <w:r w:rsidRPr="006B470D">
              <w:rPr>
                <w:iCs/>
                <w:szCs w:val="24"/>
              </w:rPr>
              <w:t xml:space="preserve">Maksimali galima balų suma (apvalinama iki sveiko skaičiaus) – </w:t>
            </w:r>
            <w:r w:rsidR="008B0E87" w:rsidRPr="006B470D">
              <w:rPr>
                <w:iCs/>
                <w:szCs w:val="24"/>
              </w:rPr>
              <w:t>100</w:t>
            </w:r>
            <w:r w:rsidRPr="006B470D">
              <w:rPr>
                <w:iCs/>
                <w:szCs w:val="24"/>
              </w:rPr>
              <w:t xml:space="preserve"> balų. Kriterijai vertinami remiantis </w:t>
            </w:r>
            <w:r w:rsidRPr="00CF543D">
              <w:rPr>
                <w:iCs/>
                <w:szCs w:val="24"/>
              </w:rPr>
              <w:t xml:space="preserve">Aprašo </w:t>
            </w:r>
            <w:r w:rsidR="00361DCA" w:rsidRPr="00CF543D">
              <w:rPr>
                <w:iCs/>
                <w:szCs w:val="24"/>
              </w:rPr>
              <w:t xml:space="preserve">2-3 </w:t>
            </w:r>
            <w:r w:rsidRPr="006B470D">
              <w:rPr>
                <w:iCs/>
                <w:szCs w:val="24"/>
              </w:rPr>
              <w:t>prieduose pateikiama bei kita pareiškėjo pridedama informacija.</w:t>
            </w:r>
          </w:p>
          <w:p w:rsidR="00040A38" w:rsidRDefault="0036616A" w:rsidP="00F462EC">
            <w:pPr>
              <w:pStyle w:val="ListParagraph"/>
              <w:numPr>
                <w:ilvl w:val="1"/>
                <w:numId w:val="28"/>
              </w:numPr>
              <w:tabs>
                <w:tab w:val="left" w:pos="601"/>
              </w:tabs>
              <w:ind w:left="0" w:firstLine="0"/>
              <w:jc w:val="both"/>
              <w:rPr>
                <w:iCs/>
                <w:szCs w:val="24"/>
              </w:rPr>
            </w:pPr>
            <w:r w:rsidRPr="006B470D">
              <w:rPr>
                <w:iCs/>
                <w:szCs w:val="24"/>
              </w:rPr>
              <w:t xml:space="preserve">Kai projektams, surinkusiems vienodą galutinį balų skaičių, nepakanka pagal Kvietimą skirtos finansavimo lėšų sumos, pirmenybė suteikiama projektams, surinkusiems daugiau balų pagal </w:t>
            </w:r>
            <w:r w:rsidR="003E1320" w:rsidRPr="006B470D">
              <w:rPr>
                <w:iCs/>
                <w:szCs w:val="24"/>
              </w:rPr>
              <w:t>pirmąjį</w:t>
            </w:r>
            <w:r w:rsidRPr="006B470D">
              <w:rPr>
                <w:iCs/>
                <w:szCs w:val="24"/>
              </w:rPr>
              <w:t xml:space="preserve"> Aprašo 12.</w:t>
            </w:r>
            <w:r w:rsidR="00B827B7">
              <w:rPr>
                <w:iCs/>
                <w:szCs w:val="24"/>
              </w:rPr>
              <w:t>6</w:t>
            </w:r>
            <w:r w:rsidRPr="006B470D">
              <w:rPr>
                <w:iCs/>
                <w:szCs w:val="24"/>
              </w:rPr>
              <w:t>. punkte nurodytą prioritetinį kriterijų, o jei projektai vienodai įvertinti pagal šį prioritetinį atrankos kriterijų, pirmenybė suteikiama projektams, surinkusiems daugiau balų pagal kitą iš eilės nurodytą</w:t>
            </w:r>
            <w:r w:rsidRPr="0036616A">
              <w:rPr>
                <w:iCs/>
                <w:szCs w:val="24"/>
              </w:rPr>
              <w:t xml:space="preserve"> prioritetinį kriterijų. Jei pagal visus projektų prioritetinius atrankos kriterijus tokie projektai įvertinti vienodai, administruojančiosios institucijos juos nurodo PĮP vertinimo ataskaitos sąraše „Projektai, kuriems rekomenduojama skirti finansavimą“ pagal PĮP pateikimo laiką.</w:t>
            </w:r>
          </w:p>
          <w:p w:rsidR="00E86276" w:rsidRPr="00F462EC" w:rsidRDefault="0033784A" w:rsidP="00F462EC">
            <w:pPr>
              <w:pStyle w:val="ListParagraph"/>
              <w:numPr>
                <w:ilvl w:val="1"/>
                <w:numId w:val="28"/>
              </w:numPr>
              <w:tabs>
                <w:tab w:val="left" w:pos="601"/>
              </w:tabs>
              <w:ind w:left="0" w:firstLine="0"/>
              <w:jc w:val="both"/>
              <w:rPr>
                <w:iCs/>
                <w:szCs w:val="24"/>
              </w:rPr>
            </w:pPr>
            <w:r w:rsidRPr="0033784A">
              <w:rPr>
                <w:iCs/>
                <w:szCs w:val="24"/>
              </w:rPr>
              <w:t>PĮP vertinimui taikomi specialieji ir prioritetiniai projektų atrankos kriterijai:</w:t>
            </w:r>
            <w:r w:rsidR="005231B8" w:rsidRPr="00F462EC">
              <w:rPr>
                <w:iCs/>
                <w:szCs w:val="24"/>
              </w:rPr>
              <w:t xml:space="preserve"> </w:t>
            </w:r>
          </w:p>
          <w:p w:rsidR="000B73E7" w:rsidRDefault="000B73E7" w:rsidP="00E451BF">
            <w:pPr>
              <w:jc w:val="both"/>
              <w:rPr>
                <w:iCs/>
                <w:szCs w:val="24"/>
              </w:rPr>
            </w:pPr>
          </w:p>
          <w:tbl>
            <w:tblPr>
              <w:tblW w:w="5000" w:type="pct"/>
              <w:shd w:val="clear" w:color="auto" w:fill="FFFFFF" w:themeFill="background1"/>
              <w:tblLook w:val="00A0" w:firstRow="1" w:lastRow="0" w:firstColumn="1" w:lastColumn="0" w:noHBand="0" w:noVBand="0"/>
            </w:tblPr>
            <w:tblGrid>
              <w:gridCol w:w="920"/>
              <w:gridCol w:w="1538"/>
              <w:gridCol w:w="1684"/>
              <w:gridCol w:w="5627"/>
              <w:gridCol w:w="1292"/>
              <w:gridCol w:w="1329"/>
              <w:gridCol w:w="2512"/>
            </w:tblGrid>
            <w:tr w:rsidR="00C0013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rsidR="0021554B" w:rsidRPr="00134EBF" w:rsidRDefault="0021554B" w:rsidP="00C00132">
                  <w:pPr>
                    <w:jc w:val="center"/>
                    <w:rPr>
                      <w:b/>
                      <w:sz w:val="22"/>
                      <w:szCs w:val="22"/>
                    </w:rPr>
                  </w:pPr>
                  <w:r w:rsidRPr="00134EBF">
                    <w:rPr>
                      <w:b/>
                      <w:sz w:val="22"/>
                      <w:szCs w:val="22"/>
                    </w:rPr>
                    <w:t>Eil.</w:t>
                  </w:r>
                </w:p>
                <w:p w:rsidR="0021554B" w:rsidRPr="00134EBF" w:rsidRDefault="0021554B" w:rsidP="00C00132">
                  <w:pPr>
                    <w:jc w:val="center"/>
                    <w:rPr>
                      <w:b/>
                      <w:sz w:val="22"/>
                      <w:szCs w:val="22"/>
                    </w:rPr>
                  </w:pPr>
                  <w:r w:rsidRPr="00134EBF">
                    <w:rPr>
                      <w:b/>
                      <w:sz w:val="22"/>
                      <w:szCs w:val="22"/>
                    </w:rPr>
                    <w:t>Nr.</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Kriterijaus tipas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Kriterijus</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Kriterijaus vertinimo metodas</w:t>
                  </w: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Didžiausias galimas kriterijaus balas</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Kriterijaus svorio koeficientas</w:t>
                  </w:r>
                </w:p>
                <w:p w:rsidR="0021554B" w:rsidRPr="00134EBF" w:rsidRDefault="0021554B" w:rsidP="0021554B">
                  <w:pPr>
                    <w:jc w:val="center"/>
                    <w:rPr>
                      <w:b/>
                      <w:sz w:val="20"/>
                    </w:rPr>
                  </w:pPr>
                  <w:r w:rsidRPr="00134EBF">
                    <w:rPr>
                      <w:b/>
                      <w:sz w:val="20"/>
                    </w:rPr>
                    <w:t>(</w:t>
                  </w:r>
                  <w:r w:rsidRPr="00134EBF">
                    <w:rPr>
                      <w:b/>
                      <w:i/>
                      <w:sz w:val="20"/>
                    </w:rPr>
                    <w:t>jei taikoma</w:t>
                  </w:r>
                  <w:r w:rsidRPr="00134EBF">
                    <w:rPr>
                      <w:b/>
                      <w:sz w:val="20"/>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rsidR="0021554B" w:rsidRPr="00134EBF" w:rsidRDefault="0021554B" w:rsidP="0021554B">
                  <w:pPr>
                    <w:jc w:val="center"/>
                    <w:rPr>
                      <w:b/>
                      <w:sz w:val="22"/>
                      <w:szCs w:val="22"/>
                    </w:rPr>
                  </w:pPr>
                  <w:r w:rsidRPr="00134EBF">
                    <w:rPr>
                      <w:b/>
                      <w:sz w:val="22"/>
                      <w:szCs w:val="22"/>
                    </w:rPr>
                    <w:t>Didžiausias galimas kriterijaus balas, kai nustatomas svorio koeficientas</w:t>
                  </w:r>
                </w:p>
                <w:p w:rsidR="0021554B" w:rsidRPr="00134EBF" w:rsidRDefault="0021554B" w:rsidP="0021554B">
                  <w:pPr>
                    <w:jc w:val="center"/>
                    <w:rPr>
                      <w:b/>
                      <w:sz w:val="20"/>
                    </w:rPr>
                  </w:pPr>
                  <w:r w:rsidRPr="00134EBF">
                    <w:rPr>
                      <w:b/>
                      <w:sz w:val="20"/>
                    </w:rPr>
                    <w:t>(</w:t>
                  </w:r>
                  <w:r w:rsidRPr="00134EBF">
                    <w:rPr>
                      <w:b/>
                      <w:i/>
                      <w:sz w:val="20"/>
                    </w:rPr>
                    <w:t>jei nustatomas svorio koeficientas, šioje skiltyje nurodomas didžiausias galimas kriterijaus balas, padaugintas iš svorio koeficiento)</w:t>
                  </w:r>
                </w:p>
              </w:tc>
            </w:tr>
            <w:tr w:rsidR="00C0013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B0E87" w:rsidRPr="00134EBF" w:rsidRDefault="00C00132" w:rsidP="00C00132">
                  <w:pPr>
                    <w:jc w:val="center"/>
                    <w:rPr>
                      <w:bCs/>
                      <w:sz w:val="22"/>
                      <w:szCs w:val="22"/>
                    </w:rPr>
                  </w:pPr>
                  <w:r w:rsidRPr="00134EBF">
                    <w:rPr>
                      <w:bCs/>
                      <w:sz w:val="22"/>
                      <w:szCs w:val="22"/>
                    </w:rPr>
                    <w:t>1.</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8B0E87" w:rsidRPr="00134EBF" w:rsidRDefault="008B0E87" w:rsidP="008B0E87">
                  <w:pPr>
                    <w:jc w:val="center"/>
                    <w:rPr>
                      <w:b/>
                      <w:sz w:val="20"/>
                    </w:rPr>
                  </w:pPr>
                  <w:r w:rsidRPr="008642AE">
                    <w:rPr>
                      <w:sz w:val="20"/>
                    </w:rPr>
                    <w:t>Specialusis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8B0E87" w:rsidRDefault="008B0E87" w:rsidP="008B0E87">
                  <w:pPr>
                    <w:jc w:val="both"/>
                    <w:rPr>
                      <w:rFonts w:eastAsia="Calibri"/>
                      <w:bCs/>
                      <w:sz w:val="20"/>
                    </w:rPr>
                  </w:pPr>
                  <w:r w:rsidRPr="008642AE">
                    <w:rPr>
                      <w:rFonts w:eastAsia="Calibri"/>
                      <w:bCs/>
                      <w:sz w:val="20"/>
                    </w:rPr>
                    <w:t xml:space="preserve">Projekte suplanuotos veiklos atitinka </w:t>
                  </w:r>
                  <w:r w:rsidRPr="00134EBF">
                    <w:rPr>
                      <w:sz w:val="20"/>
                    </w:rPr>
                    <w:t>Sumanios specializacijos</w:t>
                  </w:r>
                  <w:r w:rsidRPr="008642AE">
                    <w:rPr>
                      <w:rFonts w:eastAsia="Calibri"/>
                      <w:bCs/>
                      <w:sz w:val="20"/>
                    </w:rPr>
                    <w:t xml:space="preserve"> koncepciją ir bent vieno jos prioriteto įgyvendinimo tematiką</w:t>
                  </w:r>
                  <w:r w:rsidR="00134EBF" w:rsidRPr="008642AE">
                    <w:rPr>
                      <w:rFonts w:eastAsia="Calibri"/>
                      <w:bCs/>
                      <w:sz w:val="20"/>
                    </w:rPr>
                    <w:t>.</w:t>
                  </w:r>
                </w:p>
                <w:p w:rsidR="00134EBF" w:rsidRPr="008642AE" w:rsidRDefault="00134EBF" w:rsidP="008B0E87">
                  <w:pPr>
                    <w:jc w:val="both"/>
                    <w:rPr>
                      <w:rFonts w:eastAsia="Calibri"/>
                      <w:bCs/>
                      <w:sz w:val="20"/>
                    </w:rPr>
                  </w:pP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B0E87" w:rsidRPr="008642AE" w:rsidRDefault="008B0E87" w:rsidP="008B0E87">
                  <w:pPr>
                    <w:jc w:val="both"/>
                    <w:rPr>
                      <w:rFonts w:eastAsia="Calibri"/>
                      <w:bCs/>
                      <w:sz w:val="20"/>
                    </w:rPr>
                  </w:pPr>
                  <w:r w:rsidRPr="008642AE">
                    <w:rPr>
                      <w:rFonts w:eastAsia="Calibri"/>
                      <w:bCs/>
                      <w:sz w:val="20"/>
                    </w:rPr>
                    <w:t xml:space="preserve">Vertinama, ar projektas prisideda prie </w:t>
                  </w:r>
                  <w:r w:rsidRPr="00134EBF">
                    <w:rPr>
                      <w:sz w:val="20"/>
                    </w:rPr>
                    <w:t>Sumanios specializacijos</w:t>
                  </w:r>
                  <w:r w:rsidRPr="008642AE">
                    <w:rPr>
                      <w:rFonts w:eastAsia="Calibri"/>
                      <w:bCs/>
                      <w:sz w:val="20"/>
                    </w:rPr>
                    <w:t xml:space="preserve"> koncepcijos ir atitinka bent vieno jos prioriteto įgyvendinimo tematiką.</w:t>
                  </w:r>
                </w:p>
                <w:p w:rsidR="008B0E87" w:rsidRPr="008642AE" w:rsidRDefault="008B0E87" w:rsidP="008B0E87">
                  <w:pPr>
                    <w:jc w:val="both"/>
                    <w:rPr>
                      <w:rFonts w:eastAsia="Calibri"/>
                      <w:bCs/>
                      <w:sz w:val="20"/>
                    </w:rPr>
                  </w:pPr>
                </w:p>
                <w:p w:rsidR="008B0E87" w:rsidRDefault="008B0E87" w:rsidP="008B0E87">
                  <w:pPr>
                    <w:jc w:val="both"/>
                    <w:rPr>
                      <w:sz w:val="20"/>
                      <w:lang w:eastAsia="lt-LT"/>
                    </w:rPr>
                  </w:pPr>
                  <w:r w:rsidRPr="008642AE">
                    <w:rPr>
                      <w:sz w:val="20"/>
                      <w:lang w:eastAsia="lt-LT"/>
                    </w:rPr>
                    <w:t>Vertinama pagal informaciją pareiškėjo pateiktą užpildant Aprašo 2 priedo 1 ir 2 punktų lenteles.</w:t>
                  </w:r>
                </w:p>
                <w:p w:rsidR="00281C50" w:rsidRDefault="00281C50" w:rsidP="008B0E87">
                  <w:pPr>
                    <w:jc w:val="both"/>
                    <w:rPr>
                      <w:sz w:val="20"/>
                      <w:lang w:eastAsia="lt-LT"/>
                    </w:rPr>
                  </w:pPr>
                </w:p>
                <w:p w:rsidR="00281C50" w:rsidRDefault="00281C50" w:rsidP="008B0E87">
                  <w:pPr>
                    <w:jc w:val="both"/>
                    <w:rPr>
                      <w:sz w:val="20"/>
                      <w:lang w:eastAsia="lt-LT"/>
                    </w:rPr>
                  </w:pPr>
                </w:p>
                <w:p w:rsidR="00134EBF" w:rsidRDefault="00134EBF" w:rsidP="008B0E87">
                  <w:pPr>
                    <w:jc w:val="both"/>
                    <w:rPr>
                      <w:sz w:val="20"/>
                      <w:lang w:eastAsia="lt-LT"/>
                    </w:rPr>
                  </w:pPr>
                </w:p>
                <w:p w:rsidR="00134EBF" w:rsidRPr="008642AE" w:rsidRDefault="00134EBF" w:rsidP="008B0E87">
                  <w:pPr>
                    <w:jc w:val="both"/>
                    <w:rPr>
                      <w:sz w:val="20"/>
                      <w:lang w:eastAsia="lt-LT"/>
                    </w:rPr>
                  </w:pPr>
                </w:p>
                <w:p w:rsidR="00BA1BD7" w:rsidRPr="008642AE" w:rsidRDefault="00BA1BD7" w:rsidP="008B0E87">
                  <w:pPr>
                    <w:jc w:val="both"/>
                    <w:rPr>
                      <w:rFonts w:eastAsia="Calibri"/>
                      <w:bCs/>
                      <w:sz w:val="20"/>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B0E87" w:rsidRPr="00134EBF" w:rsidRDefault="008B0E87" w:rsidP="008B0E87">
                  <w:pPr>
                    <w:jc w:val="center"/>
                    <w:rPr>
                      <w:b/>
                      <w:sz w:val="22"/>
                      <w:szCs w:val="22"/>
                    </w:rPr>
                  </w:pPr>
                  <w:r w:rsidRPr="00134EBF">
                    <w:rPr>
                      <w:b/>
                      <w:sz w:val="22"/>
                      <w:szCs w:val="22"/>
                    </w:rPr>
                    <w:t>-</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B0E87" w:rsidRPr="00134EBF" w:rsidRDefault="008B0E87" w:rsidP="008B0E87">
                  <w:pPr>
                    <w:jc w:val="center"/>
                    <w:rPr>
                      <w:b/>
                      <w:sz w:val="22"/>
                      <w:szCs w:val="22"/>
                    </w:rPr>
                  </w:pPr>
                  <w:r w:rsidRPr="00134EBF">
                    <w:rPr>
                      <w:b/>
                      <w:sz w:val="22"/>
                      <w:szCs w:val="22"/>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8B0E87" w:rsidRPr="00134EBF" w:rsidRDefault="008B0E87" w:rsidP="008B0E87">
                  <w:pPr>
                    <w:jc w:val="center"/>
                    <w:rPr>
                      <w:b/>
                      <w:sz w:val="22"/>
                      <w:szCs w:val="22"/>
                    </w:rPr>
                  </w:pPr>
                  <w:r w:rsidRPr="00134EBF">
                    <w:rPr>
                      <w:b/>
                      <w:sz w:val="22"/>
                      <w:szCs w:val="22"/>
                    </w:rPr>
                    <w:t>-</w:t>
                  </w:r>
                </w:p>
              </w:tc>
            </w:tr>
            <w:tr w:rsidR="00204FC0"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04FC0" w:rsidRPr="00134EBF" w:rsidRDefault="00204FC0" w:rsidP="00C00132">
                  <w:pPr>
                    <w:jc w:val="center"/>
                    <w:rPr>
                      <w:bCs/>
                      <w:sz w:val="22"/>
                      <w:szCs w:val="22"/>
                    </w:rPr>
                  </w:pPr>
                  <w:r w:rsidRPr="00134EBF">
                    <w:rPr>
                      <w:bCs/>
                      <w:sz w:val="22"/>
                      <w:szCs w:val="22"/>
                    </w:rPr>
                    <w:t>2.</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204FC0" w:rsidRPr="008642AE" w:rsidRDefault="00204FC0" w:rsidP="008B0E87">
                  <w:pPr>
                    <w:jc w:val="center"/>
                    <w:rPr>
                      <w:sz w:val="20"/>
                    </w:rPr>
                  </w:pPr>
                  <w:r w:rsidRPr="008642AE">
                    <w:rPr>
                      <w:sz w:val="20"/>
                    </w:rPr>
                    <w:t>Specialusis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204FC0" w:rsidRPr="008642AE" w:rsidRDefault="00EC4B23" w:rsidP="008B0E87">
                  <w:pPr>
                    <w:jc w:val="both"/>
                    <w:rPr>
                      <w:rFonts w:eastAsia="Calibri"/>
                      <w:bCs/>
                      <w:sz w:val="20"/>
                    </w:rPr>
                  </w:pPr>
                  <w:r w:rsidRPr="008642AE">
                    <w:rPr>
                      <w:rFonts w:eastAsia="Calibri"/>
                      <w:bCs/>
                      <w:sz w:val="20"/>
                    </w:rPr>
                    <w:t>Projekto pareiškėjo atstovaujama Lietuvos MTI, kurios pagrindu rengiamasi įgyvendinti projektą, yra įsitvirtinusi tarptautinėje MTI arba yra brandi, kad dalyvautų jos veikloje.</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A7525B" w:rsidRPr="008642AE" w:rsidRDefault="00A7525B" w:rsidP="2E6B8FAE">
                  <w:pPr>
                    <w:jc w:val="both"/>
                    <w:rPr>
                      <w:rFonts w:eastAsia="Calibri"/>
                      <w:sz w:val="20"/>
                    </w:rPr>
                  </w:pPr>
                  <w:r w:rsidRPr="008642AE">
                    <w:rPr>
                      <w:rFonts w:eastAsia="Calibri"/>
                      <w:sz w:val="20"/>
                    </w:rPr>
                    <w:t>Vertinama ar pareiškėjo atstovaujama Lietuvos MTI yra įtraukta į Kelrodį ir jame pagal pasirengimą dalyvauti tarptautinių MTI veikloje nustatyta kaip „įsitvirtinusi“ ar „brandi“.</w:t>
                  </w:r>
                  <w:r w:rsidR="17046406" w:rsidRPr="008642AE">
                    <w:rPr>
                      <w:rFonts w:eastAsia="Calibri"/>
                      <w:sz w:val="20"/>
                    </w:rPr>
                    <w:t xml:space="preserve"> </w:t>
                  </w:r>
                </w:p>
                <w:p w:rsidR="00A7525B" w:rsidRPr="008642AE" w:rsidRDefault="17046406" w:rsidP="2E6B8FAE">
                  <w:pPr>
                    <w:jc w:val="both"/>
                    <w:rPr>
                      <w:rFonts w:eastAsia="Calibri"/>
                      <w:sz w:val="20"/>
                    </w:rPr>
                  </w:pPr>
                  <w:r w:rsidRPr="008642AE">
                    <w:rPr>
                      <w:rFonts w:eastAsia="Calibri"/>
                      <w:sz w:val="20"/>
                    </w:rPr>
                    <w:t xml:space="preserve">Tuo atveju, jei po Kelrodžio patvirtinimo jame nurodyta Lietuvos </w:t>
                  </w:r>
                  <w:r w:rsidR="5A3770FD" w:rsidRPr="008642AE">
                    <w:rPr>
                      <w:rFonts w:eastAsia="Calibri"/>
                      <w:sz w:val="20"/>
                    </w:rPr>
                    <w:t>„</w:t>
                  </w:r>
                  <w:r w:rsidRPr="008642AE">
                    <w:rPr>
                      <w:rFonts w:eastAsia="Calibri"/>
                      <w:sz w:val="20"/>
                    </w:rPr>
                    <w:t>brandi” MTI valstybės institucijų sprendimu pradėjo dalyvauti tarptautinės MTI veikloje, ji laikoma</w:t>
                  </w:r>
                  <w:r w:rsidR="37E256D0" w:rsidRPr="008642AE">
                    <w:rPr>
                      <w:rFonts w:eastAsia="Calibri"/>
                      <w:sz w:val="20"/>
                    </w:rPr>
                    <w:t xml:space="preserve">  „</w:t>
                  </w:r>
                  <w:r w:rsidRPr="008642AE">
                    <w:rPr>
                      <w:rFonts w:eastAsia="Calibri"/>
                      <w:sz w:val="20"/>
                    </w:rPr>
                    <w:t>įsitvirtinusia”.</w:t>
                  </w:r>
                </w:p>
                <w:p w:rsidR="00A7525B" w:rsidRPr="008642AE" w:rsidRDefault="00A7525B" w:rsidP="2E6B8FAE">
                  <w:pPr>
                    <w:jc w:val="both"/>
                    <w:rPr>
                      <w:rFonts w:eastAsia="Calibri"/>
                      <w:sz w:val="20"/>
                    </w:rPr>
                  </w:pPr>
                </w:p>
                <w:p w:rsidR="00204FC0" w:rsidRDefault="00A7525B" w:rsidP="00A7525B">
                  <w:pPr>
                    <w:jc w:val="both"/>
                    <w:rPr>
                      <w:rFonts w:eastAsia="Calibri"/>
                      <w:bCs/>
                      <w:sz w:val="20"/>
                    </w:rPr>
                  </w:pPr>
                  <w:r w:rsidRPr="008642AE">
                    <w:rPr>
                      <w:rFonts w:eastAsia="Calibri"/>
                      <w:bCs/>
                      <w:sz w:val="20"/>
                    </w:rPr>
                    <w:t xml:space="preserve">Finansavimas neskiriamas projektams, susijusiems su Lietuvos dalelių fizikos konsorciumo </w:t>
                  </w:r>
                  <w:r w:rsidR="00210611" w:rsidRPr="008642AE">
                    <w:rPr>
                      <w:rFonts w:eastAsia="Calibri"/>
                      <w:bCs/>
                      <w:sz w:val="20"/>
                    </w:rPr>
                    <w:t xml:space="preserve">narių </w:t>
                  </w:r>
                  <w:r w:rsidRPr="008642AE">
                    <w:rPr>
                      <w:rFonts w:eastAsia="Calibri"/>
                      <w:bCs/>
                      <w:sz w:val="20"/>
                    </w:rPr>
                    <w:t>dalyvavimu Europos branduolinių mokslinių tyrimų organizacijos (toliau – CERN) veikloje (finansavimas MTEP projektams, susijusiems su dalyvavimu CERN veikloje skiriamas pagal Lietuvos asocijuotosios narystės Europos branduolinių mokslinių tyrimų organizacijoje 2022–2027 m. veiksmų planą, patvirtintą Lietuvos Respublikos švietimo, mokslo ir sporto ministro 2022 m. spalio 27 d. įsakymu Nr. V-1712 „Dėl Lietuvos asocijuotosios narystės Europos branduolinių mokslinių tyrimų organizacijoje 2022–2027 m. veiksmų plano patvirtinimo“).</w:t>
                  </w:r>
                </w:p>
                <w:p w:rsidR="00134EBF" w:rsidRPr="008642AE" w:rsidRDefault="00134EBF" w:rsidP="00A7525B">
                  <w:pPr>
                    <w:jc w:val="both"/>
                    <w:rPr>
                      <w:rFonts w:eastAsia="Calibri"/>
                      <w:bCs/>
                      <w:sz w:val="20"/>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04FC0" w:rsidRPr="00134EBF" w:rsidRDefault="002315F0" w:rsidP="008B0E87">
                  <w:pPr>
                    <w:jc w:val="center"/>
                    <w:rPr>
                      <w:b/>
                      <w:sz w:val="22"/>
                      <w:szCs w:val="22"/>
                    </w:rPr>
                  </w:pPr>
                  <w:r w:rsidRPr="00134EBF">
                    <w:rPr>
                      <w:b/>
                      <w:sz w:val="22"/>
                      <w:szCs w:val="22"/>
                    </w:rPr>
                    <w:t>-</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04FC0" w:rsidRPr="00134EBF" w:rsidRDefault="002315F0" w:rsidP="008B0E87">
                  <w:pPr>
                    <w:jc w:val="center"/>
                    <w:rPr>
                      <w:b/>
                      <w:sz w:val="22"/>
                      <w:szCs w:val="22"/>
                    </w:rPr>
                  </w:pPr>
                  <w:r w:rsidRPr="00134EBF">
                    <w:rPr>
                      <w:b/>
                      <w:sz w:val="22"/>
                      <w:szCs w:val="22"/>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04FC0" w:rsidRPr="00134EBF" w:rsidRDefault="002315F0" w:rsidP="008B0E87">
                  <w:pPr>
                    <w:jc w:val="center"/>
                    <w:rPr>
                      <w:b/>
                      <w:sz w:val="22"/>
                      <w:szCs w:val="22"/>
                    </w:rPr>
                  </w:pPr>
                  <w:r w:rsidRPr="00134EBF">
                    <w:rPr>
                      <w:b/>
                      <w:sz w:val="22"/>
                      <w:szCs w:val="22"/>
                    </w:rPr>
                    <w:t>-</w:t>
                  </w:r>
                </w:p>
              </w:tc>
            </w:tr>
            <w:tr w:rsidR="009C6F1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9C6F12" w:rsidRPr="008642AE" w:rsidRDefault="00204FC0" w:rsidP="00C00132">
                  <w:pPr>
                    <w:jc w:val="center"/>
                    <w:rPr>
                      <w:sz w:val="20"/>
                    </w:rPr>
                  </w:pPr>
                  <w:r w:rsidRPr="008642AE">
                    <w:rPr>
                      <w:sz w:val="20"/>
                    </w:rPr>
                    <w:t>3</w:t>
                  </w:r>
                  <w:r w:rsidR="00BC1E7F" w:rsidRPr="008642AE">
                    <w:rPr>
                      <w:sz w:val="20"/>
                    </w:rPr>
                    <w: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9C6F12" w:rsidRPr="008642AE" w:rsidRDefault="009C6F12" w:rsidP="00C00132">
                  <w:pPr>
                    <w:jc w:val="center"/>
                    <w:rPr>
                      <w:sz w:val="20"/>
                    </w:rPr>
                  </w:pPr>
                  <w:r w:rsidRPr="008642AE">
                    <w:rPr>
                      <w:sz w:val="20"/>
                    </w:rPr>
                    <w:t>Prioritetinis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9C6F12" w:rsidRPr="008642AE" w:rsidRDefault="009C6F12" w:rsidP="00C00132">
                  <w:pPr>
                    <w:jc w:val="both"/>
                    <w:rPr>
                      <w:rFonts w:eastAsia="Calibri"/>
                      <w:sz w:val="20"/>
                    </w:rPr>
                  </w:pPr>
                  <w:r w:rsidRPr="00134EBF">
                    <w:rPr>
                      <w:rFonts w:eastAsia="Calibri"/>
                      <w:sz w:val="20"/>
                    </w:rPr>
                    <w:t>S</w:t>
                  </w:r>
                  <w:r w:rsidRPr="00134EBF">
                    <w:rPr>
                      <w:sz w:val="20"/>
                    </w:rPr>
                    <w:t>prendžiamos problemos aktualumas, pagrįstumas</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6653AF" w:rsidRDefault="006653AF" w:rsidP="006653AF">
                  <w:pPr>
                    <w:jc w:val="both"/>
                    <w:rPr>
                      <w:rFonts w:eastAsiaTheme="minorEastAsia"/>
                      <w:sz w:val="20"/>
                      <w:lang w:eastAsia="lt-LT"/>
                    </w:rPr>
                  </w:pPr>
                  <w:r w:rsidRPr="00134EBF">
                    <w:rPr>
                      <w:rFonts w:eastAsiaTheme="minorEastAsia"/>
                      <w:sz w:val="20"/>
                      <w:lang w:eastAsia="lt-LT"/>
                    </w:rPr>
                    <w:t xml:space="preserve">Pagal šį kriterijų vertinama, ar sprendžiama problema yra aktuali, prisideda prie Kelrodyje nurodytos MTI tikslų ir yra reikšminga nacionaliniu ir tarptautiniu lygmeniu. Teikiamame projektų įgyvendinimo plane problema įtikinamai atskleista, pagrįsta naujausiais moksliniais tyrimais, ekonominiais ir statistiniais duomenimis, aprašytas jos sprendimo būdas yra pamatuojamas ir patikrinamas. </w:t>
                  </w:r>
                </w:p>
                <w:p w:rsidR="001E7D3B" w:rsidRPr="00134EBF" w:rsidRDefault="001E7D3B" w:rsidP="006653AF">
                  <w:pPr>
                    <w:jc w:val="both"/>
                    <w:rPr>
                      <w:rFonts w:eastAsiaTheme="minorEastAsia"/>
                      <w:sz w:val="20"/>
                      <w:lang w:eastAsia="lt-LT"/>
                    </w:rPr>
                  </w:pPr>
                </w:p>
                <w:p w:rsidR="006653AF" w:rsidRPr="00134EBF" w:rsidRDefault="006653AF" w:rsidP="006653AF">
                  <w:pPr>
                    <w:jc w:val="both"/>
                    <w:rPr>
                      <w:rFonts w:eastAsiaTheme="minorEastAsia"/>
                      <w:sz w:val="20"/>
                      <w:lang w:eastAsia="lt-LT"/>
                    </w:rPr>
                  </w:pPr>
                  <w:r w:rsidRPr="00134EBF">
                    <w:rPr>
                      <w:rFonts w:eastAsiaTheme="minorEastAsia"/>
                      <w:sz w:val="20"/>
                      <w:lang w:eastAsia="lt-LT"/>
                    </w:rPr>
                    <w:t>Vertinama pagal pateiktą projekto įgyvendinimo plano informaciją.</w:t>
                  </w:r>
                </w:p>
                <w:p w:rsidR="006653AF" w:rsidRPr="00134EBF" w:rsidRDefault="006653AF" w:rsidP="006653AF">
                  <w:pPr>
                    <w:jc w:val="both"/>
                    <w:rPr>
                      <w:rFonts w:eastAsiaTheme="minorEastAsia"/>
                      <w:sz w:val="20"/>
                      <w:lang w:eastAsia="lt-LT"/>
                    </w:rPr>
                  </w:pPr>
                  <w:r w:rsidRPr="00134EBF">
                    <w:rPr>
                      <w:rFonts w:eastAsiaTheme="minorEastAsia"/>
                      <w:sz w:val="20"/>
                      <w:lang w:eastAsia="lt-LT"/>
                    </w:rPr>
                    <w:t>Balai suteikiami projektui atsižvelgiant į sprendžiamos problemos aktualumą, idėjos naujumą, ir aiškų jų suformulavimą, atliepiant MTI poreikius ir tikslus. Taip pat atsižvelgiant į problemos sprendimo pagrįstumą, rezultatų aiškumą, realistiškumą. Aukščiausias balas skiriamas kai problema itin aktuali tarptautiniu mastu ir aiškiai identifikuota kaip prioritetinė tarptautinės mokslo bendruomenės ar politikos darbotvarkėje; pateikta daugialypė įrodymų bazė (moksliniai tyrimai, statistika, ekonominiai duomenys); sprendimo būdas aiškus, patikrinamas, realistiškas ir turi didelį potencialą reikšmingai prisidėti prie problemos sprendimo.</w:t>
                  </w:r>
                </w:p>
                <w:p w:rsidR="006653AF" w:rsidRPr="00134EBF" w:rsidRDefault="006653AF" w:rsidP="006653AF">
                  <w:pPr>
                    <w:jc w:val="both"/>
                    <w:rPr>
                      <w:rFonts w:eastAsiaTheme="minorEastAsia"/>
                      <w:sz w:val="20"/>
                      <w:lang w:eastAsia="lt-LT"/>
                    </w:rPr>
                  </w:pPr>
                </w:p>
                <w:p w:rsidR="009C6F12" w:rsidRPr="00134EBF" w:rsidRDefault="008225CC" w:rsidP="009C6F12">
                  <w:pPr>
                    <w:jc w:val="both"/>
                    <w:rPr>
                      <w:sz w:val="20"/>
                    </w:rPr>
                  </w:pPr>
                  <w:r w:rsidRPr="00134EBF">
                    <w:rPr>
                      <w:rFonts w:eastAsiaTheme="minorEastAsia"/>
                      <w:sz w:val="20"/>
                      <w:lang w:eastAsia="lt-LT"/>
                    </w:rPr>
                    <w:t xml:space="preserve"> </w:t>
                  </w:r>
                  <w:r w:rsidR="009C6F12" w:rsidRPr="00134EBF">
                    <w:rPr>
                      <w:sz w:val="20"/>
                    </w:rPr>
                    <w:t xml:space="preserve">Vertinama skalėje nuo </w:t>
                  </w:r>
                  <w:r w:rsidR="00435215" w:rsidRPr="00134EBF">
                    <w:rPr>
                      <w:sz w:val="20"/>
                    </w:rPr>
                    <w:t>3</w:t>
                  </w:r>
                  <w:r w:rsidR="009C6F12" w:rsidRPr="00134EBF">
                    <w:rPr>
                      <w:sz w:val="20"/>
                    </w:rPr>
                    <w:t>0 iki 0 balų, kur:</w:t>
                  </w:r>
                </w:p>
                <w:p w:rsidR="00344764" w:rsidRPr="00134EBF" w:rsidRDefault="00344764" w:rsidP="00344764">
                  <w:pPr>
                    <w:jc w:val="both"/>
                    <w:rPr>
                      <w:sz w:val="20"/>
                    </w:rPr>
                  </w:pPr>
                  <w:r w:rsidRPr="00134EBF">
                    <w:rPr>
                      <w:sz w:val="20"/>
                    </w:rPr>
                    <w:t>•</w:t>
                  </w:r>
                  <w:r w:rsidR="00856FE0" w:rsidRPr="00134EBF">
                    <w:rPr>
                      <w:sz w:val="20"/>
                    </w:rPr>
                    <w:t xml:space="preserve"> </w:t>
                  </w:r>
                  <w:r w:rsidR="008C3EA7" w:rsidRPr="00134EBF">
                    <w:rPr>
                      <w:sz w:val="20"/>
                    </w:rPr>
                    <w:t>25</w:t>
                  </w:r>
                  <w:r w:rsidRPr="00134EBF">
                    <w:rPr>
                      <w:sz w:val="20"/>
                    </w:rPr>
                    <w:t>–</w:t>
                  </w:r>
                  <w:r w:rsidR="00435215" w:rsidRPr="00134EBF">
                    <w:rPr>
                      <w:sz w:val="20"/>
                    </w:rPr>
                    <w:t>3</w:t>
                  </w:r>
                  <w:r w:rsidRPr="00134EBF">
                    <w:rPr>
                      <w:sz w:val="20"/>
                    </w:rPr>
                    <w:t>0 balų – problema itin aktuali tarptautiniu mastu ir aiškiai identifikuota kaip prioritetinė tarptautinės mokslo bendruomenės ar politikos darbotvarkėje; pateikta daugialypė įrodymų bazė (moksliniai tyrimai, statistika, ekonominiai duomenys); sprendimo būdas aiškus, patikrinamas, realistiškas ir turi didelį potencialą reikšmingai prisidėti prie problemos sprendimo.</w:t>
                  </w:r>
                </w:p>
                <w:p w:rsidR="00344764" w:rsidRPr="00134EBF" w:rsidRDefault="00344764" w:rsidP="00134EBF">
                  <w:pPr>
                    <w:tabs>
                      <w:tab w:val="left" w:pos="168"/>
                    </w:tabs>
                    <w:jc w:val="both"/>
                    <w:rPr>
                      <w:sz w:val="20"/>
                    </w:rPr>
                  </w:pPr>
                  <w:r w:rsidRPr="00134EBF">
                    <w:rPr>
                      <w:sz w:val="20"/>
                    </w:rPr>
                    <w:t>•</w:t>
                  </w:r>
                  <w:r w:rsidR="00856FE0" w:rsidRPr="00134EBF">
                    <w:rPr>
                      <w:sz w:val="20"/>
                    </w:rPr>
                    <w:t xml:space="preserve"> </w:t>
                  </w:r>
                  <w:r w:rsidR="008C3EA7" w:rsidRPr="00134EBF">
                    <w:rPr>
                      <w:sz w:val="20"/>
                    </w:rPr>
                    <w:t>19</w:t>
                  </w:r>
                  <w:r w:rsidRPr="00134EBF">
                    <w:rPr>
                      <w:sz w:val="20"/>
                    </w:rPr>
                    <w:t>–</w:t>
                  </w:r>
                  <w:r w:rsidR="008C3EA7" w:rsidRPr="00134EBF">
                    <w:rPr>
                      <w:sz w:val="20"/>
                    </w:rPr>
                    <w:t>24</w:t>
                  </w:r>
                  <w:r w:rsidRPr="00134EBF">
                    <w:rPr>
                      <w:sz w:val="20"/>
                    </w:rPr>
                    <w:t xml:space="preserve"> bal</w:t>
                  </w:r>
                  <w:r w:rsidR="0035361D" w:rsidRPr="00134EBF">
                    <w:rPr>
                      <w:sz w:val="20"/>
                    </w:rPr>
                    <w:t>ų</w:t>
                  </w:r>
                  <w:r w:rsidRPr="00134EBF">
                    <w:rPr>
                      <w:sz w:val="20"/>
                    </w:rPr>
                    <w:t xml:space="preserve"> – problema aiškiai apibrėžta, pagrįsta tiek nacionaliniais, tiek tarptautiniais duomenimis; sprendimo būdas konkretus, išmatuojamas ir logiškai pagrįstas; tarptautinis aktualumas įtikinamai </w:t>
                  </w:r>
                  <w:r w:rsidR="3F5E1058" w:rsidRPr="00134EBF">
                    <w:rPr>
                      <w:sz w:val="20"/>
                    </w:rPr>
                    <w:t>atskleistas</w:t>
                  </w:r>
                  <w:r w:rsidRPr="00134EBF">
                    <w:rPr>
                      <w:sz w:val="20"/>
                    </w:rPr>
                    <w:t>.</w:t>
                  </w:r>
                </w:p>
                <w:p w:rsidR="00344764" w:rsidRPr="00134EBF" w:rsidRDefault="00344764" w:rsidP="00344764">
                  <w:pPr>
                    <w:jc w:val="both"/>
                    <w:rPr>
                      <w:sz w:val="20"/>
                    </w:rPr>
                  </w:pPr>
                  <w:r w:rsidRPr="00134EBF">
                    <w:rPr>
                      <w:sz w:val="20"/>
                    </w:rPr>
                    <w:t>•</w:t>
                  </w:r>
                  <w:r w:rsidR="00856FE0" w:rsidRPr="00134EBF">
                    <w:rPr>
                      <w:sz w:val="20"/>
                    </w:rPr>
                    <w:t xml:space="preserve"> </w:t>
                  </w:r>
                  <w:r w:rsidR="008C3EA7" w:rsidRPr="00134EBF">
                    <w:rPr>
                      <w:sz w:val="20"/>
                    </w:rPr>
                    <w:t>13</w:t>
                  </w:r>
                  <w:r w:rsidRPr="00134EBF">
                    <w:rPr>
                      <w:sz w:val="20"/>
                    </w:rPr>
                    <w:t>–</w:t>
                  </w:r>
                  <w:r w:rsidR="008C3EA7" w:rsidRPr="00134EBF">
                    <w:rPr>
                      <w:sz w:val="20"/>
                    </w:rPr>
                    <w:t>18</w:t>
                  </w:r>
                  <w:r w:rsidR="00776B63" w:rsidRPr="00134EBF">
                    <w:rPr>
                      <w:sz w:val="20"/>
                    </w:rPr>
                    <w:t xml:space="preserve"> </w:t>
                  </w:r>
                  <w:r w:rsidRPr="00134EBF">
                    <w:rPr>
                      <w:sz w:val="20"/>
                    </w:rPr>
                    <w:t>bal</w:t>
                  </w:r>
                  <w:r w:rsidR="0035361D" w:rsidRPr="00134EBF">
                    <w:rPr>
                      <w:sz w:val="20"/>
                    </w:rPr>
                    <w:t>ų</w:t>
                  </w:r>
                  <w:r w:rsidRPr="00134EBF">
                    <w:rPr>
                      <w:sz w:val="20"/>
                    </w:rPr>
                    <w:t xml:space="preserve"> – problema apibrėžta ir pagrįsta patikimais duomenimis nacionaliniu mastu; yra nuorodų į tarptautinį kontekstą, tačiau jos fragmentiškos; sprendimo būdas aprašytas, bet ne visiškai pamatuojamas.</w:t>
                  </w:r>
                </w:p>
                <w:p w:rsidR="00344764" w:rsidRPr="00134EBF" w:rsidRDefault="00344764" w:rsidP="00344764">
                  <w:pPr>
                    <w:jc w:val="both"/>
                    <w:rPr>
                      <w:sz w:val="20"/>
                    </w:rPr>
                  </w:pPr>
                  <w:r w:rsidRPr="00134EBF">
                    <w:rPr>
                      <w:sz w:val="20"/>
                    </w:rPr>
                    <w:t>•</w:t>
                  </w:r>
                  <w:r w:rsidR="00856FE0" w:rsidRPr="00134EBF">
                    <w:rPr>
                      <w:sz w:val="20"/>
                    </w:rPr>
                    <w:t xml:space="preserve"> </w:t>
                  </w:r>
                  <w:r w:rsidR="008C3EA7" w:rsidRPr="00134EBF">
                    <w:rPr>
                      <w:sz w:val="20"/>
                    </w:rPr>
                    <w:t>7</w:t>
                  </w:r>
                  <w:r w:rsidRPr="00134EBF">
                    <w:rPr>
                      <w:sz w:val="20"/>
                    </w:rPr>
                    <w:t>–</w:t>
                  </w:r>
                  <w:r w:rsidR="008C3EA7" w:rsidRPr="00134EBF">
                    <w:rPr>
                      <w:sz w:val="20"/>
                    </w:rPr>
                    <w:t>12</w:t>
                  </w:r>
                  <w:r w:rsidRPr="00134EBF">
                    <w:rPr>
                      <w:sz w:val="20"/>
                    </w:rPr>
                    <w:t xml:space="preserve"> bal</w:t>
                  </w:r>
                  <w:r w:rsidR="00D101A6" w:rsidRPr="00134EBF">
                    <w:rPr>
                      <w:sz w:val="20"/>
                    </w:rPr>
                    <w:t>ų</w:t>
                  </w:r>
                  <w:r w:rsidRPr="00134EBF">
                    <w:rPr>
                      <w:sz w:val="20"/>
                    </w:rPr>
                    <w:t xml:space="preserve"> – problema apibrėžta nacionaliniu lygmeniu, bet argumentacija ribota, paremta daliniais duomenimis; tarptautinis aktualumas beveik nepagrįstas.</w:t>
                  </w:r>
                </w:p>
                <w:p w:rsidR="00344764" w:rsidRPr="008642AE" w:rsidRDefault="00344764" w:rsidP="00344764">
                  <w:pPr>
                    <w:jc w:val="both"/>
                    <w:rPr>
                      <w:sz w:val="20"/>
                    </w:rPr>
                  </w:pPr>
                  <w:r w:rsidRPr="00134EBF">
                    <w:rPr>
                      <w:sz w:val="20"/>
                    </w:rPr>
                    <w:t>•</w:t>
                  </w:r>
                  <w:r w:rsidR="00856FE0" w:rsidRPr="00134EBF">
                    <w:rPr>
                      <w:sz w:val="20"/>
                    </w:rPr>
                    <w:t xml:space="preserve"> </w:t>
                  </w:r>
                  <w:r w:rsidRPr="00134EBF">
                    <w:rPr>
                      <w:sz w:val="20"/>
                    </w:rPr>
                    <w:t>1–</w:t>
                  </w:r>
                  <w:r w:rsidR="008C3EA7" w:rsidRPr="00134EBF">
                    <w:rPr>
                      <w:sz w:val="20"/>
                    </w:rPr>
                    <w:t>6</w:t>
                  </w:r>
                  <w:r w:rsidRPr="00134EBF">
                    <w:rPr>
                      <w:sz w:val="20"/>
                    </w:rPr>
                    <w:t xml:space="preserve"> balai – problema įvardyta, bet labai abstrakčiai; pateikti argumentai minimalūs, neparemti </w:t>
                  </w:r>
                  <w:r w:rsidRPr="008642AE">
                    <w:rPr>
                      <w:sz w:val="20"/>
                    </w:rPr>
                    <w:t>tyrimais ar duomenimis; tarptautinis aspektas neatskleistas.</w:t>
                  </w:r>
                </w:p>
                <w:p w:rsidR="009C6F12" w:rsidRDefault="00344764" w:rsidP="008225CC">
                  <w:pPr>
                    <w:jc w:val="both"/>
                    <w:rPr>
                      <w:sz w:val="20"/>
                    </w:rPr>
                  </w:pPr>
                  <w:r w:rsidRPr="008642AE">
                    <w:rPr>
                      <w:sz w:val="20"/>
                    </w:rPr>
                    <w:t>•</w:t>
                  </w:r>
                  <w:r w:rsidR="00856FE0" w:rsidRPr="008642AE">
                    <w:rPr>
                      <w:sz w:val="20"/>
                    </w:rPr>
                    <w:t xml:space="preserve"> </w:t>
                  </w:r>
                  <w:r w:rsidRPr="008642AE">
                    <w:rPr>
                      <w:sz w:val="20"/>
                    </w:rPr>
                    <w:t>0 balų – problema neapibrėžta arba visiškai nepagrįsta, nėra jokių duomenų ar tyrimų, kurie rodytų jos egzistavimą ar aktualumą, arba paraiška negali būti įvertinta pagal šį kriterijų, nes nepateikta pakankamai informacijos.</w:t>
                  </w:r>
                </w:p>
                <w:p w:rsidR="00487C28" w:rsidRPr="00134EBF" w:rsidRDefault="00487C28" w:rsidP="008225CC">
                  <w:pPr>
                    <w:jc w:val="both"/>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9C6F12" w:rsidRPr="008642AE" w:rsidRDefault="00134EBF" w:rsidP="730C137A">
                  <w:pPr>
                    <w:jc w:val="center"/>
                    <w:rPr>
                      <w:sz w:val="20"/>
                    </w:rPr>
                  </w:pPr>
                  <w:r w:rsidRPr="008642AE">
                    <w:rPr>
                      <w:sz w:val="20"/>
                    </w:rPr>
                    <w:t>30</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9C6F12" w:rsidRPr="00134EBF" w:rsidRDefault="009C6F12" w:rsidP="00C00132">
                  <w:pPr>
                    <w:jc w:val="center"/>
                    <w:rPr>
                      <w:b/>
                      <w:sz w:val="22"/>
                      <w:szCs w:val="22"/>
                    </w:rPr>
                  </w:pP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9C6F12" w:rsidRPr="00134EBF" w:rsidRDefault="009C6F12" w:rsidP="00C00132">
                  <w:pPr>
                    <w:jc w:val="center"/>
                    <w:rPr>
                      <w:b/>
                      <w:sz w:val="22"/>
                      <w:szCs w:val="22"/>
                    </w:rPr>
                  </w:pPr>
                </w:p>
              </w:tc>
            </w:tr>
            <w:tr w:rsidR="00C0013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BC2D87" w:rsidP="00C00132">
                  <w:pPr>
                    <w:jc w:val="center"/>
                    <w:rPr>
                      <w:sz w:val="20"/>
                    </w:rPr>
                  </w:pPr>
                  <w:r w:rsidRPr="008642AE">
                    <w:rPr>
                      <w:sz w:val="20"/>
                    </w:rPr>
                    <w:t>4</w:t>
                  </w:r>
                  <w:r w:rsidR="00C00132" w:rsidRPr="008642AE">
                    <w:rPr>
                      <w:sz w:val="20"/>
                    </w:rPr>
                    <w: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C00132" w:rsidP="00C00132">
                  <w:pPr>
                    <w:jc w:val="center"/>
                    <w:rPr>
                      <w:sz w:val="20"/>
                    </w:rPr>
                  </w:pPr>
                  <w:r w:rsidRPr="008642AE">
                    <w:rPr>
                      <w:sz w:val="20"/>
                    </w:rPr>
                    <w:t>Prioritetinis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C00132" w:rsidP="00C00132">
                  <w:pPr>
                    <w:jc w:val="both"/>
                    <w:rPr>
                      <w:rFonts w:eastAsia="Calibri"/>
                      <w:sz w:val="20"/>
                    </w:rPr>
                  </w:pPr>
                  <w:r w:rsidRPr="008642AE">
                    <w:rPr>
                      <w:rFonts w:eastAsia="Calibri"/>
                      <w:color w:val="000000" w:themeColor="text1"/>
                      <w:sz w:val="20"/>
                    </w:rPr>
                    <w:t>Numanomas projekto mokslinių rezultatų poveikis</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DB49F1" w:rsidRPr="008642AE" w:rsidRDefault="00DB49F1" w:rsidP="00DB49F1">
                  <w:pPr>
                    <w:jc w:val="both"/>
                    <w:rPr>
                      <w:bCs/>
                      <w:noProof/>
                      <w:sz w:val="20"/>
                    </w:rPr>
                  </w:pPr>
                  <w:r w:rsidRPr="008642AE">
                    <w:rPr>
                      <w:bCs/>
                      <w:noProof/>
                      <w:sz w:val="20"/>
                    </w:rPr>
                    <w:t>Pagal šį kriterijų vertinama ar projektas turi potencialą sukurti rezultatus, kurie yra susiję su konkrečiais sprendimais, galinčiais turėti teigiamą poveikį visuomenės socialinei, ekonominei ar kultūrinei raidai bei darnaus vystymosi tikslų įgyvendinimui, aiškiai dera su projekto tikslais ir uždaviniais bei MTI tikslais, ir kurie prisidėtų prie MTI paslaugų plėtros, turi numatytą realų rezultatų sklaidos planą mokslo bendruomenėje bei plačiojoje visuomenėje.</w:t>
                  </w:r>
                </w:p>
                <w:p w:rsidR="00281C50" w:rsidRDefault="00281C50" w:rsidP="00DB49F1">
                  <w:pPr>
                    <w:jc w:val="both"/>
                    <w:rPr>
                      <w:bCs/>
                      <w:noProof/>
                      <w:sz w:val="20"/>
                    </w:rPr>
                  </w:pPr>
                </w:p>
                <w:p w:rsidR="00DB49F1" w:rsidRDefault="00DB49F1" w:rsidP="00DB49F1">
                  <w:pPr>
                    <w:jc w:val="both"/>
                    <w:rPr>
                      <w:bCs/>
                      <w:noProof/>
                      <w:sz w:val="20"/>
                    </w:rPr>
                  </w:pPr>
                  <w:r w:rsidRPr="008642AE">
                    <w:rPr>
                      <w:bCs/>
                      <w:noProof/>
                      <w:sz w:val="20"/>
                    </w:rPr>
                    <w:t xml:space="preserve">Vertinant atsižvelgiama į projekto rezultatų aiškumą ir konkretumą, atliepiant MTI tikslus, numatomą poveikį MTI veiklos ir paslaugų plėtrai, poveikio mastą (nacionalinis, tarptautinis, tarpdisciplininis), sklaidos plano detalumą ir įgyvendinamumą (numatytos priemonės, tikslinės auditorijos, pasiekiamumo kanalai). </w:t>
                  </w:r>
                </w:p>
                <w:p w:rsidR="00281C50" w:rsidRPr="008642AE" w:rsidRDefault="00281C50" w:rsidP="00DB49F1">
                  <w:pPr>
                    <w:jc w:val="both"/>
                    <w:rPr>
                      <w:bCs/>
                      <w:noProof/>
                      <w:sz w:val="20"/>
                    </w:rPr>
                  </w:pPr>
                </w:p>
                <w:p w:rsidR="00DB49F1" w:rsidRPr="008642AE" w:rsidRDefault="00DB49F1" w:rsidP="00DB49F1">
                  <w:pPr>
                    <w:jc w:val="both"/>
                    <w:rPr>
                      <w:bCs/>
                      <w:noProof/>
                      <w:sz w:val="20"/>
                    </w:rPr>
                  </w:pPr>
                  <w:r w:rsidRPr="008642AE">
                    <w:rPr>
                      <w:bCs/>
                      <w:noProof/>
                      <w:sz w:val="20"/>
                    </w:rPr>
                    <w:t>Vertinama pagal pateiktą projekto įgyvendinimo plano informaciją.</w:t>
                  </w:r>
                </w:p>
                <w:p w:rsidR="00DB49F1" w:rsidRPr="008642AE" w:rsidRDefault="00DB49F1" w:rsidP="00DB49F1">
                  <w:pPr>
                    <w:jc w:val="both"/>
                    <w:rPr>
                      <w:bCs/>
                      <w:noProof/>
                      <w:sz w:val="20"/>
                    </w:rPr>
                  </w:pPr>
                  <w:r w:rsidRPr="008642AE">
                    <w:rPr>
                      <w:bCs/>
                      <w:noProof/>
                      <w:sz w:val="20"/>
                    </w:rPr>
                    <w:t>Balai suteikiami projektui už rezultatų aiškų apibrėžtumą ir pamatuojamumą, pagrįstą poveikį įrodymais ar analize, sklaidos veiklos konkretumą, nurodytas tikslinės auditorijos ir poveikio siekimo būdu. Aukščiausias balas skiriamas kai projekto rezultatai itin aiškūs, inovatyvūs ir strategiškai reikšmingi; poveikis pagrįstas daugialypiais įrodymais, numatyti rezultatai turi potencialą būti taikomi tarptautiniu mastu ar prisidėti politikos ar verslo sprendimų; sklaidos planas aiškus, su konkrečiais tikslais, auditorijomis kanalais ir aiškiu įgyvendinamumu.</w:t>
                  </w:r>
                </w:p>
                <w:p w:rsidR="00DB49F1" w:rsidRPr="00487C28" w:rsidRDefault="00DB49F1" w:rsidP="00DB49F1">
                  <w:pPr>
                    <w:jc w:val="both"/>
                    <w:rPr>
                      <w:bCs/>
                      <w:noProof/>
                      <w:sz w:val="20"/>
                    </w:rPr>
                  </w:pPr>
                </w:p>
                <w:p w:rsidR="00C00132" w:rsidRPr="00487C28" w:rsidRDefault="00C00132" w:rsidP="00DB49F1">
                  <w:pPr>
                    <w:jc w:val="both"/>
                    <w:rPr>
                      <w:bCs/>
                      <w:noProof/>
                      <w:sz w:val="20"/>
                    </w:rPr>
                  </w:pPr>
                  <w:r w:rsidRPr="00487C28">
                    <w:rPr>
                      <w:bCs/>
                      <w:noProof/>
                      <w:sz w:val="20"/>
                    </w:rPr>
                    <w:t xml:space="preserve">Vertinama skalėje nuo </w:t>
                  </w:r>
                  <w:r w:rsidR="003820EE" w:rsidRPr="00487C28">
                    <w:rPr>
                      <w:bCs/>
                      <w:noProof/>
                      <w:sz w:val="20"/>
                    </w:rPr>
                    <w:t>2</w:t>
                  </w:r>
                  <w:r w:rsidRPr="00487C28">
                    <w:rPr>
                      <w:bCs/>
                      <w:noProof/>
                      <w:sz w:val="20"/>
                    </w:rPr>
                    <w:t>0 iki 0 balų, kur:</w:t>
                  </w:r>
                  <w:r w:rsidR="0079755B" w:rsidRPr="00487C28">
                    <w:rPr>
                      <w:bCs/>
                      <w:noProof/>
                      <w:sz w:val="20"/>
                    </w:rPr>
                    <w:t xml:space="preserve"> </w:t>
                  </w:r>
                </w:p>
                <w:p w:rsidR="0079755B" w:rsidRPr="00487C28" w:rsidRDefault="0079755B" w:rsidP="0079755B">
                  <w:pPr>
                    <w:jc w:val="both"/>
                    <w:rPr>
                      <w:bCs/>
                      <w:noProof/>
                      <w:sz w:val="20"/>
                    </w:rPr>
                  </w:pPr>
                  <w:r w:rsidRPr="00487C28">
                    <w:rPr>
                      <w:bCs/>
                      <w:noProof/>
                      <w:sz w:val="20"/>
                    </w:rPr>
                    <w:t xml:space="preserve">• </w:t>
                  </w:r>
                  <w:r w:rsidR="003820EE" w:rsidRPr="00487C28">
                    <w:rPr>
                      <w:bCs/>
                      <w:noProof/>
                      <w:sz w:val="20"/>
                    </w:rPr>
                    <w:t>17</w:t>
                  </w:r>
                  <w:r w:rsidRPr="00487C28">
                    <w:rPr>
                      <w:bCs/>
                      <w:noProof/>
                      <w:sz w:val="20"/>
                    </w:rPr>
                    <w:t>–</w:t>
                  </w:r>
                  <w:r w:rsidR="003820EE" w:rsidRPr="00487C28">
                    <w:rPr>
                      <w:bCs/>
                      <w:noProof/>
                      <w:sz w:val="20"/>
                    </w:rPr>
                    <w:t>2</w:t>
                  </w:r>
                  <w:r w:rsidRPr="00487C28">
                    <w:rPr>
                      <w:bCs/>
                      <w:noProof/>
                      <w:sz w:val="20"/>
                    </w:rPr>
                    <w:t>0 balų – projekto rezultatai itin aiškūs, inovatyvūs ir strategiškai reikšmingi; poveikis pagrįstas daugialypiais įrodymais, numatyti rezultatai turi potencialą būti taikomi tarptautiniu mastu ar prisidėti prie politikos/verslo sprendimų; sklaidos planas išsamus, su konkrečiais tikslais, auditorijomis, kanalais ir aiškiu įgyvendinamumu.</w:t>
                  </w:r>
                </w:p>
                <w:p w:rsidR="0079755B" w:rsidRPr="008642AE" w:rsidRDefault="0079755B" w:rsidP="0079755B">
                  <w:pPr>
                    <w:jc w:val="both"/>
                    <w:rPr>
                      <w:bCs/>
                      <w:noProof/>
                      <w:sz w:val="20"/>
                    </w:rPr>
                  </w:pPr>
                  <w:r w:rsidRPr="00487C28">
                    <w:rPr>
                      <w:bCs/>
                      <w:noProof/>
                      <w:sz w:val="20"/>
                    </w:rPr>
                    <w:t>•</w:t>
                  </w:r>
                  <w:r w:rsidR="00BB3E39" w:rsidRPr="00487C28">
                    <w:rPr>
                      <w:bCs/>
                      <w:noProof/>
                      <w:sz w:val="20"/>
                    </w:rPr>
                    <w:t xml:space="preserve"> </w:t>
                  </w:r>
                  <w:r w:rsidR="003820EE" w:rsidRPr="00487C28">
                    <w:rPr>
                      <w:bCs/>
                      <w:noProof/>
                      <w:sz w:val="20"/>
                    </w:rPr>
                    <w:t>13</w:t>
                  </w:r>
                  <w:r w:rsidRPr="00487C28">
                    <w:rPr>
                      <w:bCs/>
                      <w:noProof/>
                      <w:sz w:val="20"/>
                    </w:rPr>
                    <w:t>–</w:t>
                  </w:r>
                  <w:r w:rsidR="003820EE" w:rsidRPr="00487C28">
                    <w:rPr>
                      <w:bCs/>
                      <w:noProof/>
                      <w:sz w:val="20"/>
                    </w:rPr>
                    <w:t>16</w:t>
                  </w:r>
                  <w:r w:rsidRPr="00487C28">
                    <w:rPr>
                      <w:bCs/>
                      <w:noProof/>
                      <w:sz w:val="20"/>
                    </w:rPr>
                    <w:t xml:space="preserve"> bal</w:t>
                  </w:r>
                  <w:r w:rsidR="003820EE" w:rsidRPr="00487C28">
                    <w:rPr>
                      <w:bCs/>
                      <w:noProof/>
                      <w:sz w:val="20"/>
                    </w:rPr>
                    <w:t>ų</w:t>
                  </w:r>
                  <w:r w:rsidRPr="00487C28">
                    <w:rPr>
                      <w:bCs/>
                      <w:noProof/>
                      <w:sz w:val="20"/>
                    </w:rPr>
                    <w:t xml:space="preserve"> – rezultatai </w:t>
                  </w:r>
                  <w:r w:rsidRPr="008642AE">
                    <w:rPr>
                      <w:bCs/>
                      <w:noProof/>
                      <w:sz w:val="20"/>
                    </w:rPr>
                    <w:t>aiškūs, pamatuojami, numatytas poveikis tiek nacionaliniu, tiek tarptautiniu mastu; poveikis pagrįstas įrodymais ar analize; sklaidos planas detalus, apima tiek mokslo bendruomenę, tiek plačiąją visuomenę, numatyti konkretūs kanalai ir priemonės.</w:t>
                  </w:r>
                </w:p>
                <w:p w:rsidR="0079755B" w:rsidRPr="00487C28" w:rsidRDefault="0079755B" w:rsidP="0079755B">
                  <w:pPr>
                    <w:jc w:val="both"/>
                    <w:rPr>
                      <w:bCs/>
                      <w:noProof/>
                      <w:sz w:val="20"/>
                    </w:rPr>
                  </w:pPr>
                  <w:r w:rsidRPr="00487C28">
                    <w:rPr>
                      <w:bCs/>
                      <w:noProof/>
                      <w:sz w:val="20"/>
                    </w:rPr>
                    <w:t>•</w:t>
                  </w:r>
                  <w:r w:rsidR="00BB3E39" w:rsidRPr="00487C28">
                    <w:rPr>
                      <w:bCs/>
                      <w:noProof/>
                      <w:sz w:val="20"/>
                    </w:rPr>
                    <w:t xml:space="preserve"> </w:t>
                  </w:r>
                  <w:r w:rsidR="003820EE" w:rsidRPr="00487C28">
                    <w:rPr>
                      <w:bCs/>
                      <w:noProof/>
                      <w:sz w:val="20"/>
                    </w:rPr>
                    <w:t>9</w:t>
                  </w:r>
                  <w:r w:rsidRPr="00487C28">
                    <w:rPr>
                      <w:bCs/>
                      <w:noProof/>
                      <w:sz w:val="20"/>
                    </w:rPr>
                    <w:t>–</w:t>
                  </w:r>
                  <w:r w:rsidR="003820EE" w:rsidRPr="00487C28">
                    <w:rPr>
                      <w:bCs/>
                      <w:noProof/>
                      <w:sz w:val="20"/>
                    </w:rPr>
                    <w:t>12</w:t>
                  </w:r>
                  <w:r w:rsidRPr="00487C28">
                    <w:rPr>
                      <w:bCs/>
                      <w:noProof/>
                      <w:sz w:val="20"/>
                    </w:rPr>
                    <w:t xml:space="preserve"> bal</w:t>
                  </w:r>
                  <w:r w:rsidR="003820EE" w:rsidRPr="00487C28">
                    <w:rPr>
                      <w:bCs/>
                      <w:noProof/>
                      <w:sz w:val="20"/>
                    </w:rPr>
                    <w:t>ų</w:t>
                  </w:r>
                  <w:r w:rsidRPr="00487C28">
                    <w:rPr>
                      <w:bCs/>
                      <w:noProof/>
                      <w:sz w:val="20"/>
                    </w:rPr>
                    <w:t xml:space="preserve"> – rezultatai apibrėžti ir siejasi su projekto tikslais; poveikis pagrįstas nacionaliniu mastu, yra nuorodų į tarptautinį ar tarpdisciplininį kontekstą, bet jos fragmentiškos; sklaidos planas numatytas, bet ribotos aprėpties.</w:t>
                  </w:r>
                </w:p>
                <w:p w:rsidR="0079755B" w:rsidRPr="00487C28" w:rsidRDefault="0079755B" w:rsidP="0079755B">
                  <w:pPr>
                    <w:jc w:val="both"/>
                    <w:rPr>
                      <w:bCs/>
                      <w:noProof/>
                      <w:sz w:val="20"/>
                    </w:rPr>
                  </w:pPr>
                  <w:r w:rsidRPr="00487C28">
                    <w:rPr>
                      <w:bCs/>
                      <w:noProof/>
                      <w:sz w:val="20"/>
                    </w:rPr>
                    <w:t>•</w:t>
                  </w:r>
                  <w:r w:rsidR="00BB3E39" w:rsidRPr="00487C28">
                    <w:rPr>
                      <w:bCs/>
                      <w:noProof/>
                      <w:sz w:val="20"/>
                    </w:rPr>
                    <w:t xml:space="preserve"> </w:t>
                  </w:r>
                  <w:r w:rsidR="003820EE" w:rsidRPr="00487C28">
                    <w:rPr>
                      <w:bCs/>
                      <w:noProof/>
                      <w:sz w:val="20"/>
                    </w:rPr>
                    <w:t>5</w:t>
                  </w:r>
                  <w:r w:rsidRPr="00487C28">
                    <w:rPr>
                      <w:bCs/>
                      <w:noProof/>
                      <w:sz w:val="20"/>
                    </w:rPr>
                    <w:t>–</w:t>
                  </w:r>
                  <w:r w:rsidR="003820EE" w:rsidRPr="00487C28">
                    <w:rPr>
                      <w:bCs/>
                      <w:noProof/>
                      <w:sz w:val="20"/>
                    </w:rPr>
                    <w:t>8</w:t>
                  </w:r>
                  <w:r w:rsidRPr="00487C28">
                    <w:rPr>
                      <w:bCs/>
                      <w:noProof/>
                      <w:sz w:val="20"/>
                    </w:rPr>
                    <w:t xml:space="preserve"> balai – numatyti keli aiškūs rezultatai, bet poveikis daugiausia nacionalinis, ribotai pagrįstas; sklaidos planas bendro pobūdžio, tikslinės auditorijos neapibrėžtos.</w:t>
                  </w:r>
                </w:p>
                <w:p w:rsidR="0079755B" w:rsidRPr="008642AE" w:rsidRDefault="0079755B" w:rsidP="0079755B">
                  <w:pPr>
                    <w:jc w:val="both"/>
                    <w:rPr>
                      <w:bCs/>
                      <w:noProof/>
                      <w:sz w:val="20"/>
                    </w:rPr>
                  </w:pPr>
                  <w:r w:rsidRPr="00487C28">
                    <w:rPr>
                      <w:bCs/>
                      <w:noProof/>
                      <w:sz w:val="20"/>
                    </w:rPr>
                    <w:t>•</w:t>
                  </w:r>
                  <w:r w:rsidR="00367066" w:rsidRPr="00487C28">
                    <w:rPr>
                      <w:bCs/>
                      <w:noProof/>
                      <w:sz w:val="20"/>
                    </w:rPr>
                    <w:t xml:space="preserve"> </w:t>
                  </w:r>
                  <w:r w:rsidRPr="00487C28">
                    <w:rPr>
                      <w:bCs/>
                      <w:noProof/>
                      <w:sz w:val="20"/>
                    </w:rPr>
                    <w:t>1–</w:t>
                  </w:r>
                  <w:r w:rsidR="003820EE" w:rsidRPr="00487C28">
                    <w:rPr>
                      <w:bCs/>
                      <w:noProof/>
                      <w:sz w:val="20"/>
                    </w:rPr>
                    <w:t>4</w:t>
                  </w:r>
                  <w:r w:rsidRPr="00487C28">
                    <w:rPr>
                      <w:bCs/>
                      <w:noProof/>
                      <w:sz w:val="20"/>
                    </w:rPr>
                    <w:t xml:space="preserve"> balai – </w:t>
                  </w:r>
                  <w:r w:rsidRPr="008642AE">
                    <w:rPr>
                      <w:bCs/>
                      <w:noProof/>
                      <w:sz w:val="20"/>
                    </w:rPr>
                    <w:t>rezultatai įvardyti labai abstrakčiai; nėra aiškios sąsajos su visuomenės ar ekonominiais poreikiais; viešinimas numatytas tik formaliai, be konkrečių priemonių.</w:t>
                  </w:r>
                </w:p>
                <w:p w:rsidR="0079755B" w:rsidRPr="008642AE" w:rsidRDefault="0079755B" w:rsidP="0079755B">
                  <w:pPr>
                    <w:jc w:val="both"/>
                    <w:rPr>
                      <w:bCs/>
                      <w:noProof/>
                      <w:sz w:val="20"/>
                    </w:rPr>
                  </w:pPr>
                  <w:r w:rsidRPr="008642AE">
                    <w:rPr>
                      <w:bCs/>
                      <w:noProof/>
                      <w:sz w:val="20"/>
                    </w:rPr>
                    <w:t>•</w:t>
                  </w:r>
                  <w:r w:rsidR="00367066" w:rsidRPr="008642AE">
                    <w:rPr>
                      <w:bCs/>
                      <w:noProof/>
                      <w:sz w:val="20"/>
                    </w:rPr>
                    <w:t xml:space="preserve"> </w:t>
                  </w:r>
                  <w:r w:rsidRPr="008642AE">
                    <w:rPr>
                      <w:bCs/>
                      <w:noProof/>
                      <w:sz w:val="20"/>
                    </w:rPr>
                    <w:t>0 balų – projekto rezultatai neapibrėžti arba visiškai nesusiję su visuomenės, mokslo ar darnaus vystymosi poreikiais; rezultatų viešinimas ir sklaida nenumatyti; paraiška negali būti įvertinta pagal šį kriterijų, nes nepateikta pakankamai informacijos.</w:t>
                  </w:r>
                </w:p>
                <w:p w:rsidR="00C00132" w:rsidRPr="008642AE" w:rsidRDefault="00C00132" w:rsidP="00B5536E">
                  <w:pPr>
                    <w:pStyle w:val="ListParagraph"/>
                    <w:tabs>
                      <w:tab w:val="left" w:pos="228"/>
                    </w:tabs>
                    <w:ind w:left="0"/>
                    <w:jc w:val="both"/>
                    <w:rPr>
                      <w:bCs/>
                      <w:noProof/>
                      <w:sz w:val="20"/>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8642AE" w:rsidRDefault="001A49EB" w:rsidP="00C00132">
                  <w:pPr>
                    <w:jc w:val="center"/>
                    <w:rPr>
                      <w:bCs/>
                      <w:sz w:val="20"/>
                    </w:rPr>
                  </w:pPr>
                  <w:r w:rsidRPr="008642AE">
                    <w:rPr>
                      <w:bCs/>
                      <w:sz w:val="20"/>
                    </w:rPr>
                    <w:t>2</w:t>
                  </w:r>
                  <w:r w:rsidR="00641E7C" w:rsidRPr="008642AE">
                    <w:rPr>
                      <w:bCs/>
                      <w:sz w:val="20"/>
                    </w:rPr>
                    <w:t>0</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C00132" w:rsidP="00C00132">
                  <w:pPr>
                    <w:jc w:val="center"/>
                    <w:rPr>
                      <w:b/>
                      <w:sz w:val="22"/>
                      <w:szCs w:val="22"/>
                    </w:rPr>
                  </w:pPr>
                  <w:r w:rsidRPr="00134EBF">
                    <w:rPr>
                      <w:b/>
                      <w:sz w:val="22"/>
                      <w:szCs w:val="22"/>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C00132" w:rsidP="00C00132">
                  <w:pPr>
                    <w:jc w:val="center"/>
                    <w:rPr>
                      <w:b/>
                      <w:sz w:val="22"/>
                      <w:szCs w:val="22"/>
                    </w:rPr>
                  </w:pPr>
                  <w:r w:rsidRPr="00134EBF">
                    <w:rPr>
                      <w:b/>
                      <w:sz w:val="22"/>
                      <w:szCs w:val="22"/>
                    </w:rPr>
                    <w:t>-</w:t>
                  </w:r>
                </w:p>
              </w:tc>
            </w:tr>
            <w:tr w:rsidR="00C0013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207294" w:rsidP="00C00132">
                  <w:pPr>
                    <w:jc w:val="center"/>
                    <w:rPr>
                      <w:sz w:val="20"/>
                    </w:rPr>
                  </w:pPr>
                  <w:r w:rsidRPr="008642AE">
                    <w:rPr>
                      <w:sz w:val="20"/>
                    </w:rPr>
                    <w:t>5</w:t>
                  </w:r>
                  <w:r w:rsidR="00C00132" w:rsidRPr="008642AE">
                    <w:rPr>
                      <w:sz w:val="20"/>
                    </w:rPr>
                    <w: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C00132" w:rsidP="00C00132">
                  <w:pPr>
                    <w:jc w:val="center"/>
                    <w:rPr>
                      <w:sz w:val="20"/>
                    </w:rPr>
                  </w:pPr>
                  <w:r w:rsidRPr="008642AE">
                    <w:rPr>
                      <w:sz w:val="20"/>
                    </w:rPr>
                    <w:t>Prioritetinis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C00132" w:rsidP="00C00132">
                  <w:pPr>
                    <w:jc w:val="both"/>
                    <w:rPr>
                      <w:rFonts w:eastAsia="Calibri"/>
                      <w:sz w:val="20"/>
                    </w:rPr>
                  </w:pPr>
                  <w:r w:rsidRPr="008642AE">
                    <w:rPr>
                      <w:rFonts w:eastAsia="Calibri"/>
                      <w:color w:val="000000" w:themeColor="text1"/>
                      <w:sz w:val="20"/>
                    </w:rPr>
                    <w:t>Numanomas projekto laukiamas indėlis į mokslo raidą</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29680E" w:rsidRDefault="0029680E" w:rsidP="0029680E">
                  <w:pPr>
                    <w:jc w:val="both"/>
                    <w:rPr>
                      <w:sz w:val="20"/>
                    </w:rPr>
                  </w:pPr>
                  <w:r w:rsidRPr="008642AE">
                    <w:rPr>
                      <w:sz w:val="20"/>
                    </w:rPr>
                    <w:t>Pagal šį kriterijų vertinama ar projekto rezultatai prisidės prie aktualių mokslo problemų ir klausimų sprendimo, kokia numatoma pažanga, palyginti su esama šios tematikos tyrimų būkle, taip pat vertinamas projekto rezultatų potencialas daryti reikšmingą postūmį bendradarbiavimui su tarptautinėmis MTI.</w:t>
                  </w:r>
                </w:p>
                <w:p w:rsidR="001E7D3B" w:rsidRPr="008642AE" w:rsidRDefault="001E7D3B" w:rsidP="0029680E">
                  <w:pPr>
                    <w:jc w:val="both"/>
                    <w:rPr>
                      <w:sz w:val="20"/>
                    </w:rPr>
                  </w:pPr>
                </w:p>
                <w:p w:rsidR="0029680E" w:rsidRPr="008642AE" w:rsidRDefault="0029680E" w:rsidP="0029680E">
                  <w:pPr>
                    <w:jc w:val="both"/>
                    <w:rPr>
                      <w:sz w:val="20"/>
                    </w:rPr>
                  </w:pPr>
                  <w:r w:rsidRPr="008642AE">
                    <w:rPr>
                      <w:sz w:val="20"/>
                    </w:rPr>
                    <w:t xml:space="preserve">Vertinant atsižvelgiama į mokslinių rezultatų naujumą ir indėlį į konkrečią mokslo sritį, projekto gebėjimą stiprinti tarptautinį bendradarbiavimą ir integraciją į tarptautines MTI. </w:t>
                  </w:r>
                </w:p>
                <w:p w:rsidR="0029680E" w:rsidRPr="008642AE" w:rsidRDefault="0029680E" w:rsidP="0029680E">
                  <w:pPr>
                    <w:jc w:val="both"/>
                    <w:rPr>
                      <w:sz w:val="20"/>
                    </w:rPr>
                  </w:pPr>
                  <w:r w:rsidRPr="008642AE">
                    <w:rPr>
                      <w:sz w:val="20"/>
                    </w:rPr>
                    <w:t xml:space="preserve">Vertinama pagal pateiktą projekto įgyvendinimo plano informaciją. </w:t>
                  </w:r>
                </w:p>
                <w:p w:rsidR="0029680E" w:rsidRPr="008642AE" w:rsidRDefault="0029680E" w:rsidP="0029680E">
                  <w:pPr>
                    <w:jc w:val="both"/>
                    <w:rPr>
                      <w:sz w:val="20"/>
                    </w:rPr>
                  </w:pPr>
                  <w:r w:rsidRPr="008642AE">
                    <w:rPr>
                      <w:sz w:val="20"/>
                    </w:rPr>
                    <w:t>Balai suteikiami projektui už rezultatų aiškumą pagrįstumą ir pamatuojamumą, kai daro įtaką aktualių mokslo problemų sprendimui, atitinka tarptautinių MTI darbotvarkę arba yra reikšmingi jų tikslams. Aukščiausias balas bus suteikiamas kai rezultatai itin aiškūs, nauji ir strategiškai svarbūs mokslo raidai; reikšminga pažanga, deranti su tarptautinių MTI darbotvarkės tikslais; poveikis pamatuojamas ir potencialiai reikšmingas tarptautiniu mastu.</w:t>
                  </w:r>
                </w:p>
                <w:p w:rsidR="0029680E" w:rsidRPr="00487C28" w:rsidRDefault="0029680E" w:rsidP="0029680E">
                  <w:pPr>
                    <w:jc w:val="both"/>
                    <w:rPr>
                      <w:bCs/>
                      <w:noProof/>
                      <w:sz w:val="20"/>
                    </w:rPr>
                  </w:pPr>
                </w:p>
                <w:p w:rsidR="00D11330" w:rsidRPr="00487C28" w:rsidRDefault="00D11330" w:rsidP="0029680E">
                  <w:pPr>
                    <w:jc w:val="both"/>
                    <w:rPr>
                      <w:bCs/>
                      <w:noProof/>
                      <w:sz w:val="20"/>
                    </w:rPr>
                  </w:pPr>
                  <w:r w:rsidRPr="00487C28">
                    <w:rPr>
                      <w:bCs/>
                      <w:noProof/>
                      <w:sz w:val="20"/>
                    </w:rPr>
                    <w:t xml:space="preserve">Vertinama skalėje nuo </w:t>
                  </w:r>
                  <w:r w:rsidR="003820EE" w:rsidRPr="00487C28">
                    <w:rPr>
                      <w:bCs/>
                      <w:noProof/>
                      <w:sz w:val="20"/>
                    </w:rPr>
                    <w:t>2</w:t>
                  </w:r>
                  <w:r w:rsidRPr="00487C28">
                    <w:rPr>
                      <w:bCs/>
                      <w:noProof/>
                      <w:sz w:val="20"/>
                    </w:rPr>
                    <w:t>0 iki 0 balų, kur:</w:t>
                  </w:r>
                  <w:r w:rsidR="00C72783" w:rsidRPr="00487C28">
                    <w:rPr>
                      <w:bCs/>
                      <w:noProof/>
                      <w:sz w:val="20"/>
                    </w:rPr>
                    <w:t xml:space="preserve"> </w:t>
                  </w:r>
                </w:p>
                <w:p w:rsidR="00C72783" w:rsidRPr="008642AE" w:rsidRDefault="00C72783" w:rsidP="00C72783">
                  <w:pPr>
                    <w:jc w:val="both"/>
                    <w:rPr>
                      <w:bCs/>
                      <w:noProof/>
                      <w:sz w:val="20"/>
                    </w:rPr>
                  </w:pPr>
                  <w:r w:rsidRPr="00487C28">
                    <w:rPr>
                      <w:bCs/>
                      <w:noProof/>
                      <w:sz w:val="20"/>
                    </w:rPr>
                    <w:t xml:space="preserve">• </w:t>
                  </w:r>
                  <w:r w:rsidR="003820EE" w:rsidRPr="00487C28">
                    <w:rPr>
                      <w:bCs/>
                      <w:noProof/>
                      <w:sz w:val="20"/>
                    </w:rPr>
                    <w:t>17</w:t>
                  </w:r>
                  <w:r w:rsidRPr="00487C28">
                    <w:rPr>
                      <w:bCs/>
                      <w:noProof/>
                      <w:sz w:val="20"/>
                    </w:rPr>
                    <w:t>–</w:t>
                  </w:r>
                  <w:r w:rsidR="003820EE" w:rsidRPr="00487C28">
                    <w:rPr>
                      <w:bCs/>
                      <w:noProof/>
                      <w:sz w:val="20"/>
                    </w:rPr>
                    <w:t>2</w:t>
                  </w:r>
                  <w:r w:rsidRPr="00487C28">
                    <w:rPr>
                      <w:bCs/>
                      <w:noProof/>
                      <w:sz w:val="20"/>
                    </w:rPr>
                    <w:t xml:space="preserve">0 balų – rezultatai itin aiškūs, nauji ir strategiškai svarbūs mokslo raidai; reikšminga </w:t>
                  </w:r>
                  <w:r w:rsidRPr="008642AE">
                    <w:rPr>
                      <w:bCs/>
                      <w:noProof/>
                      <w:sz w:val="20"/>
                    </w:rPr>
                    <w:t>pažanga, deranti su tarptautinių MTI darbotvarkės tikslais; poveikis pamatuojamas ir potencialiai reikšmingas tarptautiniu mastu.</w:t>
                  </w:r>
                </w:p>
                <w:p w:rsidR="00C72783" w:rsidRPr="00487C28" w:rsidRDefault="00C72783" w:rsidP="00C72783">
                  <w:pPr>
                    <w:jc w:val="both"/>
                    <w:rPr>
                      <w:bCs/>
                      <w:noProof/>
                      <w:sz w:val="20"/>
                    </w:rPr>
                  </w:pPr>
                  <w:r w:rsidRPr="00487C28">
                    <w:rPr>
                      <w:bCs/>
                      <w:noProof/>
                      <w:sz w:val="20"/>
                    </w:rPr>
                    <w:t>•</w:t>
                  </w:r>
                  <w:r w:rsidR="00A230BD">
                    <w:rPr>
                      <w:bCs/>
                      <w:noProof/>
                      <w:sz w:val="20"/>
                    </w:rPr>
                    <w:t xml:space="preserve"> </w:t>
                  </w:r>
                  <w:r w:rsidR="00713FF9" w:rsidRPr="00487C28">
                    <w:rPr>
                      <w:bCs/>
                      <w:noProof/>
                      <w:sz w:val="20"/>
                    </w:rPr>
                    <w:t>13</w:t>
                  </w:r>
                  <w:r w:rsidRPr="00487C28">
                    <w:rPr>
                      <w:bCs/>
                      <w:noProof/>
                      <w:sz w:val="20"/>
                    </w:rPr>
                    <w:t>–</w:t>
                  </w:r>
                  <w:r w:rsidR="00713FF9" w:rsidRPr="00487C28">
                    <w:rPr>
                      <w:bCs/>
                      <w:noProof/>
                      <w:sz w:val="20"/>
                    </w:rPr>
                    <w:t>16</w:t>
                  </w:r>
                  <w:r w:rsidRPr="00487C28">
                    <w:rPr>
                      <w:bCs/>
                      <w:noProof/>
                      <w:sz w:val="20"/>
                    </w:rPr>
                    <w:t xml:space="preserve"> bal</w:t>
                  </w:r>
                  <w:r w:rsidR="00713FF9" w:rsidRPr="00487C28">
                    <w:rPr>
                      <w:bCs/>
                      <w:noProof/>
                      <w:sz w:val="20"/>
                    </w:rPr>
                    <w:t>ų</w:t>
                  </w:r>
                  <w:r w:rsidRPr="00487C28">
                    <w:rPr>
                      <w:bCs/>
                      <w:noProof/>
                      <w:sz w:val="20"/>
                    </w:rPr>
                    <w:t xml:space="preserve"> – rezultatai aiškūs, pamatuojami, planuojama reikšminga pažanga; gerai dera su tarptautinių MTI darbotvarkės prioritetais; poveikis nacionaliniu ir tarptautiniu mastu pamatuojamas.</w:t>
                  </w:r>
                </w:p>
                <w:p w:rsidR="00C72783" w:rsidRPr="00487C28" w:rsidRDefault="00C72783" w:rsidP="00C72783">
                  <w:pPr>
                    <w:jc w:val="both"/>
                    <w:rPr>
                      <w:bCs/>
                      <w:noProof/>
                      <w:sz w:val="20"/>
                    </w:rPr>
                  </w:pPr>
                  <w:r w:rsidRPr="00487C28">
                    <w:rPr>
                      <w:bCs/>
                      <w:noProof/>
                      <w:sz w:val="20"/>
                    </w:rPr>
                    <w:t xml:space="preserve">• </w:t>
                  </w:r>
                  <w:r w:rsidR="00713FF9" w:rsidRPr="00487C28">
                    <w:rPr>
                      <w:bCs/>
                      <w:noProof/>
                      <w:sz w:val="20"/>
                    </w:rPr>
                    <w:t>9</w:t>
                  </w:r>
                  <w:r w:rsidRPr="00487C28">
                    <w:rPr>
                      <w:bCs/>
                      <w:noProof/>
                      <w:sz w:val="20"/>
                    </w:rPr>
                    <w:t>–</w:t>
                  </w:r>
                  <w:r w:rsidR="00713FF9" w:rsidRPr="00487C28">
                    <w:rPr>
                      <w:bCs/>
                      <w:noProof/>
                      <w:sz w:val="20"/>
                    </w:rPr>
                    <w:t>12</w:t>
                  </w:r>
                  <w:r w:rsidRPr="00487C28">
                    <w:rPr>
                      <w:bCs/>
                      <w:noProof/>
                      <w:sz w:val="20"/>
                    </w:rPr>
                    <w:t xml:space="preserve"> bal</w:t>
                  </w:r>
                  <w:r w:rsidR="00713FF9" w:rsidRPr="00487C28">
                    <w:rPr>
                      <w:bCs/>
                      <w:noProof/>
                      <w:sz w:val="20"/>
                    </w:rPr>
                    <w:t>ų</w:t>
                  </w:r>
                  <w:r w:rsidRPr="00487C28">
                    <w:rPr>
                      <w:bCs/>
                      <w:noProof/>
                      <w:sz w:val="20"/>
                    </w:rPr>
                    <w:t xml:space="preserve"> – rezultatai aiškesni, pamatuojami, tikėtina pažanga mokslo srityje; dalinai derinami su tarptautinių MTI darbotvarke; poveikis nacionaliniu ar tarptautiniu mastu ribotas.</w:t>
                  </w:r>
                </w:p>
                <w:p w:rsidR="00C72783" w:rsidRPr="00487C28" w:rsidRDefault="00C72783" w:rsidP="00C72783">
                  <w:pPr>
                    <w:jc w:val="both"/>
                    <w:rPr>
                      <w:bCs/>
                      <w:noProof/>
                      <w:sz w:val="20"/>
                    </w:rPr>
                  </w:pPr>
                  <w:r w:rsidRPr="00487C28">
                    <w:rPr>
                      <w:bCs/>
                      <w:noProof/>
                      <w:sz w:val="20"/>
                    </w:rPr>
                    <w:t xml:space="preserve">• </w:t>
                  </w:r>
                  <w:r w:rsidR="00713FF9" w:rsidRPr="00487C28">
                    <w:rPr>
                      <w:bCs/>
                      <w:noProof/>
                      <w:sz w:val="20"/>
                    </w:rPr>
                    <w:t>5</w:t>
                  </w:r>
                  <w:r w:rsidRPr="00487C28">
                    <w:rPr>
                      <w:bCs/>
                      <w:noProof/>
                      <w:sz w:val="20"/>
                    </w:rPr>
                    <w:t>–</w:t>
                  </w:r>
                  <w:r w:rsidR="00713FF9" w:rsidRPr="00487C28">
                    <w:rPr>
                      <w:bCs/>
                      <w:noProof/>
                      <w:sz w:val="20"/>
                    </w:rPr>
                    <w:t>8</w:t>
                  </w:r>
                  <w:r w:rsidRPr="00487C28">
                    <w:rPr>
                      <w:bCs/>
                      <w:noProof/>
                      <w:sz w:val="20"/>
                    </w:rPr>
                    <w:t xml:space="preserve"> balai – projekto rezultatai apibrėžti tik iš dalies, jų poveikis daugiausia nacionalinis; naujovių potencialas ribotas; tik dalinai atitinka tarptautinių MTI prioritetus.</w:t>
                  </w:r>
                </w:p>
                <w:p w:rsidR="00C72783" w:rsidRPr="00487C28" w:rsidRDefault="00C72783" w:rsidP="00C72783">
                  <w:pPr>
                    <w:jc w:val="both"/>
                    <w:rPr>
                      <w:bCs/>
                      <w:noProof/>
                      <w:sz w:val="20"/>
                    </w:rPr>
                  </w:pPr>
                  <w:r w:rsidRPr="00487C28">
                    <w:rPr>
                      <w:bCs/>
                      <w:noProof/>
                      <w:sz w:val="20"/>
                    </w:rPr>
                    <w:t>• 1–</w:t>
                  </w:r>
                  <w:r w:rsidR="00713FF9" w:rsidRPr="00487C28">
                    <w:rPr>
                      <w:bCs/>
                      <w:noProof/>
                      <w:sz w:val="20"/>
                    </w:rPr>
                    <w:t>4</w:t>
                  </w:r>
                  <w:r w:rsidRPr="00487C28">
                    <w:rPr>
                      <w:bCs/>
                      <w:noProof/>
                      <w:sz w:val="20"/>
                    </w:rPr>
                    <w:t xml:space="preserve"> balai – minimalus indėlis, rezultatai fragmentiški arba labai riboti; naujovių potencialas abejotinas; nesieja su tarptautinės MTI darbotvarke.</w:t>
                  </w:r>
                </w:p>
                <w:p w:rsidR="00C72783" w:rsidRPr="008642AE" w:rsidRDefault="00C72783" w:rsidP="00C72783">
                  <w:pPr>
                    <w:jc w:val="both"/>
                    <w:rPr>
                      <w:bCs/>
                      <w:noProof/>
                      <w:sz w:val="20"/>
                    </w:rPr>
                  </w:pPr>
                  <w:r w:rsidRPr="008642AE">
                    <w:rPr>
                      <w:bCs/>
                      <w:noProof/>
                      <w:sz w:val="20"/>
                    </w:rPr>
                    <w:t>• 0 balų – projekto rezultatai neapibrėžti arba visiškai nesusiję su aktualiomis mokslo problemomis; nėra įrodymų apie jų naujumą ar poveikį; paraiška negali būti įvertinta pagal šį kriterijų, nes nepateikta pakankamai informacijos.</w:t>
                  </w:r>
                </w:p>
                <w:p w:rsidR="00C00132" w:rsidRPr="008642AE" w:rsidRDefault="00C00132" w:rsidP="007E4367">
                  <w:pPr>
                    <w:pStyle w:val="ListParagraph"/>
                    <w:tabs>
                      <w:tab w:val="left" w:pos="264"/>
                    </w:tabs>
                    <w:ind w:left="0"/>
                    <w:jc w:val="both"/>
                    <w:rPr>
                      <w:bCs/>
                      <w:noProof/>
                      <w:sz w:val="20"/>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8642AE" w:rsidRDefault="001A49EB" w:rsidP="00C00132">
                  <w:pPr>
                    <w:jc w:val="center"/>
                    <w:rPr>
                      <w:bCs/>
                      <w:sz w:val="20"/>
                    </w:rPr>
                  </w:pPr>
                  <w:r w:rsidRPr="008642AE">
                    <w:rPr>
                      <w:bCs/>
                      <w:sz w:val="20"/>
                    </w:rPr>
                    <w:t>2</w:t>
                  </w:r>
                  <w:r w:rsidR="00641E7C" w:rsidRPr="008642AE">
                    <w:rPr>
                      <w:bCs/>
                      <w:sz w:val="20"/>
                    </w:rPr>
                    <w:t>0</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D11330" w:rsidP="00C00132">
                  <w:pPr>
                    <w:jc w:val="center"/>
                    <w:rPr>
                      <w:b/>
                      <w:sz w:val="22"/>
                      <w:szCs w:val="22"/>
                    </w:rPr>
                  </w:pPr>
                  <w:r w:rsidRPr="00134EBF">
                    <w:rPr>
                      <w:b/>
                      <w:sz w:val="22"/>
                      <w:szCs w:val="22"/>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D11330" w:rsidP="00C00132">
                  <w:pPr>
                    <w:jc w:val="center"/>
                    <w:rPr>
                      <w:b/>
                      <w:sz w:val="22"/>
                      <w:szCs w:val="22"/>
                    </w:rPr>
                  </w:pPr>
                  <w:r w:rsidRPr="00134EBF">
                    <w:rPr>
                      <w:b/>
                      <w:sz w:val="22"/>
                      <w:szCs w:val="22"/>
                    </w:rPr>
                    <w:t>-</w:t>
                  </w:r>
                </w:p>
              </w:tc>
            </w:tr>
            <w:tr w:rsidR="00C00132" w:rsidRPr="00134EBF" w:rsidTr="730C137A">
              <w:tc>
                <w:tcPr>
                  <w:tcW w:w="3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A24598" w:rsidP="00C00132">
                  <w:pPr>
                    <w:jc w:val="center"/>
                    <w:rPr>
                      <w:sz w:val="20"/>
                    </w:rPr>
                  </w:pPr>
                  <w:r w:rsidRPr="008642AE">
                    <w:rPr>
                      <w:sz w:val="20"/>
                    </w:rPr>
                    <w:t>6</w:t>
                  </w:r>
                  <w:r w:rsidR="00D11330" w:rsidRPr="008642AE">
                    <w:rPr>
                      <w:sz w:val="20"/>
                    </w:rPr>
                    <w:t>.</w:t>
                  </w:r>
                </w:p>
              </w:tc>
              <w:tc>
                <w:tcPr>
                  <w:tcW w:w="51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00D11330" w:rsidP="00C00132">
                  <w:pPr>
                    <w:jc w:val="center"/>
                    <w:rPr>
                      <w:sz w:val="20"/>
                    </w:rPr>
                  </w:pPr>
                  <w:r w:rsidRPr="008642AE">
                    <w:rPr>
                      <w:sz w:val="20"/>
                    </w:rPr>
                    <w:t>Prioritetinis</w:t>
                  </w:r>
                </w:p>
              </w:tc>
              <w:tc>
                <w:tcPr>
                  <w:tcW w:w="56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C00132" w:rsidRPr="008642AE" w:rsidRDefault="4EF79D96" w:rsidP="1FC5C962">
                  <w:pPr>
                    <w:jc w:val="both"/>
                    <w:rPr>
                      <w:rFonts w:eastAsia="Calibri"/>
                      <w:sz w:val="20"/>
                    </w:rPr>
                  </w:pPr>
                  <w:r w:rsidRPr="00134EBF">
                    <w:rPr>
                      <w:rFonts w:eastAsia="Calibri"/>
                      <w:sz w:val="20"/>
                    </w:rPr>
                    <w:t>Projekto vadovo ir tyrėjų grupės mokslinė kompetencija</w:t>
                  </w:r>
                </w:p>
              </w:tc>
              <w:tc>
                <w:tcPr>
                  <w:tcW w:w="18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rsidR="00A24598" w:rsidRDefault="00A24598" w:rsidP="730C137A">
                  <w:pPr>
                    <w:tabs>
                      <w:tab w:val="left" w:pos="264"/>
                    </w:tabs>
                    <w:jc w:val="both"/>
                    <w:rPr>
                      <w:sz w:val="20"/>
                    </w:rPr>
                  </w:pPr>
                  <w:r w:rsidRPr="00134EBF">
                    <w:rPr>
                      <w:sz w:val="20"/>
                    </w:rPr>
                    <w:t>Pagal šį kriterijų vertinama, ar projekto vadovas ir tyrėjų grupė turi tinkamą mokslinę kompetenciją ir patirtį, o projekto komanda tinkama sėkmingai įgyvendinti projekto tikslus.</w:t>
                  </w:r>
                </w:p>
                <w:p w:rsidR="001E7D3B" w:rsidRPr="00134EBF" w:rsidRDefault="001E7D3B" w:rsidP="730C137A">
                  <w:pPr>
                    <w:tabs>
                      <w:tab w:val="left" w:pos="264"/>
                    </w:tabs>
                    <w:jc w:val="both"/>
                    <w:rPr>
                      <w:sz w:val="20"/>
                    </w:rPr>
                  </w:pPr>
                </w:p>
                <w:p w:rsidR="00A24598" w:rsidRDefault="00A24598" w:rsidP="00A24598">
                  <w:pPr>
                    <w:tabs>
                      <w:tab w:val="left" w:pos="264"/>
                    </w:tabs>
                    <w:jc w:val="both"/>
                    <w:rPr>
                      <w:sz w:val="20"/>
                    </w:rPr>
                  </w:pPr>
                  <w:r w:rsidRPr="00134EBF">
                    <w:rPr>
                      <w:sz w:val="20"/>
                    </w:rPr>
                    <w:t>Vertinant vadovo kompetenciją atsižvelgiama į patirtį vadovaujant panašiems projektams, svarbiausius mokslo darbus, susijusius su projekto tematika, tarptautinį pripažinimą.</w:t>
                  </w:r>
                </w:p>
                <w:p w:rsidR="001E7D3B" w:rsidRPr="00134EBF" w:rsidRDefault="001E7D3B" w:rsidP="00A24598">
                  <w:pPr>
                    <w:tabs>
                      <w:tab w:val="left" w:pos="264"/>
                    </w:tabs>
                    <w:jc w:val="both"/>
                    <w:rPr>
                      <w:sz w:val="20"/>
                    </w:rPr>
                  </w:pPr>
                </w:p>
                <w:p w:rsidR="00A24598" w:rsidRDefault="00A24598" w:rsidP="00A24598">
                  <w:pPr>
                    <w:tabs>
                      <w:tab w:val="left" w:pos="264"/>
                    </w:tabs>
                    <w:jc w:val="both"/>
                    <w:rPr>
                      <w:sz w:val="20"/>
                    </w:rPr>
                  </w:pPr>
                  <w:r w:rsidRPr="00134EBF">
                    <w:rPr>
                      <w:sz w:val="20"/>
                    </w:rPr>
                    <w:t>Vertinant tyrėjų grupės kompetenciją atsižvelgiama į patirtį dalyvaujant panašiuose projektuose, svarbiausius mokslo darbus, susijusius su projekto tematika, tarptautinį pripažinimą.</w:t>
                  </w:r>
                </w:p>
                <w:p w:rsidR="001E7D3B" w:rsidRPr="00134EBF" w:rsidRDefault="001E7D3B" w:rsidP="00A24598">
                  <w:pPr>
                    <w:tabs>
                      <w:tab w:val="left" w:pos="264"/>
                    </w:tabs>
                    <w:jc w:val="both"/>
                    <w:rPr>
                      <w:sz w:val="20"/>
                    </w:rPr>
                  </w:pPr>
                </w:p>
                <w:p w:rsidR="00A24598" w:rsidRDefault="00A24598" w:rsidP="00A24598">
                  <w:pPr>
                    <w:tabs>
                      <w:tab w:val="left" w:pos="264"/>
                    </w:tabs>
                    <w:jc w:val="both"/>
                    <w:rPr>
                      <w:sz w:val="20"/>
                    </w:rPr>
                  </w:pPr>
                  <w:r w:rsidRPr="00134EBF">
                    <w:rPr>
                      <w:sz w:val="20"/>
                    </w:rPr>
                    <w:t>Vertinant komandos tinkamumą projektui atsižvelgiama į kompetencijų derinio atitikimą projekto tikslams ir uždaviniams, numatytos struktūros optimalumą, gebėjimus veiksmingai organizuoti ir įgyvendinti veiklas.</w:t>
                  </w:r>
                </w:p>
                <w:p w:rsidR="001E7D3B" w:rsidRPr="00134EBF" w:rsidRDefault="001E7D3B" w:rsidP="00A24598">
                  <w:pPr>
                    <w:tabs>
                      <w:tab w:val="left" w:pos="264"/>
                    </w:tabs>
                    <w:jc w:val="both"/>
                    <w:rPr>
                      <w:sz w:val="20"/>
                    </w:rPr>
                  </w:pPr>
                </w:p>
                <w:p w:rsidR="00A24598" w:rsidRDefault="00A24598" w:rsidP="00A24598">
                  <w:pPr>
                    <w:pStyle w:val="ListParagraph"/>
                    <w:tabs>
                      <w:tab w:val="left" w:pos="264"/>
                    </w:tabs>
                    <w:ind w:left="0"/>
                    <w:jc w:val="both"/>
                    <w:rPr>
                      <w:sz w:val="20"/>
                    </w:rPr>
                  </w:pPr>
                  <w:r w:rsidRPr="00134EBF">
                    <w:rPr>
                      <w:sz w:val="20"/>
                    </w:rPr>
                    <w:t>Vertinama pareiškėjo pateikta informacija užpildant Aprašo 3 priedą</w:t>
                  </w:r>
                  <w:r w:rsidR="7AB5F044" w:rsidRPr="00134EBF">
                    <w:rPr>
                      <w:sz w:val="20"/>
                    </w:rPr>
                    <w:t xml:space="preserve"> ir kita pareiškėjo pateikta informacija.</w:t>
                  </w:r>
                </w:p>
                <w:p w:rsidR="001E7D3B" w:rsidRPr="00134EBF" w:rsidRDefault="001E7D3B" w:rsidP="00A24598">
                  <w:pPr>
                    <w:pStyle w:val="ListParagraph"/>
                    <w:tabs>
                      <w:tab w:val="left" w:pos="264"/>
                    </w:tabs>
                    <w:ind w:left="0"/>
                    <w:jc w:val="both"/>
                    <w:rPr>
                      <w:sz w:val="20"/>
                    </w:rPr>
                  </w:pPr>
                </w:p>
                <w:p w:rsidR="00D91D4C" w:rsidRPr="00134EBF" w:rsidRDefault="00A24598" w:rsidP="00A24598">
                  <w:pPr>
                    <w:pStyle w:val="ListParagraph"/>
                    <w:tabs>
                      <w:tab w:val="left" w:pos="264"/>
                    </w:tabs>
                    <w:ind w:left="0"/>
                    <w:jc w:val="both"/>
                    <w:rPr>
                      <w:sz w:val="20"/>
                    </w:rPr>
                  </w:pPr>
                  <w:r w:rsidRPr="00134EBF">
                    <w:rPr>
                      <w:sz w:val="20"/>
                    </w:rPr>
                    <w:t>Balai suteikiami projektui kai vadovo ir tyrėjų grupės moksliniai rezultatai yra aktualūs, kokybiški ir pamatuojami, rezultatai rodo gebėjimą spręsti projektui aktualias mokslo problemas, komandos struktūra ir kompetencijų derinys užtikrina sėkmingą projekto tikslų įgyvendinimą. Aukščiausias balas suteikiamas kai vadovas yra pripažintas savo srities ekspertas, turintis sėkmingos vadovavimo panašiems projektams patirties; tyrėjų grupė sudaryta iš aukštą tarptautinį pripažinimą turinčių tyrėjų; jų svarbiausi mokslo darbai yra aktualūs, kokybiški ir tiesiogiai susiję su projekto tematika; komandos struktūra ir kompetencijų derinys optimalūs, užtikrinantys sėkmingą projekto tikslų įgyvendinimą</w:t>
                  </w:r>
                </w:p>
                <w:p w:rsidR="00A24598" w:rsidRPr="008642AE" w:rsidRDefault="00A24598" w:rsidP="00D91D4C">
                  <w:pPr>
                    <w:pStyle w:val="ListParagraph"/>
                    <w:tabs>
                      <w:tab w:val="left" w:pos="264"/>
                    </w:tabs>
                    <w:ind w:left="0"/>
                    <w:jc w:val="both"/>
                    <w:rPr>
                      <w:noProof/>
                      <w:sz w:val="20"/>
                    </w:rPr>
                  </w:pPr>
                </w:p>
                <w:p w:rsidR="5727AD43" w:rsidRPr="008642AE" w:rsidRDefault="5727AD43" w:rsidP="1FC5C962">
                  <w:pPr>
                    <w:jc w:val="both"/>
                    <w:rPr>
                      <w:sz w:val="20"/>
                    </w:rPr>
                  </w:pPr>
                  <w:r w:rsidRPr="008642AE">
                    <w:rPr>
                      <w:sz w:val="20"/>
                    </w:rPr>
                    <w:t xml:space="preserve">Vertinama skalėje nuo </w:t>
                  </w:r>
                  <w:r w:rsidR="00A06D95" w:rsidRPr="008642AE">
                    <w:rPr>
                      <w:sz w:val="20"/>
                    </w:rPr>
                    <w:t>3</w:t>
                  </w:r>
                  <w:r w:rsidRPr="008642AE">
                    <w:rPr>
                      <w:sz w:val="20"/>
                    </w:rPr>
                    <w:t>0 iki 0 balų, kur:</w:t>
                  </w:r>
                </w:p>
                <w:p w:rsidR="00D6250C" w:rsidRPr="00134EBF" w:rsidRDefault="00D6250C" w:rsidP="00F1472F">
                  <w:pPr>
                    <w:jc w:val="both"/>
                    <w:rPr>
                      <w:sz w:val="20"/>
                    </w:rPr>
                  </w:pPr>
                  <w:r w:rsidRPr="00134EBF">
                    <w:rPr>
                      <w:sz w:val="20"/>
                    </w:rPr>
                    <w:t xml:space="preserve">• </w:t>
                  </w:r>
                  <w:r w:rsidR="00A06D95" w:rsidRPr="00134EBF">
                    <w:rPr>
                      <w:sz w:val="20"/>
                    </w:rPr>
                    <w:t>25</w:t>
                  </w:r>
                  <w:r w:rsidRPr="00134EBF">
                    <w:rPr>
                      <w:sz w:val="20"/>
                    </w:rPr>
                    <w:t>–</w:t>
                  </w:r>
                  <w:r w:rsidR="00A06D95" w:rsidRPr="00134EBF">
                    <w:rPr>
                      <w:sz w:val="20"/>
                    </w:rPr>
                    <w:t>3</w:t>
                  </w:r>
                  <w:r w:rsidRPr="00134EBF">
                    <w:rPr>
                      <w:sz w:val="20"/>
                    </w:rPr>
                    <w:t>0 balų – vadovas yra pripažintas savo srities ekspertas, turintis sėkmingos vadovavimo panašiems projektams patirties; tyrėjų grupė sudaryta iš aukštą tarptautinį pripažinimą turinčių tyrėjų; jų svarbiausi mokslo darbai yra aktualūs, kokybiški ir tiesiogiai susiję su projekto tematika; komandos struktūra ir kompetencijų derinys optimalūs, užtikrinantys sėkmingą projekto tikslų įgyvendinimą.</w:t>
                  </w:r>
                </w:p>
                <w:p w:rsidR="00D6250C" w:rsidRPr="00134EBF" w:rsidRDefault="00D6250C" w:rsidP="00F1472F">
                  <w:pPr>
                    <w:jc w:val="both"/>
                    <w:rPr>
                      <w:sz w:val="20"/>
                    </w:rPr>
                  </w:pPr>
                  <w:r w:rsidRPr="00134EBF">
                    <w:rPr>
                      <w:sz w:val="20"/>
                    </w:rPr>
                    <w:t xml:space="preserve">• </w:t>
                  </w:r>
                  <w:r w:rsidR="00A75406" w:rsidRPr="00134EBF">
                    <w:rPr>
                      <w:sz w:val="20"/>
                    </w:rPr>
                    <w:t>1</w:t>
                  </w:r>
                  <w:r w:rsidR="00A06D95" w:rsidRPr="00134EBF">
                    <w:rPr>
                      <w:sz w:val="20"/>
                    </w:rPr>
                    <w:t>9</w:t>
                  </w:r>
                  <w:r w:rsidRPr="00134EBF">
                    <w:rPr>
                      <w:sz w:val="20"/>
                    </w:rPr>
                    <w:t>–</w:t>
                  </w:r>
                  <w:r w:rsidR="00A06D95" w:rsidRPr="00134EBF">
                    <w:rPr>
                      <w:sz w:val="20"/>
                    </w:rPr>
                    <w:t>24</w:t>
                  </w:r>
                  <w:r w:rsidRPr="00134EBF">
                    <w:rPr>
                      <w:sz w:val="20"/>
                    </w:rPr>
                    <w:t xml:space="preserve"> bal</w:t>
                  </w:r>
                  <w:r w:rsidR="00A75406" w:rsidRPr="00134EBF">
                    <w:rPr>
                      <w:sz w:val="20"/>
                    </w:rPr>
                    <w:t>ų</w:t>
                  </w:r>
                  <w:r w:rsidRPr="00134EBF">
                    <w:rPr>
                      <w:sz w:val="20"/>
                    </w:rPr>
                    <w:t xml:space="preserve"> – vadovas turi aiškią patirtį vadovaujant panašiems projektams ir pakankamą tarptautinį pripažinimą; tyrėjų grupė turi pakankamą ir įrodytą mokslinę patirtį atitinkamoje temoje; komandos struktūra ir kompetencijos iš esmės atitinka projekto tikslus.</w:t>
                  </w:r>
                </w:p>
                <w:p w:rsidR="00D6250C" w:rsidRPr="00134EBF" w:rsidRDefault="00D6250C" w:rsidP="00F1472F">
                  <w:pPr>
                    <w:jc w:val="both"/>
                    <w:rPr>
                      <w:sz w:val="20"/>
                    </w:rPr>
                  </w:pPr>
                  <w:r w:rsidRPr="00134EBF">
                    <w:rPr>
                      <w:sz w:val="20"/>
                    </w:rPr>
                    <w:t xml:space="preserve">• </w:t>
                  </w:r>
                  <w:r w:rsidR="00A06D95" w:rsidRPr="00134EBF">
                    <w:rPr>
                      <w:sz w:val="20"/>
                    </w:rPr>
                    <w:t>13</w:t>
                  </w:r>
                  <w:r w:rsidRPr="00134EBF">
                    <w:rPr>
                      <w:sz w:val="20"/>
                    </w:rPr>
                    <w:t>–</w:t>
                  </w:r>
                  <w:r w:rsidR="00A75406" w:rsidRPr="00134EBF">
                    <w:rPr>
                      <w:sz w:val="20"/>
                    </w:rPr>
                    <w:t>1</w:t>
                  </w:r>
                  <w:r w:rsidR="00A06D95" w:rsidRPr="00134EBF">
                    <w:rPr>
                      <w:sz w:val="20"/>
                    </w:rPr>
                    <w:t>8</w:t>
                  </w:r>
                  <w:r w:rsidRPr="00134EBF">
                    <w:rPr>
                      <w:sz w:val="20"/>
                    </w:rPr>
                    <w:t xml:space="preserve"> bal</w:t>
                  </w:r>
                  <w:r w:rsidR="00A75406" w:rsidRPr="00134EBF">
                    <w:rPr>
                      <w:sz w:val="20"/>
                    </w:rPr>
                    <w:t>ų</w:t>
                  </w:r>
                  <w:r w:rsidRPr="00134EBF">
                    <w:rPr>
                      <w:sz w:val="20"/>
                    </w:rPr>
                    <w:t xml:space="preserve"> – vadovas turi pakankamą patirtį vadovaujant panašiems projektams ir mokslo darbų, susijusių su projekto tematika; didesnė tyrėjų grupės dalis turi pakankamą ir įrodytą mokslinę patirtį atitinkamoje temoje; komandos struktūra ir kompetencijos leidžia vykdyti projektą; </w:t>
                  </w:r>
                </w:p>
                <w:p w:rsidR="00D6250C" w:rsidRPr="00134EBF" w:rsidRDefault="00D6250C" w:rsidP="00F1472F">
                  <w:pPr>
                    <w:jc w:val="both"/>
                    <w:rPr>
                      <w:sz w:val="20"/>
                    </w:rPr>
                  </w:pPr>
                  <w:r w:rsidRPr="00134EBF">
                    <w:rPr>
                      <w:b/>
                      <w:bCs/>
                      <w:sz w:val="20"/>
                    </w:rPr>
                    <w:t>•</w:t>
                  </w:r>
                  <w:r w:rsidR="00B824BA" w:rsidRPr="00134EBF">
                    <w:rPr>
                      <w:b/>
                      <w:bCs/>
                      <w:sz w:val="20"/>
                    </w:rPr>
                    <w:t xml:space="preserve"> </w:t>
                  </w:r>
                  <w:r w:rsidR="00A06D95" w:rsidRPr="008642AE">
                    <w:rPr>
                      <w:sz w:val="20"/>
                    </w:rPr>
                    <w:t>7</w:t>
                  </w:r>
                  <w:r w:rsidRPr="00134EBF">
                    <w:rPr>
                      <w:sz w:val="20"/>
                    </w:rPr>
                    <w:t>–</w:t>
                  </w:r>
                  <w:r w:rsidR="00A06D95" w:rsidRPr="00134EBF">
                    <w:rPr>
                      <w:sz w:val="20"/>
                    </w:rPr>
                    <w:t>12</w:t>
                  </w:r>
                  <w:r w:rsidRPr="00134EBF">
                    <w:rPr>
                      <w:sz w:val="20"/>
                    </w:rPr>
                    <w:t xml:space="preserve"> bal</w:t>
                  </w:r>
                  <w:r w:rsidR="00A06D95" w:rsidRPr="00134EBF">
                    <w:rPr>
                      <w:sz w:val="20"/>
                    </w:rPr>
                    <w:t>ų</w:t>
                  </w:r>
                  <w:r w:rsidRPr="00134EBF">
                    <w:rPr>
                      <w:sz w:val="20"/>
                    </w:rPr>
                    <w:t xml:space="preserve"> – vadovas ar grupė turi tik minimalią patirtį panašiuose projektuose; svarbiausi jų mokslo darbai ribotai susiję su tematika; tarptautinis pripažinimas menkas; komandos struktūroje esama spragų.</w:t>
                  </w:r>
                </w:p>
                <w:p w:rsidR="00D6250C" w:rsidRPr="00134EBF" w:rsidRDefault="00D6250C" w:rsidP="00F1472F">
                  <w:pPr>
                    <w:jc w:val="both"/>
                    <w:rPr>
                      <w:sz w:val="20"/>
                    </w:rPr>
                  </w:pPr>
                  <w:r w:rsidRPr="00134EBF">
                    <w:rPr>
                      <w:b/>
                      <w:bCs/>
                      <w:sz w:val="20"/>
                    </w:rPr>
                    <w:t xml:space="preserve">• </w:t>
                  </w:r>
                  <w:r w:rsidRPr="00134EBF">
                    <w:rPr>
                      <w:sz w:val="20"/>
                    </w:rPr>
                    <w:t>1–</w:t>
                  </w:r>
                  <w:r w:rsidR="00A06D95" w:rsidRPr="00134EBF">
                    <w:rPr>
                      <w:sz w:val="20"/>
                    </w:rPr>
                    <w:t>6</w:t>
                  </w:r>
                  <w:r w:rsidRPr="00134EBF">
                    <w:rPr>
                      <w:sz w:val="20"/>
                    </w:rPr>
                    <w:t xml:space="preserve"> balai – vadovo ir grupės kompetencija ribota; projekto vadovo ir grupės patirtis tik iš dalies susijusi su projekto tematika; komandos sudėtis ir gebėjimai akivaizdžiai nepakankami.</w:t>
                  </w:r>
                </w:p>
                <w:p w:rsidR="00157D4C" w:rsidRPr="008642AE" w:rsidRDefault="00B824BA" w:rsidP="00B5536E">
                  <w:pPr>
                    <w:jc w:val="both"/>
                    <w:rPr>
                      <w:noProof/>
                      <w:sz w:val="20"/>
                    </w:rPr>
                  </w:pPr>
                  <w:r w:rsidRPr="00134EBF">
                    <w:rPr>
                      <w:sz w:val="20"/>
                    </w:rPr>
                    <w:t>•</w:t>
                  </w:r>
                  <w:r w:rsidRPr="00134EBF">
                    <w:rPr>
                      <w:b/>
                      <w:bCs/>
                      <w:sz w:val="20"/>
                    </w:rPr>
                    <w:t xml:space="preserve"> </w:t>
                  </w:r>
                  <w:r w:rsidR="00D6250C" w:rsidRPr="00134EBF">
                    <w:rPr>
                      <w:sz w:val="20"/>
                    </w:rPr>
                    <w:t>0 balų – projekto vadovas ir tyrėjų grupė neturi reikiamos patirties ar kompetencijos; trūksta esminių gebėjimų projekto įgyvendinimui; komandos struktūra netinkama; paraiška negali būti įvertinta pagal šį kriterijų, nes nepateikta pakankamai informacijos.</w:t>
                  </w:r>
                </w:p>
                <w:p w:rsidR="003A15BF" w:rsidRPr="008642AE" w:rsidRDefault="003A15BF" w:rsidP="003C48A3">
                  <w:pPr>
                    <w:tabs>
                      <w:tab w:val="left" w:pos="252"/>
                    </w:tabs>
                    <w:jc w:val="both"/>
                    <w:rPr>
                      <w:bCs/>
                      <w:noProof/>
                      <w:sz w:val="20"/>
                    </w:rPr>
                  </w:pPr>
                </w:p>
              </w:tc>
              <w:tc>
                <w:tcPr>
                  <w:tcW w:w="43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8642AE" w:rsidRDefault="001A49EB" w:rsidP="00C00132">
                  <w:pPr>
                    <w:jc w:val="center"/>
                    <w:rPr>
                      <w:bCs/>
                      <w:sz w:val="20"/>
                    </w:rPr>
                  </w:pPr>
                  <w:r w:rsidRPr="008642AE">
                    <w:rPr>
                      <w:bCs/>
                      <w:sz w:val="20"/>
                    </w:rPr>
                    <w:t>3</w:t>
                  </w:r>
                  <w:r w:rsidR="000B418A" w:rsidRPr="008642AE">
                    <w:rPr>
                      <w:bCs/>
                      <w:sz w:val="20"/>
                    </w:rPr>
                    <w:t>0</w:t>
                  </w:r>
                </w:p>
              </w:tc>
              <w:tc>
                <w:tcPr>
                  <w:tcW w:w="44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D11330" w:rsidP="00C00132">
                  <w:pPr>
                    <w:jc w:val="center"/>
                    <w:rPr>
                      <w:b/>
                      <w:sz w:val="22"/>
                      <w:szCs w:val="22"/>
                    </w:rPr>
                  </w:pPr>
                  <w:r w:rsidRPr="00134EBF">
                    <w:rPr>
                      <w:b/>
                      <w:sz w:val="22"/>
                      <w:szCs w:val="22"/>
                    </w:rPr>
                    <w:t>-</w:t>
                  </w:r>
                </w:p>
              </w:tc>
              <w:tc>
                <w:tcPr>
                  <w:tcW w:w="84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C00132" w:rsidRPr="00134EBF" w:rsidRDefault="00D11330" w:rsidP="00C00132">
                  <w:pPr>
                    <w:jc w:val="center"/>
                    <w:rPr>
                      <w:b/>
                      <w:sz w:val="22"/>
                      <w:szCs w:val="22"/>
                    </w:rPr>
                  </w:pPr>
                  <w:r w:rsidRPr="00134EBF">
                    <w:rPr>
                      <w:b/>
                      <w:sz w:val="22"/>
                      <w:szCs w:val="22"/>
                    </w:rPr>
                    <w:t>-</w:t>
                  </w:r>
                </w:p>
              </w:tc>
            </w:tr>
          </w:tbl>
          <w:p w:rsidR="005231B8" w:rsidRPr="00F716F2" w:rsidRDefault="005231B8" w:rsidP="00E451BF">
            <w:pPr>
              <w:jc w:val="both"/>
              <w:rPr>
                <w:iCs/>
                <w:sz w:val="22"/>
                <w:szCs w:val="22"/>
              </w:rPr>
            </w:pPr>
          </w:p>
        </w:tc>
      </w:tr>
      <w:tr w:rsidR="00FE1515" w:rsidTr="730C137A">
        <w:trPr>
          <w:trHeight w:val="309"/>
        </w:trPr>
        <w:tc>
          <w:tcPr>
            <w:tcW w:w="15134" w:type="dxa"/>
          </w:tcPr>
          <w:p w:rsidR="00FE1515" w:rsidRPr="003B60AD" w:rsidRDefault="00FE1515" w:rsidP="003B60AD">
            <w:pPr>
              <w:pStyle w:val="ListParagraph"/>
              <w:numPr>
                <w:ilvl w:val="0"/>
                <w:numId w:val="28"/>
              </w:numPr>
              <w:tabs>
                <w:tab w:val="left" w:pos="459"/>
              </w:tabs>
              <w:ind w:left="0" w:firstLine="0"/>
              <w:jc w:val="both"/>
              <w:rPr>
                <w:bCs/>
                <w:i/>
                <w:szCs w:val="22"/>
              </w:rPr>
            </w:pPr>
            <w:r w:rsidRPr="003B60AD">
              <w:rPr>
                <w:b/>
                <w:szCs w:val="22"/>
              </w:rPr>
              <w:t>Jungtinio projekto projektų atrankos kriterijai (</w:t>
            </w:r>
            <w:r w:rsidRPr="003B60AD">
              <w:rPr>
                <w:b/>
                <w:i/>
                <w:szCs w:val="22"/>
              </w:rPr>
              <w:t>pildoma tik jungtiniam projektui)</w:t>
            </w:r>
          </w:p>
          <w:p w:rsidR="00FE1515" w:rsidRDefault="00FE1515" w:rsidP="003B60AD">
            <w:pPr>
              <w:tabs>
                <w:tab w:val="left" w:pos="459"/>
              </w:tabs>
              <w:jc w:val="both"/>
              <w:rPr>
                <w:i/>
                <w:sz w:val="22"/>
                <w:szCs w:val="22"/>
              </w:rPr>
            </w:pPr>
            <w:r>
              <w:t xml:space="preserve">(Kiekvienas jungtinio projekto projektas turi atitikti </w:t>
            </w:r>
            <w:r w:rsidR="00E378B7">
              <w:rPr>
                <w:iCs/>
                <w:color w:val="000000"/>
              </w:rPr>
              <w:t>PAFT</w:t>
            </w:r>
            <w:r>
              <w:rPr>
                <w:iCs/>
                <w:color w:val="000000"/>
              </w:rPr>
              <w:t xml:space="preserve"> taisyklių 2 priede nustatytus projektų bendruosius atrankos kriterijus.)</w:t>
            </w:r>
          </w:p>
        </w:tc>
      </w:tr>
      <w:tr w:rsidR="00FE1515" w:rsidTr="730C137A">
        <w:trPr>
          <w:trHeight w:val="539"/>
        </w:trPr>
        <w:tc>
          <w:tcPr>
            <w:tcW w:w="15134" w:type="dxa"/>
          </w:tcPr>
          <w:p w:rsidR="00FE1515" w:rsidRPr="0047289C" w:rsidRDefault="000C076B" w:rsidP="003B60AD">
            <w:pPr>
              <w:tabs>
                <w:tab w:val="left" w:pos="459"/>
              </w:tabs>
              <w:jc w:val="both"/>
              <w:rPr>
                <w:i/>
                <w:szCs w:val="24"/>
              </w:rPr>
            </w:pPr>
            <w:r w:rsidRPr="0047289C">
              <w:rPr>
                <w:iCs/>
                <w:szCs w:val="24"/>
              </w:rPr>
              <w:t>13.1.</w:t>
            </w:r>
            <w:r w:rsidRPr="0047289C">
              <w:rPr>
                <w:i/>
                <w:szCs w:val="24"/>
              </w:rPr>
              <w:t xml:space="preserve"> </w:t>
            </w:r>
            <w:r w:rsidR="009C0FFD" w:rsidRPr="00157B01">
              <w:rPr>
                <w:iCs/>
                <w:szCs w:val="24"/>
              </w:rPr>
              <w:t>Netaikoma</w:t>
            </w:r>
            <w:r w:rsidR="00F718F3" w:rsidRPr="00157B01">
              <w:rPr>
                <w:iCs/>
                <w:szCs w:val="24"/>
              </w:rPr>
              <w:t>.</w:t>
            </w:r>
          </w:p>
        </w:tc>
      </w:tr>
      <w:tr w:rsidR="00FE1515" w:rsidTr="730C137A">
        <w:tc>
          <w:tcPr>
            <w:tcW w:w="15134" w:type="dxa"/>
          </w:tcPr>
          <w:p w:rsidR="00FE1515" w:rsidRPr="003B60AD" w:rsidRDefault="00FE1515" w:rsidP="003B60AD">
            <w:pPr>
              <w:pStyle w:val="ListParagraph"/>
              <w:numPr>
                <w:ilvl w:val="0"/>
                <w:numId w:val="28"/>
              </w:numPr>
              <w:tabs>
                <w:tab w:val="left" w:pos="459"/>
              </w:tabs>
              <w:ind w:left="0" w:firstLine="0"/>
              <w:rPr>
                <w:bCs/>
                <w:szCs w:val="24"/>
              </w:rPr>
            </w:pPr>
            <w:r w:rsidRPr="003B60AD">
              <w:rPr>
                <w:b/>
                <w:szCs w:val="24"/>
              </w:rPr>
              <w:t>Reikalavimai įgyvendinus projektų veiklas</w:t>
            </w:r>
          </w:p>
        </w:tc>
      </w:tr>
      <w:tr w:rsidR="00FE1515" w:rsidTr="730C137A">
        <w:trPr>
          <w:trHeight w:val="541"/>
        </w:trPr>
        <w:tc>
          <w:tcPr>
            <w:tcW w:w="15134" w:type="dxa"/>
          </w:tcPr>
          <w:p w:rsidR="00FE1515" w:rsidRPr="003B60AD" w:rsidRDefault="005231B8" w:rsidP="003B60AD">
            <w:pPr>
              <w:pStyle w:val="ListParagraph"/>
              <w:numPr>
                <w:ilvl w:val="1"/>
                <w:numId w:val="28"/>
              </w:numPr>
              <w:tabs>
                <w:tab w:val="left" w:pos="459"/>
              </w:tabs>
              <w:ind w:left="0" w:firstLine="0"/>
              <w:jc w:val="both"/>
              <w:rPr>
                <w:i/>
                <w:sz w:val="22"/>
                <w:szCs w:val="22"/>
              </w:rPr>
            </w:pPr>
            <w:r w:rsidRPr="003B60AD">
              <w:rPr>
                <w:iCs/>
                <w:szCs w:val="24"/>
              </w:rPr>
              <w:t>Papildomi reikalavimai įgyvendinus projekto veiklas, kurie nenumatyti PAFT, nėra taikomi.</w:t>
            </w:r>
          </w:p>
        </w:tc>
      </w:tr>
      <w:tr w:rsidR="00FE1515" w:rsidTr="730C137A">
        <w:tc>
          <w:tcPr>
            <w:tcW w:w="15134" w:type="dxa"/>
          </w:tcPr>
          <w:p w:rsidR="00FE1515" w:rsidRPr="003B60AD" w:rsidRDefault="00FE1515" w:rsidP="003B60AD">
            <w:pPr>
              <w:pStyle w:val="ListParagraph"/>
              <w:numPr>
                <w:ilvl w:val="0"/>
                <w:numId w:val="28"/>
              </w:numPr>
              <w:tabs>
                <w:tab w:val="left" w:pos="459"/>
              </w:tabs>
              <w:ind w:left="0" w:firstLine="0"/>
              <w:rPr>
                <w:b/>
                <w:szCs w:val="24"/>
              </w:rPr>
            </w:pPr>
            <w:r w:rsidRPr="003B60AD">
              <w:rPr>
                <w:b/>
                <w:szCs w:val="24"/>
              </w:rPr>
              <w:t>Kiti reikalavimai</w:t>
            </w:r>
          </w:p>
        </w:tc>
      </w:tr>
      <w:tr w:rsidR="00FE1515" w:rsidTr="730C137A">
        <w:tc>
          <w:tcPr>
            <w:tcW w:w="15134" w:type="dxa"/>
          </w:tcPr>
          <w:p w:rsidR="00FE1515" w:rsidRPr="003B60AD" w:rsidRDefault="00B46B9D" w:rsidP="003B60AD">
            <w:pPr>
              <w:pStyle w:val="ListParagraph"/>
              <w:numPr>
                <w:ilvl w:val="1"/>
                <w:numId w:val="28"/>
              </w:numPr>
              <w:tabs>
                <w:tab w:val="left" w:pos="459"/>
                <w:tab w:val="left" w:pos="1134"/>
              </w:tabs>
              <w:ind w:left="0" w:firstLine="0"/>
              <w:jc w:val="both"/>
              <w:rPr>
                <w:i/>
                <w:sz w:val="22"/>
                <w:szCs w:val="22"/>
              </w:rPr>
            </w:pPr>
            <w:r w:rsidRPr="003B60AD">
              <w:rPr>
                <w:szCs w:val="24"/>
              </w:rPr>
              <w:t>Netaikoma</w:t>
            </w:r>
          </w:p>
        </w:tc>
      </w:tr>
    </w:tbl>
    <w:p w:rsidR="00253511" w:rsidRDefault="00253511" w:rsidP="00253511">
      <w:pPr>
        <w:jc w:val="center"/>
        <w:rPr>
          <w:b/>
          <w:color w:val="FF0000"/>
          <w:szCs w:val="24"/>
        </w:rPr>
      </w:pPr>
    </w:p>
    <w:p w:rsidR="00253511" w:rsidRPr="00253511" w:rsidRDefault="00253511" w:rsidP="00253511">
      <w:pPr>
        <w:jc w:val="center"/>
        <w:rPr>
          <w:b/>
          <w:szCs w:val="24"/>
        </w:rPr>
      </w:pPr>
      <w:r w:rsidRPr="00253511">
        <w:rPr>
          <w:b/>
          <w:szCs w:val="24"/>
        </w:rPr>
        <w:t>III SKYRIUS</w:t>
      </w:r>
    </w:p>
    <w:p w:rsidR="00253511" w:rsidRPr="00253511" w:rsidRDefault="00253511" w:rsidP="00253511">
      <w:pPr>
        <w:jc w:val="center"/>
        <w:rPr>
          <w:b/>
          <w:szCs w:val="24"/>
        </w:rPr>
      </w:pPr>
      <w:r w:rsidRPr="00253511">
        <w:rPr>
          <w:b/>
          <w:szCs w:val="24"/>
        </w:rPr>
        <w:t>IŠLAIDŲ TINKAMUMO FINANSUOTI REIKALAVIMAI</w:t>
      </w:r>
    </w:p>
    <w:p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Tr="009D596A">
        <w:tc>
          <w:tcPr>
            <w:tcW w:w="15134" w:type="dxa"/>
          </w:tcPr>
          <w:p w:rsidR="00EB0F8F" w:rsidRPr="003B60AD" w:rsidRDefault="00C222C1" w:rsidP="003B60AD">
            <w:pPr>
              <w:pStyle w:val="ListParagraph"/>
              <w:numPr>
                <w:ilvl w:val="0"/>
                <w:numId w:val="28"/>
              </w:numPr>
              <w:tabs>
                <w:tab w:val="left" w:pos="459"/>
              </w:tabs>
              <w:ind w:left="0" w:firstLine="0"/>
              <w:jc w:val="both"/>
              <w:rPr>
                <w:bCs/>
                <w:szCs w:val="24"/>
              </w:rPr>
            </w:pPr>
            <w:r w:rsidRPr="003B60AD">
              <w:rPr>
                <w:b/>
                <w:szCs w:val="24"/>
              </w:rPr>
              <w:t>Išlaidų tinkamumo finansuoti reikalavimai</w:t>
            </w:r>
          </w:p>
        </w:tc>
      </w:tr>
      <w:tr w:rsidR="00EB0F8F" w:rsidTr="009D596A">
        <w:tc>
          <w:tcPr>
            <w:tcW w:w="15134" w:type="dxa"/>
          </w:tcPr>
          <w:p w:rsidR="003B60AD" w:rsidRDefault="009D07C7" w:rsidP="003B60AD">
            <w:pPr>
              <w:pStyle w:val="ListParagraph"/>
              <w:numPr>
                <w:ilvl w:val="1"/>
                <w:numId w:val="28"/>
              </w:numPr>
              <w:tabs>
                <w:tab w:val="left" w:pos="601"/>
              </w:tabs>
              <w:ind w:left="0" w:firstLine="0"/>
              <w:jc w:val="both"/>
              <w:rPr>
                <w:iCs/>
                <w:szCs w:val="24"/>
              </w:rPr>
            </w:pPr>
            <w:r w:rsidRPr="003B60AD">
              <w:rPr>
                <w:iCs/>
                <w:szCs w:val="24"/>
              </w:rPr>
              <w:t>Didžiausia galima projektų finansuojamoji dalis sudaro 100 proc. visų tinkamų finansuoti projekto išlaidų. Nuosavu įnašu prisidėti nereikalaujama. Pareiškėjas ir (arba) partneris savo iniciatyva ir savo, ir (arba) kitų šaltinių lėšomis gali prisidėti prie projekto įgyvendinimo.</w:t>
            </w:r>
          </w:p>
          <w:p w:rsidR="003B60AD" w:rsidRDefault="009522F9" w:rsidP="003B60AD">
            <w:pPr>
              <w:pStyle w:val="ListParagraph"/>
              <w:numPr>
                <w:ilvl w:val="1"/>
                <w:numId w:val="28"/>
              </w:numPr>
              <w:tabs>
                <w:tab w:val="left" w:pos="601"/>
              </w:tabs>
              <w:ind w:left="0" w:firstLine="0"/>
              <w:jc w:val="both"/>
              <w:rPr>
                <w:iCs/>
                <w:szCs w:val="24"/>
              </w:rPr>
            </w:pPr>
            <w:r w:rsidRPr="003B60AD">
              <w:rPr>
                <w:iCs/>
                <w:szCs w:val="24"/>
              </w:rPr>
              <w:t xml:space="preserve">Projekto išlaidos turi atitikti </w:t>
            </w:r>
            <w:r w:rsidR="007756C0" w:rsidRPr="003B60AD">
              <w:rPr>
                <w:iCs/>
                <w:szCs w:val="24"/>
              </w:rPr>
              <w:t>PAFT</w:t>
            </w:r>
            <w:r w:rsidRPr="003B60AD">
              <w:rPr>
                <w:iCs/>
                <w:szCs w:val="24"/>
              </w:rPr>
              <w:t xml:space="preserve"> VII skyriuje nustatytus projekto išlaidoms taikomus reikalavimus.</w:t>
            </w:r>
          </w:p>
          <w:p w:rsidR="003B60AD" w:rsidRDefault="009D07C7" w:rsidP="003B60AD">
            <w:pPr>
              <w:pStyle w:val="ListParagraph"/>
              <w:numPr>
                <w:ilvl w:val="1"/>
                <w:numId w:val="28"/>
              </w:numPr>
              <w:tabs>
                <w:tab w:val="left" w:pos="601"/>
              </w:tabs>
              <w:ind w:left="0" w:firstLine="0"/>
              <w:jc w:val="both"/>
              <w:rPr>
                <w:iCs/>
                <w:szCs w:val="24"/>
              </w:rPr>
            </w:pPr>
            <w:r w:rsidRPr="003B60AD">
              <w:rPr>
                <w:iCs/>
                <w:szCs w:val="24"/>
              </w:rPr>
              <w:t>Projekto tinkamų finansuoti išlaidų dalis, kurios nepadengia projektui skiriamo finansavimo lėšos, turi būti finansuojama iš projekto vykdytojo ir (ar) partnerio (-ių) lėšų.</w:t>
            </w:r>
          </w:p>
          <w:p w:rsidR="003B60AD" w:rsidRDefault="009D07C7" w:rsidP="003B60AD">
            <w:pPr>
              <w:pStyle w:val="ListParagraph"/>
              <w:numPr>
                <w:ilvl w:val="1"/>
                <w:numId w:val="28"/>
              </w:numPr>
              <w:tabs>
                <w:tab w:val="left" w:pos="601"/>
              </w:tabs>
              <w:ind w:left="0" w:firstLine="0"/>
              <w:jc w:val="both"/>
              <w:rPr>
                <w:iCs/>
                <w:szCs w:val="24"/>
              </w:rPr>
            </w:pPr>
            <w:r w:rsidRPr="003B60AD">
              <w:rPr>
                <w:iCs/>
                <w:szCs w:val="24"/>
              </w:rPr>
              <w:t xml:space="preserve">Projektų išlaidos gali būti patirtos iki projekto sutarties pasirašymo, jei tai neprieštarauja PAFT 294 punkto nuostatoms. </w:t>
            </w:r>
          </w:p>
          <w:p w:rsidR="003B60AD" w:rsidRDefault="00181134" w:rsidP="003B60AD">
            <w:pPr>
              <w:pStyle w:val="ListParagraph"/>
              <w:numPr>
                <w:ilvl w:val="1"/>
                <w:numId w:val="28"/>
              </w:numPr>
              <w:tabs>
                <w:tab w:val="left" w:pos="601"/>
              </w:tabs>
              <w:ind w:left="0" w:firstLine="0"/>
              <w:jc w:val="both"/>
              <w:rPr>
                <w:iCs/>
                <w:szCs w:val="24"/>
              </w:rPr>
            </w:pPr>
            <w:r w:rsidRPr="003B60AD">
              <w:rPr>
                <w:iCs/>
                <w:szCs w:val="24"/>
              </w:rPr>
              <w:t>PĮP parengimo išlaidos nėra finansuojamos (išskyrus investicijų projekto parengimo išlaidas</w:t>
            </w:r>
            <w:r w:rsidR="00F828AE" w:rsidRPr="003B60AD">
              <w:rPr>
                <w:iCs/>
                <w:szCs w:val="24"/>
              </w:rPr>
              <w:t>).</w:t>
            </w:r>
          </w:p>
          <w:p w:rsidR="003B60AD" w:rsidRDefault="00E64438" w:rsidP="003B60AD">
            <w:pPr>
              <w:pStyle w:val="ListParagraph"/>
              <w:numPr>
                <w:ilvl w:val="1"/>
                <w:numId w:val="28"/>
              </w:numPr>
              <w:tabs>
                <w:tab w:val="left" w:pos="601"/>
              </w:tabs>
              <w:ind w:left="0" w:firstLine="0"/>
              <w:jc w:val="both"/>
              <w:rPr>
                <w:iCs/>
                <w:szCs w:val="24"/>
              </w:rPr>
            </w:pPr>
            <w:r w:rsidRPr="003B60AD">
              <w:rPr>
                <w:iCs/>
                <w:szCs w:val="24"/>
              </w:rPr>
              <w:t>Projekto vykdytojui gali būti mokamas avansas, vadovaujantis PAFT 153–159 punktais.</w:t>
            </w:r>
          </w:p>
          <w:p w:rsidR="003B60AD" w:rsidRDefault="00C30B9C" w:rsidP="003B60AD">
            <w:pPr>
              <w:pStyle w:val="ListParagraph"/>
              <w:numPr>
                <w:ilvl w:val="1"/>
                <w:numId w:val="28"/>
              </w:numPr>
              <w:tabs>
                <w:tab w:val="left" w:pos="601"/>
              </w:tabs>
              <w:ind w:left="0" w:firstLine="0"/>
              <w:jc w:val="both"/>
              <w:rPr>
                <w:iCs/>
                <w:szCs w:val="24"/>
              </w:rPr>
            </w:pPr>
            <w:r w:rsidRPr="003B60AD">
              <w:rPr>
                <w:iCs/>
                <w:szCs w:val="24"/>
              </w:rPr>
              <w:t>ES fondų lėšomis netinkamas finansuoti PVM gali būti finansuojamas valstybės biudžeto lėšomis vadovaujantis PAFT VII skyriaus ketvirtajame skirsnyje nustatyta tvarka.</w:t>
            </w:r>
          </w:p>
          <w:p w:rsidR="003B60AD" w:rsidRDefault="00772D6B" w:rsidP="003B60AD">
            <w:pPr>
              <w:pStyle w:val="ListParagraph"/>
              <w:numPr>
                <w:ilvl w:val="1"/>
                <w:numId w:val="28"/>
              </w:numPr>
              <w:tabs>
                <w:tab w:val="left" w:pos="601"/>
              </w:tabs>
              <w:ind w:left="0" w:firstLine="0"/>
              <w:jc w:val="both"/>
              <w:rPr>
                <w:iCs/>
                <w:szCs w:val="24"/>
              </w:rPr>
            </w:pPr>
            <w:r w:rsidRPr="003B60AD">
              <w:rPr>
                <w:iCs/>
                <w:szCs w:val="24"/>
              </w:rPr>
              <w:t>P</w:t>
            </w:r>
            <w:r w:rsidR="00C30B9C" w:rsidRPr="003B60AD">
              <w:rPr>
                <w:iCs/>
                <w:szCs w:val="24"/>
              </w:rPr>
              <w:t>rivalomų projektų matomumo ir informavimo apie projektus priemonių pagal PAFT 340 ir 341 punktus išlaidos</w:t>
            </w:r>
            <w:r w:rsidRPr="003B60AD">
              <w:rPr>
                <w:iCs/>
                <w:szCs w:val="24"/>
              </w:rPr>
              <w:t>.</w:t>
            </w:r>
          </w:p>
          <w:p w:rsidR="003B60AD" w:rsidRDefault="00772D6B" w:rsidP="003B60AD">
            <w:pPr>
              <w:pStyle w:val="ListParagraph"/>
              <w:numPr>
                <w:ilvl w:val="1"/>
                <w:numId w:val="28"/>
              </w:numPr>
              <w:tabs>
                <w:tab w:val="left" w:pos="601"/>
              </w:tabs>
              <w:ind w:left="0" w:firstLine="0"/>
              <w:jc w:val="both"/>
              <w:rPr>
                <w:iCs/>
                <w:szCs w:val="24"/>
              </w:rPr>
            </w:pPr>
            <w:r w:rsidRPr="003B60AD">
              <w:rPr>
                <w:iCs/>
                <w:szCs w:val="24"/>
              </w:rPr>
              <w:t>Netiesioginės išlaidos ir išlaidos pagal fiksuotąsias projekto išlaidų normas, numatytas Aprašo 17 punkte.</w:t>
            </w:r>
          </w:p>
          <w:p w:rsidR="009D07C7" w:rsidRPr="003B60AD" w:rsidRDefault="009D07C7" w:rsidP="003B60AD">
            <w:pPr>
              <w:pStyle w:val="ListParagraph"/>
              <w:numPr>
                <w:ilvl w:val="1"/>
                <w:numId w:val="28"/>
              </w:numPr>
              <w:tabs>
                <w:tab w:val="left" w:pos="743"/>
              </w:tabs>
              <w:ind w:left="0" w:firstLine="0"/>
              <w:jc w:val="both"/>
              <w:rPr>
                <w:iCs/>
                <w:szCs w:val="24"/>
              </w:rPr>
            </w:pPr>
            <w:r w:rsidRPr="003B60AD">
              <w:rPr>
                <w:iCs/>
                <w:szCs w:val="24"/>
              </w:rPr>
              <w:t xml:space="preserve">Pagal Aprašą tinkamos finansuoti išlaidos yra šios: </w:t>
            </w:r>
          </w:p>
          <w:p w:rsidR="00743AAD" w:rsidRPr="004C0C02" w:rsidRDefault="00743AAD" w:rsidP="003748E5">
            <w:pPr>
              <w:jc w:val="both"/>
              <w:rPr>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26"/>
              <w:gridCol w:w="11340"/>
            </w:tblGrid>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center"/>
                    <w:rPr>
                      <w:b/>
                      <w:szCs w:val="24"/>
                    </w:rPr>
                  </w:pPr>
                  <w:r w:rsidRPr="008642AE">
                    <w:rPr>
                      <w:b/>
                      <w:szCs w:val="24"/>
                    </w:rPr>
                    <w:t>Eil. Nr.</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center"/>
                    <w:rPr>
                      <w:b/>
                      <w:szCs w:val="24"/>
                    </w:rPr>
                  </w:pPr>
                  <w:r w:rsidRPr="008642AE">
                    <w:rPr>
                      <w:b/>
                      <w:szCs w:val="24"/>
                    </w:rPr>
                    <w:t>Išlaidų rūšis</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center"/>
                    <w:rPr>
                      <w:b/>
                      <w:szCs w:val="24"/>
                    </w:rPr>
                  </w:pPr>
                  <w:r w:rsidRPr="008642AE">
                    <w:rPr>
                      <w:b/>
                      <w:szCs w:val="24"/>
                    </w:rPr>
                    <w:t>Reikalavimai ir paaiškinimai</w:t>
                  </w: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Žemė</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6B6E8F" w:rsidP="00743AAD">
                  <w:pPr>
                    <w:jc w:val="both"/>
                    <w:rPr>
                      <w:bCs/>
                      <w:szCs w:val="24"/>
                    </w:rPr>
                  </w:pPr>
                  <w:r w:rsidRPr="008642AE">
                    <w:rPr>
                      <w:bCs/>
                      <w:szCs w:val="24"/>
                    </w:rPr>
                    <w:t xml:space="preserve">1.1 </w:t>
                  </w:r>
                  <w:r w:rsidR="00743AAD" w:rsidRPr="008642AE">
                    <w:rPr>
                      <w:bCs/>
                      <w:szCs w:val="24"/>
                    </w:rPr>
                    <w:t>Netinkama finansuoti.</w:t>
                  </w: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szCs w:val="24"/>
                      <w:lang w:eastAsia="lt-LT"/>
                    </w:rPr>
                    <w:t>Nekilnojamasis turtas</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6B6E8F" w:rsidP="006B6E8F">
                  <w:pPr>
                    <w:jc w:val="both"/>
                    <w:rPr>
                      <w:bCs/>
                      <w:szCs w:val="24"/>
                    </w:rPr>
                  </w:pPr>
                  <w:r w:rsidRPr="008642AE">
                    <w:rPr>
                      <w:bCs/>
                      <w:szCs w:val="24"/>
                    </w:rPr>
                    <w:t xml:space="preserve">2.1. </w:t>
                  </w:r>
                  <w:r w:rsidR="00743AAD" w:rsidRPr="008642AE">
                    <w:rPr>
                      <w:bCs/>
                      <w:szCs w:val="24"/>
                    </w:rPr>
                    <w:t>Netinkama finansuoti.</w:t>
                  </w: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szCs w:val="24"/>
                      <w:lang w:eastAsia="lt-LT"/>
                    </w:rPr>
                  </w:pPr>
                  <w:r w:rsidRPr="008642AE">
                    <w:rPr>
                      <w:szCs w:val="24"/>
                      <w:lang w:eastAsia="lt-LT"/>
                    </w:rPr>
                    <w:t>Statyba, rekonstravimas, remontas ir kiti darbai</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6B6E8F" w:rsidP="00743AAD">
                  <w:pPr>
                    <w:jc w:val="both"/>
                    <w:rPr>
                      <w:bCs/>
                      <w:szCs w:val="24"/>
                    </w:rPr>
                  </w:pPr>
                  <w:r w:rsidRPr="008642AE">
                    <w:rPr>
                      <w:bCs/>
                      <w:szCs w:val="24"/>
                    </w:rPr>
                    <w:t>3.</w:t>
                  </w:r>
                  <w:r w:rsidR="004B793E" w:rsidRPr="008642AE">
                    <w:rPr>
                      <w:bCs/>
                      <w:szCs w:val="24"/>
                    </w:rPr>
                    <w:t>1.</w:t>
                  </w:r>
                  <w:r w:rsidRPr="008642AE">
                    <w:rPr>
                      <w:bCs/>
                      <w:szCs w:val="24"/>
                    </w:rPr>
                    <w:t xml:space="preserve"> </w:t>
                  </w:r>
                  <w:r w:rsidR="00743AAD" w:rsidRPr="008642AE">
                    <w:rPr>
                      <w:bCs/>
                      <w:szCs w:val="24"/>
                    </w:rPr>
                    <w:t>Netinkama finansuoti.</w:t>
                  </w:r>
                  <w:r w:rsidR="00743AAD" w:rsidRPr="008642AE">
                    <w:rPr>
                      <w:szCs w:val="24"/>
                      <w:lang w:eastAsia="lt-LT"/>
                    </w:rPr>
                    <w:t xml:space="preserve"> </w:t>
                  </w: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szCs w:val="24"/>
                      <w:lang w:eastAsia="lt-LT"/>
                    </w:rPr>
                  </w:pPr>
                  <w:r w:rsidRPr="008642AE">
                    <w:rPr>
                      <w:szCs w:val="24"/>
                      <w:lang w:eastAsia="lt-LT"/>
                    </w:rPr>
                    <w:t>Įranga, įrenginiai ir kitas turtas</w:t>
                  </w:r>
                </w:p>
              </w:tc>
              <w:tc>
                <w:tcPr>
                  <w:tcW w:w="11340" w:type="dxa"/>
                  <w:tcBorders>
                    <w:top w:val="single" w:sz="4" w:space="0" w:color="auto"/>
                    <w:left w:val="single" w:sz="4" w:space="0" w:color="auto"/>
                    <w:bottom w:val="single" w:sz="4" w:space="0" w:color="auto"/>
                    <w:right w:val="single" w:sz="4" w:space="0" w:color="auto"/>
                  </w:tcBorders>
                </w:tcPr>
                <w:p w:rsidR="00743AAD" w:rsidRPr="008642AE" w:rsidRDefault="004B793E" w:rsidP="00743AAD">
                  <w:pPr>
                    <w:jc w:val="both"/>
                    <w:rPr>
                      <w:bCs/>
                      <w:szCs w:val="24"/>
                    </w:rPr>
                  </w:pPr>
                  <w:r w:rsidRPr="008642AE">
                    <w:rPr>
                      <w:bCs/>
                      <w:szCs w:val="24"/>
                    </w:rPr>
                    <w:t xml:space="preserve">4.1. </w:t>
                  </w:r>
                  <w:r w:rsidR="00743AAD" w:rsidRPr="008642AE">
                    <w:rPr>
                      <w:bCs/>
                      <w:szCs w:val="24"/>
                    </w:rPr>
                    <w:t>Tinkama finansuoti iki 20 proc. projekto tiesioginių tinkamų finansuoti išlaidų, kai valstybės pagalba neteikiama</w:t>
                  </w:r>
                  <w:r w:rsidR="001806A1" w:rsidRPr="008642AE">
                    <w:rPr>
                      <w:bCs/>
                      <w:szCs w:val="24"/>
                    </w:rPr>
                    <w:t xml:space="preserve">. </w:t>
                  </w:r>
                </w:p>
                <w:p w:rsidR="00743AAD" w:rsidRPr="008642AE" w:rsidRDefault="00743AAD" w:rsidP="00743AAD">
                  <w:pPr>
                    <w:jc w:val="both"/>
                    <w:rPr>
                      <w:bCs/>
                      <w:szCs w:val="24"/>
                    </w:rPr>
                  </w:pPr>
                </w:p>
              </w:tc>
            </w:tr>
            <w:tr w:rsidR="00743AAD" w:rsidRPr="008642AE" w:rsidTr="00C00132">
              <w:tc>
                <w:tcPr>
                  <w:tcW w:w="868" w:type="dxa"/>
                  <w:tcBorders>
                    <w:top w:val="single" w:sz="4" w:space="0" w:color="auto"/>
                    <w:left w:val="single" w:sz="4" w:space="0" w:color="auto"/>
                    <w:bottom w:val="single" w:sz="4" w:space="0" w:color="auto"/>
                    <w:right w:val="single" w:sz="4" w:space="0" w:color="auto"/>
                  </w:tcBorders>
                  <w:vAlign w:val="center"/>
                  <w:hideMark/>
                </w:tcPr>
                <w:p w:rsidR="00743AAD" w:rsidRPr="008642AE" w:rsidRDefault="00743AAD" w:rsidP="00813B37">
                  <w:pPr>
                    <w:rPr>
                      <w:bCs/>
                      <w:szCs w:val="24"/>
                    </w:rPr>
                  </w:pPr>
                  <w:r w:rsidRPr="008642AE">
                    <w:rPr>
                      <w:bCs/>
                      <w:szCs w:val="24"/>
                    </w:rPr>
                    <w:t>5.</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szCs w:val="24"/>
                      <w:lang w:eastAsia="lt-LT"/>
                    </w:rPr>
                  </w:pPr>
                  <w:r w:rsidRPr="008642AE">
                    <w:rPr>
                      <w:szCs w:val="24"/>
                      <w:lang w:eastAsia="lt-LT"/>
                    </w:rPr>
                    <w:t>Projekto vykdymas (paslaugos ir darbo užmokestis)</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4B793E" w:rsidP="00743AAD">
                  <w:pPr>
                    <w:jc w:val="both"/>
                    <w:rPr>
                      <w:rFonts w:asciiTheme="majorBidi" w:hAnsiTheme="majorBidi" w:cstheme="majorBidi"/>
                      <w:bCs/>
                      <w:szCs w:val="24"/>
                    </w:rPr>
                  </w:pPr>
                  <w:r w:rsidRPr="008642AE">
                    <w:rPr>
                      <w:rFonts w:asciiTheme="majorBidi" w:hAnsiTheme="majorBidi" w:cstheme="majorBidi"/>
                      <w:bCs/>
                      <w:szCs w:val="24"/>
                    </w:rPr>
                    <w:t>5.1.</w:t>
                  </w:r>
                  <w:r w:rsidR="00743AAD" w:rsidRPr="008642AE">
                    <w:rPr>
                      <w:rFonts w:asciiTheme="majorBidi" w:hAnsiTheme="majorBidi" w:cstheme="majorBidi"/>
                      <w:bCs/>
                      <w:szCs w:val="24"/>
                    </w:rPr>
                    <w:t>Tinkama finansuoti:</w:t>
                  </w:r>
                </w:p>
                <w:p w:rsidR="00743AAD" w:rsidRPr="008642AE" w:rsidRDefault="00813B37" w:rsidP="00813B37">
                  <w:pPr>
                    <w:pStyle w:val="ListParagraph"/>
                    <w:tabs>
                      <w:tab w:val="left" w:pos="192"/>
                    </w:tabs>
                    <w:ind w:left="0"/>
                    <w:jc w:val="both"/>
                    <w:rPr>
                      <w:rFonts w:asciiTheme="majorBidi" w:hAnsiTheme="majorBidi" w:cstheme="majorBidi"/>
                      <w:bCs/>
                      <w:szCs w:val="24"/>
                    </w:rPr>
                  </w:pPr>
                  <w:r>
                    <w:rPr>
                      <w:rFonts w:asciiTheme="majorBidi" w:hAnsiTheme="majorBidi" w:cstheme="majorBidi"/>
                      <w:bCs/>
                      <w:szCs w:val="24"/>
                    </w:rPr>
                    <w:t xml:space="preserve">5.1.1. </w:t>
                  </w:r>
                  <w:r w:rsidR="00743AAD" w:rsidRPr="008642AE">
                    <w:rPr>
                      <w:rFonts w:asciiTheme="majorBidi" w:hAnsiTheme="majorBidi" w:cstheme="majorBidi"/>
                      <w:bCs/>
                      <w:szCs w:val="24"/>
                    </w:rPr>
                    <w:t>Projektą vykdančio personalo darbo užmokestis ir išlaidos su darbo santykiais susijusiems darbdavio įsipareigojimams, apskaičiuotos teisės aktų, reguliuojančių darbo užmokestį ir darbo santykius, nustatyta tvarka, atlygio projektą vykdantiems fiziniams asmenims pagal paslaugų (civilines), autorines ar kitas sutartis išlaidos.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w:t>
                  </w:r>
                </w:p>
                <w:p w:rsidR="00743AAD" w:rsidRPr="008642AE" w:rsidRDefault="00813B37" w:rsidP="00813B37">
                  <w:pPr>
                    <w:pStyle w:val="ListParagraph"/>
                    <w:tabs>
                      <w:tab w:val="left" w:pos="192"/>
                    </w:tabs>
                    <w:ind w:left="0"/>
                    <w:jc w:val="both"/>
                    <w:rPr>
                      <w:rFonts w:asciiTheme="majorBidi" w:hAnsiTheme="majorBidi" w:cstheme="majorBidi"/>
                      <w:szCs w:val="24"/>
                    </w:rPr>
                  </w:pPr>
                  <w:r>
                    <w:rPr>
                      <w:rFonts w:asciiTheme="majorBidi" w:hAnsiTheme="majorBidi" w:cstheme="majorBidi"/>
                      <w:szCs w:val="24"/>
                    </w:rPr>
                    <w:t xml:space="preserve">5.1.2. </w:t>
                  </w:r>
                  <w:r w:rsidR="00743AAD" w:rsidRPr="008642AE">
                    <w:rPr>
                      <w:rFonts w:asciiTheme="majorBidi" w:hAnsiTheme="majorBidi" w:cstheme="majorBidi"/>
                      <w:szCs w:val="24"/>
                    </w:rPr>
                    <w:t>Projektą vykdančio personalo komandiruočių ir stažuočių išlaidos, apskaičiuotos komandiruočių ir stažuočių išlaidas reguliuojančių teisės aktų nustatyta tvarka</w:t>
                  </w:r>
                  <w:r w:rsidR="00743AAD" w:rsidRPr="008642AE">
                    <w:rPr>
                      <w:rFonts w:asciiTheme="majorBidi" w:hAnsiTheme="majorBidi" w:cstheme="majorBidi"/>
                      <w:szCs w:val="24"/>
                      <w:shd w:val="clear" w:color="auto" w:fill="E6E6E6"/>
                    </w:rPr>
                    <w:t>;</w:t>
                  </w:r>
                </w:p>
                <w:p w:rsidR="00743AAD" w:rsidRPr="008642AE" w:rsidRDefault="00813B37" w:rsidP="00813B37">
                  <w:pPr>
                    <w:pStyle w:val="ListParagraph"/>
                    <w:tabs>
                      <w:tab w:val="left" w:pos="192"/>
                    </w:tabs>
                    <w:ind w:left="0"/>
                    <w:jc w:val="both"/>
                    <w:rPr>
                      <w:rFonts w:asciiTheme="majorBidi" w:hAnsiTheme="majorBidi" w:cstheme="majorBidi"/>
                      <w:szCs w:val="24"/>
                    </w:rPr>
                  </w:pPr>
                  <w:r>
                    <w:rPr>
                      <w:rFonts w:asciiTheme="majorBidi" w:hAnsiTheme="majorBidi" w:cstheme="majorBidi"/>
                      <w:szCs w:val="24"/>
                    </w:rPr>
                    <w:t xml:space="preserve">5.1.3. </w:t>
                  </w:r>
                  <w:r w:rsidR="00743AAD" w:rsidRPr="008642AE">
                    <w:rPr>
                      <w:rFonts w:asciiTheme="majorBidi" w:hAnsiTheme="majorBidi" w:cstheme="majorBidi"/>
                      <w:szCs w:val="24"/>
                    </w:rPr>
                    <w:t>Tiesiogiai su projekto įgyvendinimu susijusios ir veiklai proporcingai (</w:t>
                  </w:r>
                  <w:r w:rsidR="00743AAD" w:rsidRPr="008642AE">
                    <w:rPr>
                      <w:rFonts w:asciiTheme="majorBidi" w:hAnsiTheme="majorBidi" w:cstheme="majorBidi"/>
                      <w:i/>
                      <w:iCs/>
                      <w:szCs w:val="24"/>
                    </w:rPr>
                    <w:t>pro rata</w:t>
                  </w:r>
                  <w:r w:rsidR="00743AAD" w:rsidRPr="008642AE">
                    <w:rPr>
                      <w:rFonts w:asciiTheme="majorBidi" w:hAnsiTheme="majorBidi" w:cstheme="majorBidi"/>
                      <w:szCs w:val="24"/>
                    </w:rPr>
                    <w:t xml:space="preserve"> principu) paskirstytos pridėtinės išlaidos – įrangos nuomos išlaidos (išskyrus – išperkamąja nuoma, lizingą)</w:t>
                  </w:r>
                  <w:r w:rsidR="00743AAD" w:rsidRPr="008642AE">
                    <w:rPr>
                      <w:rFonts w:asciiTheme="majorBidi" w:hAnsiTheme="majorBidi" w:cstheme="majorBidi"/>
                      <w:szCs w:val="24"/>
                      <w:shd w:val="clear" w:color="auto" w:fill="E6E6E6"/>
                    </w:rPr>
                    <w:t>;</w:t>
                  </w:r>
                </w:p>
                <w:p w:rsidR="00743AAD" w:rsidRPr="008642AE" w:rsidRDefault="00813B37" w:rsidP="00813B37">
                  <w:pPr>
                    <w:pStyle w:val="ListParagraph"/>
                    <w:tabs>
                      <w:tab w:val="left" w:pos="192"/>
                    </w:tabs>
                    <w:ind w:left="0"/>
                    <w:jc w:val="both"/>
                    <w:rPr>
                      <w:rFonts w:asciiTheme="majorBidi" w:hAnsiTheme="majorBidi" w:cstheme="majorBidi"/>
                      <w:szCs w:val="24"/>
                    </w:rPr>
                  </w:pPr>
                  <w:r>
                    <w:rPr>
                      <w:rFonts w:asciiTheme="majorBidi" w:hAnsiTheme="majorBidi" w:cstheme="majorBidi"/>
                      <w:szCs w:val="24"/>
                    </w:rPr>
                    <w:t xml:space="preserve">5.1.4. </w:t>
                  </w:r>
                  <w:r w:rsidR="00743AAD" w:rsidRPr="008642AE">
                    <w:rPr>
                      <w:rFonts w:asciiTheme="majorBidi" w:hAnsiTheme="majorBidi" w:cstheme="majorBidi"/>
                      <w:szCs w:val="24"/>
                    </w:rPr>
                    <w:t>Projekto MTEP veikloms naudojamo turto (įrangos, prietaisų, įrankių, įrenginių, mašinų ir įrengimų pastatų ir (ar) patalpų) nusidėvėjimo sąnaudos, jeigu šiam turtui įsigyti nebuvo naudojamos viešosios (įskaitant ir kitų valstybių) lėšos</w:t>
                  </w:r>
                  <w:r w:rsidR="00743AAD" w:rsidRPr="008642AE">
                    <w:rPr>
                      <w:rFonts w:asciiTheme="majorBidi" w:hAnsiTheme="majorBidi" w:cstheme="majorBidi"/>
                      <w:szCs w:val="24"/>
                      <w:shd w:val="clear" w:color="auto" w:fill="E6E6E6"/>
                    </w:rPr>
                    <w:t>;</w:t>
                  </w:r>
                </w:p>
                <w:p w:rsidR="00743AAD" w:rsidRPr="008642AE" w:rsidRDefault="00813B37" w:rsidP="00813B37">
                  <w:pPr>
                    <w:pStyle w:val="ListParagraph"/>
                    <w:tabs>
                      <w:tab w:val="left" w:pos="192"/>
                    </w:tabs>
                    <w:ind w:left="0"/>
                    <w:jc w:val="both"/>
                    <w:rPr>
                      <w:rFonts w:asciiTheme="majorBidi" w:hAnsiTheme="majorBidi" w:cstheme="majorBidi"/>
                      <w:szCs w:val="24"/>
                    </w:rPr>
                  </w:pPr>
                  <w:r>
                    <w:rPr>
                      <w:rFonts w:asciiTheme="majorBidi" w:hAnsiTheme="majorBidi" w:cstheme="majorBidi"/>
                      <w:szCs w:val="24"/>
                    </w:rPr>
                    <w:t xml:space="preserve">5.1.5. </w:t>
                  </w:r>
                  <w:r w:rsidR="00743AAD" w:rsidRPr="008642AE">
                    <w:rPr>
                      <w:rFonts w:asciiTheme="majorBidi" w:hAnsiTheme="majorBidi" w:cstheme="majorBidi"/>
                      <w:szCs w:val="24"/>
                    </w:rPr>
                    <w:t>Medžiagoms, mažaverčiam inventoriui, atsargoms ir panašiems produktams, priskirtiniems trumpalaikiam turtui, tiesiogiai susijusiomis su MTEP veikla, susijusios išlaidos</w:t>
                  </w:r>
                  <w:r w:rsidR="00743AAD" w:rsidRPr="008642AE">
                    <w:rPr>
                      <w:rFonts w:asciiTheme="majorBidi" w:hAnsiTheme="majorBidi" w:cstheme="majorBidi"/>
                      <w:szCs w:val="24"/>
                      <w:shd w:val="clear" w:color="auto" w:fill="E6E6E6"/>
                    </w:rPr>
                    <w:t>;</w:t>
                  </w:r>
                </w:p>
                <w:p w:rsidR="00743AAD" w:rsidRPr="008642AE" w:rsidRDefault="00813B37" w:rsidP="00813B37">
                  <w:pPr>
                    <w:pStyle w:val="ListParagraph"/>
                    <w:tabs>
                      <w:tab w:val="left" w:pos="192"/>
                    </w:tabs>
                    <w:ind w:left="0"/>
                    <w:jc w:val="both"/>
                    <w:rPr>
                      <w:rFonts w:asciiTheme="majorBidi" w:hAnsiTheme="majorBidi" w:cstheme="majorBidi"/>
                      <w:szCs w:val="24"/>
                    </w:rPr>
                  </w:pPr>
                  <w:bookmarkStart w:id="0" w:name="_Hlk181363846"/>
                  <w:r>
                    <w:rPr>
                      <w:rFonts w:asciiTheme="majorBidi" w:hAnsiTheme="majorBidi" w:cstheme="majorBidi"/>
                      <w:szCs w:val="24"/>
                    </w:rPr>
                    <w:t xml:space="preserve">5.1.6. </w:t>
                  </w:r>
                  <w:r w:rsidR="00743AAD" w:rsidRPr="008642AE">
                    <w:rPr>
                      <w:rFonts w:asciiTheme="majorBidi" w:hAnsiTheme="majorBidi" w:cstheme="majorBidi"/>
                      <w:szCs w:val="24"/>
                    </w:rPr>
                    <w:t>Išlaidos, susijusios su konsultavimo ir lygiaverčių paslaugų, skirtų vien tik projekto MTEP veiklai, įsigijimu, taip pat išlaidos dėl MTEP veiklai reikalingų paslaugų, kurios nėra MTEP ir be jų nebus pasiekti projekto tikslai, įsigijimo. Tinkama finansuoti iki 5 proc. projekto tiesioginių tinkamų išlaidų su detaliu pagrindimu kodėl šios išlaidos būtinos projekto tikslui pasiekti</w:t>
                  </w:r>
                  <w:r w:rsidR="00743AAD" w:rsidRPr="008642AE">
                    <w:rPr>
                      <w:rFonts w:asciiTheme="majorBidi" w:hAnsiTheme="majorBidi" w:cstheme="majorBidi"/>
                      <w:szCs w:val="24"/>
                      <w:shd w:val="clear" w:color="auto" w:fill="E6E6E6"/>
                    </w:rPr>
                    <w:t>;</w:t>
                  </w:r>
                </w:p>
                <w:p w:rsidR="00743AAD" w:rsidRPr="008642AE" w:rsidRDefault="00813B37" w:rsidP="00813B37">
                  <w:pPr>
                    <w:pStyle w:val="ListParagraph"/>
                    <w:tabs>
                      <w:tab w:val="left" w:pos="192"/>
                    </w:tabs>
                    <w:ind w:left="0"/>
                    <w:jc w:val="both"/>
                    <w:rPr>
                      <w:rFonts w:asciiTheme="majorBidi" w:hAnsiTheme="majorBidi" w:cstheme="majorBidi"/>
                      <w:szCs w:val="24"/>
                    </w:rPr>
                  </w:pPr>
                  <w:r>
                    <w:rPr>
                      <w:rFonts w:asciiTheme="majorBidi" w:hAnsiTheme="majorBidi" w:cstheme="majorBidi"/>
                      <w:szCs w:val="24"/>
                    </w:rPr>
                    <w:t xml:space="preserve">5.1.7. </w:t>
                  </w:r>
                  <w:r w:rsidR="00743AAD" w:rsidRPr="008642AE">
                    <w:rPr>
                      <w:rFonts w:asciiTheme="majorBidi" w:hAnsiTheme="majorBidi" w:cstheme="majorBidi"/>
                      <w:szCs w:val="24"/>
                    </w:rPr>
                    <w:t>MTEP paslaugų įsigijimo iš išorės šaltinių įprastomis rinkos sąlygomis išlaidos.</w:t>
                  </w:r>
                </w:p>
                <w:bookmarkEnd w:id="0"/>
                <w:p w:rsidR="00743AAD" w:rsidRPr="008642AE" w:rsidRDefault="00743AAD" w:rsidP="00743AAD">
                  <w:pPr>
                    <w:jc w:val="both"/>
                    <w:rPr>
                      <w:rFonts w:asciiTheme="majorBidi" w:hAnsiTheme="majorBidi" w:cstheme="majorBidi"/>
                      <w:bCs/>
                      <w:szCs w:val="24"/>
                    </w:rPr>
                  </w:pP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szCs w:val="24"/>
                      <w:lang w:eastAsia="lt-LT"/>
                    </w:rPr>
                  </w:pPr>
                  <w:r w:rsidRPr="008642AE">
                    <w:rPr>
                      <w:szCs w:val="24"/>
                      <w:lang w:eastAsia="lt-LT"/>
                    </w:rPr>
                    <w:t>Informavimas apie projektą</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6B6E8F" w:rsidP="006B6E8F">
                  <w:pPr>
                    <w:jc w:val="both"/>
                    <w:rPr>
                      <w:rFonts w:asciiTheme="majorBidi" w:hAnsiTheme="majorBidi" w:cstheme="majorBidi"/>
                      <w:bCs/>
                      <w:szCs w:val="24"/>
                    </w:rPr>
                  </w:pPr>
                  <w:r w:rsidRPr="008642AE">
                    <w:rPr>
                      <w:rFonts w:asciiTheme="majorBidi" w:hAnsiTheme="majorBidi" w:cstheme="majorBidi"/>
                      <w:bCs/>
                      <w:szCs w:val="24"/>
                    </w:rPr>
                    <w:t xml:space="preserve">6.1. </w:t>
                  </w:r>
                  <w:r w:rsidR="00743AAD" w:rsidRPr="008642AE">
                    <w:rPr>
                      <w:rFonts w:asciiTheme="majorBidi" w:hAnsiTheme="majorBidi" w:cstheme="majorBidi"/>
                      <w:bCs/>
                      <w:szCs w:val="24"/>
                    </w:rPr>
                    <w:t xml:space="preserve">Tinkama finansuoti: </w:t>
                  </w:r>
                  <w:r w:rsidRPr="008642AE">
                    <w:rPr>
                      <w:rFonts w:asciiTheme="majorBidi" w:hAnsiTheme="majorBidi" w:cstheme="majorBidi"/>
                      <w:bCs/>
                      <w:szCs w:val="24"/>
                    </w:rPr>
                    <w:t xml:space="preserve"> </w:t>
                  </w:r>
                  <w:r w:rsidR="00743AAD" w:rsidRPr="008642AE">
                    <w:rPr>
                      <w:rFonts w:asciiTheme="majorBidi" w:hAnsiTheme="majorBidi" w:cstheme="majorBidi"/>
                      <w:bCs/>
                      <w:szCs w:val="24"/>
                    </w:rPr>
                    <w:t>Privalomos projektų matomumo ir informavimo apie projektus priemonės;</w:t>
                  </w:r>
                </w:p>
                <w:p w:rsidR="00743AAD" w:rsidRPr="008642AE" w:rsidRDefault="00743AAD" w:rsidP="00743AAD">
                  <w:pPr>
                    <w:jc w:val="both"/>
                    <w:rPr>
                      <w:rFonts w:asciiTheme="majorBidi" w:hAnsiTheme="majorBidi" w:cstheme="majorBidi"/>
                      <w:bCs/>
                      <w:szCs w:val="24"/>
                    </w:rPr>
                  </w:pPr>
                </w:p>
              </w:tc>
            </w:tr>
            <w:tr w:rsidR="00743AAD" w:rsidRPr="008642AE" w:rsidTr="00B378BB">
              <w:tc>
                <w:tcPr>
                  <w:tcW w:w="868"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bCs/>
                      <w:szCs w:val="24"/>
                    </w:rPr>
                  </w:pPr>
                  <w:r w:rsidRPr="008642AE">
                    <w:rPr>
                      <w:bCs/>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743AAD" w:rsidRPr="008642AE" w:rsidRDefault="00743AAD" w:rsidP="00743AAD">
                  <w:pPr>
                    <w:jc w:val="both"/>
                    <w:rPr>
                      <w:szCs w:val="24"/>
                      <w:lang w:eastAsia="lt-LT"/>
                    </w:rPr>
                  </w:pPr>
                  <w:r w:rsidRPr="008642AE">
                    <w:rPr>
                      <w:szCs w:val="24"/>
                      <w:lang w:eastAsia="lt-LT"/>
                    </w:rPr>
                    <w:t>Netiesioginės išlaidos ir kitos išlaidos pagal fiksuotąją projekto išlaidų normą</w:t>
                  </w:r>
                </w:p>
              </w:tc>
              <w:tc>
                <w:tcPr>
                  <w:tcW w:w="11340" w:type="dxa"/>
                  <w:tcBorders>
                    <w:top w:val="single" w:sz="4" w:space="0" w:color="auto"/>
                    <w:left w:val="single" w:sz="4" w:space="0" w:color="auto"/>
                    <w:bottom w:val="single" w:sz="4" w:space="0" w:color="auto"/>
                    <w:right w:val="single" w:sz="4" w:space="0" w:color="auto"/>
                  </w:tcBorders>
                  <w:hideMark/>
                </w:tcPr>
                <w:p w:rsidR="00743AAD" w:rsidRPr="008642AE" w:rsidRDefault="006B6E8F" w:rsidP="000B4851">
                  <w:pPr>
                    <w:pStyle w:val="ListParagraph"/>
                    <w:numPr>
                      <w:ilvl w:val="1"/>
                      <w:numId w:val="24"/>
                    </w:numPr>
                    <w:jc w:val="both"/>
                    <w:rPr>
                      <w:bCs/>
                      <w:szCs w:val="24"/>
                    </w:rPr>
                  </w:pPr>
                  <w:r w:rsidRPr="008642AE">
                    <w:rPr>
                      <w:rFonts w:asciiTheme="majorBidi" w:hAnsiTheme="majorBidi" w:cstheme="majorBidi"/>
                      <w:bCs/>
                      <w:szCs w:val="24"/>
                    </w:rPr>
                    <w:t xml:space="preserve">Tinkama finansuoti: </w:t>
                  </w:r>
                  <w:r w:rsidR="00743AAD" w:rsidRPr="008642AE">
                    <w:rPr>
                      <w:szCs w:val="24"/>
                      <w:lang w:eastAsia="lt-LT"/>
                    </w:rPr>
                    <w:t>Netiesioginės Projekto išlaidos apmokamos taikant fiksuotąją normą (7 procentų nuo tinkamų finansuoti projekto išlaidų).</w:t>
                  </w:r>
                </w:p>
                <w:p w:rsidR="00743AAD" w:rsidRPr="008642AE" w:rsidRDefault="00743AAD" w:rsidP="00743AAD">
                  <w:pPr>
                    <w:jc w:val="both"/>
                    <w:rPr>
                      <w:bCs/>
                      <w:szCs w:val="24"/>
                    </w:rPr>
                  </w:pPr>
                </w:p>
              </w:tc>
            </w:tr>
          </w:tbl>
          <w:p w:rsidR="009D07C7" w:rsidRDefault="009D07C7" w:rsidP="000C5A21">
            <w:pPr>
              <w:jc w:val="both"/>
              <w:rPr>
                <w:iCs/>
                <w:szCs w:val="24"/>
              </w:rPr>
            </w:pPr>
          </w:p>
          <w:p w:rsidR="000C5A21" w:rsidRDefault="000C5A21" w:rsidP="000C5A21">
            <w:pPr>
              <w:jc w:val="both"/>
              <w:rPr>
                <w:iCs/>
                <w:szCs w:val="24"/>
              </w:rPr>
            </w:pPr>
          </w:p>
          <w:p w:rsidR="00EB0F8F" w:rsidRDefault="00EB0F8F" w:rsidP="00772D6B">
            <w:pPr>
              <w:jc w:val="both"/>
              <w:rPr>
                <w:sz w:val="22"/>
                <w:szCs w:val="22"/>
              </w:rPr>
            </w:pPr>
          </w:p>
        </w:tc>
      </w:tr>
    </w:tbl>
    <w:p w:rsidR="00253511" w:rsidRDefault="00253511" w:rsidP="00253511">
      <w:pPr>
        <w:jc w:val="center"/>
        <w:rPr>
          <w:b/>
          <w:szCs w:val="24"/>
        </w:rPr>
      </w:pPr>
    </w:p>
    <w:p w:rsidR="00253511" w:rsidRPr="00253511" w:rsidRDefault="00253511" w:rsidP="00253511">
      <w:pPr>
        <w:jc w:val="center"/>
        <w:rPr>
          <w:b/>
          <w:szCs w:val="24"/>
        </w:rPr>
      </w:pPr>
      <w:r w:rsidRPr="00253511">
        <w:rPr>
          <w:b/>
          <w:szCs w:val="24"/>
        </w:rPr>
        <w:t>IV SKYRIUS</w:t>
      </w:r>
    </w:p>
    <w:p w:rsidR="00253511" w:rsidRPr="00253511" w:rsidRDefault="00253511" w:rsidP="00253511">
      <w:pPr>
        <w:jc w:val="center"/>
        <w:rPr>
          <w:b/>
          <w:szCs w:val="24"/>
        </w:rPr>
      </w:pPr>
      <w:r w:rsidRPr="00253511">
        <w:rPr>
          <w:b/>
          <w:szCs w:val="24"/>
        </w:rPr>
        <w:t>SUPAPRASTINTAI APMOKAMŲ IŠLAIDŲ DYDŽIAI</w:t>
      </w:r>
    </w:p>
    <w:p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rsidRPr="00813B37" w:rsidTr="009D596A">
        <w:trPr>
          <w:trHeight w:val="349"/>
        </w:trPr>
        <w:tc>
          <w:tcPr>
            <w:tcW w:w="15134" w:type="dxa"/>
          </w:tcPr>
          <w:p w:rsidR="00EB0F8F" w:rsidRPr="00813B37" w:rsidRDefault="00C222C1" w:rsidP="003B60AD">
            <w:pPr>
              <w:pStyle w:val="ListParagraph"/>
              <w:numPr>
                <w:ilvl w:val="0"/>
                <w:numId w:val="28"/>
              </w:numPr>
              <w:tabs>
                <w:tab w:val="left" w:pos="459"/>
              </w:tabs>
              <w:ind w:left="0" w:firstLine="0"/>
              <w:jc w:val="both"/>
              <w:rPr>
                <w:bCs/>
                <w:sz w:val="22"/>
                <w:szCs w:val="22"/>
              </w:rPr>
            </w:pPr>
            <w:r w:rsidRPr="00813B37">
              <w:rPr>
                <w:b/>
                <w:sz w:val="22"/>
                <w:szCs w:val="22"/>
              </w:rPr>
              <w:t>Projektų veiklų ir jungtinio projekto projektų įgyvendinimui taikomi supaprastintai apmokamų išlaidų dydžiai</w:t>
            </w:r>
          </w:p>
        </w:tc>
      </w:tr>
      <w:tr w:rsidR="00EB0F8F" w:rsidRPr="00813B37" w:rsidTr="009D596A">
        <w:tc>
          <w:tcPr>
            <w:tcW w:w="15134" w:type="dxa"/>
          </w:tcPr>
          <w:p w:rsidR="00EB0F8F" w:rsidRPr="00813B37" w:rsidRDefault="00EB0F8F">
            <w:pPr>
              <w:jc w:val="both"/>
              <w:rPr>
                <w:i/>
                <w:iCs/>
                <w:sz w:val="22"/>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956"/>
              <w:gridCol w:w="2957"/>
              <w:gridCol w:w="2956"/>
              <w:gridCol w:w="2958"/>
            </w:tblGrid>
            <w:tr w:rsidR="00EB0F8F" w:rsidRPr="00813B37" w:rsidTr="008D03BD">
              <w:tc>
                <w:tcPr>
                  <w:tcW w:w="14783" w:type="dxa"/>
                  <w:gridSpan w:val="5"/>
                  <w:tcBorders>
                    <w:top w:val="single" w:sz="4" w:space="0" w:color="auto"/>
                    <w:left w:val="single" w:sz="4" w:space="0" w:color="auto"/>
                    <w:bottom w:val="single" w:sz="4" w:space="0" w:color="auto"/>
                    <w:right w:val="single" w:sz="4" w:space="0" w:color="auto"/>
                  </w:tcBorders>
                </w:tcPr>
                <w:p w:rsidR="00EB0F8F" w:rsidRPr="00813B37" w:rsidRDefault="00C222C1">
                  <w:pPr>
                    <w:jc w:val="both"/>
                    <w:rPr>
                      <w:b/>
                      <w:bCs/>
                      <w:sz w:val="22"/>
                      <w:szCs w:val="22"/>
                    </w:rPr>
                  </w:pPr>
                  <w:r w:rsidRPr="00813B37">
                    <w:rPr>
                      <w:rFonts w:ascii="MS Gothic" w:eastAsia="MS Gothic" w:hAnsi="MS Gothic" w:cs="MS Gothic"/>
                      <w:b/>
                      <w:bCs/>
                      <w:sz w:val="22"/>
                      <w:szCs w:val="22"/>
                    </w:rPr>
                    <w:t>☐</w:t>
                  </w:r>
                  <w:r w:rsidRPr="00813B37">
                    <w:rPr>
                      <w:b/>
                      <w:bCs/>
                      <w:sz w:val="22"/>
                      <w:szCs w:val="22"/>
                    </w:rPr>
                    <w:t xml:space="preserve"> Indeksuojama</w:t>
                  </w:r>
                </w:p>
                <w:p w:rsidR="00EB0F8F" w:rsidRPr="00813B37" w:rsidRDefault="00C222C1">
                  <w:pPr>
                    <w:jc w:val="both"/>
                    <w:rPr>
                      <w:b/>
                      <w:bCs/>
                      <w:sz w:val="22"/>
                      <w:szCs w:val="22"/>
                    </w:rPr>
                  </w:pPr>
                  <w:r w:rsidRPr="00813B37">
                    <w:rPr>
                      <w:rFonts w:ascii="MS Gothic" w:eastAsia="MS Gothic" w:hAnsi="MS Gothic" w:cs="MS Gothic"/>
                      <w:b/>
                      <w:bCs/>
                      <w:sz w:val="22"/>
                      <w:szCs w:val="22"/>
                    </w:rPr>
                    <w:t>☐</w:t>
                  </w:r>
                  <w:r w:rsidRPr="00813B37">
                    <w:rPr>
                      <w:b/>
                      <w:bCs/>
                      <w:sz w:val="22"/>
                      <w:szCs w:val="22"/>
                    </w:rPr>
                    <w:t xml:space="preserve"> Neindeksuojama</w:t>
                  </w:r>
                </w:p>
              </w:tc>
            </w:tr>
            <w:tr w:rsidR="00EB0F8F" w:rsidRPr="00813B37" w:rsidTr="008D03BD">
              <w:tc>
                <w:tcPr>
                  <w:tcW w:w="2956" w:type="dxa"/>
                  <w:tcBorders>
                    <w:top w:val="single" w:sz="4" w:space="0" w:color="auto"/>
                    <w:left w:val="single" w:sz="4" w:space="0" w:color="auto"/>
                    <w:bottom w:val="single" w:sz="4" w:space="0" w:color="auto"/>
                    <w:right w:val="single" w:sz="4" w:space="0" w:color="auto"/>
                  </w:tcBorders>
                  <w:vAlign w:val="center"/>
                </w:tcPr>
                <w:p w:rsidR="00EB0F8F" w:rsidRPr="00813B37" w:rsidRDefault="00C222C1">
                  <w:pPr>
                    <w:jc w:val="center"/>
                    <w:rPr>
                      <w:b/>
                      <w:bCs/>
                      <w:sz w:val="22"/>
                      <w:szCs w:val="22"/>
                    </w:rPr>
                  </w:pPr>
                  <w:r w:rsidRPr="00813B37">
                    <w:rPr>
                      <w:b/>
                      <w:bCs/>
                      <w:sz w:val="22"/>
                      <w:szCs w:val="22"/>
                    </w:rPr>
                    <w:t>Veiklos ir (ar) išlaidos, kurioms taikomi supaprastintai apmokamų išlaidų dydžiai</w:t>
                  </w:r>
                </w:p>
              </w:tc>
              <w:tc>
                <w:tcPr>
                  <w:tcW w:w="2956" w:type="dxa"/>
                  <w:tcBorders>
                    <w:top w:val="single" w:sz="4" w:space="0" w:color="auto"/>
                    <w:left w:val="single" w:sz="4" w:space="0" w:color="auto"/>
                    <w:bottom w:val="single" w:sz="4" w:space="0" w:color="auto"/>
                    <w:right w:val="single" w:sz="4" w:space="0" w:color="auto"/>
                  </w:tcBorders>
                  <w:vAlign w:val="center"/>
                </w:tcPr>
                <w:p w:rsidR="00EB0F8F" w:rsidRPr="00813B37" w:rsidRDefault="00C222C1">
                  <w:pPr>
                    <w:jc w:val="center"/>
                    <w:rPr>
                      <w:b/>
                      <w:bCs/>
                      <w:sz w:val="22"/>
                      <w:szCs w:val="22"/>
                    </w:rPr>
                  </w:pPr>
                  <w:r w:rsidRPr="00813B37">
                    <w:rPr>
                      <w:b/>
                      <w:bCs/>
                      <w:sz w:val="22"/>
                      <w:szCs w:val="22"/>
                    </w:rPr>
                    <w:t>Supaprastintai apmokamų išlaidų dydžio kodas</w:t>
                  </w:r>
                </w:p>
              </w:tc>
              <w:tc>
                <w:tcPr>
                  <w:tcW w:w="2957" w:type="dxa"/>
                  <w:tcBorders>
                    <w:top w:val="single" w:sz="4" w:space="0" w:color="auto"/>
                    <w:left w:val="single" w:sz="4" w:space="0" w:color="auto"/>
                    <w:bottom w:val="single" w:sz="4" w:space="0" w:color="auto"/>
                    <w:right w:val="single" w:sz="4" w:space="0" w:color="auto"/>
                  </w:tcBorders>
                  <w:vAlign w:val="center"/>
                </w:tcPr>
                <w:p w:rsidR="00EB0F8F" w:rsidRPr="00813B37" w:rsidRDefault="00C222C1">
                  <w:pPr>
                    <w:jc w:val="center"/>
                    <w:rPr>
                      <w:b/>
                      <w:bCs/>
                      <w:i/>
                      <w:iCs/>
                      <w:color w:val="808080"/>
                      <w:sz w:val="22"/>
                      <w:szCs w:val="22"/>
                    </w:rPr>
                  </w:pPr>
                  <w:r w:rsidRPr="00813B37">
                    <w:rPr>
                      <w:b/>
                      <w:bCs/>
                      <w:sz w:val="22"/>
                      <w:szCs w:val="22"/>
                    </w:rPr>
                    <w:t>Supaprastintai apmokamų išlaidų dydžio versija</w:t>
                  </w:r>
                </w:p>
              </w:tc>
              <w:tc>
                <w:tcPr>
                  <w:tcW w:w="2956" w:type="dxa"/>
                  <w:tcBorders>
                    <w:top w:val="single" w:sz="4" w:space="0" w:color="auto"/>
                    <w:left w:val="single" w:sz="4" w:space="0" w:color="auto"/>
                    <w:bottom w:val="single" w:sz="4" w:space="0" w:color="auto"/>
                    <w:right w:val="single" w:sz="4" w:space="0" w:color="auto"/>
                  </w:tcBorders>
                  <w:vAlign w:val="center"/>
                </w:tcPr>
                <w:p w:rsidR="00EB0F8F" w:rsidRPr="00813B37" w:rsidRDefault="00C222C1">
                  <w:pPr>
                    <w:jc w:val="center"/>
                    <w:rPr>
                      <w:b/>
                      <w:bCs/>
                      <w:sz w:val="22"/>
                      <w:szCs w:val="22"/>
                    </w:rPr>
                  </w:pPr>
                  <w:r w:rsidRPr="00813B37">
                    <w:rPr>
                      <w:b/>
                      <w:bCs/>
                      <w:sz w:val="22"/>
                      <w:szCs w:val="22"/>
                    </w:rPr>
                    <w:t>Supaprastintai apmokamų išlaidų dydžio pavadinimas</w:t>
                  </w:r>
                </w:p>
              </w:tc>
              <w:tc>
                <w:tcPr>
                  <w:tcW w:w="2958" w:type="dxa"/>
                  <w:tcBorders>
                    <w:top w:val="single" w:sz="4" w:space="0" w:color="auto"/>
                    <w:left w:val="single" w:sz="4" w:space="0" w:color="auto"/>
                    <w:bottom w:val="single" w:sz="4" w:space="0" w:color="auto"/>
                    <w:right w:val="single" w:sz="4" w:space="0" w:color="auto"/>
                  </w:tcBorders>
                  <w:vAlign w:val="center"/>
                </w:tcPr>
                <w:p w:rsidR="00EB0F8F" w:rsidRPr="00813B37" w:rsidRDefault="00C222C1">
                  <w:pPr>
                    <w:jc w:val="center"/>
                    <w:rPr>
                      <w:b/>
                      <w:bCs/>
                      <w:sz w:val="22"/>
                      <w:szCs w:val="22"/>
                    </w:rPr>
                  </w:pPr>
                  <w:r w:rsidRPr="00813B37">
                    <w:rPr>
                      <w:b/>
                      <w:bCs/>
                      <w:sz w:val="22"/>
                      <w:szCs w:val="22"/>
                    </w:rPr>
                    <w:t>Papildoma informacija</w:t>
                  </w:r>
                </w:p>
              </w:tc>
            </w:tr>
            <w:tr w:rsidR="00543871" w:rsidRPr="00813B37" w:rsidTr="008D03BD">
              <w:tc>
                <w:tcPr>
                  <w:tcW w:w="2956" w:type="dxa"/>
                  <w:tcBorders>
                    <w:top w:val="single" w:sz="4" w:space="0" w:color="auto"/>
                  </w:tcBorders>
                </w:tcPr>
                <w:p w:rsidR="00543871" w:rsidRPr="00813B37" w:rsidRDefault="00543871" w:rsidP="00543871">
                  <w:pPr>
                    <w:jc w:val="center"/>
                    <w:rPr>
                      <w:i/>
                      <w:iCs/>
                      <w:sz w:val="22"/>
                      <w:szCs w:val="22"/>
                    </w:rPr>
                  </w:pPr>
                  <w:r w:rsidRPr="00813B37">
                    <w:rPr>
                      <w:sz w:val="22"/>
                      <w:szCs w:val="22"/>
                    </w:rPr>
                    <w:t>Netiesioginės projekto veiklos ir išlaidos joms apmokėti</w:t>
                  </w:r>
                </w:p>
              </w:tc>
              <w:tc>
                <w:tcPr>
                  <w:tcW w:w="2956" w:type="dxa"/>
                  <w:tcBorders>
                    <w:top w:val="single" w:sz="4" w:space="0" w:color="auto"/>
                  </w:tcBorders>
                </w:tcPr>
                <w:p w:rsidR="00543871" w:rsidRPr="00813B37" w:rsidRDefault="00543871" w:rsidP="00543871">
                  <w:pPr>
                    <w:jc w:val="center"/>
                    <w:rPr>
                      <w:i/>
                      <w:iCs/>
                      <w:sz w:val="22"/>
                      <w:szCs w:val="22"/>
                    </w:rPr>
                  </w:pPr>
                  <w:r w:rsidRPr="00813B37">
                    <w:rPr>
                      <w:sz w:val="22"/>
                      <w:szCs w:val="22"/>
                      <w:lang w:eastAsia="lt-LT"/>
                    </w:rPr>
                    <w:t>FN-01</w:t>
                  </w:r>
                </w:p>
              </w:tc>
              <w:tc>
                <w:tcPr>
                  <w:tcW w:w="2957" w:type="dxa"/>
                  <w:tcBorders>
                    <w:top w:val="single" w:sz="4" w:space="0" w:color="auto"/>
                  </w:tcBorders>
                </w:tcPr>
                <w:p w:rsidR="00543871" w:rsidRPr="00813B37" w:rsidRDefault="007B2C30" w:rsidP="00543871">
                  <w:pPr>
                    <w:jc w:val="center"/>
                    <w:rPr>
                      <w:i/>
                      <w:iCs/>
                      <w:sz w:val="22"/>
                      <w:szCs w:val="22"/>
                    </w:rPr>
                  </w:pPr>
                  <w:r w:rsidRPr="00813B37">
                    <w:rPr>
                      <w:iCs/>
                      <w:sz w:val="22"/>
                      <w:szCs w:val="22"/>
                    </w:rPr>
                    <w:t>03</w:t>
                  </w:r>
                  <w:r w:rsidRPr="00813B37">
                    <w:rPr>
                      <w:i/>
                      <w:iCs/>
                      <w:sz w:val="22"/>
                      <w:szCs w:val="22"/>
                    </w:rPr>
                    <w:t xml:space="preserve"> </w:t>
                  </w:r>
                </w:p>
              </w:tc>
              <w:tc>
                <w:tcPr>
                  <w:tcW w:w="2956" w:type="dxa"/>
                  <w:tcBorders>
                    <w:top w:val="single" w:sz="4" w:space="0" w:color="auto"/>
                  </w:tcBorders>
                </w:tcPr>
                <w:p w:rsidR="00543871" w:rsidRPr="00813B37" w:rsidRDefault="00543871" w:rsidP="00543871">
                  <w:pPr>
                    <w:jc w:val="center"/>
                    <w:rPr>
                      <w:i/>
                      <w:iCs/>
                      <w:sz w:val="22"/>
                      <w:szCs w:val="22"/>
                    </w:rPr>
                  </w:pPr>
                  <w:r w:rsidRPr="00813B37">
                    <w:rPr>
                      <w:iCs/>
                      <w:sz w:val="22"/>
                      <w:szCs w:val="22"/>
                    </w:rPr>
                    <w:t>Iki 7 proc. netiesioginių išlaidų fiksuotoji norma</w:t>
                  </w:r>
                </w:p>
              </w:tc>
              <w:tc>
                <w:tcPr>
                  <w:tcW w:w="2958" w:type="dxa"/>
                  <w:tcBorders>
                    <w:top w:val="single" w:sz="4" w:space="0" w:color="auto"/>
                  </w:tcBorders>
                </w:tcPr>
                <w:p w:rsidR="00543871" w:rsidRPr="00813B37" w:rsidRDefault="00543871" w:rsidP="00543871">
                  <w:pPr>
                    <w:jc w:val="center"/>
                    <w:rPr>
                      <w:i/>
                      <w:iCs/>
                      <w:sz w:val="22"/>
                      <w:szCs w:val="22"/>
                    </w:rPr>
                  </w:pPr>
                  <w:r w:rsidRPr="00813B37">
                    <w:rPr>
                      <w:iCs/>
                      <w:sz w:val="22"/>
                      <w:szCs w:val="22"/>
                    </w:rPr>
                    <w:t>Netiesioginės projekto išlaidos skaičiuojamos nuo tinkamų finansuoti tiesioginių projekto išlaidų (7 proc.).</w:t>
                  </w:r>
                </w:p>
              </w:tc>
            </w:tr>
            <w:tr w:rsidR="00543871" w:rsidRPr="00813B37" w:rsidTr="00096B0A">
              <w:tc>
                <w:tcPr>
                  <w:tcW w:w="2956" w:type="dxa"/>
                  <w:tcBorders>
                    <w:bottom w:val="single" w:sz="4" w:space="0" w:color="auto"/>
                  </w:tcBorders>
                </w:tcPr>
                <w:p w:rsidR="00543871" w:rsidRPr="00813B37" w:rsidRDefault="00543871" w:rsidP="00543871">
                  <w:pPr>
                    <w:jc w:val="center"/>
                    <w:rPr>
                      <w:i/>
                      <w:iCs/>
                      <w:sz w:val="22"/>
                      <w:szCs w:val="22"/>
                    </w:rPr>
                  </w:pPr>
                  <w:r w:rsidRPr="00813B37">
                    <w:rPr>
                      <w:sz w:val="22"/>
                      <w:szCs w:val="22"/>
                    </w:rPr>
                    <w:t>Privalomos projektų matomumo ir informavimo apie projektus priemonės bei išlaidos</w:t>
                  </w:r>
                </w:p>
              </w:tc>
              <w:tc>
                <w:tcPr>
                  <w:tcW w:w="2956" w:type="dxa"/>
                  <w:tcBorders>
                    <w:bottom w:val="single" w:sz="4" w:space="0" w:color="auto"/>
                  </w:tcBorders>
                </w:tcPr>
                <w:p w:rsidR="00543871" w:rsidRPr="00813B37" w:rsidRDefault="00543871" w:rsidP="00543871">
                  <w:pPr>
                    <w:jc w:val="center"/>
                    <w:rPr>
                      <w:i/>
                      <w:iCs/>
                      <w:sz w:val="22"/>
                      <w:szCs w:val="22"/>
                    </w:rPr>
                  </w:pPr>
                  <w:r w:rsidRPr="00813B37">
                    <w:rPr>
                      <w:sz w:val="22"/>
                      <w:szCs w:val="22"/>
                      <w:lang w:eastAsia="lt-LT"/>
                    </w:rPr>
                    <w:t>FS-01-01</w:t>
                  </w:r>
                </w:p>
              </w:tc>
              <w:tc>
                <w:tcPr>
                  <w:tcW w:w="2957" w:type="dxa"/>
                  <w:tcBorders>
                    <w:bottom w:val="single" w:sz="4" w:space="0" w:color="auto"/>
                  </w:tcBorders>
                </w:tcPr>
                <w:p w:rsidR="00543871" w:rsidRPr="00813B37" w:rsidRDefault="007B2C30" w:rsidP="00543871">
                  <w:pPr>
                    <w:jc w:val="center"/>
                    <w:rPr>
                      <w:i/>
                      <w:iCs/>
                      <w:sz w:val="22"/>
                      <w:szCs w:val="22"/>
                    </w:rPr>
                  </w:pPr>
                  <w:r w:rsidRPr="00813B37">
                    <w:rPr>
                      <w:iCs/>
                      <w:sz w:val="22"/>
                      <w:szCs w:val="22"/>
                    </w:rPr>
                    <w:t>03</w:t>
                  </w:r>
                </w:p>
              </w:tc>
              <w:tc>
                <w:tcPr>
                  <w:tcW w:w="2956" w:type="dxa"/>
                  <w:tcBorders>
                    <w:bottom w:val="single" w:sz="4" w:space="0" w:color="auto"/>
                  </w:tcBorders>
                </w:tcPr>
                <w:p w:rsidR="00543871" w:rsidRPr="00813B37" w:rsidRDefault="00543871" w:rsidP="00543871">
                  <w:pPr>
                    <w:jc w:val="center"/>
                    <w:rPr>
                      <w:i/>
                      <w:iCs/>
                      <w:sz w:val="22"/>
                      <w:szCs w:val="22"/>
                    </w:rPr>
                  </w:pPr>
                  <w:r w:rsidRPr="00813B37">
                    <w:rPr>
                      <w:sz w:val="22"/>
                      <w:szCs w:val="22"/>
                      <w:lang w:eastAsia="lt-LT"/>
                    </w:rPr>
                    <w:t>Įgyvendintų privalomų matomumo ir informavimo priemonių apie ES fondų investicijų veiklas fiksuotoji suma, pirmojo rinkinio FS be PVM</w:t>
                  </w:r>
                </w:p>
              </w:tc>
              <w:tc>
                <w:tcPr>
                  <w:tcW w:w="2958" w:type="dxa"/>
                </w:tcPr>
                <w:p w:rsidR="00543871" w:rsidRPr="00813B37" w:rsidRDefault="00543871" w:rsidP="00543871">
                  <w:pPr>
                    <w:jc w:val="center"/>
                    <w:rPr>
                      <w:sz w:val="22"/>
                      <w:szCs w:val="22"/>
                    </w:rPr>
                  </w:pPr>
                  <w:r w:rsidRPr="00813B37">
                    <w:rPr>
                      <w:sz w:val="22"/>
                      <w:szCs w:val="22"/>
                    </w:rPr>
                    <w:t>Fiksuotąją sumą sudaro visų pirmojo privalomų matomumo ir informavimo priemonių rinkinio išlaidos, kai:</w:t>
                  </w:r>
                </w:p>
                <w:p w:rsidR="00543871" w:rsidRPr="00813B37" w:rsidRDefault="00543871" w:rsidP="00543871">
                  <w:pPr>
                    <w:jc w:val="center"/>
                    <w:rPr>
                      <w:sz w:val="22"/>
                      <w:szCs w:val="22"/>
                    </w:rPr>
                  </w:pPr>
                  <w:r w:rsidRPr="00813B37">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rsidR="00543871" w:rsidRPr="00813B37" w:rsidRDefault="00543871" w:rsidP="00543871">
                  <w:pPr>
                    <w:jc w:val="center"/>
                    <w:rPr>
                      <w:sz w:val="22"/>
                      <w:szCs w:val="22"/>
                    </w:rPr>
                  </w:pPr>
                  <w:r w:rsidRPr="00813B37">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rsidR="00543871" w:rsidRPr="00813B37" w:rsidRDefault="00543871" w:rsidP="00543871">
                  <w:pPr>
                    <w:jc w:val="center"/>
                    <w:rPr>
                      <w:i/>
                      <w:iCs/>
                      <w:sz w:val="22"/>
                      <w:szCs w:val="22"/>
                    </w:rPr>
                  </w:pPr>
                  <w:r w:rsidRPr="00813B37">
                    <w:rPr>
                      <w:sz w:val="22"/>
                      <w:szCs w:val="22"/>
                    </w:rPr>
                    <w:t>c) visuomenei arba dalyviams skirtuose dokumentuose ir komunikacijos medžiagoje, susijusioje su veiksmo įgyvendinimu, gerai matomoje vietoje pateiktas pareiškimas, kuriame akcentuojama gaunama ES parama.</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Privalomos projektų matomumo ir informavimo apie projektus priemonės bei išlaidos</w:t>
                  </w: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FS-01-02</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7B2C30" w:rsidP="00543871">
                  <w:pPr>
                    <w:jc w:val="center"/>
                    <w:rPr>
                      <w:i/>
                      <w:iCs/>
                      <w:sz w:val="22"/>
                      <w:szCs w:val="22"/>
                    </w:rPr>
                  </w:pPr>
                  <w:r w:rsidRPr="00813B37">
                    <w:rPr>
                      <w:sz w:val="22"/>
                      <w:szCs w:val="22"/>
                    </w:rPr>
                    <w:t>03</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i/>
                      <w:iCs/>
                      <w:sz w:val="22"/>
                      <w:szCs w:val="22"/>
                    </w:rPr>
                  </w:pPr>
                  <w:r w:rsidRPr="00813B37">
                    <w:rPr>
                      <w:sz w:val="22"/>
                      <w:szCs w:val="22"/>
                    </w:rPr>
                    <w:t>Įgyvendintų privalomų matomumo ir informavimo priemonių apie ES fondų investicijų veiklas fiksuotoji suma, pirmojo rinkinio FS su PVM</w:t>
                  </w:r>
                </w:p>
              </w:tc>
              <w:tc>
                <w:tcPr>
                  <w:tcW w:w="2958" w:type="dxa"/>
                </w:tcPr>
                <w:p w:rsidR="00543871" w:rsidRPr="00813B37" w:rsidRDefault="00543871" w:rsidP="00543871">
                  <w:pPr>
                    <w:jc w:val="center"/>
                    <w:rPr>
                      <w:i/>
                      <w:iCs/>
                      <w:sz w:val="22"/>
                      <w:szCs w:val="22"/>
                    </w:rPr>
                  </w:pP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ind w:firstLine="62"/>
                    <w:jc w:val="center"/>
                    <w:rPr>
                      <w:sz w:val="22"/>
                      <w:szCs w:val="22"/>
                    </w:rPr>
                  </w:pPr>
                </w:p>
                <w:p w:rsidR="00543871" w:rsidRPr="00813B37" w:rsidRDefault="00543871" w:rsidP="00543871">
                  <w:pPr>
                    <w:jc w:val="center"/>
                    <w:rPr>
                      <w:i/>
                      <w:iCs/>
                      <w:sz w:val="22"/>
                      <w:szCs w:val="22"/>
                    </w:rPr>
                  </w:pPr>
                  <w:r w:rsidRPr="00813B37">
                    <w:rPr>
                      <w:sz w:val="22"/>
                      <w:szCs w:val="22"/>
                    </w:rPr>
                    <w:t>Privalomos projektų matomumo ir informavimo apie projektus priemonės bei išlaidos</w:t>
                  </w: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FS-01-03</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7B2C30" w:rsidP="00543871">
                  <w:pPr>
                    <w:jc w:val="center"/>
                    <w:rPr>
                      <w:i/>
                      <w:iCs/>
                      <w:sz w:val="22"/>
                      <w:szCs w:val="22"/>
                    </w:rPr>
                  </w:pPr>
                  <w:r w:rsidRPr="00813B37">
                    <w:rPr>
                      <w:sz w:val="22"/>
                      <w:szCs w:val="22"/>
                    </w:rPr>
                    <w:t>03</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color w:val="000000"/>
                      <w:sz w:val="22"/>
                      <w:szCs w:val="22"/>
                    </w:rPr>
                  </w:pPr>
                  <w:r w:rsidRPr="00813B37">
                    <w:rPr>
                      <w:color w:val="000000"/>
                      <w:sz w:val="22"/>
                      <w:szCs w:val="22"/>
                    </w:rPr>
                    <w:t xml:space="preserve">Įgyvendintų privalomų matomumo ir informavimo priemonių apie ES fondų investicijų veiklas fiksuotoji suma, antrojo rinkinio FS be PVM </w:t>
                  </w:r>
                </w:p>
                <w:p w:rsidR="00543871" w:rsidRPr="00813B37" w:rsidRDefault="00543871" w:rsidP="00543871">
                  <w:pPr>
                    <w:jc w:val="center"/>
                    <w:rPr>
                      <w:i/>
                      <w:iCs/>
                      <w:sz w:val="22"/>
                      <w:szCs w:val="22"/>
                    </w:rPr>
                  </w:pPr>
                </w:p>
              </w:tc>
              <w:tc>
                <w:tcPr>
                  <w:tcW w:w="2958" w:type="dxa"/>
                </w:tcPr>
                <w:p w:rsidR="00543871" w:rsidRPr="00813B37" w:rsidRDefault="00543871" w:rsidP="00543871">
                  <w:pPr>
                    <w:jc w:val="center"/>
                    <w:rPr>
                      <w:iCs/>
                      <w:sz w:val="22"/>
                      <w:szCs w:val="22"/>
                    </w:rPr>
                  </w:pPr>
                  <w:r w:rsidRPr="00813B37">
                    <w:rPr>
                      <w:iCs/>
                      <w:sz w:val="22"/>
                      <w:szCs w:val="22"/>
                    </w:rPr>
                    <w:t>Fiksuotąją sumą sudaro visų antrojo privalomų matomumo ir informavimo priemonių rinkinio išlaidos, kai:</w:t>
                  </w:r>
                </w:p>
                <w:p w:rsidR="00543871" w:rsidRPr="00813B37" w:rsidRDefault="00543871" w:rsidP="00543871">
                  <w:pPr>
                    <w:jc w:val="center"/>
                    <w:rPr>
                      <w:iCs/>
                      <w:sz w:val="22"/>
                      <w:szCs w:val="22"/>
                    </w:rPr>
                  </w:pPr>
                  <w:r w:rsidRPr="00813B37">
                    <w:rPr>
                      <w:iCs/>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rsidR="00543871" w:rsidRPr="00813B37" w:rsidRDefault="00543871" w:rsidP="00543871">
                  <w:pPr>
                    <w:jc w:val="center"/>
                    <w:rPr>
                      <w:iCs/>
                      <w:sz w:val="22"/>
                      <w:szCs w:val="22"/>
                    </w:rPr>
                  </w:pPr>
                  <w:r w:rsidRPr="00813B37">
                    <w:rPr>
                      <w:iCs/>
                      <w:sz w:val="22"/>
                      <w:szCs w:val="22"/>
                    </w:rPr>
                    <w:t>b) visuomenei arba dalyviams skirtuose dokumentuose ir komunikacijos medžiagoje, susijusioje su veiksmo įgyvendinimu, gerai matomoje vietoje pateiktas pareiškimas, kuriame akcentuojama gaunama ES parama;</w:t>
                  </w:r>
                </w:p>
                <w:p w:rsidR="00543871" w:rsidRPr="00813B37" w:rsidRDefault="00543871" w:rsidP="00543871">
                  <w:pPr>
                    <w:jc w:val="center"/>
                    <w:rPr>
                      <w:i/>
                      <w:iCs/>
                      <w:sz w:val="22"/>
                      <w:szCs w:val="22"/>
                    </w:rPr>
                  </w:pPr>
                  <w:r w:rsidRPr="00813B37">
                    <w:rPr>
                      <w:iCs/>
                      <w:sz w:val="22"/>
                      <w:szCs w:val="22"/>
                    </w:rPr>
                    <w:t>c) kai tik pradedami fiziniai veiksmai, susiję su fizinėmis investicijomis, arba sumontuojama nupirkta įranga, visuomenei gerai matomoje vietoje iškabinamos ilgalaikės lentelės ar informacinės lentos su ES emblema.</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Privalomos projektų matomumo ir informavimo apie projektus priemonės bei išlaidos</w:t>
                  </w: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FS-01-04</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7B2C30" w:rsidP="00543871">
                  <w:pPr>
                    <w:jc w:val="center"/>
                    <w:rPr>
                      <w:i/>
                      <w:iCs/>
                      <w:sz w:val="22"/>
                      <w:szCs w:val="22"/>
                    </w:rPr>
                  </w:pPr>
                  <w:r w:rsidRPr="00813B37">
                    <w:rPr>
                      <w:sz w:val="22"/>
                      <w:szCs w:val="22"/>
                    </w:rPr>
                    <w:t>03</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i/>
                      <w:iCs/>
                      <w:sz w:val="22"/>
                      <w:szCs w:val="22"/>
                    </w:rPr>
                  </w:pPr>
                  <w:r w:rsidRPr="00813B37">
                    <w:rPr>
                      <w:sz w:val="22"/>
                      <w:szCs w:val="22"/>
                    </w:rPr>
                    <w:t>Įgyvendintų privalomų matomumo ir informavimo priemonių apie ES fondų investicijų veiklas fiksuotoji suma, antrojo rinkinio FS su PVM</w:t>
                  </w:r>
                </w:p>
              </w:tc>
              <w:tc>
                <w:tcPr>
                  <w:tcW w:w="2958" w:type="dxa"/>
                </w:tcPr>
                <w:p w:rsidR="00543871" w:rsidRPr="00813B37" w:rsidRDefault="00543871" w:rsidP="00543871">
                  <w:pPr>
                    <w:jc w:val="center"/>
                    <w:rPr>
                      <w:iCs/>
                      <w:sz w:val="22"/>
                      <w:szCs w:val="22"/>
                    </w:rPr>
                  </w:pPr>
                  <w:r w:rsidRPr="00813B37">
                    <w:rPr>
                      <w:iCs/>
                      <w:sz w:val="22"/>
                      <w:szCs w:val="22"/>
                    </w:rPr>
                    <w:t>Fiksuotąją sumą sudaro visų antrojo privalomų matomumo ir informavimo priemonių rinkinio išlaidos, kai:</w:t>
                  </w:r>
                </w:p>
                <w:p w:rsidR="00543871" w:rsidRPr="00813B37" w:rsidRDefault="00543871" w:rsidP="00543871">
                  <w:pPr>
                    <w:jc w:val="center"/>
                    <w:rPr>
                      <w:iCs/>
                      <w:sz w:val="22"/>
                      <w:szCs w:val="22"/>
                    </w:rPr>
                  </w:pPr>
                  <w:r w:rsidRPr="00813B37">
                    <w:rPr>
                      <w:iCs/>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rsidR="00543871" w:rsidRPr="00813B37" w:rsidRDefault="00543871" w:rsidP="00543871">
                  <w:pPr>
                    <w:jc w:val="center"/>
                    <w:rPr>
                      <w:iCs/>
                      <w:sz w:val="22"/>
                      <w:szCs w:val="22"/>
                    </w:rPr>
                  </w:pPr>
                  <w:r w:rsidRPr="00813B37">
                    <w:rPr>
                      <w:iCs/>
                      <w:sz w:val="22"/>
                      <w:szCs w:val="22"/>
                    </w:rPr>
                    <w:t>b) visuomenei arba dalyviams skirtuose dokumentuose ir komunikacijos medžiagoje, susijusioje su veiksmo įgyvendinimu, gerai matomoje vietoje pateiktas pareiškimas, kuriame akcentuojama gaunama ES parama;</w:t>
                  </w:r>
                </w:p>
                <w:p w:rsidR="00543871" w:rsidRPr="00813B37" w:rsidRDefault="00543871" w:rsidP="00543871">
                  <w:pPr>
                    <w:jc w:val="center"/>
                    <w:rPr>
                      <w:i/>
                      <w:iCs/>
                      <w:sz w:val="22"/>
                      <w:szCs w:val="22"/>
                    </w:rPr>
                  </w:pPr>
                  <w:r w:rsidRPr="00813B37">
                    <w:rPr>
                      <w:iCs/>
                      <w:sz w:val="22"/>
                      <w:szCs w:val="22"/>
                    </w:rPr>
                    <w:t>c) kai tik pradedami fiziniai veiksmai, susiję su fizinėmis investicijomis, arba sumontuojama nupirkta įranga, visuomenei gerai matomoje vietoje iškabinamos ilgalaikės lentelės ar informacinės lentos su ES emblema.</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ind w:firstLine="62"/>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rsidR="00543871" w:rsidRPr="00813B37" w:rsidRDefault="00543871" w:rsidP="00543871">
                  <w:pPr>
                    <w:jc w:val="center"/>
                    <w:rPr>
                      <w:i/>
                      <w:iCs/>
                      <w:sz w:val="22"/>
                      <w:szCs w:val="22"/>
                    </w:rPr>
                  </w:pP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FN-05-01</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sz w:val="22"/>
                      <w:szCs w:val="22"/>
                    </w:rPr>
                  </w:pPr>
                  <w:r w:rsidRPr="00813B37">
                    <w:rPr>
                      <w:sz w:val="22"/>
                      <w:szCs w:val="22"/>
                    </w:rPr>
                    <w:t>Fiksuotoji norma, ji taikoma, kai priklauso 20 darbo dienų (toliau – d. d.) (jeigu dirbama 5 d. d. per savaitę) arba 24 d. d. (jeigu dirbama 6 d. d. per savaitę) kasmetinių atostogų</w:t>
                  </w:r>
                </w:p>
                <w:p w:rsidR="00543871" w:rsidRPr="00813B37" w:rsidRDefault="00543871" w:rsidP="00543871">
                  <w:pPr>
                    <w:jc w:val="center"/>
                    <w:rPr>
                      <w:i/>
                      <w:iCs/>
                      <w:sz w:val="22"/>
                      <w:szCs w:val="22"/>
                    </w:rPr>
                  </w:pPr>
                </w:p>
              </w:tc>
              <w:tc>
                <w:tcPr>
                  <w:tcW w:w="2958" w:type="dxa"/>
                </w:tcPr>
                <w:p w:rsidR="00543871" w:rsidRPr="00813B37" w:rsidRDefault="00543871" w:rsidP="00543871">
                  <w:pPr>
                    <w:jc w:val="center"/>
                    <w:rPr>
                      <w:i/>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ind w:firstLine="62"/>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rsidR="00543871" w:rsidRPr="00813B37" w:rsidRDefault="00543871" w:rsidP="00543871">
                  <w:pPr>
                    <w:jc w:val="center"/>
                    <w:rPr>
                      <w:i/>
                      <w:iCs/>
                      <w:sz w:val="22"/>
                      <w:szCs w:val="22"/>
                    </w:rPr>
                  </w:pP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FN-05-02</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i/>
                      <w:iCs/>
                      <w:sz w:val="22"/>
                      <w:szCs w:val="22"/>
                    </w:rPr>
                  </w:pPr>
                  <w:r w:rsidRPr="00813B37">
                    <w:rPr>
                      <w:sz w:val="22"/>
                      <w:szCs w:val="22"/>
                    </w:rPr>
                    <w:t>Fiksuotoji norma, ji taikoma, kai priklauso nuo 21 iki 25 d. d. (jeigu dirbama 5 d. d. per savaitę) arba nuo 25 iki 30 d. d. (jeigu dirbama 6 d. d. per savaitę) kasmetinių atostogų</w:t>
                  </w:r>
                </w:p>
              </w:tc>
              <w:tc>
                <w:tcPr>
                  <w:tcW w:w="2958" w:type="dxa"/>
                </w:tcPr>
                <w:p w:rsidR="00543871" w:rsidRPr="00813B37" w:rsidRDefault="00543871" w:rsidP="00543871">
                  <w:pPr>
                    <w:jc w:val="center"/>
                    <w:rPr>
                      <w:i/>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ind w:firstLine="62"/>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rsidR="00543871" w:rsidRPr="00813B37" w:rsidRDefault="00543871" w:rsidP="00543871">
                  <w:pPr>
                    <w:jc w:val="center"/>
                    <w:rPr>
                      <w:i/>
                      <w:iCs/>
                      <w:sz w:val="22"/>
                      <w:szCs w:val="22"/>
                    </w:rPr>
                  </w:pP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FN-05-03</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i/>
                      <w:iCs/>
                      <w:sz w:val="22"/>
                      <w:szCs w:val="22"/>
                    </w:rPr>
                  </w:pPr>
                  <w:r w:rsidRPr="00813B37">
                    <w:rPr>
                      <w:sz w:val="22"/>
                      <w:szCs w:val="22"/>
                    </w:rPr>
                    <w:t>Fiksuotoji norma, ji taikoma, kai priklauso nuo 26 iki 30 d. d. (jeigu dirbama 5 d. d. per savaitę) arba nuo 31 iki 36 d. d. (jeigu dirbama 6 d. d. per savaitę) kasmetinių atostogų</w:t>
                  </w:r>
                </w:p>
              </w:tc>
              <w:tc>
                <w:tcPr>
                  <w:tcW w:w="2958" w:type="dxa"/>
                </w:tcPr>
                <w:p w:rsidR="00543871" w:rsidRPr="00813B37" w:rsidRDefault="00543871" w:rsidP="00543871">
                  <w:pPr>
                    <w:jc w:val="center"/>
                    <w:rPr>
                      <w:i/>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543871" w:rsidRPr="00813B37" w:rsidTr="00096B0A">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56"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FN-05-04</w:t>
                  </w:r>
                </w:p>
              </w:tc>
              <w:tc>
                <w:tcPr>
                  <w:tcW w:w="2957" w:type="dxa"/>
                  <w:tcBorders>
                    <w:top w:val="single" w:sz="4" w:space="0" w:color="auto"/>
                    <w:left w:val="single" w:sz="4" w:space="0" w:color="auto"/>
                    <w:bottom w:val="single" w:sz="4" w:space="0" w:color="auto"/>
                    <w:right w:val="single" w:sz="4" w:space="0" w:color="auto"/>
                  </w:tcBorders>
                </w:tcPr>
                <w:p w:rsidR="00543871" w:rsidRPr="00813B37" w:rsidRDefault="00543871" w:rsidP="00543871">
                  <w:pPr>
                    <w:jc w:val="center"/>
                    <w:rPr>
                      <w:i/>
                      <w:iCs/>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543871" w:rsidRPr="00813B37" w:rsidRDefault="00543871" w:rsidP="00543871">
                  <w:pPr>
                    <w:jc w:val="center"/>
                    <w:rPr>
                      <w:i/>
                      <w:iCs/>
                      <w:sz w:val="22"/>
                      <w:szCs w:val="22"/>
                    </w:rPr>
                  </w:pPr>
                  <w:r w:rsidRPr="00813B37">
                    <w:rPr>
                      <w:sz w:val="22"/>
                      <w:szCs w:val="22"/>
                    </w:rPr>
                    <w:t>Fiksuotoji norma, ji taikoma, kai priklauso nuo 31 iki 36 d. d. (jeigu dirbama 5 d. d. per savaitę) arba nuo 37 iki 42 d. d. (jeigu dirbama 6 d. d. per savaitę) kasmetinių atostogų</w:t>
                  </w:r>
                </w:p>
              </w:tc>
              <w:tc>
                <w:tcPr>
                  <w:tcW w:w="2958" w:type="dxa"/>
                </w:tcPr>
                <w:p w:rsidR="00543871" w:rsidRPr="00813B37" w:rsidRDefault="00543871" w:rsidP="00543871">
                  <w:pPr>
                    <w:jc w:val="center"/>
                    <w:rPr>
                      <w:i/>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096B0A" w:rsidRPr="00813B37" w:rsidTr="00096B0A">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FN-05-05</w:t>
                  </w:r>
                </w:p>
              </w:tc>
              <w:tc>
                <w:tcPr>
                  <w:tcW w:w="2957"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096B0A" w:rsidRPr="00813B37" w:rsidRDefault="00096B0A" w:rsidP="00096B0A">
                  <w:pPr>
                    <w:jc w:val="center"/>
                    <w:rPr>
                      <w:sz w:val="22"/>
                      <w:szCs w:val="22"/>
                    </w:rPr>
                  </w:pPr>
                  <w:r w:rsidRPr="00813B37">
                    <w:rPr>
                      <w:sz w:val="22"/>
                      <w:szCs w:val="22"/>
                    </w:rPr>
                    <w:t>Fiksuotoji norma, ji taikoma, kai priklauso nuo 37 iki 39 d. d. (jeigu dirbama 5 d. d. per savaitę) arba nuo 43 iki 47 d. d. (jeigu dirbama 6 d. d. per savaitę) kasmetinių atostogų</w:t>
                  </w:r>
                </w:p>
              </w:tc>
              <w:tc>
                <w:tcPr>
                  <w:tcW w:w="2958" w:type="dxa"/>
                </w:tcPr>
                <w:p w:rsidR="00096B0A" w:rsidRPr="00813B37" w:rsidRDefault="00096B0A" w:rsidP="00096B0A">
                  <w:pPr>
                    <w:jc w:val="center"/>
                    <w:rPr>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096B0A" w:rsidRPr="00813B37" w:rsidTr="00096B0A">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FN-05-06</w:t>
                  </w:r>
                </w:p>
              </w:tc>
              <w:tc>
                <w:tcPr>
                  <w:tcW w:w="2957"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096B0A" w:rsidRPr="00813B37" w:rsidRDefault="00096B0A" w:rsidP="00096B0A">
                  <w:pPr>
                    <w:jc w:val="center"/>
                    <w:rPr>
                      <w:sz w:val="22"/>
                      <w:szCs w:val="22"/>
                    </w:rPr>
                  </w:pPr>
                  <w:r w:rsidRPr="00813B37">
                    <w:rPr>
                      <w:sz w:val="22"/>
                      <w:szCs w:val="22"/>
                    </w:rPr>
                    <w:t>Fiksuotoji norma, ji taikoma, kai priklauso 40 d. d. (jeigu dirbama 5 d. d. per savaitę) arba 48 d. d. (jeigu dirbama 6 d. d. per savaitę) kasmetinių atostogų</w:t>
                  </w:r>
                </w:p>
              </w:tc>
              <w:tc>
                <w:tcPr>
                  <w:tcW w:w="2958" w:type="dxa"/>
                </w:tcPr>
                <w:p w:rsidR="00096B0A" w:rsidRPr="00813B37" w:rsidRDefault="00096B0A" w:rsidP="00096B0A">
                  <w:pPr>
                    <w:jc w:val="center"/>
                    <w:rPr>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096B0A" w:rsidRPr="00813B37" w:rsidTr="00096B0A">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tc>
              <w:tc>
                <w:tcPr>
                  <w:tcW w:w="2956"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FN-05-07</w:t>
                  </w:r>
                </w:p>
              </w:tc>
              <w:tc>
                <w:tcPr>
                  <w:tcW w:w="2957" w:type="dxa"/>
                  <w:tcBorders>
                    <w:top w:val="single" w:sz="4" w:space="0" w:color="auto"/>
                    <w:left w:val="single" w:sz="4" w:space="0" w:color="auto"/>
                    <w:bottom w:val="single" w:sz="4" w:space="0" w:color="auto"/>
                    <w:right w:val="single" w:sz="4" w:space="0" w:color="auto"/>
                  </w:tcBorders>
                </w:tcPr>
                <w:p w:rsidR="00096B0A" w:rsidRPr="00813B37" w:rsidRDefault="00096B0A" w:rsidP="00096B0A">
                  <w:pPr>
                    <w:jc w:val="center"/>
                    <w:rPr>
                      <w:sz w:val="22"/>
                      <w:szCs w:val="22"/>
                    </w:rPr>
                  </w:pPr>
                  <w:r w:rsidRPr="00813B37">
                    <w:rPr>
                      <w:sz w:val="22"/>
                      <w:szCs w:val="22"/>
                    </w:rPr>
                    <w:t>01</w:t>
                  </w:r>
                </w:p>
              </w:tc>
              <w:tc>
                <w:tcPr>
                  <w:tcW w:w="2956" w:type="dxa"/>
                  <w:tcBorders>
                    <w:top w:val="single" w:sz="4" w:space="0" w:color="auto"/>
                    <w:left w:val="single" w:sz="4" w:space="0" w:color="auto"/>
                    <w:bottom w:val="single" w:sz="4" w:space="0" w:color="auto"/>
                  </w:tcBorders>
                </w:tcPr>
                <w:p w:rsidR="00096B0A" w:rsidRPr="00813B37" w:rsidRDefault="00096B0A" w:rsidP="00096B0A">
                  <w:pPr>
                    <w:jc w:val="center"/>
                    <w:rPr>
                      <w:sz w:val="22"/>
                      <w:szCs w:val="22"/>
                    </w:rPr>
                  </w:pPr>
                  <w:r w:rsidRPr="00813B37">
                    <w:rPr>
                      <w:sz w:val="22"/>
                      <w:szCs w:val="22"/>
                    </w:rPr>
                    <w:t>Fiksuotoji norma, ji taikoma, kai priklauso nuo 41 d. d. (jeigu dirbama 5 d. d. per savaitę) arba nuo 49 d. d. (jeigu dirbama 6 d. d. per savaitę) kasmetinių atostogų</w:t>
                  </w:r>
                </w:p>
              </w:tc>
              <w:tc>
                <w:tcPr>
                  <w:tcW w:w="2958" w:type="dxa"/>
                </w:tcPr>
                <w:p w:rsidR="00096B0A" w:rsidRPr="00813B37" w:rsidRDefault="00096B0A" w:rsidP="00096B0A">
                  <w:pPr>
                    <w:jc w:val="center"/>
                    <w:rPr>
                      <w:iCs/>
                      <w:sz w:val="22"/>
                      <w:szCs w:val="22"/>
                    </w:rPr>
                  </w:pPr>
                  <w:r w:rsidRPr="00813B37">
                    <w:rPr>
                      <w:iCs/>
                      <w:sz w:val="22"/>
                      <w:szCs w:val="22"/>
                    </w:rPr>
                    <w:t>Projektą vykdančio personalo darbo užmokesčio išlaidos už kasmetines atostogas, kurios apskaičiuojamos nuo tinkamų finansuoti, faktiškai patirtų vykdančiojo personalo darbo užmokesčio išlaidų.</w:t>
                  </w:r>
                </w:p>
              </w:tc>
            </w:tr>
            <w:tr w:rsidR="002E2B83" w:rsidRPr="00813B37" w:rsidTr="00096B0A">
              <w:tc>
                <w:tcPr>
                  <w:tcW w:w="2956" w:type="dxa"/>
                  <w:tcBorders>
                    <w:top w:val="single" w:sz="4" w:space="0" w:color="auto"/>
                    <w:left w:val="single" w:sz="4" w:space="0" w:color="auto"/>
                    <w:bottom w:val="single" w:sz="4" w:space="0" w:color="auto"/>
                    <w:right w:val="single" w:sz="4" w:space="0" w:color="auto"/>
                  </w:tcBorders>
                </w:tcPr>
                <w:p w:rsidR="000D1630" w:rsidRPr="00813B37" w:rsidRDefault="000D1630" w:rsidP="000D1630">
                  <w:pPr>
                    <w:jc w:val="center"/>
                    <w:rPr>
                      <w:rStyle w:val="cf01"/>
                      <w:rFonts w:ascii="Times New Roman" w:hAnsi="Times New Roman" w:cs="Times New Roman"/>
                      <w:sz w:val="22"/>
                      <w:szCs w:val="22"/>
                    </w:rPr>
                  </w:pPr>
                </w:p>
                <w:p w:rsidR="000D1630" w:rsidRPr="00813B37" w:rsidRDefault="00BE2FC3" w:rsidP="000D1630">
                  <w:pPr>
                    <w:jc w:val="center"/>
                    <w:rPr>
                      <w:rStyle w:val="cf01"/>
                      <w:rFonts w:ascii="Times New Roman" w:hAnsi="Times New Roman" w:cs="Times New Roman"/>
                      <w:sz w:val="22"/>
                      <w:szCs w:val="22"/>
                    </w:rPr>
                  </w:pPr>
                  <w:r w:rsidRPr="00813B37">
                    <w:rPr>
                      <w:rStyle w:val="cf01"/>
                      <w:rFonts w:ascii="Times New Roman" w:hAnsi="Times New Roman" w:cs="Times New Roman"/>
                      <w:sz w:val="22"/>
                      <w:szCs w:val="22"/>
                    </w:rPr>
                    <w:t>Parengtas investicijų projektas</w:t>
                  </w:r>
                </w:p>
                <w:p w:rsidR="000D1630" w:rsidRPr="00813B37" w:rsidRDefault="000D1630" w:rsidP="000D1630">
                  <w:pPr>
                    <w:jc w:val="center"/>
                    <w:rPr>
                      <w:rStyle w:val="cf01"/>
                      <w:rFonts w:ascii="Times New Roman" w:hAnsi="Times New Roman" w:cs="Times New Roman"/>
                      <w:sz w:val="22"/>
                      <w:szCs w:val="22"/>
                    </w:rPr>
                  </w:pPr>
                </w:p>
                <w:p w:rsidR="002E2B83" w:rsidRPr="00813B37" w:rsidRDefault="002E2B83" w:rsidP="00096B0A">
                  <w:pPr>
                    <w:jc w:val="center"/>
                    <w:rPr>
                      <w:sz w:val="22"/>
                      <w:szCs w:val="22"/>
                    </w:rPr>
                  </w:pPr>
                </w:p>
              </w:tc>
              <w:tc>
                <w:tcPr>
                  <w:tcW w:w="2956" w:type="dxa"/>
                  <w:tcBorders>
                    <w:top w:val="single" w:sz="4" w:space="0" w:color="auto"/>
                    <w:left w:val="single" w:sz="4" w:space="0" w:color="auto"/>
                    <w:bottom w:val="single" w:sz="4" w:space="0" w:color="auto"/>
                    <w:right w:val="single" w:sz="4" w:space="0" w:color="auto"/>
                  </w:tcBorders>
                </w:tcPr>
                <w:p w:rsidR="002E2B83" w:rsidRPr="00813B37" w:rsidRDefault="002E2B83" w:rsidP="00096B0A">
                  <w:pPr>
                    <w:jc w:val="center"/>
                    <w:rPr>
                      <w:sz w:val="22"/>
                      <w:szCs w:val="22"/>
                    </w:rPr>
                  </w:pPr>
                  <w:r w:rsidRPr="00813B37">
                    <w:rPr>
                      <w:rStyle w:val="cf01"/>
                      <w:rFonts w:ascii="Times New Roman" w:hAnsi="Times New Roman" w:cs="Times New Roman"/>
                      <w:sz w:val="22"/>
                      <w:szCs w:val="22"/>
                    </w:rPr>
                    <w:t>FĮ-53-03</w:t>
                  </w:r>
                </w:p>
              </w:tc>
              <w:tc>
                <w:tcPr>
                  <w:tcW w:w="2957" w:type="dxa"/>
                  <w:tcBorders>
                    <w:top w:val="single" w:sz="4" w:space="0" w:color="auto"/>
                    <w:left w:val="single" w:sz="4" w:space="0" w:color="auto"/>
                    <w:bottom w:val="single" w:sz="4" w:space="0" w:color="auto"/>
                    <w:right w:val="single" w:sz="4" w:space="0" w:color="auto"/>
                  </w:tcBorders>
                </w:tcPr>
                <w:p w:rsidR="002E2B83" w:rsidRPr="00813B37" w:rsidRDefault="002E2B83" w:rsidP="00096B0A">
                  <w:pPr>
                    <w:jc w:val="center"/>
                    <w:rPr>
                      <w:sz w:val="22"/>
                      <w:szCs w:val="22"/>
                    </w:rPr>
                  </w:pPr>
                  <w:r w:rsidRPr="00813B37">
                    <w:rPr>
                      <w:sz w:val="22"/>
                      <w:szCs w:val="22"/>
                    </w:rPr>
                    <w:t>03</w:t>
                  </w:r>
                </w:p>
              </w:tc>
              <w:tc>
                <w:tcPr>
                  <w:tcW w:w="2956" w:type="dxa"/>
                  <w:tcBorders>
                    <w:top w:val="single" w:sz="4" w:space="0" w:color="auto"/>
                    <w:left w:val="single" w:sz="4" w:space="0" w:color="auto"/>
                    <w:bottom w:val="single" w:sz="4" w:space="0" w:color="auto"/>
                  </w:tcBorders>
                </w:tcPr>
                <w:p w:rsidR="002E2B83" w:rsidRPr="00813B37" w:rsidRDefault="00BE2FC3" w:rsidP="00E357C0">
                  <w:pPr>
                    <w:jc w:val="center"/>
                    <w:rPr>
                      <w:sz w:val="22"/>
                      <w:szCs w:val="22"/>
                    </w:rPr>
                  </w:pPr>
                  <w:r w:rsidRPr="00813B37">
                    <w:rPr>
                      <w:sz w:val="22"/>
                      <w:szCs w:val="22"/>
                    </w:rPr>
                    <w:t>Fiksuotasis vieneto įkainis projektams, kurie skirti informacinių ir ryšių technologijų infrastruktūros ir / ar informacinių sistemų ir / ar registrų kūrimui ir / ar modernizavimui ir / ar plėtrai su PVM</w:t>
                  </w:r>
                </w:p>
              </w:tc>
              <w:tc>
                <w:tcPr>
                  <w:tcW w:w="2958" w:type="dxa"/>
                </w:tcPr>
                <w:p w:rsidR="002E2B83" w:rsidRPr="00813B37" w:rsidRDefault="00E357C0" w:rsidP="00096B0A">
                  <w:pPr>
                    <w:jc w:val="center"/>
                    <w:rPr>
                      <w:iCs/>
                      <w:sz w:val="22"/>
                      <w:szCs w:val="22"/>
                    </w:rPr>
                  </w:pPr>
                  <w:r w:rsidRPr="00813B37">
                    <w:rPr>
                      <w:sz w:val="22"/>
                      <w:szCs w:val="22"/>
                    </w:rPr>
                    <w:t>Investicijų projektas, parengtas vadovaujantis Investicijų projektų, kuriems siekiama gauti finansavimą iš Europos Sąjungos struktūrinės paramos ir</w:t>
                  </w:r>
                  <w:r w:rsidR="005B3A54" w:rsidRPr="00813B37">
                    <w:rPr>
                      <w:sz w:val="22"/>
                      <w:szCs w:val="22"/>
                    </w:rPr>
                    <w:t xml:space="preserve"> </w:t>
                  </w:r>
                  <w:r w:rsidRPr="00813B37">
                    <w:rPr>
                      <w:sz w:val="22"/>
                      <w:szCs w:val="22"/>
                    </w:rPr>
                    <w:t>/</w:t>
                  </w:r>
                  <w:r w:rsidR="005B3A54" w:rsidRPr="00813B37">
                    <w:rPr>
                      <w:sz w:val="22"/>
                      <w:szCs w:val="22"/>
                    </w:rPr>
                    <w:t xml:space="preserve"> </w:t>
                  </w:r>
                  <w:r w:rsidRPr="00813B37">
                    <w:rPr>
                      <w:sz w:val="22"/>
                      <w:szCs w:val="22"/>
                    </w:rPr>
                    <w:t>ar valstybės biudžeto lėšų, rengimo metodika</w:t>
                  </w:r>
                </w:p>
              </w:tc>
            </w:tr>
            <w:tr w:rsidR="002E2B83" w:rsidRPr="00813B37" w:rsidTr="001B0464">
              <w:tc>
                <w:tcPr>
                  <w:tcW w:w="2956" w:type="dxa"/>
                  <w:tcBorders>
                    <w:top w:val="single" w:sz="4" w:space="0" w:color="auto"/>
                    <w:left w:val="single" w:sz="4" w:space="0" w:color="auto"/>
                    <w:bottom w:val="single" w:sz="4" w:space="0" w:color="auto"/>
                    <w:right w:val="single" w:sz="4" w:space="0" w:color="auto"/>
                  </w:tcBorders>
                </w:tcPr>
                <w:p w:rsidR="002E2B83" w:rsidRPr="00813B37" w:rsidRDefault="00C33BDB" w:rsidP="00096B0A">
                  <w:pPr>
                    <w:jc w:val="center"/>
                    <w:rPr>
                      <w:rStyle w:val="cf01"/>
                      <w:rFonts w:ascii="Times New Roman" w:hAnsi="Times New Roman" w:cs="Times New Roman"/>
                      <w:sz w:val="22"/>
                      <w:szCs w:val="22"/>
                    </w:rPr>
                  </w:pPr>
                  <w:r w:rsidRPr="00813B37">
                    <w:rPr>
                      <w:rStyle w:val="cf01"/>
                      <w:rFonts w:ascii="Times New Roman" w:hAnsi="Times New Roman" w:cs="Times New Roman"/>
                      <w:sz w:val="22"/>
                      <w:szCs w:val="22"/>
                    </w:rPr>
                    <w:t>Parengtas investicijų projektas</w:t>
                  </w:r>
                </w:p>
              </w:tc>
              <w:tc>
                <w:tcPr>
                  <w:tcW w:w="2956" w:type="dxa"/>
                  <w:tcBorders>
                    <w:top w:val="single" w:sz="4" w:space="0" w:color="auto"/>
                    <w:left w:val="single" w:sz="4" w:space="0" w:color="auto"/>
                    <w:bottom w:val="single" w:sz="4" w:space="0" w:color="auto"/>
                    <w:right w:val="single" w:sz="4" w:space="0" w:color="auto"/>
                  </w:tcBorders>
                </w:tcPr>
                <w:p w:rsidR="002E2B83" w:rsidRPr="00813B37" w:rsidRDefault="00C33BDB" w:rsidP="00096B0A">
                  <w:pPr>
                    <w:jc w:val="center"/>
                    <w:rPr>
                      <w:sz w:val="22"/>
                      <w:szCs w:val="22"/>
                    </w:rPr>
                  </w:pPr>
                  <w:r w:rsidRPr="00813B37">
                    <w:rPr>
                      <w:rStyle w:val="cf01"/>
                      <w:rFonts w:ascii="Times New Roman" w:hAnsi="Times New Roman" w:cs="Times New Roman"/>
                      <w:sz w:val="22"/>
                      <w:szCs w:val="22"/>
                    </w:rPr>
                    <w:t xml:space="preserve">FĮ-53-04 </w:t>
                  </w:r>
                </w:p>
              </w:tc>
              <w:tc>
                <w:tcPr>
                  <w:tcW w:w="2957" w:type="dxa"/>
                  <w:tcBorders>
                    <w:top w:val="single" w:sz="4" w:space="0" w:color="auto"/>
                    <w:left w:val="single" w:sz="4" w:space="0" w:color="auto"/>
                    <w:bottom w:val="single" w:sz="4" w:space="0" w:color="auto"/>
                    <w:right w:val="single" w:sz="4" w:space="0" w:color="auto"/>
                  </w:tcBorders>
                </w:tcPr>
                <w:p w:rsidR="002E2B83" w:rsidRPr="00813B37" w:rsidRDefault="002E2B83" w:rsidP="00096B0A">
                  <w:pPr>
                    <w:jc w:val="center"/>
                    <w:rPr>
                      <w:sz w:val="22"/>
                      <w:szCs w:val="22"/>
                    </w:rPr>
                  </w:pPr>
                  <w:r w:rsidRPr="00813B37">
                    <w:rPr>
                      <w:sz w:val="22"/>
                      <w:szCs w:val="22"/>
                    </w:rPr>
                    <w:t>02</w:t>
                  </w:r>
                </w:p>
              </w:tc>
              <w:tc>
                <w:tcPr>
                  <w:tcW w:w="2956" w:type="dxa"/>
                  <w:tcBorders>
                    <w:top w:val="single" w:sz="4" w:space="0" w:color="auto"/>
                    <w:left w:val="single" w:sz="4" w:space="0" w:color="auto"/>
                    <w:bottom w:val="single" w:sz="4" w:space="0" w:color="auto"/>
                  </w:tcBorders>
                </w:tcPr>
                <w:p w:rsidR="002E2B83" w:rsidRPr="00813B37" w:rsidRDefault="00B8678E" w:rsidP="00096B0A">
                  <w:pPr>
                    <w:jc w:val="center"/>
                    <w:rPr>
                      <w:sz w:val="22"/>
                      <w:szCs w:val="22"/>
                    </w:rPr>
                  </w:pPr>
                  <w:r w:rsidRPr="00813B37">
                    <w:rPr>
                      <w:sz w:val="22"/>
                      <w:szCs w:val="22"/>
                    </w:rPr>
                    <w:t>Fiksuotasis vieneto įkainis už parengtą investicijų projektą, kai investicijų projektas rengiamas visiems kitiems projektams, kurie nesusiję su IVS, su PVM</w:t>
                  </w:r>
                </w:p>
              </w:tc>
              <w:tc>
                <w:tcPr>
                  <w:tcW w:w="2958" w:type="dxa"/>
                </w:tcPr>
                <w:p w:rsidR="002E2B83" w:rsidRPr="00813B37" w:rsidRDefault="000377AD" w:rsidP="00096B0A">
                  <w:pPr>
                    <w:jc w:val="center"/>
                    <w:rPr>
                      <w:iCs/>
                      <w:sz w:val="22"/>
                      <w:szCs w:val="22"/>
                    </w:rPr>
                  </w:pPr>
                  <w:r w:rsidRPr="00813B37">
                    <w:rPr>
                      <w:iCs/>
                      <w:sz w:val="22"/>
                      <w:szCs w:val="22"/>
                    </w:rPr>
                    <w:t>Investicijų projektas, parengtas vadovaujantis Investicijų projektų, kuriems siekiama gauti finansavimą iš Europos Sąjungos struktūrinės paramos ir</w:t>
                  </w:r>
                  <w:r w:rsidR="005B3A54" w:rsidRPr="00813B37">
                    <w:rPr>
                      <w:iCs/>
                      <w:sz w:val="22"/>
                      <w:szCs w:val="22"/>
                    </w:rPr>
                    <w:t xml:space="preserve"> </w:t>
                  </w:r>
                  <w:r w:rsidRPr="00813B37">
                    <w:rPr>
                      <w:iCs/>
                      <w:sz w:val="22"/>
                      <w:szCs w:val="22"/>
                    </w:rPr>
                    <w:t>/</w:t>
                  </w:r>
                  <w:r w:rsidR="005B3A54" w:rsidRPr="00813B37">
                    <w:rPr>
                      <w:iCs/>
                      <w:sz w:val="22"/>
                      <w:szCs w:val="22"/>
                    </w:rPr>
                    <w:t xml:space="preserve"> </w:t>
                  </w:r>
                  <w:r w:rsidRPr="00813B37">
                    <w:rPr>
                      <w:iCs/>
                      <w:sz w:val="22"/>
                      <w:szCs w:val="22"/>
                    </w:rPr>
                    <w:t>ar valstybės biudžeto lėšų, rengimo metodika</w:t>
                  </w:r>
                </w:p>
                <w:p w:rsidR="00405C29" w:rsidRPr="00813B37" w:rsidRDefault="00405C29" w:rsidP="00096B0A">
                  <w:pPr>
                    <w:jc w:val="center"/>
                    <w:rPr>
                      <w:iCs/>
                      <w:sz w:val="22"/>
                      <w:szCs w:val="22"/>
                    </w:rPr>
                  </w:pPr>
                </w:p>
              </w:tc>
            </w:tr>
            <w:tr w:rsidR="001B0464" w:rsidRPr="00813B37" w:rsidTr="001B0464">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FĮ-32-01</w:t>
                  </w:r>
                </w:p>
              </w:tc>
              <w:tc>
                <w:tcPr>
                  <w:tcW w:w="2957"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02</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Projekto dalyvio ir (arba) projektą vykdančio personalo kelionės į užsienį fiksuotasis vieneto įkainis, kai kelionės į vieną pusę atstumas neviršija 99 km</w:t>
                  </w:r>
                </w:p>
              </w:tc>
              <w:tc>
                <w:tcPr>
                  <w:tcW w:w="2958" w:type="dxa"/>
                  <w:tcBorders>
                    <w:left w:val="single" w:sz="4" w:space="0" w:color="auto"/>
                  </w:tcBorders>
                </w:tcPr>
                <w:p w:rsidR="001B0464" w:rsidRPr="00813B37" w:rsidRDefault="001B0464" w:rsidP="001B0464">
                  <w:pPr>
                    <w:jc w:val="center"/>
                    <w:rPr>
                      <w:iCs/>
                      <w:sz w:val="22"/>
                      <w:szCs w:val="22"/>
                    </w:rPr>
                  </w:pPr>
                </w:p>
              </w:tc>
            </w:tr>
            <w:tr w:rsidR="001B0464" w:rsidRPr="00813B37" w:rsidTr="001B0464">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FĮ-32-02</w:t>
                  </w:r>
                </w:p>
              </w:tc>
              <w:tc>
                <w:tcPr>
                  <w:tcW w:w="2957"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02</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Projekto dalyvio ir (arba) projektą vykdančio personalo kelionės į užsienį fiksuotasis vieneto įkainis, kai kelionės į vieną pusę atstumas siekia nuo 100 km iki 499 km</w:t>
                  </w:r>
                </w:p>
              </w:tc>
              <w:tc>
                <w:tcPr>
                  <w:tcW w:w="2958" w:type="dxa"/>
                  <w:tcBorders>
                    <w:left w:val="single" w:sz="4" w:space="0" w:color="auto"/>
                  </w:tcBorders>
                </w:tcPr>
                <w:p w:rsidR="001B0464" w:rsidRPr="00813B37" w:rsidRDefault="001B0464" w:rsidP="001B0464">
                  <w:pPr>
                    <w:jc w:val="center"/>
                    <w:rPr>
                      <w:iCs/>
                      <w:sz w:val="22"/>
                      <w:szCs w:val="22"/>
                    </w:rPr>
                  </w:pPr>
                </w:p>
              </w:tc>
            </w:tr>
            <w:tr w:rsidR="001B0464" w:rsidRPr="00813B37" w:rsidTr="001B0464">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rStyle w:val="cf01"/>
                      <w:rFonts w:ascii="Times New Roman" w:hAnsi="Times New Roman" w:cs="Times New Roman"/>
                      <w:sz w:val="22"/>
                      <w:szCs w:val="22"/>
                    </w:rPr>
                  </w:pPr>
                  <w:r w:rsidRPr="00813B37">
                    <w:rPr>
                      <w:sz w:val="22"/>
                      <w:szCs w:val="22"/>
                    </w:rPr>
                    <w:t>FĮ-32-03</w:t>
                  </w:r>
                </w:p>
              </w:tc>
              <w:tc>
                <w:tcPr>
                  <w:tcW w:w="2957"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02</w:t>
                  </w:r>
                </w:p>
              </w:tc>
              <w:tc>
                <w:tcPr>
                  <w:tcW w:w="2956" w:type="dxa"/>
                  <w:tcBorders>
                    <w:top w:val="single" w:sz="4" w:space="0" w:color="auto"/>
                    <w:left w:val="single" w:sz="4" w:space="0" w:color="auto"/>
                    <w:bottom w:val="single" w:sz="4" w:space="0" w:color="auto"/>
                    <w:right w:val="single" w:sz="4" w:space="0" w:color="auto"/>
                  </w:tcBorders>
                  <w:vAlign w:val="center"/>
                </w:tcPr>
                <w:p w:rsidR="001B0464" w:rsidRPr="00813B37" w:rsidRDefault="001B0464" w:rsidP="001B0464">
                  <w:pPr>
                    <w:jc w:val="center"/>
                    <w:rPr>
                      <w:sz w:val="22"/>
                      <w:szCs w:val="22"/>
                    </w:rPr>
                  </w:pPr>
                  <w:r w:rsidRPr="00813B37">
                    <w:rPr>
                      <w:sz w:val="22"/>
                      <w:szCs w:val="22"/>
                    </w:rPr>
                    <w:t>Projekto dalyvio ir (arba) projektą vykdančio personalo kelionės į užsienį fiksuotasis vieneto įkainis, kai kelionės į vieną pusę atstumas siekia nuo 500 km iki 1999 km</w:t>
                  </w:r>
                </w:p>
              </w:tc>
              <w:tc>
                <w:tcPr>
                  <w:tcW w:w="2958" w:type="dxa"/>
                  <w:tcBorders>
                    <w:left w:val="single" w:sz="4" w:space="0" w:color="auto"/>
                  </w:tcBorders>
                </w:tcPr>
                <w:p w:rsidR="001B0464" w:rsidRPr="00813B37" w:rsidRDefault="001B0464" w:rsidP="001B0464">
                  <w:pPr>
                    <w:jc w:val="center"/>
                    <w:rPr>
                      <w:iCs/>
                      <w:sz w:val="22"/>
                      <w:szCs w:val="22"/>
                    </w:rPr>
                  </w:pPr>
                </w:p>
              </w:tc>
            </w:tr>
            <w:tr w:rsidR="003F050E"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FĮ-32-04</w:t>
                  </w:r>
                </w:p>
              </w:tc>
              <w:tc>
                <w:tcPr>
                  <w:tcW w:w="2957"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Projekto dalyvio ir (arba) projektą vykdančio personalo kelionės į užsienį fiksuotasis vieneto įkainis, kai kelionės į vieną pusę atstumas siekia nuo 2 000 km iki 2 999 km</w:t>
                  </w:r>
                </w:p>
                <w:p w:rsidR="003F050E" w:rsidRPr="00813B37" w:rsidRDefault="003F050E" w:rsidP="003F050E">
                  <w:pPr>
                    <w:jc w:val="center"/>
                    <w:rPr>
                      <w:sz w:val="22"/>
                      <w:szCs w:val="22"/>
                    </w:rPr>
                  </w:pPr>
                </w:p>
              </w:tc>
              <w:tc>
                <w:tcPr>
                  <w:tcW w:w="2958" w:type="dxa"/>
                </w:tcPr>
                <w:p w:rsidR="003F050E" w:rsidRPr="00813B37" w:rsidRDefault="003F050E" w:rsidP="003F050E">
                  <w:pPr>
                    <w:jc w:val="center"/>
                    <w:rPr>
                      <w:iCs/>
                      <w:sz w:val="22"/>
                      <w:szCs w:val="22"/>
                    </w:rPr>
                  </w:pPr>
                </w:p>
              </w:tc>
            </w:tr>
            <w:tr w:rsidR="003F050E"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FĮ-32-05</w:t>
                  </w:r>
                </w:p>
              </w:tc>
              <w:tc>
                <w:tcPr>
                  <w:tcW w:w="2957"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Projekto dalyvio ir (arba) projektą vykdančio personalo kelionės į užsienį fiksuotasis vieneto įkainis, kai kelionės į vieną pusę atstumas siekia nuo 3 000 km iki 3 999 km</w:t>
                  </w:r>
                </w:p>
                <w:p w:rsidR="003F050E" w:rsidRPr="00813B37" w:rsidRDefault="003F050E" w:rsidP="003F050E">
                  <w:pPr>
                    <w:jc w:val="center"/>
                    <w:rPr>
                      <w:sz w:val="22"/>
                      <w:szCs w:val="22"/>
                    </w:rPr>
                  </w:pPr>
                </w:p>
              </w:tc>
              <w:tc>
                <w:tcPr>
                  <w:tcW w:w="2958" w:type="dxa"/>
                </w:tcPr>
                <w:p w:rsidR="003F050E" w:rsidRPr="00813B37" w:rsidRDefault="003F050E" w:rsidP="003F050E">
                  <w:pPr>
                    <w:jc w:val="center"/>
                    <w:rPr>
                      <w:iCs/>
                      <w:sz w:val="22"/>
                      <w:szCs w:val="22"/>
                    </w:rPr>
                  </w:pPr>
                </w:p>
              </w:tc>
            </w:tr>
            <w:tr w:rsidR="003F050E"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rStyle w:val="cf01"/>
                      <w:rFonts w:ascii="Times New Roman" w:hAnsi="Times New Roman" w:cs="Times New Roman"/>
                      <w:sz w:val="22"/>
                      <w:szCs w:val="22"/>
                    </w:rPr>
                  </w:pPr>
                  <w:r w:rsidRPr="00813B37">
                    <w:rPr>
                      <w:sz w:val="22"/>
                      <w:szCs w:val="22"/>
                    </w:rPr>
                    <w:t>FĮ-32-06</w:t>
                  </w:r>
                </w:p>
              </w:tc>
              <w:tc>
                <w:tcPr>
                  <w:tcW w:w="2957"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3F050E" w:rsidRPr="00813B37" w:rsidRDefault="003F050E" w:rsidP="003F050E">
                  <w:pPr>
                    <w:jc w:val="center"/>
                    <w:rPr>
                      <w:sz w:val="22"/>
                      <w:szCs w:val="22"/>
                    </w:rPr>
                  </w:pPr>
                  <w:r w:rsidRPr="00813B37">
                    <w:rPr>
                      <w:sz w:val="22"/>
                      <w:szCs w:val="22"/>
                    </w:rPr>
                    <w:t>Projekto dalyvio ir (arba) projektą vykdančio personalo kelionės į užsienį fiksuotasis vieneto įkainis, kai kelionės į vieną pusę atstumas siekia nuo 4 000 km iki 7 999 km</w:t>
                  </w:r>
                </w:p>
                <w:p w:rsidR="003F050E" w:rsidRPr="00813B37" w:rsidRDefault="003F050E" w:rsidP="003F050E">
                  <w:pPr>
                    <w:jc w:val="center"/>
                    <w:rPr>
                      <w:sz w:val="22"/>
                      <w:szCs w:val="22"/>
                    </w:rPr>
                  </w:pPr>
                </w:p>
              </w:tc>
              <w:tc>
                <w:tcPr>
                  <w:tcW w:w="2958" w:type="dxa"/>
                </w:tcPr>
                <w:p w:rsidR="003F050E" w:rsidRPr="00813B37" w:rsidRDefault="003F050E" w:rsidP="003F050E">
                  <w:pPr>
                    <w:jc w:val="center"/>
                    <w:rPr>
                      <w:iCs/>
                      <w:sz w:val="22"/>
                      <w:szCs w:val="22"/>
                    </w:rPr>
                  </w:pPr>
                </w:p>
              </w:tc>
            </w:tr>
            <w:tr w:rsidR="00641EB9"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rStyle w:val="cf01"/>
                      <w:rFonts w:ascii="Times New Roman" w:hAnsi="Times New Roman" w:cs="Times New Roman"/>
                      <w:sz w:val="22"/>
                      <w:szCs w:val="22"/>
                    </w:rPr>
                  </w:pPr>
                  <w:r w:rsidRPr="00813B37">
                    <w:rPr>
                      <w:sz w:val="22"/>
                      <w:szCs w:val="22"/>
                    </w:rPr>
                    <w:t>Projekto dalyvio ir (arba) projektą vykdančio personalo kelionė į užsienį</w:t>
                  </w: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rStyle w:val="cf01"/>
                      <w:rFonts w:ascii="Times New Roman" w:hAnsi="Times New Roman" w:cs="Times New Roman"/>
                      <w:sz w:val="22"/>
                      <w:szCs w:val="22"/>
                    </w:rPr>
                  </w:pPr>
                  <w:r w:rsidRPr="00813B37">
                    <w:rPr>
                      <w:sz w:val="22"/>
                      <w:szCs w:val="22"/>
                    </w:rPr>
                    <w:t>FĮ-32-07</w:t>
                  </w:r>
                </w:p>
              </w:tc>
              <w:tc>
                <w:tcPr>
                  <w:tcW w:w="2957"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Projekto dalyvio ir (arba) projektą vykdančio personalo kelionės į užsienį fiksuotasis vieneto įkainis, kai kelionės į vieną pusę atstumas siekia 8 000 km ir daugiau</w:t>
                  </w:r>
                </w:p>
                <w:p w:rsidR="00641EB9" w:rsidRPr="00813B37" w:rsidRDefault="00641EB9" w:rsidP="00641EB9">
                  <w:pPr>
                    <w:jc w:val="center"/>
                    <w:rPr>
                      <w:sz w:val="22"/>
                      <w:szCs w:val="22"/>
                    </w:rPr>
                  </w:pPr>
                </w:p>
              </w:tc>
              <w:tc>
                <w:tcPr>
                  <w:tcW w:w="2958" w:type="dxa"/>
                </w:tcPr>
                <w:p w:rsidR="00641EB9" w:rsidRPr="00813B37" w:rsidRDefault="00641EB9" w:rsidP="00641EB9">
                  <w:pPr>
                    <w:jc w:val="center"/>
                    <w:rPr>
                      <w:iCs/>
                      <w:sz w:val="22"/>
                      <w:szCs w:val="22"/>
                    </w:rPr>
                  </w:pPr>
                </w:p>
              </w:tc>
            </w:tr>
            <w:tr w:rsidR="00641EB9"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rPr>
                      <w:sz w:val="22"/>
                      <w:szCs w:val="22"/>
                    </w:rPr>
                  </w:pPr>
                  <w:r w:rsidRPr="00813B37">
                    <w:rPr>
                      <w:sz w:val="22"/>
                      <w:szCs w:val="22"/>
                    </w:rPr>
                    <w:t>Darbuotojo komandiruotė į užsienio valstybę (-es)</w:t>
                  </w: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rPr>
                      <w:sz w:val="22"/>
                      <w:szCs w:val="22"/>
                    </w:rPr>
                  </w:pPr>
                </w:p>
                <w:p w:rsidR="00641EB9" w:rsidRPr="00813B37" w:rsidRDefault="00641EB9" w:rsidP="00641EB9">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rStyle w:val="cf01"/>
                      <w:rFonts w:ascii="Times New Roman" w:hAnsi="Times New Roman" w:cs="Times New Roman"/>
                      <w:sz w:val="22"/>
                      <w:szCs w:val="22"/>
                    </w:rPr>
                  </w:pPr>
                  <w:r w:rsidRPr="00813B37">
                    <w:rPr>
                      <w:sz w:val="22"/>
                      <w:szCs w:val="22"/>
                    </w:rPr>
                    <w:t>FĮ-34-01</w:t>
                  </w:r>
                </w:p>
              </w:tc>
              <w:tc>
                <w:tcPr>
                  <w:tcW w:w="2957"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Darbuotojo vienos dienos, praleistos komandiruotėje, fiksuotasis vieneto įkainis (kai komandiruotė trunka dvi ir daugiau dienų), kai vykstama į šalį, nustatytą 1-oje šalių grupėje</w:t>
                  </w:r>
                </w:p>
                <w:p w:rsidR="00641EB9" w:rsidRPr="00813B37" w:rsidRDefault="00641EB9" w:rsidP="00641EB9">
                  <w:pPr>
                    <w:jc w:val="center"/>
                    <w:rPr>
                      <w:sz w:val="22"/>
                      <w:szCs w:val="22"/>
                    </w:rPr>
                  </w:pPr>
                </w:p>
              </w:tc>
              <w:tc>
                <w:tcPr>
                  <w:tcW w:w="2958" w:type="dxa"/>
                </w:tcPr>
                <w:p w:rsidR="00641EB9" w:rsidRPr="00813B37" w:rsidRDefault="00641EB9" w:rsidP="00641EB9">
                  <w:pPr>
                    <w:jc w:val="center"/>
                    <w:rPr>
                      <w:iCs/>
                      <w:sz w:val="22"/>
                      <w:szCs w:val="22"/>
                    </w:rPr>
                  </w:pPr>
                </w:p>
              </w:tc>
            </w:tr>
            <w:tr w:rsidR="00641EB9"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rPr>
                      <w:sz w:val="22"/>
                      <w:szCs w:val="22"/>
                    </w:rPr>
                  </w:pPr>
                  <w:r w:rsidRPr="00813B37">
                    <w:rPr>
                      <w:sz w:val="22"/>
                      <w:szCs w:val="22"/>
                    </w:rPr>
                    <w:t>Darbuotojo komandiruotė į užsienio valstybę (-es)</w:t>
                  </w:r>
                </w:p>
                <w:p w:rsidR="00641EB9" w:rsidRPr="00813B37" w:rsidRDefault="00641EB9" w:rsidP="00641EB9">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rStyle w:val="cf01"/>
                      <w:rFonts w:ascii="Times New Roman" w:hAnsi="Times New Roman" w:cs="Times New Roman"/>
                      <w:sz w:val="22"/>
                      <w:szCs w:val="22"/>
                    </w:rPr>
                  </w:pPr>
                  <w:r w:rsidRPr="00813B37">
                    <w:rPr>
                      <w:sz w:val="22"/>
                      <w:szCs w:val="22"/>
                    </w:rPr>
                    <w:t>FĮ-34-02</w:t>
                  </w:r>
                </w:p>
              </w:tc>
              <w:tc>
                <w:tcPr>
                  <w:tcW w:w="2957"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641EB9" w:rsidRPr="00813B37" w:rsidRDefault="00641EB9" w:rsidP="00641EB9">
                  <w:pPr>
                    <w:jc w:val="center"/>
                    <w:rPr>
                      <w:sz w:val="22"/>
                      <w:szCs w:val="22"/>
                    </w:rPr>
                  </w:pPr>
                  <w:r w:rsidRPr="00813B37">
                    <w:rPr>
                      <w:sz w:val="22"/>
                      <w:szCs w:val="22"/>
                    </w:rPr>
                    <w:t>Darbuotojo vienos dienos, praleistos komandiruotėje, fiksuotasis vieneto įkainis (kai komandiruotė trunka dvi ir daugiau dienų), kai vykstama į šalį, nustatytą 2-oje šalių grupėje</w:t>
                  </w:r>
                </w:p>
                <w:p w:rsidR="00641EB9" w:rsidRPr="00813B37" w:rsidRDefault="00641EB9" w:rsidP="00641EB9">
                  <w:pPr>
                    <w:jc w:val="center"/>
                    <w:rPr>
                      <w:sz w:val="22"/>
                      <w:szCs w:val="22"/>
                    </w:rPr>
                  </w:pPr>
                </w:p>
              </w:tc>
              <w:tc>
                <w:tcPr>
                  <w:tcW w:w="2958" w:type="dxa"/>
                </w:tcPr>
                <w:p w:rsidR="00641EB9" w:rsidRPr="00813B37" w:rsidRDefault="00641EB9" w:rsidP="00641EB9">
                  <w:pPr>
                    <w:jc w:val="center"/>
                    <w:rPr>
                      <w:iCs/>
                      <w:sz w:val="22"/>
                      <w:szCs w:val="22"/>
                    </w:rPr>
                  </w:pPr>
                </w:p>
              </w:tc>
            </w:tr>
            <w:tr w:rsidR="001F7EC3"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rPr>
                      <w:sz w:val="22"/>
                      <w:szCs w:val="22"/>
                    </w:rPr>
                  </w:pPr>
                  <w:r w:rsidRPr="00813B37">
                    <w:rPr>
                      <w:sz w:val="22"/>
                      <w:szCs w:val="22"/>
                    </w:rPr>
                    <w:t>Darbuotojo komandiruotė į užsienio valstybę (-es)</w:t>
                  </w:r>
                </w:p>
                <w:p w:rsidR="001F7EC3" w:rsidRPr="00813B37" w:rsidRDefault="001F7EC3" w:rsidP="001F7EC3">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rStyle w:val="cf01"/>
                      <w:rFonts w:ascii="Times New Roman" w:hAnsi="Times New Roman" w:cs="Times New Roman"/>
                      <w:sz w:val="22"/>
                      <w:szCs w:val="22"/>
                    </w:rPr>
                  </w:pPr>
                  <w:r w:rsidRPr="00813B37">
                    <w:rPr>
                      <w:sz w:val="22"/>
                      <w:szCs w:val="22"/>
                    </w:rPr>
                    <w:t>FĮ-34-03</w:t>
                  </w:r>
                </w:p>
              </w:tc>
              <w:tc>
                <w:tcPr>
                  <w:tcW w:w="2957"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Darbuotojo vienos dienos, praleistos komandiruotėje, fiksuotasis vieneto įkainis (kai komandiruotė trunka dvi ir daugiau dienų), kai vykstama į šalį, nustatytą 3-oje šalių grupėje</w:t>
                  </w:r>
                </w:p>
                <w:p w:rsidR="001F7EC3" w:rsidRPr="00813B37" w:rsidRDefault="001F7EC3" w:rsidP="001F7EC3">
                  <w:pPr>
                    <w:jc w:val="center"/>
                    <w:rPr>
                      <w:sz w:val="22"/>
                      <w:szCs w:val="22"/>
                    </w:rPr>
                  </w:pPr>
                </w:p>
              </w:tc>
              <w:tc>
                <w:tcPr>
                  <w:tcW w:w="2958" w:type="dxa"/>
                </w:tcPr>
                <w:p w:rsidR="001F7EC3" w:rsidRPr="00813B37" w:rsidRDefault="001F7EC3" w:rsidP="001F7EC3">
                  <w:pPr>
                    <w:jc w:val="center"/>
                    <w:rPr>
                      <w:iCs/>
                      <w:sz w:val="22"/>
                      <w:szCs w:val="22"/>
                    </w:rPr>
                  </w:pPr>
                </w:p>
              </w:tc>
            </w:tr>
            <w:tr w:rsidR="001F7EC3"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rPr>
                      <w:sz w:val="22"/>
                      <w:szCs w:val="22"/>
                    </w:rPr>
                  </w:pPr>
                  <w:r w:rsidRPr="00813B37">
                    <w:rPr>
                      <w:sz w:val="22"/>
                      <w:szCs w:val="22"/>
                    </w:rPr>
                    <w:t>Darbuotojo komandiruotė į užsienio valstybę (-es)</w:t>
                  </w:r>
                </w:p>
                <w:p w:rsidR="001F7EC3" w:rsidRPr="00813B37" w:rsidRDefault="001F7EC3" w:rsidP="001F7EC3">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rStyle w:val="cf01"/>
                      <w:rFonts w:ascii="Times New Roman" w:hAnsi="Times New Roman" w:cs="Times New Roman"/>
                      <w:sz w:val="22"/>
                      <w:szCs w:val="22"/>
                    </w:rPr>
                  </w:pPr>
                  <w:r w:rsidRPr="00813B37">
                    <w:rPr>
                      <w:sz w:val="22"/>
                      <w:szCs w:val="22"/>
                    </w:rPr>
                    <w:t>FĮ-34-04</w:t>
                  </w:r>
                </w:p>
              </w:tc>
              <w:tc>
                <w:tcPr>
                  <w:tcW w:w="2957"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Darbuotojo vienos dienos, praleistos komandiruotėje, fiksuotasis vieneto įkainis (kai komandiruotė trunka dvi ir daugiau dienų), kai vykstama į šalį, nustatytą 4-oje šalių grupėje</w:t>
                  </w:r>
                </w:p>
                <w:p w:rsidR="001F7EC3" w:rsidRPr="00813B37" w:rsidRDefault="001F7EC3" w:rsidP="001F7EC3">
                  <w:pPr>
                    <w:jc w:val="center"/>
                    <w:rPr>
                      <w:sz w:val="22"/>
                      <w:szCs w:val="22"/>
                    </w:rPr>
                  </w:pPr>
                </w:p>
              </w:tc>
              <w:tc>
                <w:tcPr>
                  <w:tcW w:w="2958" w:type="dxa"/>
                </w:tcPr>
                <w:p w:rsidR="001F7EC3" w:rsidRPr="00813B37" w:rsidRDefault="001F7EC3" w:rsidP="001F7EC3">
                  <w:pPr>
                    <w:jc w:val="center"/>
                    <w:rPr>
                      <w:iCs/>
                      <w:sz w:val="22"/>
                      <w:szCs w:val="22"/>
                    </w:rPr>
                  </w:pPr>
                </w:p>
              </w:tc>
            </w:tr>
            <w:tr w:rsidR="001F7EC3"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rPr>
                      <w:sz w:val="22"/>
                      <w:szCs w:val="22"/>
                    </w:rPr>
                  </w:pPr>
                  <w:r w:rsidRPr="00813B37">
                    <w:rPr>
                      <w:sz w:val="22"/>
                      <w:szCs w:val="22"/>
                    </w:rPr>
                    <w:t>Darbuotojo komandiruotė į užsienio valstybę (-es)</w:t>
                  </w:r>
                </w:p>
                <w:p w:rsidR="001F7EC3" w:rsidRPr="00813B37" w:rsidRDefault="001F7EC3" w:rsidP="001F7EC3">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rStyle w:val="cf01"/>
                      <w:rFonts w:ascii="Times New Roman" w:hAnsi="Times New Roman" w:cs="Times New Roman"/>
                      <w:sz w:val="22"/>
                      <w:szCs w:val="22"/>
                    </w:rPr>
                  </w:pPr>
                  <w:r w:rsidRPr="00813B37">
                    <w:rPr>
                      <w:sz w:val="22"/>
                      <w:szCs w:val="22"/>
                    </w:rPr>
                    <w:t>FĮ-34-05</w:t>
                  </w:r>
                </w:p>
              </w:tc>
              <w:tc>
                <w:tcPr>
                  <w:tcW w:w="2957"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F7EC3" w:rsidRPr="00813B37" w:rsidRDefault="001F7EC3" w:rsidP="001F7EC3">
                  <w:pPr>
                    <w:jc w:val="center"/>
                    <w:rPr>
                      <w:sz w:val="22"/>
                      <w:szCs w:val="22"/>
                    </w:rPr>
                  </w:pPr>
                  <w:r w:rsidRPr="00813B37">
                    <w:rPr>
                      <w:sz w:val="22"/>
                      <w:szCs w:val="22"/>
                    </w:rPr>
                    <w:t>Darbuotojo vienos dienos, praleistos komandiruotėje, fiksuotasis vieneto įkainis (kai komandiruotė trunka dvi ir daugiau dienų), kai vykstama į šalį, nustatytą 5-oje šalių grupėje</w:t>
                  </w:r>
                </w:p>
                <w:p w:rsidR="001F7EC3" w:rsidRPr="00813B37" w:rsidRDefault="001F7EC3" w:rsidP="001F7EC3">
                  <w:pPr>
                    <w:jc w:val="center"/>
                    <w:rPr>
                      <w:sz w:val="22"/>
                      <w:szCs w:val="22"/>
                    </w:rPr>
                  </w:pPr>
                </w:p>
              </w:tc>
              <w:tc>
                <w:tcPr>
                  <w:tcW w:w="2958" w:type="dxa"/>
                </w:tcPr>
                <w:p w:rsidR="001F7EC3" w:rsidRPr="00813B37" w:rsidRDefault="001F7EC3" w:rsidP="001F7EC3">
                  <w:pPr>
                    <w:jc w:val="center"/>
                    <w:rPr>
                      <w:iCs/>
                      <w:sz w:val="22"/>
                      <w:szCs w:val="22"/>
                    </w:rPr>
                  </w:pPr>
                </w:p>
              </w:tc>
            </w:tr>
            <w:tr w:rsidR="002B72D4"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rPr>
                      <w:sz w:val="22"/>
                      <w:szCs w:val="22"/>
                    </w:rPr>
                  </w:pPr>
                  <w:r w:rsidRPr="00813B37">
                    <w:rPr>
                      <w:sz w:val="22"/>
                      <w:szCs w:val="22"/>
                    </w:rPr>
                    <w:t>Darbuotojo komandiruotė į užsienio valstybę (-es)</w:t>
                  </w:r>
                </w:p>
                <w:p w:rsidR="002B72D4" w:rsidRPr="00813B37" w:rsidRDefault="002B72D4" w:rsidP="002B72D4">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rStyle w:val="cf01"/>
                      <w:rFonts w:ascii="Times New Roman" w:hAnsi="Times New Roman" w:cs="Times New Roman"/>
                      <w:sz w:val="22"/>
                      <w:szCs w:val="22"/>
                    </w:rPr>
                  </w:pPr>
                  <w:r w:rsidRPr="00813B37">
                    <w:rPr>
                      <w:sz w:val="22"/>
                      <w:szCs w:val="22"/>
                    </w:rPr>
                    <w:t>FĮ-34-06</w:t>
                  </w:r>
                </w:p>
              </w:tc>
              <w:tc>
                <w:tcPr>
                  <w:tcW w:w="2957"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Darbuotojo komandiruotės fiksuotasis vieneto įkainis (kai komandiruotė trunka vieną dieną), kai vykstama į šalį, nustatytą 6-oje grupėje</w:t>
                  </w:r>
                </w:p>
                <w:p w:rsidR="002B72D4" w:rsidRPr="00813B37" w:rsidRDefault="002B72D4" w:rsidP="002B72D4">
                  <w:pPr>
                    <w:jc w:val="center"/>
                    <w:rPr>
                      <w:sz w:val="22"/>
                      <w:szCs w:val="22"/>
                    </w:rPr>
                  </w:pPr>
                </w:p>
              </w:tc>
              <w:tc>
                <w:tcPr>
                  <w:tcW w:w="2958" w:type="dxa"/>
                </w:tcPr>
                <w:p w:rsidR="002B72D4" w:rsidRPr="00813B37" w:rsidRDefault="002B72D4" w:rsidP="002B72D4">
                  <w:pPr>
                    <w:jc w:val="center"/>
                    <w:rPr>
                      <w:iCs/>
                      <w:sz w:val="22"/>
                      <w:szCs w:val="22"/>
                    </w:rPr>
                  </w:pPr>
                </w:p>
              </w:tc>
            </w:tr>
            <w:tr w:rsidR="002B72D4"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rPr>
                      <w:sz w:val="22"/>
                      <w:szCs w:val="22"/>
                    </w:rPr>
                  </w:pPr>
                  <w:r w:rsidRPr="00813B37">
                    <w:rPr>
                      <w:sz w:val="22"/>
                      <w:szCs w:val="22"/>
                    </w:rPr>
                    <w:t>Darbuotojo komandiruotė į užsienio valstybę (-es)</w:t>
                  </w:r>
                </w:p>
                <w:p w:rsidR="002B72D4" w:rsidRPr="00813B37" w:rsidRDefault="002B72D4" w:rsidP="002B72D4">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rStyle w:val="cf01"/>
                      <w:rFonts w:ascii="Times New Roman" w:hAnsi="Times New Roman" w:cs="Times New Roman"/>
                      <w:sz w:val="22"/>
                      <w:szCs w:val="22"/>
                    </w:rPr>
                  </w:pPr>
                  <w:r w:rsidRPr="00813B37">
                    <w:rPr>
                      <w:sz w:val="22"/>
                      <w:szCs w:val="22"/>
                    </w:rPr>
                    <w:t>FĮ-34-07</w:t>
                  </w:r>
                </w:p>
              </w:tc>
              <w:tc>
                <w:tcPr>
                  <w:tcW w:w="2957"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Darbuotojo komandiruotės fiksuotasis vieneto įkainis (kai komandiruotė trunka vieną dieną), kai vykstama į šalį, nustatytą 7-oje grupėje</w:t>
                  </w:r>
                </w:p>
                <w:p w:rsidR="002B72D4" w:rsidRPr="00813B37" w:rsidRDefault="002B72D4" w:rsidP="002B72D4">
                  <w:pPr>
                    <w:jc w:val="center"/>
                    <w:rPr>
                      <w:sz w:val="22"/>
                      <w:szCs w:val="22"/>
                    </w:rPr>
                  </w:pPr>
                </w:p>
              </w:tc>
              <w:tc>
                <w:tcPr>
                  <w:tcW w:w="2958" w:type="dxa"/>
                </w:tcPr>
                <w:p w:rsidR="002B72D4" w:rsidRPr="00813B37" w:rsidRDefault="002B72D4" w:rsidP="002B72D4">
                  <w:pPr>
                    <w:jc w:val="center"/>
                    <w:rPr>
                      <w:iCs/>
                      <w:sz w:val="22"/>
                      <w:szCs w:val="22"/>
                    </w:rPr>
                  </w:pPr>
                </w:p>
              </w:tc>
            </w:tr>
            <w:tr w:rsidR="002B72D4"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rPr>
                      <w:sz w:val="22"/>
                      <w:szCs w:val="22"/>
                    </w:rPr>
                  </w:pPr>
                  <w:r w:rsidRPr="00813B37">
                    <w:rPr>
                      <w:sz w:val="22"/>
                      <w:szCs w:val="22"/>
                    </w:rPr>
                    <w:t>Darbuotojo komandiruotė į užsienio valstybę (-es)</w:t>
                  </w:r>
                </w:p>
                <w:p w:rsidR="002B72D4" w:rsidRPr="00813B37" w:rsidRDefault="002B72D4" w:rsidP="002B72D4">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rStyle w:val="cf01"/>
                      <w:rFonts w:ascii="Times New Roman" w:hAnsi="Times New Roman" w:cs="Times New Roman"/>
                      <w:sz w:val="22"/>
                      <w:szCs w:val="22"/>
                    </w:rPr>
                  </w:pPr>
                  <w:r w:rsidRPr="00813B37">
                    <w:rPr>
                      <w:sz w:val="22"/>
                      <w:szCs w:val="22"/>
                    </w:rPr>
                    <w:t>FĮ-34-08</w:t>
                  </w:r>
                </w:p>
              </w:tc>
              <w:tc>
                <w:tcPr>
                  <w:tcW w:w="2957"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2B72D4" w:rsidRPr="00813B37" w:rsidRDefault="002B72D4" w:rsidP="002B72D4">
                  <w:pPr>
                    <w:jc w:val="center"/>
                    <w:rPr>
                      <w:sz w:val="22"/>
                      <w:szCs w:val="22"/>
                    </w:rPr>
                  </w:pPr>
                  <w:r w:rsidRPr="00813B37">
                    <w:rPr>
                      <w:sz w:val="22"/>
                      <w:szCs w:val="22"/>
                    </w:rPr>
                    <w:t>Darbuotojo komandiruotės fiksuotasis vieneto įkainis (kai komandiruotė trunka vieną dieną), kai vykstama į šalį, nustatytą 8-oje grupėje</w:t>
                  </w:r>
                </w:p>
                <w:p w:rsidR="002B72D4" w:rsidRPr="00813B37" w:rsidRDefault="002B72D4" w:rsidP="002B72D4">
                  <w:pPr>
                    <w:jc w:val="center"/>
                    <w:rPr>
                      <w:sz w:val="22"/>
                      <w:szCs w:val="22"/>
                    </w:rPr>
                  </w:pPr>
                </w:p>
              </w:tc>
              <w:tc>
                <w:tcPr>
                  <w:tcW w:w="2958" w:type="dxa"/>
                </w:tcPr>
                <w:p w:rsidR="002B72D4" w:rsidRPr="00813B37" w:rsidRDefault="002B72D4" w:rsidP="002B72D4">
                  <w:pPr>
                    <w:jc w:val="center"/>
                    <w:rPr>
                      <w:iCs/>
                      <w:sz w:val="22"/>
                      <w:szCs w:val="22"/>
                    </w:rPr>
                  </w:pPr>
                </w:p>
              </w:tc>
            </w:tr>
            <w:tr w:rsidR="001345BB"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rPr>
                      <w:sz w:val="22"/>
                      <w:szCs w:val="22"/>
                    </w:rPr>
                  </w:pPr>
                  <w:r w:rsidRPr="00813B37">
                    <w:rPr>
                      <w:sz w:val="22"/>
                      <w:szCs w:val="22"/>
                    </w:rPr>
                    <w:t>Darbuotojo komandiruotė į užsienio valstybę (-es)</w:t>
                  </w:r>
                </w:p>
                <w:p w:rsidR="001345BB" w:rsidRPr="00813B37" w:rsidRDefault="001345BB" w:rsidP="001345BB">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rStyle w:val="cf01"/>
                      <w:rFonts w:ascii="Times New Roman" w:hAnsi="Times New Roman" w:cs="Times New Roman"/>
                      <w:sz w:val="22"/>
                      <w:szCs w:val="22"/>
                    </w:rPr>
                  </w:pPr>
                  <w:r w:rsidRPr="00813B37">
                    <w:rPr>
                      <w:sz w:val="22"/>
                      <w:szCs w:val="22"/>
                    </w:rPr>
                    <w:t>FĮ-34-09</w:t>
                  </w:r>
                </w:p>
              </w:tc>
              <w:tc>
                <w:tcPr>
                  <w:tcW w:w="2957"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Darbuotojo komandiruotės fiksuotasis vieneto įkainis (kai komandiruotė trunka vieną dieną), kai vykstama į šalį, nustatytą 9-oje grupėje</w:t>
                  </w:r>
                </w:p>
                <w:p w:rsidR="001345BB" w:rsidRPr="00813B37" w:rsidRDefault="001345BB" w:rsidP="001345BB">
                  <w:pPr>
                    <w:jc w:val="center"/>
                    <w:rPr>
                      <w:sz w:val="22"/>
                      <w:szCs w:val="22"/>
                    </w:rPr>
                  </w:pPr>
                </w:p>
              </w:tc>
              <w:tc>
                <w:tcPr>
                  <w:tcW w:w="2958" w:type="dxa"/>
                </w:tcPr>
                <w:p w:rsidR="001345BB" w:rsidRPr="00813B37" w:rsidRDefault="001345BB" w:rsidP="001345BB">
                  <w:pPr>
                    <w:jc w:val="center"/>
                    <w:rPr>
                      <w:iCs/>
                      <w:sz w:val="22"/>
                      <w:szCs w:val="22"/>
                    </w:rPr>
                  </w:pPr>
                </w:p>
              </w:tc>
            </w:tr>
            <w:tr w:rsidR="001345BB"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rPr>
                      <w:sz w:val="22"/>
                      <w:szCs w:val="22"/>
                    </w:rPr>
                  </w:pPr>
                  <w:r w:rsidRPr="00813B37">
                    <w:rPr>
                      <w:sz w:val="22"/>
                      <w:szCs w:val="22"/>
                    </w:rPr>
                    <w:t>Darbuotojo komandiruotė į užsienio valstybę (-es)</w:t>
                  </w:r>
                </w:p>
                <w:p w:rsidR="001345BB" w:rsidRPr="00813B37" w:rsidRDefault="001345BB" w:rsidP="001345BB">
                  <w:pPr>
                    <w:jc w:val="center"/>
                    <w:rPr>
                      <w:rStyle w:val="cf01"/>
                      <w:rFonts w:ascii="Times New Roman" w:hAnsi="Times New Roman" w:cs="Times New Roman"/>
                      <w:sz w:val="22"/>
                      <w:szCs w:val="22"/>
                    </w:rPr>
                  </w:pP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rStyle w:val="cf01"/>
                      <w:rFonts w:ascii="Times New Roman" w:hAnsi="Times New Roman" w:cs="Times New Roman"/>
                      <w:sz w:val="22"/>
                      <w:szCs w:val="22"/>
                    </w:rPr>
                  </w:pPr>
                  <w:r w:rsidRPr="00813B37">
                    <w:rPr>
                      <w:sz w:val="22"/>
                      <w:szCs w:val="22"/>
                    </w:rPr>
                    <w:t>FĮ-34-10</w:t>
                  </w:r>
                </w:p>
              </w:tc>
              <w:tc>
                <w:tcPr>
                  <w:tcW w:w="2957"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Darbuotojo komandiruotės fiksuotasis vieneto įkainis (kai komandiruotė trunka vieną dieną), kai vykstama į šalį, nustatytą 10-oje grupėje</w:t>
                  </w:r>
                </w:p>
                <w:p w:rsidR="001345BB" w:rsidRPr="00813B37" w:rsidRDefault="001345BB" w:rsidP="001345BB">
                  <w:pPr>
                    <w:jc w:val="center"/>
                    <w:rPr>
                      <w:sz w:val="22"/>
                      <w:szCs w:val="22"/>
                    </w:rPr>
                  </w:pPr>
                </w:p>
              </w:tc>
              <w:tc>
                <w:tcPr>
                  <w:tcW w:w="2958" w:type="dxa"/>
                </w:tcPr>
                <w:p w:rsidR="001345BB" w:rsidRPr="00813B37" w:rsidRDefault="001345BB" w:rsidP="001345BB">
                  <w:pPr>
                    <w:jc w:val="center"/>
                    <w:rPr>
                      <w:iCs/>
                      <w:sz w:val="22"/>
                      <w:szCs w:val="22"/>
                    </w:rPr>
                  </w:pPr>
                </w:p>
              </w:tc>
            </w:tr>
            <w:tr w:rsidR="001345BB"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rStyle w:val="cf01"/>
                      <w:rFonts w:ascii="Times New Roman" w:hAnsi="Times New Roman" w:cs="Times New Roman"/>
                      <w:sz w:val="22"/>
                      <w:szCs w:val="22"/>
                    </w:rPr>
                  </w:pPr>
                  <w:r w:rsidRPr="00813B37">
                    <w:rPr>
                      <w:sz w:val="22"/>
                      <w:szCs w:val="22"/>
                    </w:rPr>
                    <w:t>Projekto dalyvio ir (arba) projektą vykdančio personalo tarpmiestinės kelionės Lietuvoje atstumas</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FĮ-22-01</w:t>
                  </w:r>
                </w:p>
                <w:p w:rsidR="001345BB" w:rsidRPr="00813B37" w:rsidRDefault="001345BB" w:rsidP="001345BB">
                  <w:pPr>
                    <w:jc w:val="center"/>
                    <w:rPr>
                      <w:rStyle w:val="cf01"/>
                      <w:rFonts w:ascii="Times New Roman" w:hAnsi="Times New Roman" w:cs="Times New Roman"/>
                      <w:sz w:val="22"/>
                      <w:szCs w:val="22"/>
                    </w:rPr>
                  </w:pPr>
                </w:p>
              </w:tc>
              <w:tc>
                <w:tcPr>
                  <w:tcW w:w="2957"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Kelionių išlaidų Lietuvoje fiksuotasis vieneto įkainis be PVM</w:t>
                  </w:r>
                </w:p>
              </w:tc>
              <w:tc>
                <w:tcPr>
                  <w:tcW w:w="2958" w:type="dxa"/>
                </w:tcPr>
                <w:p w:rsidR="001345BB" w:rsidRPr="00813B37" w:rsidRDefault="001345BB" w:rsidP="001345BB">
                  <w:pPr>
                    <w:jc w:val="center"/>
                    <w:rPr>
                      <w:iCs/>
                      <w:sz w:val="22"/>
                      <w:szCs w:val="22"/>
                    </w:rPr>
                  </w:pPr>
                </w:p>
              </w:tc>
            </w:tr>
            <w:tr w:rsidR="001345BB" w:rsidRPr="00813B37" w:rsidTr="00B378BB">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rStyle w:val="cf01"/>
                      <w:rFonts w:ascii="Times New Roman" w:hAnsi="Times New Roman" w:cs="Times New Roman"/>
                      <w:sz w:val="22"/>
                      <w:szCs w:val="22"/>
                    </w:rPr>
                  </w:pPr>
                  <w:r w:rsidRPr="00813B37">
                    <w:rPr>
                      <w:sz w:val="22"/>
                      <w:szCs w:val="22"/>
                    </w:rPr>
                    <w:t>Projekto dalyvio ir (arba) projektą vykdančio personalo tarpmiestinės kelionės Lietuvoje atstumas</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FĮ-22-02</w:t>
                  </w:r>
                </w:p>
                <w:p w:rsidR="001345BB" w:rsidRPr="00813B37" w:rsidRDefault="001345BB" w:rsidP="001345BB">
                  <w:pPr>
                    <w:jc w:val="center"/>
                    <w:rPr>
                      <w:rStyle w:val="cf01"/>
                      <w:rFonts w:ascii="Times New Roman" w:hAnsi="Times New Roman" w:cs="Times New Roman"/>
                      <w:sz w:val="22"/>
                      <w:szCs w:val="22"/>
                    </w:rPr>
                  </w:pPr>
                </w:p>
              </w:tc>
              <w:tc>
                <w:tcPr>
                  <w:tcW w:w="2957"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02</w:t>
                  </w:r>
                </w:p>
              </w:tc>
              <w:tc>
                <w:tcPr>
                  <w:tcW w:w="2956" w:type="dxa"/>
                  <w:tcBorders>
                    <w:top w:val="single" w:sz="8" w:space="0" w:color="auto"/>
                    <w:left w:val="single" w:sz="8" w:space="0" w:color="auto"/>
                    <w:bottom w:val="single" w:sz="8" w:space="0" w:color="auto"/>
                    <w:right w:val="single" w:sz="8" w:space="0" w:color="auto"/>
                  </w:tcBorders>
                  <w:vAlign w:val="center"/>
                </w:tcPr>
                <w:p w:rsidR="001345BB" w:rsidRPr="00813B37" w:rsidRDefault="001345BB" w:rsidP="001345BB">
                  <w:pPr>
                    <w:jc w:val="center"/>
                    <w:rPr>
                      <w:sz w:val="22"/>
                      <w:szCs w:val="22"/>
                    </w:rPr>
                  </w:pPr>
                  <w:r w:rsidRPr="00813B37">
                    <w:rPr>
                      <w:sz w:val="22"/>
                      <w:szCs w:val="22"/>
                    </w:rPr>
                    <w:t>Kelionių išlaidų Lietuvoje fiksuotasis vieneto įkainis su PVM</w:t>
                  </w:r>
                </w:p>
              </w:tc>
              <w:tc>
                <w:tcPr>
                  <w:tcW w:w="2958" w:type="dxa"/>
                </w:tcPr>
                <w:p w:rsidR="001345BB" w:rsidRPr="00813B37" w:rsidRDefault="001345BB" w:rsidP="001345BB">
                  <w:pPr>
                    <w:jc w:val="center"/>
                    <w:rPr>
                      <w:iCs/>
                      <w:sz w:val="22"/>
                      <w:szCs w:val="22"/>
                    </w:rPr>
                  </w:pPr>
                </w:p>
              </w:tc>
            </w:tr>
            <w:tr w:rsidR="001345BB" w:rsidRPr="00813B37" w:rsidTr="00096B0A">
              <w:tc>
                <w:tcPr>
                  <w:tcW w:w="2956" w:type="dxa"/>
                  <w:tcBorders>
                    <w:top w:val="single" w:sz="4" w:space="0" w:color="auto"/>
                    <w:left w:val="single" w:sz="4" w:space="0" w:color="auto"/>
                    <w:bottom w:val="single" w:sz="4" w:space="0" w:color="auto"/>
                    <w:right w:val="single" w:sz="4" w:space="0" w:color="auto"/>
                  </w:tcBorders>
                </w:tcPr>
                <w:p w:rsidR="001345BB" w:rsidRPr="00813B37" w:rsidRDefault="001345BB" w:rsidP="001345BB">
                  <w:pPr>
                    <w:jc w:val="center"/>
                    <w:rPr>
                      <w:rStyle w:val="cf01"/>
                      <w:rFonts w:ascii="Times New Roman" w:hAnsi="Times New Roman" w:cs="Times New Roman"/>
                      <w:sz w:val="22"/>
                      <w:szCs w:val="22"/>
                    </w:rPr>
                  </w:pPr>
                </w:p>
              </w:tc>
              <w:tc>
                <w:tcPr>
                  <w:tcW w:w="2956" w:type="dxa"/>
                  <w:tcBorders>
                    <w:top w:val="single" w:sz="4" w:space="0" w:color="auto"/>
                    <w:left w:val="single" w:sz="4" w:space="0" w:color="auto"/>
                    <w:bottom w:val="single" w:sz="4" w:space="0" w:color="auto"/>
                    <w:right w:val="single" w:sz="4" w:space="0" w:color="auto"/>
                  </w:tcBorders>
                </w:tcPr>
                <w:p w:rsidR="001345BB" w:rsidRPr="00813B37" w:rsidRDefault="001345BB" w:rsidP="001345BB">
                  <w:pPr>
                    <w:jc w:val="center"/>
                    <w:rPr>
                      <w:rStyle w:val="cf01"/>
                      <w:rFonts w:ascii="Times New Roman" w:hAnsi="Times New Roman" w:cs="Times New Roman"/>
                      <w:sz w:val="22"/>
                      <w:szCs w:val="22"/>
                    </w:rPr>
                  </w:pPr>
                </w:p>
              </w:tc>
              <w:tc>
                <w:tcPr>
                  <w:tcW w:w="2957" w:type="dxa"/>
                  <w:tcBorders>
                    <w:top w:val="single" w:sz="4" w:space="0" w:color="auto"/>
                    <w:left w:val="single" w:sz="4" w:space="0" w:color="auto"/>
                    <w:bottom w:val="single" w:sz="4" w:space="0" w:color="auto"/>
                    <w:right w:val="single" w:sz="4" w:space="0" w:color="auto"/>
                  </w:tcBorders>
                </w:tcPr>
                <w:p w:rsidR="001345BB" w:rsidRPr="00813B37" w:rsidRDefault="001345BB" w:rsidP="001345BB">
                  <w:pPr>
                    <w:jc w:val="center"/>
                    <w:rPr>
                      <w:sz w:val="22"/>
                      <w:szCs w:val="22"/>
                    </w:rPr>
                  </w:pPr>
                </w:p>
              </w:tc>
              <w:tc>
                <w:tcPr>
                  <w:tcW w:w="2956" w:type="dxa"/>
                  <w:tcBorders>
                    <w:top w:val="single" w:sz="4" w:space="0" w:color="auto"/>
                    <w:left w:val="single" w:sz="4" w:space="0" w:color="auto"/>
                    <w:bottom w:val="single" w:sz="4" w:space="0" w:color="auto"/>
                  </w:tcBorders>
                </w:tcPr>
                <w:p w:rsidR="001345BB" w:rsidRPr="00813B37" w:rsidRDefault="001345BB" w:rsidP="001345BB">
                  <w:pPr>
                    <w:jc w:val="center"/>
                    <w:rPr>
                      <w:sz w:val="22"/>
                      <w:szCs w:val="22"/>
                    </w:rPr>
                  </w:pPr>
                </w:p>
              </w:tc>
              <w:tc>
                <w:tcPr>
                  <w:tcW w:w="2958" w:type="dxa"/>
                </w:tcPr>
                <w:p w:rsidR="001345BB" w:rsidRPr="00813B37" w:rsidRDefault="001345BB" w:rsidP="001345BB">
                  <w:pPr>
                    <w:jc w:val="center"/>
                    <w:rPr>
                      <w:iCs/>
                      <w:sz w:val="22"/>
                      <w:szCs w:val="22"/>
                    </w:rPr>
                  </w:pPr>
                </w:p>
              </w:tc>
            </w:tr>
          </w:tbl>
          <w:p w:rsidR="00EB0F8F" w:rsidRPr="00813B37" w:rsidRDefault="00EB0F8F">
            <w:pPr>
              <w:jc w:val="both"/>
              <w:rPr>
                <w:i/>
                <w:iCs/>
                <w:sz w:val="22"/>
                <w:szCs w:val="22"/>
              </w:rPr>
            </w:pPr>
          </w:p>
          <w:p w:rsidR="00EB0F8F" w:rsidRPr="00813B37" w:rsidRDefault="00EB0F8F">
            <w:pPr>
              <w:jc w:val="both"/>
              <w:rPr>
                <w:i/>
                <w:iCs/>
                <w:sz w:val="22"/>
                <w:szCs w:val="22"/>
              </w:rPr>
            </w:pPr>
          </w:p>
        </w:tc>
      </w:tr>
    </w:tbl>
    <w:p w:rsidR="001B4743" w:rsidRDefault="00C222C1" w:rsidP="00216C39">
      <w:pPr>
        <w:spacing w:line="276" w:lineRule="auto"/>
        <w:jc w:val="center"/>
        <w:rPr>
          <w:rFonts w:eastAsia="Calibri"/>
          <w:szCs w:val="24"/>
        </w:rPr>
        <w:sectPr w:rsidR="001B4743" w:rsidSect="001A7660">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pgNumType w:start="1"/>
          <w:cols w:space="1296"/>
          <w:titlePg/>
          <w:docGrid w:linePitch="360"/>
        </w:sectPr>
      </w:pPr>
      <w:r>
        <w:rPr>
          <w:rFonts w:eastAsia="Calibri"/>
          <w:szCs w:val="24"/>
        </w:rPr>
        <w:t>_______________</w:t>
      </w:r>
    </w:p>
    <w:p w:rsidR="001E2F7B" w:rsidRDefault="001E2F7B" w:rsidP="00F56A77">
      <w:pPr>
        <w:spacing w:line="276" w:lineRule="auto"/>
        <w:rPr>
          <w:rFonts w:eastAsia="Calibri"/>
          <w:szCs w:val="24"/>
        </w:rPr>
      </w:pPr>
    </w:p>
    <w:p w:rsidR="00913925" w:rsidRDefault="00913925" w:rsidP="00913925">
      <w:pPr>
        <w:ind w:left="10206"/>
        <w:jc w:val="both"/>
        <w:rPr>
          <w:szCs w:val="24"/>
        </w:rPr>
      </w:pPr>
      <w:r w:rsidRPr="00CF543D">
        <w:rPr>
          <w:szCs w:val="24"/>
        </w:rPr>
        <w:t>18</w:t>
      </w:r>
      <w:r>
        <w:rPr>
          <w:szCs w:val="24"/>
        </w:rPr>
        <w:t xml:space="preserve"> priedo „2022–2030 m. plėtros programos valdytojos Lietuvos Respublikos švietimo, mokslo ir sporto ministerijos mokslo plėtros programos pažangos priemonės Nr. 12-001-01-02-01 „Stiprinti inovacijų ekosistemas mokslo centruose“ projektų finansavimo sąlygų aprašo Nr</w:t>
      </w:r>
      <w:r w:rsidRPr="00CF543D">
        <w:rPr>
          <w:szCs w:val="24"/>
        </w:rPr>
        <w:t>. 17“</w:t>
      </w:r>
    </w:p>
    <w:p w:rsidR="00913925" w:rsidRDefault="00913925" w:rsidP="00913925">
      <w:pPr>
        <w:ind w:left="10206"/>
        <w:jc w:val="both"/>
        <w:rPr>
          <w:szCs w:val="24"/>
        </w:rPr>
      </w:pPr>
      <w:r>
        <w:rPr>
          <w:szCs w:val="24"/>
        </w:rPr>
        <w:t>1 priedas</w:t>
      </w:r>
    </w:p>
    <w:p w:rsidR="007A3CA8" w:rsidRDefault="007A3CA8" w:rsidP="007A3CA8">
      <w:pPr>
        <w:tabs>
          <w:tab w:val="left" w:pos="10284"/>
        </w:tabs>
        <w:spacing w:line="276" w:lineRule="auto"/>
        <w:rPr>
          <w:rFonts w:eastAsia="Calibri"/>
          <w:szCs w:val="24"/>
        </w:rPr>
      </w:pPr>
      <w:r>
        <w:rPr>
          <w:rFonts w:eastAsia="Calibri"/>
          <w:szCs w:val="24"/>
        </w:rPr>
        <w:t xml:space="preserve">                                                                                                                                                                          priedas</w:t>
      </w:r>
    </w:p>
    <w:p w:rsidR="007A3CA8" w:rsidRDefault="007A3CA8" w:rsidP="007A3CA8">
      <w:pPr>
        <w:spacing w:line="276" w:lineRule="auto"/>
        <w:jc w:val="center"/>
        <w:rPr>
          <w:szCs w:val="24"/>
        </w:rPr>
      </w:pPr>
    </w:p>
    <w:p w:rsidR="007A3CA8" w:rsidRDefault="007A3CA8" w:rsidP="007A3CA8">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rsidR="007A3CA8" w:rsidRDefault="007A3CA8" w:rsidP="007A3CA8">
      <w:pPr>
        <w:jc w:val="center"/>
        <w:rPr>
          <w:rFonts w:eastAsia="Calibri"/>
          <w:b/>
          <w:bCs/>
          <w:szCs w:val="24"/>
        </w:rPr>
      </w:pPr>
    </w:p>
    <w:p w:rsidR="007A3CA8" w:rsidRDefault="007A3CA8" w:rsidP="007A3CA8">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rsidR="007A3CA8" w:rsidRDefault="007A3CA8" w:rsidP="007A3CA8">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rsidR="007A3CA8" w:rsidRDefault="007A3CA8" w:rsidP="007A3CA8">
      <w:pPr>
        <w:spacing w:line="276" w:lineRule="auto"/>
        <w:jc w:val="both"/>
        <w:rPr>
          <w:rFonts w:eastAsia="Calibri"/>
          <w:bCs/>
          <w:szCs w:val="24"/>
        </w:rPr>
      </w:pPr>
      <w:r>
        <w:t>X  Europos Sąjungos fondų i</w:t>
      </w:r>
      <w:r>
        <w:rPr>
          <w:rFonts w:eastAsia="Calibri"/>
          <w:bCs/>
          <w:szCs w:val="24"/>
        </w:rPr>
        <w:t>nvesticijų programa (toliau – ESIP).</w:t>
      </w:r>
    </w:p>
    <w:p w:rsidR="007A3CA8" w:rsidRDefault="007A3CA8" w:rsidP="007A3CA8">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7A3CA8" w:rsidTr="00B378BB">
        <w:tc>
          <w:tcPr>
            <w:tcW w:w="4933" w:type="dxa"/>
          </w:tcPr>
          <w:p w:rsidR="007A3CA8" w:rsidRDefault="007A3CA8" w:rsidP="00B378BB">
            <w:pPr>
              <w:jc w:val="center"/>
              <w:rPr>
                <w:rFonts w:eastAsia="Calibri"/>
                <w:b/>
                <w:szCs w:val="24"/>
              </w:rPr>
            </w:pPr>
            <w:r>
              <w:rPr>
                <w:rFonts w:eastAsia="Calibri"/>
                <w:b/>
                <w:szCs w:val="24"/>
              </w:rPr>
              <w:t>Aplinkos tikslai</w:t>
            </w:r>
          </w:p>
          <w:p w:rsidR="007A3CA8" w:rsidRDefault="007A3CA8" w:rsidP="00B378BB">
            <w:pPr>
              <w:jc w:val="both"/>
              <w:rPr>
                <w:rFonts w:eastAsia="Calibri"/>
                <w:b/>
                <w:szCs w:val="24"/>
              </w:rPr>
            </w:pPr>
            <w:r>
              <w:rPr>
                <w:rFonts w:eastAsia="Calibri"/>
                <w:szCs w:val="24"/>
              </w:rPr>
              <w:t>(</w:t>
            </w:r>
            <w:r>
              <w:rPr>
                <w:rFonts w:eastAsia="Calibri"/>
                <w:i/>
                <w:szCs w:val="24"/>
              </w:rPr>
              <w:t xml:space="preserve">pagal 2020 m. birželio </w:t>
            </w:r>
            <w:r w:rsidRPr="00DF2564">
              <w:rPr>
                <w:rFonts w:eastAsia="Calibri"/>
                <w:i/>
                <w:szCs w:val="24"/>
              </w:rPr>
              <w:t xml:space="preserve">18 d. Europos Parlamento ir Tarybos reglamentą </w:t>
            </w:r>
            <w:hyperlink r:id="rId21" w:tgtFrame="_blank" w:history="1">
              <w:r w:rsidRPr="00616A1B">
                <w:rPr>
                  <w:rFonts w:eastAsia="Calibri"/>
                  <w:i/>
                  <w:szCs w:val="24"/>
                </w:rPr>
                <w:t>(ES) Nr. 2020/852</w:t>
              </w:r>
            </w:hyperlink>
            <w:r w:rsidRPr="007311C2">
              <w:rPr>
                <w:rFonts w:eastAsia="Calibri"/>
                <w:i/>
                <w:szCs w:val="24"/>
              </w:rPr>
              <w:t xml:space="preserve"> dėl sistemos tvariam investavimui palengvinti sukūrimo, kuriuo iš dalies keičiamas Reglamentas </w:t>
            </w:r>
            <w:hyperlink r:id="rId22" w:tgtFrame="_blank" w:history="1">
              <w:r w:rsidRPr="00616A1B">
                <w:rPr>
                  <w:rFonts w:eastAsia="Calibri"/>
                  <w:i/>
                  <w:szCs w:val="24"/>
                </w:rPr>
                <w:t>(ES) Nr. 2019/2088</w:t>
              </w:r>
            </w:hyperlink>
            <w:r w:rsidRPr="007311C2">
              <w:rPr>
                <w:rFonts w:eastAsia="Calibri"/>
                <w:i/>
                <w:szCs w:val="24"/>
              </w:rPr>
              <w:t>)</w:t>
            </w:r>
          </w:p>
        </w:tc>
        <w:tc>
          <w:tcPr>
            <w:tcW w:w="4678" w:type="dxa"/>
          </w:tcPr>
          <w:p w:rsidR="007A3CA8" w:rsidRDefault="007A3CA8" w:rsidP="00B378BB">
            <w:pPr>
              <w:jc w:val="center"/>
              <w:rPr>
                <w:rFonts w:eastAsia="Calibri"/>
                <w:b/>
                <w:szCs w:val="24"/>
              </w:rPr>
            </w:pPr>
            <w:r>
              <w:rPr>
                <w:rFonts w:eastAsia="Calibri"/>
                <w:b/>
                <w:szCs w:val="24"/>
              </w:rPr>
              <w:t>Pagrindimas</w:t>
            </w:r>
          </w:p>
          <w:p w:rsidR="007A3CA8" w:rsidRDefault="007A3CA8" w:rsidP="00B378BB">
            <w:pPr>
              <w:jc w:val="both"/>
              <w:rPr>
                <w:rFonts w:eastAsia="Calibri"/>
                <w:b/>
                <w:szCs w:val="24"/>
              </w:rPr>
            </w:pPr>
            <w:r>
              <w:rPr>
                <w:rFonts w:eastAsia="Calibri"/>
                <w:bCs/>
                <w:i/>
                <w:szCs w:val="24"/>
              </w:rPr>
              <w:t>(remdamiesi priemonių (kai finansavimo šaltinis EGADP) arba veiksmų (veiklų) (kai finansavimo šaltinis ESIFP) vertinimo klausimynais, nurodykite tik tą klausimyno vertinimo dalį, kuri aktuali finansuotinai veiklai)</w:t>
            </w:r>
          </w:p>
        </w:tc>
        <w:tc>
          <w:tcPr>
            <w:tcW w:w="5387" w:type="dxa"/>
          </w:tcPr>
          <w:p w:rsidR="007A3CA8" w:rsidRDefault="007A3CA8" w:rsidP="00B378BB">
            <w:pPr>
              <w:jc w:val="center"/>
              <w:rPr>
                <w:rFonts w:eastAsia="Calibri"/>
                <w:i/>
                <w:sz w:val="20"/>
              </w:rPr>
            </w:pPr>
            <w:r>
              <w:rPr>
                <w:rFonts w:eastAsia="Calibri"/>
                <w:b/>
                <w:szCs w:val="24"/>
              </w:rPr>
              <w:t>Pagrindimo dokumentai</w:t>
            </w:r>
          </w:p>
          <w:p w:rsidR="007A3CA8" w:rsidRDefault="007A3CA8" w:rsidP="00B378BB">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7A3CA8" w:rsidTr="00B378BB">
        <w:tc>
          <w:tcPr>
            <w:tcW w:w="4933" w:type="dxa"/>
          </w:tcPr>
          <w:p w:rsidR="007A3CA8" w:rsidRPr="00616A1B" w:rsidRDefault="007A3CA8" w:rsidP="00B378BB">
            <w:pPr>
              <w:tabs>
                <w:tab w:val="left" w:pos="289"/>
              </w:tabs>
              <w:ind w:firstLine="5"/>
              <w:jc w:val="both"/>
              <w:rPr>
                <w:rFonts w:eastAsia="Calibri"/>
                <w:sz w:val="22"/>
                <w:szCs w:val="22"/>
              </w:rPr>
            </w:pPr>
            <w:r w:rsidRPr="00616A1B">
              <w:rPr>
                <w:rFonts w:eastAsia="Calibri"/>
                <w:sz w:val="22"/>
                <w:szCs w:val="22"/>
              </w:rPr>
              <w:t>1.</w:t>
            </w:r>
            <w:r w:rsidRPr="00616A1B">
              <w:rPr>
                <w:rFonts w:eastAsia="Calibri"/>
                <w:sz w:val="22"/>
                <w:szCs w:val="22"/>
              </w:rPr>
              <w:tab/>
              <w:t>Klimato kaitos švelninimas</w:t>
            </w:r>
          </w:p>
        </w:tc>
        <w:tc>
          <w:tcPr>
            <w:tcW w:w="4678" w:type="dxa"/>
          </w:tcPr>
          <w:p w:rsidR="007A3CA8" w:rsidRPr="00F94D24" w:rsidRDefault="007A3CA8" w:rsidP="00B378BB">
            <w:pPr>
              <w:jc w:val="both"/>
              <w:rPr>
                <w:rFonts w:eastAsia="Calibri"/>
                <w:bCs/>
                <w:color w:val="FF0000"/>
                <w:sz w:val="22"/>
                <w:szCs w:val="22"/>
              </w:rPr>
            </w:pPr>
            <w:r w:rsidRPr="00F94D24">
              <w:rPr>
                <w:rFonts w:eastAsia="Calibri"/>
                <w:bCs/>
                <w:sz w:val="22"/>
                <w:szCs w:val="22"/>
              </w:rPr>
              <w:t>Bus investuojama į laboratorinę įrangą ir priemones</w:t>
            </w:r>
            <w:r w:rsidR="00786ED5">
              <w:rPr>
                <w:rFonts w:eastAsia="Calibri"/>
                <w:bCs/>
                <w:sz w:val="22"/>
                <w:szCs w:val="22"/>
              </w:rPr>
              <w:t xml:space="preserve">, </w:t>
            </w:r>
            <w:r w:rsidR="007A27A2">
              <w:rPr>
                <w:rFonts w:eastAsia="Calibri"/>
                <w:bCs/>
                <w:sz w:val="22"/>
                <w:szCs w:val="22"/>
              </w:rPr>
              <w:t>įrengiamos l</w:t>
            </w:r>
            <w:r w:rsidR="007A27A2" w:rsidRPr="007A27A2">
              <w:rPr>
                <w:rFonts w:eastAsia="Calibri"/>
                <w:bCs/>
                <w:sz w:val="22"/>
                <w:szCs w:val="22"/>
              </w:rPr>
              <w:t>aboratorijos (taip pat kūrybinės, simuliacinės pedagoginės, nuotolinio mokymo aplink</w:t>
            </w:r>
            <w:r w:rsidR="007A27A2">
              <w:rPr>
                <w:rFonts w:eastAsia="Calibri"/>
                <w:bCs/>
                <w:sz w:val="22"/>
                <w:szCs w:val="22"/>
              </w:rPr>
              <w:t>os</w:t>
            </w:r>
            <w:r w:rsidRPr="00F94D24">
              <w:rPr>
                <w:rFonts w:eastAsia="Calibri"/>
                <w:bCs/>
                <w:sz w:val="22"/>
                <w:szCs w:val="22"/>
              </w:rPr>
              <w:t>.</w:t>
            </w:r>
          </w:p>
          <w:p w:rsidR="007A3CA8" w:rsidRPr="00F94D24" w:rsidRDefault="007A3CA8" w:rsidP="00B378BB">
            <w:pPr>
              <w:jc w:val="both"/>
              <w:rPr>
                <w:rFonts w:eastAsia="Calibri"/>
                <w:bCs/>
                <w:sz w:val="22"/>
                <w:szCs w:val="22"/>
              </w:rPr>
            </w:pPr>
            <w:r w:rsidRPr="00F94D24">
              <w:rPr>
                <w:rFonts w:eastAsia="Calibri"/>
                <w:bCs/>
                <w:sz w:val="22"/>
                <w:szCs w:val="22"/>
              </w:rPr>
              <w:t>Šis veiksmas (veiklos) neturės neigiamo tiesioginio ar netiesioginio poveikio klimato kaitos švelninimo tikslui, nes nenumatoma, kad įgyvendinant veiklas galėtų būti</w:t>
            </w:r>
            <w:r w:rsidR="000F2197">
              <w:t xml:space="preserve"> </w:t>
            </w:r>
            <w:r w:rsidR="000F2197" w:rsidRPr="000F2197">
              <w:rPr>
                <w:rFonts w:eastAsia="Calibri"/>
                <w:bCs/>
                <w:sz w:val="22"/>
                <w:szCs w:val="22"/>
              </w:rPr>
              <w:t>šiltnamio efektą sukelianči</w:t>
            </w:r>
            <w:r w:rsidR="000F2197">
              <w:rPr>
                <w:rFonts w:eastAsia="Calibri"/>
                <w:bCs/>
                <w:sz w:val="22"/>
                <w:szCs w:val="22"/>
              </w:rPr>
              <w:t>ų</w:t>
            </w:r>
            <w:r w:rsidR="000F2197" w:rsidRPr="000F2197">
              <w:rPr>
                <w:rFonts w:eastAsia="Calibri"/>
                <w:bCs/>
                <w:sz w:val="22"/>
                <w:szCs w:val="22"/>
              </w:rPr>
              <w:t xml:space="preserve"> duj</w:t>
            </w:r>
            <w:r w:rsidR="000F2197">
              <w:rPr>
                <w:rFonts w:eastAsia="Calibri"/>
                <w:bCs/>
                <w:sz w:val="22"/>
                <w:szCs w:val="22"/>
              </w:rPr>
              <w:t>ų</w:t>
            </w:r>
            <w:r w:rsidRPr="00F94D24">
              <w:rPr>
                <w:rFonts w:eastAsia="Calibri"/>
                <w:bCs/>
                <w:sz w:val="22"/>
                <w:szCs w:val="22"/>
              </w:rPr>
              <w:t xml:space="preserve"> </w:t>
            </w:r>
            <w:r w:rsidR="000F2197">
              <w:rPr>
                <w:rFonts w:eastAsia="Calibri"/>
                <w:bCs/>
                <w:sz w:val="22"/>
                <w:szCs w:val="22"/>
              </w:rPr>
              <w:t xml:space="preserve">(toliau – </w:t>
            </w:r>
            <w:r w:rsidRPr="00F94D24">
              <w:rPr>
                <w:rFonts w:eastAsia="Calibri"/>
                <w:bCs/>
                <w:sz w:val="22"/>
                <w:szCs w:val="22"/>
              </w:rPr>
              <w:t>ŠESD</w:t>
            </w:r>
            <w:r w:rsidR="000F2197">
              <w:rPr>
                <w:rFonts w:eastAsia="Calibri"/>
                <w:bCs/>
                <w:sz w:val="22"/>
                <w:szCs w:val="22"/>
              </w:rPr>
              <w:t xml:space="preserve">) </w:t>
            </w:r>
            <w:r w:rsidRPr="00F94D24">
              <w:rPr>
                <w:rFonts w:eastAsia="Calibri"/>
                <w:bCs/>
                <w:sz w:val="22"/>
                <w:szCs w:val="22"/>
              </w:rPr>
              <w:t>išsiskyrimas.</w:t>
            </w:r>
          </w:p>
          <w:p w:rsidR="007A3CA8" w:rsidRPr="00F94D24" w:rsidRDefault="007A3CA8" w:rsidP="00B378BB">
            <w:pPr>
              <w:jc w:val="both"/>
              <w:rPr>
                <w:rFonts w:eastAsia="Calibri"/>
                <w:bCs/>
                <w:sz w:val="22"/>
                <w:szCs w:val="22"/>
              </w:rPr>
            </w:pPr>
            <w:r w:rsidRPr="00F94D24">
              <w:rPr>
                <w:rFonts w:eastAsia="Calibri"/>
                <w:bCs/>
                <w:sz w:val="22"/>
                <w:szCs w:val="22"/>
              </w:rPr>
              <w:t>Įgyvendinant 4.5.6 veiksmą (veiklas) bus vadovaujamasi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straipsnio I priedo atitinkamoms veikloms taikomuose punktuose (pvz., kuriant naują infrastruktūrą ar modernizuojant esamą – taikomi 7 punkte nustatyti techninės analizės kriterijai; įsigyjant IT įrangą – taikomi 8 punkte nustatyti techninės analizės kriterijai ir t. t.) reikalavimais, tai numatant atitinkamuose dokumentuose (pvz., pirkimo ir kt. dokumentuose).</w:t>
            </w:r>
          </w:p>
          <w:p w:rsidR="007A3CA8" w:rsidRPr="00F94D24" w:rsidRDefault="007A3CA8" w:rsidP="00B378BB">
            <w:pPr>
              <w:jc w:val="both"/>
              <w:rPr>
                <w:rFonts w:eastAsia="Calibri"/>
                <w:bCs/>
                <w:sz w:val="22"/>
                <w:szCs w:val="22"/>
              </w:rPr>
            </w:pPr>
            <w:r w:rsidRPr="00F94D24">
              <w:rPr>
                <w:rFonts w:eastAsia="Calibri"/>
                <w:bCs/>
                <w:sz w:val="22"/>
                <w:szCs w:val="22"/>
              </w:rPr>
              <w:t xml:space="preserve">Taip pat bus užtikrinta, kad infrastruktūra atitiktų Statybos techninio reglamento bei kitų teisės aktų reikalavimus, susijusius su </w:t>
            </w:r>
            <w:r w:rsidRPr="006B4291">
              <w:rPr>
                <w:rFonts w:eastAsia="Calibri"/>
                <w:bCs/>
                <w:sz w:val="22"/>
                <w:szCs w:val="22"/>
              </w:rPr>
              <w:t>ŠESD</w:t>
            </w:r>
            <w:r w:rsidRPr="00F94D24">
              <w:rPr>
                <w:rFonts w:eastAsia="Calibri"/>
                <w:bCs/>
                <w:sz w:val="22"/>
                <w:szCs w:val="22"/>
              </w:rPr>
              <w:t xml:space="preserve"> emisija. Modernizuojant infrastruktūrą bus</w:t>
            </w:r>
            <w:r w:rsidR="00911A61">
              <w:rPr>
                <w:rFonts w:eastAsia="Calibri"/>
                <w:bCs/>
                <w:sz w:val="22"/>
                <w:szCs w:val="22"/>
              </w:rPr>
              <w:t xml:space="preserve"> </w:t>
            </w:r>
            <w:r w:rsidRPr="00F94D24">
              <w:rPr>
                <w:rFonts w:eastAsia="Calibri"/>
                <w:bCs/>
                <w:sz w:val="22"/>
                <w:szCs w:val="22"/>
              </w:rPr>
              <w:t xml:space="preserve">laikomasi aplinkos apsaugą ir statybas reglamentuojančių teisės aktų, užtikrintas 2018 m. gegužės 30 d. Europos Parlamento ir Tarybos direktyvos (ES) </w:t>
            </w:r>
            <w:r w:rsidRPr="00DD348C">
              <w:rPr>
                <w:rFonts w:eastAsia="Calibri"/>
                <w:bCs/>
                <w:sz w:val="22"/>
                <w:szCs w:val="22"/>
              </w:rPr>
              <w:t>2018/844</w:t>
            </w:r>
            <w:r w:rsidR="00045DFA">
              <w:rPr>
                <w:rFonts w:eastAsia="Calibri"/>
                <w:bCs/>
                <w:sz w:val="22"/>
                <w:szCs w:val="22"/>
              </w:rPr>
              <w:t>,</w:t>
            </w:r>
            <w:r w:rsidR="00CD32BE">
              <w:rPr>
                <w:rFonts w:eastAsia="Calibri"/>
                <w:bCs/>
                <w:sz w:val="22"/>
                <w:szCs w:val="22"/>
              </w:rPr>
              <w:t xml:space="preserve"> </w:t>
            </w:r>
            <w:r w:rsidR="00911A61" w:rsidRPr="00911A61">
              <w:rPr>
                <w:rFonts w:eastAsia="Calibri"/>
                <w:bCs/>
                <w:sz w:val="22"/>
                <w:szCs w:val="22"/>
              </w:rPr>
              <w:t>kuria iš dalies keičiama Direktyva 2010/31/ES dėl pastatų energinio naudingumo ir Direktyva 2012/27/ES dėl energijos vartojimo efektyvumo</w:t>
            </w:r>
            <w:r w:rsidR="00362EBC">
              <w:rPr>
                <w:rFonts w:eastAsia="Calibri"/>
                <w:bCs/>
                <w:sz w:val="22"/>
                <w:szCs w:val="22"/>
              </w:rPr>
              <w:t xml:space="preserve"> </w:t>
            </w:r>
            <w:r w:rsidRPr="00F94D24">
              <w:rPr>
                <w:rFonts w:eastAsia="Calibri"/>
                <w:bCs/>
                <w:sz w:val="22"/>
                <w:szCs w:val="22"/>
              </w:rPr>
              <w:t xml:space="preserve">reikalavimų, susijusių su energetiniu pastatų efektyvumu, laikymasis modernizuojamos infrastruktūros atveju. Taip pat numatoma atlikti planuojamos ūkinės veiklos poveikio aplinkai vertinimą, kai tai numatyta </w:t>
            </w:r>
            <w:r w:rsidRPr="006B4291">
              <w:rPr>
                <w:rFonts w:eastAsia="Calibri"/>
                <w:bCs/>
                <w:sz w:val="22"/>
                <w:szCs w:val="22"/>
              </w:rPr>
              <w:t>L</w:t>
            </w:r>
            <w:r w:rsidR="006B4291" w:rsidRPr="006B4291">
              <w:rPr>
                <w:rFonts w:eastAsia="Calibri"/>
                <w:bCs/>
                <w:sz w:val="22"/>
                <w:szCs w:val="22"/>
              </w:rPr>
              <w:t>ietuvos Respublikos</w:t>
            </w:r>
            <w:r w:rsidRPr="006B4291">
              <w:rPr>
                <w:rFonts w:eastAsia="Calibri"/>
                <w:bCs/>
                <w:sz w:val="22"/>
                <w:szCs w:val="22"/>
              </w:rPr>
              <w:t xml:space="preserve"> planuojamos ūkinės veiklos</w:t>
            </w:r>
            <w:r w:rsidR="004068FF" w:rsidRPr="006B4291">
              <w:rPr>
                <w:rFonts w:eastAsia="Calibri"/>
                <w:bCs/>
                <w:sz w:val="22"/>
                <w:szCs w:val="22"/>
              </w:rPr>
              <w:t xml:space="preserve"> poveikio aplinkai</w:t>
            </w:r>
            <w:r w:rsidRPr="006B4291">
              <w:rPr>
                <w:rFonts w:eastAsia="Calibri"/>
                <w:bCs/>
                <w:sz w:val="22"/>
                <w:szCs w:val="22"/>
              </w:rPr>
              <w:t xml:space="preserve"> vertinimo įstatyme.</w:t>
            </w:r>
          </w:p>
          <w:p w:rsidR="007A3CA8" w:rsidRPr="00F94D24" w:rsidRDefault="007A3CA8" w:rsidP="00B378BB">
            <w:pPr>
              <w:jc w:val="both"/>
              <w:rPr>
                <w:rFonts w:eastAsia="Calibri"/>
                <w:bCs/>
                <w:sz w:val="22"/>
                <w:szCs w:val="22"/>
              </w:rPr>
            </w:pPr>
            <w:r w:rsidRPr="00F94D24">
              <w:rPr>
                <w:rFonts w:eastAsia="Calibri"/>
                <w:bCs/>
                <w:sz w:val="22"/>
                <w:szCs w:val="22"/>
              </w:rPr>
              <w:t xml:space="preserve">Planuojama įsigyti IT įranga privalės atitikti (tai bus numatoma atitinkamuose IT įrangos įsigijimo dokumentuose) efektyvumo, tvarumo, ilgaamžiškumo reikalavimus pagal </w:t>
            </w:r>
            <w:r w:rsidR="00913E4D" w:rsidRPr="00913E4D">
              <w:rPr>
                <w:rFonts w:eastAsia="Calibri"/>
                <w:bCs/>
                <w:sz w:val="22"/>
                <w:szCs w:val="22"/>
              </w:rPr>
              <w:t>2009 m. spalio 21 d. Europos Parlamento ir Tarybos direktyv</w:t>
            </w:r>
            <w:r w:rsidR="001E2A3A">
              <w:rPr>
                <w:rFonts w:eastAsia="Calibri"/>
                <w:bCs/>
                <w:sz w:val="22"/>
                <w:szCs w:val="22"/>
              </w:rPr>
              <w:t>ą</w:t>
            </w:r>
            <w:r w:rsidR="00913E4D" w:rsidRPr="00913E4D">
              <w:rPr>
                <w:rFonts w:eastAsia="Calibri"/>
                <w:bCs/>
                <w:sz w:val="22"/>
                <w:szCs w:val="22"/>
              </w:rPr>
              <w:t xml:space="preserve"> 2009/125/EB</w:t>
            </w:r>
            <w:r w:rsidR="00C72614">
              <w:rPr>
                <w:rFonts w:eastAsia="Calibri"/>
                <w:bCs/>
                <w:sz w:val="22"/>
                <w:szCs w:val="22"/>
              </w:rPr>
              <w:t>,</w:t>
            </w:r>
            <w:r w:rsidR="00913E4D">
              <w:rPr>
                <w:rFonts w:eastAsia="Calibri"/>
                <w:bCs/>
                <w:sz w:val="22"/>
                <w:szCs w:val="22"/>
              </w:rPr>
              <w:t xml:space="preserve"> </w:t>
            </w:r>
            <w:r w:rsidR="00913E4D" w:rsidRPr="00913E4D">
              <w:rPr>
                <w:rFonts w:eastAsia="Calibri"/>
                <w:bCs/>
                <w:sz w:val="22"/>
                <w:szCs w:val="22"/>
              </w:rPr>
              <w:t>nustatan</w:t>
            </w:r>
            <w:r w:rsidR="00AF12C1">
              <w:rPr>
                <w:rFonts w:eastAsia="Calibri"/>
                <w:bCs/>
                <w:sz w:val="22"/>
                <w:szCs w:val="22"/>
              </w:rPr>
              <w:t>čią</w:t>
            </w:r>
            <w:r w:rsidR="00913E4D" w:rsidRPr="00913E4D">
              <w:rPr>
                <w:rFonts w:eastAsia="Calibri"/>
                <w:bCs/>
                <w:sz w:val="22"/>
                <w:szCs w:val="22"/>
              </w:rPr>
              <w:t xml:space="preserve"> ekologinio projektavimo reikalavimų su energija susijusiems gaminiams nustatymo sistemą </w:t>
            </w:r>
            <w:r w:rsidRPr="00F94D24">
              <w:rPr>
                <w:rFonts w:eastAsia="Calibri"/>
                <w:bCs/>
                <w:sz w:val="22"/>
                <w:szCs w:val="22"/>
              </w:rPr>
              <w:t>(serveriams ir duomenims saugoti, kompiuteriams ir kompiuterių serveriams ar elektroniniams ekranams)</w:t>
            </w:r>
            <w:r w:rsidR="00C72614">
              <w:rPr>
                <w:rFonts w:eastAsia="Calibri"/>
                <w:bCs/>
                <w:sz w:val="22"/>
                <w:szCs w:val="22"/>
              </w:rPr>
              <w:t>,</w:t>
            </w:r>
            <w:r w:rsidRPr="00F94D24">
              <w:rPr>
                <w:rFonts w:eastAsia="Calibri"/>
                <w:bCs/>
                <w:sz w:val="22"/>
                <w:szCs w:val="22"/>
              </w:rPr>
              <w:t xml:space="preserve"> ir </w:t>
            </w:r>
            <w:r w:rsidR="00886A38" w:rsidRPr="00886A38">
              <w:rPr>
                <w:rFonts w:eastAsia="Calibri"/>
                <w:bCs/>
                <w:sz w:val="22"/>
                <w:szCs w:val="22"/>
              </w:rPr>
              <w:t>2011 m. birželio 8 d. Europos Parlamento ir Tarybos direktyv</w:t>
            </w:r>
            <w:r w:rsidR="00AF12C1">
              <w:rPr>
                <w:rFonts w:eastAsia="Calibri"/>
                <w:bCs/>
                <w:sz w:val="22"/>
                <w:szCs w:val="22"/>
              </w:rPr>
              <w:t>ą</w:t>
            </w:r>
            <w:r w:rsidR="00886A38" w:rsidRPr="00886A38">
              <w:rPr>
                <w:rFonts w:eastAsia="Calibri"/>
                <w:bCs/>
                <w:sz w:val="22"/>
                <w:szCs w:val="22"/>
              </w:rPr>
              <w:t xml:space="preserve"> 2011/65/ES dėl tam tikrų pavojingų medžiagų naudojimo elektros ir elektroninėje įrangoje apribojimo</w:t>
            </w:r>
            <w:r w:rsidR="00886A38">
              <w:rPr>
                <w:rFonts w:eastAsia="Calibri"/>
                <w:bCs/>
                <w:sz w:val="22"/>
                <w:szCs w:val="22"/>
              </w:rPr>
              <w:t>.</w:t>
            </w:r>
          </w:p>
        </w:tc>
        <w:tc>
          <w:tcPr>
            <w:tcW w:w="5387" w:type="dxa"/>
          </w:tcPr>
          <w:p w:rsidR="007A3CA8" w:rsidRPr="00F94D24" w:rsidRDefault="007A3CA8" w:rsidP="00B378BB">
            <w:pPr>
              <w:jc w:val="both"/>
              <w:rPr>
                <w:sz w:val="22"/>
                <w:szCs w:val="22"/>
              </w:rPr>
            </w:pPr>
            <w:r w:rsidRPr="00F94D24">
              <w:rPr>
                <w:sz w:val="22"/>
                <w:szCs w:val="22"/>
              </w:rPr>
              <w:t>Pirkimo dokumentai, techninės specifikacijos, įsigytų prekių energetinio efektyvumo sertifikatai, pagrindžiantys įsigyjamų paslaugų ir prekių palankumą aplinkai.</w:t>
            </w:r>
          </w:p>
          <w:p w:rsidR="007A3CA8" w:rsidRDefault="007A3CA8" w:rsidP="00B378BB">
            <w:pPr>
              <w:tabs>
                <w:tab w:val="left" w:pos="589"/>
              </w:tabs>
              <w:jc w:val="both"/>
              <w:rPr>
                <w:rFonts w:eastAsia="Calibri"/>
                <w:sz w:val="22"/>
                <w:szCs w:val="22"/>
              </w:rPr>
            </w:pPr>
          </w:p>
          <w:p w:rsidR="007A3CA8" w:rsidRDefault="007A3CA8" w:rsidP="00B378BB">
            <w:pPr>
              <w:tabs>
                <w:tab w:val="left" w:pos="589"/>
              </w:tabs>
              <w:jc w:val="both"/>
              <w:rPr>
                <w:rFonts w:eastAsia="Calibri"/>
                <w:sz w:val="22"/>
                <w:szCs w:val="22"/>
              </w:rPr>
            </w:pPr>
          </w:p>
        </w:tc>
      </w:tr>
      <w:tr w:rsidR="007A3CA8" w:rsidTr="00B378BB">
        <w:tc>
          <w:tcPr>
            <w:tcW w:w="4933" w:type="dxa"/>
          </w:tcPr>
          <w:p w:rsidR="007A3CA8" w:rsidRPr="00616A1B" w:rsidRDefault="007A3CA8" w:rsidP="00B378BB">
            <w:pPr>
              <w:tabs>
                <w:tab w:val="left" w:pos="289"/>
              </w:tabs>
              <w:ind w:firstLine="5"/>
              <w:jc w:val="both"/>
              <w:rPr>
                <w:rFonts w:eastAsia="Calibri"/>
                <w:sz w:val="22"/>
                <w:szCs w:val="22"/>
              </w:rPr>
            </w:pPr>
            <w:r w:rsidRPr="00616A1B">
              <w:rPr>
                <w:rFonts w:eastAsia="Calibri"/>
                <w:sz w:val="22"/>
                <w:szCs w:val="22"/>
              </w:rPr>
              <w:t>2.</w:t>
            </w:r>
            <w:r w:rsidRPr="00616A1B">
              <w:rPr>
                <w:rFonts w:eastAsia="Calibri"/>
                <w:sz w:val="22"/>
                <w:szCs w:val="22"/>
              </w:rPr>
              <w:tab/>
              <w:t>Prisitaikymas prie klimato kaitos</w:t>
            </w:r>
          </w:p>
        </w:tc>
        <w:tc>
          <w:tcPr>
            <w:tcW w:w="4678" w:type="dxa"/>
          </w:tcPr>
          <w:p w:rsidR="007A3CA8" w:rsidRPr="00A5233D" w:rsidRDefault="007A3CA8" w:rsidP="00B378BB">
            <w:pPr>
              <w:jc w:val="both"/>
              <w:rPr>
                <w:rFonts w:eastAsia="Calibri"/>
                <w:bCs/>
                <w:sz w:val="22"/>
                <w:szCs w:val="22"/>
              </w:rPr>
            </w:pPr>
            <w:r w:rsidRPr="00082779">
              <w:rPr>
                <w:rFonts w:eastAsia="Calibri"/>
                <w:bCs/>
                <w:sz w:val="22"/>
                <w:szCs w:val="22"/>
              </w:rPr>
              <w:t xml:space="preserve">Nenumatoma, kad </w:t>
            </w:r>
            <w:r>
              <w:rPr>
                <w:rFonts w:eastAsia="Calibri"/>
                <w:bCs/>
                <w:sz w:val="22"/>
                <w:szCs w:val="22"/>
              </w:rPr>
              <w:t>p</w:t>
            </w:r>
            <w:r w:rsidRPr="005B7184">
              <w:rPr>
                <w:rFonts w:eastAsia="Calibri"/>
                <w:bCs/>
                <w:sz w:val="22"/>
                <w:szCs w:val="22"/>
              </w:rPr>
              <w:t>lanuojamos įgyvendinti veiklos dėl savo pobūdžio neturės</w:t>
            </w:r>
            <w:r w:rsidRPr="00082779">
              <w:rPr>
                <w:rFonts w:eastAsia="Calibri"/>
                <w:bCs/>
                <w:sz w:val="22"/>
                <w:szCs w:val="22"/>
              </w:rPr>
              <w:t xml:space="preserve"> neigiamos įtakos prisitaikymui prie klimato kaitos, kadangi planuojamos investicijos </w:t>
            </w:r>
            <w:r w:rsidRPr="00F94D24">
              <w:rPr>
                <w:rFonts w:eastAsia="Calibri"/>
                <w:bCs/>
                <w:sz w:val="22"/>
                <w:szCs w:val="22"/>
              </w:rPr>
              <w:t>į esamos švietimo infrastruktūros kūrimą ir tobulinimą</w:t>
            </w:r>
            <w:r w:rsidRPr="00082779">
              <w:rPr>
                <w:rFonts w:eastAsia="Calibri"/>
                <w:bCs/>
                <w:sz w:val="22"/>
                <w:szCs w:val="22"/>
              </w:rPr>
              <w:t xml:space="preserve"> bus vykdomos tik atlikus klimato rizikos patikrą, vykdant statybos / renovacijos veiklą bus įgyvendinami fiziniai ir nefiziniai prisitaikymo sprendimai, kurie sumažins </w:t>
            </w:r>
            <w:r w:rsidRPr="00A5233D">
              <w:rPr>
                <w:rFonts w:eastAsia="Calibri"/>
                <w:bCs/>
                <w:sz w:val="22"/>
                <w:szCs w:val="22"/>
              </w:rPr>
              <w:t xml:space="preserve">svarbiausias fizinio klimato rizikas. </w:t>
            </w:r>
            <w:r w:rsidR="00647BCB" w:rsidRPr="00A5233D">
              <w:rPr>
                <w:rFonts w:eastAsia="Calibri"/>
                <w:bCs/>
                <w:sz w:val="22"/>
                <w:szCs w:val="22"/>
              </w:rPr>
              <w:t xml:space="preserve">Projekto veiklos </w:t>
            </w:r>
            <w:r w:rsidRPr="00A5233D">
              <w:rPr>
                <w:rFonts w:eastAsia="Calibri"/>
                <w:bCs/>
                <w:sz w:val="22"/>
                <w:szCs w:val="22"/>
              </w:rPr>
              <w:t>nebus atliekam</w:t>
            </w:r>
            <w:r w:rsidR="00647BCB" w:rsidRPr="00A5233D">
              <w:rPr>
                <w:rFonts w:eastAsia="Calibri"/>
                <w:bCs/>
                <w:sz w:val="22"/>
                <w:szCs w:val="22"/>
              </w:rPr>
              <w:t>os</w:t>
            </w:r>
            <w:r w:rsidRPr="00A5233D">
              <w:rPr>
                <w:rFonts w:eastAsia="Calibri"/>
                <w:bCs/>
                <w:sz w:val="22"/>
                <w:szCs w:val="22"/>
              </w:rPr>
              <w:t xml:space="preserve"> potvynių zonose</w:t>
            </w:r>
            <w:r w:rsidR="00A90D62" w:rsidRPr="00A5233D">
              <w:rPr>
                <w:rFonts w:eastAsia="Calibri"/>
                <w:bCs/>
                <w:sz w:val="22"/>
                <w:szCs w:val="22"/>
              </w:rPr>
              <w:t>.</w:t>
            </w:r>
            <w:r w:rsidRPr="00A5233D">
              <w:rPr>
                <w:rFonts w:eastAsia="Calibri"/>
                <w:bCs/>
                <w:sz w:val="22"/>
                <w:szCs w:val="22"/>
              </w:rPr>
              <w:t xml:space="preserve"> </w:t>
            </w:r>
          </w:p>
          <w:p w:rsidR="00647BCB" w:rsidRDefault="0095554F" w:rsidP="00B378BB">
            <w:pPr>
              <w:jc w:val="both"/>
              <w:rPr>
                <w:rFonts w:eastAsia="Calibri"/>
                <w:bCs/>
                <w:szCs w:val="24"/>
              </w:rPr>
            </w:pPr>
            <w:r w:rsidRPr="00A5233D">
              <w:rPr>
                <w:rFonts w:eastAsia="Calibri"/>
                <w:bCs/>
                <w:sz w:val="22"/>
                <w:szCs w:val="22"/>
              </w:rPr>
              <w:t>Turi būti</w:t>
            </w:r>
            <w:r w:rsidR="000B6FE0" w:rsidRPr="00A5233D">
              <w:rPr>
                <w:rFonts w:eastAsia="Calibri"/>
                <w:bCs/>
                <w:sz w:val="22"/>
                <w:szCs w:val="22"/>
              </w:rPr>
              <w:t xml:space="preserve"> v</w:t>
            </w:r>
            <w:r w:rsidR="00647BCB" w:rsidRPr="00A5233D">
              <w:rPr>
                <w:rFonts w:eastAsia="Calibri"/>
                <w:bCs/>
                <w:sz w:val="22"/>
                <w:szCs w:val="22"/>
              </w:rPr>
              <w:t>adovaujamasi 2021 m. birželio 4 d. Komisijos deleguoto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2 straipsnio II priedo atitinkamoms veikloms taikomuose punktuose (pvz., kuriant naują infrastruktūrą ar modernizuojant esamą – taikomi 7 punkte nustatyti techninės analizės kriterijai; įsigyjant IT įrangą –taikomi 8 punkte nustatyti techninės analizės kriterijai ir t.</w:t>
            </w:r>
            <w:r w:rsidR="00F2196E">
              <w:rPr>
                <w:rFonts w:eastAsia="Calibri"/>
                <w:bCs/>
                <w:sz w:val="22"/>
                <w:szCs w:val="22"/>
              </w:rPr>
              <w:t xml:space="preserve"> </w:t>
            </w:r>
            <w:r w:rsidR="00647BCB" w:rsidRPr="00A5233D">
              <w:rPr>
                <w:rFonts w:eastAsia="Calibri"/>
                <w:bCs/>
                <w:sz w:val="22"/>
                <w:szCs w:val="22"/>
              </w:rPr>
              <w:t>t.) reikalavimais, tai numatant atitinkamuose dokumentuose (pvz. pirkimo ir kt. dokumentuose).</w:t>
            </w:r>
          </w:p>
        </w:tc>
        <w:tc>
          <w:tcPr>
            <w:tcW w:w="5387" w:type="dxa"/>
          </w:tcPr>
          <w:p w:rsidR="007A3CA8" w:rsidRDefault="007A3CA8" w:rsidP="00B378BB">
            <w:pPr>
              <w:jc w:val="both"/>
              <w:rPr>
                <w:rFonts w:eastAsia="Calibri"/>
                <w:b/>
                <w:szCs w:val="24"/>
              </w:rPr>
            </w:pPr>
            <w:r w:rsidRPr="00093723">
              <w:rPr>
                <w:rFonts w:eastAsia="Calibri"/>
                <w:sz w:val="22"/>
                <w:szCs w:val="22"/>
              </w:rPr>
              <w:t>Pirkimo dokumentai, techninės specifikacijos, įsigytų prekių energetinio efektyvumo sertifikatai, pagrindžiantys įsigyjamų paslaugų ir prekių palankumą aplinkai.</w:t>
            </w:r>
          </w:p>
        </w:tc>
      </w:tr>
      <w:tr w:rsidR="007A3CA8" w:rsidTr="00B378BB">
        <w:tc>
          <w:tcPr>
            <w:tcW w:w="4933" w:type="dxa"/>
          </w:tcPr>
          <w:p w:rsidR="007A3CA8" w:rsidRPr="00616A1B" w:rsidRDefault="007A3CA8" w:rsidP="00B378BB">
            <w:pPr>
              <w:tabs>
                <w:tab w:val="left" w:pos="289"/>
              </w:tabs>
              <w:ind w:firstLine="5"/>
              <w:jc w:val="both"/>
              <w:rPr>
                <w:rFonts w:eastAsia="Calibri"/>
                <w:sz w:val="22"/>
                <w:szCs w:val="22"/>
              </w:rPr>
            </w:pPr>
            <w:r w:rsidRPr="00616A1B">
              <w:rPr>
                <w:rFonts w:eastAsia="Calibri"/>
                <w:sz w:val="22"/>
                <w:szCs w:val="22"/>
              </w:rPr>
              <w:t>3.</w:t>
            </w:r>
            <w:r w:rsidRPr="00616A1B">
              <w:rPr>
                <w:rFonts w:eastAsia="Calibri"/>
                <w:sz w:val="22"/>
                <w:szCs w:val="22"/>
              </w:rPr>
              <w:tab/>
              <w:t>Tausus vandens ir jūrų išteklių naudojimas ir apsauga</w:t>
            </w:r>
          </w:p>
        </w:tc>
        <w:tc>
          <w:tcPr>
            <w:tcW w:w="4678" w:type="dxa"/>
          </w:tcPr>
          <w:p w:rsidR="007A3CA8" w:rsidRPr="00F94D24" w:rsidRDefault="007A3CA8" w:rsidP="00B378BB">
            <w:pPr>
              <w:jc w:val="both"/>
              <w:rPr>
                <w:rFonts w:eastAsia="Calibri"/>
                <w:sz w:val="22"/>
                <w:szCs w:val="22"/>
              </w:rPr>
            </w:pPr>
            <w:r w:rsidRPr="00F94D24">
              <w:rPr>
                <w:rFonts w:eastAsia="Calibri"/>
                <w:sz w:val="22"/>
                <w:szCs w:val="22"/>
              </w:rPr>
              <w:t>Planuojamos įgyvendinti veiklos dėl savo pobūdžio neturės jokio neigiamo tiesioginio ir netiesioginio poveikio šiam aplinkos tikslui. Jos nedaro tiesioginio ir pirminio netiesioginio poveikio per visą gyvavimo ciklą, todėl laikoma, kad veiklos atitinka tausaus vandens ir jūrų išteklių naudojimo ir apsaugos tikslą. Nenumatoma kurti jokios infrastruktūros šalia vandens telkinių, nes tai galėtų turėti įtakos tausiam vandens ir jūrų išteklių naudojimui.</w:t>
            </w:r>
          </w:p>
          <w:p w:rsidR="007A3CA8" w:rsidRDefault="007A3CA8" w:rsidP="00B378BB">
            <w:pPr>
              <w:jc w:val="both"/>
              <w:rPr>
                <w:rFonts w:eastAsia="Calibri"/>
                <w:sz w:val="22"/>
                <w:szCs w:val="22"/>
              </w:rPr>
            </w:pPr>
            <w:r w:rsidRPr="00F94D24">
              <w:rPr>
                <w:rFonts w:eastAsia="Calibri"/>
                <w:sz w:val="22"/>
                <w:szCs w:val="22"/>
              </w:rPr>
              <w:t>Nenumatoma, kad šie veiksmai (veiklos) turės neigiamos įtakos tausaus vandens ir jūrų išteklių naudojimo ir apsaugos tikslui, kadangi numatoma investuoti į esamos švietimo infrastruktūros tobulinimą, dėl to tikėtinas efektyvesnis vandens išteklių naudojimas. Keičiant seną ir neefektyvią vandens infrastruktūrą taip pat būtų naudojami veiksmingesni vandens prietaisai, atitinkantys naujausius ES efektyvumo standartus.</w:t>
            </w:r>
          </w:p>
        </w:tc>
        <w:tc>
          <w:tcPr>
            <w:tcW w:w="5387" w:type="dxa"/>
          </w:tcPr>
          <w:p w:rsidR="007A3CA8" w:rsidRDefault="007A3CA8" w:rsidP="00B378BB">
            <w:pPr>
              <w:jc w:val="both"/>
              <w:rPr>
                <w:rFonts w:eastAsia="Calibri"/>
                <w:bCs/>
                <w:szCs w:val="24"/>
              </w:rPr>
            </w:pPr>
            <w:r w:rsidRPr="00414805">
              <w:rPr>
                <w:rFonts w:eastAsia="Calibri"/>
                <w:sz w:val="22"/>
                <w:szCs w:val="22"/>
              </w:rPr>
              <w:t>Netaikoma. Numatomos veiklos neturi neigiamo poveikio, todėl papildomi dokumentai neteikiami.</w:t>
            </w:r>
          </w:p>
        </w:tc>
      </w:tr>
      <w:tr w:rsidR="007A3CA8" w:rsidTr="00B378BB">
        <w:tc>
          <w:tcPr>
            <w:tcW w:w="4933" w:type="dxa"/>
          </w:tcPr>
          <w:p w:rsidR="007A3CA8" w:rsidRPr="00616A1B" w:rsidRDefault="007A3CA8" w:rsidP="00B378BB">
            <w:pPr>
              <w:tabs>
                <w:tab w:val="left" w:pos="289"/>
              </w:tabs>
              <w:ind w:firstLine="5"/>
              <w:jc w:val="both"/>
              <w:rPr>
                <w:rFonts w:eastAsia="Calibri"/>
                <w:sz w:val="22"/>
                <w:szCs w:val="22"/>
              </w:rPr>
            </w:pPr>
            <w:r w:rsidRPr="00616A1B">
              <w:rPr>
                <w:rFonts w:eastAsia="Calibri"/>
                <w:sz w:val="22"/>
                <w:szCs w:val="22"/>
              </w:rPr>
              <w:t>4.</w:t>
            </w:r>
            <w:r w:rsidRPr="00616A1B">
              <w:rPr>
                <w:rFonts w:eastAsia="Calibri"/>
                <w:sz w:val="22"/>
                <w:szCs w:val="22"/>
              </w:rPr>
              <w:tab/>
              <w:t>Perėjimas prie žiedinės ekonomikos, įskaitant atliekų prevenciją ir perdirbimą</w:t>
            </w:r>
          </w:p>
        </w:tc>
        <w:tc>
          <w:tcPr>
            <w:tcW w:w="4678" w:type="dxa"/>
          </w:tcPr>
          <w:p w:rsidR="007A3CA8" w:rsidRDefault="007A3CA8" w:rsidP="00B378BB">
            <w:pPr>
              <w:jc w:val="both"/>
              <w:rPr>
                <w:rFonts w:eastAsia="Calibri"/>
                <w:sz w:val="22"/>
                <w:szCs w:val="22"/>
              </w:rPr>
            </w:pPr>
            <w:r>
              <w:rPr>
                <w:rFonts w:eastAsia="Calibri"/>
                <w:sz w:val="22"/>
                <w:szCs w:val="22"/>
              </w:rPr>
              <w:t xml:space="preserve">Planuojamos įgyvendinti veiklos dėl savo pobūdžio neturės jokio neigiamo tiesioginio ir netiesioginio poveikio šiam aplinkos tikslui. </w:t>
            </w:r>
          </w:p>
          <w:p w:rsidR="007A3CA8" w:rsidRDefault="007A3CA8" w:rsidP="00B378BB">
            <w:pPr>
              <w:jc w:val="both"/>
              <w:rPr>
                <w:rFonts w:eastAsia="Calibri"/>
                <w:bCs/>
                <w:szCs w:val="24"/>
              </w:rPr>
            </w:pPr>
          </w:p>
          <w:p w:rsidR="007A3CA8" w:rsidRDefault="007A3CA8" w:rsidP="00B378BB">
            <w:pPr>
              <w:jc w:val="both"/>
              <w:rPr>
                <w:rFonts w:eastAsia="Calibri"/>
                <w:bCs/>
                <w:sz w:val="22"/>
                <w:szCs w:val="22"/>
              </w:rPr>
            </w:pPr>
            <w:r>
              <w:rPr>
                <w:rFonts w:eastAsia="Calibri"/>
                <w:bCs/>
                <w:sz w:val="22"/>
                <w:szCs w:val="22"/>
              </w:rPr>
              <w:t xml:space="preserve">Planuojama įsigyti IT įranga privalės atitikti (tai bus numatoma atitinkamuose IT įrangos įsigijimo dokumentuose) efektyvumo, tvarumo, ilgaamžiškumo reikalavimus </w:t>
            </w:r>
            <w:r w:rsidR="005E1F12">
              <w:rPr>
                <w:rFonts w:eastAsia="Calibri"/>
                <w:bCs/>
                <w:sz w:val="22"/>
                <w:szCs w:val="22"/>
              </w:rPr>
              <w:t xml:space="preserve">pagal </w:t>
            </w:r>
            <w:r w:rsidR="005E1F12" w:rsidRPr="005E1F12">
              <w:rPr>
                <w:rFonts w:eastAsia="Calibri"/>
                <w:bCs/>
                <w:sz w:val="22"/>
                <w:szCs w:val="22"/>
              </w:rPr>
              <w:t>2009 m. spalio 21 d. Europos Parlamento ir Tarybos direktyv</w:t>
            </w:r>
            <w:r w:rsidR="00CD6F57">
              <w:rPr>
                <w:rFonts w:eastAsia="Calibri"/>
                <w:bCs/>
                <w:sz w:val="22"/>
                <w:szCs w:val="22"/>
              </w:rPr>
              <w:t>ą</w:t>
            </w:r>
            <w:r w:rsidR="005E1F12" w:rsidRPr="005E1F12">
              <w:rPr>
                <w:rFonts w:eastAsia="Calibri"/>
                <w:bCs/>
                <w:sz w:val="22"/>
                <w:szCs w:val="22"/>
              </w:rPr>
              <w:t xml:space="preserve"> 2009/125/EB</w:t>
            </w:r>
            <w:r w:rsidR="00351C9B">
              <w:rPr>
                <w:rFonts w:eastAsia="Calibri"/>
                <w:bCs/>
                <w:sz w:val="22"/>
                <w:szCs w:val="22"/>
              </w:rPr>
              <w:t>,</w:t>
            </w:r>
            <w:r w:rsidR="005E1F12" w:rsidRPr="005E1F12">
              <w:rPr>
                <w:rFonts w:eastAsia="Calibri"/>
                <w:bCs/>
                <w:sz w:val="22"/>
                <w:szCs w:val="22"/>
              </w:rPr>
              <w:t xml:space="preserve"> nustatan</w:t>
            </w:r>
            <w:r w:rsidR="00351C9B">
              <w:rPr>
                <w:rFonts w:eastAsia="Calibri"/>
                <w:bCs/>
                <w:sz w:val="22"/>
                <w:szCs w:val="22"/>
              </w:rPr>
              <w:t>čią</w:t>
            </w:r>
            <w:r w:rsidR="005E1F12" w:rsidRPr="005E1F12">
              <w:rPr>
                <w:rFonts w:eastAsia="Calibri"/>
                <w:bCs/>
                <w:sz w:val="22"/>
                <w:szCs w:val="22"/>
              </w:rPr>
              <w:t xml:space="preserve"> ekologinio projektavimo reikalavimų su energija susijusiems gaminiams nustatymo sistemą</w:t>
            </w:r>
            <w:r>
              <w:rPr>
                <w:rFonts w:eastAsia="Calibri"/>
                <w:bCs/>
                <w:sz w:val="22"/>
                <w:szCs w:val="22"/>
              </w:rPr>
              <w:t xml:space="preserve"> (serveriams ir duomenims saugoti, kompiuteriams ir kompiuterių serveriams ar elektroniniams ekranams)</w:t>
            </w:r>
            <w:r w:rsidR="00CD6F57">
              <w:rPr>
                <w:rFonts w:eastAsia="Calibri"/>
                <w:bCs/>
                <w:sz w:val="22"/>
                <w:szCs w:val="22"/>
              </w:rPr>
              <w:t>,</w:t>
            </w:r>
            <w:r>
              <w:rPr>
                <w:rFonts w:eastAsia="Calibri"/>
                <w:bCs/>
                <w:sz w:val="22"/>
                <w:szCs w:val="22"/>
              </w:rPr>
              <w:t xml:space="preserve"> ir  </w:t>
            </w:r>
            <w:r w:rsidR="006F4CC8" w:rsidRPr="006F4CC8">
              <w:rPr>
                <w:rFonts w:eastAsia="Calibri"/>
                <w:bCs/>
                <w:sz w:val="22"/>
                <w:szCs w:val="22"/>
              </w:rPr>
              <w:t>2011 m. birželio 8 d. Europos Parlamento ir Tarybos direktyv</w:t>
            </w:r>
            <w:r w:rsidR="00351C9B">
              <w:rPr>
                <w:rFonts w:eastAsia="Calibri"/>
                <w:bCs/>
                <w:sz w:val="22"/>
                <w:szCs w:val="22"/>
              </w:rPr>
              <w:t>ą</w:t>
            </w:r>
            <w:r w:rsidR="006F4CC8" w:rsidRPr="006F4CC8">
              <w:rPr>
                <w:rFonts w:eastAsia="Calibri"/>
                <w:bCs/>
                <w:sz w:val="22"/>
                <w:szCs w:val="22"/>
              </w:rPr>
              <w:t xml:space="preserve"> 2011/65/ES dėl tam tikrų pavojingų medžiagų naudojimo elektros ir elektroninėje įrangoje apribojimo.</w:t>
            </w:r>
          </w:p>
          <w:p w:rsidR="007A3CA8" w:rsidRDefault="007A3CA8" w:rsidP="00B378BB">
            <w:pPr>
              <w:jc w:val="both"/>
              <w:rPr>
                <w:rFonts w:eastAsia="Calibri"/>
                <w:bCs/>
                <w:sz w:val="22"/>
                <w:szCs w:val="22"/>
              </w:rPr>
            </w:pPr>
          </w:p>
          <w:p w:rsidR="007A3CA8" w:rsidRDefault="007A3CA8" w:rsidP="00B378BB">
            <w:pPr>
              <w:jc w:val="both"/>
              <w:rPr>
                <w:rFonts w:eastAsia="Calibri"/>
                <w:bCs/>
                <w:sz w:val="22"/>
                <w:szCs w:val="22"/>
              </w:rPr>
            </w:pPr>
            <w:r w:rsidRPr="007001D8">
              <w:rPr>
                <w:rFonts w:eastAsia="Calibri"/>
                <w:bCs/>
                <w:sz w:val="22"/>
                <w:szCs w:val="22"/>
              </w:rPr>
              <w:t xml:space="preserve">Pasibaigus įsigytos įrangos naudingo tarnavimo laikui, įrangos tiekėjai (pardavėjai) privalės (tai bus numatoma atitinkamuose įrangos įsigijimo dokumentuose) </w:t>
            </w:r>
            <w:r>
              <w:rPr>
                <w:rFonts w:eastAsia="Calibri"/>
                <w:bCs/>
                <w:sz w:val="22"/>
                <w:szCs w:val="22"/>
              </w:rPr>
              <w:t>į</w:t>
            </w:r>
            <w:r w:rsidRPr="007001D8">
              <w:rPr>
                <w:rFonts w:eastAsia="Calibri"/>
                <w:bCs/>
                <w:sz w:val="22"/>
                <w:szCs w:val="22"/>
              </w:rPr>
              <w:t xml:space="preserve">rangos atliekas sutvarkyti vadovaudamiesi </w:t>
            </w:r>
            <w:r w:rsidR="005A6B7E" w:rsidRPr="005A6B7E">
              <w:rPr>
                <w:rFonts w:eastAsia="Calibri"/>
                <w:bCs/>
                <w:sz w:val="22"/>
                <w:szCs w:val="22"/>
              </w:rPr>
              <w:t>2012 m. liepos 4 d. Europos Parlamento ir Tarybos direktyv</w:t>
            </w:r>
            <w:r w:rsidR="00CB4FBC">
              <w:rPr>
                <w:rFonts w:eastAsia="Calibri"/>
                <w:bCs/>
                <w:sz w:val="22"/>
                <w:szCs w:val="22"/>
              </w:rPr>
              <w:t>os</w:t>
            </w:r>
            <w:r w:rsidR="005A6B7E" w:rsidRPr="005A6B7E">
              <w:rPr>
                <w:rFonts w:eastAsia="Calibri"/>
                <w:bCs/>
                <w:sz w:val="22"/>
                <w:szCs w:val="22"/>
              </w:rPr>
              <w:t xml:space="preserve"> 2012/19/ES dėl elektros ir elektroninės įrangos atliekų</w:t>
            </w:r>
            <w:r w:rsidR="005A6B7E" w:rsidRPr="005A6B7E" w:rsidDel="00F20E34">
              <w:rPr>
                <w:rFonts w:eastAsia="Calibri"/>
                <w:bCs/>
                <w:sz w:val="22"/>
                <w:szCs w:val="22"/>
              </w:rPr>
              <w:t xml:space="preserve"> </w:t>
            </w:r>
            <w:r w:rsidRPr="007001D8">
              <w:rPr>
                <w:rFonts w:eastAsia="Calibri"/>
                <w:bCs/>
                <w:sz w:val="22"/>
                <w:szCs w:val="22"/>
              </w:rPr>
              <w:t>reikalavimais ir Lietuvos Respublikos teisės aktais, reglamentuojančiais atliekų tvarkymą</w:t>
            </w:r>
            <w:r>
              <w:rPr>
                <w:rFonts w:eastAsia="Calibri"/>
                <w:bCs/>
                <w:sz w:val="22"/>
                <w:szCs w:val="22"/>
              </w:rPr>
              <w:t>,</w:t>
            </w:r>
            <w:r w:rsidRPr="007001D8">
              <w:rPr>
                <w:rFonts w:eastAsia="Calibri"/>
                <w:bCs/>
                <w:sz w:val="22"/>
                <w:szCs w:val="22"/>
              </w:rPr>
              <w:t xml:space="preserve"> bei Valstybinio atliekų prevencijos ir tvarkymo plano nuostatomis.</w:t>
            </w:r>
          </w:p>
          <w:p w:rsidR="007A3CA8" w:rsidRDefault="007A3CA8" w:rsidP="00B378BB">
            <w:pPr>
              <w:jc w:val="both"/>
              <w:rPr>
                <w:rFonts w:eastAsia="Calibri"/>
                <w:bCs/>
                <w:szCs w:val="24"/>
              </w:rPr>
            </w:pPr>
          </w:p>
        </w:tc>
        <w:tc>
          <w:tcPr>
            <w:tcW w:w="5387" w:type="dxa"/>
          </w:tcPr>
          <w:p w:rsidR="006675AC" w:rsidRPr="00267E96" w:rsidRDefault="006675AC" w:rsidP="008A094B">
            <w:pPr>
              <w:jc w:val="both"/>
              <w:rPr>
                <w:rFonts w:eastAsia="Calibri"/>
                <w:sz w:val="22"/>
                <w:szCs w:val="22"/>
              </w:rPr>
            </w:pPr>
            <w:r>
              <w:rPr>
                <w:rFonts w:eastAsia="Calibri"/>
                <w:sz w:val="22"/>
                <w:szCs w:val="22"/>
              </w:rPr>
              <w:t>Pirkimo doku</w:t>
            </w:r>
            <w:r w:rsidR="00596DD9">
              <w:rPr>
                <w:rFonts w:eastAsia="Calibri"/>
                <w:sz w:val="22"/>
                <w:szCs w:val="22"/>
              </w:rPr>
              <w:t>mentai</w:t>
            </w:r>
            <w:r w:rsidR="008A094B">
              <w:rPr>
                <w:rFonts w:eastAsia="Calibri"/>
                <w:sz w:val="22"/>
                <w:szCs w:val="22"/>
              </w:rPr>
              <w:t xml:space="preserve">, kuriuose nurodama, </w:t>
            </w:r>
            <w:r w:rsidR="008A094B" w:rsidRPr="008A094B">
              <w:rPr>
                <w:rFonts w:eastAsia="Calibri"/>
                <w:sz w:val="22"/>
                <w:szCs w:val="22"/>
              </w:rPr>
              <w:t xml:space="preserve">kad naudojama IRT įranga atitiks medžiagų efektyvumo reikalavimus, nustatytus pagal </w:t>
            </w:r>
            <w:r w:rsidR="008214C7" w:rsidRPr="008214C7">
              <w:rPr>
                <w:rFonts w:eastAsia="Calibri"/>
                <w:sz w:val="22"/>
                <w:szCs w:val="22"/>
              </w:rPr>
              <w:t>2009 m. spalio 21 d. Europos Parlamento ir Tarybos direktyvą 2009/125/EB</w:t>
            </w:r>
            <w:r w:rsidR="00CD6F57">
              <w:rPr>
                <w:rFonts w:eastAsia="Calibri"/>
                <w:sz w:val="22"/>
                <w:szCs w:val="22"/>
              </w:rPr>
              <w:t>,</w:t>
            </w:r>
            <w:r w:rsidR="008214C7" w:rsidRPr="008214C7">
              <w:rPr>
                <w:rFonts w:eastAsia="Calibri"/>
                <w:sz w:val="22"/>
                <w:szCs w:val="22"/>
              </w:rPr>
              <w:t xml:space="preserve"> nustatan</w:t>
            </w:r>
            <w:r w:rsidR="00CD6F57">
              <w:rPr>
                <w:rFonts w:eastAsia="Calibri"/>
                <w:sz w:val="22"/>
                <w:szCs w:val="22"/>
              </w:rPr>
              <w:t>čią</w:t>
            </w:r>
            <w:r w:rsidR="008214C7" w:rsidRPr="008214C7">
              <w:rPr>
                <w:rFonts w:eastAsia="Calibri"/>
                <w:sz w:val="22"/>
                <w:szCs w:val="22"/>
              </w:rPr>
              <w:t xml:space="preserve"> ekologinio projektavimo reikalavimų su energija susijusiems gaminiams nustatymo sistemą </w:t>
            </w:r>
            <w:r w:rsidR="008A094B" w:rsidRPr="008A094B">
              <w:rPr>
                <w:rFonts w:eastAsia="Calibri"/>
                <w:sz w:val="22"/>
                <w:szCs w:val="22"/>
              </w:rPr>
              <w:t>serveriams ir duomenų saugykloms, kompiuteriams ir kompiuterių serveriams ar elektroniniams ekranams.</w:t>
            </w:r>
            <w:r w:rsidR="001C0776">
              <w:rPr>
                <w:rFonts w:eastAsia="Calibri"/>
                <w:sz w:val="22"/>
                <w:szCs w:val="22"/>
              </w:rPr>
              <w:t xml:space="preserve"> </w:t>
            </w:r>
            <w:r w:rsidR="008A094B" w:rsidRPr="008A094B">
              <w:rPr>
                <w:rFonts w:eastAsia="Calibri"/>
                <w:sz w:val="22"/>
                <w:szCs w:val="22"/>
              </w:rPr>
              <w:t xml:space="preserve">Naudojamoje įrangoje nebus ribojamų medžiagų, išvardytų </w:t>
            </w:r>
            <w:r w:rsidR="008214C7" w:rsidRPr="008214C7">
              <w:rPr>
                <w:rFonts w:eastAsia="Calibri"/>
                <w:sz w:val="22"/>
                <w:szCs w:val="22"/>
              </w:rPr>
              <w:t>2011 m. birželio 8 d. Europos Parlamento ir Tarybos direktyv</w:t>
            </w:r>
            <w:r w:rsidR="008214C7">
              <w:rPr>
                <w:rFonts w:eastAsia="Calibri"/>
                <w:sz w:val="22"/>
                <w:szCs w:val="22"/>
              </w:rPr>
              <w:t>oje</w:t>
            </w:r>
            <w:r w:rsidR="008214C7" w:rsidRPr="008214C7">
              <w:rPr>
                <w:rFonts w:eastAsia="Calibri"/>
                <w:sz w:val="22"/>
                <w:szCs w:val="22"/>
              </w:rPr>
              <w:t xml:space="preserve"> 2011/65/ES dėl tam tikrų pavojingų medžiagų naudojimo elektros ir elektroninėje įrangoje apribojimo</w:t>
            </w:r>
            <w:r w:rsidR="00351C9B">
              <w:rPr>
                <w:rFonts w:eastAsia="Calibri"/>
                <w:sz w:val="22"/>
                <w:szCs w:val="22"/>
              </w:rPr>
              <w:t xml:space="preserve"> </w:t>
            </w:r>
            <w:r w:rsidR="008A094B" w:rsidRPr="008A094B">
              <w:rPr>
                <w:rFonts w:eastAsia="Calibri"/>
                <w:sz w:val="22"/>
                <w:szCs w:val="22"/>
              </w:rPr>
              <w:t>II priede, išskyrus tuos atvejus, kai koncentracijos vertės vienarūšėse medžiagose neviršija tame priede nurodytų verčių.</w:t>
            </w:r>
            <w:r w:rsidR="009F0F9E">
              <w:t xml:space="preserve"> </w:t>
            </w:r>
            <w:r w:rsidR="009F0F9E" w:rsidRPr="009F0F9E">
              <w:rPr>
                <w:rFonts w:eastAsia="Calibri"/>
                <w:sz w:val="22"/>
                <w:szCs w:val="22"/>
              </w:rPr>
              <w:t xml:space="preserve">Taip pat nurodoma įrangos atliekas sutvarkymas vadovaujantis </w:t>
            </w:r>
            <w:r w:rsidR="003E55A8" w:rsidRPr="003E55A8">
              <w:rPr>
                <w:rFonts w:eastAsia="Calibri"/>
                <w:sz w:val="22"/>
                <w:szCs w:val="22"/>
              </w:rPr>
              <w:t>2012 m. liepos 4 d. Europos Parlamento ir Tarybos direktyv</w:t>
            </w:r>
            <w:r w:rsidR="008214C7">
              <w:rPr>
                <w:rFonts w:eastAsia="Calibri"/>
                <w:sz w:val="22"/>
                <w:szCs w:val="22"/>
              </w:rPr>
              <w:t>os</w:t>
            </w:r>
            <w:r w:rsidR="003E55A8" w:rsidRPr="003E55A8">
              <w:rPr>
                <w:rFonts w:eastAsia="Calibri"/>
                <w:sz w:val="22"/>
                <w:szCs w:val="22"/>
              </w:rPr>
              <w:t xml:space="preserve"> 2012/19/ES dėl elektros ir elektroninės įrangos atliekų</w:t>
            </w:r>
            <w:r w:rsidR="009F0F9E" w:rsidRPr="009F0F9E">
              <w:rPr>
                <w:rFonts w:eastAsia="Calibri"/>
                <w:sz w:val="22"/>
                <w:szCs w:val="22"/>
              </w:rPr>
              <w:t xml:space="preserve"> reikalavimais ir Lietuvos Respublikos teisės aktais, reglamentuojančiais atliekų tvarkymą, bei Valstybinio atliekų prevencijos ir tvarkymo plano nuostatomis.</w:t>
            </w:r>
          </w:p>
        </w:tc>
      </w:tr>
      <w:tr w:rsidR="007A3CA8" w:rsidTr="00B378BB">
        <w:tc>
          <w:tcPr>
            <w:tcW w:w="4933" w:type="dxa"/>
          </w:tcPr>
          <w:p w:rsidR="007A3CA8" w:rsidRPr="00616A1B" w:rsidRDefault="007A3CA8" w:rsidP="00B378BB">
            <w:pPr>
              <w:tabs>
                <w:tab w:val="left" w:pos="289"/>
              </w:tabs>
              <w:ind w:firstLine="5"/>
              <w:jc w:val="both"/>
              <w:rPr>
                <w:rFonts w:eastAsia="Calibri"/>
                <w:sz w:val="22"/>
                <w:szCs w:val="22"/>
              </w:rPr>
            </w:pPr>
            <w:r w:rsidRPr="00616A1B">
              <w:rPr>
                <w:rFonts w:eastAsia="Calibri"/>
                <w:sz w:val="22"/>
                <w:szCs w:val="22"/>
              </w:rPr>
              <w:t>5.</w:t>
            </w:r>
            <w:r w:rsidRPr="00616A1B">
              <w:rPr>
                <w:rFonts w:eastAsia="Calibri"/>
                <w:sz w:val="22"/>
                <w:szCs w:val="22"/>
              </w:rPr>
              <w:tab/>
            </w:r>
            <w:r w:rsidRPr="00616A1B">
              <w:rPr>
                <w:rFonts w:eastAsia="Calibri"/>
                <w:bCs/>
                <w:sz w:val="22"/>
                <w:szCs w:val="22"/>
              </w:rPr>
              <w:t>Oro, vandens ar žemės taršos prevencija ir kontrolė</w:t>
            </w:r>
          </w:p>
        </w:tc>
        <w:tc>
          <w:tcPr>
            <w:tcW w:w="4678" w:type="dxa"/>
          </w:tcPr>
          <w:p w:rsidR="007A3CA8" w:rsidRDefault="007A3CA8" w:rsidP="00B378BB">
            <w:pPr>
              <w:jc w:val="both"/>
              <w:rPr>
                <w:rFonts w:eastAsia="Calibri"/>
                <w:bCs/>
                <w:sz w:val="22"/>
                <w:szCs w:val="22"/>
              </w:rPr>
            </w:pPr>
            <w:r w:rsidRPr="00B31545">
              <w:rPr>
                <w:rFonts w:eastAsia="Calibri"/>
                <w:bCs/>
                <w:sz w:val="22"/>
                <w:szCs w:val="22"/>
              </w:rPr>
              <w:t xml:space="preserve">Planuojamos įgyvendinti veiklos </w:t>
            </w:r>
            <w:r w:rsidRPr="00616A1B">
              <w:rPr>
                <w:rFonts w:eastAsia="Calibri"/>
                <w:bCs/>
                <w:sz w:val="22"/>
                <w:szCs w:val="22"/>
              </w:rPr>
              <w:t>dėl savo pobūdžio neturės jokio neigiamo tiesioginio ir netiesioginio poveikio šiam aplinkos tikslui</w:t>
            </w:r>
            <w:r>
              <w:rPr>
                <w:rFonts w:eastAsia="Calibri"/>
                <w:bCs/>
                <w:sz w:val="22"/>
                <w:szCs w:val="22"/>
              </w:rPr>
              <w:t xml:space="preserve">. </w:t>
            </w:r>
            <w:r w:rsidRPr="000A1BEE">
              <w:rPr>
                <w:rFonts w:eastAsia="Calibri"/>
                <w:bCs/>
                <w:sz w:val="22"/>
                <w:szCs w:val="22"/>
              </w:rPr>
              <w:t xml:space="preserve">Nenumatoma, kad įgyvendinant šias veiklas, susijusias su </w:t>
            </w:r>
            <w:r w:rsidRPr="00F94D24">
              <w:rPr>
                <w:rFonts w:eastAsia="Calibri"/>
                <w:bCs/>
                <w:sz w:val="22"/>
                <w:szCs w:val="22"/>
              </w:rPr>
              <w:t>infrastruktūros modernizavimu, įrangos, priemonių ir kitų išteklių įsigijimu, pastatų modernizavimo metu susidarytų reikšminga oro, vandens ir dirvožemio</w:t>
            </w:r>
            <w:r w:rsidRPr="000A1BEE">
              <w:rPr>
                <w:rFonts w:eastAsia="Calibri"/>
                <w:bCs/>
                <w:sz w:val="22"/>
                <w:szCs w:val="22"/>
              </w:rPr>
              <w:t xml:space="preserve"> tarša, nes modernizuojant bus naudojamos Statybos techniniame reglamente ir kituose teisės aktuose leistinos medžiagos, atitinkančios aplinkos apsaugos reikalavimus.</w:t>
            </w:r>
          </w:p>
          <w:p w:rsidR="00FB0975" w:rsidRDefault="00FB0975" w:rsidP="00B378BB">
            <w:pPr>
              <w:jc w:val="both"/>
              <w:rPr>
                <w:rFonts w:eastAsia="Calibri"/>
                <w:bCs/>
                <w:sz w:val="22"/>
                <w:szCs w:val="22"/>
              </w:rPr>
            </w:pPr>
            <w:r w:rsidRPr="00FB0975">
              <w:rPr>
                <w:rFonts w:eastAsia="Calibri"/>
                <w:bCs/>
                <w:sz w:val="22"/>
                <w:szCs w:val="22"/>
              </w:rPr>
              <w:t xml:space="preserve">Planuojama įsigyti IT įranga privalės atitikti (tai bus numatoma atitinkamuose IT įrangos įsigijimo dokumentuose) efektyvumo, tvarumo, ilgaamžiškumo reikalavimus pagal </w:t>
            </w:r>
            <w:r w:rsidR="002C77FE" w:rsidRPr="002C77FE">
              <w:rPr>
                <w:rFonts w:eastAsia="Calibri"/>
                <w:bCs/>
                <w:sz w:val="22"/>
                <w:szCs w:val="22"/>
              </w:rPr>
              <w:t>2009 m. spalio 21 d. Europos Parlamento ir Tarybos direktyv</w:t>
            </w:r>
            <w:r w:rsidR="00BF3E26">
              <w:rPr>
                <w:rFonts w:eastAsia="Calibri"/>
                <w:bCs/>
                <w:sz w:val="22"/>
                <w:szCs w:val="22"/>
              </w:rPr>
              <w:t>ą</w:t>
            </w:r>
            <w:r w:rsidR="002C77FE" w:rsidRPr="002C77FE">
              <w:rPr>
                <w:rFonts w:eastAsia="Calibri"/>
                <w:bCs/>
                <w:sz w:val="22"/>
                <w:szCs w:val="22"/>
              </w:rPr>
              <w:t xml:space="preserve"> 2009/125/EB</w:t>
            </w:r>
            <w:r w:rsidR="00BF3E26">
              <w:rPr>
                <w:rFonts w:eastAsia="Calibri"/>
                <w:bCs/>
                <w:sz w:val="22"/>
                <w:szCs w:val="22"/>
              </w:rPr>
              <w:t>,</w:t>
            </w:r>
            <w:r w:rsidR="002C77FE" w:rsidRPr="002C77FE">
              <w:rPr>
                <w:rFonts w:eastAsia="Calibri"/>
                <w:bCs/>
                <w:sz w:val="22"/>
                <w:szCs w:val="22"/>
              </w:rPr>
              <w:t xml:space="preserve"> nustatan</w:t>
            </w:r>
            <w:r w:rsidR="00BF3E26">
              <w:rPr>
                <w:rFonts w:eastAsia="Calibri"/>
                <w:bCs/>
                <w:sz w:val="22"/>
                <w:szCs w:val="22"/>
              </w:rPr>
              <w:t>čią</w:t>
            </w:r>
            <w:r w:rsidR="002C77FE" w:rsidRPr="002C77FE">
              <w:rPr>
                <w:rFonts w:eastAsia="Calibri"/>
                <w:bCs/>
                <w:sz w:val="22"/>
                <w:szCs w:val="22"/>
              </w:rPr>
              <w:t xml:space="preserve"> ekologinio projektavimo reikalavimų su energija susijusiems gaminiams nustatymo sistemą</w:t>
            </w:r>
            <w:r w:rsidR="002C77FE" w:rsidRPr="002C77FE" w:rsidDel="002C77FE">
              <w:rPr>
                <w:rFonts w:eastAsia="Calibri"/>
                <w:bCs/>
                <w:sz w:val="22"/>
                <w:szCs w:val="22"/>
              </w:rPr>
              <w:t xml:space="preserve"> </w:t>
            </w:r>
            <w:r w:rsidRPr="00FB0975">
              <w:rPr>
                <w:rFonts w:eastAsia="Calibri"/>
                <w:bCs/>
                <w:sz w:val="22"/>
                <w:szCs w:val="22"/>
              </w:rPr>
              <w:t>(serveriams ir duomenims saugoti, kompiuteriams ir kompiuterių serveriams ar elektroniniams ekranams)</w:t>
            </w:r>
            <w:r w:rsidR="00CD6F57">
              <w:rPr>
                <w:rFonts w:eastAsia="Calibri"/>
                <w:bCs/>
                <w:sz w:val="22"/>
                <w:szCs w:val="22"/>
              </w:rPr>
              <w:t>,</w:t>
            </w:r>
            <w:r w:rsidRPr="00FB0975">
              <w:rPr>
                <w:rFonts w:eastAsia="Calibri"/>
                <w:bCs/>
                <w:sz w:val="22"/>
                <w:szCs w:val="22"/>
              </w:rPr>
              <w:t xml:space="preserve"> ir </w:t>
            </w:r>
            <w:r w:rsidR="002C77FE" w:rsidRPr="002C77FE">
              <w:rPr>
                <w:rFonts w:eastAsia="Calibri"/>
                <w:bCs/>
                <w:sz w:val="22"/>
                <w:szCs w:val="22"/>
              </w:rPr>
              <w:t>2011 m. birželio 8 d. Europos Parlamento ir Tarybos direkty</w:t>
            </w:r>
            <w:r w:rsidR="00CD6F57">
              <w:rPr>
                <w:rFonts w:eastAsia="Calibri"/>
                <w:bCs/>
                <w:sz w:val="22"/>
                <w:szCs w:val="22"/>
              </w:rPr>
              <w:t>v</w:t>
            </w:r>
            <w:r w:rsidR="00297386">
              <w:rPr>
                <w:rFonts w:eastAsia="Calibri"/>
                <w:bCs/>
                <w:sz w:val="22"/>
                <w:szCs w:val="22"/>
              </w:rPr>
              <w:t>ą</w:t>
            </w:r>
            <w:r w:rsidR="002C77FE" w:rsidRPr="002C77FE">
              <w:rPr>
                <w:rFonts w:eastAsia="Calibri"/>
                <w:bCs/>
                <w:sz w:val="22"/>
                <w:szCs w:val="22"/>
              </w:rPr>
              <w:t xml:space="preserve"> 2011/65/ES dėl tam tikrų pavojingų medžiagų naudojimo elektros ir elektroninėje įrangoje apribojimo.</w:t>
            </w:r>
          </w:p>
          <w:p w:rsidR="00FB0975" w:rsidRPr="00B31545" w:rsidRDefault="00FB0975" w:rsidP="00B378BB">
            <w:pPr>
              <w:jc w:val="both"/>
              <w:rPr>
                <w:rFonts w:eastAsia="Calibri"/>
                <w:bCs/>
                <w:sz w:val="22"/>
                <w:szCs w:val="22"/>
              </w:rPr>
            </w:pPr>
          </w:p>
          <w:p w:rsidR="007A3CA8" w:rsidRDefault="00FB0975" w:rsidP="00B378BB">
            <w:pPr>
              <w:jc w:val="both"/>
              <w:rPr>
                <w:rFonts w:eastAsia="Calibri"/>
                <w:szCs w:val="24"/>
              </w:rPr>
            </w:pPr>
            <w:r w:rsidRPr="007E0D24">
              <w:rPr>
                <w:rFonts w:eastAsia="Calibri"/>
                <w:sz w:val="22"/>
                <w:szCs w:val="22"/>
              </w:rPr>
              <w:t xml:space="preserve">Pasibaigus įsigytos įrangos naudingo tarnavimo laikui, įrangos tiekėjai (pardavėjai) privalės (tai bus numatoma atitinkamuose įrangos įsigijimo dokumentuose) įrangos atliekas sutvarkyti vadovaudamiesi </w:t>
            </w:r>
            <w:r w:rsidR="003E55A8">
              <w:rPr>
                <w:rFonts w:eastAsia="Calibri"/>
                <w:sz w:val="22"/>
                <w:szCs w:val="22"/>
              </w:rPr>
              <w:t>2</w:t>
            </w:r>
            <w:r w:rsidR="003E55A8" w:rsidRPr="003E55A8">
              <w:rPr>
                <w:rFonts w:eastAsia="Calibri"/>
                <w:sz w:val="22"/>
                <w:szCs w:val="22"/>
              </w:rPr>
              <w:t>012 m. liepos 4 d. Europos Parlamento ir Tarybos direktyva 2012/19/ES dėl elektros ir elektroninės įrangos atliekų</w:t>
            </w:r>
            <w:r w:rsidR="003E55A8" w:rsidRPr="003E55A8" w:rsidDel="00B40119">
              <w:rPr>
                <w:rFonts w:eastAsia="Calibri"/>
                <w:sz w:val="22"/>
                <w:szCs w:val="22"/>
              </w:rPr>
              <w:t xml:space="preserve"> </w:t>
            </w:r>
            <w:r w:rsidRPr="007E0D24">
              <w:rPr>
                <w:rFonts w:eastAsia="Calibri"/>
                <w:sz w:val="22"/>
                <w:szCs w:val="22"/>
              </w:rPr>
              <w:t>reikalavimais ir Lietuvos Respublikos teisės aktais, reglamentuojančiais atliekų tvarkymą, bei Valstybinio atliekų prevencijos ir tvarkymo plano nuostatomis</w:t>
            </w:r>
            <w:r w:rsidRPr="00FB0975">
              <w:rPr>
                <w:rFonts w:eastAsia="Calibri"/>
                <w:szCs w:val="24"/>
              </w:rPr>
              <w:t>.</w:t>
            </w:r>
          </w:p>
        </w:tc>
        <w:tc>
          <w:tcPr>
            <w:tcW w:w="5387" w:type="dxa"/>
          </w:tcPr>
          <w:p w:rsidR="00C84926" w:rsidRDefault="00C84926" w:rsidP="00B378BB">
            <w:pPr>
              <w:jc w:val="both"/>
              <w:rPr>
                <w:rFonts w:eastAsia="Calibri"/>
                <w:sz w:val="22"/>
                <w:szCs w:val="22"/>
              </w:rPr>
            </w:pPr>
            <w:r w:rsidRPr="007E0D24">
              <w:rPr>
                <w:rFonts w:eastAsia="Calibri"/>
                <w:sz w:val="22"/>
                <w:szCs w:val="22"/>
              </w:rPr>
              <w:t xml:space="preserve">Pirkimo dokumentai, kuriuose nurodama, kad naudojama IRT įranga atitiks medžiagų efektyvumo reikalavimus, nustatytus pagal </w:t>
            </w:r>
            <w:r w:rsidR="008214C7" w:rsidRPr="008214C7">
              <w:rPr>
                <w:rFonts w:eastAsia="Calibri"/>
                <w:sz w:val="22"/>
                <w:szCs w:val="22"/>
              </w:rPr>
              <w:t>2009 m. spalio 21 d. Europos Parlamento ir Tarybos direktyvą 2009/125/EB</w:t>
            </w:r>
            <w:r w:rsidR="00351C9B">
              <w:rPr>
                <w:rFonts w:eastAsia="Calibri"/>
                <w:sz w:val="22"/>
                <w:szCs w:val="22"/>
              </w:rPr>
              <w:t>,</w:t>
            </w:r>
            <w:r w:rsidR="008214C7" w:rsidRPr="008214C7">
              <w:rPr>
                <w:rFonts w:eastAsia="Calibri"/>
                <w:sz w:val="22"/>
                <w:szCs w:val="22"/>
              </w:rPr>
              <w:t xml:space="preserve"> nustatan</w:t>
            </w:r>
            <w:r w:rsidR="00BF3E26">
              <w:rPr>
                <w:rFonts w:eastAsia="Calibri"/>
                <w:sz w:val="22"/>
                <w:szCs w:val="22"/>
              </w:rPr>
              <w:t>čią</w:t>
            </w:r>
            <w:r w:rsidR="008214C7" w:rsidRPr="008214C7">
              <w:rPr>
                <w:rFonts w:eastAsia="Calibri"/>
                <w:sz w:val="22"/>
                <w:szCs w:val="22"/>
              </w:rPr>
              <w:t xml:space="preserve"> ekologinio projektavimo reikalavimų su energija susijusiems gaminiams nustatymo sistemą </w:t>
            </w:r>
            <w:r w:rsidRPr="007E0D24">
              <w:rPr>
                <w:rFonts w:eastAsia="Calibri"/>
                <w:sz w:val="22"/>
                <w:szCs w:val="22"/>
              </w:rPr>
              <w:t xml:space="preserve">serveriams ir duomenų saugykloms, kompiuteriams ir kompiuterių serveriams ar elektroniniams ekranams. Naudojamoje įrangoje nebus ribojamų medžiagų, išvardytų </w:t>
            </w:r>
            <w:r w:rsidR="008214C7" w:rsidRPr="008214C7">
              <w:rPr>
                <w:rFonts w:eastAsia="Calibri"/>
                <w:sz w:val="22"/>
                <w:szCs w:val="22"/>
              </w:rPr>
              <w:t>2011 m. birželio 8 d. Europos Parlamento ir Tarybos direktyv</w:t>
            </w:r>
            <w:r w:rsidR="008214C7">
              <w:rPr>
                <w:rFonts w:eastAsia="Calibri"/>
                <w:sz w:val="22"/>
                <w:szCs w:val="22"/>
              </w:rPr>
              <w:t>os</w:t>
            </w:r>
            <w:r w:rsidR="008214C7" w:rsidRPr="008214C7">
              <w:rPr>
                <w:rFonts w:eastAsia="Calibri"/>
                <w:sz w:val="22"/>
                <w:szCs w:val="22"/>
              </w:rPr>
              <w:t xml:space="preserve"> 2011/65/ES dėl tam tikrų pavojingų medžiagų naudojimo elektros ir elektroninėje įrangoje apribojimo</w:t>
            </w:r>
            <w:r w:rsidR="00BF3E26">
              <w:rPr>
                <w:rFonts w:eastAsia="Calibri"/>
                <w:sz w:val="22"/>
                <w:szCs w:val="22"/>
              </w:rPr>
              <w:t xml:space="preserve"> </w:t>
            </w:r>
            <w:r w:rsidRPr="007E0D24">
              <w:rPr>
                <w:rFonts w:eastAsia="Calibri"/>
                <w:sz w:val="22"/>
                <w:szCs w:val="22"/>
              </w:rPr>
              <w:t>II priede, išskyrus tuos atvejus, kai koncentracijos vertės vienarūšėse medžiagose neviršija tame priede nurodytų verčių.</w:t>
            </w:r>
            <w:r w:rsidR="00FB0975" w:rsidRPr="007E0D24">
              <w:rPr>
                <w:rFonts w:eastAsia="Calibri"/>
                <w:sz w:val="22"/>
                <w:szCs w:val="22"/>
              </w:rPr>
              <w:t xml:space="preserve"> Taip pat nurodoma įrangos atliekas sutvark</w:t>
            </w:r>
            <w:r w:rsidR="009F0F9E" w:rsidRPr="007E0D24">
              <w:rPr>
                <w:rFonts w:eastAsia="Calibri"/>
                <w:sz w:val="22"/>
                <w:szCs w:val="22"/>
              </w:rPr>
              <w:t>ymas</w:t>
            </w:r>
            <w:r w:rsidR="00FB0975" w:rsidRPr="007E0D24">
              <w:rPr>
                <w:rFonts w:eastAsia="Calibri"/>
                <w:sz w:val="22"/>
                <w:szCs w:val="22"/>
              </w:rPr>
              <w:t xml:space="preserve"> vadovau</w:t>
            </w:r>
            <w:r w:rsidR="009F0F9E" w:rsidRPr="007E0D24">
              <w:rPr>
                <w:rFonts w:eastAsia="Calibri"/>
                <w:sz w:val="22"/>
                <w:szCs w:val="22"/>
              </w:rPr>
              <w:t>jantis</w:t>
            </w:r>
            <w:r w:rsidR="00FB0975" w:rsidRPr="007E0D24">
              <w:rPr>
                <w:rFonts w:eastAsia="Calibri"/>
                <w:sz w:val="22"/>
                <w:szCs w:val="22"/>
              </w:rPr>
              <w:t xml:space="preserve"> </w:t>
            </w:r>
            <w:r w:rsidR="003E55A8" w:rsidRPr="003E55A8">
              <w:rPr>
                <w:rFonts w:eastAsia="Calibri"/>
                <w:sz w:val="22"/>
                <w:szCs w:val="22"/>
              </w:rPr>
              <w:t>2012 m. liepos 4 d. Europos Parlamento ir Tarybos direktyv</w:t>
            </w:r>
            <w:r w:rsidR="00EE0946">
              <w:rPr>
                <w:rFonts w:eastAsia="Calibri"/>
                <w:sz w:val="22"/>
                <w:szCs w:val="22"/>
              </w:rPr>
              <w:t>os</w:t>
            </w:r>
            <w:r w:rsidR="003E55A8" w:rsidRPr="003E55A8">
              <w:rPr>
                <w:rFonts w:eastAsia="Calibri"/>
                <w:sz w:val="22"/>
                <w:szCs w:val="22"/>
              </w:rPr>
              <w:t xml:space="preserve"> 2012/19/ES dėl elektros ir elektroninės įrangos atliekų</w:t>
            </w:r>
            <w:r w:rsidR="00FB0975" w:rsidRPr="007E0D24">
              <w:rPr>
                <w:rFonts w:eastAsia="Calibri"/>
                <w:sz w:val="22"/>
                <w:szCs w:val="22"/>
              </w:rPr>
              <w:t xml:space="preserve"> reikalavimais ir Lietuvos Respublikos teisės aktais, reglamentuojančiais atliekų tvarkymą, bei Valstybinio atliekų prevencijos ir tvarkymo plano nuostatomis.</w:t>
            </w:r>
          </w:p>
          <w:p w:rsidR="00A5233D" w:rsidRPr="007E0D24" w:rsidRDefault="00A5233D" w:rsidP="00B378BB">
            <w:pPr>
              <w:jc w:val="both"/>
              <w:rPr>
                <w:rFonts w:eastAsia="Calibri"/>
                <w:sz w:val="22"/>
                <w:szCs w:val="22"/>
              </w:rPr>
            </w:pPr>
          </w:p>
        </w:tc>
      </w:tr>
      <w:tr w:rsidR="007A3CA8" w:rsidTr="00B378BB">
        <w:tc>
          <w:tcPr>
            <w:tcW w:w="4933" w:type="dxa"/>
          </w:tcPr>
          <w:p w:rsidR="007A3CA8" w:rsidRPr="00616A1B" w:rsidRDefault="007A3CA8" w:rsidP="00B378BB">
            <w:pPr>
              <w:tabs>
                <w:tab w:val="left" w:pos="289"/>
              </w:tabs>
              <w:ind w:left="5" w:firstLine="5"/>
              <w:jc w:val="both"/>
              <w:rPr>
                <w:rFonts w:eastAsia="Calibri"/>
                <w:sz w:val="22"/>
                <w:szCs w:val="22"/>
              </w:rPr>
            </w:pPr>
            <w:r w:rsidRPr="00616A1B">
              <w:rPr>
                <w:rFonts w:eastAsia="Calibri"/>
                <w:sz w:val="22"/>
                <w:szCs w:val="22"/>
              </w:rPr>
              <w:t>6.</w:t>
            </w:r>
            <w:r w:rsidRPr="00616A1B">
              <w:rPr>
                <w:rFonts w:eastAsia="Calibri"/>
                <w:sz w:val="22"/>
                <w:szCs w:val="22"/>
              </w:rPr>
              <w:tab/>
              <w:t>Biologinės įvairovės ir ekosistemų apsauga ir atkūrimas</w:t>
            </w:r>
          </w:p>
        </w:tc>
        <w:tc>
          <w:tcPr>
            <w:tcW w:w="4678" w:type="dxa"/>
          </w:tcPr>
          <w:p w:rsidR="007A3CA8" w:rsidRPr="00F94D24" w:rsidRDefault="007A3CA8" w:rsidP="00B378BB">
            <w:pPr>
              <w:jc w:val="both"/>
              <w:rPr>
                <w:rFonts w:eastAsia="Calibri"/>
                <w:sz w:val="22"/>
                <w:szCs w:val="22"/>
              </w:rPr>
            </w:pPr>
            <w:r w:rsidRPr="00F94D24">
              <w:rPr>
                <w:rFonts w:eastAsia="Calibri"/>
                <w:sz w:val="22"/>
                <w:szCs w:val="22"/>
              </w:rPr>
              <w:t>Vertinama, kad planuojamos įgyvendinti veiklos neturi jokio numatomo neigiamo tiesioginio ar netiesioginio poveikio šiam aplinkos tikslui arba numatomas jos poveikis yra nereikšmingas, t. y. nedaro tiesioginio ir pirminio netiesioginio poveikio</w:t>
            </w:r>
            <w:r w:rsidR="00677299">
              <w:rPr>
                <w:rFonts w:eastAsia="Calibri"/>
                <w:sz w:val="22"/>
                <w:szCs w:val="22"/>
              </w:rPr>
              <w:t xml:space="preserve"> šiam aplinkos </w:t>
            </w:r>
            <w:r w:rsidR="006D6B2D">
              <w:rPr>
                <w:rFonts w:eastAsia="Calibri"/>
                <w:sz w:val="22"/>
                <w:szCs w:val="22"/>
              </w:rPr>
              <w:t>tikslui,</w:t>
            </w:r>
            <w:r w:rsidR="003E6475">
              <w:rPr>
                <w:rFonts w:eastAsia="Calibri"/>
                <w:sz w:val="22"/>
                <w:szCs w:val="22"/>
              </w:rPr>
              <w:t xml:space="preserve"> nes</w:t>
            </w:r>
            <w:r w:rsidRPr="00F94D24">
              <w:rPr>
                <w:rFonts w:eastAsia="Calibri"/>
                <w:sz w:val="22"/>
                <w:szCs w:val="22"/>
              </w:rPr>
              <w:t xml:space="preserve"> </w:t>
            </w:r>
            <w:r w:rsidR="00E21385">
              <w:rPr>
                <w:rFonts w:eastAsia="Calibri"/>
                <w:sz w:val="22"/>
                <w:szCs w:val="22"/>
              </w:rPr>
              <w:t xml:space="preserve">projekto </w:t>
            </w:r>
          </w:p>
          <w:p w:rsidR="007A3CA8" w:rsidRPr="00F94D24" w:rsidRDefault="006D6B2D" w:rsidP="00B378BB">
            <w:pPr>
              <w:jc w:val="both"/>
              <w:rPr>
                <w:rFonts w:eastAsia="Calibri"/>
                <w:sz w:val="22"/>
                <w:szCs w:val="22"/>
              </w:rPr>
            </w:pPr>
            <w:r>
              <w:rPr>
                <w:rFonts w:eastAsia="Calibri"/>
                <w:sz w:val="22"/>
                <w:szCs w:val="22"/>
              </w:rPr>
              <w:t>v</w:t>
            </w:r>
            <w:r w:rsidR="007A3CA8" w:rsidRPr="00F94D24">
              <w:rPr>
                <w:rFonts w:eastAsia="Calibri"/>
                <w:sz w:val="22"/>
                <w:szCs w:val="22"/>
              </w:rPr>
              <w:t xml:space="preserve">eiklos bus vykdomos jau urbanizuotose vietovėse. Veiklą įgyvendinant kaimo ir atokiose vietovėse, teisės aktų nustatyta tvarka atlikus planuojamos ūkinės veiklos poveikio aplinkai vertinimą, bus įgyvendintos visos nustatytos klimato kaitą švelninančios priemonės, padėsiančios išvengti bet kokios žalos biologinei įvairovei bei ekosistemoms.  </w:t>
            </w:r>
          </w:p>
          <w:p w:rsidR="007A3CA8" w:rsidRDefault="007A3CA8" w:rsidP="00B378BB">
            <w:pPr>
              <w:jc w:val="both"/>
              <w:rPr>
                <w:rFonts w:eastAsia="Calibri"/>
                <w:szCs w:val="24"/>
              </w:rPr>
            </w:pPr>
            <w:r w:rsidRPr="00F94D24">
              <w:rPr>
                <w:rFonts w:eastAsia="Calibri"/>
                <w:sz w:val="22"/>
                <w:szCs w:val="22"/>
              </w:rPr>
              <w:t>Pagal atliktą pirminį vertinimą ir pagal šiuo metu galiojančių teisės aktų reikalavimus, poveikio „Natura 2000“ teritorijoms, biologinei įvairovei ir ekosistemai nebus</w:t>
            </w:r>
            <w:r>
              <w:rPr>
                <w:rFonts w:eastAsia="Calibri"/>
                <w:sz w:val="22"/>
                <w:szCs w:val="22"/>
              </w:rPr>
              <w:t>.</w:t>
            </w:r>
          </w:p>
        </w:tc>
        <w:tc>
          <w:tcPr>
            <w:tcW w:w="5387" w:type="dxa"/>
          </w:tcPr>
          <w:p w:rsidR="007A3CA8" w:rsidRDefault="007A3CA8" w:rsidP="00B378BB">
            <w:pPr>
              <w:jc w:val="both"/>
              <w:rPr>
                <w:rFonts w:eastAsia="Calibri"/>
                <w:sz w:val="22"/>
                <w:szCs w:val="22"/>
              </w:rPr>
            </w:pPr>
            <w:r w:rsidRPr="007721DC">
              <w:rPr>
                <w:rFonts w:eastAsia="Calibri"/>
                <w:sz w:val="22"/>
                <w:szCs w:val="22"/>
              </w:rPr>
              <w:t>Netaikoma. Numatomos veiklos neturi neigiamo poveikio, todėl papildomi dokumentai neteikiami.</w:t>
            </w:r>
          </w:p>
          <w:p w:rsidR="00E21385" w:rsidRDefault="00E21385" w:rsidP="00B378BB">
            <w:pPr>
              <w:jc w:val="both"/>
              <w:rPr>
                <w:rFonts w:eastAsia="Calibri"/>
                <w:sz w:val="22"/>
                <w:szCs w:val="22"/>
              </w:rPr>
            </w:pPr>
          </w:p>
          <w:p w:rsidR="00E21385" w:rsidRDefault="00E21385" w:rsidP="00B378BB">
            <w:pPr>
              <w:jc w:val="both"/>
              <w:rPr>
                <w:rFonts w:eastAsia="Calibri"/>
                <w:szCs w:val="24"/>
              </w:rPr>
            </w:pPr>
          </w:p>
        </w:tc>
      </w:tr>
    </w:tbl>
    <w:p w:rsidR="007A3CA8" w:rsidRDefault="007A3CA8" w:rsidP="007A3CA8"/>
    <w:p w:rsidR="007A3CA8" w:rsidRPr="00254658" w:rsidRDefault="007A3CA8" w:rsidP="007A3CA8">
      <w:pPr>
        <w:spacing w:line="276" w:lineRule="auto"/>
        <w:jc w:val="center"/>
        <w:rPr>
          <w:sz w:val="22"/>
          <w:szCs w:val="22"/>
          <w:u w:val="single"/>
        </w:rPr>
      </w:pPr>
      <w:r w:rsidRPr="00254658">
        <w:rPr>
          <w:rFonts w:ascii="Calibri" w:eastAsia="Calibri" w:hAnsi="Calibri"/>
          <w:sz w:val="22"/>
          <w:szCs w:val="22"/>
          <w:u w:val="single"/>
        </w:rPr>
        <w:t>________________</w:t>
      </w:r>
    </w:p>
    <w:p w:rsidR="007A3CA8" w:rsidRDefault="007A3CA8" w:rsidP="007A3CA8">
      <w:pPr>
        <w:spacing w:line="276" w:lineRule="auto"/>
        <w:jc w:val="center"/>
        <w:rPr>
          <w:szCs w:val="24"/>
        </w:rPr>
      </w:pPr>
    </w:p>
    <w:p w:rsidR="007A3CA8" w:rsidRDefault="007A3CA8" w:rsidP="007A3CA8"/>
    <w:p w:rsidR="001E2F7B" w:rsidRDefault="001E2F7B">
      <w:pPr>
        <w:spacing w:line="276" w:lineRule="auto"/>
        <w:jc w:val="center"/>
        <w:rPr>
          <w:szCs w:val="24"/>
        </w:rPr>
      </w:pPr>
    </w:p>
    <w:p w:rsidR="00C947F5" w:rsidRDefault="00C947F5" w:rsidP="00C947F5">
      <w:pPr>
        <w:spacing w:line="276" w:lineRule="auto"/>
        <w:rPr>
          <w:szCs w:val="24"/>
        </w:rPr>
        <w:sectPr w:rsidR="00C947F5" w:rsidSect="001A7660">
          <w:pgSz w:w="16838" w:h="11906" w:orient="landscape"/>
          <w:pgMar w:top="1701" w:right="567" w:bottom="1134" w:left="1134" w:header="567" w:footer="567" w:gutter="0"/>
          <w:pgNumType w:start="1"/>
          <w:cols w:space="1296"/>
          <w:titlePg/>
          <w:docGrid w:linePitch="360"/>
        </w:sectPr>
      </w:pPr>
    </w:p>
    <w:p w:rsidR="002B604C" w:rsidRDefault="002B604C" w:rsidP="002B604C">
      <w:pPr>
        <w:tabs>
          <w:tab w:val="center" w:pos="4986"/>
          <w:tab w:val="right" w:pos="9972"/>
        </w:tabs>
      </w:pPr>
    </w:p>
    <w:p w:rsidR="002B604C" w:rsidRDefault="002B604C" w:rsidP="002B604C">
      <w:pPr>
        <w:ind w:left="10206"/>
        <w:jc w:val="both"/>
        <w:rPr>
          <w:szCs w:val="24"/>
        </w:rPr>
      </w:pPr>
      <w:bookmarkStart w:id="1" w:name="_Hlk214357476"/>
      <w:r>
        <w:rPr>
          <w:szCs w:val="24"/>
        </w:rPr>
        <w:t>18 priedo „2022–2030 m. plėtros programos valdytojos Lietuvos Respublikos švietimo, mokslo ir sporto ministerijos mokslo plėtros programos pažangos priemonės Nr. 12-001-01-02-01 „Stiprinti inovacijų ekosistemas mokslo centruose“ projektų finansavimo sąlygų aprašo Nr. 17“</w:t>
      </w:r>
    </w:p>
    <w:p w:rsidR="002B604C" w:rsidRDefault="002B604C" w:rsidP="002B604C">
      <w:pPr>
        <w:ind w:left="10206"/>
        <w:jc w:val="both"/>
        <w:rPr>
          <w:szCs w:val="24"/>
        </w:rPr>
      </w:pPr>
      <w:r>
        <w:rPr>
          <w:szCs w:val="24"/>
        </w:rPr>
        <w:t>2 priedas</w:t>
      </w:r>
    </w:p>
    <w:bookmarkEnd w:id="1"/>
    <w:p w:rsidR="002B604C" w:rsidRDefault="002B604C" w:rsidP="002B604C">
      <w:pPr>
        <w:ind w:right="567"/>
        <w:jc w:val="both"/>
        <w:rPr>
          <w:b/>
          <w:szCs w:val="24"/>
          <w:lang w:eastAsia="lt-LT"/>
        </w:rPr>
      </w:pPr>
    </w:p>
    <w:p w:rsidR="00DA3322" w:rsidRDefault="00DA3322" w:rsidP="002B604C">
      <w:pPr>
        <w:ind w:right="567"/>
        <w:jc w:val="both"/>
        <w:rPr>
          <w:b/>
          <w:szCs w:val="24"/>
          <w:lang w:eastAsia="lt-LT"/>
        </w:rPr>
      </w:pPr>
    </w:p>
    <w:p w:rsidR="002B604C" w:rsidRDefault="002B604C" w:rsidP="002B604C">
      <w:pPr>
        <w:ind w:right="567"/>
        <w:jc w:val="both"/>
        <w:rPr>
          <w:b/>
          <w:szCs w:val="24"/>
          <w:lang w:eastAsia="lt-LT"/>
        </w:rPr>
      </w:pPr>
      <w:r>
        <w:rPr>
          <w:b/>
          <w:szCs w:val="24"/>
          <w:lang w:eastAsia="lt-LT"/>
        </w:rPr>
        <w:t>INFORMACIJOS, REIKALINGOS PROJEKTO ATITIKČIAI SUMANIOSIOS SPECIALIZACIJOS KONCEPCIJAI ĮVERTINTI, FORMA</w:t>
      </w:r>
    </w:p>
    <w:p w:rsidR="002B604C" w:rsidRDefault="002B604C" w:rsidP="002B604C">
      <w:pPr>
        <w:ind w:right="567"/>
        <w:jc w:val="both"/>
        <w:rPr>
          <w:b/>
          <w:szCs w:val="24"/>
          <w:lang w:eastAsia="lt-LT"/>
        </w:rPr>
      </w:pPr>
    </w:p>
    <w:p w:rsidR="002B604C" w:rsidRDefault="002B604C" w:rsidP="002B604C">
      <w:pPr>
        <w:ind w:right="567"/>
        <w:jc w:val="both"/>
        <w:rPr>
          <w:b/>
          <w:szCs w:val="24"/>
          <w:lang w:eastAsia="lt-LT"/>
        </w:rPr>
      </w:pPr>
    </w:p>
    <w:p w:rsidR="002B604C" w:rsidRDefault="002B604C" w:rsidP="002B604C">
      <w:pPr>
        <w:ind w:right="567"/>
        <w:jc w:val="both"/>
        <w:rPr>
          <w:b/>
          <w:szCs w:val="24"/>
          <w:lang w:eastAsia="lt-LT"/>
        </w:rPr>
      </w:pPr>
      <w:r>
        <w:rPr>
          <w:b/>
          <w:szCs w:val="24"/>
          <w:lang w:eastAsia="lt-LT"/>
        </w:rPr>
        <w:t xml:space="preserve">1. Projektas priskiriamas Mokslinių tyrimų ir eksperimentinės plėtros ir inovacijų (sumaniosios specializacijos) prioritetų įgyvendinimo koncepcijai, patvirtintai Lietuvos Respublikos Vyriausybės 2022 m. rugpjūčio 17 d. nutarimu Nr. 835 „Dėl Mokslinių tyrimų ir eksperimentinės plėtros ir inovacijų (sumaniosios specializacijos) koncepcijos patvirtinimo“ (toliau </w:t>
      </w:r>
      <w:r>
        <w:rPr>
          <w:b/>
          <w:bCs/>
          <w:szCs w:val="24"/>
        </w:rPr>
        <w:t>–</w:t>
      </w:r>
      <w:r>
        <w:rPr>
          <w:b/>
          <w:szCs w:val="24"/>
          <w:lang w:eastAsia="lt-LT"/>
        </w:rPr>
        <w:t xml:space="preserve"> Koncepcija), ir atitinka bent vieną 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2B604C" w:rsidTr="00B378BB">
        <w:tc>
          <w:tcPr>
            <w:tcW w:w="2951" w:type="dxa"/>
            <w:gridSpan w:val="2"/>
            <w:shd w:val="clear" w:color="auto" w:fill="BFBFBF"/>
            <w:vAlign w:val="center"/>
          </w:tcPr>
          <w:p w:rsidR="002B604C" w:rsidRDefault="002B604C" w:rsidP="00B378BB">
            <w:pPr>
              <w:jc w:val="center"/>
              <w:rPr>
                <w:b/>
                <w:szCs w:val="24"/>
                <w:lang w:eastAsia="lt-LT"/>
              </w:rPr>
            </w:pPr>
            <w:r>
              <w:rPr>
                <w:b/>
                <w:szCs w:val="24"/>
                <w:lang w:eastAsia="lt-LT"/>
              </w:rPr>
              <w:t>Mokslinių tyrimų, eksperimentinės plėtros ir inovacijų prioritetas</w:t>
            </w:r>
          </w:p>
          <w:p w:rsidR="002B604C" w:rsidRDefault="002B604C" w:rsidP="00B378BB">
            <w:pPr>
              <w:jc w:val="center"/>
              <w:rPr>
                <w:szCs w:val="24"/>
                <w:lang w:eastAsia="lt-LT"/>
              </w:rPr>
            </w:pPr>
          </w:p>
        </w:tc>
        <w:tc>
          <w:tcPr>
            <w:tcW w:w="11503" w:type="dxa"/>
            <w:gridSpan w:val="2"/>
            <w:shd w:val="clear" w:color="auto" w:fill="BFBFBF"/>
            <w:vAlign w:val="center"/>
          </w:tcPr>
          <w:p w:rsidR="002B604C" w:rsidRDefault="002B604C" w:rsidP="00B378BB">
            <w:pPr>
              <w:jc w:val="center"/>
              <w:rPr>
                <w:b/>
                <w:szCs w:val="24"/>
                <w:lang w:eastAsia="lt-LT"/>
              </w:rPr>
            </w:pPr>
            <w:r>
              <w:rPr>
                <w:b/>
                <w:szCs w:val="24"/>
                <w:lang w:eastAsia="lt-LT"/>
              </w:rPr>
              <w:t xml:space="preserve">Prioriteto tematika </w:t>
            </w:r>
          </w:p>
          <w:p w:rsidR="002B604C" w:rsidRDefault="002B604C" w:rsidP="00B378BB">
            <w:pPr>
              <w:jc w:val="center"/>
              <w:rPr>
                <w:b/>
                <w:szCs w:val="24"/>
                <w:lang w:eastAsia="lt-LT"/>
              </w:rPr>
            </w:pPr>
          </w:p>
        </w:tc>
      </w:tr>
      <w:tr w:rsidR="002B604C" w:rsidTr="00B378BB">
        <w:tc>
          <w:tcPr>
            <w:tcW w:w="2252" w:type="dxa"/>
            <w:vMerge w:val="restart"/>
            <w:shd w:val="clear" w:color="auto" w:fill="BFBFBF"/>
            <w:vAlign w:val="center"/>
          </w:tcPr>
          <w:p w:rsidR="002B604C" w:rsidRDefault="002B604C" w:rsidP="00B378BB">
            <w:pPr>
              <w:rPr>
                <w:b/>
                <w:szCs w:val="24"/>
                <w:lang w:eastAsia="lt-LT"/>
              </w:rPr>
            </w:pPr>
            <w:r>
              <w:rPr>
                <w:b/>
                <w:szCs w:val="24"/>
              </w:rPr>
              <w:t>1.1. Sveikatos technologijos ir biotechnologijos</w:t>
            </w:r>
          </w:p>
        </w:tc>
        <w:tc>
          <w:tcPr>
            <w:tcW w:w="699" w:type="dxa"/>
            <w:vMerge w:val="restart"/>
            <w:vAlign w:val="center"/>
          </w:tcPr>
          <w:p w:rsidR="002B604C" w:rsidRDefault="002B604C" w:rsidP="00B378BB">
            <w:pPr>
              <w:jc w:val="center"/>
              <w:rPr>
                <w:szCs w:val="24"/>
              </w:rPr>
            </w:pPr>
            <w:r>
              <w:rPr>
                <w:szCs w:val="24"/>
              </w:rPr>
              <w:t>□</w:t>
            </w:r>
          </w:p>
        </w:tc>
        <w:tc>
          <w:tcPr>
            <w:tcW w:w="6542" w:type="dxa"/>
          </w:tcPr>
          <w:p w:rsidR="002B604C" w:rsidRDefault="002B604C" w:rsidP="00B378BB">
            <w:pPr>
              <w:jc w:val="both"/>
              <w:rPr>
                <w:b/>
                <w:szCs w:val="24"/>
                <w:lang w:eastAsia="lt-LT"/>
              </w:rPr>
            </w:pPr>
            <w:r>
              <w:rPr>
                <w:szCs w:val="24"/>
              </w:rPr>
              <w:t>2.1.1. Molekulinės technologijos medicinai ir biofarmacijai</w:t>
            </w:r>
          </w:p>
        </w:tc>
        <w:tc>
          <w:tcPr>
            <w:tcW w:w="4961" w:type="dxa"/>
          </w:tcPr>
          <w:p w:rsidR="002B604C" w:rsidRDefault="002B604C" w:rsidP="00B378BB">
            <w:pPr>
              <w:jc w:val="both"/>
              <w:rPr>
                <w:b/>
                <w:szCs w:val="24"/>
                <w:lang w:eastAsia="lt-LT"/>
              </w:rPr>
            </w:pPr>
            <w:r>
              <w:rPr>
                <w:sz w:val="36"/>
                <w:szCs w:val="36"/>
              </w:rPr>
              <w:t>□</w:t>
            </w:r>
          </w:p>
        </w:tc>
      </w:tr>
      <w:tr w:rsidR="002B604C" w:rsidTr="00B378BB">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b/>
                <w:szCs w:val="24"/>
                <w:lang w:eastAsia="lt-LT"/>
              </w:rPr>
            </w:pPr>
            <w:r>
              <w:rPr>
                <w:szCs w:val="24"/>
              </w:rPr>
              <w:t>2.1.2. Pažangios taikomosios technologijos asmens ir visuomenės sveikatai</w:t>
            </w:r>
          </w:p>
        </w:tc>
        <w:tc>
          <w:tcPr>
            <w:tcW w:w="4961" w:type="dxa"/>
          </w:tcPr>
          <w:p w:rsidR="002B604C" w:rsidRDefault="002B604C" w:rsidP="00B378BB">
            <w:pPr>
              <w:jc w:val="both"/>
              <w:rPr>
                <w:b/>
                <w:szCs w:val="24"/>
                <w:lang w:eastAsia="lt-LT"/>
              </w:rPr>
            </w:pPr>
            <w:r>
              <w:rPr>
                <w:sz w:val="36"/>
                <w:szCs w:val="36"/>
              </w:rPr>
              <w:t>□</w:t>
            </w:r>
          </w:p>
        </w:tc>
      </w:tr>
      <w:tr w:rsidR="002B604C" w:rsidTr="00B378BB">
        <w:trPr>
          <w:trHeight w:val="585"/>
        </w:trPr>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b/>
                <w:szCs w:val="24"/>
                <w:lang w:eastAsia="lt-LT"/>
              </w:rPr>
            </w:pPr>
            <w:r>
              <w:rPr>
                <w:szCs w:val="24"/>
              </w:rPr>
              <w:t>2.1.3. Pažangi medicinos inžinerija ankstyvai diagnostikai ir gydymui</w:t>
            </w:r>
          </w:p>
        </w:tc>
        <w:tc>
          <w:tcPr>
            <w:tcW w:w="4961" w:type="dxa"/>
          </w:tcPr>
          <w:p w:rsidR="002B604C" w:rsidRDefault="002B604C" w:rsidP="00B378BB">
            <w:pPr>
              <w:jc w:val="both"/>
              <w:rPr>
                <w:b/>
                <w:szCs w:val="24"/>
                <w:lang w:eastAsia="lt-LT"/>
              </w:rPr>
            </w:pPr>
            <w:r>
              <w:rPr>
                <w:sz w:val="36"/>
                <w:szCs w:val="36"/>
              </w:rPr>
              <w:t>□</w:t>
            </w:r>
          </w:p>
        </w:tc>
      </w:tr>
      <w:tr w:rsidR="002B604C" w:rsidTr="00B378BB">
        <w:trPr>
          <w:trHeight w:val="410"/>
        </w:trPr>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rPr>
            </w:pPr>
            <w:r>
              <w:rPr>
                <w:szCs w:val="24"/>
              </w:rPr>
              <w:t>2.1.4. Saugus maistas ir tvarūs agrobiologiniai ištekliai</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val="restart"/>
            <w:shd w:val="clear" w:color="auto" w:fill="BFBFBF"/>
            <w:vAlign w:val="center"/>
          </w:tcPr>
          <w:p w:rsidR="002B604C" w:rsidRDefault="002B604C" w:rsidP="00B378BB">
            <w:pPr>
              <w:rPr>
                <w:b/>
                <w:szCs w:val="24"/>
                <w:lang w:eastAsia="lt-LT"/>
              </w:rPr>
            </w:pPr>
            <w:r>
              <w:rPr>
                <w:b/>
                <w:szCs w:val="24"/>
                <w:lang w:eastAsia="lt-LT"/>
              </w:rPr>
              <w:t xml:space="preserve">1.2. </w:t>
            </w:r>
            <w:r>
              <w:rPr>
                <w:b/>
                <w:szCs w:val="24"/>
              </w:rPr>
              <w:t>Nauji gamybos procesai, medžiagos ir technologijos</w:t>
            </w:r>
          </w:p>
        </w:tc>
        <w:tc>
          <w:tcPr>
            <w:tcW w:w="699" w:type="dxa"/>
            <w:vMerge w:val="restart"/>
            <w:vAlign w:val="center"/>
          </w:tcPr>
          <w:p w:rsidR="002B604C" w:rsidRDefault="002B604C" w:rsidP="00B378BB">
            <w:pPr>
              <w:jc w:val="center"/>
              <w:rPr>
                <w:b/>
                <w:szCs w:val="24"/>
                <w:lang w:eastAsia="lt-LT"/>
              </w:rPr>
            </w:pPr>
            <w:r>
              <w:rPr>
                <w:szCs w:val="24"/>
              </w:rPr>
              <w:t>□</w:t>
            </w:r>
          </w:p>
        </w:tc>
        <w:tc>
          <w:tcPr>
            <w:tcW w:w="6542" w:type="dxa"/>
          </w:tcPr>
          <w:p w:rsidR="002B604C" w:rsidRDefault="002B604C" w:rsidP="00B378BB">
            <w:pPr>
              <w:jc w:val="both"/>
              <w:rPr>
                <w:szCs w:val="24"/>
                <w:lang w:eastAsia="lt-LT"/>
              </w:rPr>
            </w:pPr>
            <w:r>
              <w:rPr>
                <w:szCs w:val="24"/>
                <w:lang w:eastAsia="lt-LT"/>
              </w:rPr>
              <w:t>2.2.1. F</w:t>
            </w:r>
            <w:r>
              <w:rPr>
                <w:szCs w:val="24"/>
              </w:rPr>
              <w:t>otoninės ir lazerinės technologijos</w:t>
            </w:r>
          </w:p>
        </w:tc>
        <w:tc>
          <w:tcPr>
            <w:tcW w:w="4961" w:type="dxa"/>
          </w:tcPr>
          <w:p w:rsidR="002B604C" w:rsidRDefault="002B604C" w:rsidP="00B378BB">
            <w:pPr>
              <w:jc w:val="both"/>
              <w:rPr>
                <w:b/>
                <w:szCs w:val="24"/>
                <w:lang w:eastAsia="lt-LT"/>
              </w:rPr>
            </w:pPr>
            <w:r>
              <w:rPr>
                <w:sz w:val="36"/>
                <w:szCs w:val="36"/>
              </w:rPr>
              <w:t>□</w:t>
            </w:r>
          </w:p>
        </w:tc>
      </w:tr>
      <w:tr w:rsidR="002B604C" w:rsidTr="00B378BB">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b/>
                <w:szCs w:val="24"/>
                <w:lang w:eastAsia="lt-LT"/>
              </w:rPr>
            </w:pPr>
            <w:r>
              <w:rPr>
                <w:szCs w:val="24"/>
                <w:lang w:eastAsia="lt-LT"/>
              </w:rPr>
              <w:t>2.2.2. P</w:t>
            </w:r>
            <w:r>
              <w:rPr>
                <w:szCs w:val="24"/>
              </w:rPr>
              <w:t xml:space="preserve">ažangiosios medžiagos ir konstrukcijos </w:t>
            </w:r>
          </w:p>
        </w:tc>
        <w:tc>
          <w:tcPr>
            <w:tcW w:w="4961" w:type="dxa"/>
          </w:tcPr>
          <w:p w:rsidR="002B604C" w:rsidRDefault="002B604C" w:rsidP="00B378BB">
            <w:pPr>
              <w:jc w:val="both"/>
              <w:rPr>
                <w:b/>
                <w:szCs w:val="24"/>
                <w:lang w:eastAsia="lt-LT"/>
              </w:rPr>
            </w:pPr>
            <w:r>
              <w:rPr>
                <w:sz w:val="36"/>
                <w:szCs w:val="36"/>
              </w:rPr>
              <w:t>□</w:t>
            </w:r>
          </w:p>
        </w:tc>
      </w:tr>
      <w:tr w:rsidR="002B604C" w:rsidTr="00B378BB">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lang w:eastAsia="lt-LT"/>
              </w:rPr>
            </w:pPr>
            <w:r>
              <w:rPr>
                <w:szCs w:val="24"/>
                <w:lang w:eastAsia="lt-LT"/>
              </w:rPr>
              <w:t xml:space="preserve">2.2.3. </w:t>
            </w:r>
            <w:r>
              <w:rPr>
                <w:szCs w:val="24"/>
              </w:rPr>
              <w:t>Lanksčios produktų kūrimo, gamybos ir procesų valdymo, dizaino technologijos</w:t>
            </w:r>
          </w:p>
        </w:tc>
        <w:tc>
          <w:tcPr>
            <w:tcW w:w="4961" w:type="dxa"/>
          </w:tcPr>
          <w:p w:rsidR="002B604C" w:rsidRDefault="002B604C" w:rsidP="00B378BB">
            <w:pPr>
              <w:jc w:val="both"/>
              <w:rPr>
                <w:b/>
                <w:szCs w:val="24"/>
                <w:lang w:eastAsia="lt-LT"/>
              </w:rPr>
            </w:pPr>
            <w:r>
              <w:rPr>
                <w:sz w:val="36"/>
                <w:szCs w:val="36"/>
              </w:rPr>
              <w:t>□</w:t>
            </w:r>
          </w:p>
        </w:tc>
      </w:tr>
      <w:tr w:rsidR="002B604C" w:rsidTr="00B378BB">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lang w:eastAsia="lt-LT"/>
              </w:rPr>
            </w:pPr>
            <w:r>
              <w:rPr>
                <w:szCs w:val="24"/>
                <w:lang w:eastAsia="lt-LT"/>
              </w:rPr>
              <w:t>2.2.4. Energijos vartojimo efektyvumas, išmanumas</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lang w:eastAsia="lt-LT"/>
              </w:rPr>
            </w:pPr>
            <w:r>
              <w:rPr>
                <w:szCs w:val="24"/>
                <w:lang w:eastAsia="lt-LT"/>
              </w:rPr>
              <w:t>2.2.5. Atsinaujinantys energijos ištekliai</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val="restart"/>
            <w:shd w:val="clear" w:color="auto" w:fill="BFBFBF"/>
            <w:vAlign w:val="center"/>
          </w:tcPr>
          <w:p w:rsidR="002B604C" w:rsidRDefault="002B604C" w:rsidP="00B378BB">
            <w:pPr>
              <w:rPr>
                <w:b/>
                <w:szCs w:val="24"/>
                <w:lang w:eastAsia="lt-LT"/>
              </w:rPr>
            </w:pPr>
            <w:r>
              <w:rPr>
                <w:b/>
                <w:szCs w:val="24"/>
                <w:lang w:eastAsia="lt-LT"/>
              </w:rPr>
              <w:t xml:space="preserve">1.3. </w:t>
            </w:r>
            <w:r>
              <w:rPr>
                <w:b/>
                <w:szCs w:val="24"/>
              </w:rPr>
              <w:t>Informacinės ir ryšių technologijos</w:t>
            </w:r>
          </w:p>
        </w:tc>
        <w:tc>
          <w:tcPr>
            <w:tcW w:w="699" w:type="dxa"/>
            <w:vMerge w:val="restart"/>
            <w:vAlign w:val="center"/>
          </w:tcPr>
          <w:p w:rsidR="002B604C" w:rsidRDefault="002B604C" w:rsidP="00B378BB">
            <w:pPr>
              <w:jc w:val="center"/>
              <w:rPr>
                <w:szCs w:val="24"/>
              </w:rPr>
            </w:pPr>
            <w:r>
              <w:rPr>
                <w:szCs w:val="24"/>
              </w:rPr>
              <w:t>□</w:t>
            </w:r>
          </w:p>
        </w:tc>
        <w:tc>
          <w:tcPr>
            <w:tcW w:w="6542" w:type="dxa"/>
          </w:tcPr>
          <w:p w:rsidR="002B604C" w:rsidRDefault="002B604C" w:rsidP="00B378BB">
            <w:pPr>
              <w:jc w:val="both"/>
              <w:rPr>
                <w:szCs w:val="24"/>
                <w:lang w:eastAsia="lt-LT"/>
              </w:rPr>
            </w:pPr>
            <w:r>
              <w:rPr>
                <w:szCs w:val="24"/>
                <w:lang w:eastAsia="lt-LT"/>
              </w:rPr>
              <w:t>2.3.1. Dirbtinis intelektas, didieji ir paskirstytieji duomenys, įvairiarūšė analizė, apdorojimas ir diegimas</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shd w:val="clear" w:color="auto" w:fill="BFBFBF"/>
            <w:vAlign w:val="center"/>
          </w:tcPr>
          <w:p w:rsidR="002B604C" w:rsidRDefault="002B604C" w:rsidP="00B378BB">
            <w:pPr>
              <w:rPr>
                <w:b/>
                <w:szCs w:val="24"/>
                <w:lang w:eastAsia="lt-LT"/>
              </w:rPr>
            </w:pPr>
          </w:p>
        </w:tc>
        <w:tc>
          <w:tcPr>
            <w:tcW w:w="699" w:type="dxa"/>
            <w:vMerge/>
            <w:vAlign w:val="center"/>
          </w:tcPr>
          <w:p w:rsidR="002B604C" w:rsidRDefault="002B604C" w:rsidP="00B378BB">
            <w:pPr>
              <w:jc w:val="center"/>
              <w:rPr>
                <w:szCs w:val="24"/>
              </w:rPr>
            </w:pPr>
          </w:p>
        </w:tc>
        <w:tc>
          <w:tcPr>
            <w:tcW w:w="6542" w:type="dxa"/>
          </w:tcPr>
          <w:p w:rsidR="002B604C" w:rsidRDefault="002B604C" w:rsidP="00B378BB">
            <w:pPr>
              <w:jc w:val="both"/>
              <w:rPr>
                <w:szCs w:val="24"/>
                <w:lang w:eastAsia="lt-LT"/>
              </w:rPr>
            </w:pPr>
            <w:r>
              <w:rPr>
                <w:szCs w:val="24"/>
                <w:lang w:eastAsia="lt-LT"/>
              </w:rPr>
              <w:t>2.3.2. D</w:t>
            </w:r>
            <w:r>
              <w:rPr>
                <w:szCs w:val="24"/>
              </w:rPr>
              <w:t>aiktų internetas</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shd w:val="clear" w:color="auto" w:fill="BFBFBF"/>
            <w:vAlign w:val="center"/>
          </w:tcPr>
          <w:p w:rsidR="002B604C" w:rsidRDefault="002B604C" w:rsidP="00B378BB">
            <w:pPr>
              <w:rPr>
                <w:b/>
                <w:szCs w:val="24"/>
                <w:lang w:eastAsia="lt-LT"/>
              </w:rPr>
            </w:pPr>
          </w:p>
        </w:tc>
        <w:tc>
          <w:tcPr>
            <w:tcW w:w="699" w:type="dxa"/>
            <w:vMerge/>
            <w:vAlign w:val="center"/>
          </w:tcPr>
          <w:p w:rsidR="002B604C" w:rsidRDefault="002B604C" w:rsidP="00B378BB">
            <w:pPr>
              <w:jc w:val="center"/>
              <w:rPr>
                <w:szCs w:val="24"/>
              </w:rPr>
            </w:pPr>
          </w:p>
        </w:tc>
        <w:tc>
          <w:tcPr>
            <w:tcW w:w="6542" w:type="dxa"/>
          </w:tcPr>
          <w:p w:rsidR="002B604C" w:rsidRDefault="002B604C" w:rsidP="00B378BB">
            <w:pPr>
              <w:jc w:val="both"/>
              <w:rPr>
                <w:szCs w:val="24"/>
                <w:lang w:eastAsia="lt-LT"/>
              </w:rPr>
            </w:pPr>
            <w:r>
              <w:rPr>
                <w:szCs w:val="24"/>
                <w:lang w:eastAsia="lt-LT"/>
              </w:rPr>
              <w:t>2.3.3. K</w:t>
            </w:r>
            <w:r>
              <w:rPr>
                <w:szCs w:val="24"/>
              </w:rPr>
              <w:t>ibernetinis saugumas</w:t>
            </w:r>
          </w:p>
        </w:tc>
        <w:tc>
          <w:tcPr>
            <w:tcW w:w="4961" w:type="dxa"/>
          </w:tcPr>
          <w:p w:rsidR="002B604C" w:rsidRDefault="002B604C" w:rsidP="00B378BB">
            <w:pPr>
              <w:jc w:val="both"/>
              <w:rPr>
                <w:sz w:val="36"/>
                <w:szCs w:val="36"/>
              </w:rPr>
            </w:pPr>
            <w:r>
              <w:rPr>
                <w:sz w:val="36"/>
                <w:szCs w:val="36"/>
              </w:rPr>
              <w:t>□</w:t>
            </w:r>
          </w:p>
        </w:tc>
      </w:tr>
      <w:tr w:rsidR="002B604C" w:rsidTr="00B378BB">
        <w:tc>
          <w:tcPr>
            <w:tcW w:w="2252" w:type="dxa"/>
            <w:vMerge/>
            <w:shd w:val="clear" w:color="auto" w:fill="BFBFBF"/>
            <w:vAlign w:val="center"/>
          </w:tcPr>
          <w:p w:rsidR="002B604C" w:rsidRDefault="002B604C" w:rsidP="00B378BB">
            <w:pPr>
              <w:rPr>
                <w:b/>
                <w:szCs w:val="24"/>
                <w:lang w:eastAsia="lt-LT"/>
              </w:rPr>
            </w:pPr>
          </w:p>
        </w:tc>
        <w:tc>
          <w:tcPr>
            <w:tcW w:w="699" w:type="dxa"/>
            <w:vMerge/>
            <w:vAlign w:val="center"/>
          </w:tcPr>
          <w:p w:rsidR="002B604C" w:rsidRDefault="002B604C" w:rsidP="00B378BB">
            <w:pPr>
              <w:jc w:val="center"/>
              <w:rPr>
                <w:szCs w:val="24"/>
              </w:rPr>
            </w:pPr>
          </w:p>
        </w:tc>
        <w:tc>
          <w:tcPr>
            <w:tcW w:w="6542" w:type="dxa"/>
          </w:tcPr>
          <w:p w:rsidR="002B604C" w:rsidRDefault="002B604C" w:rsidP="00B378BB">
            <w:pPr>
              <w:jc w:val="both"/>
              <w:rPr>
                <w:szCs w:val="24"/>
                <w:lang w:eastAsia="lt-LT"/>
              </w:rPr>
            </w:pPr>
            <w:r>
              <w:rPr>
                <w:szCs w:val="24"/>
                <w:lang w:eastAsia="lt-LT"/>
              </w:rPr>
              <w:t xml:space="preserve">2.3.4. </w:t>
            </w:r>
            <w:r>
              <w:rPr>
                <w:szCs w:val="24"/>
              </w:rPr>
              <w:t>Finansinės technologijos ir blokų grandinės</w:t>
            </w:r>
          </w:p>
        </w:tc>
        <w:tc>
          <w:tcPr>
            <w:tcW w:w="4961" w:type="dxa"/>
          </w:tcPr>
          <w:p w:rsidR="002B604C" w:rsidRDefault="002B604C" w:rsidP="00B378BB">
            <w:pPr>
              <w:jc w:val="both"/>
              <w:rPr>
                <w:sz w:val="36"/>
                <w:szCs w:val="36"/>
              </w:rPr>
            </w:pPr>
            <w:r>
              <w:rPr>
                <w:sz w:val="36"/>
                <w:szCs w:val="36"/>
              </w:rPr>
              <w:t>□</w:t>
            </w:r>
          </w:p>
        </w:tc>
      </w:tr>
      <w:tr w:rsidR="002B604C" w:rsidTr="00B378BB">
        <w:trPr>
          <w:trHeight w:val="624"/>
        </w:trPr>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lang w:eastAsia="lt-LT"/>
              </w:rPr>
            </w:pPr>
            <w:r>
              <w:rPr>
                <w:szCs w:val="24"/>
                <w:lang w:eastAsia="lt-LT"/>
              </w:rPr>
              <w:t>2.3.5. Audiovizualinių medijų technologijos ir socialinės inovacijos</w:t>
            </w:r>
          </w:p>
        </w:tc>
        <w:tc>
          <w:tcPr>
            <w:tcW w:w="4961" w:type="dxa"/>
          </w:tcPr>
          <w:p w:rsidR="002B604C" w:rsidRDefault="002B604C" w:rsidP="00B378BB">
            <w:pPr>
              <w:jc w:val="both"/>
              <w:rPr>
                <w:b/>
                <w:szCs w:val="24"/>
                <w:lang w:eastAsia="lt-LT"/>
              </w:rPr>
            </w:pPr>
            <w:r>
              <w:rPr>
                <w:sz w:val="36"/>
                <w:szCs w:val="36"/>
              </w:rPr>
              <w:t>□</w:t>
            </w:r>
          </w:p>
        </w:tc>
      </w:tr>
      <w:tr w:rsidR="002B604C" w:rsidTr="00B378BB">
        <w:trPr>
          <w:trHeight w:val="370"/>
        </w:trPr>
        <w:tc>
          <w:tcPr>
            <w:tcW w:w="2252" w:type="dxa"/>
            <w:vMerge/>
            <w:shd w:val="clear" w:color="auto" w:fill="BFBFBF"/>
          </w:tcPr>
          <w:p w:rsidR="002B604C" w:rsidRDefault="002B604C" w:rsidP="00B378BB">
            <w:pPr>
              <w:jc w:val="both"/>
              <w:rPr>
                <w:b/>
                <w:szCs w:val="24"/>
                <w:lang w:eastAsia="lt-LT"/>
              </w:rPr>
            </w:pPr>
          </w:p>
        </w:tc>
        <w:tc>
          <w:tcPr>
            <w:tcW w:w="699" w:type="dxa"/>
            <w:vMerge/>
          </w:tcPr>
          <w:p w:rsidR="002B604C" w:rsidRDefault="002B604C" w:rsidP="00B378BB">
            <w:pPr>
              <w:jc w:val="both"/>
              <w:rPr>
                <w:b/>
                <w:szCs w:val="24"/>
                <w:lang w:eastAsia="lt-LT"/>
              </w:rPr>
            </w:pPr>
          </w:p>
        </w:tc>
        <w:tc>
          <w:tcPr>
            <w:tcW w:w="6542" w:type="dxa"/>
          </w:tcPr>
          <w:p w:rsidR="002B604C" w:rsidRDefault="002B604C" w:rsidP="00B378BB">
            <w:pPr>
              <w:jc w:val="both"/>
              <w:rPr>
                <w:szCs w:val="24"/>
                <w:lang w:eastAsia="lt-LT"/>
              </w:rPr>
            </w:pPr>
            <w:r>
              <w:rPr>
                <w:szCs w:val="24"/>
                <w:lang w:eastAsia="lt-LT"/>
              </w:rPr>
              <w:t>2.3.6. Išmaniosios transporto sistemos</w:t>
            </w:r>
          </w:p>
        </w:tc>
        <w:tc>
          <w:tcPr>
            <w:tcW w:w="4961" w:type="dxa"/>
          </w:tcPr>
          <w:p w:rsidR="002B604C" w:rsidRDefault="002B604C" w:rsidP="00B378BB">
            <w:pPr>
              <w:jc w:val="both"/>
              <w:rPr>
                <w:sz w:val="36"/>
                <w:szCs w:val="36"/>
              </w:rPr>
            </w:pPr>
            <w:r>
              <w:rPr>
                <w:sz w:val="36"/>
                <w:szCs w:val="36"/>
              </w:rPr>
              <w:t>□</w:t>
            </w:r>
          </w:p>
        </w:tc>
      </w:tr>
    </w:tbl>
    <w:p w:rsidR="002B604C" w:rsidRDefault="002B604C" w:rsidP="002B604C">
      <w:pPr>
        <w:spacing w:line="276" w:lineRule="auto"/>
        <w:rPr>
          <w:szCs w:val="24"/>
        </w:rPr>
      </w:pPr>
    </w:p>
    <w:p w:rsidR="002B604C" w:rsidRDefault="002B604C" w:rsidP="002B604C">
      <w:pPr>
        <w:spacing w:line="276" w:lineRule="auto"/>
        <w:rPr>
          <w:b/>
          <w:szCs w:val="24"/>
        </w:rPr>
      </w:pPr>
      <w:r>
        <w:rPr>
          <w:b/>
          <w:szCs w:val="24"/>
          <w:lang w:val="pt-BR"/>
        </w:rPr>
        <w:t xml:space="preserve">2. </w:t>
      </w:r>
      <w:r>
        <w:rPr>
          <w:b/>
          <w:szCs w:val="24"/>
        </w:rPr>
        <w:t>Pateikiamas projekto atitikimo pasirinkto (-ų) prioriteto (-ų) įgyvendinimo tematikoms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2B604C" w:rsidTr="00B378BB">
        <w:tc>
          <w:tcPr>
            <w:tcW w:w="15127" w:type="dxa"/>
          </w:tcPr>
          <w:p w:rsidR="002B604C" w:rsidRDefault="002B604C" w:rsidP="00B378BB">
            <w:pPr>
              <w:spacing w:line="276" w:lineRule="auto"/>
              <w:rPr>
                <w:szCs w:val="24"/>
                <w:lang w:val="pt-BR"/>
              </w:rPr>
            </w:pPr>
          </w:p>
        </w:tc>
      </w:tr>
    </w:tbl>
    <w:p w:rsidR="002B604C" w:rsidRDefault="002B604C" w:rsidP="002B604C">
      <w:pPr>
        <w:spacing w:line="276" w:lineRule="auto"/>
        <w:rPr>
          <w:szCs w:val="24"/>
          <w:lang w:val="pt-BR"/>
        </w:rPr>
      </w:pPr>
    </w:p>
    <w:p w:rsidR="002B604C" w:rsidRDefault="002B604C" w:rsidP="002B604C">
      <w:pPr>
        <w:spacing w:line="276" w:lineRule="auto"/>
        <w:jc w:val="center"/>
        <w:rPr>
          <w:szCs w:val="24"/>
        </w:rPr>
      </w:pPr>
      <w:r>
        <w:rPr>
          <w:szCs w:val="24"/>
        </w:rPr>
        <w:t>___________________________________</w:t>
      </w:r>
      <w:r w:rsidR="00027150">
        <w:rPr>
          <w:szCs w:val="24"/>
        </w:rPr>
        <w:t xml:space="preserve"> </w:t>
      </w:r>
    </w:p>
    <w:p w:rsidR="00AF11B9" w:rsidRDefault="00AF11B9" w:rsidP="00DA3322">
      <w:pPr>
        <w:spacing w:line="276" w:lineRule="auto"/>
        <w:rPr>
          <w:szCs w:val="24"/>
        </w:rPr>
        <w:sectPr w:rsidR="00AF11B9" w:rsidSect="001A7660">
          <w:pgSz w:w="16838" w:h="11906" w:orient="landscape"/>
          <w:pgMar w:top="1701" w:right="567" w:bottom="1134" w:left="1134" w:header="567" w:footer="567" w:gutter="0"/>
          <w:pgNumType w:start="1"/>
          <w:cols w:space="1296"/>
          <w:titlePg/>
          <w:docGrid w:linePitch="360"/>
        </w:sectPr>
      </w:pPr>
    </w:p>
    <w:p w:rsidR="00DA3322" w:rsidRDefault="00DA3322" w:rsidP="00E744BF">
      <w:pPr>
        <w:spacing w:after="160" w:line="259" w:lineRule="auto"/>
        <w:ind w:right="282"/>
        <w:rPr>
          <w:szCs w:val="24"/>
        </w:rPr>
      </w:pPr>
    </w:p>
    <w:p w:rsidR="00DA3322" w:rsidRDefault="00DA3322" w:rsidP="00E744BF">
      <w:pPr>
        <w:pStyle w:val="ListParagraph"/>
        <w:ind w:left="4111" w:firstLine="3391"/>
        <w:contextualSpacing w:val="0"/>
        <w:jc w:val="both"/>
      </w:pPr>
    </w:p>
    <w:p w:rsidR="00F42334" w:rsidRDefault="2F2D785E" w:rsidP="00A0762E">
      <w:pPr>
        <w:ind w:firstLine="4395"/>
      </w:pPr>
      <w:r w:rsidRPr="2F2D785E">
        <w:t>18 priedo „2022–2030 m. plėtros programos</w:t>
      </w:r>
    </w:p>
    <w:p w:rsidR="00F42334" w:rsidRDefault="2F2D785E" w:rsidP="00A0762E">
      <w:pPr>
        <w:ind w:firstLine="4395"/>
      </w:pPr>
      <w:r w:rsidRPr="2F2D785E">
        <w:t>valdytojos Lietuvos Respublikos švietimo, mokslo</w:t>
      </w:r>
    </w:p>
    <w:p w:rsidR="00F42334" w:rsidRDefault="2F2D785E" w:rsidP="00A0762E">
      <w:pPr>
        <w:ind w:firstLine="4395"/>
      </w:pPr>
      <w:r w:rsidRPr="2F2D785E">
        <w:t>ir sporto ministerijos mokslo plėtros programos</w:t>
      </w:r>
    </w:p>
    <w:p w:rsidR="00E744BF" w:rsidRDefault="2F2D785E" w:rsidP="00A0762E">
      <w:pPr>
        <w:ind w:firstLine="4395"/>
      </w:pPr>
      <w:r w:rsidRPr="2F2D785E">
        <w:t>pažangos priemonės Nr. 12-001-01-02-01 „Stiprinti</w:t>
      </w:r>
    </w:p>
    <w:p w:rsidR="00E744BF" w:rsidRDefault="2F2D785E" w:rsidP="00A0762E">
      <w:pPr>
        <w:ind w:firstLine="4395"/>
      </w:pPr>
      <w:r w:rsidRPr="2F2D785E">
        <w:t>inovacijų ekosistemas mokslo centruose“ projektų</w:t>
      </w:r>
    </w:p>
    <w:p w:rsidR="2F2D785E" w:rsidRPr="00DA3322" w:rsidRDefault="2F2D785E" w:rsidP="00A0762E">
      <w:pPr>
        <w:ind w:firstLine="4395"/>
        <w:rPr>
          <w:b/>
          <w:caps/>
          <w:kern w:val="28"/>
          <w:sz w:val="22"/>
        </w:rPr>
      </w:pPr>
      <w:r w:rsidRPr="2F2D785E">
        <w:t>finansavimo sąlygų aprašo Nr</w:t>
      </w:r>
      <w:r w:rsidRPr="00CF543D">
        <w:t>. 17</w:t>
      </w:r>
      <w:r w:rsidRPr="2F2D785E">
        <w:t>“</w:t>
      </w:r>
    </w:p>
    <w:p w:rsidR="2F2D785E" w:rsidRDefault="00DA3322" w:rsidP="00A0762E">
      <w:pPr>
        <w:ind w:firstLine="4395"/>
      </w:pPr>
      <w:r>
        <w:t>3</w:t>
      </w:r>
      <w:r w:rsidR="2F2D785E" w:rsidRPr="2F2D785E">
        <w:t xml:space="preserve"> priedas</w:t>
      </w:r>
    </w:p>
    <w:p w:rsidR="2F2D785E" w:rsidRDefault="2F2D785E" w:rsidP="006B470D">
      <w:pPr>
        <w:jc w:val="center"/>
      </w:pPr>
    </w:p>
    <w:p w:rsidR="00F447B6" w:rsidRDefault="00F447B6" w:rsidP="006B470D">
      <w:pPr>
        <w:jc w:val="center"/>
      </w:pPr>
    </w:p>
    <w:p w:rsidR="00DA3322" w:rsidRDefault="00DA3322" w:rsidP="006B470D">
      <w:pPr>
        <w:jc w:val="center"/>
      </w:pPr>
    </w:p>
    <w:p w:rsidR="2F2D785E" w:rsidRDefault="2F2D785E" w:rsidP="00310C2C">
      <w:pPr>
        <w:ind w:left="1298"/>
        <w:jc w:val="center"/>
        <w:rPr>
          <w:b/>
          <w:bCs/>
          <w:caps/>
          <w:szCs w:val="24"/>
        </w:rPr>
      </w:pPr>
      <w:r w:rsidRPr="2F2D785E">
        <w:rPr>
          <w:b/>
          <w:bCs/>
          <w:caps/>
          <w:szCs w:val="24"/>
        </w:rPr>
        <w:t>INFORMACIJOS, reikalingOS projekto atitikČIAI projektų atrankos kriterijams ir išlaidų tinkamumui įvertinti, PATEIKIMO LENTELĖ</w:t>
      </w:r>
    </w:p>
    <w:p w:rsidR="2F2D785E" w:rsidRDefault="2F2D785E" w:rsidP="00310C2C">
      <w:pPr>
        <w:tabs>
          <w:tab w:val="left" w:pos="426"/>
        </w:tabs>
        <w:rPr>
          <w:b/>
          <w:bCs/>
        </w:rPr>
      </w:pPr>
    </w:p>
    <w:p w:rsidR="00DA3322" w:rsidRDefault="00DA3322" w:rsidP="00310C2C">
      <w:pPr>
        <w:tabs>
          <w:tab w:val="left" w:pos="426"/>
        </w:tabs>
        <w:rPr>
          <w:b/>
          <w:bCs/>
        </w:rPr>
      </w:pPr>
    </w:p>
    <w:p w:rsidR="2F2D785E" w:rsidRPr="00CF543D" w:rsidRDefault="61EB8D10" w:rsidP="000A0857">
      <w:pPr>
        <w:pStyle w:val="ListParagraph"/>
        <w:numPr>
          <w:ilvl w:val="0"/>
          <w:numId w:val="3"/>
        </w:numPr>
        <w:tabs>
          <w:tab w:val="left" w:pos="851"/>
        </w:tabs>
        <w:ind w:left="0" w:firstLine="567"/>
        <w:rPr>
          <w:b/>
          <w:bCs/>
          <w:szCs w:val="24"/>
        </w:rPr>
      </w:pPr>
      <w:r w:rsidRPr="00CF543D">
        <w:rPr>
          <w:b/>
          <w:bCs/>
          <w:szCs w:val="24"/>
        </w:rPr>
        <w:t xml:space="preserve">Informacija prioritetiniam kriterijui „Projekto vadovo ir tyrėjų grupės mokslinė </w:t>
      </w:r>
      <w:r w:rsidRPr="00637359">
        <w:rPr>
          <w:b/>
          <w:bCs/>
          <w:szCs w:val="24"/>
        </w:rPr>
        <w:t>kompetencija</w:t>
      </w:r>
      <w:r w:rsidR="00637359" w:rsidRPr="00637359">
        <w:rPr>
          <w:b/>
          <w:bCs/>
          <w:szCs w:val="24"/>
        </w:rPr>
        <w:t xml:space="preserve"> ir komandos tinkamumas</w:t>
      </w:r>
      <w:r w:rsidRPr="00CF543D">
        <w:rPr>
          <w:b/>
          <w:bCs/>
          <w:szCs w:val="24"/>
        </w:rPr>
        <w:t>“.</w:t>
      </w:r>
    </w:p>
    <w:p w:rsidR="2F2D785E" w:rsidRPr="00CF543D" w:rsidRDefault="61EB8D10" w:rsidP="000A0857">
      <w:pPr>
        <w:tabs>
          <w:tab w:val="left" w:pos="284"/>
          <w:tab w:val="left" w:pos="851"/>
        </w:tabs>
        <w:ind w:firstLine="567"/>
        <w:rPr>
          <w:b/>
          <w:bCs/>
          <w:szCs w:val="24"/>
        </w:rPr>
      </w:pPr>
      <w:r w:rsidRPr="00CF543D">
        <w:rPr>
          <w:b/>
          <w:bCs/>
          <w:szCs w:val="24"/>
        </w:rPr>
        <w:t xml:space="preserve"> </w:t>
      </w:r>
    </w:p>
    <w:p w:rsidR="2F2D785E" w:rsidRPr="00CF543D" w:rsidRDefault="61EB8D10" w:rsidP="000A0857">
      <w:pPr>
        <w:pStyle w:val="ListParagraph"/>
        <w:numPr>
          <w:ilvl w:val="1"/>
          <w:numId w:val="3"/>
        </w:numPr>
        <w:tabs>
          <w:tab w:val="left" w:pos="993"/>
        </w:tabs>
        <w:ind w:left="0" w:firstLine="567"/>
        <w:rPr>
          <w:b/>
          <w:bCs/>
          <w:szCs w:val="24"/>
        </w:rPr>
      </w:pPr>
      <w:r w:rsidRPr="00CF543D">
        <w:rPr>
          <w:b/>
          <w:bCs/>
          <w:szCs w:val="24"/>
        </w:rPr>
        <w:t xml:space="preserve">Projekto vadovo </w:t>
      </w:r>
      <w:r w:rsidR="004A470D" w:rsidRPr="00CF543D">
        <w:rPr>
          <w:b/>
          <w:bCs/>
          <w:szCs w:val="24"/>
        </w:rPr>
        <w:t>mokslinė kompetencija</w:t>
      </w:r>
    </w:p>
    <w:p w:rsidR="00BA6155" w:rsidRPr="00CF543D" w:rsidRDefault="00BA6155">
      <w:pPr>
        <w:tabs>
          <w:tab w:val="left" w:pos="426"/>
        </w:tabs>
        <w:ind w:left="720"/>
        <w:jc w:val="center"/>
        <w:rPr>
          <w:b/>
          <w:bCs/>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3118"/>
        <w:gridCol w:w="1843"/>
        <w:gridCol w:w="1843"/>
      </w:tblGrid>
      <w:tr w:rsidR="00F62A4E" w:rsidRPr="00CF543D" w:rsidTr="007579B7">
        <w:trPr>
          <w:trHeight w:val="300"/>
        </w:trPr>
        <w:tc>
          <w:tcPr>
            <w:tcW w:w="2686" w:type="dxa"/>
            <w:tcBorders>
              <w:top w:val="single" w:sz="6" w:space="0" w:color="000000"/>
              <w:left w:val="single" w:sz="6" w:space="0" w:color="000000"/>
              <w:bottom w:val="single" w:sz="6" w:space="0" w:color="000000"/>
              <w:right w:val="single" w:sz="6" w:space="0" w:color="000000"/>
            </w:tcBorders>
            <w:hideMark/>
          </w:tcPr>
          <w:p w:rsidR="00F62A4E" w:rsidRPr="00CF543D" w:rsidRDefault="00F62A4E" w:rsidP="00F4648B">
            <w:pPr>
              <w:spacing w:line="276" w:lineRule="auto"/>
              <w:rPr>
                <w:szCs w:val="24"/>
              </w:rPr>
            </w:pPr>
            <w:r w:rsidRPr="00CF543D">
              <w:rPr>
                <w:szCs w:val="24"/>
              </w:rPr>
              <w:t>Projekto vadovo mokslinis laipsnis, vardas, pavardė, mokslo ir studijų institucija </w:t>
            </w:r>
          </w:p>
        </w:tc>
        <w:tc>
          <w:tcPr>
            <w:tcW w:w="3118" w:type="dxa"/>
            <w:tcBorders>
              <w:top w:val="single" w:sz="6" w:space="0" w:color="000000"/>
              <w:left w:val="single" w:sz="6" w:space="0" w:color="000000"/>
              <w:bottom w:val="single" w:sz="6" w:space="0" w:color="000000"/>
              <w:right w:val="single" w:sz="6" w:space="0" w:color="000000"/>
            </w:tcBorders>
            <w:hideMark/>
          </w:tcPr>
          <w:p w:rsidR="00F62A4E" w:rsidRPr="00CF543D" w:rsidRDefault="00385611" w:rsidP="00F4648B">
            <w:pPr>
              <w:spacing w:line="276" w:lineRule="auto"/>
              <w:rPr>
                <w:szCs w:val="24"/>
              </w:rPr>
            </w:pPr>
            <w:r>
              <w:rPr>
                <w:szCs w:val="24"/>
              </w:rPr>
              <w:t>Svarbiausi t</w:t>
            </w:r>
            <w:r w:rsidR="00F62A4E" w:rsidRPr="00CF543D">
              <w:rPr>
                <w:szCs w:val="24"/>
              </w:rPr>
              <w:t xml:space="preserve">arptautiniai </w:t>
            </w:r>
            <w:r w:rsidR="002B2850">
              <w:rPr>
                <w:szCs w:val="24"/>
              </w:rPr>
              <w:t xml:space="preserve">MTEP </w:t>
            </w:r>
            <w:r w:rsidR="00F62A4E" w:rsidRPr="00CF543D">
              <w:rPr>
                <w:szCs w:val="24"/>
              </w:rPr>
              <w:t xml:space="preserve">projektai, kuriuose dalyvavo </w:t>
            </w:r>
            <w:r w:rsidR="00B320C9">
              <w:rPr>
                <w:szCs w:val="24"/>
              </w:rPr>
              <w:t xml:space="preserve">ar jiems vadovavo </w:t>
            </w:r>
            <w:r w:rsidR="00F62A4E" w:rsidRPr="00CF543D">
              <w:rPr>
                <w:szCs w:val="24"/>
              </w:rPr>
              <w:t>projekto vadovas </w:t>
            </w:r>
            <w:r w:rsidR="00C8382C">
              <w:rPr>
                <w:szCs w:val="24"/>
              </w:rPr>
              <w:t>(iki 5</w:t>
            </w:r>
            <w:r w:rsidR="00C22C7D">
              <w:rPr>
                <w:szCs w:val="24"/>
              </w:rPr>
              <w:t>; nurodyti, jei vadovavo)</w:t>
            </w:r>
          </w:p>
        </w:tc>
        <w:tc>
          <w:tcPr>
            <w:tcW w:w="1843" w:type="dxa"/>
            <w:tcBorders>
              <w:top w:val="single" w:sz="6" w:space="0" w:color="000000"/>
              <w:left w:val="single" w:sz="6" w:space="0" w:color="000000"/>
              <w:bottom w:val="single" w:sz="6" w:space="0" w:color="000000"/>
              <w:right w:val="single" w:sz="6" w:space="0" w:color="000000"/>
            </w:tcBorders>
            <w:hideMark/>
          </w:tcPr>
          <w:p w:rsidR="00F62A4E" w:rsidRPr="00CF543D" w:rsidRDefault="00EF467A" w:rsidP="00F4648B">
            <w:pPr>
              <w:spacing w:line="276" w:lineRule="auto"/>
              <w:rPr>
                <w:szCs w:val="24"/>
              </w:rPr>
            </w:pPr>
            <w:r>
              <w:rPr>
                <w:szCs w:val="24"/>
              </w:rPr>
              <w:t xml:space="preserve">Svarbiausi </w:t>
            </w:r>
            <w:r w:rsidR="00B320C9">
              <w:rPr>
                <w:szCs w:val="24"/>
              </w:rPr>
              <w:t xml:space="preserve">nacionaliniai </w:t>
            </w:r>
            <w:r w:rsidR="00F62A4E" w:rsidRPr="00CF543D">
              <w:rPr>
                <w:szCs w:val="24"/>
              </w:rPr>
              <w:t xml:space="preserve">MTEP projektai, </w:t>
            </w:r>
            <w:r w:rsidR="00B320C9" w:rsidRPr="00CF543D">
              <w:rPr>
                <w:szCs w:val="24"/>
              </w:rPr>
              <w:t xml:space="preserve">kuriuose dalyvavo </w:t>
            </w:r>
            <w:r w:rsidR="00B320C9">
              <w:rPr>
                <w:szCs w:val="24"/>
              </w:rPr>
              <w:t xml:space="preserve">ar </w:t>
            </w:r>
            <w:r w:rsidR="00C22C7D">
              <w:rPr>
                <w:szCs w:val="24"/>
              </w:rPr>
              <w:t>jiems</w:t>
            </w:r>
            <w:r w:rsidR="00F62A4E" w:rsidRPr="00CF543D">
              <w:rPr>
                <w:szCs w:val="24"/>
              </w:rPr>
              <w:t xml:space="preserve"> vadovavo projekto vadovas</w:t>
            </w:r>
            <w:r w:rsidR="00FA0DFC">
              <w:rPr>
                <w:szCs w:val="24"/>
              </w:rPr>
              <w:t xml:space="preserve"> (iki 5</w:t>
            </w:r>
            <w:r w:rsidR="00C22C7D">
              <w:rPr>
                <w:szCs w:val="24"/>
              </w:rPr>
              <w:t>; nurodyti, jei vadovavo</w:t>
            </w:r>
            <w:r w:rsidR="00FA0DFC">
              <w:rPr>
                <w:szCs w:val="24"/>
              </w:rPr>
              <w:t>)</w:t>
            </w:r>
          </w:p>
        </w:tc>
        <w:tc>
          <w:tcPr>
            <w:tcW w:w="1843" w:type="dxa"/>
            <w:tcBorders>
              <w:top w:val="single" w:sz="6" w:space="0" w:color="000000"/>
              <w:left w:val="single" w:sz="6" w:space="0" w:color="000000"/>
              <w:bottom w:val="single" w:sz="6" w:space="0" w:color="000000"/>
              <w:right w:val="single" w:sz="6" w:space="0" w:color="000000"/>
            </w:tcBorders>
            <w:hideMark/>
          </w:tcPr>
          <w:p w:rsidR="00F62A4E" w:rsidRPr="00CF543D" w:rsidRDefault="00385611" w:rsidP="00F4648B">
            <w:pPr>
              <w:spacing w:line="276" w:lineRule="auto"/>
              <w:rPr>
                <w:szCs w:val="24"/>
              </w:rPr>
            </w:pPr>
            <w:r>
              <w:rPr>
                <w:szCs w:val="24"/>
              </w:rPr>
              <w:t>Svarbiausi</w:t>
            </w:r>
            <w:r w:rsidRPr="00CF543D">
              <w:rPr>
                <w:szCs w:val="24"/>
              </w:rPr>
              <w:t xml:space="preserve"> </w:t>
            </w:r>
            <w:r w:rsidR="00F62A4E" w:rsidRPr="00CF543D">
              <w:rPr>
                <w:szCs w:val="24"/>
              </w:rPr>
              <w:t>tarptautinio lygio mokslo darbai</w:t>
            </w:r>
            <w:r w:rsidR="006908DA">
              <w:rPr>
                <w:szCs w:val="24"/>
              </w:rPr>
              <w:t>, susiję su projekto tematika</w:t>
            </w:r>
            <w:r w:rsidR="00F62A4E" w:rsidRPr="00CF543D">
              <w:rPr>
                <w:szCs w:val="24"/>
              </w:rPr>
              <w:t> </w:t>
            </w:r>
            <w:r w:rsidR="00FA0DFC">
              <w:rPr>
                <w:szCs w:val="24"/>
              </w:rPr>
              <w:t>(iki 10)</w:t>
            </w:r>
            <w:r w:rsidR="00F62A4E" w:rsidRPr="00CF543D">
              <w:rPr>
                <w:szCs w:val="24"/>
              </w:rPr>
              <w:t> </w:t>
            </w:r>
          </w:p>
        </w:tc>
      </w:tr>
      <w:tr w:rsidR="00F62A4E" w:rsidRPr="00CF543D" w:rsidTr="007579B7">
        <w:trPr>
          <w:trHeight w:val="300"/>
        </w:trPr>
        <w:tc>
          <w:tcPr>
            <w:tcW w:w="2686" w:type="dxa"/>
            <w:tcBorders>
              <w:top w:val="single" w:sz="6" w:space="0" w:color="000000"/>
              <w:left w:val="single" w:sz="6" w:space="0" w:color="000000"/>
              <w:bottom w:val="single" w:sz="6" w:space="0" w:color="000000"/>
              <w:right w:val="single" w:sz="6" w:space="0" w:color="000000"/>
            </w:tcBorders>
            <w:hideMark/>
          </w:tcPr>
          <w:p w:rsidR="00F62A4E" w:rsidRPr="00CF543D" w:rsidRDefault="00F62A4E" w:rsidP="00F4648B">
            <w:pPr>
              <w:spacing w:line="276" w:lineRule="auto"/>
              <w:rPr>
                <w:szCs w:val="24"/>
              </w:rPr>
            </w:pPr>
            <w:r w:rsidRPr="00CF543D">
              <w:rPr>
                <w:szCs w:val="24"/>
              </w:rPr>
              <w:t> </w:t>
            </w:r>
          </w:p>
        </w:tc>
        <w:tc>
          <w:tcPr>
            <w:tcW w:w="3118" w:type="dxa"/>
            <w:tcBorders>
              <w:top w:val="single" w:sz="6" w:space="0" w:color="000000"/>
              <w:left w:val="single" w:sz="6" w:space="0" w:color="000000"/>
              <w:bottom w:val="single" w:sz="6" w:space="0" w:color="000000"/>
              <w:right w:val="single" w:sz="6" w:space="0" w:color="000000"/>
            </w:tcBorders>
            <w:hideMark/>
          </w:tcPr>
          <w:p w:rsidR="00F62A4E" w:rsidRPr="00CF543D" w:rsidRDefault="00F62A4E" w:rsidP="00F4648B">
            <w:pPr>
              <w:spacing w:line="276" w:lineRule="auto"/>
              <w:rPr>
                <w:szCs w:val="24"/>
              </w:rPr>
            </w:pPr>
            <w:r w:rsidRPr="00CF543D">
              <w:rPr>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rsidR="00F62A4E" w:rsidRPr="00CF543D" w:rsidRDefault="00F62A4E" w:rsidP="00F4648B">
            <w:pPr>
              <w:spacing w:line="276" w:lineRule="auto"/>
              <w:rPr>
                <w:szCs w:val="24"/>
              </w:rPr>
            </w:pPr>
            <w:r w:rsidRPr="00CF543D">
              <w:rPr>
                <w:szCs w:val="24"/>
              </w:rPr>
              <w:t> </w:t>
            </w:r>
          </w:p>
        </w:tc>
        <w:tc>
          <w:tcPr>
            <w:tcW w:w="1843" w:type="dxa"/>
            <w:tcBorders>
              <w:top w:val="single" w:sz="6" w:space="0" w:color="000000"/>
              <w:left w:val="single" w:sz="6" w:space="0" w:color="000000"/>
              <w:bottom w:val="single" w:sz="6" w:space="0" w:color="000000"/>
              <w:right w:val="single" w:sz="6" w:space="0" w:color="000000"/>
            </w:tcBorders>
            <w:hideMark/>
          </w:tcPr>
          <w:p w:rsidR="00F62A4E" w:rsidRPr="00CF543D" w:rsidRDefault="00F62A4E" w:rsidP="00F4648B">
            <w:pPr>
              <w:spacing w:line="276" w:lineRule="auto"/>
              <w:rPr>
                <w:szCs w:val="24"/>
              </w:rPr>
            </w:pPr>
            <w:r w:rsidRPr="00CF543D">
              <w:rPr>
                <w:szCs w:val="24"/>
              </w:rPr>
              <w:t> </w:t>
            </w:r>
          </w:p>
        </w:tc>
      </w:tr>
    </w:tbl>
    <w:p w:rsidR="2F2D785E" w:rsidRPr="00CF543D" w:rsidRDefault="2F2D785E" w:rsidP="0031526B">
      <w:pPr>
        <w:tabs>
          <w:tab w:val="left" w:pos="426"/>
        </w:tabs>
        <w:ind w:left="720"/>
        <w:rPr>
          <w:b/>
          <w:bCs/>
          <w:szCs w:val="24"/>
        </w:rPr>
      </w:pPr>
      <w:r w:rsidRPr="00CF543D">
        <w:rPr>
          <w:b/>
          <w:bCs/>
          <w:szCs w:val="24"/>
        </w:rPr>
        <w:t xml:space="preserve"> </w:t>
      </w:r>
    </w:p>
    <w:p w:rsidR="2F2D785E" w:rsidRPr="00CF543D" w:rsidRDefault="2F2D785E" w:rsidP="000A0857">
      <w:pPr>
        <w:tabs>
          <w:tab w:val="left" w:pos="426"/>
        </w:tabs>
        <w:ind w:left="-284" w:firstLine="284"/>
        <w:jc w:val="center"/>
        <w:rPr>
          <w:b/>
          <w:bCs/>
          <w:szCs w:val="24"/>
        </w:rPr>
      </w:pPr>
    </w:p>
    <w:p w:rsidR="2F2D785E" w:rsidRPr="00CF543D" w:rsidRDefault="2F2D785E" w:rsidP="000A0857">
      <w:pPr>
        <w:pStyle w:val="ListParagraph"/>
        <w:numPr>
          <w:ilvl w:val="1"/>
          <w:numId w:val="3"/>
        </w:numPr>
        <w:tabs>
          <w:tab w:val="left" w:pos="993"/>
        </w:tabs>
        <w:ind w:left="0" w:firstLine="567"/>
        <w:rPr>
          <w:b/>
          <w:bCs/>
          <w:szCs w:val="24"/>
        </w:rPr>
      </w:pPr>
      <w:r w:rsidRPr="00CF543D">
        <w:rPr>
          <w:b/>
          <w:bCs/>
          <w:szCs w:val="24"/>
        </w:rPr>
        <w:t>Mokslinio tyrimo tyrėjų grupės mokslinė kompetencija</w:t>
      </w:r>
    </w:p>
    <w:p w:rsidR="2F2D785E" w:rsidRPr="00CF543D" w:rsidRDefault="2F2D785E" w:rsidP="000A0857">
      <w:pPr>
        <w:tabs>
          <w:tab w:val="left" w:pos="426"/>
          <w:tab w:val="left" w:pos="7952"/>
        </w:tabs>
        <w:jc w:val="center"/>
        <w:rPr>
          <w:b/>
          <w:bCs/>
          <w:szCs w:val="24"/>
        </w:rPr>
      </w:pPr>
      <w:r w:rsidRPr="00CF543D">
        <w:rPr>
          <w:b/>
          <w:bCs/>
          <w:szCs w:val="24"/>
        </w:rPr>
        <w:t xml:space="preserve"> </w:t>
      </w:r>
    </w:p>
    <w:tbl>
      <w:tblPr>
        <w:tblStyle w:val="TableGrid"/>
        <w:tblW w:w="9488" w:type="dxa"/>
        <w:tblLayout w:type="fixed"/>
        <w:tblLook w:val="04A0" w:firstRow="1" w:lastRow="0" w:firstColumn="1" w:lastColumn="0" w:noHBand="0" w:noVBand="1"/>
      </w:tblPr>
      <w:tblGrid>
        <w:gridCol w:w="593"/>
        <w:gridCol w:w="2091"/>
        <w:gridCol w:w="3118"/>
        <w:gridCol w:w="1843"/>
        <w:gridCol w:w="1843"/>
      </w:tblGrid>
      <w:tr w:rsidR="00F371AA" w:rsidRPr="00CF543D" w:rsidTr="0038347F">
        <w:trPr>
          <w:trHeight w:val="375"/>
        </w:trPr>
        <w:tc>
          <w:tcPr>
            <w:tcW w:w="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Times New Roman" w:hAnsi="Times New Roman" w:cs="Times New Roman"/>
                <w:sz w:val="24"/>
                <w:szCs w:val="24"/>
                <w:lang w:val="en-US"/>
              </w:rPr>
            </w:pPr>
            <w:r w:rsidRPr="00CF543D">
              <w:rPr>
                <w:rFonts w:ascii="Times New Roman" w:eastAsia="Times New Roman" w:hAnsi="Times New Roman" w:cs="Times New Roman"/>
                <w:sz w:val="24"/>
                <w:szCs w:val="24"/>
                <w:lang w:val="en-US"/>
              </w:rPr>
              <w:t xml:space="preserve">Eil. Nr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F371AA" w:rsidRDefault="00F371AA">
            <w:pPr>
              <w:spacing w:line="276" w:lineRule="auto"/>
              <w:rPr>
                <w:rFonts w:ascii="Times New Roman" w:eastAsia="Times New Roman" w:hAnsi="Times New Roman" w:cs="Times New Roman"/>
                <w:sz w:val="24"/>
                <w:szCs w:val="24"/>
                <w:lang w:val="en-US"/>
              </w:rPr>
            </w:pPr>
            <w:r w:rsidRPr="00F371AA">
              <w:rPr>
                <w:rFonts w:ascii="Times New Roman" w:eastAsia="Times New Roman" w:hAnsi="Times New Roman" w:cs="Times New Roman"/>
                <w:sz w:val="24"/>
                <w:szCs w:val="24"/>
                <w:lang w:val="en-US"/>
              </w:rPr>
              <w:t xml:space="preserve">Tyrėjų grupės nario </w:t>
            </w:r>
            <w:r w:rsidRPr="0038347F">
              <w:rPr>
                <w:rFonts w:ascii="Times New Roman" w:hAnsi="Times New Roman" w:cs="Times New Roman"/>
                <w:sz w:val="24"/>
                <w:szCs w:val="24"/>
              </w:rPr>
              <w:t>mokslinis laipsnis, vardas, pavardė, mokslo ir studijų institucija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207FD1" w:rsidRDefault="00207FD1" w:rsidP="000A0857">
            <w:pPr>
              <w:spacing w:line="276" w:lineRule="auto"/>
              <w:rPr>
                <w:rFonts w:ascii="Times New Roman" w:eastAsia="Times New Roman" w:hAnsi="Times New Roman" w:cs="Times New Roman"/>
                <w:sz w:val="24"/>
                <w:szCs w:val="24"/>
                <w:lang w:val="en-US"/>
              </w:rPr>
            </w:pPr>
            <w:r w:rsidRPr="0038347F">
              <w:rPr>
                <w:rFonts w:ascii="Times New Roman" w:hAnsi="Times New Roman" w:cs="Times New Roman"/>
                <w:sz w:val="24"/>
                <w:szCs w:val="24"/>
              </w:rPr>
              <w:t xml:space="preserve">Svarbiausi tarptautiniai </w:t>
            </w:r>
            <w:r w:rsidR="00E56145">
              <w:rPr>
                <w:rFonts w:ascii="Times New Roman" w:hAnsi="Times New Roman" w:cs="Times New Roman"/>
                <w:sz w:val="24"/>
                <w:szCs w:val="24"/>
              </w:rPr>
              <w:t xml:space="preserve">MTEP </w:t>
            </w:r>
            <w:r w:rsidRPr="0038347F">
              <w:rPr>
                <w:rFonts w:ascii="Times New Roman" w:hAnsi="Times New Roman" w:cs="Times New Roman"/>
                <w:sz w:val="24"/>
                <w:szCs w:val="24"/>
              </w:rPr>
              <w:t xml:space="preserve">projektai, kuriuose dalyvavo </w:t>
            </w:r>
            <w:r>
              <w:rPr>
                <w:rFonts w:ascii="Times New Roman" w:hAnsi="Times New Roman" w:cs="Times New Roman"/>
                <w:sz w:val="24"/>
                <w:szCs w:val="24"/>
              </w:rPr>
              <w:t>tyrėjų grupės narys</w:t>
            </w:r>
            <w:r w:rsidRPr="0038347F">
              <w:rPr>
                <w:rFonts w:ascii="Times New Roman" w:hAnsi="Times New Roman" w:cs="Times New Roman"/>
                <w:sz w:val="24"/>
                <w:szCs w:val="24"/>
              </w:rPr>
              <w:t> (iki 5)</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207FD1" w:rsidRDefault="00207FD1" w:rsidP="000A0857">
            <w:pPr>
              <w:spacing w:line="276" w:lineRule="auto"/>
              <w:rPr>
                <w:rFonts w:ascii="Times New Roman" w:eastAsia="Times New Roman" w:hAnsi="Times New Roman" w:cs="Times New Roman"/>
                <w:sz w:val="24"/>
                <w:szCs w:val="24"/>
                <w:lang w:val="en-US"/>
              </w:rPr>
            </w:pPr>
            <w:r w:rsidRPr="0038347F">
              <w:rPr>
                <w:rFonts w:ascii="Times New Roman" w:hAnsi="Times New Roman" w:cs="Times New Roman"/>
                <w:sz w:val="24"/>
                <w:szCs w:val="24"/>
              </w:rPr>
              <w:t xml:space="preserve">Svarbiausi nacionaliniai MTEP projektai, kuriuose dalyvavo </w:t>
            </w:r>
            <w:r w:rsidRPr="00207FD1">
              <w:rPr>
                <w:rFonts w:ascii="Times New Roman" w:hAnsi="Times New Roman" w:cs="Times New Roman"/>
                <w:sz w:val="24"/>
                <w:szCs w:val="24"/>
              </w:rPr>
              <w:t>tyrėjų grupės narys </w:t>
            </w:r>
            <w:r w:rsidRPr="0038347F">
              <w:rPr>
                <w:rFonts w:ascii="Times New Roman" w:hAnsi="Times New Roman" w:cs="Times New Roman"/>
                <w:sz w:val="24"/>
                <w:szCs w:val="24"/>
              </w:rPr>
              <w:t>(iki 5)</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207FD1" w:rsidRDefault="00207FD1" w:rsidP="000A0857">
            <w:pPr>
              <w:spacing w:line="276" w:lineRule="auto"/>
              <w:rPr>
                <w:rFonts w:ascii="Times New Roman" w:eastAsia="Times New Roman" w:hAnsi="Times New Roman" w:cs="Times New Roman"/>
                <w:sz w:val="24"/>
                <w:szCs w:val="24"/>
                <w:lang w:val="en-US"/>
              </w:rPr>
            </w:pPr>
            <w:r w:rsidRPr="0038347F">
              <w:rPr>
                <w:rFonts w:ascii="Times New Roman" w:hAnsi="Times New Roman" w:cs="Times New Roman"/>
                <w:sz w:val="24"/>
                <w:szCs w:val="24"/>
              </w:rPr>
              <w:t>Svarbiausi tarptautinio lygio mokslo darbai, susiję su projekto tematika (iki 10) </w:t>
            </w:r>
          </w:p>
        </w:tc>
      </w:tr>
      <w:tr w:rsidR="00F371AA" w:rsidRPr="00CF543D" w:rsidTr="0038347F">
        <w:trPr>
          <w:trHeight w:val="375"/>
        </w:trPr>
        <w:tc>
          <w:tcPr>
            <w:tcW w:w="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r>
      <w:tr w:rsidR="00F371AA" w:rsidRPr="00CF543D" w:rsidTr="0038347F">
        <w:trPr>
          <w:trHeight w:val="375"/>
        </w:trPr>
        <w:tc>
          <w:tcPr>
            <w:tcW w:w="5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20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31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Times New Roman" w:hAnsi="Times New Roman" w:cs="Times New Roman"/>
                <w:i/>
                <w:iCs/>
                <w:sz w:val="24"/>
                <w:szCs w:val="24"/>
              </w:rPr>
            </w:pPr>
          </w:p>
        </w:tc>
        <w:tc>
          <w:tcPr>
            <w:tcW w:w="18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F371AA" w:rsidRPr="00CF543D" w:rsidRDefault="00F371AA" w:rsidP="000A0857">
            <w:pPr>
              <w:spacing w:line="276" w:lineRule="auto"/>
              <w:rPr>
                <w:rFonts w:ascii="Times New Roman" w:eastAsia="Calibri" w:hAnsi="Times New Roman" w:cs="Times New Roman"/>
                <w:b/>
                <w:bCs/>
                <w:sz w:val="24"/>
                <w:szCs w:val="24"/>
                <w:lang w:val="en-US"/>
              </w:rPr>
            </w:pPr>
            <w:r w:rsidRPr="00CF543D">
              <w:rPr>
                <w:rFonts w:ascii="Times New Roman" w:eastAsia="Calibri" w:hAnsi="Times New Roman" w:cs="Times New Roman"/>
                <w:b/>
                <w:bCs/>
                <w:sz w:val="24"/>
                <w:szCs w:val="24"/>
                <w:lang w:val="en-US"/>
              </w:rPr>
              <w:t xml:space="preserve"> </w:t>
            </w:r>
          </w:p>
        </w:tc>
      </w:tr>
    </w:tbl>
    <w:p w:rsidR="2F2D785E" w:rsidRPr="00CF543D" w:rsidRDefault="2F2D785E" w:rsidP="000A0857">
      <w:pPr>
        <w:jc w:val="center"/>
        <w:rPr>
          <w:b/>
          <w:bCs/>
          <w:szCs w:val="24"/>
        </w:rPr>
      </w:pPr>
      <w:r w:rsidRPr="00CF543D">
        <w:rPr>
          <w:b/>
          <w:bCs/>
          <w:szCs w:val="24"/>
        </w:rPr>
        <w:t xml:space="preserve"> </w:t>
      </w:r>
    </w:p>
    <w:p w:rsidR="2F2D785E" w:rsidRDefault="2F2D785E" w:rsidP="00B5536E">
      <w:pPr>
        <w:rPr>
          <w:b/>
          <w:bCs/>
          <w:szCs w:val="24"/>
        </w:rPr>
      </w:pPr>
      <w:r w:rsidRPr="2F2D785E">
        <w:rPr>
          <w:b/>
          <w:bCs/>
          <w:szCs w:val="24"/>
        </w:rPr>
        <w:t xml:space="preserve"> </w:t>
      </w:r>
    </w:p>
    <w:p w:rsidR="2F2D785E" w:rsidRDefault="2F2D785E" w:rsidP="000A0857">
      <w:pPr>
        <w:jc w:val="center"/>
        <w:rPr>
          <w:b/>
          <w:bCs/>
          <w:szCs w:val="24"/>
        </w:rPr>
      </w:pPr>
      <w:r w:rsidRPr="2F2D785E">
        <w:rPr>
          <w:b/>
          <w:bCs/>
          <w:szCs w:val="24"/>
        </w:rPr>
        <w:t>Prie PĮP gali būti pridedami kiti dokumentai, patvirtinantys ar pagrindžiantys PĮP pateiktą informaciją.</w:t>
      </w:r>
    </w:p>
    <w:p w:rsidR="2F2D785E" w:rsidRDefault="2F2D785E" w:rsidP="000A0857">
      <w:pPr>
        <w:jc w:val="center"/>
        <w:rPr>
          <w:szCs w:val="24"/>
        </w:rPr>
      </w:pPr>
      <w:r w:rsidRPr="2F2D785E">
        <w:rPr>
          <w:szCs w:val="24"/>
        </w:rPr>
        <w:t xml:space="preserve"> </w:t>
      </w:r>
    </w:p>
    <w:p w:rsidR="2F2D785E" w:rsidRDefault="2F2D785E" w:rsidP="000A0857">
      <w:pPr>
        <w:jc w:val="center"/>
        <w:rPr>
          <w:szCs w:val="24"/>
        </w:rPr>
      </w:pPr>
      <w:r w:rsidRPr="2F2D785E">
        <w:rPr>
          <w:szCs w:val="24"/>
        </w:rPr>
        <w:t xml:space="preserve"> </w:t>
      </w:r>
    </w:p>
    <w:p w:rsidR="2F2D785E" w:rsidRDefault="2F2D785E" w:rsidP="000A0857">
      <w:pPr>
        <w:jc w:val="center"/>
        <w:rPr>
          <w:szCs w:val="24"/>
        </w:rPr>
      </w:pPr>
      <w:r w:rsidRPr="2F2D785E">
        <w:rPr>
          <w:szCs w:val="24"/>
        </w:rPr>
        <w:t xml:space="preserve"> </w:t>
      </w:r>
    </w:p>
    <w:p w:rsidR="2F2D785E" w:rsidRDefault="2F2D785E" w:rsidP="000A0857">
      <w:pPr>
        <w:jc w:val="center"/>
        <w:rPr>
          <w:szCs w:val="24"/>
        </w:rPr>
      </w:pPr>
      <w:r w:rsidRPr="2F2D785E">
        <w:rPr>
          <w:szCs w:val="24"/>
        </w:rPr>
        <w:t xml:space="preserve">       _________________           ___________________                 ___________________</w:t>
      </w:r>
    </w:p>
    <w:p w:rsidR="2F2D785E" w:rsidRDefault="2F2D785E" w:rsidP="000A0857">
      <w:pPr>
        <w:jc w:val="center"/>
        <w:rPr>
          <w:szCs w:val="24"/>
        </w:rPr>
      </w:pPr>
      <w:r w:rsidRPr="2F2D785E">
        <w:rPr>
          <w:szCs w:val="24"/>
        </w:rPr>
        <w:t xml:space="preserve"> </w:t>
      </w:r>
    </w:p>
    <w:p w:rsidR="2F2D785E" w:rsidRDefault="2F2D785E" w:rsidP="000A0857">
      <w:pPr>
        <w:jc w:val="center"/>
        <w:rPr>
          <w:i/>
          <w:iCs/>
          <w:szCs w:val="24"/>
        </w:rPr>
      </w:pPr>
      <w:r w:rsidRPr="2F2D785E">
        <w:rPr>
          <w:i/>
          <w:iCs/>
          <w:szCs w:val="24"/>
        </w:rPr>
        <w:t xml:space="preserve">      (vadovo pareigos)                             </w:t>
      </w:r>
      <w:r>
        <w:tab/>
      </w:r>
      <w:r w:rsidRPr="2F2D785E">
        <w:rPr>
          <w:i/>
          <w:iCs/>
          <w:szCs w:val="24"/>
        </w:rPr>
        <w:t xml:space="preserve"> (parašas) </w:t>
      </w:r>
      <w:r>
        <w:tab/>
      </w:r>
      <w:r w:rsidRPr="2F2D785E">
        <w:rPr>
          <w:i/>
          <w:iCs/>
          <w:szCs w:val="24"/>
        </w:rPr>
        <w:t xml:space="preserve">                                            (vardas ir pavardė)</w:t>
      </w:r>
    </w:p>
    <w:p w:rsidR="00027150" w:rsidRDefault="2F2D785E" w:rsidP="000A0857">
      <w:pPr>
        <w:spacing w:line="276" w:lineRule="auto"/>
        <w:jc w:val="center"/>
        <w:rPr>
          <w:szCs w:val="24"/>
        </w:rPr>
      </w:pPr>
      <w:r w:rsidRPr="2F2D785E">
        <w:rPr>
          <w:szCs w:val="24"/>
        </w:rPr>
        <w:t xml:space="preserve"> </w:t>
      </w:r>
    </w:p>
    <w:sectPr w:rsidR="00027150" w:rsidSect="00E744BF">
      <w:pgSz w:w="11906" w:h="16838"/>
      <w:pgMar w:top="567"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D44" w:rsidRDefault="00886D44">
      <w:pPr>
        <w:rPr>
          <w:sz w:val="22"/>
          <w:szCs w:val="22"/>
        </w:rPr>
      </w:pPr>
      <w:r>
        <w:rPr>
          <w:sz w:val="22"/>
          <w:szCs w:val="22"/>
        </w:rPr>
        <w:separator/>
      </w:r>
    </w:p>
  </w:endnote>
  <w:endnote w:type="continuationSeparator" w:id="0">
    <w:p w:rsidR="00886D44" w:rsidRDefault="00886D44">
      <w:pPr>
        <w:rPr>
          <w:sz w:val="22"/>
          <w:szCs w:val="22"/>
        </w:rPr>
      </w:pPr>
      <w:r>
        <w:rPr>
          <w:sz w:val="22"/>
          <w:szCs w:val="22"/>
        </w:rPr>
        <w:continuationSeparator/>
      </w:r>
    </w:p>
  </w:endnote>
  <w:endnote w:type="continuationNotice" w:id="1">
    <w:p w:rsidR="00886D44" w:rsidRDefault="00886D4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D44" w:rsidRDefault="00886D44">
      <w:pPr>
        <w:rPr>
          <w:sz w:val="22"/>
          <w:szCs w:val="22"/>
        </w:rPr>
      </w:pPr>
      <w:r>
        <w:rPr>
          <w:sz w:val="22"/>
          <w:szCs w:val="22"/>
        </w:rPr>
        <w:separator/>
      </w:r>
    </w:p>
  </w:footnote>
  <w:footnote w:type="continuationSeparator" w:id="0">
    <w:p w:rsidR="00886D44" w:rsidRDefault="00886D44">
      <w:pPr>
        <w:rPr>
          <w:sz w:val="22"/>
          <w:szCs w:val="22"/>
        </w:rPr>
      </w:pPr>
      <w:r>
        <w:rPr>
          <w:sz w:val="22"/>
          <w:szCs w:val="22"/>
        </w:rPr>
        <w:continuationSeparator/>
      </w:r>
    </w:p>
  </w:footnote>
  <w:footnote w:type="continuationNotice" w:id="1">
    <w:p w:rsidR="00886D44" w:rsidRDefault="00886D44">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742822">
      <w:rPr>
        <w:noProof/>
        <w:szCs w:val="22"/>
      </w:rPr>
      <w:t>10</w:t>
    </w:r>
    <w:r>
      <w:rPr>
        <w:szCs w:val="22"/>
      </w:rPr>
      <w:fldChar w:fldCharType="end"/>
    </w:r>
  </w:p>
  <w:p w:rsidR="00E94432" w:rsidRDefault="00E94432">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32" w:rsidRDefault="00E9443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A68"/>
    <w:multiLevelType w:val="multilevel"/>
    <w:tmpl w:val="1930C2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1384B"/>
    <w:multiLevelType w:val="multilevel"/>
    <w:tmpl w:val="9B7C693E"/>
    <w:lvl w:ilvl="0">
      <w:start w:val="13"/>
      <w:numFmt w:val="decimal"/>
      <w:lvlText w:val="%1."/>
      <w:lvlJc w:val="left"/>
      <w:pPr>
        <w:ind w:left="2426" w:hanging="660"/>
      </w:pPr>
      <w:rPr>
        <w:rFonts w:hint="default"/>
      </w:rPr>
    </w:lvl>
    <w:lvl w:ilvl="1">
      <w:start w:val="5"/>
      <w:numFmt w:val="decimal"/>
      <w:lvlText w:val="%1.%2."/>
      <w:lvlJc w:val="left"/>
      <w:pPr>
        <w:ind w:left="2426" w:hanging="660"/>
      </w:pPr>
      <w:rPr>
        <w:rFonts w:hint="default"/>
      </w:rPr>
    </w:lvl>
    <w:lvl w:ilvl="2">
      <w:start w:val="8"/>
      <w:numFmt w:val="decimal"/>
      <w:lvlText w:val="%1.%2.%3."/>
      <w:lvlJc w:val="left"/>
      <w:pPr>
        <w:ind w:left="2486" w:hanging="720"/>
      </w:pPr>
      <w:rPr>
        <w:rFonts w:hint="default"/>
      </w:rPr>
    </w:lvl>
    <w:lvl w:ilvl="3">
      <w:start w:val="1"/>
      <w:numFmt w:val="decimal"/>
      <w:lvlText w:val="%1.%2.%3.%4."/>
      <w:lvlJc w:val="left"/>
      <w:pPr>
        <w:ind w:left="2486" w:hanging="720"/>
      </w:pPr>
      <w:rPr>
        <w:rFonts w:hint="default"/>
      </w:rPr>
    </w:lvl>
    <w:lvl w:ilvl="4">
      <w:start w:val="1"/>
      <w:numFmt w:val="decimal"/>
      <w:lvlText w:val="%1.%2.%3.%4.%5."/>
      <w:lvlJc w:val="left"/>
      <w:pPr>
        <w:ind w:left="2846" w:hanging="1080"/>
      </w:pPr>
      <w:rPr>
        <w:rFonts w:hint="default"/>
      </w:rPr>
    </w:lvl>
    <w:lvl w:ilvl="5">
      <w:start w:val="1"/>
      <w:numFmt w:val="decimal"/>
      <w:lvlText w:val="%1.%2.%3.%4.%5.%6."/>
      <w:lvlJc w:val="left"/>
      <w:pPr>
        <w:ind w:left="2846" w:hanging="1080"/>
      </w:pPr>
      <w:rPr>
        <w:rFonts w:hint="default"/>
      </w:rPr>
    </w:lvl>
    <w:lvl w:ilvl="6">
      <w:start w:val="1"/>
      <w:numFmt w:val="decimal"/>
      <w:lvlText w:val="%1.%2.%3.%4.%5.%6.%7."/>
      <w:lvlJc w:val="left"/>
      <w:pPr>
        <w:ind w:left="3206" w:hanging="1440"/>
      </w:pPr>
      <w:rPr>
        <w:rFonts w:hint="default"/>
      </w:rPr>
    </w:lvl>
    <w:lvl w:ilvl="7">
      <w:start w:val="1"/>
      <w:numFmt w:val="decimal"/>
      <w:lvlText w:val="%1.%2.%3.%4.%5.%6.%7.%8."/>
      <w:lvlJc w:val="left"/>
      <w:pPr>
        <w:ind w:left="3206" w:hanging="1440"/>
      </w:pPr>
      <w:rPr>
        <w:rFonts w:hint="default"/>
      </w:rPr>
    </w:lvl>
    <w:lvl w:ilvl="8">
      <w:start w:val="1"/>
      <w:numFmt w:val="decimal"/>
      <w:lvlText w:val="%1.%2.%3.%4.%5.%6.%7.%8.%9."/>
      <w:lvlJc w:val="left"/>
      <w:pPr>
        <w:ind w:left="3566" w:hanging="1800"/>
      </w:pPr>
      <w:rPr>
        <w:rFonts w:hint="default"/>
      </w:rPr>
    </w:lvl>
  </w:abstractNum>
  <w:abstractNum w:abstractNumId="2" w15:restartNumberingAfterBreak="0">
    <w:nsid w:val="04711D6A"/>
    <w:multiLevelType w:val="multilevel"/>
    <w:tmpl w:val="30C8C3B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9293E"/>
    <w:multiLevelType w:val="hybridMultilevel"/>
    <w:tmpl w:val="BAB66D36"/>
    <w:lvl w:ilvl="0" w:tplc="17DA6314">
      <w:start w:val="1"/>
      <w:numFmt w:val="bullet"/>
      <w:lvlText w:val=""/>
      <w:lvlJc w:val="left"/>
      <w:pPr>
        <w:ind w:left="1440" w:hanging="360"/>
      </w:pPr>
      <w:rPr>
        <w:rFonts w:ascii="Symbol" w:hAnsi="Symbol"/>
      </w:rPr>
    </w:lvl>
    <w:lvl w:ilvl="1" w:tplc="4F562188">
      <w:start w:val="1"/>
      <w:numFmt w:val="bullet"/>
      <w:lvlText w:val=""/>
      <w:lvlJc w:val="left"/>
      <w:pPr>
        <w:ind w:left="1440" w:hanging="360"/>
      </w:pPr>
      <w:rPr>
        <w:rFonts w:ascii="Symbol" w:hAnsi="Symbol"/>
      </w:rPr>
    </w:lvl>
    <w:lvl w:ilvl="2" w:tplc="B288B924">
      <w:start w:val="1"/>
      <w:numFmt w:val="bullet"/>
      <w:lvlText w:val=""/>
      <w:lvlJc w:val="left"/>
      <w:pPr>
        <w:ind w:left="1440" w:hanging="360"/>
      </w:pPr>
      <w:rPr>
        <w:rFonts w:ascii="Symbol" w:hAnsi="Symbol"/>
      </w:rPr>
    </w:lvl>
    <w:lvl w:ilvl="3" w:tplc="16E2371C">
      <w:start w:val="1"/>
      <w:numFmt w:val="bullet"/>
      <w:lvlText w:val=""/>
      <w:lvlJc w:val="left"/>
      <w:pPr>
        <w:ind w:left="1440" w:hanging="360"/>
      </w:pPr>
      <w:rPr>
        <w:rFonts w:ascii="Symbol" w:hAnsi="Symbol"/>
      </w:rPr>
    </w:lvl>
    <w:lvl w:ilvl="4" w:tplc="785E2A2C">
      <w:start w:val="1"/>
      <w:numFmt w:val="bullet"/>
      <w:lvlText w:val=""/>
      <w:lvlJc w:val="left"/>
      <w:pPr>
        <w:ind w:left="1440" w:hanging="360"/>
      </w:pPr>
      <w:rPr>
        <w:rFonts w:ascii="Symbol" w:hAnsi="Symbol"/>
      </w:rPr>
    </w:lvl>
    <w:lvl w:ilvl="5" w:tplc="2B22119C">
      <w:start w:val="1"/>
      <w:numFmt w:val="bullet"/>
      <w:lvlText w:val=""/>
      <w:lvlJc w:val="left"/>
      <w:pPr>
        <w:ind w:left="1440" w:hanging="360"/>
      </w:pPr>
      <w:rPr>
        <w:rFonts w:ascii="Symbol" w:hAnsi="Symbol"/>
      </w:rPr>
    </w:lvl>
    <w:lvl w:ilvl="6" w:tplc="F5EAB79C">
      <w:start w:val="1"/>
      <w:numFmt w:val="bullet"/>
      <w:lvlText w:val=""/>
      <w:lvlJc w:val="left"/>
      <w:pPr>
        <w:ind w:left="1440" w:hanging="360"/>
      </w:pPr>
      <w:rPr>
        <w:rFonts w:ascii="Symbol" w:hAnsi="Symbol"/>
      </w:rPr>
    </w:lvl>
    <w:lvl w:ilvl="7" w:tplc="91A026A8">
      <w:start w:val="1"/>
      <w:numFmt w:val="bullet"/>
      <w:lvlText w:val=""/>
      <w:lvlJc w:val="left"/>
      <w:pPr>
        <w:ind w:left="1440" w:hanging="360"/>
      </w:pPr>
      <w:rPr>
        <w:rFonts w:ascii="Symbol" w:hAnsi="Symbol"/>
      </w:rPr>
    </w:lvl>
    <w:lvl w:ilvl="8" w:tplc="5B240364">
      <w:start w:val="1"/>
      <w:numFmt w:val="bullet"/>
      <w:lvlText w:val=""/>
      <w:lvlJc w:val="left"/>
      <w:pPr>
        <w:ind w:left="1440" w:hanging="360"/>
      </w:pPr>
      <w:rPr>
        <w:rFonts w:ascii="Symbol" w:hAnsi="Symbol"/>
      </w:rPr>
    </w:lvl>
  </w:abstractNum>
  <w:abstractNum w:abstractNumId="4" w15:restartNumberingAfterBreak="0">
    <w:nsid w:val="190C1216"/>
    <w:multiLevelType w:val="multilevel"/>
    <w:tmpl w:val="DF929ABE"/>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A11FB6"/>
    <w:multiLevelType w:val="hybridMultilevel"/>
    <w:tmpl w:val="DFBCA9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C219C0"/>
    <w:multiLevelType w:val="multilevel"/>
    <w:tmpl w:val="EF46D2AC"/>
    <w:lvl w:ilvl="0">
      <w:start w:val="4"/>
      <w:numFmt w:val="decimal"/>
      <w:lvlText w:val="%1."/>
      <w:lvlJc w:val="left"/>
      <w:pPr>
        <w:ind w:left="540" w:hanging="540"/>
      </w:pPr>
      <w:rPr>
        <w:rFonts w:hint="default"/>
        <w:b/>
        <w:bCs w:val="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DE3913"/>
    <w:multiLevelType w:val="multilevel"/>
    <w:tmpl w:val="8242B9E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9121C1"/>
    <w:multiLevelType w:val="hybridMultilevel"/>
    <w:tmpl w:val="2C120DC6"/>
    <w:lvl w:ilvl="0" w:tplc="A148EEEE">
      <w:start w:val="1"/>
      <w:numFmt w:val="bullet"/>
      <w:lvlText w:val="·"/>
      <w:lvlJc w:val="left"/>
      <w:pPr>
        <w:ind w:left="720" w:hanging="360"/>
      </w:pPr>
      <w:rPr>
        <w:rFonts w:ascii="Symbol" w:hAnsi="Symbol" w:hint="default"/>
      </w:rPr>
    </w:lvl>
    <w:lvl w:ilvl="1" w:tplc="DD885142">
      <w:start w:val="1"/>
      <w:numFmt w:val="bullet"/>
      <w:lvlText w:val="o"/>
      <w:lvlJc w:val="left"/>
      <w:pPr>
        <w:ind w:left="1440" w:hanging="360"/>
      </w:pPr>
      <w:rPr>
        <w:rFonts w:ascii="Courier New" w:hAnsi="Courier New" w:hint="default"/>
      </w:rPr>
    </w:lvl>
    <w:lvl w:ilvl="2" w:tplc="D638A692">
      <w:start w:val="1"/>
      <w:numFmt w:val="bullet"/>
      <w:lvlText w:val=""/>
      <w:lvlJc w:val="left"/>
      <w:pPr>
        <w:ind w:left="2160" w:hanging="360"/>
      </w:pPr>
      <w:rPr>
        <w:rFonts w:ascii="Wingdings" w:hAnsi="Wingdings" w:hint="default"/>
      </w:rPr>
    </w:lvl>
    <w:lvl w:ilvl="3" w:tplc="A06CE178">
      <w:start w:val="1"/>
      <w:numFmt w:val="bullet"/>
      <w:lvlText w:val=""/>
      <w:lvlJc w:val="left"/>
      <w:pPr>
        <w:ind w:left="2880" w:hanging="360"/>
      </w:pPr>
      <w:rPr>
        <w:rFonts w:ascii="Symbol" w:hAnsi="Symbol" w:hint="default"/>
      </w:rPr>
    </w:lvl>
    <w:lvl w:ilvl="4" w:tplc="702CB0E6">
      <w:start w:val="1"/>
      <w:numFmt w:val="bullet"/>
      <w:lvlText w:val="o"/>
      <w:lvlJc w:val="left"/>
      <w:pPr>
        <w:ind w:left="3600" w:hanging="360"/>
      </w:pPr>
      <w:rPr>
        <w:rFonts w:ascii="Courier New" w:hAnsi="Courier New" w:hint="default"/>
      </w:rPr>
    </w:lvl>
    <w:lvl w:ilvl="5" w:tplc="015C95C8">
      <w:start w:val="1"/>
      <w:numFmt w:val="bullet"/>
      <w:lvlText w:val=""/>
      <w:lvlJc w:val="left"/>
      <w:pPr>
        <w:ind w:left="4320" w:hanging="360"/>
      </w:pPr>
      <w:rPr>
        <w:rFonts w:ascii="Wingdings" w:hAnsi="Wingdings" w:hint="default"/>
      </w:rPr>
    </w:lvl>
    <w:lvl w:ilvl="6" w:tplc="A01E2098">
      <w:start w:val="1"/>
      <w:numFmt w:val="bullet"/>
      <w:lvlText w:val=""/>
      <w:lvlJc w:val="left"/>
      <w:pPr>
        <w:ind w:left="5040" w:hanging="360"/>
      </w:pPr>
      <w:rPr>
        <w:rFonts w:ascii="Symbol" w:hAnsi="Symbol" w:hint="default"/>
      </w:rPr>
    </w:lvl>
    <w:lvl w:ilvl="7" w:tplc="E996DF06">
      <w:start w:val="1"/>
      <w:numFmt w:val="bullet"/>
      <w:lvlText w:val="o"/>
      <w:lvlJc w:val="left"/>
      <w:pPr>
        <w:ind w:left="5760" w:hanging="360"/>
      </w:pPr>
      <w:rPr>
        <w:rFonts w:ascii="Courier New" w:hAnsi="Courier New" w:hint="default"/>
      </w:rPr>
    </w:lvl>
    <w:lvl w:ilvl="8" w:tplc="740C7AA4">
      <w:start w:val="1"/>
      <w:numFmt w:val="bullet"/>
      <w:lvlText w:val=""/>
      <w:lvlJc w:val="left"/>
      <w:pPr>
        <w:ind w:left="6480" w:hanging="360"/>
      </w:pPr>
      <w:rPr>
        <w:rFonts w:ascii="Wingdings" w:hAnsi="Wingdings" w:hint="default"/>
      </w:rPr>
    </w:lvl>
  </w:abstractNum>
  <w:abstractNum w:abstractNumId="9" w15:restartNumberingAfterBreak="0">
    <w:nsid w:val="2B0523BE"/>
    <w:multiLevelType w:val="multilevel"/>
    <w:tmpl w:val="E6CEE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E6363"/>
    <w:multiLevelType w:val="multilevel"/>
    <w:tmpl w:val="01986764"/>
    <w:lvl w:ilvl="0">
      <w:start w:val="6"/>
      <w:numFmt w:val="decimal"/>
      <w:lvlText w:val="%1."/>
      <w:lvlJc w:val="left"/>
      <w:pPr>
        <w:ind w:left="360" w:hanging="360"/>
      </w:pPr>
      <w:rPr>
        <w:rFonts w:hint="default"/>
        <w:b/>
        <w:bCs w:val="0"/>
        <w:i w:val="0"/>
      </w:rPr>
    </w:lvl>
    <w:lvl w:ilvl="1">
      <w:start w:val="1"/>
      <w:numFmt w:val="decimal"/>
      <w:lvlText w:val="%1.%2."/>
      <w:lvlJc w:val="left"/>
      <w:pPr>
        <w:ind w:left="786"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BD00C61"/>
    <w:multiLevelType w:val="multilevel"/>
    <w:tmpl w:val="1930C2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0E498B"/>
    <w:multiLevelType w:val="multilevel"/>
    <w:tmpl w:val="2416A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B72FD"/>
    <w:multiLevelType w:val="multilevel"/>
    <w:tmpl w:val="4844DF9C"/>
    <w:lvl w:ilvl="0">
      <w:start w:val="16"/>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8"/>
      <w:numFmt w:val="decimal"/>
      <w:lvlText w:val="%1.%2.%3."/>
      <w:lvlJc w:val="left"/>
      <w:pPr>
        <w:ind w:left="15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D606E1A"/>
    <w:multiLevelType w:val="multilevel"/>
    <w:tmpl w:val="3BF6CFA6"/>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2794E"/>
    <w:multiLevelType w:val="multilevel"/>
    <w:tmpl w:val="D9DA2DF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F45E10"/>
    <w:multiLevelType w:val="multilevel"/>
    <w:tmpl w:val="523416C6"/>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B575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3F431F"/>
    <w:multiLevelType w:val="hybridMultilevel"/>
    <w:tmpl w:val="AB6CBCFE"/>
    <w:lvl w:ilvl="0" w:tplc="10B0754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6F067F"/>
    <w:multiLevelType w:val="multilevel"/>
    <w:tmpl w:val="AC54B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1E4B89"/>
    <w:multiLevelType w:val="hybridMultilevel"/>
    <w:tmpl w:val="8E5E4960"/>
    <w:lvl w:ilvl="0" w:tplc="36B048C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66670E"/>
    <w:multiLevelType w:val="hybridMultilevel"/>
    <w:tmpl w:val="C4045D90"/>
    <w:lvl w:ilvl="0" w:tplc="D86426A4">
      <w:start w:val="1"/>
      <w:numFmt w:val="bullet"/>
      <w:lvlText w:val=""/>
      <w:lvlJc w:val="left"/>
      <w:pPr>
        <w:ind w:left="1020" w:hanging="360"/>
      </w:pPr>
      <w:rPr>
        <w:rFonts w:ascii="Symbol" w:hAnsi="Symbol"/>
      </w:rPr>
    </w:lvl>
    <w:lvl w:ilvl="1" w:tplc="B4E8A00E">
      <w:start w:val="1"/>
      <w:numFmt w:val="bullet"/>
      <w:lvlText w:val=""/>
      <w:lvlJc w:val="left"/>
      <w:pPr>
        <w:ind w:left="1020" w:hanging="360"/>
      </w:pPr>
      <w:rPr>
        <w:rFonts w:ascii="Symbol" w:hAnsi="Symbol"/>
      </w:rPr>
    </w:lvl>
    <w:lvl w:ilvl="2" w:tplc="CA3E539E">
      <w:start w:val="1"/>
      <w:numFmt w:val="bullet"/>
      <w:lvlText w:val=""/>
      <w:lvlJc w:val="left"/>
      <w:pPr>
        <w:ind w:left="1020" w:hanging="360"/>
      </w:pPr>
      <w:rPr>
        <w:rFonts w:ascii="Symbol" w:hAnsi="Symbol"/>
      </w:rPr>
    </w:lvl>
    <w:lvl w:ilvl="3" w:tplc="25045930">
      <w:start w:val="1"/>
      <w:numFmt w:val="bullet"/>
      <w:lvlText w:val=""/>
      <w:lvlJc w:val="left"/>
      <w:pPr>
        <w:ind w:left="1020" w:hanging="360"/>
      </w:pPr>
      <w:rPr>
        <w:rFonts w:ascii="Symbol" w:hAnsi="Symbol"/>
      </w:rPr>
    </w:lvl>
    <w:lvl w:ilvl="4" w:tplc="E53CEBD8">
      <w:start w:val="1"/>
      <w:numFmt w:val="bullet"/>
      <w:lvlText w:val=""/>
      <w:lvlJc w:val="left"/>
      <w:pPr>
        <w:ind w:left="1020" w:hanging="360"/>
      </w:pPr>
      <w:rPr>
        <w:rFonts w:ascii="Symbol" w:hAnsi="Symbol"/>
      </w:rPr>
    </w:lvl>
    <w:lvl w:ilvl="5" w:tplc="494E8D5A">
      <w:start w:val="1"/>
      <w:numFmt w:val="bullet"/>
      <w:lvlText w:val=""/>
      <w:lvlJc w:val="left"/>
      <w:pPr>
        <w:ind w:left="1020" w:hanging="360"/>
      </w:pPr>
      <w:rPr>
        <w:rFonts w:ascii="Symbol" w:hAnsi="Symbol"/>
      </w:rPr>
    </w:lvl>
    <w:lvl w:ilvl="6" w:tplc="2774D482">
      <w:start w:val="1"/>
      <w:numFmt w:val="bullet"/>
      <w:lvlText w:val=""/>
      <w:lvlJc w:val="left"/>
      <w:pPr>
        <w:ind w:left="1020" w:hanging="360"/>
      </w:pPr>
      <w:rPr>
        <w:rFonts w:ascii="Symbol" w:hAnsi="Symbol"/>
      </w:rPr>
    </w:lvl>
    <w:lvl w:ilvl="7" w:tplc="33D84714">
      <w:start w:val="1"/>
      <w:numFmt w:val="bullet"/>
      <w:lvlText w:val=""/>
      <w:lvlJc w:val="left"/>
      <w:pPr>
        <w:ind w:left="1020" w:hanging="360"/>
      </w:pPr>
      <w:rPr>
        <w:rFonts w:ascii="Symbol" w:hAnsi="Symbol"/>
      </w:rPr>
    </w:lvl>
    <w:lvl w:ilvl="8" w:tplc="39361724">
      <w:start w:val="1"/>
      <w:numFmt w:val="bullet"/>
      <w:lvlText w:val=""/>
      <w:lvlJc w:val="left"/>
      <w:pPr>
        <w:ind w:left="1020" w:hanging="360"/>
      </w:pPr>
      <w:rPr>
        <w:rFonts w:ascii="Symbol" w:hAnsi="Symbol"/>
      </w:rPr>
    </w:lvl>
  </w:abstractNum>
  <w:abstractNum w:abstractNumId="24" w15:restartNumberingAfterBreak="0">
    <w:nsid w:val="4A4F0F33"/>
    <w:multiLevelType w:val="hybridMultilevel"/>
    <w:tmpl w:val="994679D6"/>
    <w:lvl w:ilvl="0" w:tplc="6DDCF740">
      <w:start w:val="1"/>
      <w:numFmt w:val="bullet"/>
      <w:lvlText w:val=""/>
      <w:lvlJc w:val="left"/>
      <w:pPr>
        <w:ind w:left="720" w:hanging="360"/>
      </w:pPr>
      <w:rPr>
        <w:rFonts w:ascii="Symbol" w:hAnsi="Symbol"/>
      </w:rPr>
    </w:lvl>
    <w:lvl w:ilvl="1" w:tplc="05A628A0">
      <w:start w:val="1"/>
      <w:numFmt w:val="bullet"/>
      <w:lvlText w:val=""/>
      <w:lvlJc w:val="left"/>
      <w:pPr>
        <w:ind w:left="720" w:hanging="360"/>
      </w:pPr>
      <w:rPr>
        <w:rFonts w:ascii="Symbol" w:hAnsi="Symbol"/>
      </w:rPr>
    </w:lvl>
    <w:lvl w:ilvl="2" w:tplc="D59C71F8">
      <w:start w:val="1"/>
      <w:numFmt w:val="bullet"/>
      <w:lvlText w:val=""/>
      <w:lvlJc w:val="left"/>
      <w:pPr>
        <w:ind w:left="720" w:hanging="360"/>
      </w:pPr>
      <w:rPr>
        <w:rFonts w:ascii="Symbol" w:hAnsi="Symbol"/>
      </w:rPr>
    </w:lvl>
    <w:lvl w:ilvl="3" w:tplc="D58E5948">
      <w:start w:val="1"/>
      <w:numFmt w:val="bullet"/>
      <w:lvlText w:val=""/>
      <w:lvlJc w:val="left"/>
      <w:pPr>
        <w:ind w:left="720" w:hanging="360"/>
      </w:pPr>
      <w:rPr>
        <w:rFonts w:ascii="Symbol" w:hAnsi="Symbol"/>
      </w:rPr>
    </w:lvl>
    <w:lvl w:ilvl="4" w:tplc="7C5AE840">
      <w:start w:val="1"/>
      <w:numFmt w:val="bullet"/>
      <w:lvlText w:val=""/>
      <w:lvlJc w:val="left"/>
      <w:pPr>
        <w:ind w:left="720" w:hanging="360"/>
      </w:pPr>
      <w:rPr>
        <w:rFonts w:ascii="Symbol" w:hAnsi="Symbol"/>
      </w:rPr>
    </w:lvl>
    <w:lvl w:ilvl="5" w:tplc="9F6A2864">
      <w:start w:val="1"/>
      <w:numFmt w:val="bullet"/>
      <w:lvlText w:val=""/>
      <w:lvlJc w:val="left"/>
      <w:pPr>
        <w:ind w:left="720" w:hanging="360"/>
      </w:pPr>
      <w:rPr>
        <w:rFonts w:ascii="Symbol" w:hAnsi="Symbol"/>
      </w:rPr>
    </w:lvl>
    <w:lvl w:ilvl="6" w:tplc="FB602D3A">
      <w:start w:val="1"/>
      <w:numFmt w:val="bullet"/>
      <w:lvlText w:val=""/>
      <w:lvlJc w:val="left"/>
      <w:pPr>
        <w:ind w:left="720" w:hanging="360"/>
      </w:pPr>
      <w:rPr>
        <w:rFonts w:ascii="Symbol" w:hAnsi="Symbol"/>
      </w:rPr>
    </w:lvl>
    <w:lvl w:ilvl="7" w:tplc="8DBCE5BA">
      <w:start w:val="1"/>
      <w:numFmt w:val="bullet"/>
      <w:lvlText w:val=""/>
      <w:lvlJc w:val="left"/>
      <w:pPr>
        <w:ind w:left="720" w:hanging="360"/>
      </w:pPr>
      <w:rPr>
        <w:rFonts w:ascii="Symbol" w:hAnsi="Symbol"/>
      </w:rPr>
    </w:lvl>
    <w:lvl w:ilvl="8" w:tplc="CDA022A2">
      <w:start w:val="1"/>
      <w:numFmt w:val="bullet"/>
      <w:lvlText w:val=""/>
      <w:lvlJc w:val="left"/>
      <w:pPr>
        <w:ind w:left="720" w:hanging="360"/>
      </w:pPr>
      <w:rPr>
        <w:rFonts w:ascii="Symbol" w:hAnsi="Symbol"/>
      </w:rPr>
    </w:lvl>
  </w:abstractNum>
  <w:abstractNum w:abstractNumId="25" w15:restartNumberingAfterBreak="0">
    <w:nsid w:val="4B2976B7"/>
    <w:multiLevelType w:val="hybridMultilevel"/>
    <w:tmpl w:val="A4F83648"/>
    <w:lvl w:ilvl="0" w:tplc="BE36B956">
      <w:start w:val="1"/>
      <w:numFmt w:val="bullet"/>
      <w:lvlText w:val="·"/>
      <w:lvlJc w:val="left"/>
      <w:pPr>
        <w:ind w:left="720" w:hanging="360"/>
      </w:pPr>
      <w:rPr>
        <w:rFonts w:ascii="Symbol" w:hAnsi="Symbol" w:hint="default"/>
      </w:rPr>
    </w:lvl>
    <w:lvl w:ilvl="1" w:tplc="885800DC">
      <w:start w:val="1"/>
      <w:numFmt w:val="bullet"/>
      <w:lvlText w:val="o"/>
      <w:lvlJc w:val="left"/>
      <w:pPr>
        <w:ind w:left="1440" w:hanging="360"/>
      </w:pPr>
      <w:rPr>
        <w:rFonts w:ascii="Courier New" w:hAnsi="Courier New" w:hint="default"/>
      </w:rPr>
    </w:lvl>
    <w:lvl w:ilvl="2" w:tplc="3BEAEE16">
      <w:start w:val="1"/>
      <w:numFmt w:val="bullet"/>
      <w:lvlText w:val=""/>
      <w:lvlJc w:val="left"/>
      <w:pPr>
        <w:ind w:left="2160" w:hanging="360"/>
      </w:pPr>
      <w:rPr>
        <w:rFonts w:ascii="Wingdings" w:hAnsi="Wingdings" w:hint="default"/>
      </w:rPr>
    </w:lvl>
    <w:lvl w:ilvl="3" w:tplc="80F22F8C">
      <w:start w:val="1"/>
      <w:numFmt w:val="bullet"/>
      <w:lvlText w:val=""/>
      <w:lvlJc w:val="left"/>
      <w:pPr>
        <w:ind w:left="2880" w:hanging="360"/>
      </w:pPr>
      <w:rPr>
        <w:rFonts w:ascii="Symbol" w:hAnsi="Symbol" w:hint="default"/>
      </w:rPr>
    </w:lvl>
    <w:lvl w:ilvl="4" w:tplc="675E1AB4">
      <w:start w:val="1"/>
      <w:numFmt w:val="bullet"/>
      <w:lvlText w:val="o"/>
      <w:lvlJc w:val="left"/>
      <w:pPr>
        <w:ind w:left="3600" w:hanging="360"/>
      </w:pPr>
      <w:rPr>
        <w:rFonts w:ascii="Courier New" w:hAnsi="Courier New" w:hint="default"/>
      </w:rPr>
    </w:lvl>
    <w:lvl w:ilvl="5" w:tplc="DE142E2E">
      <w:start w:val="1"/>
      <w:numFmt w:val="bullet"/>
      <w:lvlText w:val=""/>
      <w:lvlJc w:val="left"/>
      <w:pPr>
        <w:ind w:left="4320" w:hanging="360"/>
      </w:pPr>
      <w:rPr>
        <w:rFonts w:ascii="Wingdings" w:hAnsi="Wingdings" w:hint="default"/>
      </w:rPr>
    </w:lvl>
    <w:lvl w:ilvl="6" w:tplc="1FEC12EA">
      <w:start w:val="1"/>
      <w:numFmt w:val="bullet"/>
      <w:lvlText w:val=""/>
      <w:lvlJc w:val="left"/>
      <w:pPr>
        <w:ind w:left="5040" w:hanging="360"/>
      </w:pPr>
      <w:rPr>
        <w:rFonts w:ascii="Symbol" w:hAnsi="Symbol" w:hint="default"/>
      </w:rPr>
    </w:lvl>
    <w:lvl w:ilvl="7" w:tplc="10FE5B2A">
      <w:start w:val="1"/>
      <w:numFmt w:val="bullet"/>
      <w:lvlText w:val="o"/>
      <w:lvlJc w:val="left"/>
      <w:pPr>
        <w:ind w:left="5760" w:hanging="360"/>
      </w:pPr>
      <w:rPr>
        <w:rFonts w:ascii="Courier New" w:hAnsi="Courier New" w:hint="default"/>
      </w:rPr>
    </w:lvl>
    <w:lvl w:ilvl="8" w:tplc="F80C7BA0">
      <w:start w:val="1"/>
      <w:numFmt w:val="bullet"/>
      <w:lvlText w:val=""/>
      <w:lvlJc w:val="left"/>
      <w:pPr>
        <w:ind w:left="6480" w:hanging="360"/>
      </w:pPr>
      <w:rPr>
        <w:rFonts w:ascii="Wingdings" w:hAnsi="Wingdings" w:hint="default"/>
      </w:rPr>
    </w:lvl>
  </w:abstractNum>
  <w:abstractNum w:abstractNumId="26" w15:restartNumberingAfterBreak="0">
    <w:nsid w:val="4CBA2F53"/>
    <w:multiLevelType w:val="hybridMultilevel"/>
    <w:tmpl w:val="6054CFCE"/>
    <w:lvl w:ilvl="0" w:tplc="04270001">
      <w:start w:val="1"/>
      <w:numFmt w:val="bullet"/>
      <w:lvlText w:val=""/>
      <w:lvlJc w:val="left"/>
      <w:pPr>
        <w:ind w:left="720" w:hanging="360"/>
      </w:pPr>
      <w:rPr>
        <w:rFonts w:ascii="Symbol" w:hAnsi="Symbol" w:hint="default"/>
      </w:rPr>
    </w:lvl>
    <w:lvl w:ilvl="1" w:tplc="D83C237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D21F11"/>
    <w:multiLevelType w:val="multilevel"/>
    <w:tmpl w:val="126CF93E"/>
    <w:lvl w:ilvl="0">
      <w:start w:val="5"/>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C93252"/>
    <w:multiLevelType w:val="hybridMultilevel"/>
    <w:tmpl w:val="0CE2A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F26F61"/>
    <w:multiLevelType w:val="multilevel"/>
    <w:tmpl w:val="65DAB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AE7117"/>
    <w:multiLevelType w:val="multilevel"/>
    <w:tmpl w:val="79C02486"/>
    <w:lvl w:ilvl="0">
      <w:start w:val="5"/>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1" w15:restartNumberingAfterBreak="0">
    <w:nsid w:val="6B556616"/>
    <w:multiLevelType w:val="multilevel"/>
    <w:tmpl w:val="045A632A"/>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F3211C"/>
    <w:multiLevelType w:val="hybridMultilevel"/>
    <w:tmpl w:val="272E9702"/>
    <w:lvl w:ilvl="0" w:tplc="CEB22B3C">
      <w:start w:val="2029"/>
      <w:numFmt w:val="decimal"/>
      <w:lvlText w:val="(%1"/>
      <w:lvlJc w:val="left"/>
      <w:pPr>
        <w:ind w:left="830" w:hanging="47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076A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2975919">
    <w:abstractNumId w:val="25"/>
  </w:num>
  <w:num w:numId="2" w16cid:durableId="895749721">
    <w:abstractNumId w:val="8"/>
  </w:num>
  <w:num w:numId="3" w16cid:durableId="501437673">
    <w:abstractNumId w:val="18"/>
  </w:num>
  <w:num w:numId="4" w16cid:durableId="141705508">
    <w:abstractNumId w:val="16"/>
  </w:num>
  <w:num w:numId="5" w16cid:durableId="1235778826">
    <w:abstractNumId w:val="4"/>
  </w:num>
  <w:num w:numId="6" w16cid:durableId="1704599755">
    <w:abstractNumId w:val="19"/>
  </w:num>
  <w:num w:numId="7" w16cid:durableId="1519654757">
    <w:abstractNumId w:val="24"/>
  </w:num>
  <w:num w:numId="8" w16cid:durableId="763722859">
    <w:abstractNumId w:val="1"/>
  </w:num>
  <w:num w:numId="9" w16cid:durableId="1009869735">
    <w:abstractNumId w:val="13"/>
  </w:num>
  <w:num w:numId="10" w16cid:durableId="875585890">
    <w:abstractNumId w:val="32"/>
  </w:num>
  <w:num w:numId="11" w16cid:durableId="875431743">
    <w:abstractNumId w:val="20"/>
  </w:num>
  <w:num w:numId="12" w16cid:durableId="1971671975">
    <w:abstractNumId w:val="11"/>
  </w:num>
  <w:num w:numId="13" w16cid:durableId="589629495">
    <w:abstractNumId w:val="6"/>
  </w:num>
  <w:num w:numId="14" w16cid:durableId="2121367043">
    <w:abstractNumId w:val="0"/>
  </w:num>
  <w:num w:numId="15" w16cid:durableId="1987736358">
    <w:abstractNumId w:val="7"/>
  </w:num>
  <w:num w:numId="16" w16cid:durableId="2132242690">
    <w:abstractNumId w:val="2"/>
  </w:num>
  <w:num w:numId="17" w16cid:durableId="483202043">
    <w:abstractNumId w:val="15"/>
  </w:num>
  <w:num w:numId="18" w16cid:durableId="1289626201">
    <w:abstractNumId w:val="27"/>
  </w:num>
  <w:num w:numId="19" w16cid:durableId="1742560080">
    <w:abstractNumId w:val="28"/>
  </w:num>
  <w:num w:numId="20" w16cid:durableId="1126696322">
    <w:abstractNumId w:val="26"/>
  </w:num>
  <w:num w:numId="21" w16cid:durableId="778722809">
    <w:abstractNumId w:val="22"/>
  </w:num>
  <w:num w:numId="22" w16cid:durableId="321126497">
    <w:abstractNumId w:val="31"/>
  </w:num>
  <w:num w:numId="23" w16cid:durableId="1392460011">
    <w:abstractNumId w:val="3"/>
  </w:num>
  <w:num w:numId="24" w16cid:durableId="1300037840">
    <w:abstractNumId w:val="29"/>
  </w:num>
  <w:num w:numId="25" w16cid:durableId="1319384508">
    <w:abstractNumId w:val="17"/>
  </w:num>
  <w:num w:numId="26" w16cid:durableId="1821925764">
    <w:abstractNumId w:val="30"/>
  </w:num>
  <w:num w:numId="27" w16cid:durableId="463891756">
    <w:abstractNumId w:val="14"/>
  </w:num>
  <w:num w:numId="28" w16cid:durableId="460223648">
    <w:abstractNumId w:val="10"/>
  </w:num>
  <w:num w:numId="29" w16cid:durableId="1518227243">
    <w:abstractNumId w:val="9"/>
  </w:num>
  <w:num w:numId="30" w16cid:durableId="1601598664">
    <w:abstractNumId w:val="12"/>
  </w:num>
  <w:num w:numId="31" w16cid:durableId="1551187491">
    <w:abstractNumId w:val="21"/>
  </w:num>
  <w:num w:numId="32" w16cid:durableId="788664480">
    <w:abstractNumId w:val="23"/>
  </w:num>
  <w:num w:numId="33" w16cid:durableId="67653981">
    <w:abstractNumId w:val="5"/>
  </w:num>
  <w:num w:numId="34" w16cid:durableId="15867690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743745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JPN/Zf2joxtwEF0Qa6pVWBHuy35IGGmdFx05b2w4n2HrygppILGIEqUxmB8VZ+LD7wwmtrXX8m9q8oMSLqHIgQ==" w:salt="BWT994EE3IBe0mkdY7+7ug=="/>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070"/>
    <w:rsid w:val="0000354E"/>
    <w:rsid w:val="00005B82"/>
    <w:rsid w:val="000121C4"/>
    <w:rsid w:val="0001223C"/>
    <w:rsid w:val="0001369A"/>
    <w:rsid w:val="0001736B"/>
    <w:rsid w:val="00017699"/>
    <w:rsid w:val="00020774"/>
    <w:rsid w:val="00022D78"/>
    <w:rsid w:val="00023236"/>
    <w:rsid w:val="0002643B"/>
    <w:rsid w:val="00027150"/>
    <w:rsid w:val="00027966"/>
    <w:rsid w:val="0003114A"/>
    <w:rsid w:val="0003530A"/>
    <w:rsid w:val="000377AD"/>
    <w:rsid w:val="00040A38"/>
    <w:rsid w:val="00041E62"/>
    <w:rsid w:val="00041F07"/>
    <w:rsid w:val="000423FB"/>
    <w:rsid w:val="0004338B"/>
    <w:rsid w:val="00043BFD"/>
    <w:rsid w:val="000448A0"/>
    <w:rsid w:val="00045DFA"/>
    <w:rsid w:val="00045F39"/>
    <w:rsid w:val="00050F7F"/>
    <w:rsid w:val="000516FC"/>
    <w:rsid w:val="00055681"/>
    <w:rsid w:val="00055FC7"/>
    <w:rsid w:val="00060191"/>
    <w:rsid w:val="00060278"/>
    <w:rsid w:val="00063C3F"/>
    <w:rsid w:val="00064287"/>
    <w:rsid w:val="00065E97"/>
    <w:rsid w:val="00070A76"/>
    <w:rsid w:val="00070F28"/>
    <w:rsid w:val="000714BE"/>
    <w:rsid w:val="000737FA"/>
    <w:rsid w:val="0007586B"/>
    <w:rsid w:val="00075F61"/>
    <w:rsid w:val="000815FF"/>
    <w:rsid w:val="0008307F"/>
    <w:rsid w:val="00085907"/>
    <w:rsid w:val="00090710"/>
    <w:rsid w:val="00091D20"/>
    <w:rsid w:val="00094094"/>
    <w:rsid w:val="000952B1"/>
    <w:rsid w:val="00095636"/>
    <w:rsid w:val="00095F96"/>
    <w:rsid w:val="00096B0A"/>
    <w:rsid w:val="000A0857"/>
    <w:rsid w:val="000A1A5F"/>
    <w:rsid w:val="000A2C2F"/>
    <w:rsid w:val="000A35B3"/>
    <w:rsid w:val="000A3891"/>
    <w:rsid w:val="000A5879"/>
    <w:rsid w:val="000B0670"/>
    <w:rsid w:val="000B1466"/>
    <w:rsid w:val="000B2B75"/>
    <w:rsid w:val="000B418A"/>
    <w:rsid w:val="000B44F8"/>
    <w:rsid w:val="000B4851"/>
    <w:rsid w:val="000B4F8D"/>
    <w:rsid w:val="000B6FE0"/>
    <w:rsid w:val="000B73E7"/>
    <w:rsid w:val="000C02E0"/>
    <w:rsid w:val="000C076B"/>
    <w:rsid w:val="000C0C20"/>
    <w:rsid w:val="000C122C"/>
    <w:rsid w:val="000C2A41"/>
    <w:rsid w:val="000C331A"/>
    <w:rsid w:val="000C469E"/>
    <w:rsid w:val="000C5A21"/>
    <w:rsid w:val="000C5F0E"/>
    <w:rsid w:val="000C6637"/>
    <w:rsid w:val="000C768D"/>
    <w:rsid w:val="000D1630"/>
    <w:rsid w:val="000D2F10"/>
    <w:rsid w:val="000D3FD9"/>
    <w:rsid w:val="000D5B5E"/>
    <w:rsid w:val="000D661A"/>
    <w:rsid w:val="000D7B9C"/>
    <w:rsid w:val="000E1590"/>
    <w:rsid w:val="000E1D83"/>
    <w:rsid w:val="000E2B04"/>
    <w:rsid w:val="000F085B"/>
    <w:rsid w:val="000F2197"/>
    <w:rsid w:val="000F2B80"/>
    <w:rsid w:val="000F30BB"/>
    <w:rsid w:val="000F4E1C"/>
    <w:rsid w:val="000F604F"/>
    <w:rsid w:val="000F6EEF"/>
    <w:rsid w:val="00104189"/>
    <w:rsid w:val="001056EE"/>
    <w:rsid w:val="001061B8"/>
    <w:rsid w:val="00107BC6"/>
    <w:rsid w:val="00111A5B"/>
    <w:rsid w:val="00114672"/>
    <w:rsid w:val="00120187"/>
    <w:rsid w:val="00120AD8"/>
    <w:rsid w:val="00121074"/>
    <w:rsid w:val="00121F78"/>
    <w:rsid w:val="00123052"/>
    <w:rsid w:val="00126045"/>
    <w:rsid w:val="0012744B"/>
    <w:rsid w:val="00132795"/>
    <w:rsid w:val="001329CF"/>
    <w:rsid w:val="00133C9B"/>
    <w:rsid w:val="001345BB"/>
    <w:rsid w:val="00134EBF"/>
    <w:rsid w:val="00135D38"/>
    <w:rsid w:val="00137DAD"/>
    <w:rsid w:val="0014131F"/>
    <w:rsid w:val="00142062"/>
    <w:rsid w:val="00143AA7"/>
    <w:rsid w:val="00144642"/>
    <w:rsid w:val="00146154"/>
    <w:rsid w:val="00146B2A"/>
    <w:rsid w:val="001475C2"/>
    <w:rsid w:val="00151BAB"/>
    <w:rsid w:val="00155982"/>
    <w:rsid w:val="00157B01"/>
    <w:rsid w:val="00157D4C"/>
    <w:rsid w:val="001606EA"/>
    <w:rsid w:val="001607CB"/>
    <w:rsid w:val="00161307"/>
    <w:rsid w:val="00162DC4"/>
    <w:rsid w:val="00164AB2"/>
    <w:rsid w:val="00165403"/>
    <w:rsid w:val="0016727B"/>
    <w:rsid w:val="001806A1"/>
    <w:rsid w:val="00180787"/>
    <w:rsid w:val="00181134"/>
    <w:rsid w:val="001815E0"/>
    <w:rsid w:val="001842AF"/>
    <w:rsid w:val="00185724"/>
    <w:rsid w:val="00191258"/>
    <w:rsid w:val="001941D2"/>
    <w:rsid w:val="00194C50"/>
    <w:rsid w:val="00196882"/>
    <w:rsid w:val="0019774C"/>
    <w:rsid w:val="001A0439"/>
    <w:rsid w:val="001A0E52"/>
    <w:rsid w:val="001A14D0"/>
    <w:rsid w:val="001A1E90"/>
    <w:rsid w:val="001A2470"/>
    <w:rsid w:val="001A49EB"/>
    <w:rsid w:val="001A6ED3"/>
    <w:rsid w:val="001A7660"/>
    <w:rsid w:val="001B0464"/>
    <w:rsid w:val="001B0BDE"/>
    <w:rsid w:val="001B2847"/>
    <w:rsid w:val="001B378A"/>
    <w:rsid w:val="001B4743"/>
    <w:rsid w:val="001B59C8"/>
    <w:rsid w:val="001B6363"/>
    <w:rsid w:val="001C0776"/>
    <w:rsid w:val="001C52FC"/>
    <w:rsid w:val="001D2025"/>
    <w:rsid w:val="001D2917"/>
    <w:rsid w:val="001D4365"/>
    <w:rsid w:val="001D4DB3"/>
    <w:rsid w:val="001D638A"/>
    <w:rsid w:val="001D7192"/>
    <w:rsid w:val="001E298C"/>
    <w:rsid w:val="001E2A3A"/>
    <w:rsid w:val="001E2F7B"/>
    <w:rsid w:val="001E37DF"/>
    <w:rsid w:val="001E66C9"/>
    <w:rsid w:val="001E7D3B"/>
    <w:rsid w:val="001F1429"/>
    <w:rsid w:val="001F39D7"/>
    <w:rsid w:val="001F470B"/>
    <w:rsid w:val="001F7EC3"/>
    <w:rsid w:val="002011A6"/>
    <w:rsid w:val="00204FC0"/>
    <w:rsid w:val="0020554D"/>
    <w:rsid w:val="002064AE"/>
    <w:rsid w:val="00207294"/>
    <w:rsid w:val="00207FD1"/>
    <w:rsid w:val="00210611"/>
    <w:rsid w:val="002143AF"/>
    <w:rsid w:val="0021554B"/>
    <w:rsid w:val="002165DD"/>
    <w:rsid w:val="00216C39"/>
    <w:rsid w:val="0022013E"/>
    <w:rsid w:val="0022120D"/>
    <w:rsid w:val="002213A1"/>
    <w:rsid w:val="00224E6A"/>
    <w:rsid w:val="00225DB3"/>
    <w:rsid w:val="00226AEA"/>
    <w:rsid w:val="0022768A"/>
    <w:rsid w:val="002315F0"/>
    <w:rsid w:val="00233094"/>
    <w:rsid w:val="002330D4"/>
    <w:rsid w:val="002338B4"/>
    <w:rsid w:val="00235A22"/>
    <w:rsid w:val="002372F6"/>
    <w:rsid w:val="0024054A"/>
    <w:rsid w:val="002422AE"/>
    <w:rsid w:val="002427FC"/>
    <w:rsid w:val="00243C89"/>
    <w:rsid w:val="00243D19"/>
    <w:rsid w:val="00245714"/>
    <w:rsid w:val="002521F0"/>
    <w:rsid w:val="00253511"/>
    <w:rsid w:val="002543C7"/>
    <w:rsid w:val="00260CCF"/>
    <w:rsid w:val="00262BF3"/>
    <w:rsid w:val="00271019"/>
    <w:rsid w:val="00273FBD"/>
    <w:rsid w:val="00281C50"/>
    <w:rsid w:val="00286DB1"/>
    <w:rsid w:val="00290D4A"/>
    <w:rsid w:val="00291006"/>
    <w:rsid w:val="0029680E"/>
    <w:rsid w:val="00297386"/>
    <w:rsid w:val="002A6E86"/>
    <w:rsid w:val="002A7593"/>
    <w:rsid w:val="002B15DA"/>
    <w:rsid w:val="002B1723"/>
    <w:rsid w:val="002B2850"/>
    <w:rsid w:val="002B55C9"/>
    <w:rsid w:val="002B5DA7"/>
    <w:rsid w:val="002B604C"/>
    <w:rsid w:val="002B72D4"/>
    <w:rsid w:val="002B7892"/>
    <w:rsid w:val="002B7913"/>
    <w:rsid w:val="002B7D5D"/>
    <w:rsid w:val="002B7FA4"/>
    <w:rsid w:val="002C120D"/>
    <w:rsid w:val="002C17FE"/>
    <w:rsid w:val="002C25DE"/>
    <w:rsid w:val="002C396B"/>
    <w:rsid w:val="002C3D69"/>
    <w:rsid w:val="002C6F24"/>
    <w:rsid w:val="002C77FE"/>
    <w:rsid w:val="002D01B8"/>
    <w:rsid w:val="002D2AB8"/>
    <w:rsid w:val="002D3942"/>
    <w:rsid w:val="002E1977"/>
    <w:rsid w:val="002E2B83"/>
    <w:rsid w:val="002E3B80"/>
    <w:rsid w:val="002E66EB"/>
    <w:rsid w:val="002F094B"/>
    <w:rsid w:val="002F32F2"/>
    <w:rsid w:val="002F3F7E"/>
    <w:rsid w:val="002F49B7"/>
    <w:rsid w:val="002F72FF"/>
    <w:rsid w:val="002F7B9A"/>
    <w:rsid w:val="003005F8"/>
    <w:rsid w:val="00300884"/>
    <w:rsid w:val="003026C7"/>
    <w:rsid w:val="00310C2C"/>
    <w:rsid w:val="0031526B"/>
    <w:rsid w:val="00315787"/>
    <w:rsid w:val="0031617B"/>
    <w:rsid w:val="00316D89"/>
    <w:rsid w:val="00321BCE"/>
    <w:rsid w:val="00321C35"/>
    <w:rsid w:val="003227D5"/>
    <w:rsid w:val="003248FD"/>
    <w:rsid w:val="003277DD"/>
    <w:rsid w:val="00331B83"/>
    <w:rsid w:val="00332EC0"/>
    <w:rsid w:val="00332F4D"/>
    <w:rsid w:val="003346D1"/>
    <w:rsid w:val="00334908"/>
    <w:rsid w:val="0033547F"/>
    <w:rsid w:val="003355AE"/>
    <w:rsid w:val="00335DA8"/>
    <w:rsid w:val="0033784A"/>
    <w:rsid w:val="0034002D"/>
    <w:rsid w:val="00341975"/>
    <w:rsid w:val="00344245"/>
    <w:rsid w:val="00344764"/>
    <w:rsid w:val="00345C2C"/>
    <w:rsid w:val="00351C9B"/>
    <w:rsid w:val="0035361D"/>
    <w:rsid w:val="003568A4"/>
    <w:rsid w:val="0035769F"/>
    <w:rsid w:val="00360A11"/>
    <w:rsid w:val="00361DCA"/>
    <w:rsid w:val="00362EBC"/>
    <w:rsid w:val="0036351D"/>
    <w:rsid w:val="00364B82"/>
    <w:rsid w:val="0036616A"/>
    <w:rsid w:val="00367066"/>
    <w:rsid w:val="003726AA"/>
    <w:rsid w:val="003732DB"/>
    <w:rsid w:val="003748E5"/>
    <w:rsid w:val="0037532F"/>
    <w:rsid w:val="00377F14"/>
    <w:rsid w:val="00380D39"/>
    <w:rsid w:val="0038132B"/>
    <w:rsid w:val="003820EE"/>
    <w:rsid w:val="0038347F"/>
    <w:rsid w:val="003851F4"/>
    <w:rsid w:val="00385611"/>
    <w:rsid w:val="00385980"/>
    <w:rsid w:val="00385DAA"/>
    <w:rsid w:val="00387211"/>
    <w:rsid w:val="00394F61"/>
    <w:rsid w:val="003A037D"/>
    <w:rsid w:val="003A15BF"/>
    <w:rsid w:val="003A5DA5"/>
    <w:rsid w:val="003B1097"/>
    <w:rsid w:val="003B2B02"/>
    <w:rsid w:val="003B2B9B"/>
    <w:rsid w:val="003B2C78"/>
    <w:rsid w:val="003B60AD"/>
    <w:rsid w:val="003B6419"/>
    <w:rsid w:val="003C0A30"/>
    <w:rsid w:val="003C20FD"/>
    <w:rsid w:val="003C3362"/>
    <w:rsid w:val="003C48A3"/>
    <w:rsid w:val="003C4C0D"/>
    <w:rsid w:val="003C5506"/>
    <w:rsid w:val="003C6C92"/>
    <w:rsid w:val="003C776C"/>
    <w:rsid w:val="003D01A3"/>
    <w:rsid w:val="003D18BE"/>
    <w:rsid w:val="003D3D25"/>
    <w:rsid w:val="003D416C"/>
    <w:rsid w:val="003D66D7"/>
    <w:rsid w:val="003E00F2"/>
    <w:rsid w:val="003E0618"/>
    <w:rsid w:val="003E1320"/>
    <w:rsid w:val="003E5556"/>
    <w:rsid w:val="003E55A8"/>
    <w:rsid w:val="003E6475"/>
    <w:rsid w:val="003E7105"/>
    <w:rsid w:val="003F050E"/>
    <w:rsid w:val="003F28BA"/>
    <w:rsid w:val="003F7280"/>
    <w:rsid w:val="0040517B"/>
    <w:rsid w:val="00405252"/>
    <w:rsid w:val="0040525E"/>
    <w:rsid w:val="0040526E"/>
    <w:rsid w:val="00405C29"/>
    <w:rsid w:val="004068FF"/>
    <w:rsid w:val="00412059"/>
    <w:rsid w:val="00414DE4"/>
    <w:rsid w:val="00416F3B"/>
    <w:rsid w:val="00417F82"/>
    <w:rsid w:val="004203ED"/>
    <w:rsid w:val="004220F2"/>
    <w:rsid w:val="00422F03"/>
    <w:rsid w:val="0042336F"/>
    <w:rsid w:val="00423858"/>
    <w:rsid w:val="0042680D"/>
    <w:rsid w:val="0042687A"/>
    <w:rsid w:val="00430628"/>
    <w:rsid w:val="0043208E"/>
    <w:rsid w:val="00432830"/>
    <w:rsid w:val="00434B11"/>
    <w:rsid w:val="00434E35"/>
    <w:rsid w:val="00435215"/>
    <w:rsid w:val="00440215"/>
    <w:rsid w:val="004403B9"/>
    <w:rsid w:val="004513C0"/>
    <w:rsid w:val="00451493"/>
    <w:rsid w:val="00455217"/>
    <w:rsid w:val="004566FB"/>
    <w:rsid w:val="0045673A"/>
    <w:rsid w:val="004631F5"/>
    <w:rsid w:val="0047083D"/>
    <w:rsid w:val="0047096A"/>
    <w:rsid w:val="0047289C"/>
    <w:rsid w:val="0047381D"/>
    <w:rsid w:val="00475280"/>
    <w:rsid w:val="00476781"/>
    <w:rsid w:val="00477843"/>
    <w:rsid w:val="00477FA0"/>
    <w:rsid w:val="00483997"/>
    <w:rsid w:val="00484459"/>
    <w:rsid w:val="00486C32"/>
    <w:rsid w:val="00487C28"/>
    <w:rsid w:val="004900E6"/>
    <w:rsid w:val="0049029A"/>
    <w:rsid w:val="0049188F"/>
    <w:rsid w:val="004928FC"/>
    <w:rsid w:val="00495ECE"/>
    <w:rsid w:val="00497C69"/>
    <w:rsid w:val="004A470D"/>
    <w:rsid w:val="004A628A"/>
    <w:rsid w:val="004B131A"/>
    <w:rsid w:val="004B793E"/>
    <w:rsid w:val="004C098F"/>
    <w:rsid w:val="004D2A6D"/>
    <w:rsid w:val="004D3778"/>
    <w:rsid w:val="004D6B4F"/>
    <w:rsid w:val="004D6FC8"/>
    <w:rsid w:val="004E07B9"/>
    <w:rsid w:val="004E1035"/>
    <w:rsid w:val="004E1047"/>
    <w:rsid w:val="004E5939"/>
    <w:rsid w:val="004F1953"/>
    <w:rsid w:val="004F238B"/>
    <w:rsid w:val="004F2C6F"/>
    <w:rsid w:val="004F4766"/>
    <w:rsid w:val="004F6480"/>
    <w:rsid w:val="00501957"/>
    <w:rsid w:val="0050224B"/>
    <w:rsid w:val="0050397E"/>
    <w:rsid w:val="00503EC1"/>
    <w:rsid w:val="005044DE"/>
    <w:rsid w:val="00505322"/>
    <w:rsid w:val="005060BA"/>
    <w:rsid w:val="005065D9"/>
    <w:rsid w:val="00506F03"/>
    <w:rsid w:val="00510DF3"/>
    <w:rsid w:val="00512E5B"/>
    <w:rsid w:val="00517586"/>
    <w:rsid w:val="00517C5F"/>
    <w:rsid w:val="0052181B"/>
    <w:rsid w:val="00522C0D"/>
    <w:rsid w:val="00522E5B"/>
    <w:rsid w:val="005231B8"/>
    <w:rsid w:val="00524895"/>
    <w:rsid w:val="00530BE3"/>
    <w:rsid w:val="00531522"/>
    <w:rsid w:val="00533629"/>
    <w:rsid w:val="00534159"/>
    <w:rsid w:val="0054112B"/>
    <w:rsid w:val="00541AAF"/>
    <w:rsid w:val="005436D1"/>
    <w:rsid w:val="00543871"/>
    <w:rsid w:val="00543E5E"/>
    <w:rsid w:val="00543E75"/>
    <w:rsid w:val="005448CE"/>
    <w:rsid w:val="00545780"/>
    <w:rsid w:val="00545922"/>
    <w:rsid w:val="00547AB2"/>
    <w:rsid w:val="005528D5"/>
    <w:rsid w:val="005538FE"/>
    <w:rsid w:val="00554887"/>
    <w:rsid w:val="0055565F"/>
    <w:rsid w:val="00555CE5"/>
    <w:rsid w:val="0055634C"/>
    <w:rsid w:val="00576813"/>
    <w:rsid w:val="00576D70"/>
    <w:rsid w:val="005870E0"/>
    <w:rsid w:val="00592440"/>
    <w:rsid w:val="005929B3"/>
    <w:rsid w:val="0059353D"/>
    <w:rsid w:val="00594D12"/>
    <w:rsid w:val="00596DD9"/>
    <w:rsid w:val="0059759B"/>
    <w:rsid w:val="005A1C2F"/>
    <w:rsid w:val="005A2BF4"/>
    <w:rsid w:val="005A49D2"/>
    <w:rsid w:val="005A6174"/>
    <w:rsid w:val="005A677E"/>
    <w:rsid w:val="005A6B7E"/>
    <w:rsid w:val="005B07F7"/>
    <w:rsid w:val="005B3A54"/>
    <w:rsid w:val="005B5561"/>
    <w:rsid w:val="005B61D8"/>
    <w:rsid w:val="005B7632"/>
    <w:rsid w:val="005C0B73"/>
    <w:rsid w:val="005C22FB"/>
    <w:rsid w:val="005C31E1"/>
    <w:rsid w:val="005C3D03"/>
    <w:rsid w:val="005C48BD"/>
    <w:rsid w:val="005C4C15"/>
    <w:rsid w:val="005C6748"/>
    <w:rsid w:val="005C6CEC"/>
    <w:rsid w:val="005C79D6"/>
    <w:rsid w:val="005D141A"/>
    <w:rsid w:val="005D151C"/>
    <w:rsid w:val="005D2867"/>
    <w:rsid w:val="005D3F63"/>
    <w:rsid w:val="005D440A"/>
    <w:rsid w:val="005D64BF"/>
    <w:rsid w:val="005D6C5B"/>
    <w:rsid w:val="005E1F08"/>
    <w:rsid w:val="005E1F12"/>
    <w:rsid w:val="005E6B06"/>
    <w:rsid w:val="005E6DF2"/>
    <w:rsid w:val="005F263E"/>
    <w:rsid w:val="005F3BDF"/>
    <w:rsid w:val="005F5DE7"/>
    <w:rsid w:val="005F6FC7"/>
    <w:rsid w:val="005F7C83"/>
    <w:rsid w:val="006010DA"/>
    <w:rsid w:val="0060234B"/>
    <w:rsid w:val="006035EC"/>
    <w:rsid w:val="00604E06"/>
    <w:rsid w:val="00604FD6"/>
    <w:rsid w:val="0060625C"/>
    <w:rsid w:val="00606925"/>
    <w:rsid w:val="00617184"/>
    <w:rsid w:val="0062258B"/>
    <w:rsid w:val="006243CB"/>
    <w:rsid w:val="00630324"/>
    <w:rsid w:val="006303F7"/>
    <w:rsid w:val="00632570"/>
    <w:rsid w:val="00632F0A"/>
    <w:rsid w:val="00633636"/>
    <w:rsid w:val="006349FE"/>
    <w:rsid w:val="00634D10"/>
    <w:rsid w:val="00635834"/>
    <w:rsid w:val="00635F04"/>
    <w:rsid w:val="006368AB"/>
    <w:rsid w:val="00636EC8"/>
    <w:rsid w:val="00637359"/>
    <w:rsid w:val="006416E8"/>
    <w:rsid w:val="00641BF3"/>
    <w:rsid w:val="00641E7C"/>
    <w:rsid w:val="00641EB9"/>
    <w:rsid w:val="00643997"/>
    <w:rsid w:val="00644B4D"/>
    <w:rsid w:val="006454A3"/>
    <w:rsid w:val="006460C0"/>
    <w:rsid w:val="00646589"/>
    <w:rsid w:val="00646E6F"/>
    <w:rsid w:val="00647BCB"/>
    <w:rsid w:val="00651D65"/>
    <w:rsid w:val="006526FC"/>
    <w:rsid w:val="006528A8"/>
    <w:rsid w:val="00653709"/>
    <w:rsid w:val="00654DE5"/>
    <w:rsid w:val="006653AF"/>
    <w:rsid w:val="00665C5E"/>
    <w:rsid w:val="00667092"/>
    <w:rsid w:val="0066712F"/>
    <w:rsid w:val="006675AC"/>
    <w:rsid w:val="006712FF"/>
    <w:rsid w:val="00671D7F"/>
    <w:rsid w:val="00673F9F"/>
    <w:rsid w:val="006746AF"/>
    <w:rsid w:val="00674C91"/>
    <w:rsid w:val="00677299"/>
    <w:rsid w:val="0067775F"/>
    <w:rsid w:val="00684708"/>
    <w:rsid w:val="0068479F"/>
    <w:rsid w:val="00686C84"/>
    <w:rsid w:val="0068729B"/>
    <w:rsid w:val="006908DA"/>
    <w:rsid w:val="006926F8"/>
    <w:rsid w:val="006943B3"/>
    <w:rsid w:val="00695ADE"/>
    <w:rsid w:val="00696644"/>
    <w:rsid w:val="006A156F"/>
    <w:rsid w:val="006A1FCE"/>
    <w:rsid w:val="006A476C"/>
    <w:rsid w:val="006A5F63"/>
    <w:rsid w:val="006B01FD"/>
    <w:rsid w:val="006B3786"/>
    <w:rsid w:val="006B4291"/>
    <w:rsid w:val="006B470D"/>
    <w:rsid w:val="006B5085"/>
    <w:rsid w:val="006B6E8F"/>
    <w:rsid w:val="006B7AC8"/>
    <w:rsid w:val="006C041C"/>
    <w:rsid w:val="006C1398"/>
    <w:rsid w:val="006C37A1"/>
    <w:rsid w:val="006C3B04"/>
    <w:rsid w:val="006C417E"/>
    <w:rsid w:val="006D2BCB"/>
    <w:rsid w:val="006D3ACC"/>
    <w:rsid w:val="006D505F"/>
    <w:rsid w:val="006D56C5"/>
    <w:rsid w:val="006D6B2D"/>
    <w:rsid w:val="006E20AC"/>
    <w:rsid w:val="006E5BE7"/>
    <w:rsid w:val="006E6109"/>
    <w:rsid w:val="006F181C"/>
    <w:rsid w:val="006F4AF0"/>
    <w:rsid w:val="006F4BD7"/>
    <w:rsid w:val="006F4CC8"/>
    <w:rsid w:val="006F5A92"/>
    <w:rsid w:val="006F7FBC"/>
    <w:rsid w:val="00702FCE"/>
    <w:rsid w:val="00704CD2"/>
    <w:rsid w:val="00705264"/>
    <w:rsid w:val="007052C5"/>
    <w:rsid w:val="00712118"/>
    <w:rsid w:val="00712638"/>
    <w:rsid w:val="007132A0"/>
    <w:rsid w:val="00713FF9"/>
    <w:rsid w:val="00722180"/>
    <w:rsid w:val="00723377"/>
    <w:rsid w:val="007270B9"/>
    <w:rsid w:val="00727FBB"/>
    <w:rsid w:val="00730EE1"/>
    <w:rsid w:val="00731DDF"/>
    <w:rsid w:val="007375D0"/>
    <w:rsid w:val="00740701"/>
    <w:rsid w:val="00742822"/>
    <w:rsid w:val="00743AAD"/>
    <w:rsid w:val="00744498"/>
    <w:rsid w:val="00744C9D"/>
    <w:rsid w:val="00746D1D"/>
    <w:rsid w:val="00750A36"/>
    <w:rsid w:val="00750AEF"/>
    <w:rsid w:val="007510FE"/>
    <w:rsid w:val="007514E4"/>
    <w:rsid w:val="007539C5"/>
    <w:rsid w:val="007558AF"/>
    <w:rsid w:val="00756B33"/>
    <w:rsid w:val="00757679"/>
    <w:rsid w:val="007579B7"/>
    <w:rsid w:val="007627F7"/>
    <w:rsid w:val="0076303E"/>
    <w:rsid w:val="00763A27"/>
    <w:rsid w:val="007668CD"/>
    <w:rsid w:val="00766F86"/>
    <w:rsid w:val="00772D6B"/>
    <w:rsid w:val="007731D6"/>
    <w:rsid w:val="007756C0"/>
    <w:rsid w:val="00776B63"/>
    <w:rsid w:val="007812C8"/>
    <w:rsid w:val="007812F9"/>
    <w:rsid w:val="00784043"/>
    <w:rsid w:val="00784178"/>
    <w:rsid w:val="00784D1A"/>
    <w:rsid w:val="00786ED5"/>
    <w:rsid w:val="0079129F"/>
    <w:rsid w:val="00796936"/>
    <w:rsid w:val="00796F27"/>
    <w:rsid w:val="0079755B"/>
    <w:rsid w:val="00797F15"/>
    <w:rsid w:val="007A25D1"/>
    <w:rsid w:val="007A27A2"/>
    <w:rsid w:val="007A3CA8"/>
    <w:rsid w:val="007A4D89"/>
    <w:rsid w:val="007A7B03"/>
    <w:rsid w:val="007A7EC5"/>
    <w:rsid w:val="007B2C30"/>
    <w:rsid w:val="007B4560"/>
    <w:rsid w:val="007B63C9"/>
    <w:rsid w:val="007B70B0"/>
    <w:rsid w:val="007B7E79"/>
    <w:rsid w:val="007C0A1F"/>
    <w:rsid w:val="007C0F88"/>
    <w:rsid w:val="007C5A28"/>
    <w:rsid w:val="007C6103"/>
    <w:rsid w:val="007C6732"/>
    <w:rsid w:val="007C6E6E"/>
    <w:rsid w:val="007D0B4E"/>
    <w:rsid w:val="007D4DF8"/>
    <w:rsid w:val="007E0AA5"/>
    <w:rsid w:val="007E0D24"/>
    <w:rsid w:val="007E3D98"/>
    <w:rsid w:val="007E4367"/>
    <w:rsid w:val="007E4EFF"/>
    <w:rsid w:val="007E610A"/>
    <w:rsid w:val="007F03D0"/>
    <w:rsid w:val="007F0C14"/>
    <w:rsid w:val="007F378A"/>
    <w:rsid w:val="007F5150"/>
    <w:rsid w:val="007F7D5C"/>
    <w:rsid w:val="00800F1D"/>
    <w:rsid w:val="00801C6D"/>
    <w:rsid w:val="00802F21"/>
    <w:rsid w:val="00803289"/>
    <w:rsid w:val="008057B2"/>
    <w:rsid w:val="00807A48"/>
    <w:rsid w:val="00813B37"/>
    <w:rsid w:val="00814432"/>
    <w:rsid w:val="00815B52"/>
    <w:rsid w:val="00815C41"/>
    <w:rsid w:val="008161CB"/>
    <w:rsid w:val="008212A3"/>
    <w:rsid w:val="008214C7"/>
    <w:rsid w:val="008225CC"/>
    <w:rsid w:val="008258E1"/>
    <w:rsid w:val="00827E29"/>
    <w:rsid w:val="00831B27"/>
    <w:rsid w:val="00831EEF"/>
    <w:rsid w:val="008347E4"/>
    <w:rsid w:val="00834BD8"/>
    <w:rsid w:val="0083509A"/>
    <w:rsid w:val="00843FB5"/>
    <w:rsid w:val="00845665"/>
    <w:rsid w:val="0085179F"/>
    <w:rsid w:val="00856023"/>
    <w:rsid w:val="00856BA9"/>
    <w:rsid w:val="00856FE0"/>
    <w:rsid w:val="008605E0"/>
    <w:rsid w:val="008642AE"/>
    <w:rsid w:val="008646A9"/>
    <w:rsid w:val="00864A70"/>
    <w:rsid w:val="00865BE9"/>
    <w:rsid w:val="00866FFC"/>
    <w:rsid w:val="00867082"/>
    <w:rsid w:val="00872526"/>
    <w:rsid w:val="0087331F"/>
    <w:rsid w:val="00883374"/>
    <w:rsid w:val="00883C53"/>
    <w:rsid w:val="00883C74"/>
    <w:rsid w:val="00886A38"/>
    <w:rsid w:val="00886D44"/>
    <w:rsid w:val="00895FF0"/>
    <w:rsid w:val="008A094B"/>
    <w:rsid w:val="008A3104"/>
    <w:rsid w:val="008A33E6"/>
    <w:rsid w:val="008A6548"/>
    <w:rsid w:val="008A67A0"/>
    <w:rsid w:val="008B0E87"/>
    <w:rsid w:val="008B2FA0"/>
    <w:rsid w:val="008B657B"/>
    <w:rsid w:val="008B68AB"/>
    <w:rsid w:val="008C16CE"/>
    <w:rsid w:val="008C2C00"/>
    <w:rsid w:val="008C3EA7"/>
    <w:rsid w:val="008C436C"/>
    <w:rsid w:val="008D03BD"/>
    <w:rsid w:val="008D26CB"/>
    <w:rsid w:val="008D3F46"/>
    <w:rsid w:val="008D3F8E"/>
    <w:rsid w:val="008D634C"/>
    <w:rsid w:val="008D6598"/>
    <w:rsid w:val="008F132E"/>
    <w:rsid w:val="008F1D7D"/>
    <w:rsid w:val="008F373F"/>
    <w:rsid w:val="008F3D06"/>
    <w:rsid w:val="008F647C"/>
    <w:rsid w:val="00903601"/>
    <w:rsid w:val="00904BF0"/>
    <w:rsid w:val="009108E4"/>
    <w:rsid w:val="00910DEF"/>
    <w:rsid w:val="00911A61"/>
    <w:rsid w:val="009122D7"/>
    <w:rsid w:val="0091230C"/>
    <w:rsid w:val="00913925"/>
    <w:rsid w:val="00913E4D"/>
    <w:rsid w:val="0091408F"/>
    <w:rsid w:val="0091464C"/>
    <w:rsid w:val="009165AD"/>
    <w:rsid w:val="00917CD4"/>
    <w:rsid w:val="009224CB"/>
    <w:rsid w:val="00923A7F"/>
    <w:rsid w:val="00924563"/>
    <w:rsid w:val="00925273"/>
    <w:rsid w:val="00930AE7"/>
    <w:rsid w:val="00932013"/>
    <w:rsid w:val="009325F1"/>
    <w:rsid w:val="00934969"/>
    <w:rsid w:val="009349D9"/>
    <w:rsid w:val="0093536C"/>
    <w:rsid w:val="00940236"/>
    <w:rsid w:val="00946870"/>
    <w:rsid w:val="00946953"/>
    <w:rsid w:val="00946D42"/>
    <w:rsid w:val="00950FB4"/>
    <w:rsid w:val="009522F9"/>
    <w:rsid w:val="0095323C"/>
    <w:rsid w:val="0095439B"/>
    <w:rsid w:val="009549DF"/>
    <w:rsid w:val="0095554F"/>
    <w:rsid w:val="00955C01"/>
    <w:rsid w:val="00956276"/>
    <w:rsid w:val="009577A8"/>
    <w:rsid w:val="00961A82"/>
    <w:rsid w:val="00962B42"/>
    <w:rsid w:val="009637FA"/>
    <w:rsid w:val="00965C85"/>
    <w:rsid w:val="009674D1"/>
    <w:rsid w:val="009718D2"/>
    <w:rsid w:val="00971E6D"/>
    <w:rsid w:val="00972FC6"/>
    <w:rsid w:val="00973005"/>
    <w:rsid w:val="00973BAD"/>
    <w:rsid w:val="00974D16"/>
    <w:rsid w:val="00974E20"/>
    <w:rsid w:val="009818BA"/>
    <w:rsid w:val="00983763"/>
    <w:rsid w:val="0098567A"/>
    <w:rsid w:val="00986BA2"/>
    <w:rsid w:val="00987308"/>
    <w:rsid w:val="0099070E"/>
    <w:rsid w:val="00990BA8"/>
    <w:rsid w:val="00992A9E"/>
    <w:rsid w:val="00994C4C"/>
    <w:rsid w:val="009979D4"/>
    <w:rsid w:val="009A075F"/>
    <w:rsid w:val="009A089E"/>
    <w:rsid w:val="009A1FC3"/>
    <w:rsid w:val="009A3097"/>
    <w:rsid w:val="009A4257"/>
    <w:rsid w:val="009A4780"/>
    <w:rsid w:val="009A50DA"/>
    <w:rsid w:val="009A7678"/>
    <w:rsid w:val="009B107E"/>
    <w:rsid w:val="009B48F7"/>
    <w:rsid w:val="009B4BEA"/>
    <w:rsid w:val="009B53F9"/>
    <w:rsid w:val="009B5720"/>
    <w:rsid w:val="009B5D77"/>
    <w:rsid w:val="009B6072"/>
    <w:rsid w:val="009C0B12"/>
    <w:rsid w:val="009C0CEB"/>
    <w:rsid w:val="009C0FFD"/>
    <w:rsid w:val="009C1211"/>
    <w:rsid w:val="009C22EF"/>
    <w:rsid w:val="009C6DCA"/>
    <w:rsid w:val="009C6F12"/>
    <w:rsid w:val="009D037B"/>
    <w:rsid w:val="009D07C7"/>
    <w:rsid w:val="009D096C"/>
    <w:rsid w:val="009D0E72"/>
    <w:rsid w:val="009D126E"/>
    <w:rsid w:val="009D3180"/>
    <w:rsid w:val="009D596A"/>
    <w:rsid w:val="009D62F5"/>
    <w:rsid w:val="009D7858"/>
    <w:rsid w:val="009E0503"/>
    <w:rsid w:val="009E14BE"/>
    <w:rsid w:val="009E365C"/>
    <w:rsid w:val="009E47B7"/>
    <w:rsid w:val="009E5707"/>
    <w:rsid w:val="009E5F9B"/>
    <w:rsid w:val="009F05B3"/>
    <w:rsid w:val="009F0CA1"/>
    <w:rsid w:val="009F0F9E"/>
    <w:rsid w:val="009F3493"/>
    <w:rsid w:val="009F4A42"/>
    <w:rsid w:val="009F65DF"/>
    <w:rsid w:val="00A009E3"/>
    <w:rsid w:val="00A00DDE"/>
    <w:rsid w:val="00A05D9F"/>
    <w:rsid w:val="00A06C18"/>
    <w:rsid w:val="00A06D95"/>
    <w:rsid w:val="00A0762E"/>
    <w:rsid w:val="00A160E3"/>
    <w:rsid w:val="00A223FD"/>
    <w:rsid w:val="00A22D80"/>
    <w:rsid w:val="00A230BD"/>
    <w:rsid w:val="00A24598"/>
    <w:rsid w:val="00A24D7E"/>
    <w:rsid w:val="00A325AA"/>
    <w:rsid w:val="00A332A3"/>
    <w:rsid w:val="00A347C0"/>
    <w:rsid w:val="00A361B0"/>
    <w:rsid w:val="00A42F3C"/>
    <w:rsid w:val="00A43387"/>
    <w:rsid w:val="00A4546B"/>
    <w:rsid w:val="00A464A0"/>
    <w:rsid w:val="00A5233D"/>
    <w:rsid w:val="00A52AC9"/>
    <w:rsid w:val="00A548A8"/>
    <w:rsid w:val="00A548DE"/>
    <w:rsid w:val="00A5563B"/>
    <w:rsid w:val="00A55655"/>
    <w:rsid w:val="00A57BD0"/>
    <w:rsid w:val="00A639C4"/>
    <w:rsid w:val="00A65776"/>
    <w:rsid w:val="00A658F5"/>
    <w:rsid w:val="00A706CC"/>
    <w:rsid w:val="00A71333"/>
    <w:rsid w:val="00A71C88"/>
    <w:rsid w:val="00A72AC0"/>
    <w:rsid w:val="00A734D5"/>
    <w:rsid w:val="00A7525B"/>
    <w:rsid w:val="00A75406"/>
    <w:rsid w:val="00A8203D"/>
    <w:rsid w:val="00A82396"/>
    <w:rsid w:val="00A82789"/>
    <w:rsid w:val="00A8406F"/>
    <w:rsid w:val="00A864A6"/>
    <w:rsid w:val="00A86D12"/>
    <w:rsid w:val="00A9003B"/>
    <w:rsid w:val="00A9070A"/>
    <w:rsid w:val="00A90D62"/>
    <w:rsid w:val="00A9729A"/>
    <w:rsid w:val="00AA0075"/>
    <w:rsid w:val="00AA6C64"/>
    <w:rsid w:val="00AB0D0F"/>
    <w:rsid w:val="00AB2112"/>
    <w:rsid w:val="00AB2B92"/>
    <w:rsid w:val="00AB418E"/>
    <w:rsid w:val="00AB565E"/>
    <w:rsid w:val="00AB605C"/>
    <w:rsid w:val="00AB6269"/>
    <w:rsid w:val="00AB690C"/>
    <w:rsid w:val="00AB79F1"/>
    <w:rsid w:val="00AC1AA7"/>
    <w:rsid w:val="00AC3819"/>
    <w:rsid w:val="00AC59D4"/>
    <w:rsid w:val="00AD09FC"/>
    <w:rsid w:val="00AD3371"/>
    <w:rsid w:val="00AE2C31"/>
    <w:rsid w:val="00AE5726"/>
    <w:rsid w:val="00AE6173"/>
    <w:rsid w:val="00AE6620"/>
    <w:rsid w:val="00AE71F6"/>
    <w:rsid w:val="00AE7BD6"/>
    <w:rsid w:val="00AF08E0"/>
    <w:rsid w:val="00AF10A0"/>
    <w:rsid w:val="00AF11B9"/>
    <w:rsid w:val="00AF12C1"/>
    <w:rsid w:val="00AF4E48"/>
    <w:rsid w:val="00AF50CC"/>
    <w:rsid w:val="00AF6BCD"/>
    <w:rsid w:val="00B004A5"/>
    <w:rsid w:val="00B03231"/>
    <w:rsid w:val="00B04BE3"/>
    <w:rsid w:val="00B06437"/>
    <w:rsid w:val="00B10BD3"/>
    <w:rsid w:val="00B1501B"/>
    <w:rsid w:val="00B15842"/>
    <w:rsid w:val="00B164BE"/>
    <w:rsid w:val="00B204D6"/>
    <w:rsid w:val="00B211A4"/>
    <w:rsid w:val="00B22B4E"/>
    <w:rsid w:val="00B23633"/>
    <w:rsid w:val="00B2761D"/>
    <w:rsid w:val="00B31C24"/>
    <w:rsid w:val="00B320C9"/>
    <w:rsid w:val="00B32B3E"/>
    <w:rsid w:val="00B352D3"/>
    <w:rsid w:val="00B378BB"/>
    <w:rsid w:val="00B37BC0"/>
    <w:rsid w:val="00B40119"/>
    <w:rsid w:val="00B406AB"/>
    <w:rsid w:val="00B414C9"/>
    <w:rsid w:val="00B42BEF"/>
    <w:rsid w:val="00B43174"/>
    <w:rsid w:val="00B43691"/>
    <w:rsid w:val="00B44F76"/>
    <w:rsid w:val="00B46B9D"/>
    <w:rsid w:val="00B50B0F"/>
    <w:rsid w:val="00B51C43"/>
    <w:rsid w:val="00B51D0B"/>
    <w:rsid w:val="00B5536E"/>
    <w:rsid w:val="00B57FBB"/>
    <w:rsid w:val="00B6590D"/>
    <w:rsid w:val="00B66380"/>
    <w:rsid w:val="00B7187D"/>
    <w:rsid w:val="00B74BB7"/>
    <w:rsid w:val="00B75C8C"/>
    <w:rsid w:val="00B779E3"/>
    <w:rsid w:val="00B8170A"/>
    <w:rsid w:val="00B81DA6"/>
    <w:rsid w:val="00B822BB"/>
    <w:rsid w:val="00B824BA"/>
    <w:rsid w:val="00B827B7"/>
    <w:rsid w:val="00B85D66"/>
    <w:rsid w:val="00B8678E"/>
    <w:rsid w:val="00B90435"/>
    <w:rsid w:val="00B90C88"/>
    <w:rsid w:val="00B926A1"/>
    <w:rsid w:val="00B97F68"/>
    <w:rsid w:val="00BA1BD7"/>
    <w:rsid w:val="00BA3B75"/>
    <w:rsid w:val="00BA5AAE"/>
    <w:rsid w:val="00BA6020"/>
    <w:rsid w:val="00BA6155"/>
    <w:rsid w:val="00BB169A"/>
    <w:rsid w:val="00BB3E39"/>
    <w:rsid w:val="00BB4892"/>
    <w:rsid w:val="00BB5321"/>
    <w:rsid w:val="00BB5F83"/>
    <w:rsid w:val="00BB6498"/>
    <w:rsid w:val="00BC01FE"/>
    <w:rsid w:val="00BC1CF5"/>
    <w:rsid w:val="00BC1E7F"/>
    <w:rsid w:val="00BC2D87"/>
    <w:rsid w:val="00BC49EC"/>
    <w:rsid w:val="00BC592F"/>
    <w:rsid w:val="00BC78F8"/>
    <w:rsid w:val="00BD073C"/>
    <w:rsid w:val="00BD0DCA"/>
    <w:rsid w:val="00BD389D"/>
    <w:rsid w:val="00BD48DF"/>
    <w:rsid w:val="00BD4D00"/>
    <w:rsid w:val="00BD5748"/>
    <w:rsid w:val="00BD60BF"/>
    <w:rsid w:val="00BD736E"/>
    <w:rsid w:val="00BD74F5"/>
    <w:rsid w:val="00BD7B74"/>
    <w:rsid w:val="00BD7F1D"/>
    <w:rsid w:val="00BE18B3"/>
    <w:rsid w:val="00BE1F85"/>
    <w:rsid w:val="00BE2FC3"/>
    <w:rsid w:val="00BE5738"/>
    <w:rsid w:val="00BE5803"/>
    <w:rsid w:val="00BE5F48"/>
    <w:rsid w:val="00BE66D0"/>
    <w:rsid w:val="00BE7A38"/>
    <w:rsid w:val="00BE7EF1"/>
    <w:rsid w:val="00BF2A15"/>
    <w:rsid w:val="00BF3ACD"/>
    <w:rsid w:val="00BF3E26"/>
    <w:rsid w:val="00BF5000"/>
    <w:rsid w:val="00BF7DFD"/>
    <w:rsid w:val="00C00132"/>
    <w:rsid w:val="00C01120"/>
    <w:rsid w:val="00C02190"/>
    <w:rsid w:val="00C02872"/>
    <w:rsid w:val="00C04BD4"/>
    <w:rsid w:val="00C07718"/>
    <w:rsid w:val="00C100C8"/>
    <w:rsid w:val="00C10A8F"/>
    <w:rsid w:val="00C14ADA"/>
    <w:rsid w:val="00C162AA"/>
    <w:rsid w:val="00C16826"/>
    <w:rsid w:val="00C16D02"/>
    <w:rsid w:val="00C20749"/>
    <w:rsid w:val="00C208DA"/>
    <w:rsid w:val="00C20F0F"/>
    <w:rsid w:val="00C222C1"/>
    <w:rsid w:val="00C22A35"/>
    <w:rsid w:val="00C22C7D"/>
    <w:rsid w:val="00C24CDF"/>
    <w:rsid w:val="00C27F04"/>
    <w:rsid w:val="00C30B9C"/>
    <w:rsid w:val="00C31BD6"/>
    <w:rsid w:val="00C32DC1"/>
    <w:rsid w:val="00C33BDB"/>
    <w:rsid w:val="00C344EE"/>
    <w:rsid w:val="00C363A0"/>
    <w:rsid w:val="00C402B8"/>
    <w:rsid w:val="00C44335"/>
    <w:rsid w:val="00C457A6"/>
    <w:rsid w:val="00C4737E"/>
    <w:rsid w:val="00C50CF3"/>
    <w:rsid w:val="00C51A30"/>
    <w:rsid w:val="00C5380E"/>
    <w:rsid w:val="00C56CE1"/>
    <w:rsid w:val="00C67A46"/>
    <w:rsid w:val="00C67C07"/>
    <w:rsid w:val="00C7022D"/>
    <w:rsid w:val="00C7232F"/>
    <w:rsid w:val="00C72614"/>
    <w:rsid w:val="00C72783"/>
    <w:rsid w:val="00C72E00"/>
    <w:rsid w:val="00C737ED"/>
    <w:rsid w:val="00C74959"/>
    <w:rsid w:val="00C74ADC"/>
    <w:rsid w:val="00C75FC9"/>
    <w:rsid w:val="00C76A17"/>
    <w:rsid w:val="00C80E84"/>
    <w:rsid w:val="00C811BE"/>
    <w:rsid w:val="00C8369A"/>
    <w:rsid w:val="00C8382C"/>
    <w:rsid w:val="00C84926"/>
    <w:rsid w:val="00C8636C"/>
    <w:rsid w:val="00C86B6C"/>
    <w:rsid w:val="00C9041B"/>
    <w:rsid w:val="00C90C41"/>
    <w:rsid w:val="00C9128F"/>
    <w:rsid w:val="00C925AC"/>
    <w:rsid w:val="00C936E5"/>
    <w:rsid w:val="00C947F5"/>
    <w:rsid w:val="00CA0436"/>
    <w:rsid w:val="00CA0961"/>
    <w:rsid w:val="00CA575E"/>
    <w:rsid w:val="00CA652C"/>
    <w:rsid w:val="00CB05CD"/>
    <w:rsid w:val="00CB10DA"/>
    <w:rsid w:val="00CB3954"/>
    <w:rsid w:val="00CB46B3"/>
    <w:rsid w:val="00CB4FBC"/>
    <w:rsid w:val="00CC24F4"/>
    <w:rsid w:val="00CC2760"/>
    <w:rsid w:val="00CC3C9E"/>
    <w:rsid w:val="00CC7FF8"/>
    <w:rsid w:val="00CD32BE"/>
    <w:rsid w:val="00CD3396"/>
    <w:rsid w:val="00CD6738"/>
    <w:rsid w:val="00CD6F57"/>
    <w:rsid w:val="00CD7F90"/>
    <w:rsid w:val="00CE0385"/>
    <w:rsid w:val="00CE175D"/>
    <w:rsid w:val="00CE314B"/>
    <w:rsid w:val="00CE70D0"/>
    <w:rsid w:val="00CE730A"/>
    <w:rsid w:val="00CF543D"/>
    <w:rsid w:val="00CF5956"/>
    <w:rsid w:val="00CF5FC1"/>
    <w:rsid w:val="00CF7C15"/>
    <w:rsid w:val="00D062A3"/>
    <w:rsid w:val="00D101A6"/>
    <w:rsid w:val="00D10FB8"/>
    <w:rsid w:val="00D11330"/>
    <w:rsid w:val="00D11BC2"/>
    <w:rsid w:val="00D12918"/>
    <w:rsid w:val="00D13537"/>
    <w:rsid w:val="00D136C7"/>
    <w:rsid w:val="00D13CB7"/>
    <w:rsid w:val="00D13E85"/>
    <w:rsid w:val="00D15D78"/>
    <w:rsid w:val="00D20831"/>
    <w:rsid w:val="00D220E4"/>
    <w:rsid w:val="00D24583"/>
    <w:rsid w:val="00D24660"/>
    <w:rsid w:val="00D31E19"/>
    <w:rsid w:val="00D34923"/>
    <w:rsid w:val="00D34A6A"/>
    <w:rsid w:val="00D3576B"/>
    <w:rsid w:val="00D37C31"/>
    <w:rsid w:val="00D4111E"/>
    <w:rsid w:val="00D43096"/>
    <w:rsid w:val="00D436B5"/>
    <w:rsid w:val="00D471D3"/>
    <w:rsid w:val="00D5363B"/>
    <w:rsid w:val="00D55BF9"/>
    <w:rsid w:val="00D6021C"/>
    <w:rsid w:val="00D6250C"/>
    <w:rsid w:val="00D6488E"/>
    <w:rsid w:val="00D6601C"/>
    <w:rsid w:val="00D66E72"/>
    <w:rsid w:val="00D66F20"/>
    <w:rsid w:val="00D7038C"/>
    <w:rsid w:val="00D70E34"/>
    <w:rsid w:val="00D70FE5"/>
    <w:rsid w:val="00D77151"/>
    <w:rsid w:val="00D81110"/>
    <w:rsid w:val="00D82A8F"/>
    <w:rsid w:val="00D85119"/>
    <w:rsid w:val="00D85B95"/>
    <w:rsid w:val="00D873D5"/>
    <w:rsid w:val="00D875B9"/>
    <w:rsid w:val="00D9039E"/>
    <w:rsid w:val="00D91B59"/>
    <w:rsid w:val="00D91D4C"/>
    <w:rsid w:val="00D934EE"/>
    <w:rsid w:val="00D94D64"/>
    <w:rsid w:val="00D94F4F"/>
    <w:rsid w:val="00D9505D"/>
    <w:rsid w:val="00DA0C3B"/>
    <w:rsid w:val="00DA0D4C"/>
    <w:rsid w:val="00DA16FA"/>
    <w:rsid w:val="00DA1C1E"/>
    <w:rsid w:val="00DA2DB1"/>
    <w:rsid w:val="00DA3322"/>
    <w:rsid w:val="00DA40E3"/>
    <w:rsid w:val="00DA6E1F"/>
    <w:rsid w:val="00DA7FCB"/>
    <w:rsid w:val="00DB3654"/>
    <w:rsid w:val="00DB4398"/>
    <w:rsid w:val="00DB4825"/>
    <w:rsid w:val="00DB49F1"/>
    <w:rsid w:val="00DB5E8C"/>
    <w:rsid w:val="00DC0B95"/>
    <w:rsid w:val="00DC2C49"/>
    <w:rsid w:val="00DC6D2E"/>
    <w:rsid w:val="00DC7242"/>
    <w:rsid w:val="00DD0AA0"/>
    <w:rsid w:val="00DD124C"/>
    <w:rsid w:val="00DD348C"/>
    <w:rsid w:val="00DD55B0"/>
    <w:rsid w:val="00DD5D2E"/>
    <w:rsid w:val="00DD5D68"/>
    <w:rsid w:val="00DE0845"/>
    <w:rsid w:val="00DE1334"/>
    <w:rsid w:val="00DE1EE9"/>
    <w:rsid w:val="00DE3A47"/>
    <w:rsid w:val="00DE4E6B"/>
    <w:rsid w:val="00DE68A5"/>
    <w:rsid w:val="00DE775F"/>
    <w:rsid w:val="00DF2B0B"/>
    <w:rsid w:val="00DF45B0"/>
    <w:rsid w:val="00DF7958"/>
    <w:rsid w:val="00E00840"/>
    <w:rsid w:val="00E011FD"/>
    <w:rsid w:val="00E01D2A"/>
    <w:rsid w:val="00E0528E"/>
    <w:rsid w:val="00E060E5"/>
    <w:rsid w:val="00E07296"/>
    <w:rsid w:val="00E112DD"/>
    <w:rsid w:val="00E11694"/>
    <w:rsid w:val="00E11C10"/>
    <w:rsid w:val="00E13597"/>
    <w:rsid w:val="00E14D44"/>
    <w:rsid w:val="00E16726"/>
    <w:rsid w:val="00E16DCF"/>
    <w:rsid w:val="00E20A86"/>
    <w:rsid w:val="00E21385"/>
    <w:rsid w:val="00E216D8"/>
    <w:rsid w:val="00E222D2"/>
    <w:rsid w:val="00E22510"/>
    <w:rsid w:val="00E228D2"/>
    <w:rsid w:val="00E240FF"/>
    <w:rsid w:val="00E2526B"/>
    <w:rsid w:val="00E257FA"/>
    <w:rsid w:val="00E2599B"/>
    <w:rsid w:val="00E3242A"/>
    <w:rsid w:val="00E34BFC"/>
    <w:rsid w:val="00E357C0"/>
    <w:rsid w:val="00E36317"/>
    <w:rsid w:val="00E36685"/>
    <w:rsid w:val="00E36FA3"/>
    <w:rsid w:val="00E378B7"/>
    <w:rsid w:val="00E379F3"/>
    <w:rsid w:val="00E451BF"/>
    <w:rsid w:val="00E501AC"/>
    <w:rsid w:val="00E506C8"/>
    <w:rsid w:val="00E50A43"/>
    <w:rsid w:val="00E510DB"/>
    <w:rsid w:val="00E52197"/>
    <w:rsid w:val="00E549DB"/>
    <w:rsid w:val="00E56145"/>
    <w:rsid w:val="00E5781A"/>
    <w:rsid w:val="00E60081"/>
    <w:rsid w:val="00E6057D"/>
    <w:rsid w:val="00E616EF"/>
    <w:rsid w:val="00E64438"/>
    <w:rsid w:val="00E64992"/>
    <w:rsid w:val="00E66A26"/>
    <w:rsid w:val="00E744BF"/>
    <w:rsid w:val="00E75580"/>
    <w:rsid w:val="00E76686"/>
    <w:rsid w:val="00E76BFE"/>
    <w:rsid w:val="00E82BA8"/>
    <w:rsid w:val="00E83161"/>
    <w:rsid w:val="00E83294"/>
    <w:rsid w:val="00E8462E"/>
    <w:rsid w:val="00E86276"/>
    <w:rsid w:val="00E866A2"/>
    <w:rsid w:val="00E8676E"/>
    <w:rsid w:val="00E8793B"/>
    <w:rsid w:val="00E90E9F"/>
    <w:rsid w:val="00E92BCC"/>
    <w:rsid w:val="00E94432"/>
    <w:rsid w:val="00E94E79"/>
    <w:rsid w:val="00EA0C15"/>
    <w:rsid w:val="00EA2019"/>
    <w:rsid w:val="00EA564C"/>
    <w:rsid w:val="00EA5D89"/>
    <w:rsid w:val="00EA65FC"/>
    <w:rsid w:val="00EB0D5F"/>
    <w:rsid w:val="00EB0F8F"/>
    <w:rsid w:val="00EB13E4"/>
    <w:rsid w:val="00EB3012"/>
    <w:rsid w:val="00EB6A6E"/>
    <w:rsid w:val="00EB70C0"/>
    <w:rsid w:val="00EC0074"/>
    <w:rsid w:val="00EC0566"/>
    <w:rsid w:val="00EC0D26"/>
    <w:rsid w:val="00EC4B23"/>
    <w:rsid w:val="00EC5F8F"/>
    <w:rsid w:val="00ED23D5"/>
    <w:rsid w:val="00EE0946"/>
    <w:rsid w:val="00EE3D86"/>
    <w:rsid w:val="00EE5BAE"/>
    <w:rsid w:val="00EE5EE6"/>
    <w:rsid w:val="00EF467A"/>
    <w:rsid w:val="00EF4715"/>
    <w:rsid w:val="00EF53D0"/>
    <w:rsid w:val="00EF59B6"/>
    <w:rsid w:val="00F0009C"/>
    <w:rsid w:val="00F02204"/>
    <w:rsid w:val="00F04EA4"/>
    <w:rsid w:val="00F128F0"/>
    <w:rsid w:val="00F1399F"/>
    <w:rsid w:val="00F1472F"/>
    <w:rsid w:val="00F1517E"/>
    <w:rsid w:val="00F2033B"/>
    <w:rsid w:val="00F203D1"/>
    <w:rsid w:val="00F20E34"/>
    <w:rsid w:val="00F211EC"/>
    <w:rsid w:val="00F2196E"/>
    <w:rsid w:val="00F21D47"/>
    <w:rsid w:val="00F22EEE"/>
    <w:rsid w:val="00F238C7"/>
    <w:rsid w:val="00F23AFB"/>
    <w:rsid w:val="00F24818"/>
    <w:rsid w:val="00F26568"/>
    <w:rsid w:val="00F300A4"/>
    <w:rsid w:val="00F30FF9"/>
    <w:rsid w:val="00F36448"/>
    <w:rsid w:val="00F36A1D"/>
    <w:rsid w:val="00F36FD4"/>
    <w:rsid w:val="00F371AA"/>
    <w:rsid w:val="00F37C53"/>
    <w:rsid w:val="00F42334"/>
    <w:rsid w:val="00F42604"/>
    <w:rsid w:val="00F447B6"/>
    <w:rsid w:val="00F461A6"/>
    <w:rsid w:val="00F462EC"/>
    <w:rsid w:val="00F4648B"/>
    <w:rsid w:val="00F46F95"/>
    <w:rsid w:val="00F47723"/>
    <w:rsid w:val="00F51145"/>
    <w:rsid w:val="00F56A77"/>
    <w:rsid w:val="00F621BD"/>
    <w:rsid w:val="00F62A4E"/>
    <w:rsid w:val="00F63904"/>
    <w:rsid w:val="00F63950"/>
    <w:rsid w:val="00F63FC7"/>
    <w:rsid w:val="00F650B0"/>
    <w:rsid w:val="00F661E8"/>
    <w:rsid w:val="00F67695"/>
    <w:rsid w:val="00F716F2"/>
    <w:rsid w:val="00F718F3"/>
    <w:rsid w:val="00F722C8"/>
    <w:rsid w:val="00F72E36"/>
    <w:rsid w:val="00F7363C"/>
    <w:rsid w:val="00F736CD"/>
    <w:rsid w:val="00F772C6"/>
    <w:rsid w:val="00F7731E"/>
    <w:rsid w:val="00F774E2"/>
    <w:rsid w:val="00F804CA"/>
    <w:rsid w:val="00F8283D"/>
    <w:rsid w:val="00F828AE"/>
    <w:rsid w:val="00F83982"/>
    <w:rsid w:val="00F8607F"/>
    <w:rsid w:val="00F865CE"/>
    <w:rsid w:val="00F868DA"/>
    <w:rsid w:val="00F909FF"/>
    <w:rsid w:val="00F94282"/>
    <w:rsid w:val="00F97CC9"/>
    <w:rsid w:val="00FA0DFC"/>
    <w:rsid w:val="00FA64A0"/>
    <w:rsid w:val="00FB0975"/>
    <w:rsid w:val="00FB1D15"/>
    <w:rsid w:val="00FB2ED6"/>
    <w:rsid w:val="00FB4482"/>
    <w:rsid w:val="00FC0137"/>
    <w:rsid w:val="00FC04AF"/>
    <w:rsid w:val="00FC3938"/>
    <w:rsid w:val="00FC3F00"/>
    <w:rsid w:val="00FC42BF"/>
    <w:rsid w:val="00FC5526"/>
    <w:rsid w:val="00FC5CEB"/>
    <w:rsid w:val="00FD36F4"/>
    <w:rsid w:val="00FD3BB6"/>
    <w:rsid w:val="00FD4887"/>
    <w:rsid w:val="00FE0515"/>
    <w:rsid w:val="00FE1515"/>
    <w:rsid w:val="00FE34B6"/>
    <w:rsid w:val="00FE507E"/>
    <w:rsid w:val="00FE52E5"/>
    <w:rsid w:val="00FF15B3"/>
    <w:rsid w:val="00FF2CE3"/>
    <w:rsid w:val="00FF409F"/>
    <w:rsid w:val="00FF47F6"/>
    <w:rsid w:val="00FF54F8"/>
    <w:rsid w:val="00FF75A2"/>
    <w:rsid w:val="0231A0A6"/>
    <w:rsid w:val="03472FC3"/>
    <w:rsid w:val="0B0630FD"/>
    <w:rsid w:val="0DE612C2"/>
    <w:rsid w:val="1054B437"/>
    <w:rsid w:val="122A7C85"/>
    <w:rsid w:val="12D249FD"/>
    <w:rsid w:val="1350F26E"/>
    <w:rsid w:val="17046406"/>
    <w:rsid w:val="1B72F507"/>
    <w:rsid w:val="1C781056"/>
    <w:rsid w:val="1DC5F7EC"/>
    <w:rsid w:val="1F029AB0"/>
    <w:rsid w:val="1F58B8D0"/>
    <w:rsid w:val="1FC5C962"/>
    <w:rsid w:val="21D35574"/>
    <w:rsid w:val="21F50461"/>
    <w:rsid w:val="22B9F8D9"/>
    <w:rsid w:val="238CEC0F"/>
    <w:rsid w:val="248B0DB8"/>
    <w:rsid w:val="26C10FC6"/>
    <w:rsid w:val="27AA10A7"/>
    <w:rsid w:val="2C1BAFA9"/>
    <w:rsid w:val="2E6B8FAE"/>
    <w:rsid w:val="2F2D785E"/>
    <w:rsid w:val="2F7F851E"/>
    <w:rsid w:val="3157A6D7"/>
    <w:rsid w:val="3625D81F"/>
    <w:rsid w:val="37E256D0"/>
    <w:rsid w:val="3E48F1EB"/>
    <w:rsid w:val="3F5E1058"/>
    <w:rsid w:val="41599716"/>
    <w:rsid w:val="42051AEF"/>
    <w:rsid w:val="4236A387"/>
    <w:rsid w:val="485339FE"/>
    <w:rsid w:val="489C7676"/>
    <w:rsid w:val="4B083C42"/>
    <w:rsid w:val="4BBF01A4"/>
    <w:rsid w:val="4C62AFD7"/>
    <w:rsid w:val="4D43AB6C"/>
    <w:rsid w:val="4EA500B7"/>
    <w:rsid w:val="4EF79D96"/>
    <w:rsid w:val="5084AD70"/>
    <w:rsid w:val="51197DD6"/>
    <w:rsid w:val="51B06289"/>
    <w:rsid w:val="5727AD43"/>
    <w:rsid w:val="585A1709"/>
    <w:rsid w:val="5A3770FD"/>
    <w:rsid w:val="5A765E0F"/>
    <w:rsid w:val="610019B5"/>
    <w:rsid w:val="61EB8D10"/>
    <w:rsid w:val="62BA1A32"/>
    <w:rsid w:val="634D4C6F"/>
    <w:rsid w:val="6363EBD0"/>
    <w:rsid w:val="63F2FA22"/>
    <w:rsid w:val="6407C92F"/>
    <w:rsid w:val="654B9CDA"/>
    <w:rsid w:val="671890E1"/>
    <w:rsid w:val="6891A10E"/>
    <w:rsid w:val="6A2945C0"/>
    <w:rsid w:val="6D2B0E43"/>
    <w:rsid w:val="706BB0DC"/>
    <w:rsid w:val="730C137A"/>
    <w:rsid w:val="7345693D"/>
    <w:rsid w:val="736E44A2"/>
    <w:rsid w:val="7706BDD7"/>
    <w:rsid w:val="7A647360"/>
    <w:rsid w:val="7AB5F044"/>
    <w:rsid w:val="7B7CB028"/>
    <w:rsid w:val="7FE7485C"/>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03A456A2-BB7E-43B1-AA49-A1E52217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505322"/>
    <w:rPr>
      <w:color w:val="0563C1" w:themeColor="hyperlink"/>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9D07C7"/>
  </w:style>
  <w:style w:type="character" w:customStyle="1" w:styleId="cf01">
    <w:name w:val="cf01"/>
    <w:basedOn w:val="DefaultParagraphFont"/>
    <w:rsid w:val="002E2B83"/>
    <w:rPr>
      <w:rFonts w:ascii="Segoe UI" w:hAnsi="Segoe UI" w:cs="Segoe UI" w:hint="default"/>
      <w:sz w:val="18"/>
      <w:szCs w:val="18"/>
    </w:rPr>
  </w:style>
  <w:style w:type="character" w:styleId="LineNumber">
    <w:name w:val="line number"/>
    <w:basedOn w:val="DefaultParagraphFont"/>
    <w:semiHidden/>
    <w:unhideWhenUsed/>
    <w:rsid w:val="002011A6"/>
  </w:style>
  <w:style w:type="character" w:customStyle="1" w:styleId="Neapdorotaspaminjimas1">
    <w:name w:val="Neapdorotas paminėjimas1"/>
    <w:basedOn w:val="DefaultParagraphFont"/>
    <w:uiPriority w:val="99"/>
    <w:semiHidden/>
    <w:unhideWhenUsed/>
    <w:rsid w:val="00983763"/>
    <w:rPr>
      <w:color w:val="605E5C"/>
      <w:shd w:val="clear" w:color="auto" w:fill="E1DFDD"/>
    </w:rPr>
  </w:style>
  <w:style w:type="table" w:styleId="TableGrid">
    <w:name w:val="Table Grid"/>
    <w:basedOn w:val="TableNormal"/>
    <w:uiPriority w:val="59"/>
    <w:rsid w:val="00704CD2"/>
    <w:rPr>
      <w:rFonts w:asciiTheme="minorHAnsi" w:eastAsiaTheme="minorHAnsi" w:hAnsiTheme="minorHAnsi" w:cstheme="minorBidi"/>
      <w:sz w:val="22"/>
      <w:szCs w:val="2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semiHidden/>
    <w:unhideWhenUsed/>
    <w:rsid w:val="003C20FD"/>
    <w:rPr>
      <w:szCs w:val="24"/>
    </w:rPr>
  </w:style>
  <w:style w:type="character" w:customStyle="1" w:styleId="ui-provider">
    <w:name w:val="ui-provider"/>
    <w:basedOn w:val="DefaultParagraphFont"/>
    <w:rsid w:val="003A15BF"/>
  </w:style>
  <w:style w:type="paragraph" w:styleId="Header">
    <w:name w:val="header"/>
    <w:basedOn w:val="Normal"/>
    <w:link w:val="HeaderChar"/>
    <w:semiHidden/>
    <w:unhideWhenUsed/>
    <w:rsid w:val="0038132B"/>
    <w:pPr>
      <w:tabs>
        <w:tab w:val="center" w:pos="4680"/>
        <w:tab w:val="right" w:pos="9360"/>
      </w:tabs>
    </w:pPr>
  </w:style>
  <w:style w:type="character" w:customStyle="1" w:styleId="HeaderChar">
    <w:name w:val="Header Char"/>
    <w:basedOn w:val="DefaultParagraphFont"/>
    <w:link w:val="Header"/>
    <w:semiHidden/>
    <w:rsid w:val="0038132B"/>
  </w:style>
  <w:style w:type="paragraph" w:styleId="Footer">
    <w:name w:val="footer"/>
    <w:basedOn w:val="Normal"/>
    <w:link w:val="FooterChar"/>
    <w:semiHidden/>
    <w:unhideWhenUsed/>
    <w:rsid w:val="0038132B"/>
    <w:pPr>
      <w:tabs>
        <w:tab w:val="center" w:pos="4680"/>
        <w:tab w:val="right" w:pos="9360"/>
      </w:tabs>
    </w:pPr>
  </w:style>
  <w:style w:type="character" w:customStyle="1" w:styleId="FooterChar">
    <w:name w:val="Footer Char"/>
    <w:basedOn w:val="DefaultParagraphFont"/>
    <w:link w:val="Footer"/>
    <w:semiHidden/>
    <w:rsid w:val="0038132B"/>
  </w:style>
  <w:style w:type="character" w:styleId="UnresolvedMention">
    <w:name w:val="Unresolved Mention"/>
    <w:basedOn w:val="DefaultParagraphFont"/>
    <w:uiPriority w:val="99"/>
    <w:semiHidden/>
    <w:unhideWhenUsed/>
    <w:rsid w:val="002C120D"/>
    <w:rPr>
      <w:color w:val="605E5C"/>
      <w:shd w:val="clear" w:color="auto" w:fill="E1DFDD"/>
    </w:rPr>
  </w:style>
  <w:style w:type="table" w:customStyle="1" w:styleId="Lentelstinklelis1">
    <w:name w:val="Lentelės tinklelis1"/>
    <w:basedOn w:val="TableNormal"/>
    <w:next w:val="TableGrid"/>
    <w:uiPriority w:val="39"/>
    <w:rsid w:val="002A6E86"/>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727F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2149138">
      <w:bodyDiv w:val="1"/>
      <w:marLeft w:val="0"/>
      <w:marRight w:val="0"/>
      <w:marTop w:val="0"/>
      <w:marBottom w:val="0"/>
      <w:divBdr>
        <w:top w:val="none" w:sz="0" w:space="0" w:color="auto"/>
        <w:left w:val="none" w:sz="0" w:space="0" w:color="auto"/>
        <w:bottom w:val="none" w:sz="0" w:space="0" w:color="auto"/>
        <w:right w:val="none" w:sz="0" w:space="0" w:color="auto"/>
      </w:divBdr>
    </w:div>
    <w:div w:id="282230612">
      <w:bodyDiv w:val="1"/>
      <w:marLeft w:val="0"/>
      <w:marRight w:val="0"/>
      <w:marTop w:val="0"/>
      <w:marBottom w:val="0"/>
      <w:divBdr>
        <w:top w:val="none" w:sz="0" w:space="0" w:color="auto"/>
        <w:left w:val="none" w:sz="0" w:space="0" w:color="auto"/>
        <w:bottom w:val="none" w:sz="0" w:space="0" w:color="auto"/>
        <w:right w:val="none" w:sz="0" w:space="0" w:color="auto"/>
      </w:divBdr>
    </w:div>
    <w:div w:id="314264403">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64923467">
      <w:bodyDiv w:val="1"/>
      <w:marLeft w:val="0"/>
      <w:marRight w:val="0"/>
      <w:marTop w:val="0"/>
      <w:marBottom w:val="0"/>
      <w:divBdr>
        <w:top w:val="none" w:sz="0" w:space="0" w:color="auto"/>
        <w:left w:val="none" w:sz="0" w:space="0" w:color="auto"/>
        <w:bottom w:val="none" w:sz="0" w:space="0" w:color="auto"/>
        <w:right w:val="none" w:sz="0" w:space="0" w:color="auto"/>
      </w:divBdr>
    </w:div>
    <w:div w:id="67603287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8832215">
      <w:bodyDiv w:val="1"/>
      <w:marLeft w:val="0"/>
      <w:marRight w:val="0"/>
      <w:marTop w:val="0"/>
      <w:marBottom w:val="0"/>
      <w:divBdr>
        <w:top w:val="none" w:sz="0" w:space="0" w:color="auto"/>
        <w:left w:val="none" w:sz="0" w:space="0" w:color="auto"/>
        <w:bottom w:val="none" w:sz="0" w:space="0" w:color="auto"/>
        <w:right w:val="none" w:sz="0" w:space="0" w:color="auto"/>
      </w:divBdr>
      <w:divsChild>
        <w:div w:id="594679313">
          <w:marLeft w:val="0"/>
          <w:marRight w:val="0"/>
          <w:marTop w:val="0"/>
          <w:marBottom w:val="0"/>
          <w:divBdr>
            <w:top w:val="none" w:sz="0" w:space="0" w:color="auto"/>
            <w:left w:val="none" w:sz="0" w:space="0" w:color="auto"/>
            <w:bottom w:val="none" w:sz="0" w:space="0" w:color="auto"/>
            <w:right w:val="none" w:sz="0" w:space="0" w:color="auto"/>
          </w:divBdr>
          <w:divsChild>
            <w:div w:id="68892695">
              <w:marLeft w:val="0"/>
              <w:marRight w:val="0"/>
              <w:marTop w:val="0"/>
              <w:marBottom w:val="0"/>
              <w:divBdr>
                <w:top w:val="none" w:sz="0" w:space="0" w:color="auto"/>
                <w:left w:val="none" w:sz="0" w:space="0" w:color="auto"/>
                <w:bottom w:val="none" w:sz="0" w:space="0" w:color="auto"/>
                <w:right w:val="none" w:sz="0" w:space="0" w:color="auto"/>
              </w:divBdr>
            </w:div>
            <w:div w:id="1335036200">
              <w:marLeft w:val="0"/>
              <w:marRight w:val="0"/>
              <w:marTop w:val="0"/>
              <w:marBottom w:val="0"/>
              <w:divBdr>
                <w:top w:val="none" w:sz="0" w:space="0" w:color="auto"/>
                <w:left w:val="none" w:sz="0" w:space="0" w:color="auto"/>
                <w:bottom w:val="none" w:sz="0" w:space="0" w:color="auto"/>
                <w:right w:val="none" w:sz="0" w:space="0" w:color="auto"/>
              </w:divBdr>
            </w:div>
            <w:div w:id="1343968880">
              <w:marLeft w:val="0"/>
              <w:marRight w:val="0"/>
              <w:marTop w:val="0"/>
              <w:marBottom w:val="0"/>
              <w:divBdr>
                <w:top w:val="none" w:sz="0" w:space="0" w:color="auto"/>
                <w:left w:val="none" w:sz="0" w:space="0" w:color="auto"/>
                <w:bottom w:val="none" w:sz="0" w:space="0" w:color="auto"/>
                <w:right w:val="none" w:sz="0" w:space="0" w:color="auto"/>
              </w:divBdr>
            </w:div>
          </w:divsChild>
        </w:div>
        <w:div w:id="1516117347">
          <w:marLeft w:val="0"/>
          <w:marRight w:val="0"/>
          <w:marTop w:val="0"/>
          <w:marBottom w:val="0"/>
          <w:divBdr>
            <w:top w:val="none" w:sz="0" w:space="0" w:color="auto"/>
            <w:left w:val="none" w:sz="0" w:space="0" w:color="auto"/>
            <w:bottom w:val="none" w:sz="0" w:space="0" w:color="auto"/>
            <w:right w:val="none" w:sz="0" w:space="0" w:color="auto"/>
          </w:divBdr>
          <w:divsChild>
            <w:div w:id="169175250">
              <w:marLeft w:val="0"/>
              <w:marRight w:val="0"/>
              <w:marTop w:val="0"/>
              <w:marBottom w:val="0"/>
              <w:divBdr>
                <w:top w:val="none" w:sz="0" w:space="0" w:color="auto"/>
                <w:left w:val="none" w:sz="0" w:space="0" w:color="auto"/>
                <w:bottom w:val="none" w:sz="0" w:space="0" w:color="auto"/>
                <w:right w:val="none" w:sz="0" w:space="0" w:color="auto"/>
              </w:divBdr>
            </w:div>
            <w:div w:id="533274681">
              <w:marLeft w:val="0"/>
              <w:marRight w:val="0"/>
              <w:marTop w:val="0"/>
              <w:marBottom w:val="0"/>
              <w:divBdr>
                <w:top w:val="none" w:sz="0" w:space="0" w:color="auto"/>
                <w:left w:val="none" w:sz="0" w:space="0" w:color="auto"/>
                <w:bottom w:val="none" w:sz="0" w:space="0" w:color="auto"/>
                <w:right w:val="none" w:sz="0" w:space="0" w:color="auto"/>
              </w:divBdr>
            </w:div>
          </w:divsChild>
        </w:div>
        <w:div w:id="1548835604">
          <w:marLeft w:val="0"/>
          <w:marRight w:val="0"/>
          <w:marTop w:val="0"/>
          <w:marBottom w:val="0"/>
          <w:divBdr>
            <w:top w:val="none" w:sz="0" w:space="0" w:color="auto"/>
            <w:left w:val="none" w:sz="0" w:space="0" w:color="auto"/>
            <w:bottom w:val="none" w:sz="0" w:space="0" w:color="auto"/>
            <w:right w:val="none" w:sz="0" w:space="0" w:color="auto"/>
          </w:divBdr>
          <w:divsChild>
            <w:div w:id="1554275463">
              <w:marLeft w:val="0"/>
              <w:marRight w:val="0"/>
              <w:marTop w:val="30"/>
              <w:marBottom w:val="30"/>
              <w:divBdr>
                <w:top w:val="none" w:sz="0" w:space="0" w:color="auto"/>
                <w:left w:val="none" w:sz="0" w:space="0" w:color="auto"/>
                <w:bottom w:val="none" w:sz="0" w:space="0" w:color="auto"/>
                <w:right w:val="none" w:sz="0" w:space="0" w:color="auto"/>
              </w:divBdr>
              <w:divsChild>
                <w:div w:id="231695611">
                  <w:marLeft w:val="0"/>
                  <w:marRight w:val="0"/>
                  <w:marTop w:val="0"/>
                  <w:marBottom w:val="0"/>
                  <w:divBdr>
                    <w:top w:val="none" w:sz="0" w:space="0" w:color="auto"/>
                    <w:left w:val="none" w:sz="0" w:space="0" w:color="auto"/>
                    <w:bottom w:val="none" w:sz="0" w:space="0" w:color="auto"/>
                    <w:right w:val="none" w:sz="0" w:space="0" w:color="auto"/>
                  </w:divBdr>
                  <w:divsChild>
                    <w:div w:id="1987775496">
                      <w:marLeft w:val="0"/>
                      <w:marRight w:val="0"/>
                      <w:marTop w:val="0"/>
                      <w:marBottom w:val="0"/>
                      <w:divBdr>
                        <w:top w:val="none" w:sz="0" w:space="0" w:color="auto"/>
                        <w:left w:val="none" w:sz="0" w:space="0" w:color="auto"/>
                        <w:bottom w:val="none" w:sz="0" w:space="0" w:color="auto"/>
                        <w:right w:val="none" w:sz="0" w:space="0" w:color="auto"/>
                      </w:divBdr>
                    </w:div>
                  </w:divsChild>
                </w:div>
                <w:div w:id="327101331">
                  <w:marLeft w:val="0"/>
                  <w:marRight w:val="0"/>
                  <w:marTop w:val="0"/>
                  <w:marBottom w:val="0"/>
                  <w:divBdr>
                    <w:top w:val="none" w:sz="0" w:space="0" w:color="auto"/>
                    <w:left w:val="none" w:sz="0" w:space="0" w:color="auto"/>
                    <w:bottom w:val="none" w:sz="0" w:space="0" w:color="auto"/>
                    <w:right w:val="none" w:sz="0" w:space="0" w:color="auto"/>
                  </w:divBdr>
                  <w:divsChild>
                    <w:div w:id="523056359">
                      <w:marLeft w:val="0"/>
                      <w:marRight w:val="0"/>
                      <w:marTop w:val="0"/>
                      <w:marBottom w:val="0"/>
                      <w:divBdr>
                        <w:top w:val="none" w:sz="0" w:space="0" w:color="auto"/>
                        <w:left w:val="none" w:sz="0" w:space="0" w:color="auto"/>
                        <w:bottom w:val="none" w:sz="0" w:space="0" w:color="auto"/>
                        <w:right w:val="none" w:sz="0" w:space="0" w:color="auto"/>
                      </w:divBdr>
                    </w:div>
                  </w:divsChild>
                </w:div>
                <w:div w:id="561596892">
                  <w:marLeft w:val="0"/>
                  <w:marRight w:val="0"/>
                  <w:marTop w:val="0"/>
                  <w:marBottom w:val="0"/>
                  <w:divBdr>
                    <w:top w:val="none" w:sz="0" w:space="0" w:color="auto"/>
                    <w:left w:val="none" w:sz="0" w:space="0" w:color="auto"/>
                    <w:bottom w:val="none" w:sz="0" w:space="0" w:color="auto"/>
                    <w:right w:val="none" w:sz="0" w:space="0" w:color="auto"/>
                  </w:divBdr>
                  <w:divsChild>
                    <w:div w:id="2120832804">
                      <w:marLeft w:val="0"/>
                      <w:marRight w:val="0"/>
                      <w:marTop w:val="0"/>
                      <w:marBottom w:val="0"/>
                      <w:divBdr>
                        <w:top w:val="none" w:sz="0" w:space="0" w:color="auto"/>
                        <w:left w:val="none" w:sz="0" w:space="0" w:color="auto"/>
                        <w:bottom w:val="none" w:sz="0" w:space="0" w:color="auto"/>
                        <w:right w:val="none" w:sz="0" w:space="0" w:color="auto"/>
                      </w:divBdr>
                    </w:div>
                  </w:divsChild>
                </w:div>
                <w:div w:id="634406408">
                  <w:marLeft w:val="0"/>
                  <w:marRight w:val="0"/>
                  <w:marTop w:val="0"/>
                  <w:marBottom w:val="0"/>
                  <w:divBdr>
                    <w:top w:val="none" w:sz="0" w:space="0" w:color="auto"/>
                    <w:left w:val="none" w:sz="0" w:space="0" w:color="auto"/>
                    <w:bottom w:val="none" w:sz="0" w:space="0" w:color="auto"/>
                    <w:right w:val="none" w:sz="0" w:space="0" w:color="auto"/>
                  </w:divBdr>
                  <w:divsChild>
                    <w:div w:id="274364072">
                      <w:marLeft w:val="0"/>
                      <w:marRight w:val="0"/>
                      <w:marTop w:val="0"/>
                      <w:marBottom w:val="0"/>
                      <w:divBdr>
                        <w:top w:val="none" w:sz="0" w:space="0" w:color="auto"/>
                        <w:left w:val="none" w:sz="0" w:space="0" w:color="auto"/>
                        <w:bottom w:val="none" w:sz="0" w:space="0" w:color="auto"/>
                        <w:right w:val="none" w:sz="0" w:space="0" w:color="auto"/>
                      </w:divBdr>
                    </w:div>
                  </w:divsChild>
                </w:div>
                <w:div w:id="896013207">
                  <w:marLeft w:val="0"/>
                  <w:marRight w:val="0"/>
                  <w:marTop w:val="0"/>
                  <w:marBottom w:val="0"/>
                  <w:divBdr>
                    <w:top w:val="none" w:sz="0" w:space="0" w:color="auto"/>
                    <w:left w:val="none" w:sz="0" w:space="0" w:color="auto"/>
                    <w:bottom w:val="none" w:sz="0" w:space="0" w:color="auto"/>
                    <w:right w:val="none" w:sz="0" w:space="0" w:color="auto"/>
                  </w:divBdr>
                  <w:divsChild>
                    <w:div w:id="1731880485">
                      <w:marLeft w:val="0"/>
                      <w:marRight w:val="0"/>
                      <w:marTop w:val="0"/>
                      <w:marBottom w:val="0"/>
                      <w:divBdr>
                        <w:top w:val="none" w:sz="0" w:space="0" w:color="auto"/>
                        <w:left w:val="none" w:sz="0" w:space="0" w:color="auto"/>
                        <w:bottom w:val="none" w:sz="0" w:space="0" w:color="auto"/>
                        <w:right w:val="none" w:sz="0" w:space="0" w:color="auto"/>
                      </w:divBdr>
                    </w:div>
                  </w:divsChild>
                </w:div>
                <w:div w:id="1108354534">
                  <w:marLeft w:val="0"/>
                  <w:marRight w:val="0"/>
                  <w:marTop w:val="0"/>
                  <w:marBottom w:val="0"/>
                  <w:divBdr>
                    <w:top w:val="none" w:sz="0" w:space="0" w:color="auto"/>
                    <w:left w:val="none" w:sz="0" w:space="0" w:color="auto"/>
                    <w:bottom w:val="none" w:sz="0" w:space="0" w:color="auto"/>
                    <w:right w:val="none" w:sz="0" w:space="0" w:color="auto"/>
                  </w:divBdr>
                  <w:divsChild>
                    <w:div w:id="2145191978">
                      <w:marLeft w:val="0"/>
                      <w:marRight w:val="0"/>
                      <w:marTop w:val="0"/>
                      <w:marBottom w:val="0"/>
                      <w:divBdr>
                        <w:top w:val="none" w:sz="0" w:space="0" w:color="auto"/>
                        <w:left w:val="none" w:sz="0" w:space="0" w:color="auto"/>
                        <w:bottom w:val="none" w:sz="0" w:space="0" w:color="auto"/>
                        <w:right w:val="none" w:sz="0" w:space="0" w:color="auto"/>
                      </w:divBdr>
                    </w:div>
                  </w:divsChild>
                </w:div>
                <w:div w:id="1131246090">
                  <w:marLeft w:val="0"/>
                  <w:marRight w:val="0"/>
                  <w:marTop w:val="0"/>
                  <w:marBottom w:val="0"/>
                  <w:divBdr>
                    <w:top w:val="none" w:sz="0" w:space="0" w:color="auto"/>
                    <w:left w:val="none" w:sz="0" w:space="0" w:color="auto"/>
                    <w:bottom w:val="none" w:sz="0" w:space="0" w:color="auto"/>
                    <w:right w:val="none" w:sz="0" w:space="0" w:color="auto"/>
                  </w:divBdr>
                  <w:divsChild>
                    <w:div w:id="1274703831">
                      <w:marLeft w:val="0"/>
                      <w:marRight w:val="0"/>
                      <w:marTop w:val="0"/>
                      <w:marBottom w:val="0"/>
                      <w:divBdr>
                        <w:top w:val="none" w:sz="0" w:space="0" w:color="auto"/>
                        <w:left w:val="none" w:sz="0" w:space="0" w:color="auto"/>
                        <w:bottom w:val="none" w:sz="0" w:space="0" w:color="auto"/>
                        <w:right w:val="none" w:sz="0" w:space="0" w:color="auto"/>
                      </w:divBdr>
                    </w:div>
                  </w:divsChild>
                </w:div>
                <w:div w:id="1142192844">
                  <w:marLeft w:val="0"/>
                  <w:marRight w:val="0"/>
                  <w:marTop w:val="0"/>
                  <w:marBottom w:val="0"/>
                  <w:divBdr>
                    <w:top w:val="none" w:sz="0" w:space="0" w:color="auto"/>
                    <w:left w:val="none" w:sz="0" w:space="0" w:color="auto"/>
                    <w:bottom w:val="none" w:sz="0" w:space="0" w:color="auto"/>
                    <w:right w:val="none" w:sz="0" w:space="0" w:color="auto"/>
                  </w:divBdr>
                  <w:divsChild>
                    <w:div w:id="916279957">
                      <w:marLeft w:val="0"/>
                      <w:marRight w:val="0"/>
                      <w:marTop w:val="0"/>
                      <w:marBottom w:val="0"/>
                      <w:divBdr>
                        <w:top w:val="none" w:sz="0" w:space="0" w:color="auto"/>
                        <w:left w:val="none" w:sz="0" w:space="0" w:color="auto"/>
                        <w:bottom w:val="none" w:sz="0" w:space="0" w:color="auto"/>
                        <w:right w:val="none" w:sz="0" w:space="0" w:color="auto"/>
                      </w:divBdr>
                    </w:div>
                  </w:divsChild>
                </w:div>
                <w:div w:id="1348945648">
                  <w:marLeft w:val="0"/>
                  <w:marRight w:val="0"/>
                  <w:marTop w:val="0"/>
                  <w:marBottom w:val="0"/>
                  <w:divBdr>
                    <w:top w:val="none" w:sz="0" w:space="0" w:color="auto"/>
                    <w:left w:val="none" w:sz="0" w:space="0" w:color="auto"/>
                    <w:bottom w:val="none" w:sz="0" w:space="0" w:color="auto"/>
                    <w:right w:val="none" w:sz="0" w:space="0" w:color="auto"/>
                  </w:divBdr>
                  <w:divsChild>
                    <w:div w:id="624582214">
                      <w:marLeft w:val="0"/>
                      <w:marRight w:val="0"/>
                      <w:marTop w:val="0"/>
                      <w:marBottom w:val="0"/>
                      <w:divBdr>
                        <w:top w:val="none" w:sz="0" w:space="0" w:color="auto"/>
                        <w:left w:val="none" w:sz="0" w:space="0" w:color="auto"/>
                        <w:bottom w:val="none" w:sz="0" w:space="0" w:color="auto"/>
                        <w:right w:val="none" w:sz="0" w:space="0" w:color="auto"/>
                      </w:divBdr>
                    </w:div>
                  </w:divsChild>
                </w:div>
                <w:div w:id="1446189882">
                  <w:marLeft w:val="0"/>
                  <w:marRight w:val="0"/>
                  <w:marTop w:val="0"/>
                  <w:marBottom w:val="0"/>
                  <w:divBdr>
                    <w:top w:val="none" w:sz="0" w:space="0" w:color="auto"/>
                    <w:left w:val="none" w:sz="0" w:space="0" w:color="auto"/>
                    <w:bottom w:val="none" w:sz="0" w:space="0" w:color="auto"/>
                    <w:right w:val="none" w:sz="0" w:space="0" w:color="auto"/>
                  </w:divBdr>
                  <w:divsChild>
                    <w:div w:id="1786652937">
                      <w:marLeft w:val="0"/>
                      <w:marRight w:val="0"/>
                      <w:marTop w:val="0"/>
                      <w:marBottom w:val="0"/>
                      <w:divBdr>
                        <w:top w:val="none" w:sz="0" w:space="0" w:color="auto"/>
                        <w:left w:val="none" w:sz="0" w:space="0" w:color="auto"/>
                        <w:bottom w:val="none" w:sz="0" w:space="0" w:color="auto"/>
                        <w:right w:val="none" w:sz="0" w:space="0" w:color="auto"/>
                      </w:divBdr>
                    </w:div>
                  </w:divsChild>
                </w:div>
                <w:div w:id="1563102419">
                  <w:marLeft w:val="0"/>
                  <w:marRight w:val="0"/>
                  <w:marTop w:val="0"/>
                  <w:marBottom w:val="0"/>
                  <w:divBdr>
                    <w:top w:val="none" w:sz="0" w:space="0" w:color="auto"/>
                    <w:left w:val="none" w:sz="0" w:space="0" w:color="auto"/>
                    <w:bottom w:val="none" w:sz="0" w:space="0" w:color="auto"/>
                    <w:right w:val="none" w:sz="0" w:space="0" w:color="auto"/>
                  </w:divBdr>
                  <w:divsChild>
                    <w:div w:id="757143880">
                      <w:marLeft w:val="0"/>
                      <w:marRight w:val="0"/>
                      <w:marTop w:val="0"/>
                      <w:marBottom w:val="0"/>
                      <w:divBdr>
                        <w:top w:val="none" w:sz="0" w:space="0" w:color="auto"/>
                        <w:left w:val="none" w:sz="0" w:space="0" w:color="auto"/>
                        <w:bottom w:val="none" w:sz="0" w:space="0" w:color="auto"/>
                        <w:right w:val="none" w:sz="0" w:space="0" w:color="auto"/>
                      </w:divBdr>
                    </w:div>
                  </w:divsChild>
                </w:div>
                <w:div w:id="1655374530">
                  <w:marLeft w:val="0"/>
                  <w:marRight w:val="0"/>
                  <w:marTop w:val="0"/>
                  <w:marBottom w:val="0"/>
                  <w:divBdr>
                    <w:top w:val="none" w:sz="0" w:space="0" w:color="auto"/>
                    <w:left w:val="none" w:sz="0" w:space="0" w:color="auto"/>
                    <w:bottom w:val="none" w:sz="0" w:space="0" w:color="auto"/>
                    <w:right w:val="none" w:sz="0" w:space="0" w:color="auto"/>
                  </w:divBdr>
                  <w:divsChild>
                    <w:div w:id="628556289">
                      <w:marLeft w:val="0"/>
                      <w:marRight w:val="0"/>
                      <w:marTop w:val="0"/>
                      <w:marBottom w:val="0"/>
                      <w:divBdr>
                        <w:top w:val="none" w:sz="0" w:space="0" w:color="auto"/>
                        <w:left w:val="none" w:sz="0" w:space="0" w:color="auto"/>
                        <w:bottom w:val="none" w:sz="0" w:space="0" w:color="auto"/>
                        <w:right w:val="none" w:sz="0" w:space="0" w:color="auto"/>
                      </w:divBdr>
                    </w:div>
                  </w:divsChild>
                </w:div>
                <w:div w:id="1667591746">
                  <w:marLeft w:val="0"/>
                  <w:marRight w:val="0"/>
                  <w:marTop w:val="0"/>
                  <w:marBottom w:val="0"/>
                  <w:divBdr>
                    <w:top w:val="none" w:sz="0" w:space="0" w:color="auto"/>
                    <w:left w:val="none" w:sz="0" w:space="0" w:color="auto"/>
                    <w:bottom w:val="none" w:sz="0" w:space="0" w:color="auto"/>
                    <w:right w:val="none" w:sz="0" w:space="0" w:color="auto"/>
                  </w:divBdr>
                  <w:divsChild>
                    <w:div w:id="45372965">
                      <w:marLeft w:val="0"/>
                      <w:marRight w:val="0"/>
                      <w:marTop w:val="0"/>
                      <w:marBottom w:val="0"/>
                      <w:divBdr>
                        <w:top w:val="none" w:sz="0" w:space="0" w:color="auto"/>
                        <w:left w:val="none" w:sz="0" w:space="0" w:color="auto"/>
                        <w:bottom w:val="none" w:sz="0" w:space="0" w:color="auto"/>
                        <w:right w:val="none" w:sz="0" w:space="0" w:color="auto"/>
                      </w:divBdr>
                    </w:div>
                  </w:divsChild>
                </w:div>
                <w:div w:id="1720394702">
                  <w:marLeft w:val="0"/>
                  <w:marRight w:val="0"/>
                  <w:marTop w:val="0"/>
                  <w:marBottom w:val="0"/>
                  <w:divBdr>
                    <w:top w:val="none" w:sz="0" w:space="0" w:color="auto"/>
                    <w:left w:val="none" w:sz="0" w:space="0" w:color="auto"/>
                    <w:bottom w:val="none" w:sz="0" w:space="0" w:color="auto"/>
                    <w:right w:val="none" w:sz="0" w:space="0" w:color="auto"/>
                  </w:divBdr>
                  <w:divsChild>
                    <w:div w:id="327096224">
                      <w:marLeft w:val="0"/>
                      <w:marRight w:val="0"/>
                      <w:marTop w:val="0"/>
                      <w:marBottom w:val="0"/>
                      <w:divBdr>
                        <w:top w:val="none" w:sz="0" w:space="0" w:color="auto"/>
                        <w:left w:val="none" w:sz="0" w:space="0" w:color="auto"/>
                        <w:bottom w:val="none" w:sz="0" w:space="0" w:color="auto"/>
                        <w:right w:val="none" w:sz="0" w:space="0" w:color="auto"/>
                      </w:divBdr>
                    </w:div>
                  </w:divsChild>
                </w:div>
                <w:div w:id="1748191335">
                  <w:marLeft w:val="0"/>
                  <w:marRight w:val="0"/>
                  <w:marTop w:val="0"/>
                  <w:marBottom w:val="0"/>
                  <w:divBdr>
                    <w:top w:val="none" w:sz="0" w:space="0" w:color="auto"/>
                    <w:left w:val="none" w:sz="0" w:space="0" w:color="auto"/>
                    <w:bottom w:val="none" w:sz="0" w:space="0" w:color="auto"/>
                    <w:right w:val="none" w:sz="0" w:space="0" w:color="auto"/>
                  </w:divBdr>
                  <w:divsChild>
                    <w:div w:id="197090049">
                      <w:marLeft w:val="0"/>
                      <w:marRight w:val="0"/>
                      <w:marTop w:val="0"/>
                      <w:marBottom w:val="0"/>
                      <w:divBdr>
                        <w:top w:val="none" w:sz="0" w:space="0" w:color="auto"/>
                        <w:left w:val="none" w:sz="0" w:space="0" w:color="auto"/>
                        <w:bottom w:val="none" w:sz="0" w:space="0" w:color="auto"/>
                        <w:right w:val="none" w:sz="0" w:space="0" w:color="auto"/>
                      </w:divBdr>
                    </w:div>
                  </w:divsChild>
                </w:div>
                <w:div w:id="1981643288">
                  <w:marLeft w:val="0"/>
                  <w:marRight w:val="0"/>
                  <w:marTop w:val="0"/>
                  <w:marBottom w:val="0"/>
                  <w:divBdr>
                    <w:top w:val="none" w:sz="0" w:space="0" w:color="auto"/>
                    <w:left w:val="none" w:sz="0" w:space="0" w:color="auto"/>
                    <w:bottom w:val="none" w:sz="0" w:space="0" w:color="auto"/>
                    <w:right w:val="none" w:sz="0" w:space="0" w:color="auto"/>
                  </w:divBdr>
                  <w:divsChild>
                    <w:div w:id="171183545">
                      <w:marLeft w:val="0"/>
                      <w:marRight w:val="0"/>
                      <w:marTop w:val="0"/>
                      <w:marBottom w:val="0"/>
                      <w:divBdr>
                        <w:top w:val="none" w:sz="0" w:space="0" w:color="auto"/>
                        <w:left w:val="none" w:sz="0" w:space="0" w:color="auto"/>
                        <w:bottom w:val="none" w:sz="0" w:space="0" w:color="auto"/>
                        <w:right w:val="none" w:sz="0" w:space="0" w:color="auto"/>
                      </w:divBdr>
                    </w:div>
                  </w:divsChild>
                </w:div>
                <w:div w:id="2113357333">
                  <w:marLeft w:val="0"/>
                  <w:marRight w:val="0"/>
                  <w:marTop w:val="0"/>
                  <w:marBottom w:val="0"/>
                  <w:divBdr>
                    <w:top w:val="none" w:sz="0" w:space="0" w:color="auto"/>
                    <w:left w:val="none" w:sz="0" w:space="0" w:color="auto"/>
                    <w:bottom w:val="none" w:sz="0" w:space="0" w:color="auto"/>
                    <w:right w:val="none" w:sz="0" w:space="0" w:color="auto"/>
                  </w:divBdr>
                  <w:divsChild>
                    <w:div w:id="77988957">
                      <w:marLeft w:val="0"/>
                      <w:marRight w:val="0"/>
                      <w:marTop w:val="0"/>
                      <w:marBottom w:val="0"/>
                      <w:divBdr>
                        <w:top w:val="none" w:sz="0" w:space="0" w:color="auto"/>
                        <w:left w:val="none" w:sz="0" w:space="0" w:color="auto"/>
                        <w:bottom w:val="none" w:sz="0" w:space="0" w:color="auto"/>
                        <w:right w:val="none" w:sz="0" w:space="0" w:color="auto"/>
                      </w:divBdr>
                    </w:div>
                  </w:divsChild>
                </w:div>
                <w:div w:id="2144734799">
                  <w:marLeft w:val="0"/>
                  <w:marRight w:val="0"/>
                  <w:marTop w:val="0"/>
                  <w:marBottom w:val="0"/>
                  <w:divBdr>
                    <w:top w:val="none" w:sz="0" w:space="0" w:color="auto"/>
                    <w:left w:val="none" w:sz="0" w:space="0" w:color="auto"/>
                    <w:bottom w:val="none" w:sz="0" w:space="0" w:color="auto"/>
                    <w:right w:val="none" w:sz="0" w:space="0" w:color="auto"/>
                  </w:divBdr>
                  <w:divsChild>
                    <w:div w:id="10432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00">
          <w:marLeft w:val="0"/>
          <w:marRight w:val="0"/>
          <w:marTop w:val="0"/>
          <w:marBottom w:val="0"/>
          <w:divBdr>
            <w:top w:val="none" w:sz="0" w:space="0" w:color="auto"/>
            <w:left w:val="none" w:sz="0" w:space="0" w:color="auto"/>
            <w:bottom w:val="none" w:sz="0" w:space="0" w:color="auto"/>
            <w:right w:val="none" w:sz="0" w:space="0" w:color="auto"/>
          </w:divBdr>
          <w:divsChild>
            <w:div w:id="900410924">
              <w:marLeft w:val="0"/>
              <w:marRight w:val="0"/>
              <w:marTop w:val="30"/>
              <w:marBottom w:val="30"/>
              <w:divBdr>
                <w:top w:val="none" w:sz="0" w:space="0" w:color="auto"/>
                <w:left w:val="none" w:sz="0" w:space="0" w:color="auto"/>
                <w:bottom w:val="none" w:sz="0" w:space="0" w:color="auto"/>
                <w:right w:val="none" w:sz="0" w:space="0" w:color="auto"/>
              </w:divBdr>
              <w:divsChild>
                <w:div w:id="106241445">
                  <w:marLeft w:val="0"/>
                  <w:marRight w:val="0"/>
                  <w:marTop w:val="0"/>
                  <w:marBottom w:val="0"/>
                  <w:divBdr>
                    <w:top w:val="none" w:sz="0" w:space="0" w:color="auto"/>
                    <w:left w:val="none" w:sz="0" w:space="0" w:color="auto"/>
                    <w:bottom w:val="none" w:sz="0" w:space="0" w:color="auto"/>
                    <w:right w:val="none" w:sz="0" w:space="0" w:color="auto"/>
                  </w:divBdr>
                  <w:divsChild>
                    <w:div w:id="1741824553">
                      <w:marLeft w:val="0"/>
                      <w:marRight w:val="0"/>
                      <w:marTop w:val="0"/>
                      <w:marBottom w:val="0"/>
                      <w:divBdr>
                        <w:top w:val="none" w:sz="0" w:space="0" w:color="auto"/>
                        <w:left w:val="none" w:sz="0" w:space="0" w:color="auto"/>
                        <w:bottom w:val="none" w:sz="0" w:space="0" w:color="auto"/>
                        <w:right w:val="none" w:sz="0" w:space="0" w:color="auto"/>
                      </w:divBdr>
                    </w:div>
                  </w:divsChild>
                </w:div>
                <w:div w:id="406075426">
                  <w:marLeft w:val="0"/>
                  <w:marRight w:val="0"/>
                  <w:marTop w:val="0"/>
                  <w:marBottom w:val="0"/>
                  <w:divBdr>
                    <w:top w:val="none" w:sz="0" w:space="0" w:color="auto"/>
                    <w:left w:val="none" w:sz="0" w:space="0" w:color="auto"/>
                    <w:bottom w:val="none" w:sz="0" w:space="0" w:color="auto"/>
                    <w:right w:val="none" w:sz="0" w:space="0" w:color="auto"/>
                  </w:divBdr>
                  <w:divsChild>
                    <w:div w:id="1923417215">
                      <w:marLeft w:val="0"/>
                      <w:marRight w:val="0"/>
                      <w:marTop w:val="0"/>
                      <w:marBottom w:val="0"/>
                      <w:divBdr>
                        <w:top w:val="none" w:sz="0" w:space="0" w:color="auto"/>
                        <w:left w:val="none" w:sz="0" w:space="0" w:color="auto"/>
                        <w:bottom w:val="none" w:sz="0" w:space="0" w:color="auto"/>
                        <w:right w:val="none" w:sz="0" w:space="0" w:color="auto"/>
                      </w:divBdr>
                    </w:div>
                  </w:divsChild>
                </w:div>
                <w:div w:id="1048185404">
                  <w:marLeft w:val="0"/>
                  <w:marRight w:val="0"/>
                  <w:marTop w:val="0"/>
                  <w:marBottom w:val="0"/>
                  <w:divBdr>
                    <w:top w:val="none" w:sz="0" w:space="0" w:color="auto"/>
                    <w:left w:val="none" w:sz="0" w:space="0" w:color="auto"/>
                    <w:bottom w:val="none" w:sz="0" w:space="0" w:color="auto"/>
                    <w:right w:val="none" w:sz="0" w:space="0" w:color="auto"/>
                  </w:divBdr>
                  <w:divsChild>
                    <w:div w:id="1581257571">
                      <w:marLeft w:val="0"/>
                      <w:marRight w:val="0"/>
                      <w:marTop w:val="0"/>
                      <w:marBottom w:val="0"/>
                      <w:divBdr>
                        <w:top w:val="none" w:sz="0" w:space="0" w:color="auto"/>
                        <w:left w:val="none" w:sz="0" w:space="0" w:color="auto"/>
                        <w:bottom w:val="none" w:sz="0" w:space="0" w:color="auto"/>
                        <w:right w:val="none" w:sz="0" w:space="0" w:color="auto"/>
                      </w:divBdr>
                    </w:div>
                  </w:divsChild>
                </w:div>
                <w:div w:id="1069571155">
                  <w:marLeft w:val="0"/>
                  <w:marRight w:val="0"/>
                  <w:marTop w:val="0"/>
                  <w:marBottom w:val="0"/>
                  <w:divBdr>
                    <w:top w:val="none" w:sz="0" w:space="0" w:color="auto"/>
                    <w:left w:val="none" w:sz="0" w:space="0" w:color="auto"/>
                    <w:bottom w:val="none" w:sz="0" w:space="0" w:color="auto"/>
                    <w:right w:val="none" w:sz="0" w:space="0" w:color="auto"/>
                  </w:divBdr>
                  <w:divsChild>
                    <w:div w:id="143475618">
                      <w:marLeft w:val="0"/>
                      <w:marRight w:val="0"/>
                      <w:marTop w:val="0"/>
                      <w:marBottom w:val="0"/>
                      <w:divBdr>
                        <w:top w:val="none" w:sz="0" w:space="0" w:color="auto"/>
                        <w:left w:val="none" w:sz="0" w:space="0" w:color="auto"/>
                        <w:bottom w:val="none" w:sz="0" w:space="0" w:color="auto"/>
                        <w:right w:val="none" w:sz="0" w:space="0" w:color="auto"/>
                      </w:divBdr>
                    </w:div>
                  </w:divsChild>
                </w:div>
                <w:div w:id="1199926235">
                  <w:marLeft w:val="0"/>
                  <w:marRight w:val="0"/>
                  <w:marTop w:val="0"/>
                  <w:marBottom w:val="0"/>
                  <w:divBdr>
                    <w:top w:val="none" w:sz="0" w:space="0" w:color="auto"/>
                    <w:left w:val="none" w:sz="0" w:space="0" w:color="auto"/>
                    <w:bottom w:val="none" w:sz="0" w:space="0" w:color="auto"/>
                    <w:right w:val="none" w:sz="0" w:space="0" w:color="auto"/>
                  </w:divBdr>
                  <w:divsChild>
                    <w:div w:id="1094203618">
                      <w:marLeft w:val="0"/>
                      <w:marRight w:val="0"/>
                      <w:marTop w:val="0"/>
                      <w:marBottom w:val="0"/>
                      <w:divBdr>
                        <w:top w:val="none" w:sz="0" w:space="0" w:color="auto"/>
                        <w:left w:val="none" w:sz="0" w:space="0" w:color="auto"/>
                        <w:bottom w:val="none" w:sz="0" w:space="0" w:color="auto"/>
                        <w:right w:val="none" w:sz="0" w:space="0" w:color="auto"/>
                      </w:divBdr>
                    </w:div>
                  </w:divsChild>
                </w:div>
                <w:div w:id="1421635460">
                  <w:marLeft w:val="0"/>
                  <w:marRight w:val="0"/>
                  <w:marTop w:val="0"/>
                  <w:marBottom w:val="0"/>
                  <w:divBdr>
                    <w:top w:val="none" w:sz="0" w:space="0" w:color="auto"/>
                    <w:left w:val="none" w:sz="0" w:space="0" w:color="auto"/>
                    <w:bottom w:val="none" w:sz="0" w:space="0" w:color="auto"/>
                    <w:right w:val="none" w:sz="0" w:space="0" w:color="auto"/>
                  </w:divBdr>
                  <w:divsChild>
                    <w:div w:id="1734623422">
                      <w:marLeft w:val="0"/>
                      <w:marRight w:val="0"/>
                      <w:marTop w:val="0"/>
                      <w:marBottom w:val="0"/>
                      <w:divBdr>
                        <w:top w:val="none" w:sz="0" w:space="0" w:color="auto"/>
                        <w:left w:val="none" w:sz="0" w:space="0" w:color="auto"/>
                        <w:bottom w:val="none" w:sz="0" w:space="0" w:color="auto"/>
                        <w:right w:val="none" w:sz="0" w:space="0" w:color="auto"/>
                      </w:divBdr>
                    </w:div>
                  </w:divsChild>
                </w:div>
                <w:div w:id="1442264259">
                  <w:marLeft w:val="0"/>
                  <w:marRight w:val="0"/>
                  <w:marTop w:val="0"/>
                  <w:marBottom w:val="0"/>
                  <w:divBdr>
                    <w:top w:val="none" w:sz="0" w:space="0" w:color="auto"/>
                    <w:left w:val="none" w:sz="0" w:space="0" w:color="auto"/>
                    <w:bottom w:val="none" w:sz="0" w:space="0" w:color="auto"/>
                    <w:right w:val="none" w:sz="0" w:space="0" w:color="auto"/>
                  </w:divBdr>
                  <w:divsChild>
                    <w:div w:id="2058502468">
                      <w:marLeft w:val="0"/>
                      <w:marRight w:val="0"/>
                      <w:marTop w:val="0"/>
                      <w:marBottom w:val="0"/>
                      <w:divBdr>
                        <w:top w:val="none" w:sz="0" w:space="0" w:color="auto"/>
                        <w:left w:val="none" w:sz="0" w:space="0" w:color="auto"/>
                        <w:bottom w:val="none" w:sz="0" w:space="0" w:color="auto"/>
                        <w:right w:val="none" w:sz="0" w:space="0" w:color="auto"/>
                      </w:divBdr>
                    </w:div>
                  </w:divsChild>
                </w:div>
                <w:div w:id="1493251312">
                  <w:marLeft w:val="0"/>
                  <w:marRight w:val="0"/>
                  <w:marTop w:val="0"/>
                  <w:marBottom w:val="0"/>
                  <w:divBdr>
                    <w:top w:val="none" w:sz="0" w:space="0" w:color="auto"/>
                    <w:left w:val="none" w:sz="0" w:space="0" w:color="auto"/>
                    <w:bottom w:val="none" w:sz="0" w:space="0" w:color="auto"/>
                    <w:right w:val="none" w:sz="0" w:space="0" w:color="auto"/>
                  </w:divBdr>
                  <w:divsChild>
                    <w:div w:id="1291321920">
                      <w:marLeft w:val="0"/>
                      <w:marRight w:val="0"/>
                      <w:marTop w:val="0"/>
                      <w:marBottom w:val="0"/>
                      <w:divBdr>
                        <w:top w:val="none" w:sz="0" w:space="0" w:color="auto"/>
                        <w:left w:val="none" w:sz="0" w:space="0" w:color="auto"/>
                        <w:bottom w:val="none" w:sz="0" w:space="0" w:color="auto"/>
                        <w:right w:val="none" w:sz="0" w:space="0" w:color="auto"/>
                      </w:divBdr>
                    </w:div>
                  </w:divsChild>
                </w:div>
                <w:div w:id="1722053419">
                  <w:marLeft w:val="0"/>
                  <w:marRight w:val="0"/>
                  <w:marTop w:val="0"/>
                  <w:marBottom w:val="0"/>
                  <w:divBdr>
                    <w:top w:val="none" w:sz="0" w:space="0" w:color="auto"/>
                    <w:left w:val="none" w:sz="0" w:space="0" w:color="auto"/>
                    <w:bottom w:val="none" w:sz="0" w:space="0" w:color="auto"/>
                    <w:right w:val="none" w:sz="0" w:space="0" w:color="auto"/>
                  </w:divBdr>
                  <w:divsChild>
                    <w:div w:id="1508254278">
                      <w:marLeft w:val="0"/>
                      <w:marRight w:val="0"/>
                      <w:marTop w:val="0"/>
                      <w:marBottom w:val="0"/>
                      <w:divBdr>
                        <w:top w:val="none" w:sz="0" w:space="0" w:color="auto"/>
                        <w:left w:val="none" w:sz="0" w:space="0" w:color="auto"/>
                        <w:bottom w:val="none" w:sz="0" w:space="0" w:color="auto"/>
                        <w:right w:val="none" w:sz="0" w:space="0" w:color="auto"/>
                      </w:divBdr>
                    </w:div>
                  </w:divsChild>
                </w:div>
                <w:div w:id="1869105296">
                  <w:marLeft w:val="0"/>
                  <w:marRight w:val="0"/>
                  <w:marTop w:val="0"/>
                  <w:marBottom w:val="0"/>
                  <w:divBdr>
                    <w:top w:val="none" w:sz="0" w:space="0" w:color="auto"/>
                    <w:left w:val="none" w:sz="0" w:space="0" w:color="auto"/>
                    <w:bottom w:val="none" w:sz="0" w:space="0" w:color="auto"/>
                    <w:right w:val="none" w:sz="0" w:space="0" w:color="auto"/>
                  </w:divBdr>
                  <w:divsChild>
                    <w:div w:id="787546235">
                      <w:marLeft w:val="0"/>
                      <w:marRight w:val="0"/>
                      <w:marTop w:val="0"/>
                      <w:marBottom w:val="0"/>
                      <w:divBdr>
                        <w:top w:val="none" w:sz="0" w:space="0" w:color="auto"/>
                        <w:left w:val="none" w:sz="0" w:space="0" w:color="auto"/>
                        <w:bottom w:val="none" w:sz="0" w:space="0" w:color="auto"/>
                        <w:right w:val="none" w:sz="0" w:space="0" w:color="auto"/>
                      </w:divBdr>
                    </w:div>
                  </w:divsChild>
                </w:div>
                <w:div w:id="1885362839">
                  <w:marLeft w:val="0"/>
                  <w:marRight w:val="0"/>
                  <w:marTop w:val="0"/>
                  <w:marBottom w:val="0"/>
                  <w:divBdr>
                    <w:top w:val="none" w:sz="0" w:space="0" w:color="auto"/>
                    <w:left w:val="none" w:sz="0" w:space="0" w:color="auto"/>
                    <w:bottom w:val="none" w:sz="0" w:space="0" w:color="auto"/>
                    <w:right w:val="none" w:sz="0" w:space="0" w:color="auto"/>
                  </w:divBdr>
                  <w:divsChild>
                    <w:div w:id="231962952">
                      <w:marLeft w:val="0"/>
                      <w:marRight w:val="0"/>
                      <w:marTop w:val="0"/>
                      <w:marBottom w:val="0"/>
                      <w:divBdr>
                        <w:top w:val="none" w:sz="0" w:space="0" w:color="auto"/>
                        <w:left w:val="none" w:sz="0" w:space="0" w:color="auto"/>
                        <w:bottom w:val="none" w:sz="0" w:space="0" w:color="auto"/>
                        <w:right w:val="none" w:sz="0" w:space="0" w:color="auto"/>
                      </w:divBdr>
                    </w:div>
                  </w:divsChild>
                </w:div>
                <w:div w:id="1951741245">
                  <w:marLeft w:val="0"/>
                  <w:marRight w:val="0"/>
                  <w:marTop w:val="0"/>
                  <w:marBottom w:val="0"/>
                  <w:divBdr>
                    <w:top w:val="none" w:sz="0" w:space="0" w:color="auto"/>
                    <w:left w:val="none" w:sz="0" w:space="0" w:color="auto"/>
                    <w:bottom w:val="none" w:sz="0" w:space="0" w:color="auto"/>
                    <w:right w:val="none" w:sz="0" w:space="0" w:color="auto"/>
                  </w:divBdr>
                  <w:divsChild>
                    <w:div w:id="8692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48769">
      <w:bodyDiv w:val="1"/>
      <w:marLeft w:val="0"/>
      <w:marRight w:val="0"/>
      <w:marTop w:val="0"/>
      <w:marBottom w:val="0"/>
      <w:divBdr>
        <w:top w:val="none" w:sz="0" w:space="0" w:color="auto"/>
        <w:left w:val="none" w:sz="0" w:space="0" w:color="auto"/>
        <w:bottom w:val="none" w:sz="0" w:space="0" w:color="auto"/>
        <w:right w:val="none" w:sz="0" w:space="0" w:color="auto"/>
      </w:divBdr>
    </w:div>
    <w:div w:id="947852350">
      <w:bodyDiv w:val="1"/>
      <w:marLeft w:val="0"/>
      <w:marRight w:val="0"/>
      <w:marTop w:val="0"/>
      <w:marBottom w:val="0"/>
      <w:divBdr>
        <w:top w:val="none" w:sz="0" w:space="0" w:color="auto"/>
        <w:left w:val="none" w:sz="0" w:space="0" w:color="auto"/>
        <w:bottom w:val="none" w:sz="0" w:space="0" w:color="auto"/>
        <w:right w:val="none" w:sz="0" w:space="0" w:color="auto"/>
      </w:divBdr>
    </w:div>
    <w:div w:id="1177649061">
      <w:bodyDiv w:val="1"/>
      <w:marLeft w:val="0"/>
      <w:marRight w:val="0"/>
      <w:marTop w:val="0"/>
      <w:marBottom w:val="0"/>
      <w:divBdr>
        <w:top w:val="none" w:sz="0" w:space="0" w:color="auto"/>
        <w:left w:val="none" w:sz="0" w:space="0" w:color="auto"/>
        <w:bottom w:val="none" w:sz="0" w:space="0" w:color="auto"/>
        <w:right w:val="none" w:sz="0" w:space="0" w:color="auto"/>
      </w:divBdr>
    </w:div>
    <w:div w:id="1224415789">
      <w:bodyDiv w:val="1"/>
      <w:marLeft w:val="0"/>
      <w:marRight w:val="0"/>
      <w:marTop w:val="0"/>
      <w:marBottom w:val="0"/>
      <w:divBdr>
        <w:top w:val="none" w:sz="0" w:space="0" w:color="auto"/>
        <w:left w:val="none" w:sz="0" w:space="0" w:color="auto"/>
        <w:bottom w:val="none" w:sz="0" w:space="0" w:color="auto"/>
        <w:right w:val="none" w:sz="0" w:space="0" w:color="auto"/>
      </w:divBdr>
    </w:div>
    <w:div w:id="1257254890">
      <w:bodyDiv w:val="1"/>
      <w:marLeft w:val="0"/>
      <w:marRight w:val="0"/>
      <w:marTop w:val="0"/>
      <w:marBottom w:val="0"/>
      <w:divBdr>
        <w:top w:val="none" w:sz="0" w:space="0" w:color="auto"/>
        <w:left w:val="none" w:sz="0" w:space="0" w:color="auto"/>
        <w:bottom w:val="none" w:sz="0" w:space="0" w:color="auto"/>
        <w:right w:val="none" w:sz="0" w:space="0" w:color="auto"/>
      </w:divBdr>
      <w:divsChild>
        <w:div w:id="83696306">
          <w:marLeft w:val="0"/>
          <w:marRight w:val="0"/>
          <w:marTop w:val="0"/>
          <w:marBottom w:val="0"/>
          <w:divBdr>
            <w:top w:val="none" w:sz="0" w:space="0" w:color="auto"/>
            <w:left w:val="none" w:sz="0" w:space="0" w:color="auto"/>
            <w:bottom w:val="none" w:sz="0" w:space="0" w:color="auto"/>
            <w:right w:val="none" w:sz="0" w:space="0" w:color="auto"/>
          </w:divBdr>
          <w:divsChild>
            <w:div w:id="232814562">
              <w:marLeft w:val="0"/>
              <w:marRight w:val="0"/>
              <w:marTop w:val="0"/>
              <w:marBottom w:val="0"/>
              <w:divBdr>
                <w:top w:val="none" w:sz="0" w:space="0" w:color="auto"/>
                <w:left w:val="none" w:sz="0" w:space="0" w:color="auto"/>
                <w:bottom w:val="none" w:sz="0" w:space="0" w:color="auto"/>
                <w:right w:val="none" w:sz="0" w:space="0" w:color="auto"/>
              </w:divBdr>
            </w:div>
            <w:div w:id="934823764">
              <w:marLeft w:val="0"/>
              <w:marRight w:val="0"/>
              <w:marTop w:val="0"/>
              <w:marBottom w:val="0"/>
              <w:divBdr>
                <w:top w:val="none" w:sz="0" w:space="0" w:color="auto"/>
                <w:left w:val="none" w:sz="0" w:space="0" w:color="auto"/>
                <w:bottom w:val="none" w:sz="0" w:space="0" w:color="auto"/>
                <w:right w:val="none" w:sz="0" w:space="0" w:color="auto"/>
              </w:divBdr>
            </w:div>
          </w:divsChild>
        </w:div>
        <w:div w:id="931931511">
          <w:marLeft w:val="0"/>
          <w:marRight w:val="0"/>
          <w:marTop w:val="0"/>
          <w:marBottom w:val="0"/>
          <w:divBdr>
            <w:top w:val="none" w:sz="0" w:space="0" w:color="auto"/>
            <w:left w:val="none" w:sz="0" w:space="0" w:color="auto"/>
            <w:bottom w:val="none" w:sz="0" w:space="0" w:color="auto"/>
            <w:right w:val="none" w:sz="0" w:space="0" w:color="auto"/>
          </w:divBdr>
          <w:divsChild>
            <w:div w:id="174612822">
              <w:marLeft w:val="0"/>
              <w:marRight w:val="0"/>
              <w:marTop w:val="30"/>
              <w:marBottom w:val="30"/>
              <w:divBdr>
                <w:top w:val="none" w:sz="0" w:space="0" w:color="auto"/>
                <w:left w:val="none" w:sz="0" w:space="0" w:color="auto"/>
                <w:bottom w:val="none" w:sz="0" w:space="0" w:color="auto"/>
                <w:right w:val="none" w:sz="0" w:space="0" w:color="auto"/>
              </w:divBdr>
              <w:divsChild>
                <w:div w:id="13308960">
                  <w:marLeft w:val="0"/>
                  <w:marRight w:val="0"/>
                  <w:marTop w:val="0"/>
                  <w:marBottom w:val="0"/>
                  <w:divBdr>
                    <w:top w:val="none" w:sz="0" w:space="0" w:color="auto"/>
                    <w:left w:val="none" w:sz="0" w:space="0" w:color="auto"/>
                    <w:bottom w:val="none" w:sz="0" w:space="0" w:color="auto"/>
                    <w:right w:val="none" w:sz="0" w:space="0" w:color="auto"/>
                  </w:divBdr>
                  <w:divsChild>
                    <w:div w:id="820315600">
                      <w:marLeft w:val="0"/>
                      <w:marRight w:val="0"/>
                      <w:marTop w:val="0"/>
                      <w:marBottom w:val="0"/>
                      <w:divBdr>
                        <w:top w:val="none" w:sz="0" w:space="0" w:color="auto"/>
                        <w:left w:val="none" w:sz="0" w:space="0" w:color="auto"/>
                        <w:bottom w:val="none" w:sz="0" w:space="0" w:color="auto"/>
                        <w:right w:val="none" w:sz="0" w:space="0" w:color="auto"/>
                      </w:divBdr>
                    </w:div>
                  </w:divsChild>
                </w:div>
                <w:div w:id="149105283">
                  <w:marLeft w:val="0"/>
                  <w:marRight w:val="0"/>
                  <w:marTop w:val="0"/>
                  <w:marBottom w:val="0"/>
                  <w:divBdr>
                    <w:top w:val="none" w:sz="0" w:space="0" w:color="auto"/>
                    <w:left w:val="none" w:sz="0" w:space="0" w:color="auto"/>
                    <w:bottom w:val="none" w:sz="0" w:space="0" w:color="auto"/>
                    <w:right w:val="none" w:sz="0" w:space="0" w:color="auto"/>
                  </w:divBdr>
                  <w:divsChild>
                    <w:div w:id="1692756940">
                      <w:marLeft w:val="0"/>
                      <w:marRight w:val="0"/>
                      <w:marTop w:val="0"/>
                      <w:marBottom w:val="0"/>
                      <w:divBdr>
                        <w:top w:val="none" w:sz="0" w:space="0" w:color="auto"/>
                        <w:left w:val="none" w:sz="0" w:space="0" w:color="auto"/>
                        <w:bottom w:val="none" w:sz="0" w:space="0" w:color="auto"/>
                        <w:right w:val="none" w:sz="0" w:space="0" w:color="auto"/>
                      </w:divBdr>
                    </w:div>
                  </w:divsChild>
                </w:div>
                <w:div w:id="182136487">
                  <w:marLeft w:val="0"/>
                  <w:marRight w:val="0"/>
                  <w:marTop w:val="0"/>
                  <w:marBottom w:val="0"/>
                  <w:divBdr>
                    <w:top w:val="none" w:sz="0" w:space="0" w:color="auto"/>
                    <w:left w:val="none" w:sz="0" w:space="0" w:color="auto"/>
                    <w:bottom w:val="none" w:sz="0" w:space="0" w:color="auto"/>
                    <w:right w:val="none" w:sz="0" w:space="0" w:color="auto"/>
                  </w:divBdr>
                  <w:divsChild>
                    <w:div w:id="635380662">
                      <w:marLeft w:val="0"/>
                      <w:marRight w:val="0"/>
                      <w:marTop w:val="0"/>
                      <w:marBottom w:val="0"/>
                      <w:divBdr>
                        <w:top w:val="none" w:sz="0" w:space="0" w:color="auto"/>
                        <w:left w:val="none" w:sz="0" w:space="0" w:color="auto"/>
                        <w:bottom w:val="none" w:sz="0" w:space="0" w:color="auto"/>
                        <w:right w:val="none" w:sz="0" w:space="0" w:color="auto"/>
                      </w:divBdr>
                    </w:div>
                  </w:divsChild>
                </w:div>
                <w:div w:id="326396790">
                  <w:marLeft w:val="0"/>
                  <w:marRight w:val="0"/>
                  <w:marTop w:val="0"/>
                  <w:marBottom w:val="0"/>
                  <w:divBdr>
                    <w:top w:val="none" w:sz="0" w:space="0" w:color="auto"/>
                    <w:left w:val="none" w:sz="0" w:space="0" w:color="auto"/>
                    <w:bottom w:val="none" w:sz="0" w:space="0" w:color="auto"/>
                    <w:right w:val="none" w:sz="0" w:space="0" w:color="auto"/>
                  </w:divBdr>
                  <w:divsChild>
                    <w:div w:id="1651591797">
                      <w:marLeft w:val="0"/>
                      <w:marRight w:val="0"/>
                      <w:marTop w:val="0"/>
                      <w:marBottom w:val="0"/>
                      <w:divBdr>
                        <w:top w:val="none" w:sz="0" w:space="0" w:color="auto"/>
                        <w:left w:val="none" w:sz="0" w:space="0" w:color="auto"/>
                        <w:bottom w:val="none" w:sz="0" w:space="0" w:color="auto"/>
                        <w:right w:val="none" w:sz="0" w:space="0" w:color="auto"/>
                      </w:divBdr>
                    </w:div>
                  </w:divsChild>
                </w:div>
                <w:div w:id="746078568">
                  <w:marLeft w:val="0"/>
                  <w:marRight w:val="0"/>
                  <w:marTop w:val="0"/>
                  <w:marBottom w:val="0"/>
                  <w:divBdr>
                    <w:top w:val="none" w:sz="0" w:space="0" w:color="auto"/>
                    <w:left w:val="none" w:sz="0" w:space="0" w:color="auto"/>
                    <w:bottom w:val="none" w:sz="0" w:space="0" w:color="auto"/>
                    <w:right w:val="none" w:sz="0" w:space="0" w:color="auto"/>
                  </w:divBdr>
                  <w:divsChild>
                    <w:div w:id="1868791421">
                      <w:marLeft w:val="0"/>
                      <w:marRight w:val="0"/>
                      <w:marTop w:val="0"/>
                      <w:marBottom w:val="0"/>
                      <w:divBdr>
                        <w:top w:val="none" w:sz="0" w:space="0" w:color="auto"/>
                        <w:left w:val="none" w:sz="0" w:space="0" w:color="auto"/>
                        <w:bottom w:val="none" w:sz="0" w:space="0" w:color="auto"/>
                        <w:right w:val="none" w:sz="0" w:space="0" w:color="auto"/>
                      </w:divBdr>
                    </w:div>
                  </w:divsChild>
                </w:div>
                <w:div w:id="1134104518">
                  <w:marLeft w:val="0"/>
                  <w:marRight w:val="0"/>
                  <w:marTop w:val="0"/>
                  <w:marBottom w:val="0"/>
                  <w:divBdr>
                    <w:top w:val="none" w:sz="0" w:space="0" w:color="auto"/>
                    <w:left w:val="none" w:sz="0" w:space="0" w:color="auto"/>
                    <w:bottom w:val="none" w:sz="0" w:space="0" w:color="auto"/>
                    <w:right w:val="none" w:sz="0" w:space="0" w:color="auto"/>
                  </w:divBdr>
                  <w:divsChild>
                    <w:div w:id="492569882">
                      <w:marLeft w:val="0"/>
                      <w:marRight w:val="0"/>
                      <w:marTop w:val="0"/>
                      <w:marBottom w:val="0"/>
                      <w:divBdr>
                        <w:top w:val="none" w:sz="0" w:space="0" w:color="auto"/>
                        <w:left w:val="none" w:sz="0" w:space="0" w:color="auto"/>
                        <w:bottom w:val="none" w:sz="0" w:space="0" w:color="auto"/>
                        <w:right w:val="none" w:sz="0" w:space="0" w:color="auto"/>
                      </w:divBdr>
                    </w:div>
                  </w:divsChild>
                </w:div>
                <w:div w:id="1159808565">
                  <w:marLeft w:val="0"/>
                  <w:marRight w:val="0"/>
                  <w:marTop w:val="0"/>
                  <w:marBottom w:val="0"/>
                  <w:divBdr>
                    <w:top w:val="none" w:sz="0" w:space="0" w:color="auto"/>
                    <w:left w:val="none" w:sz="0" w:space="0" w:color="auto"/>
                    <w:bottom w:val="none" w:sz="0" w:space="0" w:color="auto"/>
                    <w:right w:val="none" w:sz="0" w:space="0" w:color="auto"/>
                  </w:divBdr>
                  <w:divsChild>
                    <w:div w:id="8071650">
                      <w:marLeft w:val="0"/>
                      <w:marRight w:val="0"/>
                      <w:marTop w:val="0"/>
                      <w:marBottom w:val="0"/>
                      <w:divBdr>
                        <w:top w:val="none" w:sz="0" w:space="0" w:color="auto"/>
                        <w:left w:val="none" w:sz="0" w:space="0" w:color="auto"/>
                        <w:bottom w:val="none" w:sz="0" w:space="0" w:color="auto"/>
                        <w:right w:val="none" w:sz="0" w:space="0" w:color="auto"/>
                      </w:divBdr>
                    </w:div>
                  </w:divsChild>
                </w:div>
                <w:div w:id="1237671661">
                  <w:marLeft w:val="0"/>
                  <w:marRight w:val="0"/>
                  <w:marTop w:val="0"/>
                  <w:marBottom w:val="0"/>
                  <w:divBdr>
                    <w:top w:val="none" w:sz="0" w:space="0" w:color="auto"/>
                    <w:left w:val="none" w:sz="0" w:space="0" w:color="auto"/>
                    <w:bottom w:val="none" w:sz="0" w:space="0" w:color="auto"/>
                    <w:right w:val="none" w:sz="0" w:space="0" w:color="auto"/>
                  </w:divBdr>
                  <w:divsChild>
                    <w:div w:id="195047533">
                      <w:marLeft w:val="0"/>
                      <w:marRight w:val="0"/>
                      <w:marTop w:val="0"/>
                      <w:marBottom w:val="0"/>
                      <w:divBdr>
                        <w:top w:val="none" w:sz="0" w:space="0" w:color="auto"/>
                        <w:left w:val="none" w:sz="0" w:space="0" w:color="auto"/>
                        <w:bottom w:val="none" w:sz="0" w:space="0" w:color="auto"/>
                        <w:right w:val="none" w:sz="0" w:space="0" w:color="auto"/>
                      </w:divBdr>
                    </w:div>
                  </w:divsChild>
                </w:div>
                <w:div w:id="1246263719">
                  <w:marLeft w:val="0"/>
                  <w:marRight w:val="0"/>
                  <w:marTop w:val="0"/>
                  <w:marBottom w:val="0"/>
                  <w:divBdr>
                    <w:top w:val="none" w:sz="0" w:space="0" w:color="auto"/>
                    <w:left w:val="none" w:sz="0" w:space="0" w:color="auto"/>
                    <w:bottom w:val="none" w:sz="0" w:space="0" w:color="auto"/>
                    <w:right w:val="none" w:sz="0" w:space="0" w:color="auto"/>
                  </w:divBdr>
                  <w:divsChild>
                    <w:div w:id="207692054">
                      <w:marLeft w:val="0"/>
                      <w:marRight w:val="0"/>
                      <w:marTop w:val="0"/>
                      <w:marBottom w:val="0"/>
                      <w:divBdr>
                        <w:top w:val="none" w:sz="0" w:space="0" w:color="auto"/>
                        <w:left w:val="none" w:sz="0" w:space="0" w:color="auto"/>
                        <w:bottom w:val="none" w:sz="0" w:space="0" w:color="auto"/>
                        <w:right w:val="none" w:sz="0" w:space="0" w:color="auto"/>
                      </w:divBdr>
                    </w:div>
                  </w:divsChild>
                </w:div>
                <w:div w:id="1355380623">
                  <w:marLeft w:val="0"/>
                  <w:marRight w:val="0"/>
                  <w:marTop w:val="0"/>
                  <w:marBottom w:val="0"/>
                  <w:divBdr>
                    <w:top w:val="none" w:sz="0" w:space="0" w:color="auto"/>
                    <w:left w:val="none" w:sz="0" w:space="0" w:color="auto"/>
                    <w:bottom w:val="none" w:sz="0" w:space="0" w:color="auto"/>
                    <w:right w:val="none" w:sz="0" w:space="0" w:color="auto"/>
                  </w:divBdr>
                  <w:divsChild>
                    <w:div w:id="1067996592">
                      <w:marLeft w:val="0"/>
                      <w:marRight w:val="0"/>
                      <w:marTop w:val="0"/>
                      <w:marBottom w:val="0"/>
                      <w:divBdr>
                        <w:top w:val="none" w:sz="0" w:space="0" w:color="auto"/>
                        <w:left w:val="none" w:sz="0" w:space="0" w:color="auto"/>
                        <w:bottom w:val="none" w:sz="0" w:space="0" w:color="auto"/>
                        <w:right w:val="none" w:sz="0" w:space="0" w:color="auto"/>
                      </w:divBdr>
                    </w:div>
                  </w:divsChild>
                </w:div>
                <w:div w:id="1359240566">
                  <w:marLeft w:val="0"/>
                  <w:marRight w:val="0"/>
                  <w:marTop w:val="0"/>
                  <w:marBottom w:val="0"/>
                  <w:divBdr>
                    <w:top w:val="none" w:sz="0" w:space="0" w:color="auto"/>
                    <w:left w:val="none" w:sz="0" w:space="0" w:color="auto"/>
                    <w:bottom w:val="none" w:sz="0" w:space="0" w:color="auto"/>
                    <w:right w:val="none" w:sz="0" w:space="0" w:color="auto"/>
                  </w:divBdr>
                  <w:divsChild>
                    <w:div w:id="900024407">
                      <w:marLeft w:val="0"/>
                      <w:marRight w:val="0"/>
                      <w:marTop w:val="0"/>
                      <w:marBottom w:val="0"/>
                      <w:divBdr>
                        <w:top w:val="none" w:sz="0" w:space="0" w:color="auto"/>
                        <w:left w:val="none" w:sz="0" w:space="0" w:color="auto"/>
                        <w:bottom w:val="none" w:sz="0" w:space="0" w:color="auto"/>
                        <w:right w:val="none" w:sz="0" w:space="0" w:color="auto"/>
                      </w:divBdr>
                    </w:div>
                  </w:divsChild>
                </w:div>
                <w:div w:id="1387605080">
                  <w:marLeft w:val="0"/>
                  <w:marRight w:val="0"/>
                  <w:marTop w:val="0"/>
                  <w:marBottom w:val="0"/>
                  <w:divBdr>
                    <w:top w:val="none" w:sz="0" w:space="0" w:color="auto"/>
                    <w:left w:val="none" w:sz="0" w:space="0" w:color="auto"/>
                    <w:bottom w:val="none" w:sz="0" w:space="0" w:color="auto"/>
                    <w:right w:val="none" w:sz="0" w:space="0" w:color="auto"/>
                  </w:divBdr>
                  <w:divsChild>
                    <w:div w:id="965046268">
                      <w:marLeft w:val="0"/>
                      <w:marRight w:val="0"/>
                      <w:marTop w:val="0"/>
                      <w:marBottom w:val="0"/>
                      <w:divBdr>
                        <w:top w:val="none" w:sz="0" w:space="0" w:color="auto"/>
                        <w:left w:val="none" w:sz="0" w:space="0" w:color="auto"/>
                        <w:bottom w:val="none" w:sz="0" w:space="0" w:color="auto"/>
                        <w:right w:val="none" w:sz="0" w:space="0" w:color="auto"/>
                      </w:divBdr>
                    </w:div>
                  </w:divsChild>
                </w:div>
                <w:div w:id="1495484973">
                  <w:marLeft w:val="0"/>
                  <w:marRight w:val="0"/>
                  <w:marTop w:val="0"/>
                  <w:marBottom w:val="0"/>
                  <w:divBdr>
                    <w:top w:val="none" w:sz="0" w:space="0" w:color="auto"/>
                    <w:left w:val="none" w:sz="0" w:space="0" w:color="auto"/>
                    <w:bottom w:val="none" w:sz="0" w:space="0" w:color="auto"/>
                    <w:right w:val="none" w:sz="0" w:space="0" w:color="auto"/>
                  </w:divBdr>
                  <w:divsChild>
                    <w:div w:id="1024748520">
                      <w:marLeft w:val="0"/>
                      <w:marRight w:val="0"/>
                      <w:marTop w:val="0"/>
                      <w:marBottom w:val="0"/>
                      <w:divBdr>
                        <w:top w:val="none" w:sz="0" w:space="0" w:color="auto"/>
                        <w:left w:val="none" w:sz="0" w:space="0" w:color="auto"/>
                        <w:bottom w:val="none" w:sz="0" w:space="0" w:color="auto"/>
                        <w:right w:val="none" w:sz="0" w:space="0" w:color="auto"/>
                      </w:divBdr>
                    </w:div>
                  </w:divsChild>
                </w:div>
                <w:div w:id="1558124908">
                  <w:marLeft w:val="0"/>
                  <w:marRight w:val="0"/>
                  <w:marTop w:val="0"/>
                  <w:marBottom w:val="0"/>
                  <w:divBdr>
                    <w:top w:val="none" w:sz="0" w:space="0" w:color="auto"/>
                    <w:left w:val="none" w:sz="0" w:space="0" w:color="auto"/>
                    <w:bottom w:val="none" w:sz="0" w:space="0" w:color="auto"/>
                    <w:right w:val="none" w:sz="0" w:space="0" w:color="auto"/>
                  </w:divBdr>
                  <w:divsChild>
                    <w:div w:id="1052924907">
                      <w:marLeft w:val="0"/>
                      <w:marRight w:val="0"/>
                      <w:marTop w:val="0"/>
                      <w:marBottom w:val="0"/>
                      <w:divBdr>
                        <w:top w:val="none" w:sz="0" w:space="0" w:color="auto"/>
                        <w:left w:val="none" w:sz="0" w:space="0" w:color="auto"/>
                        <w:bottom w:val="none" w:sz="0" w:space="0" w:color="auto"/>
                        <w:right w:val="none" w:sz="0" w:space="0" w:color="auto"/>
                      </w:divBdr>
                    </w:div>
                  </w:divsChild>
                </w:div>
                <w:div w:id="1592541198">
                  <w:marLeft w:val="0"/>
                  <w:marRight w:val="0"/>
                  <w:marTop w:val="0"/>
                  <w:marBottom w:val="0"/>
                  <w:divBdr>
                    <w:top w:val="none" w:sz="0" w:space="0" w:color="auto"/>
                    <w:left w:val="none" w:sz="0" w:space="0" w:color="auto"/>
                    <w:bottom w:val="none" w:sz="0" w:space="0" w:color="auto"/>
                    <w:right w:val="none" w:sz="0" w:space="0" w:color="auto"/>
                  </w:divBdr>
                  <w:divsChild>
                    <w:div w:id="1303195620">
                      <w:marLeft w:val="0"/>
                      <w:marRight w:val="0"/>
                      <w:marTop w:val="0"/>
                      <w:marBottom w:val="0"/>
                      <w:divBdr>
                        <w:top w:val="none" w:sz="0" w:space="0" w:color="auto"/>
                        <w:left w:val="none" w:sz="0" w:space="0" w:color="auto"/>
                        <w:bottom w:val="none" w:sz="0" w:space="0" w:color="auto"/>
                        <w:right w:val="none" w:sz="0" w:space="0" w:color="auto"/>
                      </w:divBdr>
                    </w:div>
                  </w:divsChild>
                </w:div>
                <w:div w:id="1610508505">
                  <w:marLeft w:val="0"/>
                  <w:marRight w:val="0"/>
                  <w:marTop w:val="0"/>
                  <w:marBottom w:val="0"/>
                  <w:divBdr>
                    <w:top w:val="none" w:sz="0" w:space="0" w:color="auto"/>
                    <w:left w:val="none" w:sz="0" w:space="0" w:color="auto"/>
                    <w:bottom w:val="none" w:sz="0" w:space="0" w:color="auto"/>
                    <w:right w:val="none" w:sz="0" w:space="0" w:color="auto"/>
                  </w:divBdr>
                  <w:divsChild>
                    <w:div w:id="1117017850">
                      <w:marLeft w:val="0"/>
                      <w:marRight w:val="0"/>
                      <w:marTop w:val="0"/>
                      <w:marBottom w:val="0"/>
                      <w:divBdr>
                        <w:top w:val="none" w:sz="0" w:space="0" w:color="auto"/>
                        <w:left w:val="none" w:sz="0" w:space="0" w:color="auto"/>
                        <w:bottom w:val="none" w:sz="0" w:space="0" w:color="auto"/>
                        <w:right w:val="none" w:sz="0" w:space="0" w:color="auto"/>
                      </w:divBdr>
                    </w:div>
                  </w:divsChild>
                </w:div>
                <w:div w:id="1735277063">
                  <w:marLeft w:val="0"/>
                  <w:marRight w:val="0"/>
                  <w:marTop w:val="0"/>
                  <w:marBottom w:val="0"/>
                  <w:divBdr>
                    <w:top w:val="none" w:sz="0" w:space="0" w:color="auto"/>
                    <w:left w:val="none" w:sz="0" w:space="0" w:color="auto"/>
                    <w:bottom w:val="none" w:sz="0" w:space="0" w:color="auto"/>
                    <w:right w:val="none" w:sz="0" w:space="0" w:color="auto"/>
                  </w:divBdr>
                  <w:divsChild>
                    <w:div w:id="1424380099">
                      <w:marLeft w:val="0"/>
                      <w:marRight w:val="0"/>
                      <w:marTop w:val="0"/>
                      <w:marBottom w:val="0"/>
                      <w:divBdr>
                        <w:top w:val="none" w:sz="0" w:space="0" w:color="auto"/>
                        <w:left w:val="none" w:sz="0" w:space="0" w:color="auto"/>
                        <w:bottom w:val="none" w:sz="0" w:space="0" w:color="auto"/>
                        <w:right w:val="none" w:sz="0" w:space="0" w:color="auto"/>
                      </w:divBdr>
                    </w:div>
                  </w:divsChild>
                </w:div>
                <w:div w:id="2133667512">
                  <w:marLeft w:val="0"/>
                  <w:marRight w:val="0"/>
                  <w:marTop w:val="0"/>
                  <w:marBottom w:val="0"/>
                  <w:divBdr>
                    <w:top w:val="none" w:sz="0" w:space="0" w:color="auto"/>
                    <w:left w:val="none" w:sz="0" w:space="0" w:color="auto"/>
                    <w:bottom w:val="none" w:sz="0" w:space="0" w:color="auto"/>
                    <w:right w:val="none" w:sz="0" w:space="0" w:color="auto"/>
                  </w:divBdr>
                  <w:divsChild>
                    <w:div w:id="12012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15657">
          <w:marLeft w:val="0"/>
          <w:marRight w:val="0"/>
          <w:marTop w:val="0"/>
          <w:marBottom w:val="0"/>
          <w:divBdr>
            <w:top w:val="none" w:sz="0" w:space="0" w:color="auto"/>
            <w:left w:val="none" w:sz="0" w:space="0" w:color="auto"/>
            <w:bottom w:val="none" w:sz="0" w:space="0" w:color="auto"/>
            <w:right w:val="none" w:sz="0" w:space="0" w:color="auto"/>
          </w:divBdr>
          <w:divsChild>
            <w:div w:id="1993946792">
              <w:marLeft w:val="0"/>
              <w:marRight w:val="0"/>
              <w:marTop w:val="30"/>
              <w:marBottom w:val="30"/>
              <w:divBdr>
                <w:top w:val="none" w:sz="0" w:space="0" w:color="auto"/>
                <w:left w:val="none" w:sz="0" w:space="0" w:color="auto"/>
                <w:bottom w:val="none" w:sz="0" w:space="0" w:color="auto"/>
                <w:right w:val="none" w:sz="0" w:space="0" w:color="auto"/>
              </w:divBdr>
              <w:divsChild>
                <w:div w:id="29114556">
                  <w:marLeft w:val="0"/>
                  <w:marRight w:val="0"/>
                  <w:marTop w:val="0"/>
                  <w:marBottom w:val="0"/>
                  <w:divBdr>
                    <w:top w:val="none" w:sz="0" w:space="0" w:color="auto"/>
                    <w:left w:val="none" w:sz="0" w:space="0" w:color="auto"/>
                    <w:bottom w:val="none" w:sz="0" w:space="0" w:color="auto"/>
                    <w:right w:val="none" w:sz="0" w:space="0" w:color="auto"/>
                  </w:divBdr>
                  <w:divsChild>
                    <w:div w:id="198398148">
                      <w:marLeft w:val="0"/>
                      <w:marRight w:val="0"/>
                      <w:marTop w:val="0"/>
                      <w:marBottom w:val="0"/>
                      <w:divBdr>
                        <w:top w:val="none" w:sz="0" w:space="0" w:color="auto"/>
                        <w:left w:val="none" w:sz="0" w:space="0" w:color="auto"/>
                        <w:bottom w:val="none" w:sz="0" w:space="0" w:color="auto"/>
                        <w:right w:val="none" w:sz="0" w:space="0" w:color="auto"/>
                      </w:divBdr>
                    </w:div>
                  </w:divsChild>
                </w:div>
                <w:div w:id="86656783">
                  <w:marLeft w:val="0"/>
                  <w:marRight w:val="0"/>
                  <w:marTop w:val="0"/>
                  <w:marBottom w:val="0"/>
                  <w:divBdr>
                    <w:top w:val="none" w:sz="0" w:space="0" w:color="auto"/>
                    <w:left w:val="none" w:sz="0" w:space="0" w:color="auto"/>
                    <w:bottom w:val="none" w:sz="0" w:space="0" w:color="auto"/>
                    <w:right w:val="none" w:sz="0" w:space="0" w:color="auto"/>
                  </w:divBdr>
                  <w:divsChild>
                    <w:div w:id="700395046">
                      <w:marLeft w:val="0"/>
                      <w:marRight w:val="0"/>
                      <w:marTop w:val="0"/>
                      <w:marBottom w:val="0"/>
                      <w:divBdr>
                        <w:top w:val="none" w:sz="0" w:space="0" w:color="auto"/>
                        <w:left w:val="none" w:sz="0" w:space="0" w:color="auto"/>
                        <w:bottom w:val="none" w:sz="0" w:space="0" w:color="auto"/>
                        <w:right w:val="none" w:sz="0" w:space="0" w:color="auto"/>
                      </w:divBdr>
                    </w:div>
                  </w:divsChild>
                </w:div>
                <w:div w:id="218833796">
                  <w:marLeft w:val="0"/>
                  <w:marRight w:val="0"/>
                  <w:marTop w:val="0"/>
                  <w:marBottom w:val="0"/>
                  <w:divBdr>
                    <w:top w:val="none" w:sz="0" w:space="0" w:color="auto"/>
                    <w:left w:val="none" w:sz="0" w:space="0" w:color="auto"/>
                    <w:bottom w:val="none" w:sz="0" w:space="0" w:color="auto"/>
                    <w:right w:val="none" w:sz="0" w:space="0" w:color="auto"/>
                  </w:divBdr>
                  <w:divsChild>
                    <w:div w:id="1807356396">
                      <w:marLeft w:val="0"/>
                      <w:marRight w:val="0"/>
                      <w:marTop w:val="0"/>
                      <w:marBottom w:val="0"/>
                      <w:divBdr>
                        <w:top w:val="none" w:sz="0" w:space="0" w:color="auto"/>
                        <w:left w:val="none" w:sz="0" w:space="0" w:color="auto"/>
                        <w:bottom w:val="none" w:sz="0" w:space="0" w:color="auto"/>
                        <w:right w:val="none" w:sz="0" w:space="0" w:color="auto"/>
                      </w:divBdr>
                    </w:div>
                  </w:divsChild>
                </w:div>
                <w:div w:id="499275420">
                  <w:marLeft w:val="0"/>
                  <w:marRight w:val="0"/>
                  <w:marTop w:val="0"/>
                  <w:marBottom w:val="0"/>
                  <w:divBdr>
                    <w:top w:val="none" w:sz="0" w:space="0" w:color="auto"/>
                    <w:left w:val="none" w:sz="0" w:space="0" w:color="auto"/>
                    <w:bottom w:val="none" w:sz="0" w:space="0" w:color="auto"/>
                    <w:right w:val="none" w:sz="0" w:space="0" w:color="auto"/>
                  </w:divBdr>
                  <w:divsChild>
                    <w:div w:id="1981302296">
                      <w:marLeft w:val="0"/>
                      <w:marRight w:val="0"/>
                      <w:marTop w:val="0"/>
                      <w:marBottom w:val="0"/>
                      <w:divBdr>
                        <w:top w:val="none" w:sz="0" w:space="0" w:color="auto"/>
                        <w:left w:val="none" w:sz="0" w:space="0" w:color="auto"/>
                        <w:bottom w:val="none" w:sz="0" w:space="0" w:color="auto"/>
                        <w:right w:val="none" w:sz="0" w:space="0" w:color="auto"/>
                      </w:divBdr>
                    </w:div>
                  </w:divsChild>
                </w:div>
                <w:div w:id="702095729">
                  <w:marLeft w:val="0"/>
                  <w:marRight w:val="0"/>
                  <w:marTop w:val="0"/>
                  <w:marBottom w:val="0"/>
                  <w:divBdr>
                    <w:top w:val="none" w:sz="0" w:space="0" w:color="auto"/>
                    <w:left w:val="none" w:sz="0" w:space="0" w:color="auto"/>
                    <w:bottom w:val="none" w:sz="0" w:space="0" w:color="auto"/>
                    <w:right w:val="none" w:sz="0" w:space="0" w:color="auto"/>
                  </w:divBdr>
                  <w:divsChild>
                    <w:div w:id="979113843">
                      <w:marLeft w:val="0"/>
                      <w:marRight w:val="0"/>
                      <w:marTop w:val="0"/>
                      <w:marBottom w:val="0"/>
                      <w:divBdr>
                        <w:top w:val="none" w:sz="0" w:space="0" w:color="auto"/>
                        <w:left w:val="none" w:sz="0" w:space="0" w:color="auto"/>
                        <w:bottom w:val="none" w:sz="0" w:space="0" w:color="auto"/>
                        <w:right w:val="none" w:sz="0" w:space="0" w:color="auto"/>
                      </w:divBdr>
                    </w:div>
                  </w:divsChild>
                </w:div>
                <w:div w:id="920220584">
                  <w:marLeft w:val="0"/>
                  <w:marRight w:val="0"/>
                  <w:marTop w:val="0"/>
                  <w:marBottom w:val="0"/>
                  <w:divBdr>
                    <w:top w:val="none" w:sz="0" w:space="0" w:color="auto"/>
                    <w:left w:val="none" w:sz="0" w:space="0" w:color="auto"/>
                    <w:bottom w:val="none" w:sz="0" w:space="0" w:color="auto"/>
                    <w:right w:val="none" w:sz="0" w:space="0" w:color="auto"/>
                  </w:divBdr>
                  <w:divsChild>
                    <w:div w:id="928974383">
                      <w:marLeft w:val="0"/>
                      <w:marRight w:val="0"/>
                      <w:marTop w:val="0"/>
                      <w:marBottom w:val="0"/>
                      <w:divBdr>
                        <w:top w:val="none" w:sz="0" w:space="0" w:color="auto"/>
                        <w:left w:val="none" w:sz="0" w:space="0" w:color="auto"/>
                        <w:bottom w:val="none" w:sz="0" w:space="0" w:color="auto"/>
                        <w:right w:val="none" w:sz="0" w:space="0" w:color="auto"/>
                      </w:divBdr>
                    </w:div>
                  </w:divsChild>
                </w:div>
                <w:div w:id="1070345196">
                  <w:marLeft w:val="0"/>
                  <w:marRight w:val="0"/>
                  <w:marTop w:val="0"/>
                  <w:marBottom w:val="0"/>
                  <w:divBdr>
                    <w:top w:val="none" w:sz="0" w:space="0" w:color="auto"/>
                    <w:left w:val="none" w:sz="0" w:space="0" w:color="auto"/>
                    <w:bottom w:val="none" w:sz="0" w:space="0" w:color="auto"/>
                    <w:right w:val="none" w:sz="0" w:space="0" w:color="auto"/>
                  </w:divBdr>
                  <w:divsChild>
                    <w:div w:id="565918145">
                      <w:marLeft w:val="0"/>
                      <w:marRight w:val="0"/>
                      <w:marTop w:val="0"/>
                      <w:marBottom w:val="0"/>
                      <w:divBdr>
                        <w:top w:val="none" w:sz="0" w:space="0" w:color="auto"/>
                        <w:left w:val="none" w:sz="0" w:space="0" w:color="auto"/>
                        <w:bottom w:val="none" w:sz="0" w:space="0" w:color="auto"/>
                        <w:right w:val="none" w:sz="0" w:space="0" w:color="auto"/>
                      </w:divBdr>
                    </w:div>
                  </w:divsChild>
                </w:div>
                <w:div w:id="1648171872">
                  <w:marLeft w:val="0"/>
                  <w:marRight w:val="0"/>
                  <w:marTop w:val="0"/>
                  <w:marBottom w:val="0"/>
                  <w:divBdr>
                    <w:top w:val="none" w:sz="0" w:space="0" w:color="auto"/>
                    <w:left w:val="none" w:sz="0" w:space="0" w:color="auto"/>
                    <w:bottom w:val="none" w:sz="0" w:space="0" w:color="auto"/>
                    <w:right w:val="none" w:sz="0" w:space="0" w:color="auto"/>
                  </w:divBdr>
                  <w:divsChild>
                    <w:div w:id="673532088">
                      <w:marLeft w:val="0"/>
                      <w:marRight w:val="0"/>
                      <w:marTop w:val="0"/>
                      <w:marBottom w:val="0"/>
                      <w:divBdr>
                        <w:top w:val="none" w:sz="0" w:space="0" w:color="auto"/>
                        <w:left w:val="none" w:sz="0" w:space="0" w:color="auto"/>
                        <w:bottom w:val="none" w:sz="0" w:space="0" w:color="auto"/>
                        <w:right w:val="none" w:sz="0" w:space="0" w:color="auto"/>
                      </w:divBdr>
                    </w:div>
                  </w:divsChild>
                </w:div>
                <w:div w:id="1657294517">
                  <w:marLeft w:val="0"/>
                  <w:marRight w:val="0"/>
                  <w:marTop w:val="0"/>
                  <w:marBottom w:val="0"/>
                  <w:divBdr>
                    <w:top w:val="none" w:sz="0" w:space="0" w:color="auto"/>
                    <w:left w:val="none" w:sz="0" w:space="0" w:color="auto"/>
                    <w:bottom w:val="none" w:sz="0" w:space="0" w:color="auto"/>
                    <w:right w:val="none" w:sz="0" w:space="0" w:color="auto"/>
                  </w:divBdr>
                  <w:divsChild>
                    <w:div w:id="699360476">
                      <w:marLeft w:val="0"/>
                      <w:marRight w:val="0"/>
                      <w:marTop w:val="0"/>
                      <w:marBottom w:val="0"/>
                      <w:divBdr>
                        <w:top w:val="none" w:sz="0" w:space="0" w:color="auto"/>
                        <w:left w:val="none" w:sz="0" w:space="0" w:color="auto"/>
                        <w:bottom w:val="none" w:sz="0" w:space="0" w:color="auto"/>
                        <w:right w:val="none" w:sz="0" w:space="0" w:color="auto"/>
                      </w:divBdr>
                    </w:div>
                  </w:divsChild>
                </w:div>
                <w:div w:id="1685129426">
                  <w:marLeft w:val="0"/>
                  <w:marRight w:val="0"/>
                  <w:marTop w:val="0"/>
                  <w:marBottom w:val="0"/>
                  <w:divBdr>
                    <w:top w:val="none" w:sz="0" w:space="0" w:color="auto"/>
                    <w:left w:val="none" w:sz="0" w:space="0" w:color="auto"/>
                    <w:bottom w:val="none" w:sz="0" w:space="0" w:color="auto"/>
                    <w:right w:val="none" w:sz="0" w:space="0" w:color="auto"/>
                  </w:divBdr>
                  <w:divsChild>
                    <w:div w:id="871263052">
                      <w:marLeft w:val="0"/>
                      <w:marRight w:val="0"/>
                      <w:marTop w:val="0"/>
                      <w:marBottom w:val="0"/>
                      <w:divBdr>
                        <w:top w:val="none" w:sz="0" w:space="0" w:color="auto"/>
                        <w:left w:val="none" w:sz="0" w:space="0" w:color="auto"/>
                        <w:bottom w:val="none" w:sz="0" w:space="0" w:color="auto"/>
                        <w:right w:val="none" w:sz="0" w:space="0" w:color="auto"/>
                      </w:divBdr>
                    </w:div>
                  </w:divsChild>
                </w:div>
                <w:div w:id="2083212858">
                  <w:marLeft w:val="0"/>
                  <w:marRight w:val="0"/>
                  <w:marTop w:val="0"/>
                  <w:marBottom w:val="0"/>
                  <w:divBdr>
                    <w:top w:val="none" w:sz="0" w:space="0" w:color="auto"/>
                    <w:left w:val="none" w:sz="0" w:space="0" w:color="auto"/>
                    <w:bottom w:val="none" w:sz="0" w:space="0" w:color="auto"/>
                    <w:right w:val="none" w:sz="0" w:space="0" w:color="auto"/>
                  </w:divBdr>
                  <w:divsChild>
                    <w:div w:id="1365134928">
                      <w:marLeft w:val="0"/>
                      <w:marRight w:val="0"/>
                      <w:marTop w:val="0"/>
                      <w:marBottom w:val="0"/>
                      <w:divBdr>
                        <w:top w:val="none" w:sz="0" w:space="0" w:color="auto"/>
                        <w:left w:val="none" w:sz="0" w:space="0" w:color="auto"/>
                        <w:bottom w:val="none" w:sz="0" w:space="0" w:color="auto"/>
                        <w:right w:val="none" w:sz="0" w:space="0" w:color="auto"/>
                      </w:divBdr>
                    </w:div>
                  </w:divsChild>
                </w:div>
                <w:div w:id="2142994385">
                  <w:marLeft w:val="0"/>
                  <w:marRight w:val="0"/>
                  <w:marTop w:val="0"/>
                  <w:marBottom w:val="0"/>
                  <w:divBdr>
                    <w:top w:val="none" w:sz="0" w:space="0" w:color="auto"/>
                    <w:left w:val="none" w:sz="0" w:space="0" w:color="auto"/>
                    <w:bottom w:val="none" w:sz="0" w:space="0" w:color="auto"/>
                    <w:right w:val="none" w:sz="0" w:space="0" w:color="auto"/>
                  </w:divBdr>
                  <w:divsChild>
                    <w:div w:id="20979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6323">
          <w:marLeft w:val="0"/>
          <w:marRight w:val="0"/>
          <w:marTop w:val="0"/>
          <w:marBottom w:val="0"/>
          <w:divBdr>
            <w:top w:val="none" w:sz="0" w:space="0" w:color="auto"/>
            <w:left w:val="none" w:sz="0" w:space="0" w:color="auto"/>
            <w:bottom w:val="none" w:sz="0" w:space="0" w:color="auto"/>
            <w:right w:val="none" w:sz="0" w:space="0" w:color="auto"/>
          </w:divBdr>
          <w:divsChild>
            <w:div w:id="488207898">
              <w:marLeft w:val="0"/>
              <w:marRight w:val="0"/>
              <w:marTop w:val="0"/>
              <w:marBottom w:val="0"/>
              <w:divBdr>
                <w:top w:val="none" w:sz="0" w:space="0" w:color="auto"/>
                <w:left w:val="none" w:sz="0" w:space="0" w:color="auto"/>
                <w:bottom w:val="none" w:sz="0" w:space="0" w:color="auto"/>
                <w:right w:val="none" w:sz="0" w:space="0" w:color="auto"/>
              </w:divBdr>
            </w:div>
            <w:div w:id="1245189569">
              <w:marLeft w:val="0"/>
              <w:marRight w:val="0"/>
              <w:marTop w:val="0"/>
              <w:marBottom w:val="0"/>
              <w:divBdr>
                <w:top w:val="none" w:sz="0" w:space="0" w:color="auto"/>
                <w:left w:val="none" w:sz="0" w:space="0" w:color="auto"/>
                <w:bottom w:val="none" w:sz="0" w:space="0" w:color="auto"/>
                <w:right w:val="none" w:sz="0" w:space="0" w:color="auto"/>
              </w:divBdr>
            </w:div>
            <w:div w:id="1333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4951">
      <w:bodyDiv w:val="1"/>
      <w:marLeft w:val="0"/>
      <w:marRight w:val="0"/>
      <w:marTop w:val="0"/>
      <w:marBottom w:val="0"/>
      <w:divBdr>
        <w:top w:val="none" w:sz="0" w:space="0" w:color="auto"/>
        <w:left w:val="none" w:sz="0" w:space="0" w:color="auto"/>
        <w:bottom w:val="none" w:sz="0" w:space="0" w:color="auto"/>
        <w:right w:val="none" w:sz="0" w:space="0" w:color="auto"/>
      </w:divBdr>
    </w:div>
    <w:div w:id="1366831783">
      <w:bodyDiv w:val="1"/>
      <w:marLeft w:val="0"/>
      <w:marRight w:val="0"/>
      <w:marTop w:val="0"/>
      <w:marBottom w:val="0"/>
      <w:divBdr>
        <w:top w:val="none" w:sz="0" w:space="0" w:color="auto"/>
        <w:left w:val="none" w:sz="0" w:space="0" w:color="auto"/>
        <w:bottom w:val="none" w:sz="0" w:space="0" w:color="auto"/>
        <w:right w:val="none" w:sz="0" w:space="0" w:color="auto"/>
      </w:divBdr>
    </w:div>
    <w:div w:id="1456951044">
      <w:bodyDiv w:val="1"/>
      <w:marLeft w:val="0"/>
      <w:marRight w:val="0"/>
      <w:marTop w:val="0"/>
      <w:marBottom w:val="0"/>
      <w:divBdr>
        <w:top w:val="none" w:sz="0" w:space="0" w:color="auto"/>
        <w:left w:val="none" w:sz="0" w:space="0" w:color="auto"/>
        <w:bottom w:val="none" w:sz="0" w:space="0" w:color="auto"/>
        <w:right w:val="none" w:sz="0" w:space="0" w:color="auto"/>
      </w:divBdr>
    </w:div>
    <w:div w:id="1627855392">
      <w:bodyDiv w:val="1"/>
      <w:marLeft w:val="0"/>
      <w:marRight w:val="0"/>
      <w:marTop w:val="0"/>
      <w:marBottom w:val="0"/>
      <w:divBdr>
        <w:top w:val="none" w:sz="0" w:space="0" w:color="auto"/>
        <w:left w:val="none" w:sz="0" w:space="0" w:color="auto"/>
        <w:bottom w:val="none" w:sz="0" w:space="0" w:color="auto"/>
        <w:right w:val="none" w:sz="0" w:space="0" w:color="auto"/>
      </w:divBdr>
    </w:div>
    <w:div w:id="171110799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ur-lex.europa.eu/legal-content/LIT/TXT/?uri=CELEX:32013R1407&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ur-lex.europa.eu/legal-content/LIT/TXT/?uri=CELEX:3852R2020&amp;locale=lt" TargetMode="External"/><Relationship Id="rId7" Type="http://schemas.openxmlformats.org/officeDocument/2006/relationships/styles" Target="styles.xml"/><Relationship Id="rId12" Type="http://schemas.openxmlformats.org/officeDocument/2006/relationships/hyperlink" Target="https://lmt.lrv.lt/public/canonical/1735535380/3894/LMT%20infrastrukturu%20kelrodis%202024.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2013R1407&amp;locale=lt" TargetMode="External"/><Relationship Id="rId22" Type="http://schemas.openxmlformats.org/officeDocument/2006/relationships/hyperlink" Target="http://eur-lex.europa.eu/legal-content/LIT/TXT/?uri=CELEX:32088R201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1DFE1FC-C841-4C25-AB26-1176A534D891}">
  <ds:schemaRefs>
    <ds:schemaRef ds:uri="http://schemas.openxmlformats.org/officeDocument/2006/bibliography"/>
  </ds:schemaRefs>
</ds:datastoreItem>
</file>

<file path=customXml/itemProps5.xml><?xml version="1.0" encoding="utf-8"?>
<ds:datastoreItem xmlns:ds="http://schemas.openxmlformats.org/officeDocument/2006/customXml" ds:itemID="{8F2FCCD4-AA23-4261-875F-D45984042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48124</Words>
  <Characters>27431</Characters>
  <Application>Microsoft Office Word</Application>
  <DocSecurity>8</DocSecurity>
  <Lines>228</Lines>
  <Paragraphs>150</Paragraphs>
  <ScaleCrop>false</ScaleCrop>
  <Company>HP Inc.</Company>
  <LinksUpToDate>false</LinksUpToDate>
  <CharactersWithSpaces>75405</CharactersWithSpaces>
  <SharedDoc>false</SharedDoc>
  <HyperlinkBase/>
  <HLinks>
    <vt:vector size="30" baseType="variant">
      <vt:variant>
        <vt:i4>6684731</vt:i4>
      </vt:variant>
      <vt:variant>
        <vt:i4>12</vt:i4>
      </vt:variant>
      <vt:variant>
        <vt:i4>0</vt:i4>
      </vt:variant>
      <vt:variant>
        <vt:i4>5</vt:i4>
      </vt:variant>
      <vt:variant>
        <vt:lpwstr>http://eur-lex.europa.eu/legal-content/LIT/TXT/?uri=CELEX:32088R2019&amp;locale=lt</vt:lpwstr>
      </vt:variant>
      <vt:variant>
        <vt:lpwstr/>
      </vt:variant>
      <vt:variant>
        <vt:i4>1441800</vt:i4>
      </vt:variant>
      <vt:variant>
        <vt:i4>9</vt:i4>
      </vt:variant>
      <vt:variant>
        <vt:i4>0</vt:i4>
      </vt:variant>
      <vt:variant>
        <vt:i4>5</vt:i4>
      </vt:variant>
      <vt:variant>
        <vt:lpwstr>http://eur-lex.europa.eu/legal-content/LIT/TXT/?uri=CELEX:3852R2020&amp;locale=lt</vt:lpwstr>
      </vt:variant>
      <vt:variant>
        <vt:lpwstr/>
      </vt:variant>
      <vt:variant>
        <vt:i4>6619186</vt:i4>
      </vt:variant>
      <vt:variant>
        <vt:i4>6</vt:i4>
      </vt:variant>
      <vt:variant>
        <vt:i4>0</vt:i4>
      </vt:variant>
      <vt:variant>
        <vt:i4>5</vt:i4>
      </vt:variant>
      <vt:variant>
        <vt:lpwstr>http://eur-lex.europa.eu/legal-content/LIT/TXT/?uri=CELEX:32013R1407&amp;locale=lt</vt:lpwstr>
      </vt:variant>
      <vt:variant>
        <vt:lpwstr/>
      </vt:variant>
      <vt:variant>
        <vt:i4>6619186</vt:i4>
      </vt:variant>
      <vt:variant>
        <vt:i4>3</vt:i4>
      </vt:variant>
      <vt:variant>
        <vt:i4>0</vt:i4>
      </vt:variant>
      <vt:variant>
        <vt:i4>5</vt:i4>
      </vt:variant>
      <vt:variant>
        <vt:lpwstr>http://eur-lex.europa.eu/legal-content/LIT/TXT/?uri=CELEX:32013R1407&amp;locale=lt</vt:lpwstr>
      </vt:variant>
      <vt:variant>
        <vt:lpwstr/>
      </vt:variant>
      <vt:variant>
        <vt:i4>1572885</vt:i4>
      </vt:variant>
      <vt:variant>
        <vt:i4>0</vt:i4>
      </vt:variant>
      <vt:variant>
        <vt:i4>0</vt:i4>
      </vt:variant>
      <vt:variant>
        <vt:i4>5</vt:i4>
      </vt:variant>
      <vt:variant>
        <vt:lpwstr>https://lmt.lrv.lt/public/canonical/1735535380/3894/LMT infrastrukturu kelrodis 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Ina Sinkevičiūtė</cp:lastModifiedBy>
  <cp:revision>1</cp:revision>
  <dcterms:created xsi:type="dcterms:W3CDTF">2025-12-05T10:56:00Z</dcterms:created>
  <dcterms:modified xsi:type="dcterms:W3CDTF">2025-12-05T10:56:00Z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