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823D3" w14:textId="77777777" w:rsidR="008A0037" w:rsidRPr="009D5352" w:rsidRDefault="00244911">
      <w:pPr>
        <w:suppressAutoHyphens/>
        <w:ind w:left="9639"/>
        <w:jc w:val="both"/>
        <w:rPr>
          <w:bCs/>
          <w:szCs w:val="24"/>
        </w:rPr>
      </w:pPr>
      <w:r w:rsidRPr="009D5352">
        <w:rPr>
          <w:bCs/>
          <w:szCs w:val="24"/>
        </w:rPr>
        <w:t>2022–2030 m. plėtros programos valdytojos Lietuvos Respublikos švietimo, mokslo ir sporto ministerijos mokslo plėtros programos pažangos priemonės</w:t>
      </w:r>
      <w:r w:rsidR="008A0037" w:rsidRPr="009D5352">
        <w:rPr>
          <w:bCs/>
          <w:szCs w:val="24"/>
        </w:rPr>
        <w:t xml:space="preserve"> </w:t>
      </w:r>
    </w:p>
    <w:p w14:paraId="6EA94554" w14:textId="27256749" w:rsidR="00F4662F" w:rsidRPr="009D5352" w:rsidRDefault="00244911">
      <w:pPr>
        <w:suppressAutoHyphens/>
        <w:ind w:left="9639"/>
        <w:jc w:val="both"/>
        <w:rPr>
          <w:bCs/>
          <w:szCs w:val="24"/>
        </w:rPr>
      </w:pPr>
      <w:r w:rsidRPr="009D5352">
        <w:rPr>
          <w:bCs/>
          <w:szCs w:val="24"/>
        </w:rPr>
        <w:t>Nr. 12-001-01-02-01 „Stiprinti inovacijų ekosistemas mokslo centruose“ aprašo</w:t>
      </w:r>
    </w:p>
    <w:p w14:paraId="6ED59249" w14:textId="01CC3870" w:rsidR="00F4662F" w:rsidRPr="009D5352" w:rsidRDefault="004A0406">
      <w:pPr>
        <w:suppressAutoHyphens/>
        <w:ind w:left="9639"/>
        <w:jc w:val="both"/>
        <w:rPr>
          <w:szCs w:val="24"/>
        </w:rPr>
      </w:pPr>
      <w:r>
        <w:rPr>
          <w:szCs w:val="24"/>
        </w:rPr>
        <w:t>1</w:t>
      </w:r>
      <w:r w:rsidR="00244911" w:rsidRPr="009D5352">
        <w:rPr>
          <w:szCs w:val="24"/>
        </w:rPr>
        <w:t xml:space="preserve"> priedas</w:t>
      </w:r>
    </w:p>
    <w:p w14:paraId="1259F495" w14:textId="77777777" w:rsidR="00F4662F" w:rsidRPr="009D5352" w:rsidRDefault="00F4662F">
      <w:pPr>
        <w:suppressAutoHyphens/>
        <w:jc w:val="center"/>
        <w:rPr>
          <w:iCs/>
          <w:szCs w:val="24"/>
        </w:rPr>
      </w:pPr>
    </w:p>
    <w:p w14:paraId="2008A790" w14:textId="644270C2" w:rsidR="00F4662F" w:rsidRPr="009D5352" w:rsidRDefault="00244911">
      <w:pPr>
        <w:suppressAutoHyphens/>
        <w:jc w:val="center"/>
        <w:rPr>
          <w:b/>
          <w:szCs w:val="24"/>
        </w:rPr>
      </w:pPr>
      <w:r w:rsidRPr="009D5352">
        <w:rPr>
          <w:b/>
          <w:szCs w:val="24"/>
        </w:rPr>
        <w:t>202</w:t>
      </w:r>
      <w:r w:rsidR="00412175">
        <w:rPr>
          <w:b/>
          <w:szCs w:val="24"/>
        </w:rPr>
        <w:t>2</w:t>
      </w:r>
      <w:r w:rsidRPr="009D5352">
        <w:rPr>
          <w:b/>
          <w:szCs w:val="24"/>
        </w:rPr>
        <w:t xml:space="preserve">–2030 M. PLĖTROS PROGRAMOS VALDYTOJOS LIETUVOS RESPUBLIKOS ŠVIETIMO, MOKSLO IR SPORTO MINISTERIJOS MOKSLO PLĖTROS PROGRAMOS PAŽANGOS PRIEMONĖS NR. 12-001-01-02-01 „STIPRINTI INOVACIJŲ EKOSISTEMAS MOKSLO CENTRUOSE“ PROJEKTŲ FINANSAVIMO SĄLYGŲ APRAŠAS NR. </w:t>
      </w:r>
      <w:r w:rsidR="001D5860">
        <w:rPr>
          <w:b/>
          <w:szCs w:val="24"/>
        </w:rPr>
        <w:t>1</w:t>
      </w:r>
    </w:p>
    <w:p w14:paraId="0710F1F8" w14:textId="77777777" w:rsidR="00F4662F" w:rsidRPr="009D5352" w:rsidRDefault="00F4662F">
      <w:pPr>
        <w:suppressAutoHyphens/>
        <w:rPr>
          <w:bCs/>
          <w:i/>
          <w:szCs w:val="24"/>
        </w:rPr>
      </w:pPr>
    </w:p>
    <w:p w14:paraId="6EF6E8F8" w14:textId="77777777" w:rsidR="00054B25" w:rsidRPr="00054B25" w:rsidRDefault="00054B25" w:rsidP="00054B25">
      <w:pPr>
        <w:suppressAutoHyphens/>
        <w:spacing w:line="254" w:lineRule="auto"/>
        <w:jc w:val="center"/>
        <w:rPr>
          <w:b/>
          <w:bCs/>
          <w:szCs w:val="24"/>
        </w:rPr>
      </w:pPr>
      <w:r w:rsidRPr="00054B25">
        <w:rPr>
          <w:b/>
          <w:bCs/>
          <w:szCs w:val="24"/>
        </w:rPr>
        <w:t>I SKYRIUS</w:t>
      </w:r>
    </w:p>
    <w:p w14:paraId="11545D65" w14:textId="77777777" w:rsidR="00054B25" w:rsidRPr="00054B25" w:rsidRDefault="00054B25" w:rsidP="00054B25">
      <w:pPr>
        <w:suppressAutoHyphens/>
        <w:spacing w:line="254" w:lineRule="auto"/>
        <w:jc w:val="center"/>
        <w:rPr>
          <w:b/>
          <w:bCs/>
          <w:szCs w:val="24"/>
        </w:rPr>
      </w:pPr>
      <w:r w:rsidRPr="00054B25">
        <w:rPr>
          <w:b/>
          <w:bCs/>
          <w:szCs w:val="24"/>
        </w:rPr>
        <w:t>VEIKLOS AR POVEIKLĖS, KURIOMS NUSTATOMOS PROJEKTŲ FINANSAVIMO SĄLYGOS IR JŲ RODIKLIAI</w:t>
      </w:r>
    </w:p>
    <w:p w14:paraId="27665751" w14:textId="77777777" w:rsidR="00F4662F" w:rsidRPr="009D5352" w:rsidRDefault="00F4662F">
      <w:pPr>
        <w:suppressAutoHyphens/>
        <w:spacing w:line="254" w:lineRule="auto"/>
        <w:jc w:val="center"/>
        <w:rPr>
          <w:b/>
          <w:szCs w:val="24"/>
        </w:rPr>
      </w:pPr>
    </w:p>
    <w:tbl>
      <w:tblPr>
        <w:tblW w:w="15440" w:type="dxa"/>
        <w:tblLayout w:type="fixed"/>
        <w:tblCellMar>
          <w:left w:w="10" w:type="dxa"/>
          <w:right w:w="10" w:type="dxa"/>
        </w:tblCellMar>
        <w:tblLook w:val="04A0" w:firstRow="1" w:lastRow="0" w:firstColumn="1" w:lastColumn="0" w:noHBand="0" w:noVBand="1"/>
      </w:tblPr>
      <w:tblGrid>
        <w:gridCol w:w="1555"/>
        <w:gridCol w:w="1275"/>
        <w:gridCol w:w="924"/>
        <w:gridCol w:w="1134"/>
        <w:gridCol w:w="1134"/>
        <w:gridCol w:w="1457"/>
        <w:gridCol w:w="1344"/>
        <w:gridCol w:w="1080"/>
        <w:gridCol w:w="1344"/>
        <w:gridCol w:w="1051"/>
        <w:gridCol w:w="1132"/>
        <w:gridCol w:w="859"/>
        <w:gridCol w:w="1151"/>
      </w:tblGrid>
      <w:tr w:rsidR="00F4662F" w:rsidRPr="009D5352" w14:paraId="0D40320C" w14:textId="77777777" w:rsidTr="00B97200">
        <w:tc>
          <w:tcPr>
            <w:tcW w:w="15440"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08A8E" w14:textId="576D99DE" w:rsidR="00F4662F" w:rsidRPr="009D5352" w:rsidRDefault="00A76BEB">
            <w:pPr>
              <w:suppressAutoHyphens/>
              <w:ind w:left="720" w:hanging="360"/>
              <w:jc w:val="both"/>
              <w:rPr>
                <w:b/>
                <w:sz w:val="22"/>
                <w:szCs w:val="22"/>
              </w:rPr>
            </w:pPr>
            <w:r>
              <w:rPr>
                <w:b/>
                <w:sz w:val="22"/>
                <w:szCs w:val="22"/>
              </w:rPr>
              <w:t>1</w:t>
            </w:r>
            <w:r w:rsidR="004E31D1">
              <w:rPr>
                <w:b/>
                <w:sz w:val="22"/>
                <w:szCs w:val="22"/>
              </w:rPr>
              <w:t>.</w:t>
            </w:r>
            <w:r w:rsidR="00DA0AE8">
              <w:rPr>
                <w:b/>
                <w:sz w:val="22"/>
                <w:szCs w:val="22"/>
              </w:rPr>
              <w:t xml:space="preserve"> </w:t>
            </w:r>
            <w:r w:rsidR="00244911" w:rsidRPr="00234AF4">
              <w:rPr>
                <w:b/>
                <w:szCs w:val="24"/>
              </w:rPr>
              <w:t xml:space="preserve">Veiklos ar </w:t>
            </w:r>
            <w:proofErr w:type="spellStart"/>
            <w:r w:rsidR="00244911" w:rsidRPr="00234AF4">
              <w:rPr>
                <w:b/>
                <w:szCs w:val="24"/>
              </w:rPr>
              <w:t>poveiklės</w:t>
            </w:r>
            <w:proofErr w:type="spellEnd"/>
            <w:r w:rsidR="00244911" w:rsidRPr="00234AF4">
              <w:rPr>
                <w:b/>
                <w:szCs w:val="24"/>
              </w:rPr>
              <w:t>, kurioms nustatomos projektų finansavimo sąlygos</w:t>
            </w:r>
          </w:p>
        </w:tc>
      </w:tr>
      <w:tr w:rsidR="00F4662F" w:rsidRPr="009D5352" w14:paraId="7F41DB87" w14:textId="77777777" w:rsidTr="00AE0277">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CC9C45" w14:textId="7BCBFB1E" w:rsidR="00F4662F" w:rsidRPr="009D5352" w:rsidRDefault="00244911">
            <w:pPr>
              <w:suppressAutoHyphens/>
              <w:jc w:val="center"/>
            </w:pPr>
            <w:r w:rsidRPr="009D5352">
              <w:rPr>
                <w:b/>
                <w:sz w:val="22"/>
                <w:szCs w:val="22"/>
              </w:rPr>
              <w:t xml:space="preserve">Veiklos ar </w:t>
            </w:r>
            <w:proofErr w:type="spellStart"/>
            <w:r w:rsidRPr="009D5352">
              <w:rPr>
                <w:b/>
                <w:sz w:val="22"/>
                <w:szCs w:val="22"/>
              </w:rPr>
              <w:t>poveiklės</w:t>
            </w:r>
            <w:proofErr w:type="spellEnd"/>
            <w:r w:rsidRPr="009D5352">
              <w:rPr>
                <w:b/>
                <w:sz w:val="22"/>
                <w:szCs w:val="22"/>
              </w:rPr>
              <w:t xml:space="preserve"> </w:t>
            </w:r>
            <w:r w:rsidR="00DA0AE8" w:rsidRPr="00DA0AE8">
              <w:rPr>
                <w:b/>
                <w:sz w:val="22"/>
                <w:szCs w:val="22"/>
              </w:rPr>
              <w:t xml:space="preserve">numeris ir </w:t>
            </w:r>
            <w:r w:rsidRPr="009D5352">
              <w:rPr>
                <w:b/>
                <w:sz w:val="22"/>
                <w:szCs w:val="22"/>
              </w:rPr>
              <w:t>pavadinimas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3FFD3" w14:textId="77777777" w:rsidR="00F4662F" w:rsidRPr="009D5352" w:rsidRDefault="00244911">
            <w:pPr>
              <w:suppressAutoHyphens/>
              <w:ind w:right="-104" w:hanging="108"/>
              <w:jc w:val="center"/>
              <w:rPr>
                <w:b/>
                <w:sz w:val="22"/>
                <w:szCs w:val="22"/>
              </w:rPr>
            </w:pPr>
            <w:r w:rsidRPr="009D5352">
              <w:rPr>
                <w:b/>
                <w:sz w:val="22"/>
                <w:szCs w:val="22"/>
              </w:rPr>
              <w:t>Finansavimo šaltinis</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A05C2" w14:textId="77777777" w:rsidR="00F4662F" w:rsidRPr="009D5352" w:rsidRDefault="00244911">
            <w:pPr>
              <w:suppressAutoHyphens/>
              <w:jc w:val="center"/>
              <w:rPr>
                <w:b/>
                <w:sz w:val="22"/>
                <w:szCs w:val="22"/>
              </w:rPr>
            </w:pPr>
            <w:r w:rsidRPr="009D5352">
              <w:rPr>
                <w:b/>
                <w:sz w:val="22"/>
                <w:szCs w:val="22"/>
              </w:rPr>
              <w:t>Prioritetas ar komponentas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BE7F4" w14:textId="77777777" w:rsidR="00F4662F" w:rsidRPr="009D5352" w:rsidRDefault="00244911">
            <w:pPr>
              <w:suppressAutoHyphens/>
              <w:jc w:val="center"/>
              <w:rPr>
                <w:b/>
                <w:sz w:val="22"/>
                <w:szCs w:val="22"/>
              </w:rPr>
            </w:pPr>
            <w:proofErr w:type="spellStart"/>
            <w:r w:rsidRPr="009D5352">
              <w:rPr>
                <w:b/>
                <w:sz w:val="22"/>
                <w:szCs w:val="22"/>
              </w:rPr>
              <w:t>Uždavi-nys</w:t>
            </w:r>
            <w:proofErr w:type="spellEnd"/>
            <w:r w:rsidRPr="009D5352">
              <w:rPr>
                <w:b/>
                <w:sz w:val="22"/>
                <w:szCs w:val="22"/>
              </w:rPr>
              <w:t xml:space="preserve"> ar priemonė</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0E3483" w14:textId="63ECA4DB" w:rsidR="00F4662F" w:rsidRPr="009D5352" w:rsidRDefault="00244911">
            <w:pPr>
              <w:suppressAutoHyphens/>
              <w:jc w:val="center"/>
              <w:rPr>
                <w:b/>
                <w:sz w:val="22"/>
                <w:szCs w:val="22"/>
              </w:rPr>
            </w:pPr>
            <w:r w:rsidRPr="009D5352">
              <w:rPr>
                <w:b/>
                <w:sz w:val="22"/>
                <w:szCs w:val="22"/>
              </w:rPr>
              <w:t xml:space="preserve">Veikla ar </w:t>
            </w:r>
            <w:proofErr w:type="spellStart"/>
            <w:r w:rsidR="009E70A4" w:rsidRPr="009E70A4">
              <w:rPr>
                <w:b/>
                <w:sz w:val="22"/>
                <w:szCs w:val="22"/>
              </w:rPr>
              <w:t>paprie-monė</w:t>
            </w:r>
            <w:proofErr w:type="spellEnd"/>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15A43" w14:textId="77777777" w:rsidR="00F4662F" w:rsidRPr="009D5352" w:rsidRDefault="00244911">
            <w:pPr>
              <w:suppressAutoHyphens/>
              <w:jc w:val="center"/>
              <w:rPr>
                <w:b/>
                <w:sz w:val="22"/>
                <w:szCs w:val="22"/>
              </w:rPr>
            </w:pPr>
            <w:r w:rsidRPr="009D5352">
              <w:rPr>
                <w:b/>
                <w:sz w:val="22"/>
                <w:szCs w:val="22"/>
              </w:rPr>
              <w:t>Intervencinės priemonės kodas</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F0798E" w14:textId="77777777" w:rsidR="00F4662F" w:rsidRPr="009D5352" w:rsidRDefault="00244911">
            <w:pPr>
              <w:suppressAutoHyphens/>
              <w:jc w:val="center"/>
              <w:rPr>
                <w:b/>
                <w:sz w:val="22"/>
                <w:szCs w:val="22"/>
              </w:rPr>
            </w:pPr>
            <w:r w:rsidRPr="009D5352">
              <w:rPr>
                <w:b/>
                <w:sz w:val="22"/>
                <w:szCs w:val="22"/>
              </w:rPr>
              <w:t xml:space="preserve">Regionas, kuriam priskiriama veikla ar </w:t>
            </w:r>
            <w:proofErr w:type="spellStart"/>
            <w:r w:rsidRPr="009D5352">
              <w:rPr>
                <w:b/>
                <w:sz w:val="22"/>
                <w:szCs w:val="22"/>
              </w:rPr>
              <w:t>poveiklė</w:t>
            </w:r>
            <w:proofErr w:type="spellEnd"/>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425C9" w14:textId="77777777" w:rsidR="00F4662F" w:rsidRPr="009D5352" w:rsidRDefault="00244911">
            <w:pPr>
              <w:suppressAutoHyphens/>
              <w:jc w:val="center"/>
              <w:rPr>
                <w:b/>
                <w:sz w:val="22"/>
                <w:szCs w:val="22"/>
              </w:rPr>
            </w:pPr>
            <w:r w:rsidRPr="009D5352">
              <w:rPr>
                <w:b/>
                <w:sz w:val="22"/>
                <w:szCs w:val="22"/>
              </w:rPr>
              <w:t>Paramos formos kodas</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A6AC3" w14:textId="77777777" w:rsidR="00F4662F" w:rsidRPr="009D5352" w:rsidRDefault="00244911">
            <w:pPr>
              <w:suppressAutoHyphens/>
              <w:jc w:val="center"/>
              <w:rPr>
                <w:b/>
                <w:sz w:val="22"/>
                <w:szCs w:val="22"/>
              </w:rPr>
            </w:pPr>
            <w:r w:rsidRPr="009D5352">
              <w:rPr>
                <w:b/>
                <w:sz w:val="22"/>
                <w:szCs w:val="22"/>
              </w:rPr>
              <w:t>Pagrindinės teritorinės srities kodas (-ai)</w:t>
            </w:r>
          </w:p>
        </w:tc>
        <w:tc>
          <w:tcPr>
            <w:tcW w:w="1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3E6D0C" w14:textId="77777777" w:rsidR="00F4662F" w:rsidRPr="009D5352" w:rsidRDefault="00244911">
            <w:pPr>
              <w:suppressAutoHyphens/>
              <w:jc w:val="center"/>
              <w:rPr>
                <w:b/>
                <w:sz w:val="22"/>
                <w:szCs w:val="22"/>
              </w:rPr>
            </w:pPr>
            <w:proofErr w:type="spellStart"/>
            <w:r w:rsidRPr="009D5352">
              <w:rPr>
                <w:b/>
                <w:sz w:val="22"/>
                <w:szCs w:val="22"/>
              </w:rPr>
              <w:t>Ekono</w:t>
            </w:r>
            <w:proofErr w:type="spellEnd"/>
            <w:r w:rsidRPr="009D5352">
              <w:rPr>
                <w:b/>
                <w:sz w:val="22"/>
                <w:szCs w:val="22"/>
              </w:rPr>
              <w:t xml:space="preserve">-minės veiklos kodas </w:t>
            </w:r>
          </w:p>
          <w:p w14:paraId="69EA0D4B" w14:textId="77777777" w:rsidR="00F4662F" w:rsidRPr="009D5352" w:rsidRDefault="00244911">
            <w:pPr>
              <w:suppressAutoHyphens/>
              <w:jc w:val="center"/>
              <w:rPr>
                <w:b/>
                <w:sz w:val="22"/>
                <w:szCs w:val="22"/>
              </w:rPr>
            </w:pPr>
            <w:r w:rsidRPr="009D5352">
              <w:rPr>
                <w:b/>
                <w:sz w:val="22"/>
                <w:szCs w:val="22"/>
              </w:rPr>
              <w:t>(-ai)</w:t>
            </w: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CEF54" w14:textId="77777777" w:rsidR="00F4662F" w:rsidRPr="009D5352" w:rsidRDefault="00244911">
            <w:pPr>
              <w:suppressAutoHyphens/>
              <w:jc w:val="center"/>
              <w:rPr>
                <w:b/>
                <w:sz w:val="22"/>
                <w:szCs w:val="22"/>
              </w:rPr>
            </w:pPr>
            <w:r w:rsidRPr="009D5352">
              <w:rPr>
                <w:b/>
                <w:sz w:val="22"/>
                <w:szCs w:val="22"/>
              </w:rPr>
              <w:t>„Europos socialinio fondo +“ (toliau – ESF+) antrinių temų kodai</w:t>
            </w:r>
          </w:p>
        </w:tc>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657BC" w14:textId="77777777" w:rsidR="00F4662F" w:rsidRPr="009D5352" w:rsidRDefault="00244911">
            <w:pPr>
              <w:suppressAutoHyphens/>
              <w:jc w:val="center"/>
              <w:rPr>
                <w:b/>
                <w:sz w:val="22"/>
                <w:szCs w:val="22"/>
              </w:rPr>
            </w:pPr>
            <w:r w:rsidRPr="009D5352">
              <w:rPr>
                <w:b/>
                <w:sz w:val="22"/>
                <w:szCs w:val="22"/>
              </w:rPr>
              <w:t>Lyčių lygybės mat-</w:t>
            </w:r>
            <w:proofErr w:type="spellStart"/>
            <w:r w:rsidRPr="009D5352">
              <w:rPr>
                <w:b/>
                <w:sz w:val="22"/>
                <w:szCs w:val="22"/>
              </w:rPr>
              <w:t>mens</w:t>
            </w:r>
            <w:proofErr w:type="spellEnd"/>
            <w:r w:rsidRPr="009D5352">
              <w:rPr>
                <w:b/>
                <w:sz w:val="22"/>
                <w:szCs w:val="22"/>
              </w:rPr>
              <w:t xml:space="preserve"> kodas</w:t>
            </w:r>
          </w:p>
        </w:tc>
        <w:tc>
          <w:tcPr>
            <w:tcW w:w="1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57677" w14:textId="77777777" w:rsidR="00584F48" w:rsidRPr="00584F48" w:rsidRDefault="00584F48" w:rsidP="00584F48">
            <w:pPr>
              <w:suppressAutoHyphens/>
              <w:jc w:val="center"/>
              <w:rPr>
                <w:b/>
                <w:sz w:val="22"/>
                <w:szCs w:val="22"/>
              </w:rPr>
            </w:pPr>
            <w:proofErr w:type="spellStart"/>
            <w:r w:rsidRPr="00584F48">
              <w:rPr>
                <w:b/>
                <w:sz w:val="22"/>
                <w:szCs w:val="22"/>
              </w:rPr>
              <w:t>Nepanau-dotos</w:t>
            </w:r>
            <w:proofErr w:type="spellEnd"/>
            <w:r w:rsidRPr="00584F48">
              <w:rPr>
                <w:b/>
                <w:sz w:val="22"/>
                <w:szCs w:val="22"/>
              </w:rPr>
              <w:t xml:space="preserve"> </w:t>
            </w:r>
            <w:proofErr w:type="spellStart"/>
            <w:r w:rsidRPr="00584F48">
              <w:rPr>
                <w:b/>
                <w:sz w:val="22"/>
                <w:szCs w:val="22"/>
              </w:rPr>
              <w:t>Ekonomi-kos</w:t>
            </w:r>
            <w:proofErr w:type="spellEnd"/>
            <w:r w:rsidRPr="00584F48">
              <w:rPr>
                <w:b/>
                <w:sz w:val="22"/>
                <w:szCs w:val="22"/>
              </w:rPr>
              <w:t xml:space="preserve"> gaivinimo ir atsparumo didinimo priemonės lėšos</w:t>
            </w:r>
          </w:p>
          <w:p w14:paraId="616F2095" w14:textId="2BAE7BB0" w:rsidR="00F4662F" w:rsidRPr="009D5352" w:rsidRDefault="00584F48" w:rsidP="00584F48">
            <w:pPr>
              <w:suppressAutoHyphens/>
              <w:jc w:val="center"/>
              <w:rPr>
                <w:b/>
                <w:sz w:val="22"/>
                <w:szCs w:val="22"/>
              </w:rPr>
            </w:pPr>
            <w:r w:rsidRPr="00584F48">
              <w:rPr>
                <w:b/>
                <w:sz w:val="22"/>
                <w:szCs w:val="22"/>
              </w:rPr>
              <w:t>(Taip / Ne)</w:t>
            </w:r>
          </w:p>
        </w:tc>
      </w:tr>
      <w:tr w:rsidR="00F4662F" w:rsidRPr="009D5352" w14:paraId="3159A463" w14:textId="77777777" w:rsidTr="00AE0277">
        <w:trPr>
          <w:trHeight w:val="278"/>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603AE0" w14:textId="1F330D5E" w:rsidR="00F4662F" w:rsidRPr="009D5352" w:rsidRDefault="00307325" w:rsidP="00307325">
            <w:pPr>
              <w:suppressAutoHyphens/>
              <w:rPr>
                <w:sz w:val="22"/>
                <w:szCs w:val="22"/>
              </w:rPr>
            </w:pPr>
            <w:r w:rsidRPr="00307325">
              <w:rPr>
                <w:iCs/>
                <w:sz w:val="22"/>
                <w:szCs w:val="22"/>
              </w:rPr>
              <w:t xml:space="preserve">2.1. </w:t>
            </w:r>
            <w:r w:rsidRPr="00307325">
              <w:rPr>
                <w:sz w:val="22"/>
                <w:szCs w:val="22"/>
              </w:rPr>
              <w:t xml:space="preserve">Programos „Europos horizontas“ </w:t>
            </w:r>
            <w:proofErr w:type="spellStart"/>
            <w:r w:rsidRPr="00307325">
              <w:rPr>
                <w:sz w:val="22"/>
                <w:szCs w:val="22"/>
              </w:rPr>
              <w:t>akceleravimas</w:t>
            </w:r>
            <w:proofErr w:type="spellEnd"/>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BF9603" w14:textId="1F84675A" w:rsidR="00F4662F" w:rsidRPr="009D5352" w:rsidRDefault="00244911">
            <w:pPr>
              <w:suppressAutoHyphens/>
              <w:jc w:val="center"/>
            </w:pPr>
            <w:r w:rsidRPr="009D5352">
              <w:rPr>
                <w:iCs/>
                <w:sz w:val="22"/>
                <w:szCs w:val="22"/>
              </w:rPr>
              <w:t>Ekonomikos</w:t>
            </w:r>
            <w:r w:rsidRPr="009D5352">
              <w:rPr>
                <w:i/>
                <w:sz w:val="22"/>
                <w:szCs w:val="22"/>
              </w:rPr>
              <w:t xml:space="preserve"> </w:t>
            </w:r>
            <w:r w:rsidRPr="009D5352">
              <w:rPr>
                <w:sz w:val="22"/>
                <w:szCs w:val="22"/>
              </w:rPr>
              <w:t xml:space="preserve">gaivinimo ir atsparumo didinimo priemonės (toliau – EGADP) </w:t>
            </w:r>
            <w:r w:rsidR="008F0313">
              <w:rPr>
                <w:sz w:val="22"/>
                <w:szCs w:val="22"/>
              </w:rPr>
              <w:t>lėšos</w:t>
            </w:r>
            <w:r w:rsidRPr="009D5352">
              <w:rPr>
                <w:sz w:val="22"/>
                <w:szCs w:val="22"/>
              </w:rPr>
              <w:t xml:space="preserve"> ir </w:t>
            </w:r>
            <w:r w:rsidRPr="009D5352">
              <w:rPr>
                <w:sz w:val="22"/>
                <w:szCs w:val="22"/>
              </w:rPr>
              <w:lastRenderedPageBreak/>
              <w:t xml:space="preserve">Lietuvos Respublikos valstybės biudžeto lėšos </w:t>
            </w:r>
            <w:r w:rsidR="00C72E1E" w:rsidRPr="00C72E1E">
              <w:rPr>
                <w:sz w:val="22"/>
                <w:szCs w:val="22"/>
              </w:rPr>
              <w:t>netinkamam finansuoti pridėtinės vertės mokesčiui apmokėti</w:t>
            </w:r>
          </w:p>
        </w:tc>
        <w:tc>
          <w:tcPr>
            <w:tcW w:w="9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EAEDD9" w14:textId="77777777" w:rsidR="00F4662F" w:rsidRPr="009D5352" w:rsidRDefault="00244911">
            <w:pPr>
              <w:suppressAutoHyphens/>
              <w:jc w:val="center"/>
            </w:pPr>
            <w:r w:rsidRPr="009D5352">
              <w:rPr>
                <w:sz w:val="22"/>
                <w:szCs w:val="22"/>
              </w:rPr>
              <w:lastRenderedPageBreak/>
              <w:t>5</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AB361F2" w14:textId="77777777" w:rsidR="00F4662F" w:rsidRPr="009D5352" w:rsidRDefault="00244911">
            <w:pPr>
              <w:suppressAutoHyphens/>
              <w:jc w:val="center"/>
              <w:rPr>
                <w:sz w:val="22"/>
                <w:szCs w:val="22"/>
              </w:rPr>
            </w:pPr>
            <w:r w:rsidRPr="009D5352">
              <w:rPr>
                <w:sz w:val="22"/>
                <w:szCs w:val="22"/>
              </w:rPr>
              <w:t>E.1.3</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C138A9" w14:textId="77777777" w:rsidR="00F4662F" w:rsidRPr="009D5352" w:rsidRDefault="00244911">
            <w:pPr>
              <w:suppressAutoHyphens/>
              <w:jc w:val="center"/>
            </w:pPr>
            <w:r w:rsidRPr="009D5352">
              <w:rPr>
                <w:sz w:val="22"/>
                <w:szCs w:val="22"/>
              </w:rPr>
              <w:t>E.1.3.3</w:t>
            </w:r>
          </w:p>
        </w:tc>
        <w:tc>
          <w:tcPr>
            <w:tcW w:w="14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A78AA2" w14:textId="77777777" w:rsidR="00F4662F" w:rsidRPr="009D5352" w:rsidRDefault="00244911">
            <w:pPr>
              <w:suppressAutoHyphens/>
              <w:jc w:val="center"/>
            </w:pPr>
            <w:r w:rsidRPr="009D5352">
              <w:rPr>
                <w:sz w:val="22"/>
                <w:szCs w:val="22"/>
              </w:rPr>
              <w:t>021</w:t>
            </w:r>
          </w:p>
        </w:tc>
        <w:tc>
          <w:tcPr>
            <w:tcW w:w="13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7E1728" w14:textId="77777777" w:rsidR="00F4662F" w:rsidRPr="009D5352" w:rsidRDefault="00244911">
            <w:pPr>
              <w:suppressAutoHyphens/>
              <w:jc w:val="center"/>
            </w:pPr>
            <w:r w:rsidRPr="009D5352">
              <w:rPr>
                <w:sz w:val="22"/>
                <w:szCs w:val="22"/>
              </w:rPr>
              <w:t>-</w:t>
            </w: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4B3D1D" w14:textId="77777777" w:rsidR="00F4662F" w:rsidRPr="009D5352" w:rsidRDefault="00244911">
            <w:pPr>
              <w:suppressAutoHyphens/>
              <w:jc w:val="center"/>
            </w:pPr>
            <w:r w:rsidRPr="009D5352">
              <w:rPr>
                <w:sz w:val="22"/>
                <w:szCs w:val="22"/>
              </w:rPr>
              <w:t>-</w:t>
            </w:r>
          </w:p>
        </w:tc>
        <w:tc>
          <w:tcPr>
            <w:tcW w:w="13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074445F" w14:textId="77777777" w:rsidR="00F4662F" w:rsidRPr="009D5352" w:rsidRDefault="00244911">
            <w:pPr>
              <w:suppressAutoHyphens/>
              <w:jc w:val="center"/>
              <w:rPr>
                <w:sz w:val="22"/>
                <w:szCs w:val="22"/>
              </w:rPr>
            </w:pPr>
            <w:r w:rsidRPr="009D5352">
              <w:rPr>
                <w:sz w:val="22"/>
                <w:szCs w:val="22"/>
              </w:rPr>
              <w:t>-</w:t>
            </w:r>
          </w:p>
        </w:tc>
        <w:tc>
          <w:tcPr>
            <w:tcW w:w="10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76FCB3F" w14:textId="77777777" w:rsidR="00F4662F" w:rsidRPr="009D5352" w:rsidRDefault="00244911">
            <w:pPr>
              <w:suppressAutoHyphens/>
              <w:jc w:val="center"/>
              <w:rPr>
                <w:sz w:val="22"/>
                <w:szCs w:val="22"/>
              </w:rPr>
            </w:pPr>
            <w:r w:rsidRPr="009D5352">
              <w:rPr>
                <w:sz w:val="22"/>
                <w:szCs w:val="22"/>
              </w:rPr>
              <w:t>-</w:t>
            </w:r>
          </w:p>
        </w:tc>
        <w:tc>
          <w:tcPr>
            <w:tcW w:w="11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D52ED1" w14:textId="77777777" w:rsidR="00F4662F" w:rsidRPr="009D5352" w:rsidRDefault="00244911">
            <w:pPr>
              <w:suppressAutoHyphens/>
              <w:jc w:val="center"/>
            </w:pPr>
            <w:r w:rsidRPr="009D5352">
              <w:rPr>
                <w:sz w:val="22"/>
                <w:szCs w:val="22"/>
              </w:rPr>
              <w:t>-</w:t>
            </w:r>
          </w:p>
        </w:tc>
        <w:tc>
          <w:tcPr>
            <w:tcW w:w="8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71D661" w14:textId="77777777" w:rsidR="00F4662F" w:rsidRPr="009D5352" w:rsidRDefault="00244911">
            <w:pPr>
              <w:suppressAutoHyphens/>
              <w:jc w:val="center"/>
            </w:pPr>
            <w:r w:rsidRPr="009D5352">
              <w:rPr>
                <w:sz w:val="22"/>
                <w:szCs w:val="22"/>
              </w:rPr>
              <w:t>-</w:t>
            </w:r>
          </w:p>
        </w:tc>
        <w:tc>
          <w:tcPr>
            <w:tcW w:w="1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A0189" w14:textId="41657F09" w:rsidR="00F4662F" w:rsidRPr="009D5352" w:rsidRDefault="00465CC6">
            <w:pPr>
              <w:suppressAutoHyphens/>
              <w:jc w:val="center"/>
              <w:rPr>
                <w:iCs/>
                <w:sz w:val="22"/>
                <w:szCs w:val="22"/>
              </w:rPr>
            </w:pPr>
            <w:r>
              <w:rPr>
                <w:iCs/>
                <w:sz w:val="22"/>
                <w:szCs w:val="22"/>
              </w:rPr>
              <w:t>Ne</w:t>
            </w:r>
          </w:p>
        </w:tc>
      </w:tr>
      <w:tr w:rsidR="00AE0277" w:rsidRPr="009D5352" w14:paraId="411F91D0" w14:textId="77777777" w:rsidTr="00AE0277">
        <w:trPr>
          <w:trHeight w:val="278"/>
        </w:trPr>
        <w:tc>
          <w:tcPr>
            <w:tcW w:w="15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6B07437" w14:textId="2A038371" w:rsidR="00AE0277" w:rsidRPr="00307325" w:rsidDel="00307325" w:rsidRDefault="00AE0277" w:rsidP="00307325">
            <w:pPr>
              <w:suppressAutoHyphens/>
              <w:rPr>
                <w:iCs/>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6731DC" w14:textId="63D63E8B" w:rsidR="00AE0277" w:rsidRPr="009D5352" w:rsidRDefault="00AE0277">
            <w:pPr>
              <w:suppressAutoHyphens/>
              <w:jc w:val="center"/>
              <w:rPr>
                <w:iCs/>
                <w:sz w:val="22"/>
                <w:szCs w:val="22"/>
              </w:rPr>
            </w:pPr>
          </w:p>
        </w:tc>
        <w:tc>
          <w:tcPr>
            <w:tcW w:w="9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3F06A2A" w14:textId="2D2A590D" w:rsidR="00AE0277" w:rsidRPr="009D5352" w:rsidRDefault="00AE0277">
            <w:pPr>
              <w:suppressAutoHyphens/>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9258B4D" w14:textId="4CA7198B" w:rsidR="00AE0277" w:rsidRPr="009D5352" w:rsidRDefault="00AE0277">
            <w:pPr>
              <w:suppressAutoHyphens/>
              <w:jc w:val="cente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05DCBBC" w14:textId="2BD6F4A3" w:rsidR="00AE0277" w:rsidRPr="009D5352" w:rsidRDefault="00AE0277">
            <w:pPr>
              <w:suppressAutoHyphens/>
              <w:jc w:val="center"/>
              <w:rPr>
                <w:sz w:val="22"/>
                <w:szCs w:val="22"/>
              </w:rPr>
            </w:pPr>
          </w:p>
        </w:tc>
        <w:tc>
          <w:tcPr>
            <w:tcW w:w="145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95DBF11" w14:textId="7073DDB7" w:rsidR="00AE0277" w:rsidRPr="009D5352" w:rsidRDefault="00AE0277">
            <w:pPr>
              <w:suppressAutoHyphens/>
              <w:jc w:val="center"/>
              <w:rPr>
                <w:sz w:val="22"/>
                <w:szCs w:val="22"/>
              </w:rPr>
            </w:pPr>
          </w:p>
        </w:tc>
        <w:tc>
          <w:tcPr>
            <w:tcW w:w="13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77CBDD" w14:textId="280DA0C8" w:rsidR="00AE0277" w:rsidRPr="009D5352" w:rsidRDefault="00AE0277">
            <w:pPr>
              <w:suppressAutoHyphens/>
              <w:jc w:val="center"/>
              <w:rPr>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D4AB37" w14:textId="2DDDD054" w:rsidR="00AE0277" w:rsidRPr="009D5352" w:rsidRDefault="00AE0277">
            <w:pPr>
              <w:suppressAutoHyphens/>
              <w:jc w:val="center"/>
              <w:rPr>
                <w:sz w:val="22"/>
                <w:szCs w:val="22"/>
              </w:rPr>
            </w:pPr>
          </w:p>
        </w:tc>
        <w:tc>
          <w:tcPr>
            <w:tcW w:w="13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B90CDD" w14:textId="318DFEC8" w:rsidR="00AE0277" w:rsidRPr="009D5352" w:rsidRDefault="00AE0277">
            <w:pPr>
              <w:suppressAutoHyphens/>
              <w:jc w:val="center"/>
              <w:rPr>
                <w:sz w:val="22"/>
                <w:szCs w:val="22"/>
              </w:rPr>
            </w:pPr>
          </w:p>
        </w:tc>
        <w:tc>
          <w:tcPr>
            <w:tcW w:w="10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2F3063" w14:textId="2F741773" w:rsidR="00AE0277" w:rsidRPr="009D5352" w:rsidRDefault="00AE0277">
            <w:pPr>
              <w:suppressAutoHyphens/>
              <w:jc w:val="center"/>
              <w:rPr>
                <w:sz w:val="22"/>
                <w:szCs w:val="22"/>
              </w:rPr>
            </w:pPr>
          </w:p>
        </w:tc>
        <w:tc>
          <w:tcPr>
            <w:tcW w:w="11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E5FFEFD" w14:textId="13B4539F" w:rsidR="00AE0277" w:rsidRPr="009D5352" w:rsidRDefault="00AE0277">
            <w:pPr>
              <w:suppressAutoHyphens/>
              <w:jc w:val="center"/>
              <w:rPr>
                <w:sz w:val="22"/>
                <w:szCs w:val="22"/>
              </w:rPr>
            </w:pPr>
          </w:p>
        </w:tc>
        <w:tc>
          <w:tcPr>
            <w:tcW w:w="8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3C5EC27" w14:textId="07F8C120" w:rsidR="00AE0277" w:rsidRPr="009D5352" w:rsidRDefault="00AE0277">
            <w:pPr>
              <w:suppressAutoHyphens/>
              <w:jc w:val="center"/>
              <w:rPr>
                <w:sz w:val="22"/>
                <w:szCs w:val="22"/>
              </w:rPr>
            </w:pPr>
          </w:p>
        </w:tc>
        <w:tc>
          <w:tcPr>
            <w:tcW w:w="1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16F82" w14:textId="77777777" w:rsidR="00AE0277" w:rsidRDefault="00AE0277">
            <w:pPr>
              <w:suppressAutoHyphens/>
              <w:jc w:val="center"/>
              <w:rPr>
                <w:iCs/>
                <w:sz w:val="22"/>
                <w:szCs w:val="22"/>
              </w:rPr>
            </w:pPr>
          </w:p>
        </w:tc>
      </w:tr>
    </w:tbl>
    <w:p w14:paraId="5704259B" w14:textId="77777777" w:rsidR="00F4662F" w:rsidRPr="009D5352" w:rsidRDefault="00F4662F">
      <w:pPr>
        <w:suppressAutoHyphens/>
        <w:ind w:firstLine="567"/>
        <w:jc w:val="both"/>
        <w:rPr>
          <w:iCs/>
          <w:szCs w:val="24"/>
        </w:rPr>
      </w:pPr>
    </w:p>
    <w:tbl>
      <w:tblPr>
        <w:tblW w:w="15134" w:type="dxa"/>
        <w:tblLayout w:type="fixed"/>
        <w:tblCellMar>
          <w:left w:w="10" w:type="dxa"/>
          <w:right w:w="10" w:type="dxa"/>
        </w:tblCellMar>
        <w:tblLook w:val="04A0" w:firstRow="1" w:lastRow="0" w:firstColumn="1" w:lastColumn="0" w:noHBand="0" w:noVBand="1"/>
      </w:tblPr>
      <w:tblGrid>
        <w:gridCol w:w="3783"/>
        <w:gridCol w:w="3784"/>
        <w:gridCol w:w="3783"/>
        <w:gridCol w:w="3784"/>
      </w:tblGrid>
      <w:tr w:rsidR="00F4662F" w:rsidRPr="009D5352" w14:paraId="52162DAE" w14:textId="77777777">
        <w:trPr>
          <w:trHeight w:val="405"/>
        </w:trPr>
        <w:tc>
          <w:tcPr>
            <w:tcW w:w="151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39BA0" w14:textId="0A08DAE2" w:rsidR="00F4662F" w:rsidRPr="009D5352" w:rsidRDefault="00234AF4">
            <w:pPr>
              <w:suppressAutoHyphens/>
            </w:pPr>
            <w:r w:rsidRPr="00234AF4">
              <w:rPr>
                <w:b/>
              </w:rPr>
              <w:t xml:space="preserve">2. Veiklos ar </w:t>
            </w:r>
            <w:proofErr w:type="spellStart"/>
            <w:r w:rsidRPr="00234AF4">
              <w:rPr>
                <w:b/>
              </w:rPr>
              <w:t>poveiklės</w:t>
            </w:r>
            <w:proofErr w:type="spellEnd"/>
            <w:r w:rsidRPr="00234AF4">
              <w:rPr>
                <w:b/>
              </w:rPr>
              <w:t xml:space="preserve"> rodikliai</w:t>
            </w:r>
          </w:p>
        </w:tc>
      </w:tr>
      <w:tr w:rsidR="00F4662F" w:rsidRPr="009D5352" w14:paraId="09891772" w14:textId="77777777">
        <w:trPr>
          <w:trHeight w:val="405"/>
        </w:trPr>
        <w:tc>
          <w:tcPr>
            <w:tcW w:w="3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E33CE9" w14:textId="77777777" w:rsidR="00F4662F" w:rsidRPr="009D5352" w:rsidRDefault="00244911">
            <w:pPr>
              <w:suppressAutoHyphens/>
              <w:jc w:val="center"/>
              <w:rPr>
                <w:sz w:val="22"/>
                <w:szCs w:val="22"/>
              </w:rPr>
            </w:pPr>
            <w:r w:rsidRPr="009D5352">
              <w:rPr>
                <w:sz w:val="22"/>
                <w:szCs w:val="22"/>
              </w:rPr>
              <w:t>Rodiklio pavadinimas</w:t>
            </w:r>
          </w:p>
        </w:tc>
        <w:tc>
          <w:tcPr>
            <w:tcW w:w="3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4822D" w14:textId="77777777" w:rsidR="00F4662F" w:rsidRPr="009D5352" w:rsidRDefault="00244911">
            <w:pPr>
              <w:suppressAutoHyphens/>
              <w:jc w:val="center"/>
              <w:rPr>
                <w:sz w:val="22"/>
                <w:szCs w:val="22"/>
              </w:rPr>
            </w:pPr>
            <w:r w:rsidRPr="009D5352">
              <w:rPr>
                <w:sz w:val="22"/>
                <w:szCs w:val="22"/>
              </w:rPr>
              <w:t>Rodiklio kodas</w:t>
            </w:r>
          </w:p>
        </w:tc>
        <w:tc>
          <w:tcPr>
            <w:tcW w:w="3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2AF6B" w14:textId="77777777" w:rsidR="00F4662F" w:rsidRPr="009D5352" w:rsidRDefault="00244911">
            <w:pPr>
              <w:suppressAutoHyphens/>
              <w:jc w:val="center"/>
              <w:rPr>
                <w:sz w:val="22"/>
                <w:szCs w:val="22"/>
              </w:rPr>
            </w:pPr>
            <w:r w:rsidRPr="009D5352">
              <w:rPr>
                <w:sz w:val="22"/>
                <w:szCs w:val="22"/>
              </w:rPr>
              <w:t>Matavimo vienetai</w:t>
            </w:r>
          </w:p>
        </w:tc>
        <w:tc>
          <w:tcPr>
            <w:tcW w:w="3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B0891E" w14:textId="77777777" w:rsidR="00F4662F" w:rsidRPr="009D5352" w:rsidRDefault="00244911">
            <w:pPr>
              <w:suppressAutoHyphens/>
              <w:jc w:val="center"/>
              <w:rPr>
                <w:sz w:val="22"/>
                <w:szCs w:val="22"/>
              </w:rPr>
            </w:pPr>
            <w:r w:rsidRPr="009D5352">
              <w:rPr>
                <w:sz w:val="22"/>
                <w:szCs w:val="22"/>
              </w:rPr>
              <w:t>Siektina reikšmė ir pasiekimo data</w:t>
            </w:r>
          </w:p>
        </w:tc>
      </w:tr>
      <w:tr w:rsidR="00F4662F" w:rsidRPr="009D5352" w14:paraId="7B590ABC" w14:textId="77777777">
        <w:trPr>
          <w:trHeight w:val="416"/>
        </w:trPr>
        <w:tc>
          <w:tcPr>
            <w:tcW w:w="3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53831" w14:textId="1AC95D0C" w:rsidR="00F4662F" w:rsidRPr="009D5352" w:rsidRDefault="00C55F5B">
            <w:pPr>
              <w:suppressAutoHyphens/>
              <w:jc w:val="center"/>
              <w:rPr>
                <w:iCs/>
                <w:szCs w:val="24"/>
              </w:rPr>
            </w:pPr>
            <w:r w:rsidRPr="00C55F5B">
              <w:rPr>
                <w:iCs/>
                <w:szCs w:val="24"/>
              </w:rPr>
              <w:t>Įsteigtos mokslo pareigūnų ir nacionalinių kontaktinių asmenų pareigybės</w:t>
            </w:r>
          </w:p>
        </w:tc>
        <w:tc>
          <w:tcPr>
            <w:tcW w:w="3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B074" w14:textId="7A6DBF01" w:rsidR="00F4662F" w:rsidRPr="009D5352" w:rsidRDefault="00244911">
            <w:pPr>
              <w:suppressAutoHyphens/>
              <w:jc w:val="center"/>
              <w:rPr>
                <w:iCs/>
                <w:szCs w:val="24"/>
              </w:rPr>
            </w:pPr>
            <w:r w:rsidRPr="009D5352">
              <w:rPr>
                <w:iCs/>
                <w:szCs w:val="24"/>
              </w:rPr>
              <w:t>P-12-001-01-02-01-1</w:t>
            </w:r>
            <w:r w:rsidR="00942A30">
              <w:rPr>
                <w:iCs/>
                <w:szCs w:val="24"/>
              </w:rPr>
              <w:t>6</w:t>
            </w:r>
          </w:p>
          <w:p w14:paraId="6ED32755" w14:textId="77777777" w:rsidR="00F4662F" w:rsidRPr="009D5352" w:rsidRDefault="00F4662F">
            <w:pPr>
              <w:suppressAutoHyphens/>
              <w:rPr>
                <w:iCs/>
                <w:szCs w:val="24"/>
              </w:rPr>
            </w:pPr>
          </w:p>
          <w:p w14:paraId="3598D5E0" w14:textId="0310F41E" w:rsidR="00F4662F" w:rsidRPr="009D5352" w:rsidRDefault="00244911">
            <w:pPr>
              <w:suppressAutoHyphens/>
              <w:jc w:val="center"/>
            </w:pPr>
            <w:r w:rsidRPr="009D5352">
              <w:rPr>
                <w:iCs/>
                <w:szCs w:val="24"/>
                <w:shd w:val="clear" w:color="auto" w:fill="FFFFFF"/>
              </w:rPr>
              <w:t>P.S.1.113</w:t>
            </w:r>
            <w:r w:rsidR="00C20AC0">
              <w:rPr>
                <w:iCs/>
                <w:szCs w:val="24"/>
                <w:shd w:val="clear" w:color="auto" w:fill="FFFFFF"/>
              </w:rPr>
              <w:t>7</w:t>
            </w:r>
          </w:p>
        </w:tc>
        <w:tc>
          <w:tcPr>
            <w:tcW w:w="37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1BEBA" w14:textId="77777777" w:rsidR="00F4662F" w:rsidRPr="009D5352" w:rsidRDefault="00244911">
            <w:pPr>
              <w:suppressAutoHyphens/>
              <w:jc w:val="center"/>
            </w:pPr>
            <w:r w:rsidRPr="009D5352">
              <w:rPr>
                <w:color w:val="000000"/>
                <w:szCs w:val="24"/>
              </w:rPr>
              <w:t>Skaičius</w:t>
            </w:r>
          </w:p>
        </w:tc>
        <w:tc>
          <w:tcPr>
            <w:tcW w:w="3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6E424" w14:textId="169B7AF3" w:rsidR="00E5473C" w:rsidRPr="00E5473C" w:rsidRDefault="00E5473C" w:rsidP="00E5473C">
            <w:pPr>
              <w:suppressAutoHyphens/>
              <w:jc w:val="center"/>
              <w:rPr>
                <w:iCs/>
                <w:szCs w:val="24"/>
              </w:rPr>
            </w:pPr>
            <w:r w:rsidRPr="00E5473C">
              <w:rPr>
                <w:iCs/>
                <w:szCs w:val="24"/>
              </w:rPr>
              <w:t>30</w:t>
            </w:r>
            <w:r w:rsidR="00D4736D">
              <w:rPr>
                <w:iCs/>
                <w:szCs w:val="24"/>
              </w:rPr>
              <w:t xml:space="preserve"> </w:t>
            </w:r>
            <w:r w:rsidR="00D4736D" w:rsidRPr="00D4736D">
              <w:rPr>
                <w:iCs/>
                <w:szCs w:val="24"/>
              </w:rPr>
              <w:t xml:space="preserve">(2026 m. II </w:t>
            </w:r>
            <w:proofErr w:type="spellStart"/>
            <w:r w:rsidR="00D4736D" w:rsidRPr="00D4736D">
              <w:rPr>
                <w:iCs/>
                <w:szCs w:val="24"/>
              </w:rPr>
              <w:t>ketv</w:t>
            </w:r>
            <w:proofErr w:type="spellEnd"/>
            <w:r w:rsidR="00D4736D" w:rsidRPr="00D4736D">
              <w:rPr>
                <w:iCs/>
                <w:szCs w:val="24"/>
              </w:rPr>
              <w:t>.)</w:t>
            </w:r>
          </w:p>
          <w:p w14:paraId="320EC2EF" w14:textId="406257E9" w:rsidR="00F4662F" w:rsidRPr="009D5352" w:rsidRDefault="00E5473C" w:rsidP="00E5473C">
            <w:pPr>
              <w:suppressAutoHyphens/>
              <w:jc w:val="center"/>
              <w:rPr>
                <w:iCs/>
                <w:szCs w:val="24"/>
              </w:rPr>
            </w:pPr>
            <w:r w:rsidRPr="00E5473C">
              <w:rPr>
                <w:iCs/>
                <w:szCs w:val="24"/>
              </w:rPr>
              <w:t xml:space="preserve">(15 mokslo ir inovacijų pareigūnų / patarėjų </w:t>
            </w:r>
            <w:r w:rsidR="003907D8">
              <w:rPr>
                <w:iCs/>
                <w:szCs w:val="24"/>
              </w:rPr>
              <w:t xml:space="preserve">pozicijų </w:t>
            </w:r>
            <w:r w:rsidRPr="00E5473C">
              <w:rPr>
                <w:iCs/>
                <w:szCs w:val="24"/>
              </w:rPr>
              <w:t>ir 15 nacionalinių kontaktinių asmenų pareigybių)</w:t>
            </w:r>
          </w:p>
        </w:tc>
      </w:tr>
    </w:tbl>
    <w:p w14:paraId="5304DA10" w14:textId="77777777" w:rsidR="00162EA3" w:rsidRPr="009D5352" w:rsidRDefault="00162EA3">
      <w:pPr>
        <w:suppressAutoHyphens/>
        <w:jc w:val="both"/>
        <w:rPr>
          <w:iCs/>
          <w:szCs w:val="24"/>
        </w:rPr>
      </w:pPr>
    </w:p>
    <w:tbl>
      <w:tblPr>
        <w:tblW w:w="15127" w:type="dxa"/>
        <w:tblCellMar>
          <w:left w:w="10" w:type="dxa"/>
          <w:right w:w="10" w:type="dxa"/>
        </w:tblCellMar>
        <w:tblLook w:val="04A0" w:firstRow="1" w:lastRow="0" w:firstColumn="1" w:lastColumn="0" w:noHBand="0" w:noVBand="1"/>
      </w:tblPr>
      <w:tblGrid>
        <w:gridCol w:w="15127"/>
      </w:tblGrid>
      <w:tr w:rsidR="006D455F" w:rsidRPr="009D5352" w14:paraId="349CB65D" w14:textId="77777777" w:rsidTr="005133B3">
        <w:trPr>
          <w:trHeight w:val="298"/>
        </w:trPr>
        <w:tc>
          <w:tcPr>
            <w:tcW w:w="15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4B911" w14:textId="77777777" w:rsidR="006D455F" w:rsidRPr="009D5352" w:rsidRDefault="006D455F" w:rsidP="005133B3">
            <w:pPr>
              <w:tabs>
                <w:tab w:val="left" w:pos="316"/>
              </w:tabs>
              <w:suppressAutoHyphens/>
              <w:jc w:val="both"/>
              <w:rPr>
                <w:b/>
                <w:bCs/>
                <w:szCs w:val="24"/>
              </w:rPr>
            </w:pPr>
            <w:r w:rsidRPr="009D5352">
              <w:rPr>
                <w:b/>
                <w:bCs/>
                <w:szCs w:val="24"/>
              </w:rPr>
              <w:t>3.</w:t>
            </w:r>
            <w:r w:rsidRPr="009D5352">
              <w:rPr>
                <w:b/>
                <w:bCs/>
                <w:szCs w:val="24"/>
              </w:rPr>
              <w:tab/>
              <w:t>Lietuvos Respublikos švietimo, mokslo ir sporto ministerijos (toliau – Ministerija) stebėsenos rodiklių aprašymo kortelės</w:t>
            </w:r>
          </w:p>
        </w:tc>
      </w:tr>
      <w:tr w:rsidR="006D455F" w:rsidRPr="009D5352" w14:paraId="399D311B" w14:textId="77777777" w:rsidTr="005133B3">
        <w:trPr>
          <w:trHeight w:val="315"/>
        </w:trPr>
        <w:tc>
          <w:tcPr>
            <w:tcW w:w="15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EAEB" w14:textId="77777777" w:rsidR="006D455F" w:rsidRPr="009D5352" w:rsidRDefault="006D455F" w:rsidP="005133B3">
            <w:pPr>
              <w:suppressAutoHyphens/>
              <w:jc w:val="both"/>
              <w:rPr>
                <w:szCs w:val="24"/>
              </w:rPr>
            </w:pPr>
            <w:r w:rsidRPr="009D5352">
              <w:rPr>
                <w:szCs w:val="24"/>
              </w:rPr>
              <w:t>3.1. Ministerijos stebėsenos rodiklių aprašymo kortelės pateiktos šiuo Lietuvos Respublikos švietimo, mokslo ir sporto ministro įsakymu patvirtinto 2022–2030 metų plėtros programos valdytojos Lietuvos Respublikos švietimo, mokslo ir sporto ministerijos mokslo plėtros programos pažangos priemonės Nr.</w:t>
            </w:r>
            <w:r>
              <w:rPr>
                <w:szCs w:val="24"/>
              </w:rPr>
              <w:t> </w:t>
            </w:r>
            <w:r w:rsidRPr="009D5352">
              <w:rPr>
                <w:szCs w:val="24"/>
              </w:rPr>
              <w:t>12-001-01-02-01 „Stiprinti inovacijų ekosistemas mokslo centruose“ aprašo 16 priede.</w:t>
            </w:r>
          </w:p>
        </w:tc>
      </w:tr>
    </w:tbl>
    <w:p w14:paraId="2BCA2AF0" w14:textId="77777777" w:rsidR="00162EA3" w:rsidRDefault="00162EA3" w:rsidP="004C1199">
      <w:pPr>
        <w:suppressAutoHyphens/>
        <w:rPr>
          <w:b/>
          <w:bCs/>
          <w:szCs w:val="24"/>
        </w:rPr>
      </w:pPr>
    </w:p>
    <w:p w14:paraId="73157EA8" w14:textId="31BC9C6F" w:rsidR="00F4662F" w:rsidRPr="009D5352" w:rsidRDefault="00244911">
      <w:pPr>
        <w:suppressAutoHyphens/>
        <w:jc w:val="center"/>
        <w:rPr>
          <w:b/>
          <w:bCs/>
          <w:szCs w:val="24"/>
        </w:rPr>
      </w:pPr>
      <w:r w:rsidRPr="009D5352">
        <w:rPr>
          <w:b/>
          <w:bCs/>
          <w:szCs w:val="24"/>
        </w:rPr>
        <w:t>II SKYRIUS</w:t>
      </w:r>
    </w:p>
    <w:p w14:paraId="1AA8D963" w14:textId="77777777" w:rsidR="00F4662F" w:rsidRPr="009D5352" w:rsidRDefault="00244911">
      <w:pPr>
        <w:suppressAutoHyphens/>
        <w:jc w:val="center"/>
        <w:rPr>
          <w:b/>
          <w:szCs w:val="24"/>
        </w:rPr>
      </w:pPr>
      <w:r w:rsidRPr="009D5352">
        <w:rPr>
          <w:b/>
          <w:szCs w:val="24"/>
        </w:rPr>
        <w:t>SPECIALIEJI FINANSAVIMO REIKALAVIMAI</w:t>
      </w:r>
    </w:p>
    <w:p w14:paraId="5AA8633C" w14:textId="77777777" w:rsidR="00F4662F" w:rsidRPr="009D5352" w:rsidRDefault="00F4662F">
      <w:pPr>
        <w:suppressAutoHyphens/>
        <w:rPr>
          <w:b/>
          <w:i/>
          <w:szCs w:val="24"/>
        </w:rPr>
      </w:pPr>
    </w:p>
    <w:tbl>
      <w:tblPr>
        <w:tblW w:w="15134" w:type="dxa"/>
        <w:tblCellMar>
          <w:left w:w="10" w:type="dxa"/>
          <w:right w:w="10" w:type="dxa"/>
        </w:tblCellMar>
        <w:tblLook w:val="04A0" w:firstRow="1" w:lastRow="0" w:firstColumn="1" w:lastColumn="0" w:noHBand="0" w:noVBand="1"/>
      </w:tblPr>
      <w:tblGrid>
        <w:gridCol w:w="15134"/>
      </w:tblGrid>
      <w:tr w:rsidR="00F4662F" w:rsidRPr="009D5352" w14:paraId="0EA9999A"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DE73" w14:textId="77777777" w:rsidR="00F4662F" w:rsidRPr="009D5352" w:rsidRDefault="00244911">
            <w:pPr>
              <w:suppressAutoHyphens/>
            </w:pPr>
            <w:r w:rsidRPr="009D5352">
              <w:rPr>
                <w:b/>
                <w:bCs/>
                <w:szCs w:val="24"/>
              </w:rPr>
              <w:t>4</w:t>
            </w:r>
            <w:r w:rsidRPr="009D5352">
              <w:rPr>
                <w:szCs w:val="24"/>
              </w:rPr>
              <w:t xml:space="preserve">. </w:t>
            </w:r>
            <w:r w:rsidRPr="009D5352">
              <w:rPr>
                <w:b/>
                <w:bCs/>
                <w:szCs w:val="24"/>
              </w:rPr>
              <w:t>Taikomi teisės aktai</w:t>
            </w:r>
            <w:r w:rsidRPr="009D5352">
              <w:rPr>
                <w:szCs w:val="24"/>
              </w:rPr>
              <w:t xml:space="preserve"> </w:t>
            </w:r>
            <w:r w:rsidRPr="009D5352">
              <w:rPr>
                <w:b/>
                <w:bCs/>
                <w:szCs w:val="24"/>
              </w:rPr>
              <w:t>ir, jei taikoma, Apraše vartojamos sąvokos</w:t>
            </w:r>
          </w:p>
        </w:tc>
      </w:tr>
      <w:tr w:rsidR="00F4662F" w:rsidRPr="009D5352" w14:paraId="6F3DF1CD"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668C9" w14:textId="6E8BA037" w:rsidR="00F4662F" w:rsidRDefault="00244911">
            <w:pPr>
              <w:suppressAutoHyphens/>
              <w:jc w:val="both"/>
              <w:rPr>
                <w:iCs/>
                <w:szCs w:val="24"/>
              </w:rPr>
            </w:pPr>
            <w:r w:rsidRPr="009D5352">
              <w:rPr>
                <w:iCs/>
                <w:szCs w:val="24"/>
              </w:rPr>
              <w:t>4.1. Teisės aktai, kuriais vadovaujamasi rengiant, teikiant ir vertinant projektų įgyvendinimo planą (toliau – PĮP), priimant sprendimą dėl projektų finansavimo, sudarant projekt</w:t>
            </w:r>
            <w:r w:rsidR="00412175">
              <w:rPr>
                <w:iCs/>
                <w:szCs w:val="24"/>
              </w:rPr>
              <w:t>o</w:t>
            </w:r>
            <w:r w:rsidRPr="009D5352">
              <w:rPr>
                <w:iCs/>
                <w:szCs w:val="24"/>
              </w:rPr>
              <w:t xml:space="preserve"> sutartį ir įgyvendinant projektą, finansuojamą pagal 202</w:t>
            </w:r>
            <w:r w:rsidR="00412175">
              <w:rPr>
                <w:iCs/>
                <w:szCs w:val="24"/>
              </w:rPr>
              <w:t>2</w:t>
            </w:r>
            <w:r w:rsidRPr="009D5352">
              <w:rPr>
                <w:iCs/>
                <w:szCs w:val="24"/>
              </w:rPr>
              <w:t xml:space="preserve">–2030 m. plėtros programos valdytojos Lietuvos Respublikos švietimo, mokslo ir sporto ministerijos mokslo plėtros programos pažangos priemonės Nr. 12-001-01-02-01 „Stiprinti inovacijų ekosistemas mokslo centruose“ projektų finansavimo sąlygų aprašą Nr. </w:t>
            </w:r>
            <w:r w:rsidR="00C906DB">
              <w:rPr>
                <w:iCs/>
                <w:szCs w:val="24"/>
              </w:rPr>
              <w:t>1</w:t>
            </w:r>
            <w:r w:rsidRPr="009D5352">
              <w:rPr>
                <w:iCs/>
                <w:szCs w:val="24"/>
              </w:rPr>
              <w:t xml:space="preserve"> (toliau – Aprašas):</w:t>
            </w:r>
          </w:p>
          <w:p w14:paraId="19C49E3D" w14:textId="42E829C8" w:rsidR="00367ECD" w:rsidRPr="009D5352" w:rsidRDefault="00367ECD">
            <w:pPr>
              <w:suppressAutoHyphens/>
              <w:jc w:val="both"/>
              <w:rPr>
                <w:iCs/>
                <w:szCs w:val="24"/>
              </w:rPr>
            </w:pPr>
            <w:r w:rsidRPr="00367ECD">
              <w:rPr>
                <w:iCs/>
                <w:szCs w:val="24"/>
              </w:rPr>
              <w:lastRenderedPageBreak/>
              <w:t>4.1.1. Aštuonioliktos Lietuvos Respublikos Vyriausybės programa, patvirtinta Lietuvos Respublikos Seimo 2020 m. gruodžio 11 d. nutarimu Nr. XIV-72 „Dėl Aštuonioliktosios Lietuvos Respublikos Vyriausybės programos“.</w:t>
            </w:r>
          </w:p>
          <w:p w14:paraId="4892D052" w14:textId="5C97DB97" w:rsidR="001F0800" w:rsidRPr="00BC6A9E" w:rsidRDefault="00244911">
            <w:pPr>
              <w:suppressAutoHyphens/>
              <w:jc w:val="both"/>
              <w:rPr>
                <w:iCs/>
                <w:szCs w:val="24"/>
              </w:rPr>
            </w:pPr>
            <w:r w:rsidRPr="00BC6A9E">
              <w:rPr>
                <w:iCs/>
                <w:szCs w:val="24"/>
              </w:rPr>
              <w:t>4.1.</w:t>
            </w:r>
            <w:r w:rsidR="00367ECD" w:rsidRPr="00BC6A9E">
              <w:rPr>
                <w:iCs/>
                <w:szCs w:val="24"/>
              </w:rPr>
              <w:t>2</w:t>
            </w:r>
            <w:r w:rsidRPr="00BC6A9E">
              <w:rPr>
                <w:iCs/>
                <w:szCs w:val="24"/>
              </w:rPr>
              <w:t xml:space="preserve">. 2021 m. vasario 12 d. Europos Parlamento ir Tarybos reglamentas </w:t>
            </w:r>
            <w:hyperlink r:id="rId10" w:tgtFrame="_blank" w:history="1">
              <w:r w:rsidRPr="00BC6A9E">
                <w:rPr>
                  <w:iCs/>
                  <w:color w:val="467886" w:themeColor="hyperlink"/>
                  <w:szCs w:val="24"/>
                  <w:u w:val="single"/>
                </w:rPr>
                <w:t>(ES) 2021/241</w:t>
              </w:r>
            </w:hyperlink>
            <w:r w:rsidRPr="00BC6A9E">
              <w:rPr>
                <w:iCs/>
                <w:szCs w:val="24"/>
              </w:rPr>
              <w:t>, kuriuo nustatoma ekonomikos gaivinimo ir atsparumo didinimo priemonė</w:t>
            </w:r>
            <w:r w:rsidR="00F6153F" w:rsidRPr="00BC6A9E">
              <w:rPr>
                <w:iCs/>
                <w:szCs w:val="24"/>
              </w:rPr>
              <w:t xml:space="preserve"> su paskutiniais pakeitimais, padarytais 2024 m. vasario 29 d. Europos Parlamento ir Tarybos reglamentu (ES) 2024/795;</w:t>
            </w:r>
          </w:p>
          <w:p w14:paraId="289EB792" w14:textId="704D209E" w:rsidR="00F4662F" w:rsidRPr="00BC6A9E" w:rsidRDefault="001F0800">
            <w:pPr>
              <w:suppressAutoHyphens/>
              <w:jc w:val="both"/>
              <w:rPr>
                <w:iCs/>
                <w:szCs w:val="24"/>
              </w:rPr>
            </w:pPr>
            <w:r w:rsidRPr="00BC6A9E">
              <w:rPr>
                <w:iCs/>
                <w:szCs w:val="24"/>
              </w:rPr>
              <w:t>4.1.</w:t>
            </w:r>
            <w:r w:rsidR="00367ECD" w:rsidRPr="00BC6A9E">
              <w:rPr>
                <w:iCs/>
                <w:szCs w:val="24"/>
              </w:rPr>
              <w:t>3</w:t>
            </w:r>
            <w:r w:rsidRPr="00BC6A9E">
              <w:rPr>
                <w:iCs/>
                <w:szCs w:val="24"/>
              </w:rPr>
              <w:t>. 2021 m. liepos 28 d. Tarybos įgyvendinimo sprendimo CM4171/21 dėl Lietuvos ekonomikos gaivinimo ir atsparumo didinimo plano įvertinimo patvirtinimo priedas;</w:t>
            </w:r>
          </w:p>
          <w:p w14:paraId="6BF519A1" w14:textId="7D8E3DF6" w:rsidR="00F4662F" w:rsidRPr="00BC6A9E" w:rsidRDefault="00244911">
            <w:pPr>
              <w:suppressAutoHyphens/>
              <w:jc w:val="both"/>
              <w:rPr>
                <w:iCs/>
                <w:szCs w:val="24"/>
              </w:rPr>
            </w:pPr>
            <w:r w:rsidRPr="00BC6A9E">
              <w:rPr>
                <w:iCs/>
                <w:szCs w:val="24"/>
              </w:rPr>
              <w:t>4.1.</w:t>
            </w:r>
            <w:r w:rsidR="00367ECD" w:rsidRPr="00BC6A9E">
              <w:rPr>
                <w:iCs/>
                <w:szCs w:val="24"/>
              </w:rPr>
              <w:t>4</w:t>
            </w:r>
            <w:r w:rsidRPr="00BC6A9E">
              <w:rPr>
                <w:iCs/>
                <w:szCs w:val="24"/>
              </w:rPr>
              <w:t>.</w:t>
            </w:r>
            <w:r w:rsidR="004B0D64" w:rsidRPr="00BC6A9E">
              <w:rPr>
                <w:iCs/>
                <w:szCs w:val="24"/>
              </w:rPr>
              <w:t xml:space="preserve"> </w:t>
            </w:r>
            <w:r w:rsidR="00115374" w:rsidRPr="00BC6A9E">
              <w:rPr>
                <w:iCs/>
                <w:szCs w:val="24"/>
              </w:rPr>
              <w:t xml:space="preserve">Ekonomikos gaivinimo ir atsparumo didinimo planas </w:t>
            </w:r>
            <w:r w:rsidR="00F941C0" w:rsidRPr="00BC6A9E">
              <w:rPr>
                <w:iCs/>
                <w:szCs w:val="24"/>
              </w:rPr>
              <w:t xml:space="preserve">„Naujos kartos Lietuva“ , priimtas 2021 m. liepos 28 d. </w:t>
            </w:r>
            <w:r w:rsidR="00115374" w:rsidRPr="00BC6A9E">
              <w:rPr>
                <w:iCs/>
                <w:szCs w:val="24"/>
              </w:rPr>
              <w:t xml:space="preserve">Europos Sąjungos </w:t>
            </w:r>
            <w:r w:rsidR="00F941C0" w:rsidRPr="00BC6A9E">
              <w:rPr>
                <w:iCs/>
                <w:szCs w:val="24"/>
              </w:rPr>
              <w:t>Tarybos įgyvendinimo sprendimu</w:t>
            </w:r>
            <w:r w:rsidR="00115374" w:rsidRPr="00BC6A9E">
              <w:rPr>
                <w:iCs/>
                <w:szCs w:val="24"/>
              </w:rPr>
              <w:t xml:space="preserve"> Nr. CM 4171/21</w:t>
            </w:r>
            <w:r w:rsidR="00F941C0" w:rsidRPr="00BC6A9E">
              <w:rPr>
                <w:iCs/>
                <w:szCs w:val="24"/>
              </w:rPr>
              <w:t xml:space="preserve"> dėl Lietuvos ekonomikos gaivinimo ir atsparumo didinimo plano patvirtinimo</w:t>
            </w:r>
            <w:r w:rsidR="004B0D64" w:rsidRPr="00BC6A9E">
              <w:rPr>
                <w:iCs/>
                <w:szCs w:val="24"/>
              </w:rPr>
              <w:t>;</w:t>
            </w:r>
          </w:p>
          <w:p w14:paraId="34E51B2B" w14:textId="22FFF79D" w:rsidR="00F4662F" w:rsidRPr="00BC6A9E" w:rsidRDefault="00244911">
            <w:pPr>
              <w:suppressAutoHyphens/>
              <w:jc w:val="both"/>
              <w:rPr>
                <w:iCs/>
                <w:szCs w:val="24"/>
              </w:rPr>
            </w:pPr>
            <w:r w:rsidRPr="00BC6A9E">
              <w:rPr>
                <w:iCs/>
                <w:szCs w:val="24"/>
              </w:rPr>
              <w:t>4.1.</w:t>
            </w:r>
            <w:r w:rsidR="00367ECD" w:rsidRPr="00BC6A9E">
              <w:rPr>
                <w:iCs/>
                <w:szCs w:val="24"/>
              </w:rPr>
              <w:t>5</w:t>
            </w:r>
            <w:r w:rsidRPr="00BC6A9E">
              <w:rPr>
                <w:iCs/>
                <w:szCs w:val="24"/>
              </w:rPr>
              <w:t>. Lietuvos Respublikos mokslo ir studijų įstatymas;</w:t>
            </w:r>
          </w:p>
          <w:p w14:paraId="545006D4" w14:textId="1689C522" w:rsidR="00F4662F" w:rsidRPr="00BC6A9E" w:rsidRDefault="00244911">
            <w:pPr>
              <w:suppressAutoHyphens/>
              <w:jc w:val="both"/>
              <w:rPr>
                <w:iCs/>
                <w:szCs w:val="24"/>
              </w:rPr>
            </w:pPr>
            <w:r w:rsidRPr="00BC6A9E">
              <w:rPr>
                <w:iCs/>
                <w:szCs w:val="24"/>
              </w:rPr>
              <w:t>4.1.</w:t>
            </w:r>
            <w:r w:rsidR="00367ECD" w:rsidRPr="00BC6A9E">
              <w:rPr>
                <w:iCs/>
                <w:szCs w:val="24"/>
              </w:rPr>
              <w:t>6</w:t>
            </w:r>
            <w:r w:rsidRPr="00BC6A9E">
              <w:rPr>
                <w:iCs/>
                <w:szCs w:val="24"/>
              </w:rPr>
              <w:t xml:space="preserve">. </w:t>
            </w:r>
            <w:r w:rsidR="009619F2" w:rsidRPr="00BC6A9E">
              <w:rPr>
                <w:iCs/>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r w:rsidR="000C7044" w:rsidRPr="00BC6A9E">
              <w:rPr>
                <w:iCs/>
                <w:szCs w:val="24"/>
              </w:rPr>
              <w:t xml:space="preserve"> (toliau – Administravimo taisyklės);</w:t>
            </w:r>
          </w:p>
          <w:p w14:paraId="23526347" w14:textId="7ACC06E1" w:rsidR="0027025E" w:rsidRPr="00BC6A9E" w:rsidRDefault="00244911">
            <w:pPr>
              <w:suppressAutoHyphens/>
              <w:jc w:val="both"/>
              <w:rPr>
                <w:iCs/>
                <w:szCs w:val="24"/>
              </w:rPr>
            </w:pPr>
            <w:r w:rsidRPr="00BC6A9E">
              <w:rPr>
                <w:iCs/>
                <w:szCs w:val="24"/>
              </w:rPr>
              <w:t>4.1.</w:t>
            </w:r>
            <w:r w:rsidR="00367ECD" w:rsidRPr="00BC6A9E">
              <w:rPr>
                <w:iCs/>
                <w:szCs w:val="24"/>
              </w:rPr>
              <w:t>7</w:t>
            </w:r>
            <w:r w:rsidRPr="00BC6A9E">
              <w:rPr>
                <w:iCs/>
                <w:szCs w:val="24"/>
              </w:rPr>
              <w:t xml:space="preserve">. </w:t>
            </w:r>
            <w:r w:rsidR="0027025E" w:rsidRPr="00BC6A9E">
              <w:rPr>
                <w:iCs/>
                <w:szCs w:val="24"/>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5675AB" w:rsidRPr="00BC6A9E">
              <w:rPr>
                <w:iCs/>
                <w:szCs w:val="24"/>
              </w:rPr>
              <w:t>;</w:t>
            </w:r>
          </w:p>
          <w:p w14:paraId="280F4CFF" w14:textId="13432B33" w:rsidR="00514D1F" w:rsidRPr="00514D1F" w:rsidRDefault="00514D1F" w:rsidP="00514D1F">
            <w:pPr>
              <w:suppressAutoHyphens/>
              <w:jc w:val="both"/>
              <w:rPr>
                <w:iCs/>
                <w:szCs w:val="24"/>
              </w:rPr>
            </w:pPr>
            <w:r w:rsidRPr="00514D1F">
              <w:rPr>
                <w:iCs/>
                <w:szCs w:val="24"/>
              </w:rPr>
              <w:t>4.1.</w:t>
            </w:r>
            <w:r w:rsidR="00BC6A9E">
              <w:rPr>
                <w:iCs/>
                <w:szCs w:val="24"/>
              </w:rPr>
              <w:t>8</w:t>
            </w:r>
            <w:r w:rsidRPr="00514D1F">
              <w:rPr>
                <w:iCs/>
                <w:szCs w:val="24"/>
              </w:rPr>
              <w:t>. 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w:t>
            </w:r>
          </w:p>
          <w:p w14:paraId="6D6AB482" w14:textId="54EBFA6E" w:rsidR="00E828C5" w:rsidRPr="00BC6A9E" w:rsidRDefault="00244911">
            <w:pPr>
              <w:suppressAutoHyphens/>
              <w:jc w:val="both"/>
              <w:rPr>
                <w:iCs/>
                <w:szCs w:val="24"/>
              </w:rPr>
            </w:pPr>
            <w:r w:rsidRPr="00BC6A9E">
              <w:rPr>
                <w:iCs/>
                <w:szCs w:val="24"/>
              </w:rPr>
              <w:t>4.1.</w:t>
            </w:r>
            <w:r w:rsidR="00367ECD" w:rsidRPr="00BC6A9E">
              <w:rPr>
                <w:iCs/>
                <w:szCs w:val="24"/>
              </w:rPr>
              <w:t>9</w:t>
            </w:r>
            <w:r w:rsidRPr="00BC6A9E">
              <w:rPr>
                <w:iCs/>
                <w:szCs w:val="24"/>
              </w:rPr>
              <w:t xml:space="preserve">. </w:t>
            </w:r>
            <w:r w:rsidR="00E828C5" w:rsidRPr="00BC6A9E">
              <w:rPr>
                <w:iCs/>
                <w:szCs w:val="24"/>
              </w:rPr>
              <w:t xml:space="preserve">2021 m. balandžio 28 d. Europos parlamento ir </w:t>
            </w:r>
            <w:r w:rsidR="00CB1247" w:rsidRPr="00BC6A9E">
              <w:rPr>
                <w:iCs/>
                <w:szCs w:val="24"/>
              </w:rPr>
              <w:t>Europos t</w:t>
            </w:r>
            <w:r w:rsidR="00E828C5" w:rsidRPr="00BC6A9E">
              <w:rPr>
                <w:iCs/>
                <w:szCs w:val="24"/>
              </w:rPr>
              <w:t>arybos reglamentas (ES) 2021/695, kuriuo sukuriama bendroji mokslinių tyrimų ir inovacijų programa „Europos horizontas“, nustatomos su ja susijusios dalyvavimo ir sklaidos taisyklės ir panaikinami reglamentai (ES) Nr. 1290/2013 ir (ES) Nr.</w:t>
            </w:r>
            <w:r w:rsidR="00320117" w:rsidRPr="00BC6A9E">
              <w:rPr>
                <w:iCs/>
                <w:szCs w:val="24"/>
              </w:rPr>
              <w:t> </w:t>
            </w:r>
            <w:r w:rsidR="00E828C5" w:rsidRPr="00BC6A9E">
              <w:rPr>
                <w:iCs/>
                <w:szCs w:val="24"/>
              </w:rPr>
              <w:t>1291/2013</w:t>
            </w:r>
            <w:r w:rsidR="004D5A34" w:rsidRPr="00BC6A9E">
              <w:rPr>
                <w:iCs/>
                <w:szCs w:val="24"/>
              </w:rPr>
              <w:t>,</w:t>
            </w:r>
            <w:r w:rsidR="00DC42AD" w:rsidRPr="00BC6A9E">
              <w:rPr>
                <w:iCs/>
                <w:szCs w:val="24"/>
              </w:rPr>
              <w:t xml:space="preserve"> su pakeitimais, padarytais 2024 m. vasario 29 d. Europos Parlamento ir Tarybos reglamentu (ES) 2024/795</w:t>
            </w:r>
            <w:r w:rsidR="00E02952" w:rsidRPr="00BC6A9E">
              <w:rPr>
                <w:iCs/>
                <w:szCs w:val="24"/>
              </w:rPr>
              <w:t>;</w:t>
            </w:r>
          </w:p>
          <w:p w14:paraId="0182F85C" w14:textId="131C4CBE" w:rsidR="00F4662F" w:rsidRPr="00BC6A9E" w:rsidRDefault="00244911">
            <w:pPr>
              <w:suppressAutoHyphens/>
              <w:jc w:val="both"/>
              <w:rPr>
                <w:iCs/>
                <w:szCs w:val="24"/>
              </w:rPr>
            </w:pPr>
            <w:r w:rsidRPr="00BC6A9E">
              <w:rPr>
                <w:iCs/>
                <w:szCs w:val="24"/>
              </w:rPr>
              <w:t>4.1.</w:t>
            </w:r>
            <w:r w:rsidR="00367ECD" w:rsidRPr="00BC6A9E">
              <w:rPr>
                <w:iCs/>
                <w:szCs w:val="24"/>
              </w:rPr>
              <w:t>10</w:t>
            </w:r>
            <w:r w:rsidRPr="00BC6A9E">
              <w:rPr>
                <w:iCs/>
                <w:szCs w:val="24"/>
              </w:rPr>
              <w:t xml:space="preserve">. </w:t>
            </w:r>
            <w:r w:rsidR="00BC0B77" w:rsidRPr="00BC6A9E">
              <w:rPr>
                <w:iCs/>
                <w:szCs w:val="24"/>
              </w:rPr>
              <w:t xml:space="preserve">Europos Sąjungos mokslinių tyrimų ir inovacijų programos „Europos horizontas“ </w:t>
            </w:r>
            <w:proofErr w:type="spellStart"/>
            <w:r w:rsidR="00BC0B77" w:rsidRPr="00BC6A9E">
              <w:rPr>
                <w:iCs/>
                <w:szCs w:val="24"/>
              </w:rPr>
              <w:t>akceleravimo</w:t>
            </w:r>
            <w:proofErr w:type="spellEnd"/>
            <w:r w:rsidR="00BC0B77" w:rsidRPr="00BC6A9E">
              <w:rPr>
                <w:iCs/>
                <w:szCs w:val="24"/>
              </w:rPr>
              <w:t xml:space="preserve"> veiklų planas, patvirtintas Lietuvos Respublikos švietimo, mokslo ir sporto ministro 2022 m. vasario 1 d. įsakymu V-151 „Dėl Europos Sąjungos mokslinių tyrimų ir inovacijų programos „Europos horizontas“ </w:t>
            </w:r>
            <w:proofErr w:type="spellStart"/>
            <w:r w:rsidR="00BC0B77" w:rsidRPr="00BC6A9E">
              <w:rPr>
                <w:iCs/>
                <w:szCs w:val="24"/>
              </w:rPr>
              <w:t>akceleravimo</w:t>
            </w:r>
            <w:proofErr w:type="spellEnd"/>
            <w:r w:rsidR="00BC0B77" w:rsidRPr="00BC6A9E">
              <w:rPr>
                <w:iCs/>
                <w:szCs w:val="24"/>
              </w:rPr>
              <w:t xml:space="preserve"> veiklų plano patvirtinimo“</w:t>
            </w:r>
            <w:r w:rsidR="005073F5" w:rsidRPr="00BC6A9E">
              <w:rPr>
                <w:iCs/>
                <w:szCs w:val="24"/>
              </w:rPr>
              <w:t xml:space="preserve"> (paskelbtas Ministerijos interneto svetainėje https://smsm.lrv.lt/lt/veiklos-sritys-1/mokslas/es-bendroji-moksliniu-tyrimu-ir-inovaciju-programa-europos-horizontas/programos-europos-horizontas-akceleravimas/)</w:t>
            </w:r>
            <w:r w:rsidR="00BC0B77" w:rsidRPr="00BC6A9E">
              <w:rPr>
                <w:iCs/>
                <w:szCs w:val="24"/>
              </w:rPr>
              <w:t>;</w:t>
            </w:r>
          </w:p>
          <w:p w14:paraId="187EA2C3" w14:textId="2BCB3B63" w:rsidR="00F4662F" w:rsidRPr="00BC6A9E" w:rsidRDefault="00244911">
            <w:pPr>
              <w:suppressAutoHyphens/>
              <w:jc w:val="both"/>
              <w:rPr>
                <w:iCs/>
                <w:szCs w:val="24"/>
              </w:rPr>
            </w:pPr>
            <w:r w:rsidRPr="00BC6A9E">
              <w:rPr>
                <w:iCs/>
                <w:szCs w:val="24"/>
              </w:rPr>
              <w:t>4.1.</w:t>
            </w:r>
            <w:r w:rsidR="00367ECD" w:rsidRPr="00BC6A9E">
              <w:rPr>
                <w:iCs/>
                <w:szCs w:val="24"/>
              </w:rPr>
              <w:t>11</w:t>
            </w:r>
            <w:r w:rsidRPr="00BC6A9E">
              <w:rPr>
                <w:iCs/>
                <w:szCs w:val="24"/>
              </w:rPr>
              <w:t xml:space="preserve">. </w:t>
            </w:r>
            <w:r w:rsidR="00A73E25" w:rsidRPr="00BC6A9E">
              <w:rPr>
                <w:iCs/>
                <w:szCs w:val="24"/>
              </w:rPr>
              <w:t>Lietuvos Respublikos Vyriausybės 2022 m. balandžio 20 d. nutarimas Nr. 375 „Dėl Lietuvos mokslo tarybos nuostatų pavirtinimo“.</w:t>
            </w:r>
          </w:p>
          <w:p w14:paraId="16C71A05" w14:textId="3C615D17" w:rsidR="00C80FA9" w:rsidRPr="009D5352" w:rsidRDefault="00244911" w:rsidP="00360F40">
            <w:pPr>
              <w:suppressAutoHyphens/>
              <w:jc w:val="both"/>
              <w:rPr>
                <w:iCs/>
                <w:szCs w:val="24"/>
              </w:rPr>
            </w:pPr>
            <w:r w:rsidRPr="00BC6A9E">
              <w:rPr>
                <w:iCs/>
                <w:szCs w:val="24"/>
              </w:rPr>
              <w:t xml:space="preserve">4.2. </w:t>
            </w:r>
            <w:r w:rsidR="002B6D04" w:rsidRPr="00BC6A9E">
              <w:rPr>
                <w:iCs/>
                <w:szCs w:val="24"/>
              </w:rPr>
              <w:t xml:space="preserve">Apraše vartojamos sąvokos suprantamos taip, kaip jos apibrėžtos Projektų administravimo ir finansavimo taisyklėse, </w:t>
            </w:r>
            <w:r w:rsidR="004513AB" w:rsidRPr="00BC6A9E">
              <w:rPr>
                <w:iCs/>
                <w:szCs w:val="24"/>
              </w:rPr>
              <w:t>Administra</w:t>
            </w:r>
            <w:r w:rsidR="0050260B" w:rsidRPr="00BC6A9E">
              <w:rPr>
                <w:iCs/>
                <w:szCs w:val="24"/>
              </w:rPr>
              <w:t xml:space="preserve">vimo taisyklėse, </w:t>
            </w:r>
            <w:r w:rsidR="002B6D04" w:rsidRPr="00BC6A9E">
              <w:rPr>
                <w:iCs/>
                <w:szCs w:val="24"/>
              </w:rPr>
              <w:t xml:space="preserve">Lietuvos Respublikos mokslo ir studijų įstatyme ir </w:t>
            </w:r>
            <w:r w:rsidR="00A771C2" w:rsidRPr="00BC6A9E">
              <w:rPr>
                <w:iCs/>
                <w:szCs w:val="24"/>
              </w:rPr>
              <w:t xml:space="preserve">kituose Aprašo 4.1 </w:t>
            </w:r>
            <w:r w:rsidR="005C5C3A" w:rsidRPr="00BC6A9E">
              <w:rPr>
                <w:iCs/>
                <w:szCs w:val="24"/>
              </w:rPr>
              <w:t xml:space="preserve">papunktyje nurodytuose </w:t>
            </w:r>
            <w:r w:rsidR="009F489C" w:rsidRPr="00BC6A9E">
              <w:rPr>
                <w:iCs/>
                <w:szCs w:val="24"/>
              </w:rPr>
              <w:t>teisės aktuose.</w:t>
            </w:r>
            <w:r w:rsidR="009F489C" w:rsidRPr="009F489C">
              <w:rPr>
                <w:iCs/>
                <w:szCs w:val="24"/>
              </w:rPr>
              <w:t xml:space="preserve"> </w:t>
            </w:r>
          </w:p>
        </w:tc>
      </w:tr>
      <w:tr w:rsidR="00F4662F" w:rsidRPr="009D5352" w14:paraId="599A0793"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24A52" w14:textId="77777777" w:rsidR="00F4662F" w:rsidRPr="009D5352" w:rsidRDefault="00244911">
            <w:pPr>
              <w:suppressAutoHyphens/>
            </w:pPr>
            <w:r w:rsidRPr="009D5352">
              <w:rPr>
                <w:b/>
                <w:szCs w:val="24"/>
              </w:rPr>
              <w:lastRenderedPageBreak/>
              <w:t>5</w:t>
            </w:r>
            <w:r w:rsidRPr="009D5352">
              <w:rPr>
                <w:bCs/>
                <w:szCs w:val="24"/>
              </w:rPr>
              <w:t xml:space="preserve">. </w:t>
            </w:r>
            <w:r w:rsidRPr="009D5352">
              <w:rPr>
                <w:b/>
                <w:szCs w:val="24"/>
              </w:rPr>
              <w:t>Reikalavimai projektams, pareiškėjams ir partneriams</w:t>
            </w:r>
          </w:p>
        </w:tc>
      </w:tr>
      <w:tr w:rsidR="00F4662F" w:rsidRPr="009D5352" w14:paraId="5305F954" w14:textId="77777777">
        <w:trPr>
          <w:trHeight w:val="690"/>
        </w:trPr>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17FCD" w14:textId="77777777" w:rsidR="00F4662F" w:rsidRDefault="00244911">
            <w:pPr>
              <w:suppressAutoHyphens/>
              <w:jc w:val="both"/>
              <w:rPr>
                <w:b/>
                <w:bCs/>
                <w:szCs w:val="24"/>
              </w:rPr>
            </w:pPr>
            <w:r w:rsidRPr="009D5352">
              <w:rPr>
                <w:b/>
                <w:bCs/>
                <w:szCs w:val="24"/>
              </w:rPr>
              <w:t>5.1. Reikalavimai projektams:</w:t>
            </w:r>
          </w:p>
          <w:p w14:paraId="46E3E3CE" w14:textId="3261CAD5" w:rsidR="00BD717B" w:rsidRPr="00BD717B" w:rsidRDefault="00570928" w:rsidP="00BD717B">
            <w:pPr>
              <w:spacing w:line="259" w:lineRule="auto"/>
              <w:ind w:left="360" w:hanging="360"/>
              <w:jc w:val="both"/>
              <w:rPr>
                <w:szCs w:val="24"/>
              </w:rPr>
            </w:pPr>
            <w:r>
              <w:rPr>
                <w:szCs w:val="24"/>
              </w:rPr>
              <w:t>5</w:t>
            </w:r>
            <w:r w:rsidR="00BD717B" w:rsidRPr="00BD717B">
              <w:rPr>
                <w:szCs w:val="24"/>
              </w:rPr>
              <w:t>.</w:t>
            </w:r>
            <w:r>
              <w:rPr>
                <w:szCs w:val="24"/>
              </w:rPr>
              <w:t>1</w:t>
            </w:r>
            <w:r w:rsidR="00BD717B" w:rsidRPr="00BD717B">
              <w:rPr>
                <w:szCs w:val="24"/>
              </w:rPr>
              <w:t>.</w:t>
            </w:r>
            <w:r>
              <w:rPr>
                <w:szCs w:val="24"/>
              </w:rPr>
              <w:t>1.</w:t>
            </w:r>
            <w:r w:rsidR="00BD717B" w:rsidRPr="00BD717B">
              <w:rPr>
                <w:szCs w:val="24"/>
              </w:rPr>
              <w:t xml:space="preserve"> Galima projekto tikslinė grupė – Lietuvos mokslo tarybos personalas.</w:t>
            </w:r>
          </w:p>
          <w:p w14:paraId="2FA72509" w14:textId="50A392A3" w:rsidR="00BD717B" w:rsidRPr="00BD717B" w:rsidRDefault="00570928" w:rsidP="00BD717B">
            <w:pPr>
              <w:jc w:val="both"/>
              <w:rPr>
                <w:iCs/>
                <w:szCs w:val="24"/>
              </w:rPr>
            </w:pPr>
            <w:r>
              <w:rPr>
                <w:iCs/>
                <w:szCs w:val="24"/>
              </w:rPr>
              <w:t>5</w:t>
            </w:r>
            <w:r w:rsidR="00BD717B" w:rsidRPr="00BD717B">
              <w:rPr>
                <w:iCs/>
                <w:szCs w:val="24"/>
              </w:rPr>
              <w:t>.</w:t>
            </w:r>
            <w:r>
              <w:rPr>
                <w:iCs/>
                <w:szCs w:val="24"/>
              </w:rPr>
              <w:t>1</w:t>
            </w:r>
            <w:r w:rsidR="00BD717B" w:rsidRPr="00BD717B">
              <w:rPr>
                <w:iCs/>
                <w:szCs w:val="24"/>
              </w:rPr>
              <w:t>.</w:t>
            </w:r>
            <w:r>
              <w:rPr>
                <w:iCs/>
                <w:szCs w:val="24"/>
              </w:rPr>
              <w:t>2.</w:t>
            </w:r>
            <w:r w:rsidR="00BD717B" w:rsidRPr="00BD717B">
              <w:rPr>
                <w:iCs/>
                <w:szCs w:val="24"/>
              </w:rPr>
              <w:t xml:space="preserve"> Pagal Aprašą teikiamo finansavimo forma – dotacija.</w:t>
            </w:r>
          </w:p>
          <w:p w14:paraId="3A44A3E2" w14:textId="1D87AC44" w:rsidR="00BD717B" w:rsidRPr="00BD717B" w:rsidRDefault="00570928" w:rsidP="00BD717B">
            <w:pPr>
              <w:jc w:val="both"/>
              <w:rPr>
                <w:iCs/>
                <w:szCs w:val="24"/>
              </w:rPr>
            </w:pPr>
            <w:r>
              <w:rPr>
                <w:iCs/>
                <w:szCs w:val="24"/>
              </w:rPr>
              <w:lastRenderedPageBreak/>
              <w:t>5.1</w:t>
            </w:r>
            <w:r w:rsidR="00BD717B" w:rsidRPr="00BD717B">
              <w:rPr>
                <w:iCs/>
                <w:szCs w:val="24"/>
              </w:rPr>
              <w:t>.</w:t>
            </w:r>
            <w:r>
              <w:rPr>
                <w:iCs/>
                <w:szCs w:val="24"/>
              </w:rPr>
              <w:t>3</w:t>
            </w:r>
            <w:r w:rsidR="00BD717B" w:rsidRPr="00BD717B">
              <w:rPr>
                <w:iCs/>
                <w:szCs w:val="24"/>
              </w:rPr>
              <w:t>.</w:t>
            </w:r>
            <w:r w:rsidR="00BD717B" w:rsidRPr="00BD717B">
              <w:t xml:space="preserve"> Pagal Aprašą </w:t>
            </w:r>
            <w:r w:rsidR="00BD717B" w:rsidRPr="00BD717B">
              <w:rPr>
                <w:color w:val="000000"/>
              </w:rPr>
              <w:t>projektui į</w:t>
            </w:r>
            <w:r w:rsidR="00BD717B" w:rsidRPr="00BD717B">
              <w:t>gyvendinti numatoma skirti iki 5 000 000 Eur (penkių milijonų eurų</w:t>
            </w:r>
            <w:r w:rsidR="00F9647E">
              <w:t xml:space="preserve"> 00 ct</w:t>
            </w:r>
            <w:r w:rsidR="00BD717B" w:rsidRPr="00BD717B">
              <w:t>) EGADP lėšų ir ne daugiau kaip 1 050 000 Eur (vieną milijoną penkiasdešimt tūkstančių eurų</w:t>
            </w:r>
            <w:r w:rsidR="00430AC0">
              <w:t xml:space="preserve"> 00 ct</w:t>
            </w:r>
            <w:r w:rsidR="00BD717B" w:rsidRPr="00BD717B">
              <w:t>) Lietuvos Respublikos valstybės biudžeto lėšų pridėtinės vertės mokesčiui (toliau – PVM) kompensuoti.</w:t>
            </w:r>
          </w:p>
          <w:p w14:paraId="764FF83B" w14:textId="314C568E" w:rsidR="00BD717B" w:rsidRPr="00BD717B" w:rsidRDefault="00F2738D" w:rsidP="00BD717B">
            <w:pPr>
              <w:jc w:val="both"/>
              <w:rPr>
                <w:iCs/>
                <w:szCs w:val="24"/>
              </w:rPr>
            </w:pPr>
            <w:r>
              <w:rPr>
                <w:iCs/>
                <w:szCs w:val="24"/>
              </w:rPr>
              <w:t>5</w:t>
            </w:r>
            <w:r w:rsidR="00BD717B" w:rsidRPr="00BD717B">
              <w:rPr>
                <w:iCs/>
                <w:szCs w:val="24"/>
              </w:rPr>
              <w:t>.</w:t>
            </w:r>
            <w:r>
              <w:rPr>
                <w:iCs/>
                <w:szCs w:val="24"/>
              </w:rPr>
              <w:t>1.4</w:t>
            </w:r>
            <w:r w:rsidR="00BD717B" w:rsidRPr="00BD717B">
              <w:rPr>
                <w:iCs/>
                <w:szCs w:val="24"/>
              </w:rPr>
              <w:t>. Pagal Aprašą finansuojamos veiklos:</w:t>
            </w:r>
          </w:p>
          <w:p w14:paraId="74F2D52F" w14:textId="09A56D9C" w:rsidR="00BD717B" w:rsidRPr="00BD717B" w:rsidRDefault="00F2738D" w:rsidP="00BD717B">
            <w:pPr>
              <w:rPr>
                <w:szCs w:val="24"/>
              </w:rPr>
            </w:pPr>
            <w:r>
              <w:rPr>
                <w:iCs/>
                <w:szCs w:val="24"/>
              </w:rPr>
              <w:t>5</w:t>
            </w:r>
            <w:r w:rsidR="00BD717B" w:rsidRPr="00BD717B">
              <w:rPr>
                <w:iCs/>
                <w:szCs w:val="24"/>
              </w:rPr>
              <w:t>.</w:t>
            </w:r>
            <w:r w:rsidR="00D56B4A">
              <w:rPr>
                <w:iCs/>
                <w:szCs w:val="24"/>
              </w:rPr>
              <w:t>1</w:t>
            </w:r>
            <w:r w:rsidR="00BD717B" w:rsidRPr="00BD717B">
              <w:rPr>
                <w:iCs/>
                <w:szCs w:val="24"/>
              </w:rPr>
              <w:t>.</w:t>
            </w:r>
            <w:r w:rsidR="00D56B4A">
              <w:rPr>
                <w:iCs/>
                <w:szCs w:val="24"/>
              </w:rPr>
              <w:t>4.</w:t>
            </w:r>
            <w:r w:rsidR="00BD717B" w:rsidRPr="00BD717B">
              <w:rPr>
                <w:iCs/>
                <w:szCs w:val="24"/>
              </w:rPr>
              <w:t xml:space="preserve">1. </w:t>
            </w:r>
            <w:r w:rsidR="00BD717B" w:rsidRPr="00BD717B">
              <w:rPr>
                <w:szCs w:val="24"/>
              </w:rPr>
              <w:t xml:space="preserve">ES mokslinių tyrimų ir inovacijų programos „Europos horizontas“ (toliau – programa </w:t>
            </w:r>
            <w:r w:rsidR="00BD717B" w:rsidRPr="00BD717B">
              <w:rPr>
                <w:iCs/>
                <w:szCs w:val="24"/>
              </w:rPr>
              <w:t>„</w:t>
            </w:r>
            <w:r w:rsidR="00BD717B" w:rsidRPr="00BD717B">
              <w:rPr>
                <w:szCs w:val="24"/>
              </w:rPr>
              <w:t>Europos horizontas“) nacionalinių kontaktinių asmenų</w:t>
            </w:r>
            <w:r w:rsidR="00D56B4A">
              <w:rPr>
                <w:szCs w:val="24"/>
              </w:rPr>
              <w:t xml:space="preserve"> </w:t>
            </w:r>
            <w:r w:rsidR="00BD717B" w:rsidRPr="00BD717B">
              <w:rPr>
                <w:szCs w:val="24"/>
              </w:rPr>
              <w:t>tinklo plėtra ir veiklos stiprinimas</w:t>
            </w:r>
            <w:r w:rsidR="00BD717B" w:rsidRPr="00BD717B">
              <w:rPr>
                <w:iCs/>
                <w:szCs w:val="24"/>
              </w:rPr>
              <w:t>;</w:t>
            </w:r>
          </w:p>
          <w:p w14:paraId="22E95FB1" w14:textId="19248F34" w:rsidR="00BD717B" w:rsidRPr="00BD717B" w:rsidRDefault="00D56B4A" w:rsidP="00BD717B">
            <w:pPr>
              <w:jc w:val="both"/>
              <w:rPr>
                <w:iCs/>
                <w:szCs w:val="24"/>
              </w:rPr>
            </w:pPr>
            <w:r>
              <w:rPr>
                <w:iCs/>
                <w:szCs w:val="24"/>
              </w:rPr>
              <w:t>5</w:t>
            </w:r>
            <w:r w:rsidR="00BD717B" w:rsidRPr="00BD717B">
              <w:rPr>
                <w:iCs/>
                <w:szCs w:val="24"/>
              </w:rPr>
              <w:t>.</w:t>
            </w:r>
            <w:r>
              <w:rPr>
                <w:iCs/>
                <w:szCs w:val="24"/>
              </w:rPr>
              <w:t>1.4</w:t>
            </w:r>
            <w:r w:rsidR="00BD717B" w:rsidRPr="00BD717B">
              <w:rPr>
                <w:iCs/>
                <w:szCs w:val="24"/>
              </w:rPr>
              <w:t xml:space="preserve">.2. </w:t>
            </w:r>
            <w:r w:rsidR="00BD717B" w:rsidRPr="00BD717B">
              <w:rPr>
                <w:szCs w:val="24"/>
              </w:rPr>
              <w:t xml:space="preserve">Mokslo ir inovacijų patarėjų tinklo Vyriausybės institucijose sukūrimas ir </w:t>
            </w:r>
            <w:proofErr w:type="spellStart"/>
            <w:r w:rsidR="00BD717B" w:rsidRPr="00BD717B">
              <w:rPr>
                <w:szCs w:val="24"/>
              </w:rPr>
              <w:t>įveiklinimas</w:t>
            </w:r>
            <w:proofErr w:type="spellEnd"/>
            <w:r w:rsidR="00BD717B" w:rsidRPr="00BD717B">
              <w:rPr>
                <w:iCs/>
                <w:szCs w:val="24"/>
              </w:rPr>
              <w:t>.</w:t>
            </w:r>
          </w:p>
          <w:p w14:paraId="6E08C744" w14:textId="6AAC76AE" w:rsidR="00BD717B" w:rsidRPr="00BD717B" w:rsidRDefault="00D56B4A" w:rsidP="00BD717B">
            <w:pPr>
              <w:jc w:val="both"/>
            </w:pPr>
            <w:r>
              <w:t>5</w:t>
            </w:r>
            <w:r w:rsidR="00BD717B" w:rsidRPr="00BD717B">
              <w:t>.</w:t>
            </w:r>
            <w:r>
              <w:t>1.</w:t>
            </w:r>
            <w:r w:rsidR="00AF327D">
              <w:t>5</w:t>
            </w:r>
            <w:r w:rsidR="00BD717B" w:rsidRPr="00BD717B">
              <w:t>. Projektas turi atitikti projekto bendruosius atrankos kriterijus, nustatytus Projektų administravimo ir finansavimo taisyklių 2 priede.</w:t>
            </w:r>
          </w:p>
          <w:p w14:paraId="61D15DDC" w14:textId="030DCA23" w:rsidR="00BD717B" w:rsidRPr="00BD717B" w:rsidRDefault="00AF327D" w:rsidP="00BD717B">
            <w:pPr>
              <w:jc w:val="both"/>
              <w:rPr>
                <w:iCs/>
                <w:szCs w:val="24"/>
              </w:rPr>
            </w:pPr>
            <w:r>
              <w:rPr>
                <w:iCs/>
                <w:szCs w:val="24"/>
              </w:rPr>
              <w:t>5</w:t>
            </w:r>
            <w:r w:rsidR="00BD717B" w:rsidRPr="00BD717B">
              <w:rPr>
                <w:iCs/>
                <w:szCs w:val="24"/>
              </w:rPr>
              <w:t>.</w:t>
            </w:r>
            <w:r>
              <w:rPr>
                <w:iCs/>
                <w:szCs w:val="24"/>
              </w:rPr>
              <w:t>1.6</w:t>
            </w:r>
            <w:r w:rsidR="0043156F">
              <w:rPr>
                <w:iCs/>
                <w:szCs w:val="24"/>
              </w:rPr>
              <w:t>. P</w:t>
            </w:r>
            <w:r w:rsidR="00BD717B" w:rsidRPr="00BD717B">
              <w:rPr>
                <w:iCs/>
                <w:szCs w:val="24"/>
              </w:rPr>
              <w:t>rojekto</w:t>
            </w:r>
            <w:r>
              <w:rPr>
                <w:iCs/>
                <w:szCs w:val="24"/>
              </w:rPr>
              <w:t xml:space="preserve"> </w:t>
            </w:r>
            <w:r w:rsidR="00BD717B" w:rsidRPr="00BD717B">
              <w:rPr>
                <w:iCs/>
                <w:szCs w:val="24"/>
              </w:rPr>
              <w:t>įgyvendinimo metu turi būti įgyvendintos privalomos projektų matomumo ir informavimo apie projektus priemonės pagal Projektų administravimo ir finansavimo taisyklių 341.1–341.4 papunkčius.</w:t>
            </w:r>
          </w:p>
          <w:p w14:paraId="380A98F7" w14:textId="4AB26DAC" w:rsidR="00BD717B" w:rsidRPr="00BD717B" w:rsidRDefault="00B83D7F" w:rsidP="00BD717B">
            <w:pPr>
              <w:jc w:val="both"/>
              <w:rPr>
                <w:iCs/>
                <w:szCs w:val="24"/>
              </w:rPr>
            </w:pPr>
            <w:r>
              <w:rPr>
                <w:iCs/>
                <w:szCs w:val="24"/>
              </w:rPr>
              <w:t>5</w:t>
            </w:r>
            <w:r w:rsidR="00BD717B" w:rsidRPr="00BD717B">
              <w:rPr>
                <w:iCs/>
                <w:szCs w:val="24"/>
              </w:rPr>
              <w:t>.</w:t>
            </w:r>
            <w:r>
              <w:rPr>
                <w:iCs/>
                <w:szCs w:val="24"/>
              </w:rPr>
              <w:t>1</w:t>
            </w:r>
            <w:r w:rsidR="00BD717B" w:rsidRPr="00BD717B">
              <w:rPr>
                <w:iCs/>
                <w:szCs w:val="24"/>
              </w:rPr>
              <w:t>.</w:t>
            </w:r>
            <w:r>
              <w:rPr>
                <w:iCs/>
                <w:szCs w:val="24"/>
              </w:rPr>
              <w:t>7.</w:t>
            </w:r>
            <w:r w:rsidR="00BD717B" w:rsidRPr="00BD717B">
              <w:rPr>
                <w:iCs/>
                <w:szCs w:val="24"/>
              </w:rPr>
              <w:t xml:space="preserve"> Projektas turi būti pradėtas įgyvendinti ne vėliau kaip per 1 mėnesį nuo projekto sutarties pasirašymo dienos.</w:t>
            </w:r>
          </w:p>
          <w:p w14:paraId="37B91922" w14:textId="39F8D16D" w:rsidR="00F4662F" w:rsidRPr="00083FDE" w:rsidRDefault="0043156F" w:rsidP="00083FDE">
            <w:pPr>
              <w:jc w:val="both"/>
              <w:rPr>
                <w:iCs/>
                <w:szCs w:val="24"/>
              </w:rPr>
            </w:pPr>
            <w:r>
              <w:rPr>
                <w:iCs/>
                <w:szCs w:val="24"/>
              </w:rPr>
              <w:t>5</w:t>
            </w:r>
            <w:r w:rsidR="00BD717B" w:rsidRPr="00BD717B">
              <w:rPr>
                <w:iCs/>
                <w:szCs w:val="24"/>
              </w:rPr>
              <w:t>.1</w:t>
            </w:r>
            <w:r>
              <w:rPr>
                <w:iCs/>
                <w:szCs w:val="24"/>
              </w:rPr>
              <w:t>.8</w:t>
            </w:r>
            <w:r w:rsidR="00BD717B" w:rsidRPr="00BD717B">
              <w:rPr>
                <w:iCs/>
                <w:szCs w:val="24"/>
              </w:rPr>
              <w:t>. Projektas turi būti baigtas įgyvendinti ne vėliau kaip iki 2026 m. balandžio 30 d.</w:t>
            </w:r>
            <w:r w:rsidR="003747E7">
              <w:rPr>
                <w:iCs/>
                <w:szCs w:val="24"/>
              </w:rPr>
              <w:t xml:space="preserve"> </w:t>
            </w:r>
            <w:r w:rsidR="00430CCE" w:rsidRPr="00430CCE">
              <w:rPr>
                <w:iCs/>
                <w:szCs w:val="24"/>
              </w:rPr>
              <w:t xml:space="preserve">Prireikus projekto veiklos gali būti pratęstos pagrįstam laikotarpiui, nepažeidžiant PAFT 164 punkto reikalavimų. Projekto veiklos turi būti baigtos ne vėliau, nei numatyta PAFT 149 punkte. </w:t>
            </w:r>
          </w:p>
        </w:tc>
      </w:tr>
      <w:tr w:rsidR="00F4662F" w:rsidRPr="009D5352" w14:paraId="5EF5B94A" w14:textId="77777777">
        <w:trPr>
          <w:trHeight w:val="841"/>
        </w:trPr>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73AEC66" w14:textId="77777777" w:rsidR="00F4662F" w:rsidRPr="009D5352" w:rsidRDefault="00244911">
            <w:pPr>
              <w:suppressAutoHyphens/>
              <w:jc w:val="both"/>
              <w:rPr>
                <w:b/>
                <w:bCs/>
              </w:rPr>
            </w:pPr>
            <w:r w:rsidRPr="009D5352">
              <w:rPr>
                <w:b/>
                <w:bCs/>
                <w:szCs w:val="24"/>
              </w:rPr>
              <w:lastRenderedPageBreak/>
              <w:t>5.2.</w:t>
            </w:r>
            <w:r w:rsidRPr="009D5352">
              <w:rPr>
                <w:b/>
                <w:bCs/>
                <w:i/>
                <w:iCs/>
                <w:szCs w:val="24"/>
              </w:rPr>
              <w:t xml:space="preserve"> </w:t>
            </w:r>
            <w:r w:rsidRPr="009D5352">
              <w:rPr>
                <w:b/>
                <w:bCs/>
                <w:szCs w:val="24"/>
              </w:rPr>
              <w:t>Reikalavimai pareiškėjams:</w:t>
            </w:r>
          </w:p>
          <w:p w14:paraId="25D4029B" w14:textId="4B19392D" w:rsidR="005557EF" w:rsidRPr="00BD717B" w:rsidRDefault="00244911" w:rsidP="005557EF">
            <w:pPr>
              <w:suppressAutoHyphens/>
              <w:jc w:val="both"/>
              <w:rPr>
                <w:bCs/>
                <w:iCs/>
                <w:szCs w:val="24"/>
              </w:rPr>
            </w:pPr>
            <w:r w:rsidRPr="009D5352">
              <w:rPr>
                <w:bCs/>
                <w:szCs w:val="24"/>
              </w:rPr>
              <w:t>5.2.1.</w:t>
            </w:r>
            <w:r w:rsidR="005557EF">
              <w:rPr>
                <w:bCs/>
                <w:szCs w:val="24"/>
              </w:rPr>
              <w:t xml:space="preserve"> </w:t>
            </w:r>
            <w:r w:rsidR="005557EF" w:rsidRPr="00BD717B">
              <w:rPr>
                <w:bCs/>
                <w:iCs/>
                <w:szCs w:val="24"/>
              </w:rPr>
              <w:t xml:space="preserve">Galimas pareiškėjas – </w:t>
            </w:r>
            <w:r w:rsidR="005557EF" w:rsidRPr="00BD717B">
              <w:rPr>
                <w:bCs/>
                <w:szCs w:val="24"/>
              </w:rPr>
              <w:t>Lietuvos mokslo taryba (toliau – Pareiškėjas).</w:t>
            </w:r>
          </w:p>
          <w:p w14:paraId="5174B74B" w14:textId="443F76CD" w:rsidR="005557EF" w:rsidRPr="005557EF" w:rsidRDefault="005557EF" w:rsidP="005557EF">
            <w:pPr>
              <w:suppressAutoHyphens/>
              <w:jc w:val="both"/>
              <w:rPr>
                <w:bCs/>
                <w:iCs/>
                <w:szCs w:val="24"/>
              </w:rPr>
            </w:pPr>
            <w:r>
              <w:rPr>
                <w:bCs/>
                <w:iCs/>
                <w:szCs w:val="24"/>
              </w:rPr>
              <w:t>5</w:t>
            </w:r>
            <w:r w:rsidRPr="005557EF">
              <w:rPr>
                <w:bCs/>
                <w:iCs/>
                <w:szCs w:val="24"/>
              </w:rPr>
              <w:t>.2.</w:t>
            </w:r>
            <w:r>
              <w:rPr>
                <w:bCs/>
                <w:iCs/>
                <w:szCs w:val="24"/>
              </w:rPr>
              <w:t xml:space="preserve">2. </w:t>
            </w:r>
            <w:r w:rsidRPr="005557EF">
              <w:rPr>
                <w:bCs/>
                <w:iCs/>
                <w:szCs w:val="24"/>
              </w:rPr>
              <w:t>Galimybė Pareiškėjui teikti paraišką su partneriu nenumatoma.</w:t>
            </w:r>
          </w:p>
          <w:p w14:paraId="3A4796A5" w14:textId="2ADA17E9" w:rsidR="00083FDE" w:rsidRPr="00083FDE" w:rsidRDefault="00083FDE" w:rsidP="00083FDE">
            <w:pPr>
              <w:suppressAutoHyphens/>
              <w:jc w:val="both"/>
              <w:rPr>
                <w:iCs/>
              </w:rPr>
            </w:pPr>
            <w:r>
              <w:rPr>
                <w:iCs/>
              </w:rPr>
              <w:t>5</w:t>
            </w:r>
            <w:r w:rsidRPr="00083FDE">
              <w:rPr>
                <w:iCs/>
              </w:rPr>
              <w:t>.</w:t>
            </w:r>
            <w:r>
              <w:rPr>
                <w:iCs/>
              </w:rPr>
              <w:t>2.3</w:t>
            </w:r>
            <w:r w:rsidRPr="00083FDE">
              <w:rPr>
                <w:iCs/>
              </w:rPr>
              <w:t>. Kartu su PĮP administruojančiajai institucijai turi būti pateikta:</w:t>
            </w:r>
          </w:p>
          <w:p w14:paraId="676B0CE8" w14:textId="133F4D75" w:rsidR="00083FDE" w:rsidRPr="00083FDE" w:rsidRDefault="00083FDE" w:rsidP="00083FDE">
            <w:pPr>
              <w:suppressAutoHyphens/>
              <w:jc w:val="both"/>
              <w:rPr>
                <w:iCs/>
              </w:rPr>
            </w:pPr>
            <w:r>
              <w:rPr>
                <w:iCs/>
              </w:rPr>
              <w:t>5</w:t>
            </w:r>
            <w:r w:rsidRPr="00083FDE">
              <w:rPr>
                <w:iCs/>
              </w:rPr>
              <w:t>.</w:t>
            </w:r>
            <w:r>
              <w:rPr>
                <w:iCs/>
              </w:rPr>
              <w:t>2</w:t>
            </w:r>
            <w:r w:rsidRPr="00083FDE">
              <w:rPr>
                <w:iCs/>
              </w:rPr>
              <w:t>.</w:t>
            </w:r>
            <w:r>
              <w:rPr>
                <w:iCs/>
              </w:rPr>
              <w:t>3.</w:t>
            </w:r>
            <w:r w:rsidRPr="00083FDE">
              <w:rPr>
                <w:iCs/>
              </w:rPr>
              <w:t xml:space="preserve">1. </w:t>
            </w:r>
            <w:r w:rsidRPr="00083FDE">
              <w:t xml:space="preserve">Aprašo priede dėl „Projekto (įskaitant jungtinį projektą) atitikties reikšmingos žalos nedarymo horizontaliajam principui vertinimo reikalavimų aprašo“ nurodyti pagrindimo dokumentai; </w:t>
            </w:r>
          </w:p>
          <w:p w14:paraId="10DB1FBD" w14:textId="5AC43F9B" w:rsidR="00083FDE" w:rsidRPr="00083FDE" w:rsidRDefault="003E6040" w:rsidP="00083FDE">
            <w:pPr>
              <w:suppressAutoHyphens/>
              <w:jc w:val="both"/>
            </w:pPr>
            <w:r>
              <w:rPr>
                <w:iCs/>
              </w:rPr>
              <w:t>5</w:t>
            </w:r>
            <w:r w:rsidR="00083FDE" w:rsidRPr="00083FDE">
              <w:rPr>
                <w:iCs/>
              </w:rPr>
              <w:t>.</w:t>
            </w:r>
            <w:r>
              <w:rPr>
                <w:iCs/>
              </w:rPr>
              <w:t>2.3</w:t>
            </w:r>
            <w:r w:rsidR="00083FDE" w:rsidRPr="00083FDE">
              <w:rPr>
                <w:iCs/>
              </w:rPr>
              <w:t>.2.</w:t>
            </w:r>
            <w:r w:rsidR="00083FDE" w:rsidRPr="00083FDE">
              <w:t xml:space="preserve"> dokumentai, pagrindžiantys projekto išlaidų pagrįstumą (sudarytos sutartys, komerciniai pasiūlymai, nuorodos į rinkoje esančias kainas (pvz.,  Centrinėje viešųjų pirkimų informacinėje sistemoje), išlaidų skaičiavimai.</w:t>
            </w:r>
          </w:p>
          <w:p w14:paraId="1A703D8B" w14:textId="77323DBB" w:rsidR="002A2D90" w:rsidRPr="009D5352" w:rsidRDefault="00A26D63" w:rsidP="00875889">
            <w:pPr>
              <w:suppressAutoHyphens/>
              <w:jc w:val="both"/>
            </w:pPr>
            <w:r>
              <w:rPr>
                <w:iCs/>
              </w:rPr>
              <w:t>5</w:t>
            </w:r>
            <w:r w:rsidR="00083FDE" w:rsidRPr="00083FDE">
              <w:rPr>
                <w:iCs/>
              </w:rPr>
              <w:t>.</w:t>
            </w:r>
            <w:r>
              <w:rPr>
                <w:iCs/>
              </w:rPr>
              <w:t>2</w:t>
            </w:r>
            <w:r w:rsidR="00F559AA">
              <w:rPr>
                <w:iCs/>
              </w:rPr>
              <w:t>.4</w:t>
            </w:r>
            <w:r w:rsidR="00083FDE" w:rsidRPr="00083FDE">
              <w:rPr>
                <w:iCs/>
              </w:rPr>
              <w:t xml:space="preserve">. </w:t>
            </w:r>
            <w:r w:rsidR="00083FDE" w:rsidRPr="00083FDE">
              <w:t>PĮP turi būti suderintas su Lietuvos Respublikos švietimo, mokslo ir sporto ministerija.</w:t>
            </w:r>
          </w:p>
        </w:tc>
      </w:tr>
      <w:tr w:rsidR="00F4662F" w:rsidRPr="009D5352" w14:paraId="1A8DFEF9"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223C7" w14:textId="77777777" w:rsidR="00F4662F" w:rsidRPr="009D5352" w:rsidRDefault="00244911">
            <w:pPr>
              <w:suppressAutoHyphens/>
              <w:jc w:val="both"/>
              <w:rPr>
                <w:b/>
                <w:bCs/>
              </w:rPr>
            </w:pPr>
            <w:r w:rsidRPr="009D5352">
              <w:rPr>
                <w:b/>
                <w:bCs/>
                <w:szCs w:val="24"/>
              </w:rPr>
              <w:t>5.3.</w:t>
            </w:r>
            <w:r w:rsidRPr="009D5352">
              <w:rPr>
                <w:b/>
                <w:bCs/>
                <w:i/>
                <w:iCs/>
                <w:szCs w:val="24"/>
              </w:rPr>
              <w:t xml:space="preserve"> </w:t>
            </w:r>
            <w:r w:rsidRPr="009D5352">
              <w:rPr>
                <w:b/>
                <w:bCs/>
                <w:szCs w:val="24"/>
              </w:rPr>
              <w:t>Reikalavimai partneriams:</w:t>
            </w:r>
          </w:p>
          <w:p w14:paraId="7FB33F3D" w14:textId="77777777" w:rsidR="00F4662F" w:rsidRPr="009D5352" w:rsidRDefault="00244911">
            <w:pPr>
              <w:suppressAutoHyphens/>
              <w:jc w:val="both"/>
            </w:pPr>
            <w:r w:rsidRPr="009D5352">
              <w:rPr>
                <w:iCs/>
                <w:szCs w:val="24"/>
              </w:rPr>
              <w:t>5.3.1. Partneriai negalimi.</w:t>
            </w:r>
          </w:p>
        </w:tc>
      </w:tr>
      <w:tr w:rsidR="00F4662F" w:rsidRPr="009D5352" w14:paraId="1B5F8A03"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B5B04" w14:textId="77777777" w:rsidR="00F4662F" w:rsidRPr="009D5352" w:rsidRDefault="00244911">
            <w:pPr>
              <w:suppressAutoHyphens/>
              <w:jc w:val="both"/>
            </w:pPr>
            <w:r w:rsidRPr="009D5352">
              <w:rPr>
                <w:b/>
                <w:szCs w:val="24"/>
              </w:rPr>
              <w:t>6. Reikalavimai jungtinio projekto projektams ir jungtinio projekto projektų pareiškėjams</w:t>
            </w:r>
          </w:p>
        </w:tc>
      </w:tr>
      <w:tr w:rsidR="00F4662F" w:rsidRPr="009D5352" w14:paraId="624CD37F" w14:textId="77777777">
        <w:trPr>
          <w:trHeight w:val="276"/>
        </w:trPr>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E5B99" w14:textId="77777777" w:rsidR="00F4662F" w:rsidRPr="009D5352" w:rsidRDefault="00244911">
            <w:pPr>
              <w:suppressAutoHyphens/>
              <w:jc w:val="both"/>
            </w:pPr>
            <w:r w:rsidRPr="009D5352">
              <w:rPr>
                <w:bCs/>
                <w:szCs w:val="24"/>
              </w:rPr>
              <w:t>6.1. Netaikoma.</w:t>
            </w:r>
          </w:p>
        </w:tc>
      </w:tr>
      <w:tr w:rsidR="00F4662F" w:rsidRPr="009D5352" w14:paraId="085081F0" w14:textId="77777777">
        <w:trPr>
          <w:trHeight w:val="285"/>
        </w:trPr>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AA3F3" w14:textId="77777777" w:rsidR="00F4662F" w:rsidRPr="009D5352" w:rsidRDefault="00244911">
            <w:pPr>
              <w:suppressAutoHyphens/>
            </w:pPr>
            <w:r w:rsidRPr="009D5352">
              <w:rPr>
                <w:b/>
                <w:szCs w:val="24"/>
              </w:rPr>
              <w:t>7. Projekto tikslinės grupės</w:t>
            </w:r>
          </w:p>
        </w:tc>
      </w:tr>
      <w:tr w:rsidR="00F4662F" w:rsidRPr="009D5352" w14:paraId="6DC995A3" w14:textId="77777777">
        <w:trPr>
          <w:trHeight w:val="285"/>
        </w:trPr>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4017A" w14:textId="7687A986" w:rsidR="00F4662F" w:rsidRPr="009D5352" w:rsidRDefault="00244911">
            <w:pPr>
              <w:suppressAutoHyphens/>
              <w:jc w:val="both"/>
              <w:rPr>
                <w:szCs w:val="24"/>
              </w:rPr>
            </w:pPr>
            <w:r w:rsidRPr="009D5352">
              <w:rPr>
                <w:szCs w:val="24"/>
              </w:rPr>
              <w:t xml:space="preserve">7.1. </w:t>
            </w:r>
            <w:r w:rsidR="00394FE4" w:rsidRPr="00394FE4">
              <w:rPr>
                <w:szCs w:val="24"/>
              </w:rPr>
              <w:t>Lietuvos mokslo tarybos personalas</w:t>
            </w:r>
            <w:r w:rsidR="00E041D1" w:rsidRPr="009D5352">
              <w:rPr>
                <w:szCs w:val="24"/>
              </w:rPr>
              <w:t>.</w:t>
            </w:r>
          </w:p>
        </w:tc>
      </w:tr>
      <w:tr w:rsidR="00F4662F" w:rsidRPr="009D5352" w14:paraId="3308A036" w14:textId="77777777">
        <w:trPr>
          <w:trHeight w:val="285"/>
        </w:trPr>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E72D7" w14:textId="77777777" w:rsidR="00F4662F" w:rsidRPr="009D5352" w:rsidRDefault="00244911">
            <w:pPr>
              <w:suppressAutoHyphens/>
            </w:pPr>
            <w:r w:rsidRPr="009D5352">
              <w:rPr>
                <w:b/>
                <w:szCs w:val="24"/>
              </w:rPr>
              <w:t>8.</w:t>
            </w:r>
            <w:r w:rsidRPr="009D5352">
              <w:rPr>
                <w:bCs/>
                <w:szCs w:val="24"/>
              </w:rPr>
              <w:t xml:space="preserve"> </w:t>
            </w:r>
            <w:r w:rsidRPr="009D5352">
              <w:rPr>
                <w:b/>
                <w:szCs w:val="24"/>
              </w:rPr>
              <w:t>Horizontaliųjų principų (toliau – HP) reikalavimai</w:t>
            </w:r>
          </w:p>
        </w:tc>
      </w:tr>
      <w:tr w:rsidR="00F4662F" w:rsidRPr="009D5352" w14:paraId="575554A7"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705FD" w14:textId="698306E5" w:rsidR="00F4662F" w:rsidRPr="009D5352" w:rsidRDefault="00244911">
            <w:pPr>
              <w:suppressAutoHyphens/>
              <w:jc w:val="both"/>
              <w:rPr>
                <w:iCs/>
                <w:szCs w:val="24"/>
              </w:rPr>
            </w:pPr>
            <w:r w:rsidRPr="009D5352">
              <w:rPr>
                <w:iCs/>
                <w:szCs w:val="24"/>
              </w:rPr>
              <w:t>8.1. Projekte negali būti numatyta:</w:t>
            </w:r>
          </w:p>
          <w:p w14:paraId="5BADBAF6" w14:textId="4339D4EA" w:rsidR="00F4662F" w:rsidRPr="009D5352" w:rsidRDefault="00244911">
            <w:pPr>
              <w:suppressAutoHyphens/>
              <w:jc w:val="both"/>
              <w:rPr>
                <w:iCs/>
                <w:szCs w:val="24"/>
              </w:rPr>
            </w:pPr>
            <w:r w:rsidRPr="009D5352">
              <w:rPr>
                <w:iCs/>
                <w:szCs w:val="24"/>
              </w:rPr>
              <w:t xml:space="preserve">8.1.1. apribojimų, kurie turėtų neigiamą poveikį lygių galimybių ir nediskriminavimo dėl lyties, rasės, tautybės, kalbos, kilmės, socialinės padėties, tikėjimo, įsitikinimų ar pažiūrų, amžiaus, negalios, lytinės orientacijos, etninės priklausomybės, religijos </w:t>
            </w:r>
            <w:r w:rsidR="009D276F" w:rsidRPr="0026363C">
              <w:rPr>
                <w:iCs/>
                <w:szCs w:val="24"/>
              </w:rPr>
              <w:t xml:space="preserve">ar kitų bruožų </w:t>
            </w:r>
            <w:r w:rsidRPr="009D5352">
              <w:rPr>
                <w:iCs/>
                <w:szCs w:val="24"/>
              </w:rPr>
              <w:t>principams įgyvendinti;</w:t>
            </w:r>
          </w:p>
          <w:p w14:paraId="32EA598B" w14:textId="77777777" w:rsidR="00F4662F" w:rsidRPr="009D5352" w:rsidRDefault="00244911">
            <w:pPr>
              <w:suppressAutoHyphens/>
              <w:jc w:val="both"/>
              <w:rPr>
                <w:iCs/>
                <w:szCs w:val="24"/>
              </w:rPr>
            </w:pPr>
            <w:r w:rsidRPr="009D5352">
              <w:rPr>
                <w:iCs/>
                <w:szCs w:val="24"/>
              </w:rPr>
              <w:t>8.1.2. veiksmų, kurie turėtų neigiamą poveikį darnaus vystymosi principui įgyvendinti.</w:t>
            </w:r>
          </w:p>
          <w:p w14:paraId="49012BC9" w14:textId="77777777" w:rsidR="001071DC" w:rsidRPr="0026363C" w:rsidRDefault="00244911" w:rsidP="001071DC">
            <w:pPr>
              <w:suppressAutoHyphens/>
              <w:jc w:val="both"/>
              <w:rPr>
                <w:iCs/>
                <w:szCs w:val="24"/>
              </w:rPr>
            </w:pPr>
            <w:r w:rsidRPr="009D5352">
              <w:rPr>
                <w:iCs/>
                <w:szCs w:val="24"/>
              </w:rPr>
              <w:t xml:space="preserve">8.2. </w:t>
            </w:r>
            <w:r w:rsidR="001071DC" w:rsidRPr="0026363C">
              <w:rPr>
                <w:iCs/>
                <w:szCs w:val="24"/>
              </w:rPr>
              <w:t>Projekto vykdytojas turi vykdyti informacijos sklaidą ir konsultuoti Lietuvos pareiškėjus teikiančius programos „Europos horizontas“ paraiškas dėl lyčių lygybės aspektų integravimo į jų rengiamus projektus.</w:t>
            </w:r>
          </w:p>
          <w:p w14:paraId="6379EBBB" w14:textId="086E7053" w:rsidR="0026363C" w:rsidRPr="009D5352" w:rsidRDefault="00847D40" w:rsidP="0026363C">
            <w:pPr>
              <w:suppressAutoHyphens/>
              <w:jc w:val="both"/>
              <w:rPr>
                <w:iCs/>
                <w:szCs w:val="24"/>
              </w:rPr>
            </w:pPr>
            <w:r>
              <w:rPr>
                <w:iCs/>
                <w:szCs w:val="24"/>
              </w:rPr>
              <w:lastRenderedPageBreak/>
              <w:t xml:space="preserve">8.3. </w:t>
            </w:r>
            <w:r w:rsidR="00244911" w:rsidRPr="009D5352">
              <w:rPr>
                <w:iCs/>
                <w:szCs w:val="24"/>
              </w:rPr>
              <w:t>Projekta</w:t>
            </w:r>
            <w:r>
              <w:rPr>
                <w:iCs/>
                <w:szCs w:val="24"/>
              </w:rPr>
              <w:t>s</w:t>
            </w:r>
            <w:r w:rsidR="00244911" w:rsidRPr="009D5352">
              <w:rPr>
                <w:iCs/>
                <w:szCs w:val="24"/>
              </w:rPr>
              <w:t xml:space="preserve"> turi atitikti reikšmingos žalos nedarymo principą, t. y. turi būti tvar</w:t>
            </w:r>
            <w:r w:rsidR="00B31CB1">
              <w:rPr>
                <w:iCs/>
                <w:szCs w:val="24"/>
              </w:rPr>
              <w:t>u</w:t>
            </w:r>
            <w:r w:rsidR="00244911" w:rsidRPr="009D5352">
              <w:rPr>
                <w:iCs/>
                <w:szCs w:val="24"/>
              </w:rPr>
              <w:t>s aplinkos atžvilgiu ir vykdom</w:t>
            </w:r>
            <w:r w:rsidR="00B31CB1">
              <w:rPr>
                <w:iCs/>
                <w:szCs w:val="24"/>
              </w:rPr>
              <w:t>as</w:t>
            </w:r>
            <w:r w:rsidR="00244911" w:rsidRPr="009D5352">
              <w:rPr>
                <w:iCs/>
                <w:szCs w:val="24"/>
              </w:rPr>
              <w:t xml:space="preserve"> visapusiškai atsižvelgiant į Europos Sąjungos klimato ir aplinkos apsaugos standartus ir prioritetus, kaip tai suprantama pagal 2020 m. birželio 18 d. Europos Parlamento ir Tarybos reglamentą </w:t>
            </w:r>
            <w:hyperlink r:id="rId11" w:tgtFrame="_blank" w:history="1">
              <w:r w:rsidR="00244911" w:rsidRPr="009D5352">
                <w:rPr>
                  <w:iCs/>
                  <w:color w:val="467886" w:themeColor="hyperlink"/>
                  <w:szCs w:val="24"/>
                  <w:u w:val="single"/>
                </w:rPr>
                <w:t>(ES) Nr. 2020/852</w:t>
              </w:r>
            </w:hyperlink>
            <w:r w:rsidR="00244911" w:rsidRPr="009D5352">
              <w:rPr>
                <w:iCs/>
                <w:color w:val="000000"/>
                <w:szCs w:val="24"/>
              </w:rPr>
              <w:t xml:space="preserve"> </w:t>
            </w:r>
            <w:r w:rsidR="00244911" w:rsidRPr="009D5352">
              <w:rPr>
                <w:iCs/>
                <w:szCs w:val="24"/>
              </w:rPr>
              <w:t>dėl sistemos tvariam investavimui palengvinti sukūrimo, kuriuo iš dalies keičiamas Reglamentas</w:t>
            </w:r>
            <w:r w:rsidR="00244911" w:rsidRPr="009D5352">
              <w:rPr>
                <w:color w:val="000000"/>
              </w:rPr>
              <w:t xml:space="preserve"> </w:t>
            </w:r>
            <w:hyperlink r:id="rId12" w:tgtFrame="_blank" w:history="1">
              <w:r w:rsidR="00244911" w:rsidRPr="009D5352">
                <w:rPr>
                  <w:iCs/>
                  <w:color w:val="467886" w:themeColor="hyperlink"/>
                  <w:szCs w:val="24"/>
                  <w:u w:val="single"/>
                </w:rPr>
                <w:t>(ES) 2019/2088</w:t>
              </w:r>
            </w:hyperlink>
            <w:r w:rsidR="00244911" w:rsidRPr="009D5352">
              <w:rPr>
                <w:iCs/>
                <w:szCs w:val="24"/>
              </w:rPr>
              <w:t xml:space="preserve">. </w:t>
            </w:r>
            <w:r w:rsidR="00FC7FC5" w:rsidRPr="00FC7FC5">
              <w:rPr>
                <w:iCs/>
                <w:szCs w:val="24"/>
              </w:rPr>
              <w:t>Atitiktis šiam principui turi būti užtikrinta viso projekto įgyvendinimo metu.</w:t>
            </w:r>
            <w:r w:rsidR="00FC7FC5">
              <w:rPr>
                <w:iCs/>
                <w:szCs w:val="24"/>
              </w:rPr>
              <w:t xml:space="preserve"> </w:t>
            </w:r>
            <w:r w:rsidR="00B31CB1" w:rsidRPr="00B31CB1">
              <w:rPr>
                <w:iCs/>
                <w:szCs w:val="24"/>
              </w:rPr>
              <w:t>Reikalavimai projektų atitikčiai šiam principui įvertinti pateikiami Aprašo priede.</w:t>
            </w:r>
            <w:r w:rsidR="0026363C" w:rsidRPr="0026363C">
              <w:rPr>
                <w:iCs/>
                <w:szCs w:val="24"/>
              </w:rPr>
              <w:t xml:space="preserve"> </w:t>
            </w:r>
          </w:p>
        </w:tc>
      </w:tr>
      <w:tr w:rsidR="00F4662F" w:rsidRPr="009D5352" w14:paraId="5325CC68"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D5DD6" w14:textId="77777777" w:rsidR="00F4662F" w:rsidRPr="009D5352" w:rsidRDefault="00244911">
            <w:pPr>
              <w:suppressAutoHyphens/>
              <w:spacing w:line="254" w:lineRule="auto"/>
              <w:jc w:val="both"/>
              <w:rPr>
                <w:b/>
                <w:iCs/>
                <w:szCs w:val="24"/>
              </w:rPr>
            </w:pPr>
            <w:r w:rsidRPr="009D5352">
              <w:rPr>
                <w:b/>
                <w:iCs/>
                <w:szCs w:val="24"/>
              </w:rPr>
              <w:lastRenderedPageBreak/>
              <w:t>9. Europos Sąjungos pagrindinių teisių chartijos (toliau – Chartija) reikalavimai</w:t>
            </w:r>
          </w:p>
        </w:tc>
      </w:tr>
      <w:tr w:rsidR="00F4662F" w:rsidRPr="009D5352" w14:paraId="44DF34E1"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FA0BF" w14:textId="45F197C1" w:rsidR="00F4662F" w:rsidRPr="009D5352" w:rsidRDefault="00244911">
            <w:pPr>
              <w:suppressAutoHyphens/>
              <w:jc w:val="both"/>
              <w:rPr>
                <w:szCs w:val="24"/>
              </w:rPr>
            </w:pPr>
            <w:r w:rsidRPr="009D5352">
              <w:rPr>
                <w:szCs w:val="24"/>
              </w:rPr>
              <w:t>9.1. Pagal Aprašą finansuojama veikla, įvertinus ją pagal 2016 m. liepos 23 d. Europos Komisijos pranešimą – Rekomendacijų, kaip užtikrinti, kad būtų laikomasi Europos Sąjungos pagrindinių teisių chartijos nuostatų skirstant Europos struktūrinių ir investicinių fondų</w:t>
            </w:r>
            <w:r w:rsidR="00BF2710">
              <w:rPr>
                <w:szCs w:val="24"/>
              </w:rPr>
              <w:t xml:space="preserve"> (ESI fondų)</w:t>
            </w:r>
            <w:r w:rsidRPr="009D5352">
              <w:rPr>
                <w:szCs w:val="24"/>
              </w:rPr>
              <w:t xml:space="preserve"> paramą (2016/C 269/01), III priedą, nepažeidžia Chartijoje nustatytų pagrindinių teisių. </w:t>
            </w:r>
          </w:p>
          <w:p w14:paraId="6F78B32A" w14:textId="0FD7C2D9" w:rsidR="00F4662F" w:rsidRDefault="00244911">
            <w:pPr>
              <w:suppressAutoHyphens/>
              <w:jc w:val="both"/>
              <w:rPr>
                <w:szCs w:val="24"/>
              </w:rPr>
            </w:pPr>
            <w:r w:rsidRPr="009D5352">
              <w:rPr>
                <w:szCs w:val="24"/>
              </w:rPr>
              <w:t xml:space="preserve">9.2. Atsižvelgiant į pagal Aprašą finansuojamos veiklos pobūdį, papildomi reikalavimai dėl aktyvių priemonių Chartijoje įtvirtintoms teisėms </w:t>
            </w:r>
            <w:r w:rsidR="0010001B">
              <w:rPr>
                <w:szCs w:val="24"/>
              </w:rPr>
              <w:t xml:space="preserve">užtikrinti </w:t>
            </w:r>
            <w:r w:rsidRPr="009D5352">
              <w:rPr>
                <w:szCs w:val="24"/>
              </w:rPr>
              <w:t>nėra nustatomi.</w:t>
            </w:r>
          </w:p>
          <w:p w14:paraId="1466BFF7" w14:textId="047E5756" w:rsidR="00B95CBC" w:rsidRPr="009D5352" w:rsidRDefault="00B95CBC">
            <w:pPr>
              <w:suppressAutoHyphens/>
              <w:jc w:val="both"/>
            </w:pPr>
            <w:r w:rsidRPr="00B95CBC">
              <w:t>Projekto vykdytojas privalo nepažeisti Chartijos reikalavimų projekto vykdymo metu.</w:t>
            </w:r>
          </w:p>
        </w:tc>
      </w:tr>
      <w:tr w:rsidR="00F4662F" w:rsidRPr="009D5352" w14:paraId="2ECF8655" w14:textId="77777777" w:rsidTr="00F62630">
        <w:trPr>
          <w:trHeight w:val="68"/>
        </w:trPr>
        <w:tc>
          <w:tcPr>
            <w:tcW w:w="15134" w:type="dxa"/>
            <w:tcBorders>
              <w:left w:val="single" w:sz="4" w:space="0" w:color="auto"/>
              <w:bottom w:val="single" w:sz="4" w:space="0" w:color="000000" w:themeColor="text1"/>
              <w:right w:val="single" w:sz="4" w:space="0" w:color="auto"/>
            </w:tcBorders>
            <w:tcMar>
              <w:top w:w="0" w:type="dxa"/>
              <w:left w:w="108" w:type="dxa"/>
              <w:bottom w:w="0" w:type="dxa"/>
              <w:right w:w="108" w:type="dxa"/>
            </w:tcMar>
          </w:tcPr>
          <w:p w14:paraId="26D0AED2" w14:textId="6EEC6178" w:rsidR="00F4662F" w:rsidRPr="008A2D6F" w:rsidRDefault="00D9146A">
            <w:pPr>
              <w:suppressAutoHyphens/>
              <w:jc w:val="both"/>
              <w:rPr>
                <w:szCs w:val="24"/>
              </w:rPr>
            </w:pPr>
            <w:r w:rsidRPr="00D9146A">
              <w:rPr>
                <w:b/>
                <w:bCs/>
                <w:szCs w:val="24"/>
              </w:rPr>
              <w:t>9</w:t>
            </w:r>
            <w:r w:rsidRPr="00D9146A">
              <w:rPr>
                <w:b/>
                <w:bCs/>
                <w:szCs w:val="24"/>
                <w:vertAlign w:val="superscript"/>
              </w:rPr>
              <w:t>1</w:t>
            </w:r>
            <w:r w:rsidRPr="00D9146A">
              <w:rPr>
                <w:b/>
                <w:bCs/>
                <w:szCs w:val="24"/>
              </w:rPr>
              <w:t xml:space="preserve">. </w:t>
            </w:r>
            <w:r w:rsidRPr="00D9146A">
              <w:rPr>
                <w:b/>
                <w:bCs/>
                <w:iCs/>
                <w:szCs w:val="24"/>
              </w:rPr>
              <w:t>Projekto prisidėjimas prie Europos Sąjungos Baltijos jūros regiono strategijos įgyvendinimo</w:t>
            </w:r>
          </w:p>
        </w:tc>
      </w:tr>
      <w:tr w:rsidR="00E934D9" w:rsidRPr="009D5352" w14:paraId="0D6EB14B" w14:textId="77777777">
        <w:tc>
          <w:tcPr>
            <w:tcW w:w="15134" w:type="dxa"/>
            <w:tcBorders>
              <w:left w:val="single" w:sz="4" w:space="0" w:color="auto"/>
              <w:bottom w:val="single" w:sz="4" w:space="0" w:color="000000" w:themeColor="text1"/>
              <w:right w:val="single" w:sz="4" w:space="0" w:color="auto"/>
            </w:tcBorders>
            <w:tcMar>
              <w:top w:w="0" w:type="dxa"/>
              <w:left w:w="108" w:type="dxa"/>
              <w:bottom w:w="0" w:type="dxa"/>
              <w:right w:w="108" w:type="dxa"/>
            </w:tcMar>
          </w:tcPr>
          <w:p w14:paraId="4ED2F0DA" w14:textId="1738AD77" w:rsidR="00E934D9" w:rsidRPr="009D5352" w:rsidRDefault="00D9146A">
            <w:pPr>
              <w:suppressAutoHyphens/>
              <w:jc w:val="both"/>
              <w:rPr>
                <w:szCs w:val="24"/>
              </w:rPr>
            </w:pPr>
            <w:r w:rsidRPr="00D9146A">
              <w:rPr>
                <w:szCs w:val="24"/>
              </w:rPr>
              <w:t>9</w:t>
            </w:r>
            <w:r w:rsidRPr="00D9146A">
              <w:rPr>
                <w:szCs w:val="24"/>
                <w:vertAlign w:val="superscript"/>
              </w:rPr>
              <w:t>1</w:t>
            </w:r>
            <w:r w:rsidRPr="00D9146A">
              <w:rPr>
                <w:szCs w:val="24"/>
              </w:rPr>
              <w:t>.1. Netaikoma.</w:t>
            </w:r>
          </w:p>
        </w:tc>
      </w:tr>
      <w:tr w:rsidR="00F4662F" w:rsidRPr="009D5352" w14:paraId="2D4BDE69"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12EC3" w14:textId="77777777" w:rsidR="00F4662F" w:rsidRPr="009D5352" w:rsidRDefault="00244911">
            <w:pPr>
              <w:suppressAutoHyphens/>
              <w:rPr>
                <w:b/>
                <w:szCs w:val="24"/>
              </w:rPr>
            </w:pPr>
            <w:r w:rsidRPr="009D5352">
              <w:rPr>
                <w:b/>
                <w:szCs w:val="24"/>
              </w:rPr>
              <w:t>10. Apskritis, kurioje gali būti įgyvendinami projektai</w:t>
            </w:r>
          </w:p>
        </w:tc>
      </w:tr>
      <w:tr w:rsidR="00F4662F" w:rsidRPr="009D5352" w14:paraId="651387C8"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02761" w14:textId="77777777" w:rsidR="00F4662F" w:rsidRPr="009D5352" w:rsidRDefault="00244911">
            <w:pPr>
              <w:suppressAutoHyphens/>
              <w:jc w:val="both"/>
            </w:pPr>
            <w:r w:rsidRPr="009D5352">
              <w:rPr>
                <w:iCs/>
                <w:szCs w:val="24"/>
              </w:rPr>
              <w:t>10.1. Netaikoma.</w:t>
            </w:r>
          </w:p>
        </w:tc>
      </w:tr>
      <w:tr w:rsidR="00F4662F" w:rsidRPr="009D5352" w14:paraId="57E51FC3"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CF1CD" w14:textId="5E21A2A5" w:rsidR="00F4662F" w:rsidRPr="009D5352" w:rsidRDefault="00244911">
            <w:pPr>
              <w:suppressAutoHyphens/>
              <w:jc w:val="both"/>
              <w:rPr>
                <w:b/>
                <w:szCs w:val="24"/>
              </w:rPr>
            </w:pPr>
            <w:r w:rsidRPr="009D5352">
              <w:rPr>
                <w:b/>
                <w:szCs w:val="24"/>
              </w:rPr>
              <w:t xml:space="preserve">11. Reikalavimai valstybės pagalbai </w:t>
            </w:r>
            <w:r w:rsidR="00FA09DF" w:rsidRPr="00FA09DF">
              <w:rPr>
                <w:b/>
                <w:szCs w:val="24"/>
              </w:rPr>
              <w:t>(kurie nėra nurodyti kituose Aprašo punktuose)</w:t>
            </w:r>
          </w:p>
        </w:tc>
      </w:tr>
      <w:tr w:rsidR="00F4662F" w:rsidRPr="009D5352" w14:paraId="30D73961"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7C587" w14:textId="20566086" w:rsidR="009A77FE" w:rsidRPr="009D5352" w:rsidRDefault="009A77FE" w:rsidP="009A77FE">
            <w:pPr>
              <w:suppressAutoHyphens/>
              <w:jc w:val="both"/>
              <w:rPr>
                <w:iCs/>
                <w:szCs w:val="24"/>
              </w:rPr>
            </w:pPr>
            <w:r w:rsidRPr="009D5352">
              <w:rPr>
                <w:iCs/>
                <w:szCs w:val="24"/>
              </w:rPr>
              <w:t>11.1.</w:t>
            </w:r>
            <w:r w:rsidRPr="009D5352">
              <w:rPr>
                <w:i/>
                <w:iCs/>
                <w:szCs w:val="24"/>
              </w:rPr>
              <w:t xml:space="preserve"> </w:t>
            </w:r>
            <w:r w:rsidRPr="009D5352">
              <w:rPr>
                <w:iCs/>
                <w:szCs w:val="24"/>
              </w:rPr>
              <w:t xml:space="preserve">Pagal Aprašą valstybės pagalba, kaip ji apibrėžta Sutarties dėl Europos Sąjungos veikimo 107 straipsnyje, ir </w:t>
            </w:r>
            <w:r w:rsidRPr="009D5352">
              <w:rPr>
                <w:i/>
                <w:iCs/>
                <w:szCs w:val="24"/>
              </w:rPr>
              <w:t xml:space="preserve">de </w:t>
            </w:r>
            <w:proofErr w:type="spellStart"/>
            <w:r w:rsidRPr="009D5352">
              <w:rPr>
                <w:i/>
                <w:iCs/>
                <w:szCs w:val="24"/>
              </w:rPr>
              <w:t>minimis</w:t>
            </w:r>
            <w:proofErr w:type="spellEnd"/>
            <w:r w:rsidRPr="009D5352">
              <w:rPr>
                <w:iCs/>
                <w:szCs w:val="24"/>
              </w:rPr>
              <w:t xml:space="preserve"> pagalba, kuri atitinka</w:t>
            </w:r>
            <w:r w:rsidR="00BA5EE5">
              <w:rPr>
                <w:iCs/>
                <w:szCs w:val="24"/>
              </w:rPr>
              <w:t xml:space="preserve"> </w:t>
            </w:r>
            <w:r w:rsidR="00D5552D" w:rsidRPr="00D5552D">
              <w:rPr>
                <w:iCs/>
                <w:szCs w:val="24"/>
              </w:rPr>
              <w:t>20</w:t>
            </w:r>
            <w:r w:rsidR="00D5552D">
              <w:rPr>
                <w:iCs/>
                <w:szCs w:val="24"/>
              </w:rPr>
              <w:t>2</w:t>
            </w:r>
            <w:r w:rsidR="00D5552D" w:rsidRPr="00D5552D">
              <w:rPr>
                <w:iCs/>
                <w:szCs w:val="24"/>
              </w:rPr>
              <w:t>3 m. gruodžio 1</w:t>
            </w:r>
            <w:r w:rsidR="00D5552D">
              <w:rPr>
                <w:iCs/>
                <w:szCs w:val="24"/>
              </w:rPr>
              <w:t>3</w:t>
            </w:r>
            <w:r w:rsidR="00D5552D" w:rsidRPr="00D5552D">
              <w:rPr>
                <w:iCs/>
                <w:szCs w:val="24"/>
              </w:rPr>
              <w:t xml:space="preserve"> d. Komisijos reglamento (ES) </w:t>
            </w:r>
            <w:r w:rsidR="00786562">
              <w:rPr>
                <w:iCs/>
                <w:szCs w:val="24"/>
              </w:rPr>
              <w:t>Nr.</w:t>
            </w:r>
            <w:r w:rsidR="00D5552D" w:rsidRPr="00D5552D">
              <w:rPr>
                <w:iCs/>
                <w:szCs w:val="24"/>
              </w:rPr>
              <w:t xml:space="preserve"> </w:t>
            </w:r>
            <w:r w:rsidR="00D85A95">
              <w:rPr>
                <w:iCs/>
                <w:szCs w:val="24"/>
              </w:rPr>
              <w:t>2023</w:t>
            </w:r>
            <w:r w:rsidR="00D5552D" w:rsidRPr="00D5552D">
              <w:rPr>
                <w:iCs/>
                <w:szCs w:val="24"/>
              </w:rPr>
              <w:t>/</w:t>
            </w:r>
            <w:r w:rsidR="00D85A95">
              <w:rPr>
                <w:iCs/>
                <w:szCs w:val="24"/>
              </w:rPr>
              <w:t>2831</w:t>
            </w:r>
            <w:r w:rsidR="00D5552D" w:rsidRPr="00D5552D">
              <w:rPr>
                <w:iCs/>
                <w:szCs w:val="24"/>
              </w:rPr>
              <w:t xml:space="preserve"> dėl Sutarties dėl Europos Sąjungos veikimo 107 ir 108 straipsnių taikymo </w:t>
            </w:r>
            <w:r w:rsidR="00D5552D" w:rsidRPr="00D5552D">
              <w:rPr>
                <w:i/>
                <w:iCs/>
                <w:szCs w:val="24"/>
              </w:rPr>
              <w:t xml:space="preserve">de </w:t>
            </w:r>
            <w:proofErr w:type="spellStart"/>
            <w:r w:rsidR="00D5552D" w:rsidRPr="00D5552D">
              <w:rPr>
                <w:i/>
                <w:iCs/>
                <w:szCs w:val="24"/>
              </w:rPr>
              <w:t>minimis</w:t>
            </w:r>
            <w:proofErr w:type="spellEnd"/>
            <w:r w:rsidR="00D5552D" w:rsidRPr="00D5552D">
              <w:rPr>
                <w:iCs/>
                <w:szCs w:val="24"/>
              </w:rPr>
              <w:t xml:space="preserve"> pagalbai nuostatas, neteikiama.</w:t>
            </w:r>
          </w:p>
          <w:p w14:paraId="56C52772" w14:textId="77777777" w:rsidR="008B72B8" w:rsidRPr="009D5352" w:rsidRDefault="008B72B8" w:rsidP="008B72B8">
            <w:pPr>
              <w:suppressAutoHyphens/>
              <w:jc w:val="both"/>
              <w:rPr>
                <w:iCs/>
                <w:szCs w:val="24"/>
              </w:rPr>
            </w:pPr>
            <w:r w:rsidRPr="009D5352">
              <w:rPr>
                <w:iCs/>
                <w:szCs w:val="24"/>
              </w:rPr>
              <w:t>11.2. Pagal Aprašą valstybės pagalba, kuri atitinka 2014 m. birželio 17 d. Komisijos reglamento (ES) Nr. 651/2014, kuriuo tam tikrų kategorijų pagalba skelbiama suderinama su vidaus rinka taikant Sutarties 107 ir 108 straipsnius, neteikiama.</w:t>
            </w:r>
          </w:p>
          <w:p w14:paraId="032EAE09" w14:textId="63EF3B06" w:rsidR="00F4662F" w:rsidRPr="00BD6ED5" w:rsidRDefault="00BD5D20" w:rsidP="008B72B8">
            <w:pPr>
              <w:suppressAutoHyphens/>
              <w:jc w:val="both"/>
              <w:rPr>
                <w:iCs/>
                <w:szCs w:val="24"/>
              </w:rPr>
            </w:pPr>
            <w:r w:rsidRPr="00BD5D20">
              <w:rPr>
                <w:iCs/>
                <w:szCs w:val="24"/>
              </w:rPr>
              <w:t xml:space="preserve">11.3. Siekiant nustatyti, ar teikiamas finansavimas yra (nėra) valstybės pagalba, administruojančioji institucija pildo Patikros lapą dėl valstybės pagalbos ir </w:t>
            </w:r>
            <w:r w:rsidRPr="00BD5D20">
              <w:rPr>
                <w:i/>
                <w:iCs/>
                <w:szCs w:val="24"/>
              </w:rPr>
              <w:t xml:space="preserve">de </w:t>
            </w:r>
            <w:proofErr w:type="spellStart"/>
            <w:r w:rsidRPr="00BD5D20">
              <w:rPr>
                <w:i/>
                <w:iCs/>
                <w:szCs w:val="24"/>
              </w:rPr>
              <w:t>minimis</w:t>
            </w:r>
            <w:proofErr w:type="spellEnd"/>
            <w:r w:rsidRPr="00BD5D20">
              <w:rPr>
                <w:iCs/>
                <w:szCs w:val="24"/>
              </w:rPr>
              <w:t xml:space="preserve"> pagalbos buvimo ar nebuvimo (paskelbtas Europos Sąjungos investicijų interneto svetainėje https://esinvesticijos.lt/dokumentai/pavyzdinis-patikros-lapas-del-valstybes-pagalbos-ir-de-minimis-pagalbos-buvimo-ar-nebuvimo).</w:t>
            </w:r>
          </w:p>
        </w:tc>
      </w:tr>
      <w:tr w:rsidR="007A39F0" w:rsidRPr="009D5352" w14:paraId="0861C472"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E3C07" w14:textId="6ECD922F" w:rsidR="00977B31" w:rsidRPr="009D5352" w:rsidRDefault="007A39F0" w:rsidP="009A77FE">
            <w:pPr>
              <w:suppressAutoHyphens/>
              <w:jc w:val="both"/>
              <w:rPr>
                <w:b/>
                <w:iCs/>
                <w:szCs w:val="24"/>
              </w:rPr>
            </w:pPr>
            <w:r w:rsidRPr="009D5352">
              <w:rPr>
                <w:b/>
                <w:iCs/>
                <w:szCs w:val="24"/>
              </w:rPr>
              <w:t>12</w:t>
            </w:r>
            <w:r w:rsidRPr="009D5352">
              <w:rPr>
                <w:bCs/>
                <w:iCs/>
                <w:szCs w:val="24"/>
              </w:rPr>
              <w:t xml:space="preserve">. </w:t>
            </w:r>
            <w:r w:rsidRPr="009D5352">
              <w:rPr>
                <w:b/>
                <w:iCs/>
                <w:szCs w:val="24"/>
              </w:rPr>
              <w:t>Projektų atrankos kriterijai</w:t>
            </w:r>
          </w:p>
        </w:tc>
      </w:tr>
      <w:tr w:rsidR="00960CE7" w:rsidRPr="009D5352" w14:paraId="5C51336D"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2FA83" w14:textId="3736C217" w:rsidR="00960CE7" w:rsidRPr="009D5352" w:rsidRDefault="0049084B" w:rsidP="009A77FE">
            <w:pPr>
              <w:suppressAutoHyphens/>
              <w:jc w:val="both"/>
              <w:rPr>
                <w:bCs/>
                <w:iCs/>
                <w:szCs w:val="24"/>
              </w:rPr>
            </w:pPr>
            <w:r w:rsidRPr="009D5352">
              <w:rPr>
                <w:bCs/>
                <w:iCs/>
                <w:szCs w:val="24"/>
              </w:rPr>
              <w:t>12.</w:t>
            </w:r>
            <w:r w:rsidR="00E31BEA">
              <w:rPr>
                <w:bCs/>
                <w:iCs/>
                <w:szCs w:val="24"/>
              </w:rPr>
              <w:t>1</w:t>
            </w:r>
            <w:r w:rsidR="00C65B18" w:rsidRPr="009D5352">
              <w:rPr>
                <w:bCs/>
                <w:iCs/>
                <w:szCs w:val="24"/>
              </w:rPr>
              <w:t xml:space="preserve">. </w:t>
            </w:r>
            <w:r w:rsidR="00CD05D2" w:rsidRPr="009D5352">
              <w:rPr>
                <w:bCs/>
                <w:iCs/>
                <w:szCs w:val="24"/>
              </w:rPr>
              <w:t>Specialieji ir prioritetiniai projektų atrankos kriterijai nėra nustatomi.</w:t>
            </w:r>
          </w:p>
        </w:tc>
      </w:tr>
      <w:tr w:rsidR="00F4662F" w:rsidRPr="009D5352" w14:paraId="023504B5" w14:textId="77777777">
        <w:trPr>
          <w:trHeight w:val="309"/>
        </w:trPr>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35E4A" w14:textId="255EC07C" w:rsidR="00F4662F" w:rsidRPr="009D5352" w:rsidRDefault="004F7A2E">
            <w:pPr>
              <w:suppressAutoHyphens/>
              <w:jc w:val="both"/>
            </w:pPr>
            <w:r w:rsidRPr="004F7A2E">
              <w:rPr>
                <w:b/>
              </w:rPr>
              <w:t>13</w:t>
            </w:r>
            <w:r w:rsidRPr="004F7A2E">
              <w:rPr>
                <w:bCs/>
              </w:rPr>
              <w:t xml:space="preserve">. </w:t>
            </w:r>
            <w:r w:rsidRPr="004F7A2E">
              <w:rPr>
                <w:b/>
              </w:rPr>
              <w:t>Jungtinio projekto projektų atrankos kriterijai</w:t>
            </w:r>
          </w:p>
        </w:tc>
      </w:tr>
      <w:tr w:rsidR="004F7A2E" w:rsidRPr="009D5352" w14:paraId="1836B6F0" w14:textId="77777777">
        <w:trPr>
          <w:trHeight w:val="309"/>
        </w:trPr>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C3192" w14:textId="287C7B8E" w:rsidR="004F7A2E" w:rsidRPr="009D5352" w:rsidRDefault="004F7A2E">
            <w:pPr>
              <w:suppressAutoHyphens/>
              <w:jc w:val="both"/>
              <w:rPr>
                <w:b/>
                <w:szCs w:val="22"/>
              </w:rPr>
            </w:pPr>
            <w:r w:rsidRPr="009D5352">
              <w:t>13.1. Netaikoma.</w:t>
            </w:r>
          </w:p>
        </w:tc>
      </w:tr>
      <w:tr w:rsidR="00F4662F" w:rsidRPr="009D5352" w14:paraId="3CE3BA93"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2437C" w14:textId="77777777" w:rsidR="00F4662F" w:rsidRPr="009D5352" w:rsidRDefault="00244911">
            <w:pPr>
              <w:suppressAutoHyphens/>
            </w:pPr>
            <w:r w:rsidRPr="009D5352">
              <w:rPr>
                <w:b/>
                <w:szCs w:val="24"/>
              </w:rPr>
              <w:t>14</w:t>
            </w:r>
            <w:r w:rsidRPr="009D5352">
              <w:rPr>
                <w:bCs/>
                <w:szCs w:val="24"/>
              </w:rPr>
              <w:t xml:space="preserve">. </w:t>
            </w:r>
            <w:r w:rsidRPr="009D5352">
              <w:rPr>
                <w:b/>
                <w:szCs w:val="24"/>
              </w:rPr>
              <w:t>Reikalavimai įgyvendinus projektų veiklas</w:t>
            </w:r>
          </w:p>
        </w:tc>
      </w:tr>
      <w:tr w:rsidR="00F4662F" w:rsidRPr="009D5352" w14:paraId="03C01EDB" w14:textId="77777777">
        <w:trPr>
          <w:trHeight w:val="300"/>
        </w:trPr>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A85E9" w14:textId="0CAF584E" w:rsidR="00F4662F" w:rsidRPr="009D5352" w:rsidRDefault="00EF4A01">
            <w:pPr>
              <w:tabs>
                <w:tab w:val="left" w:pos="1134"/>
              </w:tabs>
              <w:suppressAutoHyphens/>
              <w:jc w:val="both"/>
              <w:rPr>
                <w:szCs w:val="24"/>
              </w:rPr>
            </w:pPr>
            <w:r w:rsidRPr="009D5352">
              <w:rPr>
                <w:szCs w:val="24"/>
              </w:rPr>
              <w:t>14.1</w:t>
            </w:r>
            <w:r w:rsidR="00964ABF" w:rsidRPr="009D5352">
              <w:rPr>
                <w:szCs w:val="24"/>
              </w:rPr>
              <w:t xml:space="preserve">. </w:t>
            </w:r>
            <w:r w:rsidR="00BB51C5" w:rsidRPr="00BB51C5">
              <w:rPr>
                <w:szCs w:val="24"/>
              </w:rPr>
              <w:t>Pagal šį Aprašą įgyvendinamam projektui papildomi tęstinumo reikalavimai, nei nustatyti Projektų administravimo ir finansavimo taisyklėse, netaikomi.</w:t>
            </w:r>
          </w:p>
        </w:tc>
      </w:tr>
      <w:tr w:rsidR="00F4662F" w:rsidRPr="009D5352" w14:paraId="6367AB90"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C578D" w14:textId="77777777" w:rsidR="00F4662F" w:rsidRPr="009D5352" w:rsidRDefault="00244911">
            <w:pPr>
              <w:suppressAutoHyphens/>
              <w:rPr>
                <w:b/>
                <w:szCs w:val="24"/>
              </w:rPr>
            </w:pPr>
            <w:r w:rsidRPr="009D5352">
              <w:rPr>
                <w:b/>
                <w:szCs w:val="24"/>
              </w:rPr>
              <w:t>15. Kiti reikalavimai</w:t>
            </w:r>
          </w:p>
        </w:tc>
      </w:tr>
      <w:tr w:rsidR="00F4662F" w:rsidRPr="009D5352" w14:paraId="42D9A5CC" w14:textId="77777777">
        <w:tc>
          <w:tcPr>
            <w:tcW w:w="15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DB085" w14:textId="514EFBBE" w:rsidR="00F4662F" w:rsidRPr="009D5352" w:rsidRDefault="00244911">
            <w:pPr>
              <w:tabs>
                <w:tab w:val="left" w:pos="1134"/>
              </w:tabs>
              <w:suppressAutoHyphens/>
              <w:jc w:val="both"/>
              <w:rPr>
                <w:i/>
                <w:strike/>
                <w:szCs w:val="24"/>
              </w:rPr>
            </w:pPr>
            <w:r w:rsidRPr="009D5352">
              <w:rPr>
                <w:iCs/>
                <w:szCs w:val="24"/>
              </w:rPr>
              <w:lastRenderedPageBreak/>
              <w:t xml:space="preserve">15.1. </w:t>
            </w:r>
            <w:r w:rsidR="00C143F0" w:rsidRPr="00C143F0">
              <w:rPr>
                <w:iCs/>
                <w:szCs w:val="24"/>
              </w:rPr>
              <w:t>Įgyvendinant projektą rekomenduojama atsižvelgti į Vyriausybės strateginės analizės centro (STRATA) studijoje „Mokslo ir inovacijų pareigūnų tink</w:t>
            </w:r>
            <w:r w:rsidR="00AD70D9">
              <w:rPr>
                <w:iCs/>
                <w:szCs w:val="24"/>
              </w:rPr>
              <w:t>l</w:t>
            </w:r>
            <w:r w:rsidR="00C143F0" w:rsidRPr="00C143F0">
              <w:rPr>
                <w:iCs/>
                <w:szCs w:val="24"/>
              </w:rPr>
              <w:t>o sukūrimo Lietuvoje alternatyvos ir įgyvendinimo sėkmės prielaidos“ (2021) pateiktus pasiūlymus</w:t>
            </w:r>
            <w:r w:rsidR="00AD70D9">
              <w:rPr>
                <w:iCs/>
                <w:szCs w:val="24"/>
              </w:rPr>
              <w:t>.</w:t>
            </w:r>
          </w:p>
        </w:tc>
      </w:tr>
    </w:tbl>
    <w:p w14:paraId="32BA67E4" w14:textId="77777777" w:rsidR="00F4662F" w:rsidRPr="009D5352" w:rsidRDefault="00F4662F"/>
    <w:p w14:paraId="34305512" w14:textId="77777777" w:rsidR="00F4662F" w:rsidRPr="009D5352" w:rsidRDefault="00244911">
      <w:pPr>
        <w:suppressAutoHyphens/>
        <w:jc w:val="center"/>
        <w:rPr>
          <w:b/>
          <w:szCs w:val="24"/>
        </w:rPr>
      </w:pPr>
      <w:r w:rsidRPr="009D5352">
        <w:rPr>
          <w:b/>
          <w:szCs w:val="24"/>
        </w:rPr>
        <w:t>III SKYRIUS</w:t>
      </w:r>
    </w:p>
    <w:p w14:paraId="3D3C52B4" w14:textId="77777777" w:rsidR="00F4662F" w:rsidRPr="009D5352" w:rsidRDefault="00244911">
      <w:pPr>
        <w:suppressAutoHyphens/>
        <w:jc w:val="center"/>
        <w:rPr>
          <w:b/>
          <w:szCs w:val="24"/>
        </w:rPr>
      </w:pPr>
      <w:r w:rsidRPr="009D5352">
        <w:rPr>
          <w:b/>
          <w:szCs w:val="24"/>
        </w:rPr>
        <w:t>IŠLAIDŲ TINKAMUMO FINANSUOTI REIKALAVIMAI</w:t>
      </w:r>
    </w:p>
    <w:p w14:paraId="4E3DA1F3" w14:textId="77777777" w:rsidR="00F4662F" w:rsidRPr="009D5352" w:rsidRDefault="00F4662F"/>
    <w:tbl>
      <w:tblPr>
        <w:tblW w:w="15134" w:type="dxa"/>
        <w:tblCellMar>
          <w:left w:w="10" w:type="dxa"/>
          <w:right w:w="10" w:type="dxa"/>
        </w:tblCellMar>
        <w:tblLook w:val="04A0" w:firstRow="1" w:lastRow="0" w:firstColumn="1" w:lastColumn="0" w:noHBand="0" w:noVBand="1"/>
      </w:tblPr>
      <w:tblGrid>
        <w:gridCol w:w="15134"/>
      </w:tblGrid>
      <w:tr w:rsidR="00F4662F" w:rsidRPr="009D5352" w14:paraId="5AA29E4F" w14:textId="77777777">
        <w:tc>
          <w:tcPr>
            <w:tcW w:w="15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AC9F6" w14:textId="77777777" w:rsidR="00F4662F" w:rsidRPr="009D5352" w:rsidRDefault="00244911">
            <w:pPr>
              <w:suppressAutoHyphens/>
              <w:jc w:val="both"/>
            </w:pPr>
            <w:r w:rsidRPr="009D5352">
              <w:rPr>
                <w:b/>
                <w:szCs w:val="24"/>
              </w:rPr>
              <w:t>16</w:t>
            </w:r>
            <w:r w:rsidRPr="009D5352">
              <w:rPr>
                <w:bCs/>
                <w:szCs w:val="24"/>
              </w:rPr>
              <w:t xml:space="preserve">. </w:t>
            </w:r>
            <w:r w:rsidRPr="009D5352">
              <w:rPr>
                <w:b/>
                <w:szCs w:val="24"/>
              </w:rPr>
              <w:t>Išlaidų tinkamumo finansuoti reikalavimai</w:t>
            </w:r>
          </w:p>
        </w:tc>
      </w:tr>
      <w:tr w:rsidR="00F4662F" w:rsidRPr="009D5352" w14:paraId="21997C5B" w14:textId="77777777">
        <w:tc>
          <w:tcPr>
            <w:tcW w:w="15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41558" w14:textId="76EE0FD8" w:rsidR="00642240" w:rsidRPr="00642240" w:rsidRDefault="00CF43AF" w:rsidP="00642240">
            <w:pPr>
              <w:suppressAutoHyphens/>
              <w:jc w:val="both"/>
              <w:rPr>
                <w:szCs w:val="24"/>
              </w:rPr>
            </w:pPr>
            <w:r>
              <w:rPr>
                <w:szCs w:val="24"/>
              </w:rPr>
              <w:t>16</w:t>
            </w:r>
            <w:r w:rsidR="00642240" w:rsidRPr="00642240">
              <w:rPr>
                <w:szCs w:val="24"/>
              </w:rPr>
              <w:t>.1. Planuojamos išlaidos turi atitikti Projektų administravimo ir finansavimo taisyklių VII skyriuje nustatytus projektų išlaidoms taikomus reikalavimus.</w:t>
            </w:r>
          </w:p>
          <w:p w14:paraId="16E38186" w14:textId="303A9AF8" w:rsidR="00642240" w:rsidRPr="00642240" w:rsidRDefault="009F20CE" w:rsidP="00642240">
            <w:pPr>
              <w:suppressAutoHyphens/>
              <w:jc w:val="both"/>
              <w:rPr>
                <w:szCs w:val="24"/>
              </w:rPr>
            </w:pPr>
            <w:r>
              <w:rPr>
                <w:szCs w:val="24"/>
              </w:rPr>
              <w:t>16</w:t>
            </w:r>
            <w:r w:rsidR="00642240" w:rsidRPr="00642240">
              <w:rPr>
                <w:szCs w:val="24"/>
              </w:rPr>
              <w:t xml:space="preserve">.2. PĮP parengimo išlaidos nėra finansuojamos. </w:t>
            </w:r>
          </w:p>
          <w:p w14:paraId="30ECC021" w14:textId="5BFC8A1A" w:rsidR="00642240" w:rsidRPr="00642240" w:rsidRDefault="009F20CE" w:rsidP="00642240">
            <w:pPr>
              <w:suppressAutoHyphens/>
              <w:jc w:val="both"/>
              <w:rPr>
                <w:szCs w:val="24"/>
              </w:rPr>
            </w:pPr>
            <w:r>
              <w:rPr>
                <w:szCs w:val="24"/>
              </w:rPr>
              <w:t>16</w:t>
            </w:r>
            <w:r w:rsidR="00642240" w:rsidRPr="00642240">
              <w:rPr>
                <w:szCs w:val="24"/>
              </w:rPr>
              <w:t>.3. Projekto išlaidos gali būti patirtos iki projekto sutarties pasirašymo, bet ne anksčiau kaip 2020 m. vasario 1 d.</w:t>
            </w:r>
          </w:p>
          <w:p w14:paraId="059392A6" w14:textId="4E12C151" w:rsidR="00642240" w:rsidRPr="00642240" w:rsidRDefault="009F20CE" w:rsidP="00642240">
            <w:pPr>
              <w:suppressAutoHyphens/>
              <w:jc w:val="both"/>
              <w:rPr>
                <w:szCs w:val="24"/>
              </w:rPr>
            </w:pPr>
            <w:r>
              <w:rPr>
                <w:szCs w:val="24"/>
              </w:rPr>
              <w:t>16</w:t>
            </w:r>
            <w:r w:rsidR="00642240" w:rsidRPr="00642240">
              <w:rPr>
                <w:szCs w:val="24"/>
              </w:rPr>
              <w:t>.4.</w:t>
            </w:r>
            <w:r>
              <w:rPr>
                <w:szCs w:val="24"/>
              </w:rPr>
              <w:t xml:space="preserve"> </w:t>
            </w:r>
            <w:r w:rsidR="00642240" w:rsidRPr="00642240">
              <w:rPr>
                <w:szCs w:val="24"/>
              </w:rPr>
              <w:t>Didžiausia galima projekto finansuojamoji dalis sudaro 100 proc. visų tinkamų finansuoti projekto išlaidų. Projekto vykdytojas savo iniciatyva ir savo ir (arba) kitų šaltinių lėšomis gali prisidėti prie projekto įgyvendinimo.</w:t>
            </w:r>
          </w:p>
          <w:p w14:paraId="096DA9EC" w14:textId="60310E43" w:rsidR="00642240" w:rsidRPr="00642240" w:rsidRDefault="009F20CE" w:rsidP="00642240">
            <w:pPr>
              <w:suppressAutoHyphens/>
              <w:jc w:val="both"/>
              <w:rPr>
                <w:szCs w:val="24"/>
              </w:rPr>
            </w:pPr>
            <w:r>
              <w:rPr>
                <w:szCs w:val="24"/>
              </w:rPr>
              <w:t>16</w:t>
            </w:r>
            <w:r w:rsidR="00642240" w:rsidRPr="00642240">
              <w:rPr>
                <w:szCs w:val="24"/>
              </w:rPr>
              <w:t xml:space="preserve">.5. Projekto tinkamų finansuoti išlaidų dalis, kurios nepadengia projektui skiriamo finansavimo lėšos, turi būti finansuojama iš projekto vykdytojo lėšų. </w:t>
            </w:r>
          </w:p>
          <w:p w14:paraId="4F1C7E60" w14:textId="2C686C53" w:rsidR="00642240" w:rsidRPr="00642240" w:rsidRDefault="00672A83" w:rsidP="00642240">
            <w:pPr>
              <w:suppressAutoHyphens/>
              <w:jc w:val="both"/>
              <w:rPr>
                <w:szCs w:val="24"/>
              </w:rPr>
            </w:pPr>
            <w:r>
              <w:rPr>
                <w:szCs w:val="24"/>
              </w:rPr>
              <w:t>16</w:t>
            </w:r>
            <w:r w:rsidR="00642240" w:rsidRPr="00642240">
              <w:rPr>
                <w:szCs w:val="24"/>
              </w:rPr>
              <w:t>.6. Projekto vykdytojui gali būti mokamas avansas, vadovaujantis Projektų administravimo ir finansavimo taisyklių 153–159 punktais.</w:t>
            </w:r>
          </w:p>
          <w:p w14:paraId="13291932" w14:textId="3FC21A30" w:rsidR="00642240" w:rsidRPr="00642240" w:rsidRDefault="00672A83" w:rsidP="00642240">
            <w:pPr>
              <w:suppressAutoHyphens/>
              <w:jc w:val="both"/>
              <w:rPr>
                <w:szCs w:val="24"/>
              </w:rPr>
            </w:pPr>
            <w:r>
              <w:rPr>
                <w:szCs w:val="24"/>
              </w:rPr>
              <w:t>16</w:t>
            </w:r>
            <w:r w:rsidR="00642240" w:rsidRPr="00642240">
              <w:rPr>
                <w:szCs w:val="24"/>
              </w:rPr>
              <w:t>.7. Kryžminis finansavimas netaikomas.</w:t>
            </w:r>
          </w:p>
          <w:p w14:paraId="2AB8515B" w14:textId="556FDE3C" w:rsidR="00642240" w:rsidRPr="00642240" w:rsidRDefault="00672A83" w:rsidP="00642240">
            <w:pPr>
              <w:suppressAutoHyphens/>
              <w:jc w:val="both"/>
              <w:rPr>
                <w:szCs w:val="24"/>
              </w:rPr>
            </w:pPr>
            <w:r>
              <w:rPr>
                <w:szCs w:val="24"/>
              </w:rPr>
              <w:t>16</w:t>
            </w:r>
            <w:r w:rsidR="00642240" w:rsidRPr="00642240">
              <w:rPr>
                <w:szCs w:val="24"/>
              </w:rPr>
              <w:t xml:space="preserve">.8. </w:t>
            </w:r>
            <w:r w:rsidR="00642240" w:rsidRPr="00642240">
              <w:rPr>
                <w:iCs/>
                <w:szCs w:val="24"/>
              </w:rPr>
              <w:t>PVM išlaidos nefinansuojamos EGADP lėšomis.</w:t>
            </w:r>
          </w:p>
          <w:p w14:paraId="7C15E0C1" w14:textId="0E66C05C" w:rsidR="00642240" w:rsidRDefault="00672A83" w:rsidP="00642240">
            <w:pPr>
              <w:suppressAutoHyphens/>
              <w:jc w:val="both"/>
              <w:rPr>
                <w:szCs w:val="24"/>
              </w:rPr>
            </w:pPr>
            <w:r>
              <w:rPr>
                <w:szCs w:val="24"/>
              </w:rPr>
              <w:t>16</w:t>
            </w:r>
            <w:r w:rsidR="00642240" w:rsidRPr="00642240">
              <w:rPr>
                <w:szCs w:val="24"/>
              </w:rPr>
              <w:t>.9. Pagal Aprašą tinkamos finansuoti išlaidos yra šios: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546"/>
              <w:gridCol w:w="10908"/>
            </w:tblGrid>
            <w:tr w:rsidR="00B315E0" w14:paraId="73B055B7" w14:textId="77777777" w:rsidTr="000730F3">
              <w:trPr>
                <w:trHeight w:val="559"/>
              </w:trPr>
              <w:tc>
                <w:tcPr>
                  <w:tcW w:w="880" w:type="dxa"/>
                </w:tcPr>
                <w:p w14:paraId="211581DD" w14:textId="6FE76F73" w:rsidR="00B315E0" w:rsidRDefault="00B315E0" w:rsidP="00B315E0">
                  <w:pPr>
                    <w:jc w:val="both"/>
                    <w:rPr>
                      <w:bCs/>
                      <w:szCs w:val="24"/>
                    </w:rPr>
                  </w:pPr>
                  <w:r>
                    <w:rPr>
                      <w:bCs/>
                      <w:szCs w:val="24"/>
                    </w:rPr>
                    <w:t>16.9.</w:t>
                  </w:r>
                  <w:r w:rsidR="000730F3">
                    <w:rPr>
                      <w:bCs/>
                      <w:szCs w:val="24"/>
                    </w:rPr>
                    <w:t>1</w:t>
                  </w:r>
                  <w:r>
                    <w:rPr>
                      <w:bCs/>
                      <w:szCs w:val="24"/>
                    </w:rPr>
                    <w:t>.</w:t>
                  </w:r>
                </w:p>
              </w:tc>
              <w:tc>
                <w:tcPr>
                  <w:tcW w:w="2546" w:type="dxa"/>
                </w:tcPr>
                <w:p w14:paraId="5123B67A" w14:textId="77777777" w:rsidR="00B315E0" w:rsidRDefault="00B315E0" w:rsidP="00B315E0">
                  <w:pPr>
                    <w:jc w:val="both"/>
                    <w:rPr>
                      <w:szCs w:val="24"/>
                      <w:lang w:eastAsia="lt-LT"/>
                    </w:rPr>
                  </w:pPr>
                  <w:r>
                    <w:rPr>
                      <w:szCs w:val="24"/>
                      <w:lang w:eastAsia="lt-LT"/>
                    </w:rPr>
                    <w:t>Įranga, įrenginiai ir kitas turtas</w:t>
                  </w:r>
                </w:p>
              </w:tc>
              <w:tc>
                <w:tcPr>
                  <w:tcW w:w="10908" w:type="dxa"/>
                </w:tcPr>
                <w:p w14:paraId="621C5330" w14:textId="77777777" w:rsidR="00B315E0" w:rsidRDefault="00B315E0" w:rsidP="00B315E0">
                  <w:pPr>
                    <w:jc w:val="both"/>
                    <w:rPr>
                      <w:bCs/>
                      <w:szCs w:val="24"/>
                    </w:rPr>
                  </w:pPr>
                  <w:r>
                    <w:rPr>
                      <w:szCs w:val="24"/>
                    </w:rPr>
                    <w:t>Šios kategorijos išlaidos įtrauktos į išlaidų kategoriją „</w:t>
                  </w:r>
                  <w:r>
                    <w:rPr>
                      <w:szCs w:val="24"/>
                      <w:lang w:eastAsia="lt-LT"/>
                    </w:rPr>
                    <w:t>Netiesioginės išlaidos ir kitos išlaidos pagal fiksuotąją projekto išlaidų normą“</w:t>
                  </w:r>
                  <w:r>
                    <w:rPr>
                      <w:szCs w:val="24"/>
                    </w:rPr>
                    <w:t>.</w:t>
                  </w:r>
                </w:p>
              </w:tc>
            </w:tr>
            <w:tr w:rsidR="00B315E0" w14:paraId="393C4317" w14:textId="77777777" w:rsidTr="000730F3">
              <w:tc>
                <w:tcPr>
                  <w:tcW w:w="880" w:type="dxa"/>
                </w:tcPr>
                <w:p w14:paraId="4ED5424B" w14:textId="7A7545D3" w:rsidR="00B315E0" w:rsidRDefault="000730F3" w:rsidP="00B315E0">
                  <w:pPr>
                    <w:jc w:val="both"/>
                    <w:rPr>
                      <w:bCs/>
                      <w:szCs w:val="24"/>
                    </w:rPr>
                  </w:pPr>
                  <w:r>
                    <w:rPr>
                      <w:bCs/>
                      <w:szCs w:val="24"/>
                    </w:rPr>
                    <w:t>16</w:t>
                  </w:r>
                  <w:r w:rsidR="00B315E0">
                    <w:rPr>
                      <w:bCs/>
                      <w:szCs w:val="24"/>
                    </w:rPr>
                    <w:t>.9.2.</w:t>
                  </w:r>
                </w:p>
              </w:tc>
              <w:tc>
                <w:tcPr>
                  <w:tcW w:w="2546" w:type="dxa"/>
                </w:tcPr>
                <w:p w14:paraId="665D17FA" w14:textId="77777777" w:rsidR="00B315E0" w:rsidRDefault="00B315E0" w:rsidP="00B315E0">
                  <w:pPr>
                    <w:jc w:val="both"/>
                    <w:rPr>
                      <w:szCs w:val="24"/>
                      <w:lang w:eastAsia="lt-LT"/>
                    </w:rPr>
                  </w:pPr>
                  <w:r>
                    <w:rPr>
                      <w:szCs w:val="24"/>
                      <w:lang w:eastAsia="lt-LT"/>
                    </w:rPr>
                    <w:t xml:space="preserve">Projekto vykdymas </w:t>
                  </w:r>
                </w:p>
              </w:tc>
              <w:tc>
                <w:tcPr>
                  <w:tcW w:w="10908" w:type="dxa"/>
                </w:tcPr>
                <w:p w14:paraId="1C6DBEC5" w14:textId="77777777" w:rsidR="00B315E0" w:rsidRDefault="00B315E0" w:rsidP="00B315E0">
                  <w:pPr>
                    <w:jc w:val="both"/>
                    <w:rPr>
                      <w:bCs/>
                      <w:szCs w:val="24"/>
                    </w:rPr>
                  </w:pPr>
                  <w:r>
                    <w:rPr>
                      <w:color w:val="000000"/>
                      <w:shd w:val="clear" w:color="auto" w:fill="FFFFFF"/>
                    </w:rPr>
                    <w:t>Projektą vykdančio personalo (mokslo ir inovacijų patarėjų tinklo vadovo, mokslo ir inovacijų patarėjų, NCP, ir kitų pareigybių, būtinų </w:t>
                  </w:r>
                  <w:r>
                    <w:rPr>
                      <w:color w:val="000000"/>
                    </w:rPr>
                    <w:t>nacionalinių kontaktinių asmenų tinklo</w:t>
                  </w:r>
                  <w:r>
                    <w:rPr>
                      <w:color w:val="000000"/>
                      <w:shd w:val="clear" w:color="auto" w:fill="FFFFFF"/>
                    </w:rPr>
                    <w:t> bei </w:t>
                  </w:r>
                  <w:r>
                    <w:rPr>
                      <w:color w:val="000000"/>
                    </w:rPr>
                    <w:t>Mokslo ir inovacijų patarėjų tinklo sukūrimui</w:t>
                  </w:r>
                  <w:r>
                    <w:rPr>
                      <w:color w:val="000000"/>
                      <w:shd w:val="clear" w:color="auto" w:fill="FFFFFF"/>
                    </w:rPr>
                    <w:t>), darbo užmokesčio ir susijusių darbdavio įsipareigojimų vykdymo išlaidos.</w:t>
                  </w:r>
                </w:p>
              </w:tc>
            </w:tr>
            <w:tr w:rsidR="00B315E0" w14:paraId="6CAEA19A" w14:textId="77777777" w:rsidTr="000730F3">
              <w:tc>
                <w:tcPr>
                  <w:tcW w:w="880" w:type="dxa"/>
                </w:tcPr>
                <w:p w14:paraId="57E693AF" w14:textId="7D39F5CC" w:rsidR="00B315E0" w:rsidRDefault="007A620C" w:rsidP="00B315E0">
                  <w:pPr>
                    <w:jc w:val="both"/>
                    <w:rPr>
                      <w:bCs/>
                      <w:szCs w:val="24"/>
                    </w:rPr>
                  </w:pPr>
                  <w:r>
                    <w:rPr>
                      <w:bCs/>
                      <w:szCs w:val="24"/>
                    </w:rPr>
                    <w:t>16</w:t>
                  </w:r>
                  <w:r w:rsidR="00B315E0">
                    <w:rPr>
                      <w:bCs/>
                      <w:szCs w:val="24"/>
                    </w:rPr>
                    <w:t>.9.3.</w:t>
                  </w:r>
                </w:p>
              </w:tc>
              <w:tc>
                <w:tcPr>
                  <w:tcW w:w="2546" w:type="dxa"/>
                </w:tcPr>
                <w:p w14:paraId="43BC819B" w14:textId="77777777" w:rsidR="00B315E0" w:rsidRDefault="00B315E0" w:rsidP="00B315E0">
                  <w:pPr>
                    <w:jc w:val="both"/>
                    <w:rPr>
                      <w:szCs w:val="24"/>
                      <w:lang w:eastAsia="lt-LT"/>
                    </w:rPr>
                  </w:pPr>
                  <w:r>
                    <w:rPr>
                      <w:szCs w:val="24"/>
                      <w:lang w:eastAsia="lt-LT"/>
                    </w:rPr>
                    <w:t>Informavimas apie projektą</w:t>
                  </w:r>
                </w:p>
              </w:tc>
              <w:tc>
                <w:tcPr>
                  <w:tcW w:w="10908" w:type="dxa"/>
                </w:tcPr>
                <w:p w14:paraId="31C4F9C4" w14:textId="77777777" w:rsidR="00B315E0" w:rsidRDefault="00B315E0" w:rsidP="00B315E0">
                  <w:pPr>
                    <w:jc w:val="both"/>
                    <w:rPr>
                      <w:bCs/>
                      <w:szCs w:val="24"/>
                    </w:rPr>
                  </w:pPr>
                  <w:r>
                    <w:rPr>
                      <w:szCs w:val="24"/>
                    </w:rPr>
                    <w:t>Šios kategorijos išlaidos įtrauktos į išlaidų kategoriją „</w:t>
                  </w:r>
                  <w:r>
                    <w:rPr>
                      <w:szCs w:val="24"/>
                      <w:lang w:eastAsia="lt-LT"/>
                    </w:rPr>
                    <w:t>Netiesioginės išlaidos ir kitos išlaidos pagal fiksuotąją projekto išlaidų normą“.</w:t>
                  </w:r>
                </w:p>
              </w:tc>
            </w:tr>
            <w:tr w:rsidR="00B315E0" w14:paraId="219BD6C0" w14:textId="77777777" w:rsidTr="000730F3">
              <w:tc>
                <w:tcPr>
                  <w:tcW w:w="880" w:type="dxa"/>
                </w:tcPr>
                <w:p w14:paraId="027A8324" w14:textId="41C8845A" w:rsidR="00B315E0" w:rsidRDefault="00B2712B" w:rsidP="00B315E0">
                  <w:pPr>
                    <w:jc w:val="both"/>
                    <w:rPr>
                      <w:bCs/>
                      <w:szCs w:val="24"/>
                    </w:rPr>
                  </w:pPr>
                  <w:r>
                    <w:rPr>
                      <w:bCs/>
                      <w:szCs w:val="24"/>
                    </w:rPr>
                    <w:t>16</w:t>
                  </w:r>
                  <w:r w:rsidR="00B315E0">
                    <w:rPr>
                      <w:bCs/>
                      <w:szCs w:val="24"/>
                    </w:rPr>
                    <w:t>.9.4.</w:t>
                  </w:r>
                </w:p>
              </w:tc>
              <w:tc>
                <w:tcPr>
                  <w:tcW w:w="2546" w:type="dxa"/>
                </w:tcPr>
                <w:p w14:paraId="3105A8A9" w14:textId="77777777" w:rsidR="00B315E0" w:rsidRDefault="00B315E0" w:rsidP="00B315E0">
                  <w:pPr>
                    <w:jc w:val="both"/>
                    <w:rPr>
                      <w:szCs w:val="24"/>
                      <w:lang w:eastAsia="lt-LT"/>
                    </w:rPr>
                  </w:pPr>
                  <w:r>
                    <w:rPr>
                      <w:szCs w:val="24"/>
                      <w:lang w:eastAsia="lt-LT"/>
                    </w:rPr>
                    <w:t>Netiesioginės išlaidos ir kitos išlaidos pagal fiksuotąją projekto išlaidų normą</w:t>
                  </w:r>
                </w:p>
              </w:tc>
              <w:tc>
                <w:tcPr>
                  <w:tcW w:w="10908" w:type="dxa"/>
                </w:tcPr>
                <w:p w14:paraId="41243829" w14:textId="2CC1A995" w:rsidR="00B315E0" w:rsidRDefault="00B315E0" w:rsidP="00B315E0">
                  <w:pPr>
                    <w:jc w:val="both"/>
                    <w:rPr>
                      <w:color w:val="000000"/>
                      <w:szCs w:val="24"/>
                      <w:shd w:val="clear" w:color="auto" w:fill="FFFFFF"/>
                    </w:rPr>
                  </w:pPr>
                  <w:r>
                    <w:rPr>
                      <w:szCs w:val="24"/>
                      <w:shd w:val="clear" w:color="auto" w:fill="FFFFFF"/>
                    </w:rPr>
                    <w:t>Išlaidos apmokamos pagal fiksuotąją normą (Aprašo 1</w:t>
                  </w:r>
                  <w:r w:rsidR="00DB4F5F">
                    <w:rPr>
                      <w:szCs w:val="24"/>
                      <w:shd w:val="clear" w:color="auto" w:fill="FFFFFF"/>
                    </w:rPr>
                    <w:t>7</w:t>
                  </w:r>
                  <w:r>
                    <w:rPr>
                      <w:szCs w:val="24"/>
                      <w:shd w:val="clear" w:color="auto" w:fill="FFFFFF"/>
                    </w:rPr>
                    <w:t>.2 papunktis). Šias išlaidas sudaro</w:t>
                  </w:r>
                  <w:r>
                    <w:rPr>
                      <w:color w:val="000000"/>
                      <w:szCs w:val="24"/>
                      <w:shd w:val="clear" w:color="auto" w:fill="FFFFFF"/>
                    </w:rPr>
                    <w:t>:</w:t>
                  </w:r>
                </w:p>
                <w:p w14:paraId="258B426E" w14:textId="77777777" w:rsidR="00B315E0" w:rsidRDefault="00B315E0" w:rsidP="00B315E0">
                  <w:pPr>
                    <w:shd w:val="clear" w:color="auto" w:fill="FFFFFF"/>
                    <w:ind w:left="342" w:hanging="360"/>
                    <w:rPr>
                      <w:color w:val="000000"/>
                      <w:szCs w:val="24"/>
                      <w:lang w:eastAsia="lt-LT"/>
                    </w:rPr>
                  </w:pPr>
                  <w:r>
                    <w:rPr>
                      <w:color w:val="000000"/>
                      <w:szCs w:val="24"/>
                      <w:lang w:eastAsia="lt-LT"/>
                    </w:rPr>
                    <w:t>1) projektą vykdančio personalo komandiruočių ar stažuočių / kompetencijos kėlimo išlaidos;</w:t>
                  </w:r>
                </w:p>
                <w:p w14:paraId="6A803F04" w14:textId="77777777" w:rsidR="00B315E0" w:rsidRDefault="00B315E0" w:rsidP="00B315E0">
                  <w:pPr>
                    <w:shd w:val="clear" w:color="auto" w:fill="FFFFFF"/>
                    <w:ind w:left="342" w:hanging="360"/>
                    <w:rPr>
                      <w:color w:val="000000"/>
                      <w:szCs w:val="24"/>
                      <w:lang w:eastAsia="lt-LT"/>
                    </w:rPr>
                  </w:pPr>
                  <w:r>
                    <w:rPr>
                      <w:color w:val="000000"/>
                      <w:szCs w:val="24"/>
                      <w:lang w:eastAsia="lt-LT"/>
                    </w:rPr>
                    <w:t>2) išlaidos paslaugoms;</w:t>
                  </w:r>
                </w:p>
                <w:p w14:paraId="54FE5A1D" w14:textId="77777777" w:rsidR="00B315E0" w:rsidRDefault="00B315E0" w:rsidP="00B315E0">
                  <w:pPr>
                    <w:shd w:val="clear" w:color="auto" w:fill="FFFFFF"/>
                    <w:ind w:left="342" w:hanging="360"/>
                    <w:rPr>
                      <w:color w:val="000000"/>
                      <w:szCs w:val="24"/>
                      <w:lang w:eastAsia="lt-LT"/>
                    </w:rPr>
                  </w:pPr>
                  <w:r>
                    <w:rPr>
                      <w:color w:val="000000"/>
                      <w:szCs w:val="24"/>
                      <w:lang w:eastAsia="lt-LT"/>
                    </w:rPr>
                    <w:t>3) ilgalaikio ir trumpalaikio turto įsigijimo, nuomos ir lizingo (finansinės nuomos) išlaidos;</w:t>
                  </w:r>
                </w:p>
                <w:p w14:paraId="3CD3E653" w14:textId="77777777" w:rsidR="00B315E0" w:rsidRDefault="00B315E0" w:rsidP="00B315E0">
                  <w:pPr>
                    <w:shd w:val="clear" w:color="auto" w:fill="FFFFFF"/>
                    <w:ind w:left="342" w:hanging="360"/>
                    <w:rPr>
                      <w:color w:val="000000"/>
                      <w:szCs w:val="24"/>
                      <w:lang w:eastAsia="lt-LT"/>
                    </w:rPr>
                  </w:pPr>
                  <w:r>
                    <w:rPr>
                      <w:color w:val="000000"/>
                      <w:szCs w:val="24"/>
                      <w:lang w:eastAsia="lt-LT"/>
                    </w:rPr>
                    <w:t>4) informavimo apie projektą išlaidos. Tinkamos finansuoti projektų matomumo ir informavimo apie projektus priemonės pagal Projektų administravimo ir finansavimo taisyklių 341.1–341.4 papunkčius;</w:t>
                  </w:r>
                </w:p>
                <w:p w14:paraId="2837C530" w14:textId="77777777" w:rsidR="00B315E0" w:rsidRDefault="00B315E0" w:rsidP="00B315E0">
                  <w:pPr>
                    <w:shd w:val="clear" w:color="auto" w:fill="FFFFFF"/>
                    <w:ind w:left="342" w:hanging="360"/>
                    <w:rPr>
                      <w:color w:val="000000"/>
                      <w:szCs w:val="24"/>
                      <w:lang w:eastAsia="lt-LT"/>
                    </w:rPr>
                  </w:pPr>
                  <w:r>
                    <w:rPr>
                      <w:color w:val="000000"/>
                      <w:szCs w:val="24"/>
                      <w:lang w:eastAsia="lt-LT"/>
                    </w:rPr>
                    <w:t>5) kitos projekto tikslams pasiekti būtinos išlaidos;</w:t>
                  </w:r>
                </w:p>
                <w:p w14:paraId="7E947D67" w14:textId="77777777" w:rsidR="00B315E0" w:rsidRDefault="00B315E0" w:rsidP="00B315E0">
                  <w:pPr>
                    <w:shd w:val="clear" w:color="auto" w:fill="FFFFFF"/>
                    <w:ind w:left="342" w:hanging="360"/>
                    <w:rPr>
                      <w:bCs/>
                      <w:szCs w:val="24"/>
                    </w:rPr>
                  </w:pPr>
                  <w:r>
                    <w:rPr>
                      <w:color w:val="000000"/>
                      <w:szCs w:val="24"/>
                      <w:lang w:eastAsia="lt-LT"/>
                    </w:rPr>
                    <w:t>6) netiesioginės projekto išlaidos (projekto administravimo ir susijusios išlaidos).</w:t>
                  </w:r>
                </w:p>
              </w:tc>
            </w:tr>
          </w:tbl>
          <w:p w14:paraId="6E17C97C" w14:textId="65B18745" w:rsidR="00F4662F" w:rsidRPr="009D5352" w:rsidRDefault="00F4662F">
            <w:pPr>
              <w:suppressAutoHyphens/>
              <w:jc w:val="both"/>
              <w:rPr>
                <w:szCs w:val="24"/>
              </w:rPr>
            </w:pPr>
          </w:p>
        </w:tc>
      </w:tr>
    </w:tbl>
    <w:p w14:paraId="18446E87" w14:textId="77777777" w:rsidR="00F4662F" w:rsidRDefault="00F4662F">
      <w:pPr>
        <w:suppressAutoHyphens/>
        <w:jc w:val="center"/>
        <w:rPr>
          <w:b/>
          <w:szCs w:val="24"/>
        </w:rPr>
      </w:pPr>
    </w:p>
    <w:p w14:paraId="1AE43557" w14:textId="77777777" w:rsidR="00D01791" w:rsidRPr="009D5352" w:rsidRDefault="00D01791">
      <w:pPr>
        <w:suppressAutoHyphens/>
        <w:jc w:val="center"/>
        <w:rPr>
          <w:b/>
          <w:szCs w:val="24"/>
        </w:rPr>
      </w:pPr>
    </w:p>
    <w:p w14:paraId="1450DEC1" w14:textId="77777777" w:rsidR="00F4662F" w:rsidRPr="009D5352" w:rsidRDefault="00244911">
      <w:pPr>
        <w:suppressAutoHyphens/>
        <w:jc w:val="center"/>
        <w:rPr>
          <w:b/>
          <w:szCs w:val="24"/>
        </w:rPr>
      </w:pPr>
      <w:r w:rsidRPr="009D5352">
        <w:rPr>
          <w:b/>
          <w:szCs w:val="24"/>
        </w:rPr>
        <w:lastRenderedPageBreak/>
        <w:t>IV SKYRIUS</w:t>
      </w:r>
    </w:p>
    <w:p w14:paraId="7D7E3DF1" w14:textId="77777777" w:rsidR="00F4662F" w:rsidRPr="009D5352" w:rsidRDefault="00244911">
      <w:pPr>
        <w:suppressAutoHyphens/>
        <w:jc w:val="center"/>
        <w:rPr>
          <w:b/>
          <w:szCs w:val="24"/>
        </w:rPr>
      </w:pPr>
      <w:r w:rsidRPr="009D5352">
        <w:rPr>
          <w:b/>
          <w:szCs w:val="24"/>
        </w:rPr>
        <w:t>SUPAPRASTINTAI APMOKAMŲ IŠLAIDŲ DYDŽIAI</w:t>
      </w:r>
    </w:p>
    <w:p w14:paraId="6F1B50B7" w14:textId="77777777" w:rsidR="00F4662F" w:rsidRPr="009D5352" w:rsidRDefault="00F4662F"/>
    <w:tbl>
      <w:tblPr>
        <w:tblW w:w="15134" w:type="dxa"/>
        <w:tblCellMar>
          <w:left w:w="10" w:type="dxa"/>
          <w:right w:w="10" w:type="dxa"/>
        </w:tblCellMar>
        <w:tblLook w:val="04A0" w:firstRow="1" w:lastRow="0" w:firstColumn="1" w:lastColumn="0" w:noHBand="0" w:noVBand="1"/>
      </w:tblPr>
      <w:tblGrid>
        <w:gridCol w:w="15134"/>
      </w:tblGrid>
      <w:tr w:rsidR="00F4662F" w:rsidRPr="009D5352" w14:paraId="0F0F9AF2" w14:textId="77777777">
        <w:trPr>
          <w:trHeight w:val="349"/>
        </w:trPr>
        <w:tc>
          <w:tcPr>
            <w:tcW w:w="15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47A97" w14:textId="77777777" w:rsidR="00F4662F" w:rsidRPr="009D5352" w:rsidRDefault="00244911">
            <w:pPr>
              <w:suppressAutoHyphens/>
              <w:jc w:val="both"/>
            </w:pPr>
            <w:r w:rsidRPr="009D5352">
              <w:rPr>
                <w:b/>
                <w:szCs w:val="24"/>
              </w:rPr>
              <w:t>17. Projektų veiklų ir jungtinio projekto projektų įgyvendinimui taikomi supaprastintai apmokamų išlaidų dydžiai</w:t>
            </w:r>
          </w:p>
        </w:tc>
      </w:tr>
      <w:tr w:rsidR="00F4662F" w:rsidRPr="009D5352" w14:paraId="72A82D6A" w14:textId="77777777">
        <w:tc>
          <w:tcPr>
            <w:tcW w:w="15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E23E82" w14:paraId="09B1F366" w14:textId="77777777" w:rsidTr="005133B3">
              <w:tc>
                <w:tcPr>
                  <w:tcW w:w="14449" w:type="dxa"/>
                  <w:gridSpan w:val="5"/>
                  <w:tcBorders>
                    <w:top w:val="single" w:sz="8" w:space="0" w:color="auto"/>
                    <w:left w:val="single" w:sz="8" w:space="0" w:color="auto"/>
                    <w:bottom w:val="single" w:sz="8" w:space="0" w:color="auto"/>
                    <w:right w:val="single" w:sz="8" w:space="0" w:color="auto"/>
                  </w:tcBorders>
                </w:tcPr>
                <w:p w14:paraId="6A54DB76" w14:textId="77777777" w:rsidR="00E23E82" w:rsidRDefault="00E23E82" w:rsidP="00E23E82">
                  <w:pPr>
                    <w:rPr>
                      <w:b/>
                      <w:bCs/>
                      <w:sz w:val="22"/>
                      <w:szCs w:val="22"/>
                    </w:rPr>
                  </w:pPr>
                  <w:r>
                    <w:rPr>
                      <w:rFonts w:ascii="MS Gothic" w:eastAsia="MS Gothic" w:hAnsi="MS Gothic"/>
                      <w:b/>
                      <w:bCs/>
                      <w:sz w:val="22"/>
                      <w:szCs w:val="22"/>
                    </w:rPr>
                    <w:t>☒</w:t>
                  </w:r>
                  <w:r>
                    <w:rPr>
                      <w:b/>
                      <w:bCs/>
                      <w:sz w:val="22"/>
                      <w:szCs w:val="22"/>
                    </w:rPr>
                    <w:t xml:space="preserve"> Indeksuojama</w:t>
                  </w:r>
                </w:p>
                <w:p w14:paraId="547438C0" w14:textId="77777777" w:rsidR="00E23E82" w:rsidRDefault="00E23E82" w:rsidP="00E23E82">
                  <w:pPr>
                    <w:rPr>
                      <w:b/>
                      <w:bCs/>
                      <w:sz w:val="22"/>
                      <w:szCs w:val="22"/>
                    </w:rPr>
                  </w:pPr>
                  <w:r>
                    <w:rPr>
                      <w:rFonts w:ascii="MS Gothic" w:eastAsia="MS Gothic" w:hAnsi="MS Gothic"/>
                      <w:b/>
                      <w:bCs/>
                      <w:sz w:val="22"/>
                      <w:szCs w:val="22"/>
                    </w:rPr>
                    <w:t>☐</w:t>
                  </w:r>
                  <w:r>
                    <w:rPr>
                      <w:b/>
                      <w:bCs/>
                      <w:sz w:val="22"/>
                      <w:szCs w:val="22"/>
                    </w:rPr>
                    <w:t xml:space="preserve"> Neindeksuojama</w:t>
                  </w:r>
                </w:p>
              </w:tc>
            </w:tr>
            <w:tr w:rsidR="00E23E82" w14:paraId="404ABD37" w14:textId="77777777" w:rsidTr="005133B3">
              <w:tc>
                <w:tcPr>
                  <w:tcW w:w="2889" w:type="dxa"/>
                  <w:tcBorders>
                    <w:top w:val="single" w:sz="8" w:space="0" w:color="auto"/>
                    <w:left w:val="single" w:sz="8" w:space="0" w:color="auto"/>
                    <w:bottom w:val="single" w:sz="8" w:space="0" w:color="auto"/>
                    <w:right w:val="single" w:sz="8" w:space="0" w:color="auto"/>
                  </w:tcBorders>
                  <w:vAlign w:val="center"/>
                </w:tcPr>
                <w:p w14:paraId="0AD334C6" w14:textId="77777777" w:rsidR="00E23E82" w:rsidRDefault="00E23E82" w:rsidP="00E23E82">
                  <w:pPr>
                    <w:jc w:val="center"/>
                    <w:rPr>
                      <w:b/>
                      <w:bCs/>
                      <w:sz w:val="22"/>
                      <w:szCs w:val="22"/>
                    </w:rPr>
                  </w:pPr>
                  <w:r>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639C438E" w14:textId="77777777" w:rsidR="00E23E82" w:rsidRDefault="00E23E82" w:rsidP="00E23E82">
                  <w:pPr>
                    <w:jc w:val="center"/>
                    <w:rPr>
                      <w:b/>
                      <w:bCs/>
                      <w:sz w:val="22"/>
                      <w:szCs w:val="22"/>
                    </w:rPr>
                  </w:pPr>
                  <w:r>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CD87E31" w14:textId="77777777" w:rsidR="00E23E82" w:rsidRDefault="00E23E82" w:rsidP="00E23E82">
                  <w:pPr>
                    <w:jc w:val="center"/>
                    <w:rPr>
                      <w:b/>
                      <w:bCs/>
                      <w:i/>
                      <w:iCs/>
                      <w:color w:val="808080"/>
                      <w:sz w:val="22"/>
                      <w:szCs w:val="22"/>
                    </w:rPr>
                  </w:pPr>
                  <w:r>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186E1550" w14:textId="77777777" w:rsidR="00E23E82" w:rsidRDefault="00E23E82" w:rsidP="00E23E82">
                  <w:pPr>
                    <w:jc w:val="center"/>
                    <w:rPr>
                      <w:b/>
                      <w:bCs/>
                      <w:sz w:val="22"/>
                      <w:szCs w:val="22"/>
                    </w:rPr>
                  </w:pPr>
                  <w:r>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52346D1C" w14:textId="77777777" w:rsidR="00E23E82" w:rsidRDefault="00E23E82" w:rsidP="00E23E82">
                  <w:pPr>
                    <w:jc w:val="center"/>
                    <w:rPr>
                      <w:b/>
                      <w:bCs/>
                      <w:sz w:val="22"/>
                      <w:szCs w:val="22"/>
                    </w:rPr>
                  </w:pPr>
                  <w:r>
                    <w:rPr>
                      <w:b/>
                      <w:bCs/>
                      <w:sz w:val="22"/>
                      <w:szCs w:val="22"/>
                    </w:rPr>
                    <w:t>Papildoma informacija</w:t>
                  </w:r>
                </w:p>
              </w:tc>
            </w:tr>
            <w:tr w:rsidR="00E23E82" w14:paraId="75FAF391" w14:textId="77777777" w:rsidTr="005133B3">
              <w:tc>
                <w:tcPr>
                  <w:tcW w:w="2889" w:type="dxa"/>
                  <w:tcBorders>
                    <w:top w:val="single" w:sz="8" w:space="0" w:color="auto"/>
                    <w:left w:val="single" w:sz="8" w:space="0" w:color="auto"/>
                    <w:bottom w:val="single" w:sz="8" w:space="0" w:color="auto"/>
                    <w:right w:val="single" w:sz="8" w:space="0" w:color="auto"/>
                  </w:tcBorders>
                </w:tcPr>
                <w:p w14:paraId="0E49ABFE" w14:textId="2A82938F" w:rsidR="00E23E82" w:rsidRDefault="00E23E82" w:rsidP="00E23E82">
                  <w:pPr>
                    <w:rPr>
                      <w:szCs w:val="24"/>
                    </w:rPr>
                  </w:pPr>
                  <w:r>
                    <w:rPr>
                      <w:szCs w:val="24"/>
                    </w:rPr>
                    <w:t>1</w:t>
                  </w:r>
                  <w:r w:rsidR="003F6C60">
                    <w:rPr>
                      <w:szCs w:val="24"/>
                    </w:rPr>
                    <w:t>7</w:t>
                  </w:r>
                  <w:r>
                    <w:rPr>
                      <w:szCs w:val="24"/>
                    </w:rPr>
                    <w:t>. 1. Projektą vykdančio personalo darbo užmokesčio išlaidų dalis per mėnesį, skirta kasmetinėms atostogoms, kuri apskaičiuojama nuo tinkamų finansuoti faktiškai patirtų darbo užmokesčio išlaidų už faktiškai dirbtą laiką</w:t>
                  </w:r>
                </w:p>
                <w:p w14:paraId="3B57EDEA" w14:textId="5C006778" w:rsidR="00BF6CA5" w:rsidRDefault="00BF6CA5" w:rsidP="00E23E82">
                  <w:pPr>
                    <w:rPr>
                      <w:szCs w:val="24"/>
                    </w:rPr>
                  </w:pPr>
                </w:p>
              </w:tc>
              <w:tc>
                <w:tcPr>
                  <w:tcW w:w="2890" w:type="dxa"/>
                  <w:tcBorders>
                    <w:top w:val="single" w:sz="8" w:space="0" w:color="auto"/>
                    <w:left w:val="single" w:sz="8" w:space="0" w:color="auto"/>
                    <w:bottom w:val="single" w:sz="8" w:space="0" w:color="auto"/>
                    <w:right w:val="single" w:sz="8" w:space="0" w:color="auto"/>
                  </w:tcBorders>
                </w:tcPr>
                <w:p w14:paraId="374EFE27" w14:textId="77777777" w:rsidR="00E23E82" w:rsidRDefault="00E23E82" w:rsidP="00E23E82">
                  <w:pPr>
                    <w:jc w:val="center"/>
                  </w:pPr>
                  <w:r>
                    <w:t>1) FN-05-01;</w:t>
                  </w:r>
                </w:p>
                <w:p w14:paraId="6C78F755" w14:textId="77777777" w:rsidR="00E23E82" w:rsidRDefault="00E23E82" w:rsidP="00E23E82">
                  <w:pPr>
                    <w:jc w:val="center"/>
                  </w:pPr>
                  <w:r>
                    <w:t>2) FN-05-02;</w:t>
                  </w:r>
                </w:p>
                <w:p w14:paraId="77B5578F" w14:textId="77777777" w:rsidR="00E23E82" w:rsidRDefault="00E23E82" w:rsidP="00E23E82">
                  <w:pPr>
                    <w:jc w:val="center"/>
                  </w:pPr>
                  <w:r>
                    <w:t>3) FN-05-03;</w:t>
                  </w:r>
                </w:p>
                <w:p w14:paraId="02ED0782" w14:textId="77777777" w:rsidR="00E23E82" w:rsidRDefault="00E23E82" w:rsidP="00E23E82">
                  <w:pPr>
                    <w:jc w:val="center"/>
                  </w:pPr>
                  <w:r>
                    <w:t>4) FN-05-04;</w:t>
                  </w:r>
                </w:p>
                <w:p w14:paraId="5A45B1C2" w14:textId="77777777" w:rsidR="00E23E82" w:rsidRDefault="00E23E82" w:rsidP="00E23E82">
                  <w:pPr>
                    <w:jc w:val="center"/>
                  </w:pPr>
                  <w:r>
                    <w:t>5) FN-05-05;</w:t>
                  </w:r>
                </w:p>
                <w:p w14:paraId="3EC14DC6" w14:textId="77777777" w:rsidR="00E23E82" w:rsidRDefault="00E23E82" w:rsidP="00E23E82">
                  <w:pPr>
                    <w:jc w:val="center"/>
                  </w:pPr>
                  <w:r>
                    <w:t>6) FN-05-06;</w:t>
                  </w:r>
                </w:p>
                <w:p w14:paraId="18D17DCC" w14:textId="4006DAD5" w:rsidR="00E23E82" w:rsidRDefault="00E23E82" w:rsidP="00E23E82">
                  <w:pPr>
                    <w:jc w:val="center"/>
                  </w:pPr>
                  <w:r>
                    <w:t>7) FN-05-07</w:t>
                  </w:r>
                  <w:r w:rsidR="00BF6CA5">
                    <w:t>.</w:t>
                  </w:r>
                </w:p>
              </w:tc>
              <w:tc>
                <w:tcPr>
                  <w:tcW w:w="2890" w:type="dxa"/>
                  <w:tcBorders>
                    <w:top w:val="single" w:sz="8" w:space="0" w:color="auto"/>
                    <w:left w:val="single" w:sz="8" w:space="0" w:color="auto"/>
                    <w:bottom w:val="single" w:sz="8" w:space="0" w:color="auto"/>
                    <w:right w:val="single" w:sz="8" w:space="0" w:color="auto"/>
                  </w:tcBorders>
                </w:tcPr>
                <w:p w14:paraId="37D3BEEC" w14:textId="77777777" w:rsidR="00E23E82" w:rsidRDefault="00E23E82" w:rsidP="00E23E82">
                  <w:pPr>
                    <w:jc w:val="center"/>
                    <w:rPr>
                      <w:szCs w:val="24"/>
                    </w:rPr>
                  </w:pPr>
                  <w:r>
                    <w:rPr>
                      <w:bCs/>
                      <w:szCs w:val="24"/>
                    </w:rPr>
                    <w:t>-</w:t>
                  </w:r>
                </w:p>
              </w:tc>
              <w:tc>
                <w:tcPr>
                  <w:tcW w:w="2890" w:type="dxa"/>
                  <w:tcBorders>
                    <w:top w:val="single" w:sz="8" w:space="0" w:color="auto"/>
                    <w:left w:val="single" w:sz="8" w:space="0" w:color="auto"/>
                    <w:bottom w:val="single" w:sz="8" w:space="0" w:color="auto"/>
                    <w:right w:val="single" w:sz="8" w:space="0" w:color="auto"/>
                  </w:tcBorders>
                </w:tcPr>
                <w:p w14:paraId="515025F8" w14:textId="77777777" w:rsidR="00E23E82" w:rsidRDefault="00E23E82" w:rsidP="00E23E82">
                  <w:pPr>
                    <w:rPr>
                      <w:szCs w:val="24"/>
                    </w:rPr>
                  </w:pPr>
                  <w:r>
                    <w:rPr>
                      <w:szCs w:val="24"/>
                    </w:rPr>
                    <w:t>1) Fiksuotoji norma, taikoma, kai priklauso 20 d. d. (jeigu dirbama 5 d. d. per savaitę) arba 24 d. d. (jeigu dirbama 6 d. d. per savaitę) kasmetinių atostogų;</w:t>
                  </w:r>
                </w:p>
                <w:p w14:paraId="0ACD8AD1" w14:textId="77777777" w:rsidR="00E23E82" w:rsidRDefault="00E23E82" w:rsidP="00E23E82">
                  <w:pPr>
                    <w:rPr>
                      <w:szCs w:val="24"/>
                    </w:rPr>
                  </w:pPr>
                  <w:r>
                    <w:rPr>
                      <w:szCs w:val="24"/>
                    </w:rPr>
                    <w:t>2) Fiksuotoji norma, taikoma, kai priklauso nuo 21 iki 25 d. d. (jeigu dirbama 5 d. d. per savaitę) arba nuo 25 iki 30 d. d. (jeigu dirbama 6 d. d. per savaitę) kasmetinių atostogų;</w:t>
                  </w:r>
                </w:p>
                <w:p w14:paraId="0A5320BD" w14:textId="77777777" w:rsidR="00E23E82" w:rsidRDefault="00E23E82" w:rsidP="00E23E82">
                  <w:pPr>
                    <w:rPr>
                      <w:szCs w:val="24"/>
                    </w:rPr>
                  </w:pPr>
                  <w:r>
                    <w:rPr>
                      <w:szCs w:val="24"/>
                    </w:rPr>
                    <w:t>3) Fiksuotoji norma, taikoma, kai priklauso nuo 26 iki 30 d. d. (jeigu dirbama 5 d. d. per savaitę) arba nuo 31 iki 36 d. d. (jeigu dirbama 6 d. d. per savaitę) kasmetinių atostogų;</w:t>
                  </w:r>
                </w:p>
                <w:p w14:paraId="321B979A" w14:textId="77777777" w:rsidR="00E23E82" w:rsidRDefault="00E23E82" w:rsidP="00E23E82">
                  <w:pPr>
                    <w:rPr>
                      <w:szCs w:val="24"/>
                    </w:rPr>
                  </w:pPr>
                  <w:r>
                    <w:rPr>
                      <w:szCs w:val="24"/>
                    </w:rPr>
                    <w:lastRenderedPageBreak/>
                    <w:t>4) Fiksuotoji norma, taikoma, kai priklauso nuo 31 iki 36 d. d. (jeigu dirbama 5 d. d. per savaitę) arba nuo 37 iki 42 d. d. (jeigu dirbama 6 d. d. per savaitę) kasmetinių atostogų;</w:t>
                  </w:r>
                </w:p>
                <w:p w14:paraId="6793B779" w14:textId="77777777" w:rsidR="00E23E82" w:rsidRDefault="00E23E82" w:rsidP="00E23E82">
                  <w:pPr>
                    <w:rPr>
                      <w:szCs w:val="24"/>
                    </w:rPr>
                  </w:pPr>
                  <w:r>
                    <w:rPr>
                      <w:szCs w:val="24"/>
                    </w:rPr>
                    <w:t>5) Fiksuotoji norma, taikoma, kai priklauso nuo 37 iki 39 d. d. (jeigu dirbama 5 d. d. per savaitę) arba nuo 43 iki 47 d. d. (jeigu dirbama 6 d. d. per savaitę) kasmetinių atostogų;</w:t>
                  </w:r>
                </w:p>
                <w:p w14:paraId="28F29691" w14:textId="77777777" w:rsidR="00E23E82" w:rsidRDefault="00E23E82" w:rsidP="00E23E82">
                  <w:pPr>
                    <w:rPr>
                      <w:szCs w:val="24"/>
                    </w:rPr>
                  </w:pPr>
                  <w:r>
                    <w:rPr>
                      <w:szCs w:val="24"/>
                    </w:rPr>
                    <w:t>6) Fiksuotoji norma, taikoma, kai priklauso 40 d. d. (jeigu dirbama 5 d. d. per savaitę) arba 48 d. d. (jeigu dirbama 6 d. d. per savaitę) kasmetinių atostogų;</w:t>
                  </w:r>
                </w:p>
                <w:p w14:paraId="7D870AF2" w14:textId="77777777" w:rsidR="00E23E82" w:rsidRDefault="00E23E82" w:rsidP="00E23E82">
                  <w:pPr>
                    <w:rPr>
                      <w:szCs w:val="24"/>
                    </w:rPr>
                  </w:pPr>
                  <w:r>
                    <w:rPr>
                      <w:szCs w:val="24"/>
                    </w:rPr>
                    <w:t>7) Fiksuotoji norma, taikoma, kai priklauso nuo 41 d. d. (jeigu dirbama 5 d. d. per savaitę) arba nuo 49 d. d. (jeigu dirbama 6 d. d. per savaitę) kasmetinių atostogų.</w:t>
                  </w:r>
                </w:p>
              </w:tc>
              <w:tc>
                <w:tcPr>
                  <w:tcW w:w="2890" w:type="dxa"/>
                  <w:tcBorders>
                    <w:top w:val="single" w:sz="8" w:space="0" w:color="auto"/>
                    <w:left w:val="single" w:sz="8" w:space="0" w:color="auto"/>
                    <w:bottom w:val="single" w:sz="8" w:space="0" w:color="auto"/>
                    <w:right w:val="single" w:sz="8" w:space="0" w:color="auto"/>
                  </w:tcBorders>
                </w:tcPr>
                <w:p w14:paraId="40BBD0B0" w14:textId="77777777" w:rsidR="00E23E82" w:rsidRDefault="00E23E82" w:rsidP="00E23E82">
                  <w:r>
                    <w:lastRenderedPageBreak/>
                    <w:t>Fiksuotųjų normų dydžiai galės būti atnaujinami tik tuomet, kai pakeičiami teisės aktai, reglamentuojantys kasmetinių atostogų suteikimo ir / ar apskaičiavimo tvarką.</w:t>
                  </w:r>
                </w:p>
                <w:p w14:paraId="0041C3A3" w14:textId="77777777" w:rsidR="00E23E82" w:rsidRDefault="00E23E82" w:rsidP="00E23E82">
                  <w:r>
                    <w:t>Pagal anksčiau numatytas sąlygas perskaičiuotos fiksuotosios normos įsigalios nuo atnaujintų dydžių paskelbimo dienos ir galės būti taikomos fiksuotųjų normų rezultatams, pasiektiems po atnaujintų fiksuotųjų normų įsigaliojimo dienos.</w:t>
                  </w:r>
                </w:p>
              </w:tc>
            </w:tr>
            <w:tr w:rsidR="00E23E82" w14:paraId="6359FE1F" w14:textId="77777777" w:rsidTr="005133B3">
              <w:tc>
                <w:tcPr>
                  <w:tcW w:w="2889" w:type="dxa"/>
                  <w:tcBorders>
                    <w:top w:val="single" w:sz="8" w:space="0" w:color="auto"/>
                    <w:left w:val="single" w:sz="8" w:space="0" w:color="auto"/>
                    <w:bottom w:val="single" w:sz="8" w:space="0" w:color="auto"/>
                    <w:right w:val="single" w:sz="8" w:space="0" w:color="auto"/>
                  </w:tcBorders>
                </w:tcPr>
                <w:p w14:paraId="375EFA16" w14:textId="5F4C7732" w:rsidR="00E23E82" w:rsidRDefault="00E23E82" w:rsidP="00E23E82">
                  <w:pPr>
                    <w:rPr>
                      <w:szCs w:val="24"/>
                    </w:rPr>
                  </w:pPr>
                  <w:r>
                    <w:rPr>
                      <w:szCs w:val="24"/>
                    </w:rPr>
                    <w:t>1</w:t>
                  </w:r>
                  <w:r w:rsidR="003F6C60">
                    <w:rPr>
                      <w:szCs w:val="24"/>
                    </w:rPr>
                    <w:t>7</w:t>
                  </w:r>
                  <w:r>
                    <w:rPr>
                      <w:szCs w:val="24"/>
                    </w:rPr>
                    <w:t xml:space="preserve">.2. </w:t>
                  </w:r>
                  <w:r>
                    <w:rPr>
                      <w:szCs w:val="24"/>
                      <w:shd w:val="clear" w:color="auto" w:fill="FFFFFF"/>
                    </w:rPr>
                    <w:t>Projekto vykdymo išlaidų</w:t>
                  </w:r>
                  <w:r>
                    <w:rPr>
                      <w:szCs w:val="24"/>
                    </w:rPr>
                    <w:t xml:space="preserve"> 40 proc. </w:t>
                  </w:r>
                  <w:r>
                    <w:rPr>
                      <w:szCs w:val="24"/>
                      <w:shd w:val="clear" w:color="auto" w:fill="FFFFFF"/>
                    </w:rPr>
                    <w:t xml:space="preserve">fiksuotoji norma </w:t>
                  </w:r>
                </w:p>
              </w:tc>
              <w:tc>
                <w:tcPr>
                  <w:tcW w:w="2890" w:type="dxa"/>
                  <w:tcBorders>
                    <w:top w:val="single" w:sz="8" w:space="0" w:color="auto"/>
                    <w:left w:val="single" w:sz="8" w:space="0" w:color="auto"/>
                    <w:bottom w:val="single" w:sz="8" w:space="0" w:color="auto"/>
                    <w:right w:val="single" w:sz="8" w:space="0" w:color="auto"/>
                  </w:tcBorders>
                </w:tcPr>
                <w:p w14:paraId="51AD0252" w14:textId="77777777" w:rsidR="00E23E82" w:rsidRDefault="00E23E82" w:rsidP="00E23E82">
                  <w:pPr>
                    <w:jc w:val="center"/>
                    <w:rPr>
                      <w:szCs w:val="24"/>
                    </w:rPr>
                  </w:pPr>
                  <w:r>
                    <w:rPr>
                      <w:szCs w:val="24"/>
                    </w:rPr>
                    <w:t>FN-03</w:t>
                  </w:r>
                </w:p>
              </w:tc>
              <w:tc>
                <w:tcPr>
                  <w:tcW w:w="2890" w:type="dxa"/>
                  <w:tcBorders>
                    <w:top w:val="single" w:sz="8" w:space="0" w:color="auto"/>
                    <w:left w:val="single" w:sz="8" w:space="0" w:color="auto"/>
                    <w:bottom w:val="single" w:sz="8" w:space="0" w:color="auto"/>
                    <w:right w:val="single" w:sz="8" w:space="0" w:color="auto"/>
                  </w:tcBorders>
                </w:tcPr>
                <w:p w14:paraId="753EE5F1" w14:textId="77777777" w:rsidR="00E23E82" w:rsidRDefault="00E23E82" w:rsidP="00E23E82">
                  <w:pPr>
                    <w:jc w:val="center"/>
                    <w:rPr>
                      <w:bCs/>
                      <w:szCs w:val="24"/>
                    </w:rPr>
                  </w:pPr>
                </w:p>
              </w:tc>
              <w:tc>
                <w:tcPr>
                  <w:tcW w:w="2890" w:type="dxa"/>
                  <w:tcBorders>
                    <w:top w:val="single" w:sz="8" w:space="0" w:color="auto"/>
                    <w:left w:val="single" w:sz="8" w:space="0" w:color="auto"/>
                    <w:bottom w:val="single" w:sz="8" w:space="0" w:color="auto"/>
                    <w:right w:val="single" w:sz="8" w:space="0" w:color="auto"/>
                  </w:tcBorders>
                </w:tcPr>
                <w:p w14:paraId="09084CCF" w14:textId="1C9375C0" w:rsidR="00E23E82" w:rsidRDefault="00E23E82" w:rsidP="00E23E82">
                  <w:pPr>
                    <w:rPr>
                      <w:szCs w:val="24"/>
                    </w:rPr>
                  </w:pPr>
                  <w:r>
                    <w:rPr>
                      <w:color w:val="000000"/>
                      <w:shd w:val="clear" w:color="auto" w:fill="FFFFFF"/>
                    </w:rPr>
                    <w:t xml:space="preserve">Fiksuotoji norma sudaro 40 procentų tinkamų finansuoti tiesioginių projektą vykdančio </w:t>
                  </w:r>
                  <w:r>
                    <w:rPr>
                      <w:color w:val="000000"/>
                      <w:shd w:val="clear" w:color="auto" w:fill="FFFFFF"/>
                    </w:rPr>
                    <w:lastRenderedPageBreak/>
                    <w:t xml:space="preserve">personalo išlaidų – likusioms tinkamoms finansuoti projekto išlaidoms padengti (skaičiuojama nuo </w:t>
                  </w:r>
                  <w:r w:rsidR="004E5016">
                    <w:rPr>
                      <w:color w:val="000000"/>
                      <w:shd w:val="clear" w:color="auto" w:fill="FFFFFF"/>
                    </w:rPr>
                    <w:t>16</w:t>
                  </w:r>
                  <w:r>
                    <w:rPr>
                      <w:color w:val="000000"/>
                      <w:shd w:val="clear" w:color="auto" w:fill="FFFFFF"/>
                    </w:rPr>
                    <w:t xml:space="preserve">.9.2 papunktyje numatytų išlaidų sumos). </w:t>
                  </w:r>
                </w:p>
              </w:tc>
              <w:tc>
                <w:tcPr>
                  <w:tcW w:w="2890" w:type="dxa"/>
                  <w:tcBorders>
                    <w:top w:val="single" w:sz="8" w:space="0" w:color="auto"/>
                    <w:left w:val="single" w:sz="8" w:space="0" w:color="auto"/>
                    <w:bottom w:val="single" w:sz="8" w:space="0" w:color="auto"/>
                    <w:right w:val="single" w:sz="8" w:space="0" w:color="auto"/>
                  </w:tcBorders>
                </w:tcPr>
                <w:p w14:paraId="1E77573A" w14:textId="77777777" w:rsidR="00E23E82" w:rsidRDefault="00E23E82" w:rsidP="00671822">
                  <w:pPr>
                    <w:jc w:val="center"/>
                  </w:pPr>
                  <w:r>
                    <w:lastRenderedPageBreak/>
                    <w:t>-</w:t>
                  </w:r>
                </w:p>
              </w:tc>
            </w:tr>
          </w:tbl>
          <w:p w14:paraId="3E58E078" w14:textId="77777777" w:rsidR="00F4662F" w:rsidRPr="007631CC" w:rsidRDefault="00F4662F">
            <w:pPr>
              <w:suppressAutoHyphens/>
              <w:jc w:val="both"/>
              <w:rPr>
                <w:sz w:val="22"/>
                <w:szCs w:val="22"/>
              </w:rPr>
            </w:pPr>
          </w:p>
        </w:tc>
      </w:tr>
    </w:tbl>
    <w:p w14:paraId="38E322D6" w14:textId="77777777" w:rsidR="00F4662F" w:rsidRPr="009D5352" w:rsidRDefault="00F4662F"/>
    <w:p w14:paraId="7CBC31CC" w14:textId="77777777" w:rsidR="00F4662F" w:rsidRPr="009D5352" w:rsidRDefault="00244911">
      <w:pPr>
        <w:suppressAutoHyphens/>
        <w:spacing w:line="276" w:lineRule="auto"/>
        <w:jc w:val="center"/>
        <w:rPr>
          <w:rFonts w:eastAsia="Calibri"/>
          <w:szCs w:val="24"/>
        </w:rPr>
        <w:sectPr w:rsidR="00F4662F" w:rsidRPr="009D5352" w:rsidSect="008A2D6F">
          <w:headerReference w:type="even" r:id="rId13"/>
          <w:headerReference w:type="default" r:id="rId14"/>
          <w:footerReference w:type="even" r:id="rId15"/>
          <w:footerReference w:type="default" r:id="rId16"/>
          <w:headerReference w:type="first" r:id="rId17"/>
          <w:footerReference w:type="first" r:id="rId18"/>
          <w:pgSz w:w="16838" w:h="11906" w:orient="landscape"/>
          <w:pgMar w:top="1134" w:right="567" w:bottom="1134" w:left="1134" w:header="567" w:footer="567" w:gutter="0"/>
          <w:cols w:space="1296"/>
          <w:titlePg/>
        </w:sectPr>
      </w:pPr>
      <w:r w:rsidRPr="009D5352">
        <w:rPr>
          <w:rFonts w:eastAsia="Calibri"/>
          <w:szCs w:val="24"/>
        </w:rPr>
        <w:t>________________</w:t>
      </w:r>
    </w:p>
    <w:p w14:paraId="42936A47" w14:textId="6018F833" w:rsidR="00F535B4" w:rsidRPr="00F535B4" w:rsidRDefault="00F535B4" w:rsidP="00F535B4">
      <w:pPr>
        <w:ind w:left="10206"/>
        <w:jc w:val="both"/>
        <w:rPr>
          <w:szCs w:val="24"/>
        </w:rPr>
      </w:pPr>
      <w:r w:rsidRPr="00F535B4">
        <w:rPr>
          <w:szCs w:val="24"/>
        </w:rPr>
        <w:lastRenderedPageBreak/>
        <w:t>1 priedo „202</w:t>
      </w:r>
      <w:r>
        <w:rPr>
          <w:szCs w:val="24"/>
        </w:rPr>
        <w:t>2</w:t>
      </w:r>
      <w:r w:rsidRPr="00F535B4">
        <w:rPr>
          <w:szCs w:val="24"/>
        </w:rPr>
        <w:t>–2030 m. plėtros programos valdytojos Lietuvos Respublikos švietimo, mokslo ir sporto ministerijos mokslo plėtros programos pažangos priemonės Nr. 12-001-01-02-01 „Stiprinti inovacijų ekosistemas mokslo centruose“ projektų finansavimo sąlygų aprašo Nr. 1“</w:t>
      </w:r>
    </w:p>
    <w:p w14:paraId="2C60F1D9" w14:textId="2DD62558" w:rsidR="00F535B4" w:rsidRDefault="00C156B7" w:rsidP="00F535B4">
      <w:pPr>
        <w:ind w:left="10206"/>
        <w:jc w:val="both"/>
        <w:rPr>
          <w:szCs w:val="24"/>
        </w:rPr>
      </w:pPr>
      <w:r>
        <w:rPr>
          <w:szCs w:val="24"/>
        </w:rPr>
        <w:t>p</w:t>
      </w:r>
      <w:r w:rsidR="00F535B4" w:rsidRPr="00F535B4">
        <w:rPr>
          <w:szCs w:val="24"/>
        </w:rPr>
        <w:t>riedas</w:t>
      </w:r>
    </w:p>
    <w:p w14:paraId="01AF4C2B" w14:textId="77777777" w:rsidR="00F535B4" w:rsidRPr="00F535B4" w:rsidRDefault="00F535B4" w:rsidP="00C156B7">
      <w:pPr>
        <w:jc w:val="both"/>
        <w:rPr>
          <w:szCs w:val="24"/>
        </w:rPr>
      </w:pPr>
    </w:p>
    <w:p w14:paraId="1E2AD352" w14:textId="77777777" w:rsidR="00F535B4" w:rsidRPr="00F535B4" w:rsidRDefault="00F535B4" w:rsidP="00F535B4">
      <w:pPr>
        <w:jc w:val="center"/>
        <w:rPr>
          <w:rFonts w:eastAsia="Calibri"/>
          <w:b/>
          <w:bCs/>
          <w:szCs w:val="24"/>
        </w:rPr>
      </w:pPr>
    </w:p>
    <w:p w14:paraId="6BF9C12F" w14:textId="77777777" w:rsidR="00F535B4" w:rsidRPr="00F535B4" w:rsidRDefault="00F535B4" w:rsidP="00F535B4">
      <w:pPr>
        <w:jc w:val="center"/>
        <w:rPr>
          <w:rFonts w:eastAsia="Calibri"/>
          <w:b/>
          <w:bCs/>
        </w:rPr>
      </w:pPr>
      <w:r w:rsidRPr="00F535B4">
        <w:rPr>
          <w:rFonts w:eastAsia="Calibri"/>
          <w:b/>
          <w:bCs/>
        </w:rPr>
        <w:t>PROJEKTO (ĮSKAITANT JUNGTINĮ PROJEKTĄ) ATITIKTIES REIKŠMINGOS ŽALOS NEDARYMO HORIZONTALIAJAM PRINCIPUI VERTINIMO REIKALAVIMŲ APRAŠAS</w:t>
      </w:r>
    </w:p>
    <w:p w14:paraId="67752474" w14:textId="77777777" w:rsidR="00F535B4" w:rsidRPr="00F535B4" w:rsidRDefault="00F535B4" w:rsidP="00F535B4">
      <w:pPr>
        <w:jc w:val="center"/>
        <w:rPr>
          <w:rFonts w:eastAsia="Calibri"/>
          <w:b/>
          <w:bCs/>
          <w:szCs w:val="24"/>
        </w:rPr>
      </w:pPr>
    </w:p>
    <w:p w14:paraId="14046410" w14:textId="77777777" w:rsidR="00F535B4" w:rsidRPr="00F535B4" w:rsidRDefault="00F535B4" w:rsidP="00F535B4">
      <w:pPr>
        <w:spacing w:line="276" w:lineRule="auto"/>
        <w:jc w:val="both"/>
        <w:rPr>
          <w:rFonts w:eastAsia="Calibri"/>
          <w:bCs/>
          <w:szCs w:val="24"/>
        </w:rPr>
      </w:pPr>
      <w:r w:rsidRPr="00F535B4">
        <w:rPr>
          <w:rFonts w:eastAsia="Calibri"/>
          <w:bCs/>
          <w:szCs w:val="24"/>
        </w:rPr>
        <w:t>Finansavimo šaltinis, pagal kurį finansuojamas projektas (</w:t>
      </w:r>
      <w:r w:rsidRPr="00F535B4">
        <w:rPr>
          <w:rFonts w:eastAsia="Calibri"/>
          <w:bCs/>
          <w:i/>
          <w:szCs w:val="24"/>
        </w:rPr>
        <w:t>pažymėkite tinkamą</w:t>
      </w:r>
      <w:r w:rsidRPr="00F535B4">
        <w:rPr>
          <w:rFonts w:eastAsia="Calibri"/>
          <w:bCs/>
          <w:szCs w:val="24"/>
        </w:rPr>
        <w:t xml:space="preserve">): </w:t>
      </w:r>
    </w:p>
    <w:p w14:paraId="077F7F33" w14:textId="77777777" w:rsidR="00F535B4" w:rsidRPr="00F535B4" w:rsidRDefault="00F535B4" w:rsidP="00F535B4">
      <w:pPr>
        <w:spacing w:line="276" w:lineRule="auto"/>
        <w:jc w:val="both"/>
        <w:rPr>
          <w:rFonts w:eastAsia="Calibri"/>
          <w:bCs/>
          <w:szCs w:val="24"/>
        </w:rPr>
      </w:pPr>
      <w:r w:rsidRPr="00F535B4">
        <w:rPr>
          <w:rFonts w:ascii="MS Gothic" w:eastAsia="MS Gothic" w:hAnsi="MS Gothic"/>
          <w:b/>
          <w:bCs/>
          <w:sz w:val="22"/>
          <w:szCs w:val="22"/>
        </w:rPr>
        <w:t>☒</w:t>
      </w:r>
      <w:r w:rsidRPr="00F535B4">
        <w:t xml:space="preserve"> </w:t>
      </w:r>
      <w:r w:rsidRPr="00F535B4">
        <w:rPr>
          <w:rFonts w:eastAsia="Calibri"/>
          <w:bCs/>
          <w:szCs w:val="24"/>
        </w:rPr>
        <w:t>Ekonomikos gaivinimo ir atsparumo didinimo priemonė (toliau – EGADP)</w:t>
      </w:r>
    </w:p>
    <w:p w14:paraId="413F82A5" w14:textId="77777777" w:rsidR="00F535B4" w:rsidRPr="00F535B4" w:rsidRDefault="00F535B4" w:rsidP="00F535B4">
      <w:pPr>
        <w:spacing w:line="276" w:lineRule="auto"/>
        <w:jc w:val="both"/>
        <w:rPr>
          <w:rFonts w:eastAsia="Calibri"/>
          <w:bCs/>
          <w:szCs w:val="24"/>
        </w:rPr>
      </w:pPr>
      <w:r w:rsidRPr="00F535B4">
        <w:rPr>
          <w:rFonts w:ascii="Wingdings 2" w:eastAsia="Wingdings 2" w:hAnsi="Wingdings 2" w:cs="Wingdings 2"/>
        </w:rPr>
        <w:t></w:t>
      </w:r>
      <w:r w:rsidRPr="00F535B4">
        <w:t xml:space="preserve"> Europos Sąjungos fondų i</w:t>
      </w:r>
      <w:r w:rsidRPr="00F535B4">
        <w:rPr>
          <w:rFonts w:eastAsia="Calibri"/>
          <w:bCs/>
          <w:szCs w:val="24"/>
        </w:rPr>
        <w:t>nvesticijų programa (toliau – ESIP)</w:t>
      </w:r>
    </w:p>
    <w:p w14:paraId="3C83D9D8" w14:textId="77777777" w:rsidR="00F535B4" w:rsidRPr="00F535B4" w:rsidRDefault="00F535B4" w:rsidP="00F535B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984"/>
        <w:gridCol w:w="5328"/>
      </w:tblGrid>
      <w:tr w:rsidR="00F535B4" w:rsidRPr="00F535B4" w14:paraId="2168D7A3" w14:textId="77777777" w:rsidTr="005133B3">
        <w:tc>
          <w:tcPr>
            <w:tcW w:w="4537" w:type="dxa"/>
          </w:tcPr>
          <w:p w14:paraId="29490E82" w14:textId="77777777" w:rsidR="00F535B4" w:rsidRPr="00F535B4" w:rsidRDefault="00F535B4" w:rsidP="00F535B4">
            <w:pPr>
              <w:jc w:val="center"/>
              <w:rPr>
                <w:rFonts w:eastAsia="Calibri"/>
                <w:b/>
                <w:szCs w:val="24"/>
              </w:rPr>
            </w:pPr>
            <w:r w:rsidRPr="00F535B4">
              <w:rPr>
                <w:rFonts w:eastAsia="Calibri"/>
                <w:b/>
                <w:szCs w:val="24"/>
              </w:rPr>
              <w:t>Aplinkos tikslai</w:t>
            </w:r>
          </w:p>
          <w:p w14:paraId="72BE5F4D" w14:textId="77777777" w:rsidR="00F535B4" w:rsidRPr="00F535B4" w:rsidRDefault="00F535B4" w:rsidP="00F535B4">
            <w:pPr>
              <w:jc w:val="both"/>
              <w:rPr>
                <w:rFonts w:eastAsia="Calibri"/>
                <w:b/>
                <w:szCs w:val="24"/>
              </w:rPr>
            </w:pPr>
            <w:r w:rsidRPr="00F535B4">
              <w:rPr>
                <w:rFonts w:eastAsia="Calibri"/>
                <w:szCs w:val="24"/>
              </w:rPr>
              <w:t>(</w:t>
            </w:r>
            <w:r w:rsidRPr="00F535B4">
              <w:rPr>
                <w:rFonts w:eastAsia="Calibri"/>
                <w:i/>
                <w:szCs w:val="24"/>
              </w:rPr>
              <w:t>pagal 2020 m. birželio 18 d. Europos Parlamento ir Tarybos reglamentą (ES) Nr. 2020/852 dėl sistemos tvariam investavimui palengvinti sukūrimo, kuriuo iš dalies keičiamas Reglamentas (ES) Nr. 2019/2088)</w:t>
            </w:r>
          </w:p>
        </w:tc>
        <w:tc>
          <w:tcPr>
            <w:tcW w:w="4984" w:type="dxa"/>
          </w:tcPr>
          <w:p w14:paraId="0C5AF128" w14:textId="77777777" w:rsidR="00F535B4" w:rsidRPr="00F535B4" w:rsidRDefault="00F535B4" w:rsidP="00F535B4">
            <w:pPr>
              <w:jc w:val="center"/>
              <w:rPr>
                <w:rFonts w:eastAsia="Calibri"/>
                <w:b/>
                <w:szCs w:val="24"/>
              </w:rPr>
            </w:pPr>
            <w:r w:rsidRPr="00F535B4">
              <w:rPr>
                <w:rFonts w:eastAsia="Calibri"/>
                <w:b/>
                <w:szCs w:val="24"/>
              </w:rPr>
              <w:t>Pagrindimas</w:t>
            </w:r>
          </w:p>
          <w:p w14:paraId="17E23977" w14:textId="77777777" w:rsidR="00F535B4" w:rsidRPr="00F535B4" w:rsidRDefault="00F535B4" w:rsidP="00F535B4">
            <w:pPr>
              <w:jc w:val="both"/>
              <w:rPr>
                <w:rFonts w:eastAsia="Calibri"/>
                <w:b/>
                <w:szCs w:val="24"/>
              </w:rPr>
            </w:pPr>
            <w:r w:rsidRPr="00F535B4">
              <w:rPr>
                <w:rFonts w:eastAsia="Calibri"/>
                <w:bCs/>
                <w:i/>
                <w:szCs w:val="24"/>
              </w:rPr>
              <w:t>(remiantis priemonių (kai finansavimo šaltinis EGADP) arba veiksmų (veiklų) (kai finansavimo šaltinis ESIFP) vertinimo klausimynais)</w:t>
            </w:r>
          </w:p>
        </w:tc>
        <w:tc>
          <w:tcPr>
            <w:tcW w:w="5328" w:type="dxa"/>
          </w:tcPr>
          <w:p w14:paraId="5CC34AF8" w14:textId="77777777" w:rsidR="00F535B4" w:rsidRPr="00F535B4" w:rsidRDefault="00F535B4" w:rsidP="00F535B4">
            <w:pPr>
              <w:jc w:val="center"/>
              <w:rPr>
                <w:rFonts w:eastAsia="Calibri"/>
                <w:i/>
                <w:sz w:val="20"/>
              </w:rPr>
            </w:pPr>
            <w:r w:rsidRPr="00F535B4">
              <w:rPr>
                <w:rFonts w:eastAsia="Calibri"/>
                <w:b/>
                <w:szCs w:val="24"/>
              </w:rPr>
              <w:t>Pagrindimo dokumentai</w:t>
            </w:r>
          </w:p>
          <w:p w14:paraId="4B1FE389" w14:textId="77777777" w:rsidR="00F535B4" w:rsidRPr="00F535B4" w:rsidRDefault="00F535B4" w:rsidP="00F535B4">
            <w:pPr>
              <w:jc w:val="both"/>
              <w:rPr>
                <w:rFonts w:eastAsia="Calibri"/>
                <w:i/>
                <w:szCs w:val="24"/>
              </w:rPr>
            </w:pPr>
            <w:r w:rsidRPr="00F535B4">
              <w:rPr>
                <w:rFonts w:eastAsia="Calibri"/>
                <w:i/>
                <w:szCs w:val="24"/>
              </w:rPr>
              <w:t>(nurodomas dokumentas, kuris bus vertinamas siekiant įvertinti projekto atitiktį aplinkos tikslams, arba pateikiama šią atitiktį pagrindžianti informacija)</w:t>
            </w:r>
          </w:p>
        </w:tc>
      </w:tr>
      <w:tr w:rsidR="00F535B4" w:rsidRPr="00F535B4" w14:paraId="380D2D79" w14:textId="77777777" w:rsidTr="005133B3">
        <w:tc>
          <w:tcPr>
            <w:tcW w:w="4537" w:type="dxa"/>
          </w:tcPr>
          <w:p w14:paraId="4E254C06" w14:textId="77777777" w:rsidR="00F535B4" w:rsidRPr="00F535B4" w:rsidRDefault="00F535B4" w:rsidP="00F535B4">
            <w:pPr>
              <w:tabs>
                <w:tab w:val="left" w:pos="289"/>
              </w:tabs>
              <w:ind w:firstLine="5"/>
              <w:jc w:val="both"/>
              <w:rPr>
                <w:rFonts w:eastAsia="Calibri"/>
                <w:szCs w:val="24"/>
              </w:rPr>
            </w:pPr>
            <w:r w:rsidRPr="00F535B4">
              <w:rPr>
                <w:rFonts w:eastAsia="Calibri"/>
                <w:szCs w:val="24"/>
              </w:rPr>
              <w:t>1.</w:t>
            </w:r>
            <w:r w:rsidRPr="00F535B4">
              <w:rPr>
                <w:rFonts w:eastAsia="Calibri"/>
                <w:szCs w:val="24"/>
              </w:rPr>
              <w:tab/>
              <w:t>Klimato kaitos švelninimas</w:t>
            </w:r>
          </w:p>
        </w:tc>
        <w:tc>
          <w:tcPr>
            <w:tcW w:w="4984" w:type="dxa"/>
          </w:tcPr>
          <w:p w14:paraId="07E26AC9" w14:textId="77777777" w:rsidR="00F535B4" w:rsidRPr="00F535B4" w:rsidRDefault="00F535B4" w:rsidP="00F535B4">
            <w:pPr>
              <w:jc w:val="both"/>
              <w:rPr>
                <w:rFonts w:eastAsia="Calibri"/>
                <w:bCs/>
                <w:i/>
                <w:szCs w:val="24"/>
              </w:rPr>
            </w:pPr>
            <w:r w:rsidRPr="00F535B4">
              <w:rPr>
                <w:rFonts w:eastAsia="Calibri"/>
                <w:bCs/>
                <w:szCs w:val="24"/>
              </w:rPr>
              <w:t xml:space="preserve">Investicijos bus nukreipiamos į paskatas mokslui ir verslui dalyvauti ES mokslinių tyrimų ir inovacijų programoje „Europos horizontas“ ir kitose tarptautinėse MTEPI programose, taip pat prisidės prie mokslo ir inovacijų misijomis pagrįstų nacionalinių programų įgyvendinimo. Reformos veiklos neturės jokio neigiamo tiesioginio ar netiesioginio poveikio klimato kaitos švelninimo tikslui, nes nenumatoma, kad </w:t>
            </w:r>
            <w:r w:rsidRPr="00F535B4">
              <w:rPr>
                <w:rFonts w:eastAsia="Calibri"/>
                <w:bCs/>
                <w:szCs w:val="24"/>
              </w:rPr>
              <w:lastRenderedPageBreak/>
              <w:t>įgyvendinant veiklas galėtų būti ŠESD išsiskyrimas.</w:t>
            </w:r>
          </w:p>
        </w:tc>
        <w:tc>
          <w:tcPr>
            <w:tcW w:w="5328" w:type="dxa"/>
          </w:tcPr>
          <w:p w14:paraId="14274404" w14:textId="77777777" w:rsidR="00F535B4" w:rsidRPr="00F535B4" w:rsidRDefault="00F535B4" w:rsidP="00F535B4">
            <w:pPr>
              <w:tabs>
                <w:tab w:val="left" w:pos="589"/>
              </w:tabs>
              <w:jc w:val="both"/>
              <w:rPr>
                <w:rFonts w:eastAsia="Calibri"/>
                <w:szCs w:val="24"/>
              </w:rPr>
            </w:pPr>
            <w:r w:rsidRPr="00F535B4">
              <w:rPr>
                <w:rFonts w:eastAsia="Calibri"/>
                <w:szCs w:val="24"/>
              </w:rPr>
              <w:lastRenderedPageBreak/>
              <w:t>Projekto vykdytojo deklaracija, pirkimo dokumentai, sutartys su tiekėjais, komerciniai pasiūlymai</w:t>
            </w:r>
            <w:r w:rsidRPr="00F535B4">
              <w:t xml:space="preserve"> </w:t>
            </w:r>
            <w:r w:rsidRPr="00F535B4">
              <w:rPr>
                <w:rFonts w:eastAsia="Calibri"/>
                <w:szCs w:val="24"/>
              </w:rPr>
              <w:t>ir kt.</w:t>
            </w:r>
          </w:p>
          <w:p w14:paraId="4168FA43" w14:textId="77777777" w:rsidR="00F535B4" w:rsidRPr="00F535B4" w:rsidRDefault="00F535B4" w:rsidP="00F535B4">
            <w:pPr>
              <w:tabs>
                <w:tab w:val="left" w:pos="589"/>
              </w:tabs>
              <w:jc w:val="both"/>
              <w:rPr>
                <w:rFonts w:eastAsia="Calibri"/>
                <w:szCs w:val="24"/>
              </w:rPr>
            </w:pPr>
            <w:r w:rsidRPr="00F535B4">
              <w:rPr>
                <w:rFonts w:eastAsia="Calibri"/>
                <w:szCs w:val="24"/>
              </w:rPr>
              <w:t xml:space="preserve">Jeigu bus planuojama įsigyti IT įrangą, tai ji privalės atitikti (tai bus numatoma atitinkamuose IT įrangos įsigijimo dokumentuose) efektyvumo, tvarumo, ilgaamžiškumo reikalavimus pagal Direktyvą 2009/125/EC (serveriams ir duomenims saugoti, kompiuteriams ir kompiuterių serveriams ar elektroniniams ekranams) ir Direktyvą 2011/65/EU. </w:t>
            </w:r>
          </w:p>
          <w:p w14:paraId="7355A7A4" w14:textId="77777777" w:rsidR="00F535B4" w:rsidRPr="00F535B4" w:rsidRDefault="00F535B4" w:rsidP="00F535B4">
            <w:pPr>
              <w:tabs>
                <w:tab w:val="left" w:pos="589"/>
              </w:tabs>
              <w:jc w:val="both"/>
              <w:rPr>
                <w:rFonts w:eastAsia="Calibri"/>
                <w:i/>
                <w:szCs w:val="24"/>
              </w:rPr>
            </w:pPr>
          </w:p>
        </w:tc>
      </w:tr>
      <w:tr w:rsidR="00F535B4" w:rsidRPr="00F535B4" w14:paraId="77F068B3" w14:textId="77777777" w:rsidTr="005133B3">
        <w:tc>
          <w:tcPr>
            <w:tcW w:w="4537" w:type="dxa"/>
          </w:tcPr>
          <w:p w14:paraId="6C964E33" w14:textId="77777777" w:rsidR="00F535B4" w:rsidRPr="00F535B4" w:rsidRDefault="00F535B4" w:rsidP="00F535B4">
            <w:pPr>
              <w:tabs>
                <w:tab w:val="left" w:pos="289"/>
              </w:tabs>
              <w:ind w:firstLine="5"/>
              <w:jc w:val="both"/>
              <w:rPr>
                <w:rFonts w:eastAsia="Calibri"/>
                <w:szCs w:val="24"/>
              </w:rPr>
            </w:pPr>
            <w:r w:rsidRPr="00F535B4">
              <w:rPr>
                <w:rFonts w:eastAsia="Calibri"/>
                <w:szCs w:val="24"/>
              </w:rPr>
              <w:t>2.</w:t>
            </w:r>
            <w:r w:rsidRPr="00F535B4">
              <w:rPr>
                <w:rFonts w:eastAsia="Calibri"/>
                <w:szCs w:val="24"/>
              </w:rPr>
              <w:tab/>
              <w:t>Prisitaikymas prie klimato kaitos</w:t>
            </w:r>
          </w:p>
        </w:tc>
        <w:tc>
          <w:tcPr>
            <w:tcW w:w="4984" w:type="dxa"/>
          </w:tcPr>
          <w:p w14:paraId="5D42F329" w14:textId="77777777" w:rsidR="00F535B4" w:rsidRPr="00F535B4" w:rsidRDefault="00F535B4" w:rsidP="00F535B4">
            <w:pPr>
              <w:jc w:val="both"/>
              <w:rPr>
                <w:rFonts w:eastAsia="Calibri"/>
                <w:bCs/>
                <w:szCs w:val="24"/>
              </w:rPr>
            </w:pPr>
            <w:r w:rsidRPr="00F535B4">
              <w:rPr>
                <w:rFonts w:eastAsia="Calibri"/>
                <w:bCs/>
                <w:szCs w:val="24"/>
              </w:rPr>
              <w:t>Planuojamos įgyvendinti veiklos neturi jokio numatomo poveikio šiam aplinkos tikslui arba numatomas jos poveikis yra nereikšmingas, t. y. nedaro tiesioginio ir pirminio netiesioginio poveikio per visą gyvavimo ciklą, todėl laikoma, kad veiklos atitinka klimato kaitos švelninimo tikslą ir neturės neigiamos įtakos žmonėms, gamtai ar turtui.</w:t>
            </w:r>
          </w:p>
        </w:tc>
        <w:tc>
          <w:tcPr>
            <w:tcW w:w="5328" w:type="dxa"/>
          </w:tcPr>
          <w:p w14:paraId="6C7756D1" w14:textId="77777777" w:rsidR="00F535B4" w:rsidRPr="00F535B4" w:rsidRDefault="00F535B4" w:rsidP="00F535B4">
            <w:pPr>
              <w:tabs>
                <w:tab w:val="left" w:pos="589"/>
              </w:tabs>
              <w:jc w:val="both"/>
              <w:rPr>
                <w:rFonts w:eastAsia="Calibri"/>
                <w:szCs w:val="24"/>
              </w:rPr>
            </w:pPr>
            <w:r w:rsidRPr="00F535B4">
              <w:rPr>
                <w:rFonts w:eastAsia="Calibri"/>
                <w:szCs w:val="24"/>
              </w:rPr>
              <w:t>Projekto vykdytojo deklaracija ir kt.</w:t>
            </w:r>
          </w:p>
          <w:p w14:paraId="394A717C" w14:textId="77777777" w:rsidR="00F535B4" w:rsidRPr="00F535B4" w:rsidRDefault="00F535B4" w:rsidP="00F535B4">
            <w:pPr>
              <w:jc w:val="both"/>
              <w:rPr>
                <w:rFonts w:eastAsia="Calibri"/>
                <w:b/>
                <w:szCs w:val="24"/>
              </w:rPr>
            </w:pPr>
          </w:p>
        </w:tc>
      </w:tr>
      <w:tr w:rsidR="00F535B4" w:rsidRPr="00F535B4" w14:paraId="3F173D57" w14:textId="77777777" w:rsidTr="005133B3">
        <w:tc>
          <w:tcPr>
            <w:tcW w:w="4537" w:type="dxa"/>
          </w:tcPr>
          <w:p w14:paraId="5CEDA63E" w14:textId="77777777" w:rsidR="00F535B4" w:rsidRPr="00F535B4" w:rsidRDefault="00F535B4" w:rsidP="00F535B4">
            <w:pPr>
              <w:tabs>
                <w:tab w:val="left" w:pos="289"/>
              </w:tabs>
              <w:ind w:firstLine="5"/>
              <w:jc w:val="both"/>
              <w:rPr>
                <w:rFonts w:eastAsia="Calibri"/>
                <w:szCs w:val="24"/>
              </w:rPr>
            </w:pPr>
            <w:r w:rsidRPr="00F535B4">
              <w:rPr>
                <w:rFonts w:eastAsia="Calibri"/>
                <w:szCs w:val="24"/>
              </w:rPr>
              <w:t>3.</w:t>
            </w:r>
            <w:r w:rsidRPr="00F535B4">
              <w:rPr>
                <w:rFonts w:eastAsia="Calibri"/>
                <w:szCs w:val="24"/>
              </w:rPr>
              <w:tab/>
              <w:t>Tausus vandens ir jūrų išteklių naudojimas ir apsauga</w:t>
            </w:r>
          </w:p>
        </w:tc>
        <w:tc>
          <w:tcPr>
            <w:tcW w:w="4984" w:type="dxa"/>
          </w:tcPr>
          <w:p w14:paraId="240F853F" w14:textId="77777777" w:rsidR="00F535B4" w:rsidRPr="00F535B4" w:rsidRDefault="00F535B4" w:rsidP="00F535B4">
            <w:pPr>
              <w:jc w:val="both"/>
              <w:rPr>
                <w:rFonts w:eastAsia="Calibri"/>
                <w:b/>
                <w:szCs w:val="24"/>
              </w:rPr>
            </w:pPr>
            <w:r w:rsidRPr="00F535B4">
              <w:rPr>
                <w:rFonts w:eastAsia="Calibri"/>
                <w:szCs w:val="24"/>
              </w:rPr>
              <w:t>Planuojamos įgyvendinti veiklos neturi jokio numatomo poveikio šiam aplinkos tikslui arba numatomas jos poveikis yra nereikšmingas, t. y. nedaro tiesioginio ir pirminio netiesioginio poveikio per visą gyvavimo ciklą, todėl laikoma, kad veiklos atitinka tausaus vandens ir jūrų išteklių naudojimo ir apsaugos tikslą.</w:t>
            </w:r>
          </w:p>
        </w:tc>
        <w:tc>
          <w:tcPr>
            <w:tcW w:w="5328" w:type="dxa"/>
          </w:tcPr>
          <w:p w14:paraId="02778ADF" w14:textId="77777777" w:rsidR="00F535B4" w:rsidRPr="00F535B4" w:rsidRDefault="00F535B4" w:rsidP="00F535B4">
            <w:pPr>
              <w:jc w:val="both"/>
              <w:rPr>
                <w:rFonts w:eastAsia="Calibri"/>
                <w:bCs/>
                <w:szCs w:val="24"/>
              </w:rPr>
            </w:pPr>
            <w:r w:rsidRPr="00F535B4">
              <w:rPr>
                <w:rFonts w:eastAsia="Calibri"/>
                <w:szCs w:val="24"/>
              </w:rPr>
              <w:t>Projekto vykdytojo deklaracija ir kt.</w:t>
            </w:r>
          </w:p>
        </w:tc>
      </w:tr>
      <w:tr w:rsidR="00F535B4" w:rsidRPr="00F535B4" w14:paraId="3B6001EA" w14:textId="77777777" w:rsidTr="005133B3">
        <w:tc>
          <w:tcPr>
            <w:tcW w:w="4537" w:type="dxa"/>
          </w:tcPr>
          <w:p w14:paraId="79991283" w14:textId="77777777" w:rsidR="00F535B4" w:rsidRPr="00F535B4" w:rsidRDefault="00F535B4" w:rsidP="00F535B4">
            <w:pPr>
              <w:tabs>
                <w:tab w:val="left" w:pos="289"/>
              </w:tabs>
              <w:ind w:firstLine="5"/>
              <w:jc w:val="both"/>
              <w:rPr>
                <w:rFonts w:eastAsia="Calibri"/>
                <w:szCs w:val="24"/>
              </w:rPr>
            </w:pPr>
            <w:r w:rsidRPr="00F535B4">
              <w:rPr>
                <w:rFonts w:eastAsia="Calibri"/>
                <w:szCs w:val="24"/>
              </w:rPr>
              <w:t>4.</w:t>
            </w:r>
            <w:r w:rsidRPr="00F535B4">
              <w:rPr>
                <w:rFonts w:eastAsia="Calibri"/>
                <w:szCs w:val="24"/>
              </w:rPr>
              <w:tab/>
              <w:t>Perėjimas prie žiedinės ekonomikos, įskaitant atliekų prevenciją ir perdirbimą</w:t>
            </w:r>
          </w:p>
        </w:tc>
        <w:tc>
          <w:tcPr>
            <w:tcW w:w="4984" w:type="dxa"/>
          </w:tcPr>
          <w:p w14:paraId="00682F9E" w14:textId="77777777" w:rsidR="00F535B4" w:rsidRPr="00F535B4" w:rsidRDefault="00F535B4" w:rsidP="00F535B4">
            <w:pPr>
              <w:jc w:val="both"/>
              <w:rPr>
                <w:rFonts w:eastAsia="Calibri"/>
                <w:bCs/>
                <w:szCs w:val="24"/>
              </w:rPr>
            </w:pPr>
            <w:r w:rsidRPr="00F535B4">
              <w:rPr>
                <w:rFonts w:eastAsia="Calibri"/>
                <w:bCs/>
                <w:szCs w:val="24"/>
              </w:rPr>
              <w:t xml:space="preserve">Planuojamos įgyvendinti veiklos neturi jokio numatomo poveikio šiam aplinkos tikslui arba numatomas jos poveikis yra nereikšmingas, t. y. nedaro tiesioginio ir pirminio netiesioginio poveikio per visą gyvavimo ciklą, todėl laikoma, kad veiklos atitinka žiedinės ekonomikos, įskaitant atliekų prevenciją ir perdirbimą, tikslą. </w:t>
            </w:r>
          </w:p>
          <w:p w14:paraId="37F775F9" w14:textId="77777777" w:rsidR="00F535B4" w:rsidRPr="00F535B4" w:rsidRDefault="00F535B4" w:rsidP="00F535B4">
            <w:pPr>
              <w:jc w:val="both"/>
              <w:rPr>
                <w:rFonts w:eastAsia="Calibri"/>
                <w:bCs/>
                <w:szCs w:val="24"/>
              </w:rPr>
            </w:pPr>
            <w:r w:rsidRPr="00F535B4">
              <w:rPr>
                <w:rFonts w:eastAsia="Calibri"/>
                <w:bCs/>
                <w:szCs w:val="24"/>
              </w:rPr>
              <w:t>Planuojama įsigyti IT įranga privalės atitikti (tai bus numatoma atitinkamuose IT įrangos įsigijimo dokumentuose) efektyvumo, tvarumo, ilgaamžiškumo reikalavimus pagal Direktyvą 2009/125/EC (kompiuteriams ir kompiuterių serveriams ar elektroniniams ekranams) ir Direktyvą 2011/65/EU ir</w:t>
            </w:r>
            <w:r w:rsidRPr="00F535B4">
              <w:rPr>
                <w:szCs w:val="24"/>
              </w:rPr>
              <w:t xml:space="preserve"> turės būti paženklina CE ženklu</w:t>
            </w:r>
            <w:r w:rsidRPr="00F535B4">
              <w:rPr>
                <w:rFonts w:eastAsia="Calibri"/>
                <w:bCs/>
                <w:szCs w:val="24"/>
              </w:rPr>
              <w:t>.</w:t>
            </w:r>
          </w:p>
          <w:p w14:paraId="2B75A66E" w14:textId="77777777" w:rsidR="00F535B4" w:rsidRPr="00F535B4" w:rsidRDefault="00F535B4" w:rsidP="00F535B4">
            <w:pPr>
              <w:jc w:val="both"/>
              <w:rPr>
                <w:rFonts w:eastAsia="Calibri"/>
                <w:bCs/>
                <w:szCs w:val="24"/>
              </w:rPr>
            </w:pPr>
            <w:r w:rsidRPr="00F535B4">
              <w:rPr>
                <w:rFonts w:eastAsia="Calibri"/>
                <w:bCs/>
                <w:szCs w:val="24"/>
              </w:rPr>
              <w:lastRenderedPageBreak/>
              <w:t>Naudojamoje įrangoje nebus ribojamų medžiagų, išvardytų Direktyvos 2011/65 / ES II priede, išskyrus tuos atvejus, kai koncentracijos vertės vienarūšėse medžiagose neviršija tame priede nurodytų verčių.</w:t>
            </w:r>
          </w:p>
          <w:p w14:paraId="5B7E8B13" w14:textId="77777777" w:rsidR="00F535B4" w:rsidRPr="00F535B4" w:rsidRDefault="00F535B4" w:rsidP="00F535B4">
            <w:pPr>
              <w:jc w:val="both"/>
              <w:rPr>
                <w:rFonts w:eastAsia="Calibri"/>
                <w:bCs/>
                <w:szCs w:val="24"/>
              </w:rPr>
            </w:pPr>
            <w:r w:rsidRPr="00F535B4">
              <w:rPr>
                <w:rFonts w:eastAsia="Calibri"/>
                <w:bCs/>
                <w:szCs w:val="24"/>
              </w:rPr>
              <w:t>Pasibaigus įsigytos įrangos naudingo tarnavimo laikui, įrangos tiekėjai (pardavėjai) privalės (tai bus numatoma atitinkamuose įrangos įsigijimo dokumentuose). Įrangos atliekas sutvarkyti vadovaudamiesi Direktyvos 2012/19/EU reikalavimais ir Lietuvos Respublikos teisės aktais, reglamentuojančiais atliekų tvarkymą bei Valstybinio atliekų prevencijos ir tvarkymo plano nuostatomis.</w:t>
            </w:r>
          </w:p>
        </w:tc>
        <w:tc>
          <w:tcPr>
            <w:tcW w:w="5328" w:type="dxa"/>
          </w:tcPr>
          <w:p w14:paraId="20AA2BD3" w14:textId="77777777" w:rsidR="00F535B4" w:rsidRPr="00F535B4" w:rsidRDefault="00F535B4" w:rsidP="00F535B4">
            <w:pPr>
              <w:jc w:val="both"/>
              <w:rPr>
                <w:rFonts w:eastAsia="Calibri"/>
                <w:szCs w:val="24"/>
              </w:rPr>
            </w:pPr>
            <w:r w:rsidRPr="00F535B4">
              <w:rPr>
                <w:rFonts w:eastAsia="Calibri"/>
                <w:szCs w:val="24"/>
              </w:rPr>
              <w:lastRenderedPageBreak/>
              <w:t>Projekto vykdytojo deklaracija, pirkimo dokumentai, sutartys su tiekėjais, komerciniai pasiūlymai ir kt.</w:t>
            </w:r>
          </w:p>
        </w:tc>
      </w:tr>
      <w:tr w:rsidR="00F535B4" w:rsidRPr="00F535B4" w14:paraId="4D0BC42A" w14:textId="77777777" w:rsidTr="005133B3">
        <w:tc>
          <w:tcPr>
            <w:tcW w:w="4537" w:type="dxa"/>
          </w:tcPr>
          <w:p w14:paraId="6D3633B0" w14:textId="77777777" w:rsidR="00F535B4" w:rsidRPr="00F535B4" w:rsidRDefault="00F535B4" w:rsidP="00F535B4">
            <w:pPr>
              <w:tabs>
                <w:tab w:val="left" w:pos="289"/>
              </w:tabs>
              <w:ind w:firstLine="5"/>
              <w:jc w:val="both"/>
              <w:rPr>
                <w:rFonts w:eastAsia="Calibri"/>
                <w:szCs w:val="24"/>
              </w:rPr>
            </w:pPr>
            <w:r w:rsidRPr="00F535B4">
              <w:rPr>
                <w:rFonts w:eastAsia="Calibri"/>
                <w:szCs w:val="24"/>
              </w:rPr>
              <w:t>5.</w:t>
            </w:r>
            <w:r w:rsidRPr="00F535B4">
              <w:rPr>
                <w:rFonts w:eastAsia="Calibri"/>
                <w:szCs w:val="24"/>
              </w:rPr>
              <w:tab/>
            </w:r>
            <w:r w:rsidRPr="00F535B4">
              <w:rPr>
                <w:rFonts w:eastAsia="Calibri"/>
                <w:bCs/>
                <w:szCs w:val="24"/>
              </w:rPr>
              <w:t>Oro, vandens ar žemės taršos prevencija ir kontrolė</w:t>
            </w:r>
          </w:p>
        </w:tc>
        <w:tc>
          <w:tcPr>
            <w:tcW w:w="4984" w:type="dxa"/>
          </w:tcPr>
          <w:p w14:paraId="5369E44B" w14:textId="77777777" w:rsidR="00F535B4" w:rsidRPr="00F535B4" w:rsidRDefault="00F535B4" w:rsidP="00F535B4">
            <w:pPr>
              <w:jc w:val="both"/>
              <w:rPr>
                <w:rFonts w:eastAsia="Calibri"/>
                <w:szCs w:val="24"/>
              </w:rPr>
            </w:pPr>
            <w:r w:rsidRPr="00F535B4">
              <w:rPr>
                <w:rFonts w:eastAsia="Calibri"/>
                <w:szCs w:val="24"/>
              </w:rPr>
              <w:t>Planuojamos įgyvendinti veiklos neturi jokio numatomo poveikio šiam aplinkos tikslui arba numatomas jos poveikis yra nereikšmingas, t. y. nedaro tiesioginio ir pirminio netiesioginio poveikio per visą gyvavimo ciklą, todėl laikoma, kad veiklos atitinka oro, vandens ar žemės taršos prevencijos ir kontrolės tikslą.</w:t>
            </w:r>
          </w:p>
        </w:tc>
        <w:tc>
          <w:tcPr>
            <w:tcW w:w="5328" w:type="dxa"/>
          </w:tcPr>
          <w:p w14:paraId="2067E6BE" w14:textId="77777777" w:rsidR="00F535B4" w:rsidRPr="00F535B4" w:rsidRDefault="00F535B4" w:rsidP="00F535B4">
            <w:pPr>
              <w:jc w:val="both"/>
              <w:rPr>
                <w:rFonts w:eastAsia="Calibri"/>
                <w:szCs w:val="24"/>
              </w:rPr>
            </w:pPr>
            <w:r w:rsidRPr="00F535B4">
              <w:rPr>
                <w:rFonts w:eastAsia="Calibri"/>
                <w:szCs w:val="24"/>
              </w:rPr>
              <w:t>Projekto vykdytojo deklaracija</w:t>
            </w:r>
          </w:p>
        </w:tc>
      </w:tr>
      <w:tr w:rsidR="00F535B4" w:rsidRPr="00F535B4" w14:paraId="25FD97CD" w14:textId="77777777" w:rsidTr="005133B3">
        <w:tc>
          <w:tcPr>
            <w:tcW w:w="4537" w:type="dxa"/>
          </w:tcPr>
          <w:p w14:paraId="5771617D" w14:textId="77777777" w:rsidR="00F535B4" w:rsidRPr="00F535B4" w:rsidRDefault="00F535B4" w:rsidP="00F535B4">
            <w:pPr>
              <w:tabs>
                <w:tab w:val="left" w:pos="289"/>
              </w:tabs>
              <w:ind w:left="5" w:firstLine="5"/>
              <w:jc w:val="both"/>
              <w:rPr>
                <w:rFonts w:eastAsia="Calibri"/>
                <w:szCs w:val="24"/>
              </w:rPr>
            </w:pPr>
            <w:r w:rsidRPr="00F535B4">
              <w:rPr>
                <w:rFonts w:eastAsia="Calibri"/>
                <w:szCs w:val="24"/>
              </w:rPr>
              <w:t>6.</w:t>
            </w:r>
            <w:r w:rsidRPr="00F535B4">
              <w:rPr>
                <w:rFonts w:eastAsia="Calibri"/>
                <w:szCs w:val="24"/>
              </w:rPr>
              <w:tab/>
              <w:t>Biologinės įvairovės ir ekosistemų apsauga ir atkūrimas</w:t>
            </w:r>
          </w:p>
        </w:tc>
        <w:tc>
          <w:tcPr>
            <w:tcW w:w="4984" w:type="dxa"/>
          </w:tcPr>
          <w:p w14:paraId="33B5D745" w14:textId="77777777" w:rsidR="00F535B4" w:rsidRPr="00F535B4" w:rsidRDefault="00F535B4" w:rsidP="00F535B4">
            <w:pPr>
              <w:jc w:val="both"/>
              <w:rPr>
                <w:rFonts w:eastAsia="Calibri"/>
                <w:szCs w:val="24"/>
              </w:rPr>
            </w:pPr>
            <w:r w:rsidRPr="00F535B4">
              <w:rPr>
                <w:rFonts w:eastAsia="Calibri"/>
                <w:szCs w:val="24"/>
              </w:rPr>
              <w:t>Planuojamos įgyvendinti veiklos neturi jokio numatomo poveikio šiam aplinkos tikslui arba numatomas jos poveikis yra nereikšmingas, t. y. nedaro tiesioginio ir pirminio netiesioginio poveikio per visą gyvavimo ciklą, todėl laikoma, kad veiklos atitinka biologinės įvairovės ir ekosistemų apsaugos ir atkūrimo tikslą.</w:t>
            </w:r>
          </w:p>
        </w:tc>
        <w:tc>
          <w:tcPr>
            <w:tcW w:w="5328" w:type="dxa"/>
          </w:tcPr>
          <w:p w14:paraId="62104A41" w14:textId="77777777" w:rsidR="00F535B4" w:rsidRPr="00F535B4" w:rsidRDefault="00F535B4" w:rsidP="00F535B4">
            <w:pPr>
              <w:jc w:val="both"/>
              <w:rPr>
                <w:rFonts w:eastAsia="Calibri"/>
                <w:szCs w:val="24"/>
              </w:rPr>
            </w:pPr>
            <w:r w:rsidRPr="00F535B4">
              <w:rPr>
                <w:rFonts w:eastAsia="Calibri"/>
                <w:szCs w:val="24"/>
              </w:rPr>
              <w:t>Projekto vykdytojo deklaracija</w:t>
            </w:r>
          </w:p>
        </w:tc>
      </w:tr>
    </w:tbl>
    <w:p w14:paraId="7D63019C" w14:textId="77777777" w:rsidR="00F4662F" w:rsidRPr="009D5352" w:rsidRDefault="00F4662F">
      <w:pPr>
        <w:suppressAutoHyphens/>
        <w:rPr>
          <w:sz w:val="18"/>
          <w:szCs w:val="18"/>
        </w:rPr>
      </w:pPr>
    </w:p>
    <w:p w14:paraId="6C4A84C7" w14:textId="6C9A89C9" w:rsidR="000D3A87" w:rsidRPr="009D5352" w:rsidRDefault="00244911" w:rsidP="00AB70C1">
      <w:pPr>
        <w:suppressAutoHyphens/>
        <w:spacing w:line="276" w:lineRule="auto"/>
        <w:jc w:val="center"/>
        <w:rPr>
          <w:szCs w:val="24"/>
        </w:rPr>
      </w:pPr>
      <w:r w:rsidRPr="009D5352">
        <w:rPr>
          <w:rFonts w:ascii="Calibri" w:eastAsia="Calibri" w:hAnsi="Calibri"/>
          <w:sz w:val="22"/>
          <w:szCs w:val="22"/>
        </w:rPr>
        <w:t>________________</w:t>
      </w:r>
    </w:p>
    <w:sectPr w:rsidR="000D3A87" w:rsidRPr="009D5352">
      <w:headerReference w:type="first" r:id="rId19"/>
      <w:pgSz w:w="16838" w:h="11906" w:orient="landscape"/>
      <w:pgMar w:top="1701" w:right="567" w:bottom="1134"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6625F" w14:textId="77777777" w:rsidR="00EC583D" w:rsidRDefault="00EC583D">
      <w:pPr>
        <w:suppressAutoHyphens/>
      </w:pPr>
      <w:r>
        <w:separator/>
      </w:r>
    </w:p>
    <w:p w14:paraId="4828A017" w14:textId="77777777" w:rsidR="00EC583D" w:rsidRDefault="00EC583D"/>
  </w:endnote>
  <w:endnote w:type="continuationSeparator" w:id="0">
    <w:p w14:paraId="636FB343" w14:textId="77777777" w:rsidR="00EC583D" w:rsidRDefault="00EC583D">
      <w:pPr>
        <w:suppressAutoHyphens/>
      </w:pPr>
      <w:r>
        <w:continuationSeparator/>
      </w:r>
    </w:p>
    <w:p w14:paraId="4F3D015B" w14:textId="77777777" w:rsidR="00EC583D" w:rsidRDefault="00EC583D"/>
  </w:endnote>
  <w:endnote w:type="continuationNotice" w:id="1">
    <w:p w14:paraId="650699A0" w14:textId="77777777" w:rsidR="00EC583D" w:rsidRDefault="00EC58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FC2DF" w14:textId="77777777" w:rsidR="00F4662F" w:rsidRDefault="00F4662F">
    <w:pPr>
      <w:tabs>
        <w:tab w:val="center" w:pos="4819"/>
        <w:tab w:val="right" w:pos="9638"/>
      </w:tabs>
      <w:suppressAutoHyphen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C42A" w14:textId="77777777" w:rsidR="00F4662F" w:rsidRDefault="00F4662F">
    <w:pPr>
      <w:tabs>
        <w:tab w:val="center" w:pos="4819"/>
        <w:tab w:val="right" w:pos="9638"/>
      </w:tabs>
      <w:suppressAutoHyphen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1FD6" w14:textId="77777777" w:rsidR="00F4662F" w:rsidRDefault="00F4662F">
    <w:pPr>
      <w:tabs>
        <w:tab w:val="center" w:pos="4819"/>
        <w:tab w:val="right" w:pos="9638"/>
      </w:tabs>
      <w:suppressAutoHyphen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5A0FC" w14:textId="77777777" w:rsidR="00EC583D" w:rsidRDefault="00EC583D">
      <w:pPr>
        <w:suppressAutoHyphens/>
      </w:pPr>
      <w:r>
        <w:rPr>
          <w:color w:val="000000"/>
        </w:rPr>
        <w:separator/>
      </w:r>
    </w:p>
    <w:p w14:paraId="73CDB8BD" w14:textId="77777777" w:rsidR="00EC583D" w:rsidRDefault="00EC583D"/>
  </w:footnote>
  <w:footnote w:type="continuationSeparator" w:id="0">
    <w:p w14:paraId="2DFFB162" w14:textId="77777777" w:rsidR="00EC583D" w:rsidRDefault="00EC583D">
      <w:pPr>
        <w:suppressAutoHyphens/>
      </w:pPr>
      <w:r>
        <w:continuationSeparator/>
      </w:r>
    </w:p>
    <w:p w14:paraId="4544D9F6" w14:textId="77777777" w:rsidR="00EC583D" w:rsidRDefault="00EC583D"/>
  </w:footnote>
  <w:footnote w:type="continuationNotice" w:id="1">
    <w:p w14:paraId="7D6EC974" w14:textId="77777777" w:rsidR="00EC583D" w:rsidRDefault="00EC58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E368" w14:textId="77777777" w:rsidR="00F4662F" w:rsidRDefault="00F4662F">
    <w:pPr>
      <w:tabs>
        <w:tab w:val="center" w:pos="4513"/>
        <w:tab w:val="right" w:pos="9026"/>
      </w:tabs>
      <w:suppressAutoHyphen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03AB" w14:textId="77777777" w:rsidR="00F4662F" w:rsidRDefault="00244911">
    <w:pPr>
      <w:tabs>
        <w:tab w:val="center" w:pos="4819"/>
        <w:tab w:val="right" w:pos="9638"/>
      </w:tabs>
      <w:suppressAutoHyphens/>
      <w:jc w:val="center"/>
    </w:pPr>
    <w:r>
      <w:rPr>
        <w:szCs w:val="22"/>
      </w:rPr>
      <w:fldChar w:fldCharType="begin"/>
    </w:r>
    <w:r>
      <w:rPr>
        <w:szCs w:val="22"/>
      </w:rPr>
      <w:instrText xml:space="preserve"> PAGE </w:instrText>
    </w:r>
    <w:r>
      <w:rPr>
        <w:szCs w:val="22"/>
      </w:rPr>
      <w:fldChar w:fldCharType="separate"/>
    </w:r>
    <w:r>
      <w:rPr>
        <w:szCs w:val="22"/>
      </w:rPr>
      <w:t>9</w:t>
    </w:r>
    <w:r>
      <w:rPr>
        <w:szCs w:val="22"/>
      </w:rPr>
      <w:fldChar w:fldCharType="end"/>
    </w:r>
  </w:p>
  <w:p w14:paraId="253CB980" w14:textId="77777777" w:rsidR="00F4662F" w:rsidRDefault="00F4662F">
    <w:pPr>
      <w:tabs>
        <w:tab w:val="center" w:pos="4819"/>
        <w:tab w:val="right" w:pos="9638"/>
      </w:tabs>
      <w:suppressAutoHyphen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23D4" w14:textId="062163E9" w:rsidR="00F4662F" w:rsidRPr="00D36BC1" w:rsidRDefault="00D36BC1" w:rsidP="00D36BC1">
    <w:pPr>
      <w:tabs>
        <w:tab w:val="center" w:pos="4680"/>
        <w:tab w:val="right" w:pos="9360"/>
      </w:tabs>
      <w:jc w:val="right"/>
      <w:rPr>
        <w:b/>
        <w:bCs/>
      </w:rPr>
    </w:pPr>
    <w:r w:rsidRPr="00D36BC1">
      <w:rPr>
        <w:b/>
        <w:bCs/>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6BA5" w14:textId="77777777" w:rsidR="00D34516" w:rsidRDefault="00D34516">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501"/>
    <w:rsid w:val="00003600"/>
    <w:rsid w:val="000064FB"/>
    <w:rsid w:val="00013367"/>
    <w:rsid w:val="00014B1B"/>
    <w:rsid w:val="000168E6"/>
    <w:rsid w:val="00020D71"/>
    <w:rsid w:val="00023A29"/>
    <w:rsid w:val="00034930"/>
    <w:rsid w:val="00054B25"/>
    <w:rsid w:val="00071E65"/>
    <w:rsid w:val="000730F3"/>
    <w:rsid w:val="00083FDE"/>
    <w:rsid w:val="000B5EF0"/>
    <w:rsid w:val="000C5148"/>
    <w:rsid w:val="000C7044"/>
    <w:rsid w:val="000D023A"/>
    <w:rsid w:val="000D3A87"/>
    <w:rsid w:val="000E45E2"/>
    <w:rsid w:val="000F3169"/>
    <w:rsid w:val="0010001B"/>
    <w:rsid w:val="001071DC"/>
    <w:rsid w:val="00110C06"/>
    <w:rsid w:val="0011212D"/>
    <w:rsid w:val="00113CFC"/>
    <w:rsid w:val="00115374"/>
    <w:rsid w:val="00134758"/>
    <w:rsid w:val="00151129"/>
    <w:rsid w:val="00154A61"/>
    <w:rsid w:val="001577F4"/>
    <w:rsid w:val="00162EA3"/>
    <w:rsid w:val="00171329"/>
    <w:rsid w:val="00177E84"/>
    <w:rsid w:val="00194419"/>
    <w:rsid w:val="001A4233"/>
    <w:rsid w:val="001B61C2"/>
    <w:rsid w:val="001C57C8"/>
    <w:rsid w:val="001C7103"/>
    <w:rsid w:val="001D5860"/>
    <w:rsid w:val="001E1798"/>
    <w:rsid w:val="001E783D"/>
    <w:rsid w:val="001F0800"/>
    <w:rsid w:val="00206446"/>
    <w:rsid w:val="00211AF3"/>
    <w:rsid w:val="0021201D"/>
    <w:rsid w:val="002161BD"/>
    <w:rsid w:val="002236EF"/>
    <w:rsid w:val="00230056"/>
    <w:rsid w:val="00231CD9"/>
    <w:rsid w:val="00234AF4"/>
    <w:rsid w:val="002356DC"/>
    <w:rsid w:val="002367C7"/>
    <w:rsid w:val="0024398A"/>
    <w:rsid w:val="002445BA"/>
    <w:rsid w:val="00244911"/>
    <w:rsid w:val="00245B79"/>
    <w:rsid w:val="00245EC2"/>
    <w:rsid w:val="002465CA"/>
    <w:rsid w:val="00246969"/>
    <w:rsid w:val="0025594E"/>
    <w:rsid w:val="00255EB9"/>
    <w:rsid w:val="0026363C"/>
    <w:rsid w:val="0027025E"/>
    <w:rsid w:val="0027799E"/>
    <w:rsid w:val="00280BA5"/>
    <w:rsid w:val="002A0D33"/>
    <w:rsid w:val="002A2D90"/>
    <w:rsid w:val="002A4675"/>
    <w:rsid w:val="002A6F01"/>
    <w:rsid w:val="002B482C"/>
    <w:rsid w:val="002B6D04"/>
    <w:rsid w:val="002C66A1"/>
    <w:rsid w:val="002C6E7C"/>
    <w:rsid w:val="002D2836"/>
    <w:rsid w:val="002D4C28"/>
    <w:rsid w:val="002D6F56"/>
    <w:rsid w:val="002D7E5C"/>
    <w:rsid w:val="002E3C34"/>
    <w:rsid w:val="002E628B"/>
    <w:rsid w:val="002F1091"/>
    <w:rsid w:val="002F6132"/>
    <w:rsid w:val="003009B3"/>
    <w:rsid w:val="00300F72"/>
    <w:rsid w:val="00307325"/>
    <w:rsid w:val="00315588"/>
    <w:rsid w:val="00315F7D"/>
    <w:rsid w:val="00320117"/>
    <w:rsid w:val="003261FB"/>
    <w:rsid w:val="00330288"/>
    <w:rsid w:val="00330DAE"/>
    <w:rsid w:val="00360F40"/>
    <w:rsid w:val="0036491F"/>
    <w:rsid w:val="00367ECD"/>
    <w:rsid w:val="003747E7"/>
    <w:rsid w:val="00376955"/>
    <w:rsid w:val="003907D8"/>
    <w:rsid w:val="00393502"/>
    <w:rsid w:val="003936B8"/>
    <w:rsid w:val="003949D8"/>
    <w:rsid w:val="00394FE4"/>
    <w:rsid w:val="003A24B3"/>
    <w:rsid w:val="003A2F4F"/>
    <w:rsid w:val="003B0EF9"/>
    <w:rsid w:val="003B2501"/>
    <w:rsid w:val="003B41AF"/>
    <w:rsid w:val="003C04AE"/>
    <w:rsid w:val="003D7A6B"/>
    <w:rsid w:val="003E3203"/>
    <w:rsid w:val="003E4641"/>
    <w:rsid w:val="003E6040"/>
    <w:rsid w:val="003E6FD3"/>
    <w:rsid w:val="003F6C60"/>
    <w:rsid w:val="003F6F9D"/>
    <w:rsid w:val="00403F76"/>
    <w:rsid w:val="00407A47"/>
    <w:rsid w:val="00410741"/>
    <w:rsid w:val="0041156B"/>
    <w:rsid w:val="00412175"/>
    <w:rsid w:val="004164DD"/>
    <w:rsid w:val="00425778"/>
    <w:rsid w:val="00430AC0"/>
    <w:rsid w:val="00430CCE"/>
    <w:rsid w:val="0043156F"/>
    <w:rsid w:val="004378F6"/>
    <w:rsid w:val="0044330D"/>
    <w:rsid w:val="004513AB"/>
    <w:rsid w:val="00465CC6"/>
    <w:rsid w:val="004870D2"/>
    <w:rsid w:val="0049084B"/>
    <w:rsid w:val="0049504F"/>
    <w:rsid w:val="004968C0"/>
    <w:rsid w:val="00496B85"/>
    <w:rsid w:val="004A01AF"/>
    <w:rsid w:val="004A0361"/>
    <w:rsid w:val="004A0406"/>
    <w:rsid w:val="004A09F0"/>
    <w:rsid w:val="004A1A8D"/>
    <w:rsid w:val="004A4F99"/>
    <w:rsid w:val="004A5318"/>
    <w:rsid w:val="004A5B6E"/>
    <w:rsid w:val="004A7AEC"/>
    <w:rsid w:val="004B0D64"/>
    <w:rsid w:val="004C057E"/>
    <w:rsid w:val="004C1199"/>
    <w:rsid w:val="004C1C7A"/>
    <w:rsid w:val="004C6685"/>
    <w:rsid w:val="004D5A34"/>
    <w:rsid w:val="004D6E29"/>
    <w:rsid w:val="004D7F01"/>
    <w:rsid w:val="004E1BBF"/>
    <w:rsid w:val="004E2E47"/>
    <w:rsid w:val="004E31D1"/>
    <w:rsid w:val="004E5016"/>
    <w:rsid w:val="004F7A2E"/>
    <w:rsid w:val="0050242A"/>
    <w:rsid w:val="0050260B"/>
    <w:rsid w:val="005053E6"/>
    <w:rsid w:val="005073F5"/>
    <w:rsid w:val="00514D1F"/>
    <w:rsid w:val="00520F4B"/>
    <w:rsid w:val="00524D57"/>
    <w:rsid w:val="00524E6B"/>
    <w:rsid w:val="00543AEF"/>
    <w:rsid w:val="00544CCC"/>
    <w:rsid w:val="00546C2E"/>
    <w:rsid w:val="005535B9"/>
    <w:rsid w:val="005557EF"/>
    <w:rsid w:val="00557567"/>
    <w:rsid w:val="00557EAC"/>
    <w:rsid w:val="005675AB"/>
    <w:rsid w:val="0057021C"/>
    <w:rsid w:val="00570928"/>
    <w:rsid w:val="00570F4B"/>
    <w:rsid w:val="00580AF2"/>
    <w:rsid w:val="00584F48"/>
    <w:rsid w:val="0058783D"/>
    <w:rsid w:val="0059089D"/>
    <w:rsid w:val="005A4683"/>
    <w:rsid w:val="005A6845"/>
    <w:rsid w:val="005B4BFE"/>
    <w:rsid w:val="005C4CDF"/>
    <w:rsid w:val="005C5C3A"/>
    <w:rsid w:val="005D2F07"/>
    <w:rsid w:val="005D3089"/>
    <w:rsid w:val="005D4C71"/>
    <w:rsid w:val="005D51C9"/>
    <w:rsid w:val="005E32E6"/>
    <w:rsid w:val="005F250F"/>
    <w:rsid w:val="0060416D"/>
    <w:rsid w:val="006043AB"/>
    <w:rsid w:val="00610BC8"/>
    <w:rsid w:val="00622509"/>
    <w:rsid w:val="00626817"/>
    <w:rsid w:val="00632456"/>
    <w:rsid w:val="00632B75"/>
    <w:rsid w:val="00633EEF"/>
    <w:rsid w:val="00642240"/>
    <w:rsid w:val="006437EE"/>
    <w:rsid w:val="00645566"/>
    <w:rsid w:val="006606F2"/>
    <w:rsid w:val="00660F10"/>
    <w:rsid w:val="00671822"/>
    <w:rsid w:val="00672A83"/>
    <w:rsid w:val="00673BFB"/>
    <w:rsid w:val="00681E1B"/>
    <w:rsid w:val="00684BF1"/>
    <w:rsid w:val="00687943"/>
    <w:rsid w:val="006A2AED"/>
    <w:rsid w:val="006B3A37"/>
    <w:rsid w:val="006C6726"/>
    <w:rsid w:val="006C7A68"/>
    <w:rsid w:val="006D058D"/>
    <w:rsid w:val="006D455F"/>
    <w:rsid w:val="006E16BD"/>
    <w:rsid w:val="006E17F1"/>
    <w:rsid w:val="006E3124"/>
    <w:rsid w:val="006E4A99"/>
    <w:rsid w:val="006F1E37"/>
    <w:rsid w:val="00700EBA"/>
    <w:rsid w:val="00701F1A"/>
    <w:rsid w:val="00703B46"/>
    <w:rsid w:val="007177A5"/>
    <w:rsid w:val="00722096"/>
    <w:rsid w:val="007341DA"/>
    <w:rsid w:val="007353E8"/>
    <w:rsid w:val="007431DF"/>
    <w:rsid w:val="007442BD"/>
    <w:rsid w:val="00750B31"/>
    <w:rsid w:val="00750FA5"/>
    <w:rsid w:val="00761B95"/>
    <w:rsid w:val="00761F44"/>
    <w:rsid w:val="0076270B"/>
    <w:rsid w:val="007631CC"/>
    <w:rsid w:val="0077116F"/>
    <w:rsid w:val="0077300E"/>
    <w:rsid w:val="00783987"/>
    <w:rsid w:val="00786562"/>
    <w:rsid w:val="00792B17"/>
    <w:rsid w:val="00793EE4"/>
    <w:rsid w:val="00796F94"/>
    <w:rsid w:val="0079780B"/>
    <w:rsid w:val="007A39F0"/>
    <w:rsid w:val="007A3FA0"/>
    <w:rsid w:val="007A620C"/>
    <w:rsid w:val="007B281D"/>
    <w:rsid w:val="007B4674"/>
    <w:rsid w:val="007B747D"/>
    <w:rsid w:val="007B7D39"/>
    <w:rsid w:val="007C052B"/>
    <w:rsid w:val="007C331F"/>
    <w:rsid w:val="007E4368"/>
    <w:rsid w:val="007F65B5"/>
    <w:rsid w:val="00801A36"/>
    <w:rsid w:val="00801BCE"/>
    <w:rsid w:val="00802A6B"/>
    <w:rsid w:val="008119CC"/>
    <w:rsid w:val="008159AC"/>
    <w:rsid w:val="008169BC"/>
    <w:rsid w:val="00816CF3"/>
    <w:rsid w:val="00824A07"/>
    <w:rsid w:val="00826FAB"/>
    <w:rsid w:val="00827525"/>
    <w:rsid w:val="00847D40"/>
    <w:rsid w:val="0085669B"/>
    <w:rsid w:val="008570EB"/>
    <w:rsid w:val="0087316B"/>
    <w:rsid w:val="00874724"/>
    <w:rsid w:val="00875889"/>
    <w:rsid w:val="00876A6B"/>
    <w:rsid w:val="008819B4"/>
    <w:rsid w:val="00887740"/>
    <w:rsid w:val="008A0037"/>
    <w:rsid w:val="008A1770"/>
    <w:rsid w:val="008A1B0D"/>
    <w:rsid w:val="008A2D6F"/>
    <w:rsid w:val="008B51CD"/>
    <w:rsid w:val="008B72B8"/>
    <w:rsid w:val="008C7D16"/>
    <w:rsid w:val="008E3971"/>
    <w:rsid w:val="008E3B07"/>
    <w:rsid w:val="008E4633"/>
    <w:rsid w:val="008E6C67"/>
    <w:rsid w:val="008F0313"/>
    <w:rsid w:val="008F357C"/>
    <w:rsid w:val="008F690E"/>
    <w:rsid w:val="00921BD3"/>
    <w:rsid w:val="009330CE"/>
    <w:rsid w:val="00941CB4"/>
    <w:rsid w:val="00942A30"/>
    <w:rsid w:val="00944214"/>
    <w:rsid w:val="0095087F"/>
    <w:rsid w:val="00960CE7"/>
    <w:rsid w:val="009614DE"/>
    <w:rsid w:val="009619F2"/>
    <w:rsid w:val="009645FC"/>
    <w:rsid w:val="00964ABF"/>
    <w:rsid w:val="00967A67"/>
    <w:rsid w:val="00971576"/>
    <w:rsid w:val="009740A9"/>
    <w:rsid w:val="00977B31"/>
    <w:rsid w:val="0098625A"/>
    <w:rsid w:val="00997D3F"/>
    <w:rsid w:val="009A1CB2"/>
    <w:rsid w:val="009A77FE"/>
    <w:rsid w:val="009A787D"/>
    <w:rsid w:val="009B1C8C"/>
    <w:rsid w:val="009C1B59"/>
    <w:rsid w:val="009C263B"/>
    <w:rsid w:val="009C2B00"/>
    <w:rsid w:val="009D276F"/>
    <w:rsid w:val="009D5352"/>
    <w:rsid w:val="009D79AD"/>
    <w:rsid w:val="009E70A4"/>
    <w:rsid w:val="009F1C3A"/>
    <w:rsid w:val="009F20CE"/>
    <w:rsid w:val="009F489C"/>
    <w:rsid w:val="009F7737"/>
    <w:rsid w:val="00A03689"/>
    <w:rsid w:val="00A1779A"/>
    <w:rsid w:val="00A21B36"/>
    <w:rsid w:val="00A22E68"/>
    <w:rsid w:val="00A234DA"/>
    <w:rsid w:val="00A26D63"/>
    <w:rsid w:val="00A30150"/>
    <w:rsid w:val="00A3176D"/>
    <w:rsid w:val="00A331BC"/>
    <w:rsid w:val="00A33CFF"/>
    <w:rsid w:val="00A431A5"/>
    <w:rsid w:val="00A50EC5"/>
    <w:rsid w:val="00A644E5"/>
    <w:rsid w:val="00A64525"/>
    <w:rsid w:val="00A64EBA"/>
    <w:rsid w:val="00A73E25"/>
    <w:rsid w:val="00A76BEB"/>
    <w:rsid w:val="00A771C2"/>
    <w:rsid w:val="00A80A53"/>
    <w:rsid w:val="00A80F4B"/>
    <w:rsid w:val="00A822BF"/>
    <w:rsid w:val="00A82F49"/>
    <w:rsid w:val="00A95FDA"/>
    <w:rsid w:val="00AA0E3E"/>
    <w:rsid w:val="00AA6920"/>
    <w:rsid w:val="00AB52D2"/>
    <w:rsid w:val="00AB5313"/>
    <w:rsid w:val="00AB70C1"/>
    <w:rsid w:val="00AC70F5"/>
    <w:rsid w:val="00AD0006"/>
    <w:rsid w:val="00AD03F8"/>
    <w:rsid w:val="00AD70D9"/>
    <w:rsid w:val="00AE0277"/>
    <w:rsid w:val="00AF0A9E"/>
    <w:rsid w:val="00AF1B77"/>
    <w:rsid w:val="00AF327D"/>
    <w:rsid w:val="00AF4F20"/>
    <w:rsid w:val="00AF6E74"/>
    <w:rsid w:val="00B0221B"/>
    <w:rsid w:val="00B0396D"/>
    <w:rsid w:val="00B22C30"/>
    <w:rsid w:val="00B2712B"/>
    <w:rsid w:val="00B315E0"/>
    <w:rsid w:val="00B31CB1"/>
    <w:rsid w:val="00B373DB"/>
    <w:rsid w:val="00B53248"/>
    <w:rsid w:val="00B5702C"/>
    <w:rsid w:val="00B64AC7"/>
    <w:rsid w:val="00B65C77"/>
    <w:rsid w:val="00B81ED7"/>
    <w:rsid w:val="00B82065"/>
    <w:rsid w:val="00B8342A"/>
    <w:rsid w:val="00B83D7F"/>
    <w:rsid w:val="00B857FA"/>
    <w:rsid w:val="00B92B78"/>
    <w:rsid w:val="00B95CBC"/>
    <w:rsid w:val="00B97200"/>
    <w:rsid w:val="00B97305"/>
    <w:rsid w:val="00BA0E6E"/>
    <w:rsid w:val="00BA4208"/>
    <w:rsid w:val="00BA4D2F"/>
    <w:rsid w:val="00BA5EE5"/>
    <w:rsid w:val="00BB51C5"/>
    <w:rsid w:val="00BC0B77"/>
    <w:rsid w:val="00BC3815"/>
    <w:rsid w:val="00BC4124"/>
    <w:rsid w:val="00BC6A9E"/>
    <w:rsid w:val="00BD1AE1"/>
    <w:rsid w:val="00BD5D20"/>
    <w:rsid w:val="00BD6ED5"/>
    <w:rsid w:val="00BD717B"/>
    <w:rsid w:val="00BE23B4"/>
    <w:rsid w:val="00BF1DA2"/>
    <w:rsid w:val="00BF2710"/>
    <w:rsid w:val="00BF6CA5"/>
    <w:rsid w:val="00C12EB0"/>
    <w:rsid w:val="00C143F0"/>
    <w:rsid w:val="00C156B7"/>
    <w:rsid w:val="00C20AC0"/>
    <w:rsid w:val="00C24E90"/>
    <w:rsid w:val="00C36C36"/>
    <w:rsid w:val="00C55F5B"/>
    <w:rsid w:val="00C561AC"/>
    <w:rsid w:val="00C62CA9"/>
    <w:rsid w:val="00C65B18"/>
    <w:rsid w:val="00C72E1E"/>
    <w:rsid w:val="00C76270"/>
    <w:rsid w:val="00C80FA9"/>
    <w:rsid w:val="00C906DB"/>
    <w:rsid w:val="00CA03B7"/>
    <w:rsid w:val="00CA39D8"/>
    <w:rsid w:val="00CA6860"/>
    <w:rsid w:val="00CB1247"/>
    <w:rsid w:val="00CB287D"/>
    <w:rsid w:val="00CC2FFA"/>
    <w:rsid w:val="00CD05D2"/>
    <w:rsid w:val="00CD24A0"/>
    <w:rsid w:val="00CD3A06"/>
    <w:rsid w:val="00CD4CDF"/>
    <w:rsid w:val="00CD6F3F"/>
    <w:rsid w:val="00CE14BB"/>
    <w:rsid w:val="00CE1736"/>
    <w:rsid w:val="00CE49B7"/>
    <w:rsid w:val="00CE5128"/>
    <w:rsid w:val="00CE75D0"/>
    <w:rsid w:val="00CF39C4"/>
    <w:rsid w:val="00CF43AF"/>
    <w:rsid w:val="00CF4D05"/>
    <w:rsid w:val="00CF75DA"/>
    <w:rsid w:val="00D01791"/>
    <w:rsid w:val="00D03946"/>
    <w:rsid w:val="00D24E99"/>
    <w:rsid w:val="00D333AA"/>
    <w:rsid w:val="00D34516"/>
    <w:rsid w:val="00D353F8"/>
    <w:rsid w:val="00D35562"/>
    <w:rsid w:val="00D36BC1"/>
    <w:rsid w:val="00D36CDB"/>
    <w:rsid w:val="00D414C8"/>
    <w:rsid w:val="00D46CE3"/>
    <w:rsid w:val="00D4736D"/>
    <w:rsid w:val="00D54DAB"/>
    <w:rsid w:val="00D5552D"/>
    <w:rsid w:val="00D56B4A"/>
    <w:rsid w:val="00D65F07"/>
    <w:rsid w:val="00D852F7"/>
    <w:rsid w:val="00D85A95"/>
    <w:rsid w:val="00D8668C"/>
    <w:rsid w:val="00D9146A"/>
    <w:rsid w:val="00DA0AE8"/>
    <w:rsid w:val="00DA1688"/>
    <w:rsid w:val="00DA43AB"/>
    <w:rsid w:val="00DB14E5"/>
    <w:rsid w:val="00DB19EA"/>
    <w:rsid w:val="00DB4F5F"/>
    <w:rsid w:val="00DB516E"/>
    <w:rsid w:val="00DC42AD"/>
    <w:rsid w:val="00DC6506"/>
    <w:rsid w:val="00DD11A0"/>
    <w:rsid w:val="00DD18E8"/>
    <w:rsid w:val="00DD2A2F"/>
    <w:rsid w:val="00E006A2"/>
    <w:rsid w:val="00E02952"/>
    <w:rsid w:val="00E041D1"/>
    <w:rsid w:val="00E05A92"/>
    <w:rsid w:val="00E114C0"/>
    <w:rsid w:val="00E1738E"/>
    <w:rsid w:val="00E23E82"/>
    <w:rsid w:val="00E27760"/>
    <w:rsid w:val="00E31BEA"/>
    <w:rsid w:val="00E331FB"/>
    <w:rsid w:val="00E4614D"/>
    <w:rsid w:val="00E53278"/>
    <w:rsid w:val="00E54571"/>
    <w:rsid w:val="00E5473C"/>
    <w:rsid w:val="00E568A2"/>
    <w:rsid w:val="00E74BD9"/>
    <w:rsid w:val="00E771F4"/>
    <w:rsid w:val="00E8025A"/>
    <w:rsid w:val="00E8031D"/>
    <w:rsid w:val="00E828C5"/>
    <w:rsid w:val="00E82E4F"/>
    <w:rsid w:val="00E8426B"/>
    <w:rsid w:val="00E934D9"/>
    <w:rsid w:val="00E9749D"/>
    <w:rsid w:val="00EA3EA3"/>
    <w:rsid w:val="00EB3535"/>
    <w:rsid w:val="00EC583D"/>
    <w:rsid w:val="00EF4A01"/>
    <w:rsid w:val="00F004F8"/>
    <w:rsid w:val="00F1133F"/>
    <w:rsid w:val="00F125D1"/>
    <w:rsid w:val="00F2738D"/>
    <w:rsid w:val="00F351FC"/>
    <w:rsid w:val="00F3779F"/>
    <w:rsid w:val="00F42200"/>
    <w:rsid w:val="00F433CC"/>
    <w:rsid w:val="00F4662F"/>
    <w:rsid w:val="00F478F9"/>
    <w:rsid w:val="00F535B4"/>
    <w:rsid w:val="00F559AA"/>
    <w:rsid w:val="00F6153F"/>
    <w:rsid w:val="00F62630"/>
    <w:rsid w:val="00F72D8E"/>
    <w:rsid w:val="00F773A5"/>
    <w:rsid w:val="00F850B6"/>
    <w:rsid w:val="00F941C0"/>
    <w:rsid w:val="00F9647E"/>
    <w:rsid w:val="00FA09DF"/>
    <w:rsid w:val="00FA5535"/>
    <w:rsid w:val="00FB3944"/>
    <w:rsid w:val="00FC0751"/>
    <w:rsid w:val="00FC3406"/>
    <w:rsid w:val="00FC44B8"/>
    <w:rsid w:val="00FC7FC5"/>
    <w:rsid w:val="00FE3974"/>
    <w:rsid w:val="00FF0334"/>
    <w:rsid w:val="00FF44BF"/>
    <w:rsid w:val="00FF471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7F7F5"/>
  <w15:docId w15:val="{A65FD12B-4347-4AB5-A3CC-B1E380F3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255EB9"/>
  </w:style>
  <w:style w:type="character" w:styleId="Komentaronuoroda">
    <w:name w:val="annotation reference"/>
    <w:basedOn w:val="Numatytasispastraiposriftas"/>
    <w:semiHidden/>
    <w:unhideWhenUsed/>
    <w:rsid w:val="008F690E"/>
    <w:rPr>
      <w:sz w:val="16"/>
      <w:szCs w:val="16"/>
    </w:rPr>
  </w:style>
  <w:style w:type="paragraph" w:styleId="Komentarotekstas">
    <w:name w:val="annotation text"/>
    <w:basedOn w:val="prastasis"/>
    <w:link w:val="KomentarotekstasDiagrama"/>
    <w:unhideWhenUsed/>
    <w:rsid w:val="008F690E"/>
    <w:rPr>
      <w:sz w:val="20"/>
    </w:rPr>
  </w:style>
  <w:style w:type="character" w:customStyle="1" w:styleId="KomentarotekstasDiagrama">
    <w:name w:val="Komentaro tekstas Diagrama"/>
    <w:basedOn w:val="Numatytasispastraiposriftas"/>
    <w:link w:val="Komentarotekstas"/>
    <w:rsid w:val="008F690E"/>
    <w:rPr>
      <w:sz w:val="20"/>
    </w:rPr>
  </w:style>
  <w:style w:type="paragraph" w:styleId="Komentarotema">
    <w:name w:val="annotation subject"/>
    <w:basedOn w:val="Komentarotekstas"/>
    <w:next w:val="Komentarotekstas"/>
    <w:link w:val="KomentarotemaDiagrama"/>
    <w:semiHidden/>
    <w:unhideWhenUsed/>
    <w:rsid w:val="008F690E"/>
    <w:rPr>
      <w:b/>
      <w:bCs/>
    </w:rPr>
  </w:style>
  <w:style w:type="character" w:customStyle="1" w:styleId="KomentarotemaDiagrama">
    <w:name w:val="Komentaro tema Diagrama"/>
    <w:basedOn w:val="KomentarotekstasDiagrama"/>
    <w:link w:val="Komentarotema"/>
    <w:semiHidden/>
    <w:rsid w:val="008F690E"/>
    <w:rPr>
      <w:b/>
      <w:bCs/>
      <w:sz w:val="20"/>
    </w:rPr>
  </w:style>
  <w:style w:type="character" w:styleId="Hipersaitas">
    <w:name w:val="Hyperlink"/>
    <w:basedOn w:val="Numatytasispastraiposriftas"/>
    <w:unhideWhenUsed/>
    <w:rsid w:val="0011212D"/>
    <w:rPr>
      <w:color w:val="467886" w:themeColor="hyperlink"/>
      <w:u w:val="single"/>
    </w:rPr>
  </w:style>
  <w:style w:type="character" w:styleId="Neapdorotaspaminjimas">
    <w:name w:val="Unresolved Mention"/>
    <w:basedOn w:val="Numatytasispastraiposriftas"/>
    <w:uiPriority w:val="99"/>
    <w:semiHidden/>
    <w:unhideWhenUsed/>
    <w:rsid w:val="0011212D"/>
    <w:rPr>
      <w:color w:val="605E5C"/>
      <w:shd w:val="clear" w:color="auto" w:fill="E1DFDD"/>
    </w:rPr>
  </w:style>
  <w:style w:type="paragraph" w:styleId="Antrats">
    <w:name w:val="header"/>
    <w:basedOn w:val="prastasis"/>
    <w:link w:val="AntratsDiagrama"/>
    <w:unhideWhenUsed/>
    <w:rsid w:val="00D34516"/>
    <w:pPr>
      <w:tabs>
        <w:tab w:val="center" w:pos="4819"/>
        <w:tab w:val="right" w:pos="9638"/>
      </w:tabs>
    </w:pPr>
  </w:style>
  <w:style w:type="character" w:customStyle="1" w:styleId="AntratsDiagrama">
    <w:name w:val="Antraštės Diagrama"/>
    <w:basedOn w:val="Numatytasispastraiposriftas"/>
    <w:link w:val="Antrats"/>
    <w:rsid w:val="00D34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700989">
      <w:bodyDiv w:val="1"/>
      <w:marLeft w:val="0"/>
      <w:marRight w:val="0"/>
      <w:marTop w:val="0"/>
      <w:marBottom w:val="0"/>
      <w:divBdr>
        <w:top w:val="none" w:sz="0" w:space="0" w:color="auto"/>
        <w:left w:val="none" w:sz="0" w:space="0" w:color="auto"/>
        <w:bottom w:val="none" w:sz="0" w:space="0" w:color="auto"/>
        <w:right w:val="none" w:sz="0" w:space="0" w:color="auto"/>
      </w:divBdr>
    </w:div>
    <w:div w:id="894241941">
      <w:bodyDiv w:val="1"/>
      <w:marLeft w:val="0"/>
      <w:marRight w:val="0"/>
      <w:marTop w:val="0"/>
      <w:marBottom w:val="0"/>
      <w:divBdr>
        <w:top w:val="none" w:sz="0" w:space="0" w:color="auto"/>
        <w:left w:val="none" w:sz="0" w:space="0" w:color="auto"/>
        <w:bottom w:val="none" w:sz="0" w:space="0" w:color="auto"/>
        <w:right w:val="none" w:sz="0" w:space="0" w:color="auto"/>
      </w:divBdr>
    </w:div>
    <w:div w:id="1283073568">
      <w:bodyDiv w:val="1"/>
      <w:marLeft w:val="0"/>
      <w:marRight w:val="0"/>
      <w:marTop w:val="0"/>
      <w:marBottom w:val="0"/>
      <w:divBdr>
        <w:top w:val="none" w:sz="0" w:space="0" w:color="auto"/>
        <w:left w:val="none" w:sz="0" w:space="0" w:color="auto"/>
        <w:bottom w:val="none" w:sz="0" w:space="0" w:color="auto"/>
        <w:right w:val="none" w:sz="0" w:space="0" w:color="auto"/>
      </w:divBdr>
    </w:div>
    <w:div w:id="1335256686">
      <w:bodyDiv w:val="1"/>
      <w:marLeft w:val="0"/>
      <w:marRight w:val="0"/>
      <w:marTop w:val="0"/>
      <w:marBottom w:val="0"/>
      <w:divBdr>
        <w:top w:val="none" w:sz="0" w:space="0" w:color="auto"/>
        <w:left w:val="none" w:sz="0" w:space="0" w:color="auto"/>
        <w:bottom w:val="none" w:sz="0" w:space="0" w:color="auto"/>
        <w:right w:val="none" w:sz="0" w:space="0" w:color="auto"/>
      </w:divBdr>
    </w:div>
    <w:div w:id="1534076509">
      <w:bodyDiv w:val="1"/>
      <w:marLeft w:val="0"/>
      <w:marRight w:val="0"/>
      <w:marTop w:val="0"/>
      <w:marBottom w:val="0"/>
      <w:divBdr>
        <w:top w:val="none" w:sz="0" w:space="0" w:color="auto"/>
        <w:left w:val="none" w:sz="0" w:space="0" w:color="auto"/>
        <w:bottom w:val="none" w:sz="0" w:space="0" w:color="auto"/>
        <w:right w:val="none" w:sz="0" w:space="0" w:color="auto"/>
      </w:divBdr>
    </w:div>
    <w:div w:id="1695840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eur-lex.europa.eu/legal-content/LIT/TXT/?uri=CELEX:32021R0241&amp;locale=lt"
                 TargetMode="External"
                 Type="http://schemas.openxmlformats.org/officeDocument/2006/relationships/hyperlink"/>
   <Relationship Id="rId11"
                 Target="http://eur-lex.europa.eu/legal-content/LIT/TXT/?uri=CELEX:32852R2020&amp;locale=lt"
                 TargetMode="External"
                 Type="http://schemas.openxmlformats.org/officeDocument/2006/relationships/hyperlink"/>
   <Relationship Id="rId12"
                 Target="http://eur-lex.europa.eu/legal-content/LIT/TXT/?uri=CELEX:32019R2088&amp;locale=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header4.xml"
                 Type="http://schemas.openxmlformats.org/officeDocument/2006/relationships/header"/>
   <Relationship Id="rId2" Target="../customXml/item2.xml"
                 Type="http://schemas.openxmlformats.org/officeDocument/2006/relationships/customXml"/>
   <Relationship Id="rId20" Target="fontTable.xml"
                 Type="http://schemas.openxmlformats.org/officeDocument/2006/relationships/fontTable"/>
   <Relationship Id="rId21"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18" ma:contentTypeDescription="Kurkite naują dokumentą." ma:contentTypeScope="" ma:versionID="24dcbb32b671188018ef004a0343a59e">
  <xsd:schema xmlns:xsd="http://www.w3.org/2001/XMLSchema" xmlns:xs="http://www.w3.org/2001/XMLSchema" xmlns:p="http://schemas.microsoft.com/office/2006/metadata/properties" xmlns:ns3="552e2852-0092-456a-a905-fe2fcd342002" xmlns:ns4="1616500d-65c0-475f-b068-d647a5eaaffd" targetNamespace="http://schemas.microsoft.com/office/2006/metadata/properties" ma:root="true" ma:fieldsID="baa211c028c1c293f4186760fbfc99fb" ns3:_="" ns4:_="">
    <xsd:import namespace="552e2852-0092-456a-a905-fe2fcd342002"/>
    <xsd:import namespace="1616500d-65c0-475f-b068-d647a5eaaf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e2852-0092-456a-a905-fe2fcd34200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616500d-65c0-475f-b068-d647a5eaaffd"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93E19-0462-4122-ACFE-C95E1B7B3067}">
  <ds:schemaRefs>
    <ds:schemaRef ds:uri="http://schemas.openxmlformats.org/officeDocument/2006/bibliography"/>
  </ds:schemaRefs>
</ds:datastoreItem>
</file>

<file path=customXml/itemProps2.xml><?xml version="1.0" encoding="utf-8"?>
<ds:datastoreItem xmlns:ds="http://schemas.openxmlformats.org/officeDocument/2006/customXml" ds:itemID="{9B328629-5480-404B-8261-8104094F4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e2852-0092-456a-a905-fe2fcd342002"/>
    <ds:schemaRef ds:uri="1616500d-65c0-475f-b068-d647a5eaa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AD20F8-A0A2-46A9-ABA2-BB97821374DA}">
  <ds:schemaRefs>
    <ds:schemaRef ds:uri="http://schemas.microsoft.com/office/2006/metadata/properties"/>
    <ds:schemaRef ds:uri="http://schemas.microsoft.com/office/infopath/2007/PartnerControls"/>
    <ds:schemaRef ds:uri="1616500d-65c0-475f-b068-d647a5eaaffd"/>
  </ds:schemaRefs>
</ds:datastoreItem>
</file>

<file path=customXml/itemProps4.xml><?xml version="1.0" encoding="utf-8"?>
<ds:datastoreItem xmlns:ds="http://schemas.openxmlformats.org/officeDocument/2006/customXml" ds:itemID="{CFB522E1-4998-41D3-A813-7347A837B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12</Pages>
  <Words>15056</Words>
  <Characters>8582</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DĖL TEISĖS AKTO PROJEKTAS NR. 24-18895 PATEIKTAS SUDERINIMUI SU JŪSŲ INSTITUCIJA</vt:lpstr>
    </vt:vector>
  </TitlesOfParts>
  <Company/>
  <LinksUpToDate>false</LinksUpToDate>
  <CharactersWithSpaces>23591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2025-10-03T08:33:00Z</dcterms:created>
  <dc:creator>Virginija Levinskienė</dc:creator>
  <cp:lastModifiedBy>Meidutė-Birulienė Dalia | ŠMSM</cp:lastModifiedBy>
  <dcterms:modified xsi:type="dcterms:W3CDTF">2025-11-21T09:24:00Z</dcterms:modified>
  <cp:revision>173</cp:revision>
  <dc:title>DĖL TEISĖS AKTO PROJEKTAS NR. 24-18895 PATEIKTAS SUDERINIMUI SU JŪSŲ INSTITUCIJA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0x010100FA3B8481CE7C834E84A2A11937AD9022</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DmsPermissionsUsers">
    <vt:lpwstr>827;#Marija Samavičiūtė</vt:lpwstr>
  </property>
  <property fmtid="{D5CDD505-2E9C-101B-9397-08002B2CF9AE}" pid="6" name="TaxCatchAll">
    <vt:lpwstr/>
  </property>
  <property fmtid="{D5CDD505-2E9C-101B-9397-08002B2CF9AE}" pid="7" name="DmsPermissionsConfid">
    <vt:bool>false</vt:bool>
  </property>
</Properties>
</file>