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4701" w14:textId="77777777" w:rsidR="00BF0DC4" w:rsidRDefault="00AE5768">
      <w:pPr>
        <w:ind w:left="8364"/>
        <w:jc w:val="both"/>
        <w:rPr>
          <w:sz w:val="20"/>
          <w:shd w:val="clear" w:color="auto" w:fill="FFFFFF"/>
          <w:lang w:eastAsia="lt-LT"/>
        </w:rPr>
      </w:pPr>
      <w:r>
        <w:rPr>
          <w:sz w:val="20"/>
          <w:shd w:val="clear" w:color="auto" w:fill="FFFFFF"/>
          <w:lang w:eastAsia="lt-LT"/>
        </w:rPr>
        <w:t>2021–2030 metų Lietuvos Respublikos kultūros ministerijos kultūros ir kūrybingumo plėtros programos pažangos priemonės Nr. 08-001-01-09-01 „KKI plėtra, skatinanti konkurencingumą ir pridėtinės vertės kūrimą“ veiklos Nr. 1 „</w:t>
      </w:r>
      <w:r>
        <w:rPr>
          <w:sz w:val="20"/>
          <w:lang w:eastAsia="lt-LT"/>
        </w:rPr>
        <w:t>Infrastruktūros ir kitų sąlygų gerinimas siekiant kurti konkurencingus ir paklausius KKI produktus ir (arba) paslaugas</w:t>
      </w:r>
      <w:r>
        <w:rPr>
          <w:sz w:val="20"/>
          <w:shd w:val="clear" w:color="auto" w:fill="FFFFFF"/>
          <w:lang w:eastAsia="lt-LT"/>
        </w:rPr>
        <w:t>“ projektų finansavimo sąlygų aprašo Nr. 2</w:t>
      </w:r>
    </w:p>
    <w:p w14:paraId="2066B806" w14:textId="77777777" w:rsidR="00BF0DC4" w:rsidRDefault="00AE5768">
      <w:pPr>
        <w:ind w:left="8364"/>
        <w:jc w:val="both"/>
        <w:rPr>
          <w:sz w:val="20"/>
          <w:shd w:val="clear" w:color="auto" w:fill="FFFFFF"/>
          <w:lang w:eastAsia="lt-LT"/>
        </w:rPr>
      </w:pPr>
      <w:r>
        <w:rPr>
          <w:sz w:val="20"/>
          <w:shd w:val="clear" w:color="auto" w:fill="FFFFFF"/>
          <w:lang w:eastAsia="lt-LT"/>
        </w:rPr>
        <w:t>7 priedas</w:t>
      </w:r>
    </w:p>
    <w:p w14:paraId="1FAE7CAC" w14:textId="77777777" w:rsidR="00BF0DC4" w:rsidRDefault="00BF0DC4">
      <w:pPr>
        <w:rPr>
          <w:b/>
          <w:iCs/>
          <w:szCs w:val="24"/>
          <w:lang w:eastAsia="lt-LT"/>
        </w:rPr>
      </w:pPr>
    </w:p>
    <w:p w14:paraId="03F198B2" w14:textId="77777777" w:rsidR="00BF0DC4" w:rsidRDefault="00AE5768">
      <w:pPr>
        <w:tabs>
          <w:tab w:val="left" w:pos="5670"/>
        </w:tabs>
        <w:jc w:val="center"/>
        <w:rPr>
          <w:b/>
          <w:iCs/>
          <w:caps/>
          <w:szCs w:val="24"/>
          <w:lang w:eastAsia="lt-LT"/>
        </w:rPr>
      </w:pPr>
      <w:r>
        <w:rPr>
          <w:b/>
          <w:iCs/>
          <w:caps/>
          <w:szCs w:val="24"/>
          <w:lang w:eastAsia="lt-LT"/>
        </w:rPr>
        <w:t>pagalbos rūšis, į kurią pretenduoja pareiškėjas</w:t>
      </w:r>
    </w:p>
    <w:p w14:paraId="667B9FB5" w14:textId="77777777" w:rsidR="00BF0DC4" w:rsidRDefault="00BF0D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  <w:u w:val="single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0454"/>
      </w:tblGrid>
      <w:tr w:rsidR="00BF0DC4" w14:paraId="483AF8C8" w14:textId="77777777">
        <w:trPr>
          <w:trHeight w:val="1053"/>
        </w:trPr>
        <w:tc>
          <w:tcPr>
            <w:tcW w:w="4673" w:type="dxa"/>
            <w:vAlign w:val="center"/>
          </w:tcPr>
          <w:p w14:paraId="2FAAC1B0" w14:textId="77777777" w:rsidR="00BF0DC4" w:rsidRDefault="00AE576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Pagalbos rūšis (pažymėti </w:t>
            </w:r>
            <w:r>
              <w:rPr>
                <w:rFonts w:ascii="MS Gothic" w:eastAsia="MS Gothic" w:hAnsi="MS Gothic"/>
                <w:color w:val="000000"/>
                <w:sz w:val="36"/>
                <w:szCs w:val="36"/>
                <w:lang w:eastAsia="lt-LT"/>
              </w:rPr>
              <w:t>☒</w:t>
            </w:r>
            <w:r>
              <w:rPr>
                <w:b/>
                <w:bCs/>
                <w:lang w:eastAsia="lt-LT"/>
              </w:rPr>
              <w:t xml:space="preserve"> ) </w:t>
            </w:r>
          </w:p>
        </w:tc>
        <w:tc>
          <w:tcPr>
            <w:tcW w:w="10454" w:type="dxa"/>
            <w:vAlign w:val="center"/>
          </w:tcPr>
          <w:p w14:paraId="44D55C19" w14:textId="77777777" w:rsidR="00BF0DC4" w:rsidRDefault="00AE5768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Pasirinktos pagalbos rūšies pagrindimas, nurodant veiklų ir išlaidų atitiktį Reglamente nustatytoms sąlygoms </w:t>
            </w:r>
          </w:p>
        </w:tc>
      </w:tr>
      <w:tr w:rsidR="00BF0DC4" w14:paraId="074E7CA6" w14:textId="77777777">
        <w:tc>
          <w:tcPr>
            <w:tcW w:w="4673" w:type="dxa"/>
          </w:tcPr>
          <w:p w14:paraId="1966F85C" w14:textId="77777777" w:rsidR="00BF0DC4" w:rsidRDefault="00AE5768">
            <w:pPr>
              <w:jc w:val="both"/>
              <w:rPr>
                <w:color w:val="000000"/>
                <w:szCs w:val="24"/>
              </w:rPr>
            </w:pPr>
            <w:r>
              <w:rPr>
                <w:rFonts w:eastAsia="MS Gothic"/>
                <w:color w:val="000000"/>
                <w:sz w:val="28"/>
                <w:szCs w:val="28"/>
              </w:rPr>
              <w:t>☐</w:t>
            </w:r>
            <w:r>
              <w:rPr>
                <w:color w:val="000000"/>
                <w:szCs w:val="24"/>
              </w:rPr>
              <w:t xml:space="preserve"> Valstybės pagalba</w:t>
            </w:r>
            <w:r>
              <w:rPr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Reglamento </w:t>
            </w:r>
            <w:hyperlink r:id="rId10" w:tgtFrame="_blank" w:history="1">
              <w:r>
                <w:rPr>
                  <w:b/>
                  <w:bCs/>
                  <w:color w:val="0000FF" w:themeColor="hyperlink"/>
                  <w:szCs w:val="24"/>
                  <w:u w:val="single"/>
                </w:rPr>
                <w:t>(ES) Nr. 651/2014</w:t>
              </w:r>
            </w:hyperlink>
            <w:r>
              <w:rPr>
                <w:b/>
                <w:bCs/>
                <w:color w:val="000000"/>
                <w:szCs w:val="24"/>
              </w:rPr>
              <w:t xml:space="preserve"> 53 straipsnio 2 dalies a - e punktuose</w:t>
            </w:r>
            <w:r>
              <w:rPr>
                <w:color w:val="000000"/>
                <w:szCs w:val="24"/>
              </w:rPr>
              <w:t xml:space="preserve"> nustatytiems kultūros tikslams ir kultūrinėms veikloms</w:t>
            </w:r>
            <w:r>
              <w:rPr>
                <w:szCs w:val="24"/>
                <w:lang w:eastAsia="lt-LT"/>
              </w:rPr>
              <w:t>.</w:t>
            </w:r>
          </w:p>
          <w:p w14:paraId="1E52A3E3" w14:textId="77777777" w:rsidR="00BF0DC4" w:rsidRDefault="00BF0DC4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365F35C" w14:textId="77777777" w:rsidR="00BF0DC4" w:rsidRDefault="00AE576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Didžiausia galima projekto finansuojamoji dalis negali viršyti 80 proc. visų tinkamų finansuoti projekto išlaidų.</w:t>
            </w:r>
          </w:p>
        </w:tc>
        <w:tc>
          <w:tcPr>
            <w:tcW w:w="10454" w:type="dxa"/>
          </w:tcPr>
          <w:p w14:paraId="5935FD97" w14:textId="77777777" w:rsidR="00BF0DC4" w:rsidRDefault="00BF0DC4">
            <w:pPr>
              <w:jc w:val="both"/>
              <w:rPr>
                <w:bCs/>
                <w:iCs/>
                <w:szCs w:val="24"/>
                <w:lang w:eastAsia="lt-LT"/>
              </w:rPr>
            </w:pPr>
          </w:p>
        </w:tc>
      </w:tr>
      <w:tr w:rsidR="00BF0DC4" w14:paraId="542600A3" w14:textId="77777777">
        <w:tc>
          <w:tcPr>
            <w:tcW w:w="4673" w:type="dxa"/>
          </w:tcPr>
          <w:p w14:paraId="6910AA45" w14:textId="77777777" w:rsidR="00BF0DC4" w:rsidRDefault="00AE5768">
            <w:pPr>
              <w:jc w:val="both"/>
              <w:rPr>
                <w:color w:val="000000"/>
                <w:szCs w:val="24"/>
              </w:rPr>
            </w:pPr>
            <w:r>
              <w:rPr>
                <w:rFonts w:ascii="MS Gothic" w:eastAsia="MS Gothic" w:hAnsi="MS Gothic"/>
                <w:color w:val="000000"/>
                <w:sz w:val="28"/>
                <w:szCs w:val="28"/>
              </w:rPr>
              <w:t>☐</w:t>
            </w:r>
            <w:r>
              <w:rPr>
                <w:color w:val="000000"/>
                <w:szCs w:val="24"/>
              </w:rPr>
              <w:t xml:space="preserve"> Valstybės pagalba</w:t>
            </w:r>
            <w:r>
              <w:rPr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Reglamento </w:t>
            </w:r>
            <w:hyperlink r:id="rId11" w:tgtFrame="_blank" w:history="1">
              <w:r>
                <w:rPr>
                  <w:b/>
                  <w:bCs/>
                  <w:color w:val="0000FF" w:themeColor="hyperlink"/>
                  <w:szCs w:val="24"/>
                  <w:u w:val="single"/>
                </w:rPr>
                <w:t>(ES) Nr. 651/2014</w:t>
              </w:r>
            </w:hyperlink>
            <w:r>
              <w:rPr>
                <w:b/>
                <w:bCs/>
                <w:color w:val="000000"/>
                <w:szCs w:val="24"/>
              </w:rPr>
              <w:t xml:space="preserve"> 53 straipsnio 2 dalies f punkte </w:t>
            </w:r>
            <w:r>
              <w:rPr>
                <w:color w:val="000000"/>
                <w:szCs w:val="24"/>
              </w:rPr>
              <w:t>nustatytiems kultūros tikslams ir kultūrinėms veikloms</w:t>
            </w:r>
            <w:r>
              <w:rPr>
                <w:szCs w:val="24"/>
                <w:lang w:eastAsia="lt-LT"/>
              </w:rPr>
              <w:t>.</w:t>
            </w:r>
          </w:p>
          <w:p w14:paraId="3F60FB39" w14:textId="77777777" w:rsidR="00BF0DC4" w:rsidRDefault="00BF0DC4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692919A" w14:textId="77777777" w:rsidR="00BF0DC4" w:rsidRDefault="00AE576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Didžiausia galima projekto finansuojamoji dalis negali viršyti 70 proc. visų tinkamų finansuoti projekto išlaidų.</w:t>
            </w:r>
          </w:p>
        </w:tc>
        <w:tc>
          <w:tcPr>
            <w:tcW w:w="10454" w:type="dxa"/>
          </w:tcPr>
          <w:p w14:paraId="3FE876E5" w14:textId="77777777" w:rsidR="00BF0DC4" w:rsidRDefault="00BF0DC4">
            <w:pPr>
              <w:jc w:val="both"/>
              <w:rPr>
                <w:bCs/>
                <w:iCs/>
                <w:szCs w:val="24"/>
                <w:lang w:eastAsia="lt-LT"/>
              </w:rPr>
            </w:pPr>
          </w:p>
        </w:tc>
      </w:tr>
      <w:tr w:rsidR="00BF0DC4" w14:paraId="31E6EBE4" w14:textId="77777777">
        <w:tc>
          <w:tcPr>
            <w:tcW w:w="4673" w:type="dxa"/>
          </w:tcPr>
          <w:p w14:paraId="50F35810" w14:textId="77777777" w:rsidR="00BF0DC4" w:rsidRDefault="00AE5768">
            <w:pPr>
              <w:jc w:val="both"/>
              <w:rPr>
                <w:szCs w:val="24"/>
                <w:lang w:eastAsia="lt-LT"/>
              </w:rPr>
            </w:pPr>
            <w:r>
              <w:rPr>
                <w:rFonts w:ascii="MS Gothic" w:eastAsia="MS Gothic" w:hAnsi="MS Gothic"/>
                <w:color w:val="000000"/>
                <w:sz w:val="28"/>
                <w:szCs w:val="28"/>
              </w:rPr>
              <w:t>☐</w:t>
            </w:r>
            <w:r>
              <w:rPr>
                <w:color w:val="000000"/>
                <w:szCs w:val="24"/>
              </w:rPr>
              <w:t xml:space="preserve"> Valstybės</w:t>
            </w:r>
            <w:r>
              <w:rPr>
                <w:lang w:eastAsia="lt-LT"/>
              </w:rPr>
              <w:t xml:space="preserve"> </w:t>
            </w:r>
            <w:r>
              <w:rPr>
                <w:b/>
                <w:bCs/>
                <w:lang w:eastAsia="lt-LT"/>
              </w:rPr>
              <w:t xml:space="preserve">pagalba </w:t>
            </w:r>
            <w:r>
              <w:rPr>
                <w:b/>
                <w:bCs/>
                <w:szCs w:val="24"/>
                <w:lang w:eastAsia="lt-LT"/>
              </w:rPr>
              <w:t xml:space="preserve">Reglamento </w:t>
            </w:r>
            <w:hyperlink r:id="rId12" w:tgtFrame="_blank" w:history="1">
              <w:r>
                <w:rPr>
                  <w:b/>
                  <w:bCs/>
                  <w:color w:val="0000FF" w:themeColor="hyperlink"/>
                  <w:szCs w:val="24"/>
                  <w:u w:val="single"/>
                  <w:lang w:eastAsia="lt-LT"/>
                </w:rPr>
                <w:t>(ES) Nr. 651/2014</w:t>
              </w:r>
            </w:hyperlink>
            <w:r>
              <w:rPr>
                <w:b/>
                <w:bCs/>
                <w:szCs w:val="24"/>
                <w:lang w:eastAsia="lt-LT"/>
              </w:rPr>
              <w:t xml:space="preserve"> 54 straipsnio 3 dalies a - b punktuose</w:t>
            </w:r>
            <w:r>
              <w:rPr>
                <w:szCs w:val="24"/>
                <w:lang w:eastAsia="lt-LT"/>
              </w:rPr>
              <w:t xml:space="preserve"> nustatytiems kultūros produktams.</w:t>
            </w:r>
          </w:p>
          <w:p w14:paraId="22863867" w14:textId="77777777" w:rsidR="00BF0DC4" w:rsidRDefault="00BF0DC4">
            <w:pPr>
              <w:jc w:val="both"/>
              <w:rPr>
                <w:sz w:val="16"/>
                <w:szCs w:val="16"/>
                <w:lang w:eastAsia="lt-LT"/>
              </w:rPr>
            </w:pPr>
          </w:p>
          <w:p w14:paraId="122E920D" w14:textId="77777777" w:rsidR="00BF0DC4" w:rsidRDefault="00AE5768">
            <w:pPr>
              <w:jc w:val="both"/>
              <w:rPr>
                <w:rFonts w:ascii="MS Gothic" w:eastAsia="MS Gothic" w:hAnsi="MS Gothic"/>
                <w:bCs/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Didžiausia galima projekto finansuojamoji dalis negali viršyti 50 proc. visų tinkamų finansuoti projekto išlaidų. </w:t>
            </w:r>
          </w:p>
        </w:tc>
        <w:tc>
          <w:tcPr>
            <w:tcW w:w="10454" w:type="dxa"/>
          </w:tcPr>
          <w:p w14:paraId="1FA5ACE7" w14:textId="77777777" w:rsidR="00BF0DC4" w:rsidRDefault="00BF0DC4">
            <w:pPr>
              <w:jc w:val="both"/>
              <w:rPr>
                <w:bCs/>
                <w:iCs/>
                <w:szCs w:val="24"/>
                <w:lang w:eastAsia="lt-LT"/>
              </w:rPr>
            </w:pPr>
          </w:p>
        </w:tc>
      </w:tr>
    </w:tbl>
    <w:p w14:paraId="0FFDADF7" w14:textId="47CEBED8" w:rsidR="00BF0DC4" w:rsidRDefault="00AE5768" w:rsidP="006C4752">
      <w:pPr>
        <w:jc w:val="center"/>
        <w:rPr>
          <w:rFonts w:eastAsia="Calibri"/>
          <w:szCs w:val="24"/>
          <w:lang w:eastAsia="lt-LT"/>
        </w:rPr>
      </w:pPr>
      <w:r>
        <w:rPr>
          <w:iCs/>
          <w:sz w:val="20"/>
          <w:szCs w:val="24"/>
          <w:lang w:eastAsia="lt-LT"/>
        </w:rPr>
        <w:t>____________________________</w:t>
      </w:r>
    </w:p>
    <w:sectPr w:rsidR="00BF0DC4" w:rsidSect="006C47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993" w:right="567" w:bottom="84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B072" w14:textId="77777777" w:rsidR="00AE5768" w:rsidRDefault="00AE576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3B9DDAC4" w14:textId="77777777" w:rsidR="00AE5768" w:rsidRDefault="00AE576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14:paraId="3A815068" w14:textId="77777777" w:rsidR="00AE5768" w:rsidRDefault="00AE5768">
      <w:pPr>
        <w:jc w:val="both"/>
        <w:rPr>
          <w:szCs w:val="24"/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4DEE" w14:textId="77777777" w:rsidR="00AE5768" w:rsidRDefault="00AE5768">
    <w:pPr>
      <w:tabs>
        <w:tab w:val="center" w:pos="4819"/>
        <w:tab w:val="right" w:pos="9638"/>
      </w:tabs>
      <w:jc w:val="both"/>
      <w:rPr>
        <w:i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E3A1" w14:textId="77777777" w:rsidR="00AE5768" w:rsidRDefault="00AE5768">
    <w:pPr>
      <w:tabs>
        <w:tab w:val="center" w:pos="4819"/>
        <w:tab w:val="right" w:pos="9638"/>
      </w:tabs>
      <w:jc w:val="both"/>
      <w:rPr>
        <w:i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498C" w14:textId="77777777" w:rsidR="00AE5768" w:rsidRDefault="00AE5768">
    <w:pPr>
      <w:tabs>
        <w:tab w:val="center" w:pos="4819"/>
        <w:tab w:val="right" w:pos="9638"/>
      </w:tabs>
      <w:jc w:val="both"/>
      <w:rPr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4DEB" w14:textId="77777777" w:rsidR="00AE5768" w:rsidRDefault="00AE576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11B75043" w14:textId="77777777" w:rsidR="00AE5768" w:rsidRDefault="00AE576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14:paraId="44911908" w14:textId="77777777" w:rsidR="00AE5768" w:rsidRDefault="00AE5768">
      <w:pPr>
        <w:jc w:val="both"/>
        <w:rPr>
          <w:szCs w:val="24"/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8908" w14:textId="77777777" w:rsidR="00AE5768" w:rsidRDefault="00AE5768">
    <w:pPr>
      <w:tabs>
        <w:tab w:val="center" w:pos="4819"/>
        <w:tab w:val="right" w:pos="9638"/>
      </w:tabs>
      <w:jc w:val="both"/>
      <w:rPr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375318"/>
      <w:docPartObj>
        <w:docPartGallery w:val="Page Numbers (Top of Page)"/>
        <w:docPartUnique/>
      </w:docPartObj>
    </w:sdtPr>
    <w:sdtEndPr/>
    <w:sdtContent>
      <w:p w14:paraId="286394D7" w14:textId="77777777" w:rsidR="002411A8" w:rsidRDefault="002411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437">
          <w:rPr>
            <w:noProof/>
          </w:rPr>
          <w:t>3</w:t>
        </w:r>
        <w:r>
          <w:fldChar w:fldCharType="end"/>
        </w:r>
      </w:p>
    </w:sdtContent>
  </w:sdt>
  <w:p w14:paraId="0F51B248" w14:textId="77777777" w:rsidR="00AE5768" w:rsidRDefault="00AE5768">
    <w:pPr>
      <w:tabs>
        <w:tab w:val="center" w:pos="4819"/>
        <w:tab w:val="right" w:pos="9638"/>
      </w:tabs>
      <w:jc w:val="right"/>
      <w:rPr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435B" w14:textId="77777777" w:rsidR="002411A8" w:rsidRDefault="002411A8">
    <w:pPr>
      <w:pStyle w:val="Header"/>
      <w:jc w:val="center"/>
    </w:pPr>
  </w:p>
  <w:p w14:paraId="0686E0DD" w14:textId="77777777" w:rsidR="00AE5768" w:rsidRDefault="00AE5768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03"/>
    <w:rsid w:val="00042D6E"/>
    <w:rsid w:val="002411A8"/>
    <w:rsid w:val="002B1437"/>
    <w:rsid w:val="0040471A"/>
    <w:rsid w:val="00440BAE"/>
    <w:rsid w:val="0054317F"/>
    <w:rsid w:val="006C4752"/>
    <w:rsid w:val="00AA205C"/>
    <w:rsid w:val="00AC4F03"/>
    <w:rsid w:val="00AE5768"/>
    <w:rsid w:val="00B467F2"/>
    <w:rsid w:val="00BE1CB3"/>
    <w:rsid w:val="00BF0DC4"/>
    <w:rsid w:val="00D15D03"/>
    <w:rsid w:val="00F5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AD492"/>
  <w15:docId w15:val="{602C7DAE-C571-43F5-A469-D3D0ED51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E57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0471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0471A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7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34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7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32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7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ur-lex.europa.eu/legal-content/LIT/TXT/?uri=CELEX:32014R0651&amp;locale=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r-lex.europa.eu/legal-content/LIT/TXT/?uri=CELEX:32014R0651&amp;locale=l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eur-lex.europa.eu/legal-content/LIT/TXT/?uri=CELEX:32014R0651&amp;locale=lt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Kultūros projektų skyrius|6e54f30f-9418-4d50-924b-311e9e648bdc;Finansų skyrius|7d9d544b-d496-4126-a894-fd0e68da2d8e;Procesų valdymo skyrius|1d2453fc-c175-46b4-b9fe-6151c1a059d8</j6fdf40a0e1e4c27b9444f6dc0ea131b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F7B79-6744-48D5-BDFA-1B72A197F6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3CD6B-DF7D-4D4C-8B48-70FDB90E6B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CA4983-B9B3-4722-B6D6-B6D174D216AC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4.xml><?xml version="1.0" encoding="utf-8"?>
<ds:datastoreItem xmlns:ds="http://schemas.openxmlformats.org/officeDocument/2006/customXml" ds:itemID="{10214B7A-B2B6-4B9A-B1E0-AD07675CF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PFSA projektas</vt:lpstr>
      <vt:lpstr>PFSA projektas</vt:lpstr>
    </vt:vector>
  </TitlesOfParts>
  <Company/>
  <LinksUpToDate>false</LinksUpToDate>
  <CharactersWithSpaces>1684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PFSA projektas</dc:title>
  <dc:creator>Aida Balčiūnaitė</dc:creator>
  <cp:lastModifiedBy>Simona Žilakauskienė</cp:lastModifiedBy>
  <cp:revision>6</cp:revision>
  <cp:lastPrinted>2025-05-12T06:00:00Z</cp:lastPrinted>
  <dcterms:created xsi:type="dcterms:W3CDTF">2025-12-11T10:52:00Z</dcterms:created>
  <dcterms:modified xsi:type="dcterms:W3CDTF">2025-12-11T11:42:00Z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62;#Finansų skyrius|7d9d544b-d496-4126-a894-fd0e68da2d8e;#3308;#Procesų valdymo skyrius|1d2453fc-c175-46b4-b9fe-6151c1a059d8;#646;#Kultūros projektų skyrius|6e54f30f-9418-4d50-924b-311e9e648bdc</vt:lpwstr>
  </property>
  <property fmtid="{D5CDD505-2E9C-101B-9397-08002B2CF9AE}" pid="3" name="MediaServiceImageTags">
    <vt:lpwstr>
    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646;#Kultūros projektų skyrius|6e54f30f-9418-4d50-924b-311e9e648bdc</vt:lpwstr>
  </property>
  <property fmtid="{D5CDD505-2E9C-101B-9397-08002B2CF9AE}" pid="6" name="ContentTypeId">
    <vt:lpwstr>0x010100D76F90AF19434866994CD715ED8FEE4200712820E1B0DE314FBCE77D75ADAD206D</vt:lpwstr>
  </property>
  <property fmtid="{D5CDD505-2E9C-101B-9397-08002B2CF9AE}" pid="7" name="DmsPermissionsUsers">
    <vt:lpwstr>1086;#Neringa Andrulienė;#161;#Eugenija Babič</vt:lpwstr>
  </property>
  <property fmtid="{D5CDD505-2E9C-101B-9397-08002B2CF9AE}" pid="8" name="DmsCommChanPerm">
    <vt:lpwstr/>
  </property>
  <property fmtid="{D5CDD505-2E9C-101B-9397-08002B2CF9AE}" pid="9" name="DmsPermissionsConfid">
    <vt:bool>false</vt:bool>
  </property>
  <property fmtid="{D5CDD505-2E9C-101B-9397-08002B2CF9AE}" pid="10" name="DmsDocPrepDocSendRegReal">
    <vt:bool>false</vt:bool>
  </property>
  <property fmtid="{D5CDD505-2E9C-101B-9397-08002B2CF9AE}" pid="11" name="DmsWaitingForSign">
    <vt:bool>true</vt:bool>
  </property>
</Properties>
</file>